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BA119" w14:textId="32315B8B" w:rsidR="00932C7F" w:rsidRPr="009E33CA" w:rsidRDefault="002F4D3D" w:rsidP="0083042F">
      <w:pPr>
        <w:tabs>
          <w:tab w:val="left" w:pos="0"/>
        </w:tabs>
        <w:spacing w:line="240" w:lineRule="auto"/>
        <w:jc w:val="right"/>
        <w:rPr>
          <w:rFonts w:ascii="Arial" w:hAnsi="Arial" w:cs="Arial"/>
          <w:b/>
          <w:bCs/>
        </w:rPr>
      </w:pPr>
      <w:bookmarkStart w:id="0" w:name="_Toc153347989"/>
      <w:bookmarkStart w:id="1" w:name="_Hlk145010131"/>
      <w:bookmarkStart w:id="2" w:name="_Hlk145010096"/>
      <w:r w:rsidRPr="009E33CA">
        <w:rPr>
          <w:rFonts w:ascii="Arial" w:hAnsi="Arial" w:cs="Arial"/>
          <w:b/>
          <w:bCs/>
        </w:rPr>
        <w:t xml:space="preserve">Effects of </w:t>
      </w:r>
      <w:r w:rsidRPr="00C57EBF">
        <w:rPr>
          <w:rFonts w:ascii="Arial" w:hAnsi="Arial" w:cs="Arial"/>
          <w:b/>
          <w:bCs/>
          <w:strike/>
          <w:color w:val="FF0000"/>
        </w:rPr>
        <w:t>Two Levels of</w:t>
      </w:r>
      <w:r w:rsidRPr="00C57EBF">
        <w:rPr>
          <w:rFonts w:ascii="Arial" w:hAnsi="Arial" w:cs="Arial"/>
          <w:b/>
          <w:bCs/>
          <w:color w:val="FF0000"/>
        </w:rPr>
        <w:t xml:space="preserve"> </w:t>
      </w:r>
      <w:r w:rsidRPr="009E33CA">
        <w:rPr>
          <w:rFonts w:ascii="Arial" w:hAnsi="Arial" w:cs="Arial"/>
          <w:b/>
          <w:bCs/>
        </w:rPr>
        <w:t>Dietary Fat and Fibre on the Growth, Haematology, Serum Biochemistry a</w:t>
      </w:r>
      <w:r w:rsidR="009E33CA" w:rsidRPr="009E33CA">
        <w:rPr>
          <w:rFonts w:ascii="Arial" w:hAnsi="Arial" w:cs="Arial"/>
          <w:b/>
          <w:bCs/>
        </w:rPr>
        <w:t>nd Organ Histology i</w:t>
      </w:r>
      <w:r w:rsidRPr="009E33CA">
        <w:rPr>
          <w:rFonts w:ascii="Arial" w:hAnsi="Arial" w:cs="Arial"/>
          <w:b/>
          <w:bCs/>
        </w:rPr>
        <w:t>n Male Albino Rats</w:t>
      </w:r>
    </w:p>
    <w:p w14:paraId="3600317F" w14:textId="77777777" w:rsidR="00932C7F" w:rsidRPr="009E33CA" w:rsidRDefault="00932C7F" w:rsidP="0083042F">
      <w:pPr>
        <w:tabs>
          <w:tab w:val="left" w:pos="0"/>
        </w:tabs>
        <w:spacing w:line="360" w:lineRule="auto"/>
        <w:jc w:val="right"/>
        <w:rPr>
          <w:rFonts w:ascii="Arial" w:hAnsi="Arial" w:cs="Arial"/>
          <w:b/>
          <w:bCs/>
        </w:rPr>
      </w:pPr>
    </w:p>
    <w:p w14:paraId="2F2E0373" w14:textId="568CCF16" w:rsidR="00932C7F" w:rsidRDefault="00932C7F" w:rsidP="0083042F">
      <w:pPr>
        <w:tabs>
          <w:tab w:val="left" w:pos="0"/>
        </w:tabs>
        <w:jc w:val="right"/>
        <w:rPr>
          <w:rFonts w:ascii="Arial" w:eastAsiaTheme="majorEastAsia" w:hAnsi="Arial" w:cs="Arial"/>
          <w:color w:val="000000" w:themeColor="text1"/>
          <w:sz w:val="28"/>
          <w:szCs w:val="32"/>
        </w:rPr>
      </w:pPr>
    </w:p>
    <w:p w14:paraId="72F16831" w14:textId="77777777" w:rsidR="0094715D" w:rsidRPr="009E33CA" w:rsidRDefault="0094715D" w:rsidP="0083042F">
      <w:pPr>
        <w:tabs>
          <w:tab w:val="left" w:pos="0"/>
        </w:tabs>
        <w:jc w:val="right"/>
        <w:rPr>
          <w:rFonts w:ascii="Arial" w:eastAsiaTheme="majorEastAsia" w:hAnsi="Arial" w:cs="Arial"/>
          <w:color w:val="000000" w:themeColor="text1"/>
          <w:sz w:val="28"/>
          <w:szCs w:val="32"/>
        </w:rPr>
      </w:pPr>
    </w:p>
    <w:p w14:paraId="134717F0" w14:textId="2ACAF30B" w:rsidR="000D34CA" w:rsidRPr="009E33CA" w:rsidRDefault="00CA132F" w:rsidP="00A444EB">
      <w:pPr>
        <w:pStyle w:val="Heading1"/>
      </w:pPr>
      <w:r w:rsidRPr="009E33CA">
        <w:t>ABSTRACT</w:t>
      </w:r>
      <w:bookmarkEnd w:id="0"/>
    </w:p>
    <w:bookmarkEnd w:id="1"/>
    <w:bookmarkEnd w:id="2"/>
    <w:p w14:paraId="35EF3138" w14:textId="77777777" w:rsidR="009E33CA" w:rsidRPr="000F2F79" w:rsidRDefault="009E33CA" w:rsidP="000D18E6">
      <w:pPr>
        <w:tabs>
          <w:tab w:val="left" w:pos="0"/>
        </w:tabs>
        <w:spacing w:line="480" w:lineRule="auto"/>
        <w:rPr>
          <w:rFonts w:ascii="Arial" w:hAnsi="Arial" w:cs="Arial"/>
          <w:sz w:val="20"/>
          <w:szCs w:val="24"/>
        </w:rPr>
      </w:pPr>
      <w:r w:rsidRPr="000F2F79">
        <w:rPr>
          <w:rFonts w:ascii="Arial" w:hAnsi="Arial" w:cs="Arial"/>
          <w:b/>
          <w:sz w:val="20"/>
          <w:szCs w:val="24"/>
        </w:rPr>
        <w:t>Aim</w:t>
      </w:r>
      <w:r w:rsidRPr="000F2F79">
        <w:rPr>
          <w:rFonts w:ascii="Arial" w:hAnsi="Arial" w:cs="Arial"/>
          <w:sz w:val="20"/>
          <w:szCs w:val="24"/>
        </w:rPr>
        <w:t xml:space="preserve">: </w:t>
      </w:r>
      <w:r w:rsidR="00E56A12" w:rsidRPr="000F2F79">
        <w:rPr>
          <w:rFonts w:ascii="Arial" w:hAnsi="Arial" w:cs="Arial"/>
          <w:sz w:val="20"/>
          <w:szCs w:val="24"/>
        </w:rPr>
        <w:t>High</w:t>
      </w:r>
      <w:r w:rsidR="000D34CA" w:rsidRPr="000F2F79">
        <w:rPr>
          <w:rFonts w:ascii="Arial" w:hAnsi="Arial" w:cs="Arial"/>
          <w:sz w:val="20"/>
          <w:szCs w:val="24"/>
        </w:rPr>
        <w:t xml:space="preserve"> saturated fat</w:t>
      </w:r>
      <w:r w:rsidR="00E56A12" w:rsidRPr="000F2F79">
        <w:rPr>
          <w:rFonts w:ascii="Arial" w:hAnsi="Arial" w:cs="Arial"/>
          <w:sz w:val="20"/>
          <w:szCs w:val="24"/>
        </w:rPr>
        <w:t xml:space="preserve"> intake</w:t>
      </w:r>
      <w:r w:rsidR="000D34CA" w:rsidRPr="000F2F79">
        <w:rPr>
          <w:rFonts w:ascii="Arial" w:hAnsi="Arial" w:cs="Arial"/>
          <w:sz w:val="20"/>
          <w:szCs w:val="24"/>
        </w:rPr>
        <w:t xml:space="preserve"> poses health risks</w:t>
      </w:r>
      <w:r w:rsidR="00336615" w:rsidRPr="000F2F79">
        <w:rPr>
          <w:rFonts w:ascii="Arial" w:hAnsi="Arial" w:cs="Arial"/>
          <w:sz w:val="20"/>
          <w:szCs w:val="24"/>
        </w:rPr>
        <w:t xml:space="preserve">, while high fibre intake, such as those in corn cob, might reduce these risks. </w:t>
      </w:r>
      <w:r w:rsidR="00CD5292" w:rsidRPr="000F2F79">
        <w:rPr>
          <w:rFonts w:ascii="Arial" w:hAnsi="Arial" w:cs="Arial"/>
          <w:sz w:val="20"/>
          <w:szCs w:val="24"/>
        </w:rPr>
        <w:t>Thus, t</w:t>
      </w:r>
      <w:r w:rsidR="00336615" w:rsidRPr="000F2F79">
        <w:rPr>
          <w:rFonts w:ascii="Arial" w:hAnsi="Arial" w:cs="Arial"/>
          <w:sz w:val="20"/>
          <w:szCs w:val="24"/>
        </w:rPr>
        <w:t xml:space="preserve">his study </w:t>
      </w:r>
      <w:r w:rsidR="00CD5292" w:rsidRPr="000F2F79">
        <w:rPr>
          <w:rFonts w:ascii="Arial" w:hAnsi="Arial" w:cs="Arial"/>
          <w:sz w:val="20"/>
          <w:szCs w:val="24"/>
        </w:rPr>
        <w:t xml:space="preserve">was designed with the </w:t>
      </w:r>
      <w:r w:rsidR="00336615" w:rsidRPr="000F2F79">
        <w:rPr>
          <w:rFonts w:ascii="Arial" w:hAnsi="Arial" w:cs="Arial"/>
          <w:sz w:val="20"/>
          <w:szCs w:val="24"/>
        </w:rPr>
        <w:t>hypothesi</w:t>
      </w:r>
      <w:r w:rsidR="00CD5292" w:rsidRPr="000F2F79">
        <w:rPr>
          <w:rFonts w:ascii="Arial" w:hAnsi="Arial" w:cs="Arial"/>
          <w:sz w:val="20"/>
          <w:szCs w:val="24"/>
        </w:rPr>
        <w:t>s</w:t>
      </w:r>
      <w:r w:rsidR="00336615" w:rsidRPr="000F2F79">
        <w:rPr>
          <w:rFonts w:ascii="Arial" w:hAnsi="Arial" w:cs="Arial"/>
          <w:sz w:val="20"/>
          <w:szCs w:val="24"/>
        </w:rPr>
        <w:t xml:space="preserve"> that high fibre intake </w:t>
      </w:r>
      <w:r w:rsidR="00CD5292" w:rsidRPr="000F2F79">
        <w:rPr>
          <w:rFonts w:ascii="Arial" w:hAnsi="Arial" w:cs="Arial"/>
          <w:sz w:val="20"/>
          <w:szCs w:val="24"/>
        </w:rPr>
        <w:t>would</w:t>
      </w:r>
      <w:r w:rsidR="00336615" w:rsidRPr="000F2F79">
        <w:rPr>
          <w:rFonts w:ascii="Arial" w:hAnsi="Arial" w:cs="Arial"/>
          <w:sz w:val="20"/>
          <w:szCs w:val="24"/>
        </w:rPr>
        <w:t xml:space="preserve"> mitigate the health risks posed by high saturated fat intake</w:t>
      </w:r>
      <w:r w:rsidR="000D34CA" w:rsidRPr="000F2F79">
        <w:rPr>
          <w:rFonts w:ascii="Arial" w:hAnsi="Arial" w:cs="Arial"/>
          <w:sz w:val="20"/>
          <w:szCs w:val="24"/>
        </w:rPr>
        <w:t xml:space="preserve">. </w:t>
      </w:r>
    </w:p>
    <w:p w14:paraId="046AE36D" w14:textId="7FC0C5B3" w:rsidR="009E33CA" w:rsidRPr="000F2F79" w:rsidRDefault="009E33CA" w:rsidP="000D18E6">
      <w:pPr>
        <w:tabs>
          <w:tab w:val="left" w:pos="0"/>
        </w:tabs>
        <w:spacing w:line="480" w:lineRule="auto"/>
        <w:rPr>
          <w:rFonts w:ascii="Arial" w:hAnsi="Arial" w:cs="Arial"/>
          <w:sz w:val="20"/>
          <w:szCs w:val="24"/>
        </w:rPr>
      </w:pPr>
      <w:r w:rsidRPr="000F2F79">
        <w:rPr>
          <w:rFonts w:ascii="Arial" w:hAnsi="Arial" w:cs="Arial"/>
          <w:b/>
          <w:sz w:val="20"/>
          <w:szCs w:val="24"/>
        </w:rPr>
        <w:t>Design</w:t>
      </w:r>
      <w:r w:rsidRPr="000F2F79">
        <w:rPr>
          <w:rFonts w:ascii="Arial" w:hAnsi="Arial" w:cs="Arial"/>
          <w:sz w:val="20"/>
          <w:szCs w:val="24"/>
        </w:rPr>
        <w:t xml:space="preserve">: A </w:t>
      </w:r>
      <w:r w:rsidR="00ED5466" w:rsidRPr="000F2F79">
        <w:rPr>
          <w:rFonts w:ascii="Arial" w:hAnsi="Arial" w:cs="Arial"/>
          <w:sz w:val="20"/>
          <w:szCs w:val="24"/>
        </w:rPr>
        <w:t>completely</w:t>
      </w:r>
      <w:r w:rsidRPr="000F2F79">
        <w:rPr>
          <w:rFonts w:ascii="Arial" w:hAnsi="Arial" w:cs="Arial"/>
          <w:sz w:val="20"/>
          <w:szCs w:val="24"/>
        </w:rPr>
        <w:t xml:space="preserve"> </w:t>
      </w:r>
      <w:r w:rsidR="00ED5466" w:rsidRPr="000F2F79">
        <w:rPr>
          <w:rFonts w:ascii="Arial" w:hAnsi="Arial" w:cs="Arial"/>
          <w:sz w:val="20"/>
          <w:szCs w:val="24"/>
        </w:rPr>
        <w:t>randomized design was used for this study.</w:t>
      </w:r>
    </w:p>
    <w:p w14:paraId="5554DA57" w14:textId="6F0AF4B8" w:rsidR="00ED5466" w:rsidRPr="000F2F79" w:rsidRDefault="00ED5466" w:rsidP="000D18E6">
      <w:pPr>
        <w:tabs>
          <w:tab w:val="left" w:pos="0"/>
        </w:tabs>
        <w:spacing w:line="480" w:lineRule="auto"/>
        <w:rPr>
          <w:rFonts w:ascii="Arial" w:hAnsi="Arial" w:cs="Arial"/>
          <w:sz w:val="20"/>
          <w:szCs w:val="24"/>
        </w:rPr>
      </w:pPr>
      <w:r w:rsidRPr="000F2F79">
        <w:rPr>
          <w:rFonts w:ascii="Arial" w:hAnsi="Arial" w:cs="Arial"/>
          <w:b/>
          <w:sz w:val="20"/>
          <w:szCs w:val="24"/>
        </w:rPr>
        <w:t>Place and duration of study</w:t>
      </w:r>
      <w:r w:rsidRPr="000F2F79">
        <w:rPr>
          <w:rFonts w:ascii="Arial" w:hAnsi="Arial" w:cs="Arial"/>
          <w:sz w:val="20"/>
          <w:szCs w:val="24"/>
        </w:rPr>
        <w:t xml:space="preserve">: The study was carried out at the Animal Science </w:t>
      </w:r>
      <w:r w:rsidR="0094474A">
        <w:rPr>
          <w:rFonts w:ascii="Arial" w:hAnsi="Arial" w:cs="Arial"/>
          <w:sz w:val="20"/>
          <w:szCs w:val="24"/>
        </w:rPr>
        <w:t>Department</w:t>
      </w:r>
      <w:r w:rsidRPr="000F2F79">
        <w:rPr>
          <w:rFonts w:ascii="Arial" w:hAnsi="Arial" w:cs="Arial"/>
          <w:sz w:val="20"/>
          <w:szCs w:val="24"/>
        </w:rPr>
        <w:t xml:space="preserve"> of Akenten Appiah-Menka University of Skills Training and Entrepreneurial Development. The study lasted for eight weeks.</w:t>
      </w:r>
    </w:p>
    <w:p w14:paraId="16506ABD" w14:textId="26300028" w:rsidR="00ED5466" w:rsidRPr="000F2F79" w:rsidRDefault="00ED5466" w:rsidP="000D18E6">
      <w:pPr>
        <w:tabs>
          <w:tab w:val="left" w:pos="0"/>
        </w:tabs>
        <w:spacing w:line="480" w:lineRule="auto"/>
        <w:rPr>
          <w:rFonts w:ascii="Arial" w:hAnsi="Arial" w:cs="Arial"/>
          <w:sz w:val="20"/>
          <w:szCs w:val="24"/>
        </w:rPr>
      </w:pPr>
      <w:r w:rsidRPr="000F2F79">
        <w:rPr>
          <w:rFonts w:ascii="Arial" w:hAnsi="Arial" w:cs="Arial"/>
          <w:b/>
          <w:sz w:val="20"/>
          <w:szCs w:val="24"/>
        </w:rPr>
        <w:t>Materials and methods</w:t>
      </w:r>
      <w:r w:rsidRPr="000F2F79">
        <w:rPr>
          <w:rFonts w:ascii="Arial" w:hAnsi="Arial" w:cs="Arial"/>
          <w:sz w:val="20"/>
          <w:szCs w:val="24"/>
        </w:rPr>
        <w:t xml:space="preserve">: </w:t>
      </w:r>
      <w:r w:rsidR="000D34CA" w:rsidRPr="000F2F79">
        <w:rPr>
          <w:rFonts w:ascii="Arial" w:hAnsi="Arial" w:cs="Arial"/>
          <w:sz w:val="20"/>
          <w:szCs w:val="24"/>
        </w:rPr>
        <w:t xml:space="preserve">Twenty-four (24) male Albino rats were randomly assigned to four treatments </w:t>
      </w:r>
      <w:r w:rsidR="00F41A70" w:rsidRPr="000F2F79">
        <w:rPr>
          <w:rFonts w:ascii="Arial" w:hAnsi="Arial" w:cs="Arial"/>
          <w:sz w:val="20"/>
          <w:szCs w:val="24"/>
        </w:rPr>
        <w:t>in</w:t>
      </w:r>
      <w:r w:rsidR="000D34CA" w:rsidRPr="000F2F79">
        <w:rPr>
          <w:rFonts w:ascii="Arial" w:hAnsi="Arial" w:cs="Arial"/>
          <w:sz w:val="20"/>
          <w:szCs w:val="24"/>
        </w:rPr>
        <w:t xml:space="preserve"> a 2 × 2 factorial arrangement in a completely randomized design (CRD). The factors were </w:t>
      </w:r>
      <w:r w:rsidR="00E56A12" w:rsidRPr="000F2F79">
        <w:rPr>
          <w:rFonts w:ascii="Arial" w:hAnsi="Arial" w:cs="Arial"/>
          <w:sz w:val="20"/>
          <w:szCs w:val="24"/>
        </w:rPr>
        <w:t xml:space="preserve">either </w:t>
      </w:r>
      <w:r w:rsidR="00F41A70" w:rsidRPr="000F2F79">
        <w:rPr>
          <w:rFonts w:ascii="Arial" w:hAnsi="Arial" w:cs="Arial"/>
          <w:sz w:val="20"/>
          <w:szCs w:val="24"/>
        </w:rPr>
        <w:t>fat (</w:t>
      </w:r>
      <w:r w:rsidR="00E56A12" w:rsidRPr="000F2F79">
        <w:rPr>
          <w:rFonts w:ascii="Arial" w:hAnsi="Arial" w:cs="Arial"/>
          <w:sz w:val="20"/>
          <w:szCs w:val="24"/>
        </w:rPr>
        <w:t xml:space="preserve">low </w:t>
      </w:r>
      <w:r w:rsidR="00F41A70" w:rsidRPr="000F2F79">
        <w:rPr>
          <w:rFonts w:ascii="Arial" w:hAnsi="Arial" w:cs="Arial"/>
          <w:sz w:val="20"/>
          <w:szCs w:val="24"/>
        </w:rPr>
        <w:t>v</w:t>
      </w:r>
      <w:r w:rsidR="0094474A">
        <w:rPr>
          <w:rFonts w:ascii="Arial" w:hAnsi="Arial" w:cs="Arial"/>
          <w:sz w:val="20"/>
          <w:szCs w:val="24"/>
        </w:rPr>
        <w:t>er</w:t>
      </w:r>
      <w:r w:rsidR="00F41A70" w:rsidRPr="000F2F79">
        <w:rPr>
          <w:rFonts w:ascii="Arial" w:hAnsi="Arial" w:cs="Arial"/>
          <w:sz w:val="20"/>
          <w:szCs w:val="24"/>
        </w:rPr>
        <w:t>s</w:t>
      </w:r>
      <w:r w:rsidR="0094474A">
        <w:rPr>
          <w:rFonts w:ascii="Arial" w:hAnsi="Arial" w:cs="Arial"/>
          <w:sz w:val="20"/>
          <w:szCs w:val="24"/>
        </w:rPr>
        <w:t>us</w:t>
      </w:r>
      <w:r w:rsidR="00E56A12" w:rsidRPr="000F2F79">
        <w:rPr>
          <w:rFonts w:ascii="Arial" w:hAnsi="Arial" w:cs="Arial"/>
          <w:sz w:val="20"/>
          <w:szCs w:val="24"/>
        </w:rPr>
        <w:t xml:space="preserve"> high</w:t>
      </w:r>
      <w:r w:rsidR="00F41A70" w:rsidRPr="000F2F79">
        <w:rPr>
          <w:rFonts w:ascii="Arial" w:hAnsi="Arial" w:cs="Arial"/>
          <w:sz w:val="20"/>
          <w:szCs w:val="24"/>
        </w:rPr>
        <w:t>)</w:t>
      </w:r>
      <w:r w:rsidR="00E56A12" w:rsidRPr="000F2F79">
        <w:rPr>
          <w:rFonts w:ascii="Arial" w:hAnsi="Arial" w:cs="Arial"/>
          <w:sz w:val="20"/>
          <w:szCs w:val="24"/>
        </w:rPr>
        <w:t xml:space="preserve"> </w:t>
      </w:r>
      <w:r w:rsidR="00F41A70" w:rsidRPr="000F2F79">
        <w:rPr>
          <w:rFonts w:ascii="Arial" w:hAnsi="Arial" w:cs="Arial"/>
          <w:sz w:val="20"/>
          <w:szCs w:val="24"/>
        </w:rPr>
        <w:t>and</w:t>
      </w:r>
      <w:r w:rsidR="00E56A12" w:rsidRPr="000F2F79">
        <w:rPr>
          <w:rFonts w:ascii="Arial" w:hAnsi="Arial" w:cs="Arial"/>
          <w:sz w:val="20"/>
          <w:szCs w:val="24"/>
        </w:rPr>
        <w:t xml:space="preserve"> </w:t>
      </w:r>
      <w:r w:rsidR="000D34CA" w:rsidRPr="000F2F79">
        <w:rPr>
          <w:rFonts w:ascii="Arial" w:hAnsi="Arial" w:cs="Arial"/>
          <w:sz w:val="20"/>
          <w:szCs w:val="24"/>
        </w:rPr>
        <w:t xml:space="preserve">dietary fat </w:t>
      </w:r>
      <w:r w:rsidR="0094474A">
        <w:rPr>
          <w:rFonts w:ascii="Arial" w:hAnsi="Arial" w:cs="Arial"/>
          <w:sz w:val="20"/>
          <w:szCs w:val="24"/>
        </w:rPr>
        <w:t>(low versu</w:t>
      </w:r>
      <w:r w:rsidR="00F41A70" w:rsidRPr="000F2F79">
        <w:rPr>
          <w:rFonts w:ascii="Arial" w:hAnsi="Arial" w:cs="Arial"/>
          <w:sz w:val="20"/>
          <w:szCs w:val="24"/>
        </w:rPr>
        <w:t>s high)</w:t>
      </w:r>
      <w:r w:rsidR="00E56A12" w:rsidRPr="000F2F79">
        <w:rPr>
          <w:rFonts w:ascii="Arial" w:hAnsi="Arial" w:cs="Arial"/>
          <w:sz w:val="20"/>
          <w:szCs w:val="24"/>
        </w:rPr>
        <w:t xml:space="preserve">. </w:t>
      </w:r>
      <w:r w:rsidR="000D34CA" w:rsidRPr="000F2F79">
        <w:rPr>
          <w:rFonts w:ascii="Arial" w:hAnsi="Arial" w:cs="Arial"/>
          <w:sz w:val="20"/>
          <w:szCs w:val="24"/>
        </w:rPr>
        <w:t xml:space="preserve">Data collected included feed intake, body weight (BW), organ weight (%), haematology, serum biochemistry and the histology of the heart, liver and kidney. </w:t>
      </w:r>
    </w:p>
    <w:p w14:paraId="37AE50BF" w14:textId="72A8D385" w:rsidR="00ED5466" w:rsidRPr="000F2F79" w:rsidRDefault="00ED5466" w:rsidP="000D18E6">
      <w:pPr>
        <w:tabs>
          <w:tab w:val="left" w:pos="0"/>
        </w:tabs>
        <w:spacing w:line="480" w:lineRule="auto"/>
        <w:rPr>
          <w:rFonts w:ascii="Arial" w:hAnsi="Arial" w:cs="Arial"/>
          <w:sz w:val="20"/>
          <w:szCs w:val="24"/>
        </w:rPr>
      </w:pPr>
      <w:r w:rsidRPr="000F2F79">
        <w:rPr>
          <w:rFonts w:ascii="Arial" w:hAnsi="Arial" w:cs="Arial"/>
          <w:b/>
          <w:sz w:val="20"/>
          <w:szCs w:val="24"/>
        </w:rPr>
        <w:t>Results</w:t>
      </w:r>
      <w:r w:rsidRPr="000F2F79">
        <w:rPr>
          <w:rFonts w:ascii="Arial" w:hAnsi="Arial" w:cs="Arial"/>
          <w:sz w:val="20"/>
          <w:szCs w:val="24"/>
        </w:rPr>
        <w:t xml:space="preserve">: </w:t>
      </w:r>
      <w:r w:rsidR="000D34CA" w:rsidRPr="000F2F79">
        <w:rPr>
          <w:rFonts w:ascii="Arial" w:hAnsi="Arial" w:cs="Arial"/>
          <w:sz w:val="20"/>
          <w:szCs w:val="24"/>
        </w:rPr>
        <w:t>The results indicated that neither fat nor fibre affected the feed intake</w:t>
      </w:r>
      <w:r w:rsidR="00C02B0C">
        <w:rPr>
          <w:rFonts w:ascii="Arial" w:hAnsi="Arial" w:cs="Arial"/>
          <w:sz w:val="20"/>
          <w:szCs w:val="24"/>
        </w:rPr>
        <w:t xml:space="preserve"> (</w:t>
      </w:r>
      <w:r w:rsidR="00C02B0C" w:rsidRPr="00C02B0C">
        <w:rPr>
          <w:rFonts w:ascii="Arial" w:hAnsi="Arial" w:cs="Arial"/>
          <w:i/>
          <w:sz w:val="20"/>
          <w:szCs w:val="24"/>
        </w:rPr>
        <w:t>P</w:t>
      </w:r>
      <w:r w:rsidR="00C02B0C">
        <w:rPr>
          <w:rFonts w:ascii="Arial" w:hAnsi="Arial" w:cs="Arial"/>
          <w:sz w:val="20"/>
          <w:szCs w:val="24"/>
        </w:rPr>
        <w:t xml:space="preserve"> &gt;.05)</w:t>
      </w:r>
      <w:r w:rsidR="000D34CA" w:rsidRPr="000F2F79">
        <w:rPr>
          <w:rFonts w:ascii="Arial" w:hAnsi="Arial" w:cs="Arial"/>
          <w:sz w:val="20"/>
          <w:szCs w:val="24"/>
        </w:rPr>
        <w:t xml:space="preserve">. High fibre reduced </w:t>
      </w:r>
      <w:r w:rsidR="00E56A12" w:rsidRPr="000F2F79">
        <w:rPr>
          <w:rFonts w:ascii="Arial" w:hAnsi="Arial" w:cs="Arial"/>
          <w:sz w:val="20"/>
          <w:szCs w:val="24"/>
        </w:rPr>
        <w:t>t</w:t>
      </w:r>
      <w:r w:rsidR="000D34CA" w:rsidRPr="000F2F79">
        <w:rPr>
          <w:rFonts w:ascii="Arial" w:hAnsi="Arial" w:cs="Arial"/>
          <w:sz w:val="20"/>
          <w:szCs w:val="24"/>
        </w:rPr>
        <w:t xml:space="preserve">he BW of Albino </w:t>
      </w:r>
      <w:r w:rsidR="0022158D" w:rsidRPr="000F2F79">
        <w:rPr>
          <w:rFonts w:ascii="Arial" w:hAnsi="Arial" w:cs="Arial"/>
          <w:sz w:val="20"/>
          <w:szCs w:val="24"/>
        </w:rPr>
        <w:t>rats</w:t>
      </w:r>
      <w:r w:rsidR="00E56A12" w:rsidRPr="000F2F79">
        <w:rPr>
          <w:rFonts w:ascii="Arial" w:hAnsi="Arial" w:cs="Arial"/>
          <w:sz w:val="20"/>
          <w:szCs w:val="24"/>
        </w:rPr>
        <w:t xml:space="preserve"> and improved the haematology and serum Biochemistry profiles</w:t>
      </w:r>
      <w:r w:rsidR="00C02B0C">
        <w:rPr>
          <w:rFonts w:ascii="Arial" w:hAnsi="Arial" w:cs="Arial"/>
          <w:sz w:val="20"/>
          <w:szCs w:val="24"/>
        </w:rPr>
        <w:t xml:space="preserve"> (</w:t>
      </w:r>
      <w:r w:rsidR="00C02B0C" w:rsidRPr="00C02B0C">
        <w:rPr>
          <w:rFonts w:ascii="Arial" w:hAnsi="Arial" w:cs="Arial"/>
          <w:i/>
          <w:sz w:val="20"/>
          <w:szCs w:val="24"/>
        </w:rPr>
        <w:t>P</w:t>
      </w:r>
      <w:r w:rsidR="00C02B0C">
        <w:rPr>
          <w:rFonts w:ascii="Arial" w:hAnsi="Arial" w:cs="Arial"/>
          <w:sz w:val="20"/>
          <w:szCs w:val="24"/>
        </w:rPr>
        <w:t xml:space="preserve"> &lt; .05)</w:t>
      </w:r>
      <w:r w:rsidR="000D34CA" w:rsidRPr="000F2F79">
        <w:rPr>
          <w:rFonts w:ascii="Arial" w:hAnsi="Arial" w:cs="Arial"/>
          <w:sz w:val="20"/>
          <w:szCs w:val="24"/>
        </w:rPr>
        <w:t xml:space="preserve">. </w:t>
      </w:r>
      <w:r w:rsidR="0094474A">
        <w:rPr>
          <w:rFonts w:ascii="Arial" w:hAnsi="Arial" w:cs="Arial"/>
          <w:sz w:val="20"/>
          <w:szCs w:val="24"/>
        </w:rPr>
        <w:t xml:space="preserve">The </w:t>
      </w:r>
      <w:r w:rsidR="00E56A12" w:rsidRPr="000F2F79">
        <w:rPr>
          <w:rFonts w:ascii="Arial" w:hAnsi="Arial" w:cs="Arial"/>
          <w:sz w:val="20"/>
          <w:szCs w:val="24"/>
        </w:rPr>
        <w:t xml:space="preserve">Low fat levels </w:t>
      </w:r>
      <w:r w:rsidR="00F41A70" w:rsidRPr="000F2F79">
        <w:rPr>
          <w:rFonts w:ascii="Arial" w:hAnsi="Arial" w:cs="Arial"/>
          <w:sz w:val="20"/>
          <w:szCs w:val="24"/>
        </w:rPr>
        <w:t>reduced</w:t>
      </w:r>
      <w:r w:rsidR="00E56A12" w:rsidRPr="000F2F79">
        <w:rPr>
          <w:rFonts w:ascii="Arial" w:hAnsi="Arial" w:cs="Arial"/>
          <w:sz w:val="20"/>
          <w:szCs w:val="24"/>
        </w:rPr>
        <w:t xml:space="preserve"> cholesterol levels</w:t>
      </w:r>
      <w:r w:rsidR="00C02B0C">
        <w:rPr>
          <w:rFonts w:ascii="Arial" w:hAnsi="Arial" w:cs="Arial"/>
          <w:sz w:val="20"/>
          <w:szCs w:val="24"/>
        </w:rPr>
        <w:t xml:space="preserve"> (</w:t>
      </w:r>
      <w:r w:rsidR="00C02B0C" w:rsidRPr="00C02B0C">
        <w:rPr>
          <w:rFonts w:ascii="Arial" w:hAnsi="Arial" w:cs="Arial"/>
          <w:i/>
          <w:sz w:val="20"/>
          <w:szCs w:val="24"/>
        </w:rPr>
        <w:t>P</w:t>
      </w:r>
      <w:r w:rsidR="00C02B0C">
        <w:rPr>
          <w:rFonts w:ascii="Arial" w:hAnsi="Arial" w:cs="Arial"/>
          <w:sz w:val="20"/>
          <w:szCs w:val="24"/>
        </w:rPr>
        <w:t xml:space="preserve"> &lt; .05)</w:t>
      </w:r>
      <w:r w:rsidR="00E56A12" w:rsidRPr="000F2F79">
        <w:rPr>
          <w:rFonts w:ascii="Arial" w:hAnsi="Arial" w:cs="Arial"/>
          <w:sz w:val="20"/>
          <w:szCs w:val="24"/>
        </w:rPr>
        <w:t xml:space="preserve">. </w:t>
      </w:r>
      <w:r w:rsidR="000D34CA" w:rsidRPr="000F2F79">
        <w:rPr>
          <w:rFonts w:ascii="Arial" w:hAnsi="Arial" w:cs="Arial"/>
          <w:sz w:val="20"/>
          <w:szCs w:val="24"/>
        </w:rPr>
        <w:t xml:space="preserve">High fibre increased ALP </w:t>
      </w:r>
      <w:r w:rsidR="00E56A12" w:rsidRPr="000F2F79">
        <w:rPr>
          <w:rFonts w:ascii="Arial" w:hAnsi="Arial" w:cs="Arial"/>
          <w:sz w:val="20"/>
          <w:szCs w:val="24"/>
        </w:rPr>
        <w:t>and Total Bilirubin</w:t>
      </w:r>
      <w:r w:rsidR="00C02B0C">
        <w:rPr>
          <w:rFonts w:ascii="Arial" w:hAnsi="Arial" w:cs="Arial"/>
          <w:sz w:val="20"/>
          <w:szCs w:val="24"/>
        </w:rPr>
        <w:t xml:space="preserve"> (</w:t>
      </w:r>
      <w:r w:rsidR="00C02B0C" w:rsidRPr="00C02B0C">
        <w:rPr>
          <w:rFonts w:ascii="Arial" w:hAnsi="Arial" w:cs="Arial"/>
          <w:i/>
          <w:sz w:val="20"/>
          <w:szCs w:val="24"/>
        </w:rPr>
        <w:t>P</w:t>
      </w:r>
      <w:r w:rsidR="00C02B0C">
        <w:rPr>
          <w:rFonts w:ascii="Arial" w:hAnsi="Arial" w:cs="Arial"/>
          <w:sz w:val="20"/>
          <w:szCs w:val="24"/>
        </w:rPr>
        <w:t xml:space="preserve"> &gt;.05)</w:t>
      </w:r>
      <w:r w:rsidR="00E56A12" w:rsidRPr="000F2F79">
        <w:rPr>
          <w:rFonts w:ascii="Arial" w:hAnsi="Arial" w:cs="Arial"/>
          <w:sz w:val="20"/>
          <w:szCs w:val="24"/>
        </w:rPr>
        <w:t xml:space="preserve">. </w:t>
      </w:r>
      <w:r w:rsidR="000D34CA" w:rsidRPr="000F2F79">
        <w:rPr>
          <w:rFonts w:ascii="Arial" w:hAnsi="Arial" w:cs="Arial"/>
          <w:sz w:val="20"/>
          <w:szCs w:val="24"/>
        </w:rPr>
        <w:t>Dietary fat did not influence liver function test after d 56 of the study</w:t>
      </w:r>
      <w:r w:rsidR="00C02B0C">
        <w:rPr>
          <w:rFonts w:ascii="Arial" w:hAnsi="Arial" w:cs="Arial"/>
          <w:sz w:val="20"/>
          <w:szCs w:val="24"/>
        </w:rPr>
        <w:t xml:space="preserve"> (</w:t>
      </w:r>
      <w:r w:rsidR="00C02B0C" w:rsidRPr="00C02B0C">
        <w:rPr>
          <w:rFonts w:ascii="Arial" w:hAnsi="Arial" w:cs="Arial"/>
          <w:i/>
          <w:sz w:val="20"/>
          <w:szCs w:val="24"/>
        </w:rPr>
        <w:t>P</w:t>
      </w:r>
      <w:r w:rsidR="00C02B0C">
        <w:rPr>
          <w:rFonts w:ascii="Arial" w:hAnsi="Arial" w:cs="Arial"/>
          <w:sz w:val="20"/>
          <w:szCs w:val="24"/>
        </w:rPr>
        <w:t xml:space="preserve"> &gt;.05)</w:t>
      </w:r>
      <w:r w:rsidR="000D34CA" w:rsidRPr="000F2F79">
        <w:rPr>
          <w:rFonts w:ascii="Arial" w:hAnsi="Arial" w:cs="Arial"/>
          <w:sz w:val="20"/>
          <w:szCs w:val="24"/>
        </w:rPr>
        <w:t>. Low levels of dietary fat and fi</w:t>
      </w:r>
      <w:r w:rsidR="00E56A12" w:rsidRPr="000F2F79">
        <w:rPr>
          <w:rFonts w:ascii="Arial" w:hAnsi="Arial" w:cs="Arial"/>
          <w:sz w:val="20"/>
          <w:szCs w:val="24"/>
        </w:rPr>
        <w:t xml:space="preserve">bre were ideal for organ health. </w:t>
      </w:r>
    </w:p>
    <w:p w14:paraId="716012B8" w14:textId="490D38B0" w:rsidR="000D34CA" w:rsidRPr="000F2F79" w:rsidRDefault="00ED5466" w:rsidP="000D18E6">
      <w:pPr>
        <w:tabs>
          <w:tab w:val="left" w:pos="0"/>
        </w:tabs>
        <w:spacing w:line="480" w:lineRule="auto"/>
        <w:rPr>
          <w:rFonts w:ascii="Arial" w:hAnsi="Arial" w:cs="Arial"/>
          <w:sz w:val="20"/>
          <w:szCs w:val="24"/>
        </w:rPr>
      </w:pPr>
      <w:r w:rsidRPr="000F2F79">
        <w:rPr>
          <w:rFonts w:ascii="Arial" w:hAnsi="Arial" w:cs="Arial"/>
          <w:b/>
          <w:sz w:val="20"/>
          <w:szCs w:val="24"/>
        </w:rPr>
        <w:t>Conclusion</w:t>
      </w:r>
      <w:r w:rsidRPr="000F2F79">
        <w:rPr>
          <w:rFonts w:ascii="Arial" w:hAnsi="Arial" w:cs="Arial"/>
          <w:sz w:val="20"/>
          <w:szCs w:val="24"/>
        </w:rPr>
        <w:t xml:space="preserve">: </w:t>
      </w:r>
      <w:r w:rsidR="00F41A70" w:rsidRPr="000F2F79">
        <w:rPr>
          <w:rFonts w:ascii="Arial" w:hAnsi="Arial" w:cs="Arial"/>
          <w:sz w:val="20"/>
          <w:szCs w:val="24"/>
        </w:rPr>
        <w:t xml:space="preserve">Overall, the findings suggest that </w:t>
      </w:r>
      <w:r w:rsidR="000D34CA" w:rsidRPr="000F2F79">
        <w:rPr>
          <w:rFonts w:ascii="Arial" w:hAnsi="Arial" w:cs="Arial"/>
          <w:sz w:val="20"/>
        </w:rPr>
        <w:t xml:space="preserve">increasing the level of fibre in the diet </w:t>
      </w:r>
      <w:r w:rsidR="00F41A70" w:rsidRPr="000F2F79">
        <w:rPr>
          <w:rFonts w:ascii="Arial" w:hAnsi="Arial" w:cs="Arial"/>
          <w:sz w:val="20"/>
        </w:rPr>
        <w:t xml:space="preserve">might </w:t>
      </w:r>
      <w:r w:rsidR="000D34CA" w:rsidRPr="000F2F79">
        <w:rPr>
          <w:rFonts w:ascii="Arial" w:hAnsi="Arial" w:cs="Arial"/>
          <w:sz w:val="20"/>
        </w:rPr>
        <w:t>mitigate some of the adverse effects of taking in high levels of saturated fats.</w:t>
      </w:r>
    </w:p>
    <w:p w14:paraId="0DBB1BDA" w14:textId="77777777" w:rsidR="00932C7F" w:rsidRPr="009E33CA" w:rsidRDefault="000D34CA" w:rsidP="000D18E6">
      <w:pPr>
        <w:tabs>
          <w:tab w:val="left" w:pos="0"/>
        </w:tabs>
        <w:spacing w:after="0" w:line="480" w:lineRule="auto"/>
        <w:ind w:left="1276" w:hanging="1276"/>
        <w:jc w:val="both"/>
        <w:rPr>
          <w:rFonts w:ascii="Arial" w:hAnsi="Arial" w:cs="Arial"/>
          <w:sz w:val="22"/>
        </w:rPr>
      </w:pPr>
      <w:r w:rsidRPr="009E33CA">
        <w:rPr>
          <w:rFonts w:ascii="Arial" w:hAnsi="Arial" w:cs="Arial"/>
          <w:b/>
          <w:sz w:val="22"/>
        </w:rPr>
        <w:lastRenderedPageBreak/>
        <w:t>Keywords</w:t>
      </w:r>
      <w:r w:rsidRPr="009E33CA">
        <w:rPr>
          <w:rFonts w:ascii="Arial" w:hAnsi="Arial" w:cs="Arial"/>
          <w:sz w:val="22"/>
        </w:rPr>
        <w:t xml:space="preserve">: </w:t>
      </w:r>
      <w:r w:rsidRPr="00E67D3A">
        <w:rPr>
          <w:rFonts w:ascii="Arial" w:hAnsi="Arial" w:cs="Arial"/>
          <w:i/>
          <w:sz w:val="20"/>
        </w:rPr>
        <w:t>Dietary fibre</w:t>
      </w:r>
      <w:r w:rsidR="000E6EA2" w:rsidRPr="00E67D3A">
        <w:rPr>
          <w:rFonts w:ascii="Arial" w:hAnsi="Arial" w:cs="Arial"/>
          <w:i/>
          <w:sz w:val="20"/>
        </w:rPr>
        <w:t xml:space="preserve"> (Corncob fibre)</w:t>
      </w:r>
      <w:r w:rsidRPr="00E67D3A">
        <w:rPr>
          <w:rFonts w:ascii="Arial" w:hAnsi="Arial" w:cs="Arial"/>
          <w:i/>
          <w:sz w:val="20"/>
        </w:rPr>
        <w:t>, Dietary fat</w:t>
      </w:r>
      <w:r w:rsidR="000E6EA2" w:rsidRPr="00E67D3A">
        <w:rPr>
          <w:rFonts w:ascii="Arial" w:hAnsi="Arial" w:cs="Arial"/>
          <w:i/>
          <w:sz w:val="20"/>
        </w:rPr>
        <w:t xml:space="preserve"> (Coconut oil), Organ histology</w:t>
      </w:r>
      <w:r w:rsidRPr="00E67D3A">
        <w:rPr>
          <w:rFonts w:ascii="Arial" w:hAnsi="Arial" w:cs="Arial"/>
          <w:i/>
          <w:sz w:val="20"/>
        </w:rPr>
        <w:t xml:space="preserve">, </w:t>
      </w:r>
      <w:r w:rsidRPr="00E67D3A">
        <w:rPr>
          <w:rFonts w:ascii="Arial" w:hAnsi="Arial" w:cs="Arial"/>
          <w:i/>
          <w:sz w:val="20"/>
          <w:szCs w:val="24"/>
        </w:rPr>
        <w:t xml:space="preserve">Albino </w:t>
      </w:r>
      <w:r w:rsidRPr="00E67D3A">
        <w:rPr>
          <w:rFonts w:ascii="Arial" w:hAnsi="Arial" w:cs="Arial"/>
          <w:i/>
          <w:sz w:val="20"/>
        </w:rPr>
        <w:t>rats, s</w:t>
      </w:r>
      <w:r w:rsidR="000E6EA2" w:rsidRPr="00E67D3A">
        <w:rPr>
          <w:rFonts w:ascii="Arial" w:hAnsi="Arial" w:cs="Arial"/>
          <w:i/>
          <w:sz w:val="20"/>
        </w:rPr>
        <w:t>erum biochemistry, haematology</w:t>
      </w:r>
      <w:r w:rsidRPr="009E33CA">
        <w:rPr>
          <w:rFonts w:ascii="Arial" w:hAnsi="Arial" w:cs="Arial"/>
          <w:sz w:val="22"/>
        </w:rPr>
        <w:t>.</w:t>
      </w:r>
    </w:p>
    <w:p w14:paraId="5E2834B6" w14:textId="77777777" w:rsidR="00932C7F" w:rsidRPr="009E33CA" w:rsidRDefault="00932C7F" w:rsidP="0083042F">
      <w:pPr>
        <w:tabs>
          <w:tab w:val="left" w:pos="0"/>
        </w:tabs>
        <w:rPr>
          <w:rFonts w:ascii="Arial" w:hAnsi="Arial" w:cs="Arial"/>
        </w:rPr>
      </w:pPr>
      <w:r w:rsidRPr="009E33CA">
        <w:rPr>
          <w:rFonts w:ascii="Arial" w:hAnsi="Arial" w:cs="Arial"/>
        </w:rPr>
        <w:br w:type="page"/>
      </w:r>
    </w:p>
    <w:p w14:paraId="477B2500" w14:textId="77777777" w:rsidR="000D34CA" w:rsidRPr="009E33CA" w:rsidRDefault="000D34CA" w:rsidP="0083042F">
      <w:pPr>
        <w:tabs>
          <w:tab w:val="left" w:pos="0"/>
        </w:tabs>
        <w:spacing w:after="0" w:line="480" w:lineRule="auto"/>
        <w:ind w:left="-567"/>
        <w:jc w:val="both"/>
        <w:rPr>
          <w:rFonts w:ascii="Arial" w:hAnsi="Arial" w:cs="Arial"/>
          <w:szCs w:val="24"/>
        </w:rPr>
        <w:sectPr w:rsidR="000D34CA" w:rsidRPr="009E33CA" w:rsidSect="00FB3D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620" w:header="720" w:footer="720" w:gutter="0"/>
          <w:pgNumType w:start="1"/>
          <w:cols w:space="720"/>
          <w:docGrid w:linePitch="360"/>
        </w:sectPr>
      </w:pPr>
    </w:p>
    <w:p w14:paraId="5A4746A4" w14:textId="46343C6E" w:rsidR="000D34CA" w:rsidRPr="00B04590" w:rsidRDefault="00957859" w:rsidP="00A444EB">
      <w:pPr>
        <w:pStyle w:val="Heading1"/>
      </w:pPr>
      <w:bookmarkStart w:id="3" w:name="_Hlk185843745"/>
      <w:r>
        <w:lastRenderedPageBreak/>
        <w:t xml:space="preserve">1.0 </w:t>
      </w:r>
      <w:r w:rsidR="00B04590" w:rsidRPr="00B04590">
        <w:t>INTRODUCTION</w:t>
      </w:r>
    </w:p>
    <w:p w14:paraId="3D5DE1D9" w14:textId="37B95C3C" w:rsidR="00F75F6C" w:rsidRPr="00B04590" w:rsidRDefault="00F75F6C" w:rsidP="00D01B88">
      <w:pPr>
        <w:tabs>
          <w:tab w:val="left" w:pos="0"/>
        </w:tabs>
        <w:spacing w:line="480" w:lineRule="auto"/>
        <w:rPr>
          <w:rFonts w:ascii="Arial" w:hAnsi="Arial" w:cs="Arial"/>
          <w:sz w:val="20"/>
          <w:szCs w:val="24"/>
        </w:rPr>
      </w:pPr>
      <w:bookmarkStart w:id="4" w:name="_Toc153348017"/>
      <w:bookmarkEnd w:id="3"/>
      <w:r w:rsidRPr="00B04590">
        <w:rPr>
          <w:rFonts w:ascii="Arial" w:hAnsi="Arial" w:cs="Arial"/>
          <w:sz w:val="20"/>
          <w:szCs w:val="24"/>
        </w:rPr>
        <w:t xml:space="preserve">The connections between diet and health have been of keen interest to researchers and dieticians, especially to understand the effects of specific dietary components on growth, haematological parameters, serum biochemistry and the health and function of vital organs. It has been emphasised by </w:t>
      </w:r>
      <w:r w:rsidR="00DC67EC">
        <w:rPr>
          <w:rFonts w:ascii="Arial" w:hAnsi="Arial" w:cs="Arial"/>
          <w:sz w:val="20"/>
          <w:szCs w:val="24"/>
        </w:rPr>
        <w:t>(1)</w:t>
      </w:r>
      <w:r w:rsidRPr="00B04590">
        <w:rPr>
          <w:rFonts w:ascii="Arial" w:hAnsi="Arial" w:cs="Arial"/>
          <w:sz w:val="20"/>
          <w:szCs w:val="24"/>
        </w:rPr>
        <w:t>, that the kind of diet an individual consumes especially regularly has an impact on the development and general well-being of the individual</w:t>
      </w:r>
      <w:r w:rsidR="00DC67EC">
        <w:rPr>
          <w:rFonts w:ascii="Arial" w:hAnsi="Arial" w:cs="Arial"/>
          <w:sz w:val="20"/>
          <w:szCs w:val="24"/>
        </w:rPr>
        <w:t>.</w:t>
      </w:r>
    </w:p>
    <w:p w14:paraId="68C55496" w14:textId="3306DA96" w:rsidR="000162A7" w:rsidRPr="00B04590" w:rsidRDefault="000D34CA" w:rsidP="00D01B88">
      <w:pPr>
        <w:tabs>
          <w:tab w:val="left" w:pos="0"/>
        </w:tabs>
        <w:spacing w:line="480" w:lineRule="auto"/>
        <w:rPr>
          <w:rFonts w:ascii="Arial" w:hAnsi="Arial" w:cs="Arial"/>
          <w:sz w:val="20"/>
          <w:szCs w:val="24"/>
        </w:rPr>
      </w:pPr>
      <w:r w:rsidRPr="00B04590">
        <w:rPr>
          <w:rFonts w:ascii="Arial" w:hAnsi="Arial" w:cs="Arial"/>
          <w:sz w:val="20"/>
          <w:szCs w:val="24"/>
        </w:rPr>
        <w:t>Diet significantly influences the development and treatment of metabolic diseases. Consuming saturated and trans fats increases the risk of adverse health conditions like dyslipidemia, non-alcoholic fatty liver disease (NAFLD), insulin insensitivity and heart diseases</w:t>
      </w:r>
      <w:r w:rsidR="00886473" w:rsidRPr="00B04590">
        <w:rPr>
          <w:rFonts w:ascii="Arial" w:hAnsi="Arial" w:cs="Arial"/>
          <w:sz w:val="20"/>
          <w:szCs w:val="24"/>
        </w:rPr>
        <w:t xml:space="preserve"> </w:t>
      </w:r>
      <w:r w:rsidRPr="00B04590">
        <w:rPr>
          <w:rFonts w:ascii="Arial" w:hAnsi="Arial" w:cs="Arial"/>
          <w:sz w:val="20"/>
          <w:szCs w:val="24"/>
        </w:rPr>
        <w:t xml:space="preserve"> </w:t>
      </w:r>
      <w:r w:rsidRPr="00B04590">
        <w:rPr>
          <w:rFonts w:ascii="Arial" w:hAnsi="Arial" w:cs="Arial"/>
          <w:sz w:val="20"/>
          <w:szCs w:val="24"/>
        </w:rPr>
        <w:fldChar w:fldCharType="begin" w:fldLock="1"/>
      </w:r>
      <w:r w:rsidR="00336615" w:rsidRPr="00B04590">
        <w:rPr>
          <w:rFonts w:ascii="Arial" w:hAnsi="Arial" w:cs="Arial"/>
          <w:sz w:val="20"/>
          <w:szCs w:val="24"/>
        </w:rPr>
        <w:instrText>ADDIN CSL_CITATION {"citationItems":[{"id":"ITEM-1","itemData":{"DOI":"10.1016/J.JACL.2021.09.049","ISSN":"1933-2874","PMID":"34649831","abstract":"A diet high in saturated fatty acids (SFA) is a suspected contributor to atherosclerotic cardiovascular disease (ASCVD) risk, in large part because of an effect to raise the low-density lipoprotein cholesterol (LDL-C) concentration. Most dietary guidance from health authorities advocates limiting intake of SFA, particularly for people with clinical ASCVD, dyslipidemia, or diabetes mellitus. However, recent reviews have highlighted controversies regarding SFA intake and cardiovascular health. This brief editorial commentary includes a discussion of the evidence regarding SFA intake and cardiovascular health, outlines gaps in the available evidence, and proposes tentative conclusions based on what is known today about SFA consumption and ASCVD risk. Results from observational studies demonstrate that dietary patterns with lower average intakes of SFA are associated with favorable cardiovascular outcomes. Additionally, although the number of randomized controlled trials testing the effects of reducing SFA intake on ASCVD outcomes is limited, the available evidence supports the view that replacing SFA with unsaturated fatty acids, particularly polyunsaturated fatty acids, may reduce ASCVD risk. Beyond raising LDL-C and atherogenic lipoprotein particle concentrations, higher intakes of SFA may influence pathways affecting inflammation, cardiac rhythm, hemostasis, apolipoprotein CIII production, and high-density lipoprotein function. However, the impacts of these effects on ASCVD risk remain uncertain. In the authors’ view, the totality of the evidence supports the current recommendation to limit SFA intake to &lt;10% of total daily energy for the general healthy population and further (e.g., to 5-6% of total daily energy) for patients with hypercholesterolemia.","author":[{"dropping-particle":"","family":"Maki","given":"Kevin C.","non-dropping-particle":"","parse-names":false,"suffix":""},{"dropping-particle":"","family":"Dicklin","given":"Mary R.","non-dropping-particle":"","parse-names":false,"suffix":""},{"dropping-particle":"","family":"Kirkpatrick","given":"Carol F.","non-dropping-particle":"","parse-names":false,"suffix":""}],"container-title":"Journal of clinical lipidology","id":"ITEM-1","issue":"6","issued":{"date-parts":[["2021","11","1"]]},"page":"765-772","publisher":"J Clin Lipidol","title":"Saturated fats and cardiovascular health: Current evidence and controversies","type":"article-journal","volume":"15"},"uris":["http://www.mendeley.com/documents/?uuid=6e38d82c-213f-32f1-8cd4-038db09ff61d"]}],"mendeley":{"formattedCitation":"(Maki et al., 2021)","plainTextFormattedCitation":"(Maki et al., 2021)","previouslyFormattedCitation":"(Maki et al., 2021)"},"properties":{"noteIndex":0},"schema":"https://github.com/citation-style-language/schema/raw/master/csl-citation.json"}</w:instrText>
      </w:r>
      <w:r w:rsidRPr="00B04590">
        <w:rPr>
          <w:rFonts w:ascii="Arial" w:hAnsi="Arial" w:cs="Arial"/>
          <w:sz w:val="20"/>
          <w:szCs w:val="24"/>
        </w:rPr>
        <w:fldChar w:fldCharType="separate"/>
      </w:r>
      <w:r w:rsidR="00763E5F" w:rsidRPr="00B04590">
        <w:rPr>
          <w:rFonts w:ascii="Arial" w:hAnsi="Arial" w:cs="Arial"/>
          <w:noProof/>
          <w:sz w:val="20"/>
          <w:szCs w:val="24"/>
        </w:rPr>
        <w:t>(</w:t>
      </w:r>
      <w:r w:rsidRPr="00B04590">
        <w:rPr>
          <w:rFonts w:ascii="Arial" w:hAnsi="Arial" w:cs="Arial"/>
          <w:sz w:val="20"/>
          <w:szCs w:val="24"/>
        </w:rPr>
        <w:fldChar w:fldCharType="end"/>
      </w:r>
      <w:r w:rsidR="00DC67EC">
        <w:rPr>
          <w:rFonts w:ascii="Arial" w:hAnsi="Arial" w:cs="Arial"/>
          <w:sz w:val="20"/>
          <w:szCs w:val="24"/>
        </w:rPr>
        <w:t>2)</w:t>
      </w:r>
      <w:r w:rsidRPr="00B04590">
        <w:rPr>
          <w:rFonts w:ascii="Arial" w:hAnsi="Arial" w:cs="Arial"/>
          <w:sz w:val="20"/>
          <w:szCs w:val="24"/>
        </w:rPr>
        <w:t xml:space="preserve">. </w:t>
      </w:r>
      <w:r w:rsidR="000162A7" w:rsidRPr="00B04590">
        <w:rPr>
          <w:rFonts w:ascii="Arial" w:hAnsi="Arial" w:cs="Arial"/>
          <w:sz w:val="20"/>
          <w:szCs w:val="24"/>
        </w:rPr>
        <w:t xml:space="preserve">The aetiology of metabolic syndrome spans from overweight or obesity, sedentary lifestyle, insulin resistance and genetic predisposition with factors such as old age, diabetes and stress increasing one’s risk </w:t>
      </w:r>
      <w:r w:rsidR="000162A7" w:rsidRPr="00B04590">
        <w:rPr>
          <w:rFonts w:ascii="Arial" w:hAnsi="Arial" w:cs="Arial"/>
          <w:sz w:val="20"/>
          <w:szCs w:val="24"/>
        </w:rPr>
        <w:fldChar w:fldCharType="begin" w:fldLock="1"/>
      </w:r>
      <w:r w:rsidR="000162A7" w:rsidRPr="00B04590">
        <w:rPr>
          <w:rFonts w:ascii="Arial" w:hAnsi="Arial" w:cs="Arial"/>
          <w:sz w:val="20"/>
          <w:szCs w:val="24"/>
        </w:rPr>
        <w:instrText>ADDIN CSL_CITATION {"citationItems":[{"id":"ITEM-1","itemData":{"PMID":"29083742","abstract":"Metabolic syndrome is an accumulation of several disorders, which together raise the risk of an individual developing atherosclerotic cardiovascular disease, insulin resistance, and diabetes mellitus, and vascular and neurological complications such as a cerebrovascular accident. Metabolic disarrangement becomes a syndrome if the patient has any three of the following: Waist circumference more than 40 inches in men and 35 inches in women. Elevated triglycerides 150 milligrams per deciliter of blood (mg/dL) or greater. Reduced high-density lipoprotein cholesterol (HDL) less than 40 mg/dL in men or less than 50 mg/dL in women. Elevated fasting glucose of l00 mg/dL or greater. Blood pressure values of systolic 130 mmHg or higher and/or diastolic 85 mmHg or higher. Metabolic syndrome has serious implications on an individual’s health and healthcare costs. It is necessary to recognize the rising prevalence of metabolic syndrome in America as through intervention the progression of the syndrome can be halted and potentially reversed.","author":[{"dropping-particle":"","family":"Swarup","given":"Supreeya","non-dropping-particle":"","parse-names":false,"suffix":""},{"dropping-particle":"","family":"Goyal","given":"Amandeep","non-dropping-particle":"","parse-names":false,"suffix":""},{"dropping-particle":"","family":"Grigorova","given":"Yulia","non-dropping-particle":"","parse-names":false,"suffix":""},{"dropping-particle":"","family":"Zeltser","given":"Roman","non-dropping-particle":"","parse-names":false,"suffix":""}],"container-title":"StatPearls","id":"ITEM-1","issued":{"date-parts":[["2022","10","24"]]},"publisher":"StatPearls Publishing","title":"Metabolic Syndrome","type":"article-journal"},"uris":["http://www.mendeley.com/documents/?uuid=77269a2b-5dd6-3ec0-a32b-d1df61b50abf"]}],"mendeley":{"formattedCitation":"(Swarup et al., 2022)","manualFormatting":"(Swarup et al., 2022)","plainTextFormattedCitation":"(Swarup et al., 2022)","previouslyFormattedCitation":"(Swarup et al., 2022)"},"properties":{"noteIndex":0},"schema":"https://github.com/citation-style-language/schema/raw/master/csl-citation.json"}</w:instrText>
      </w:r>
      <w:r w:rsidR="000162A7" w:rsidRPr="00B04590">
        <w:rPr>
          <w:rFonts w:ascii="Arial" w:hAnsi="Arial" w:cs="Arial"/>
          <w:sz w:val="20"/>
          <w:szCs w:val="24"/>
        </w:rPr>
        <w:fldChar w:fldCharType="separate"/>
      </w:r>
      <w:r w:rsidR="00DC67EC">
        <w:rPr>
          <w:rFonts w:ascii="Arial" w:hAnsi="Arial" w:cs="Arial"/>
          <w:sz w:val="20"/>
          <w:szCs w:val="24"/>
        </w:rPr>
        <w:t>(3</w:t>
      </w:r>
      <w:r w:rsidR="000162A7" w:rsidRPr="00B04590">
        <w:rPr>
          <w:rFonts w:ascii="Arial" w:hAnsi="Arial" w:cs="Arial"/>
          <w:sz w:val="20"/>
          <w:szCs w:val="24"/>
        </w:rPr>
        <w:t>)</w:t>
      </w:r>
      <w:r w:rsidR="000162A7" w:rsidRPr="00B04590">
        <w:rPr>
          <w:rFonts w:ascii="Arial" w:hAnsi="Arial" w:cs="Arial"/>
          <w:sz w:val="20"/>
          <w:szCs w:val="24"/>
        </w:rPr>
        <w:fldChar w:fldCharType="end"/>
      </w:r>
      <w:r w:rsidR="000162A7" w:rsidRPr="00B04590">
        <w:rPr>
          <w:rFonts w:ascii="Arial" w:hAnsi="Arial" w:cs="Arial"/>
          <w:sz w:val="20"/>
          <w:szCs w:val="24"/>
        </w:rPr>
        <w:t xml:space="preserve">. </w:t>
      </w:r>
    </w:p>
    <w:p w14:paraId="7DE50C49" w14:textId="44199861" w:rsidR="000162A7" w:rsidRPr="00B04590" w:rsidRDefault="000162A7" w:rsidP="00D01B88">
      <w:pPr>
        <w:tabs>
          <w:tab w:val="left" w:pos="0"/>
        </w:tabs>
        <w:spacing w:line="480" w:lineRule="auto"/>
        <w:rPr>
          <w:rFonts w:ascii="Arial" w:hAnsi="Arial" w:cs="Arial"/>
          <w:sz w:val="20"/>
          <w:szCs w:val="24"/>
        </w:rPr>
      </w:pPr>
      <w:r w:rsidRPr="00B04590">
        <w:rPr>
          <w:rFonts w:ascii="Arial" w:hAnsi="Arial" w:cs="Arial"/>
          <w:sz w:val="20"/>
          <w:szCs w:val="24"/>
        </w:rPr>
        <w:t>Metabolic syndrome (Mets) refers to a set of interconnected health complications that simultaneously increase the risk of heart disease, stroke, and type 2 diabetes. It typically includes several health issues such as hypertension, hyperglycemia, and abnormal cholesterol levels (</w:t>
      </w:r>
      <w:r w:rsidRPr="00B04590">
        <w:rPr>
          <w:rFonts w:ascii="Arial" w:hAnsi="Arial" w:cs="Arial"/>
          <w:sz w:val="20"/>
          <w:szCs w:val="24"/>
        </w:rPr>
        <w:fldChar w:fldCharType="begin" w:fldLock="1"/>
      </w:r>
      <w:r w:rsidRPr="00B04590">
        <w:rPr>
          <w:rFonts w:ascii="Arial" w:hAnsi="Arial" w:cs="Arial"/>
          <w:sz w:val="20"/>
          <w:szCs w:val="24"/>
        </w:rPr>
        <w:instrText>ADDIN CSL_CITATION {"citationItems":[{"id":"ITEM-1","itemData":{"DOI":"10.1161/ATVBAHA.107.151092","ISSN":"10795642","PMID":"18174459","abstract":"The metabolic syndrome is a multiplex risk factor that consists of several risk correlates of metabolic origin. In addition, to dyslipidemia, hypertension, and hyperglycermia, the syndrome carries ...","author":[{"dropping-particle":"","family":"Grundy","given":"Scott M.","non-dropping-particle":"","parse-names":false,"suffix":""}],"container-title":"Arteriosclerosis, Thrombosis, and Vascular Biology","id":"ITEM-1","issue":"4","issued":{"date-parts":[["2008","4","1"]]},"page":"629-636","publisher":"Lippincott Williams &amp; Wilkins","title":"Metabolic Syndrome Pandemic","type":"article-journal","volume":"28"},"uris":["http://www.mendeley.com/documents/?uuid=afd500de-35d5-3673-9f09-28d1c2502631"]},{"id":"ITEM-2","itemData":{"DOI":"10.1055/a-1263-0898","ISSN":"14393964","PMID":"33075830","abstract":"Metabolic syndrome (MetS) is a cluster of cardiometabolic risk factors with high prevalence among adult populations and elevated costs for public health systems worldwide. Despite the lack of consensus regarding the syndrome definition and diagnosis criteria, it is characterized by the coexistence of risk factors such as abdominal obesity, atherogenic dyslipidemia, elevated blood pressure, a prothrombotic and pro-inflammatory state, insulin resistance (IR), and higher glucose levels, factors indubitably linked to an increased risk of developing chronic conditions, such as type 2 diabetes (T2D) and cardiovascular disease (CVD). The syndrome has a complex and multifaceted origin not fully understood; however, it has been strongly suggested that sedentarism and unbalanced dietary patterns might play a fundamental role in its development. The purpose of this review is to provide an overview from the syndrome epidemiology, costs, and main etiological traits from its relationship with unhealthy diet patterns and sedentary lifestyles.","author":[{"dropping-particle":"","family":"Bovolini","given":"António","non-dropping-particle":"","parse-names":false,"suffix":""},{"dropping-particle":"","family":"Garcia","given":"Juliana","non-dropping-particle":"","parse-names":false,"suffix":""},{"dropping-particle":"","family":"Andrade","given":"Maria Amparo","non-dropping-particle":"","parse-names":false,"suffix":""},{"dropping-particle":"","family":"Duarte","given":"José Alberto","non-dropping-particle":"","parse-names":false,"suffix":""}],"container-title":"International Journal of Sports Medicine","id":"ITEM-2","issue":"3","issued":{"date-parts":[["2021"]]},"page":"199-214","title":"Metabolic Syndrome Pathophysiology and Predisposing Factors","type":"article-journal","volume":"42"},"uris":["http://www.mendeley.com/documents/?uuid=c4e9d783-dd34-4615-b897-c8c0bfef7056"]}],"mendeley":{"formattedCitation":"(Bovolini et al., 2021; Grundy, 2008b)","manualFormatting":"(Grundy, 2008","plainTextFormattedCitation":"(Bovolini et al., 2021; Grundy, 2008b)","previouslyFormattedCitation":"(Bovolini et al., 2021; Grundy, 2008b)"},"properties":{"noteIndex":0},"schema":"https://github.com/citation-style-language/schema/raw/master/csl-citation.json"}</w:instrText>
      </w:r>
      <w:r w:rsidRPr="00B04590">
        <w:rPr>
          <w:rFonts w:ascii="Arial" w:hAnsi="Arial" w:cs="Arial"/>
          <w:sz w:val="20"/>
          <w:szCs w:val="24"/>
        </w:rPr>
        <w:fldChar w:fldCharType="end"/>
      </w:r>
      <w:r w:rsidRPr="00B04590">
        <w:rPr>
          <w:rFonts w:ascii="Arial" w:hAnsi="Arial" w:cs="Arial"/>
          <w:sz w:val="20"/>
          <w:szCs w:val="24"/>
        </w:rPr>
        <w:fldChar w:fldCharType="begin" w:fldLock="1"/>
      </w:r>
      <w:r w:rsidRPr="00B04590">
        <w:rPr>
          <w:rFonts w:ascii="Arial" w:hAnsi="Arial" w:cs="Arial"/>
          <w:sz w:val="20"/>
          <w:szCs w:val="24"/>
        </w:rPr>
        <w:instrText>ADDIN CSL_CITATION {"citationItems":[{"id":"ITEM-1","itemData":{"DOI":"10.1186/1472-6823-12-25","ISSN":"14726823","abstract":"Background: The Metabolic syndrome (MS) which is a constellation of cardiometabolic risk factors including dyslipidaemia, hypertension, hyperglycaemia, central obesity, and endothelial dysfunction was hitherto relatively uncommon among Africans south of the Sahara. This study seeks to determine the prevalence of MS, its components and risk factors among a rural population in Ghana based on two popular international algorithms.Methods: This was a cross-sectional survey of a rural population in Ghana conducted between November and December, 2007. Two hundred and twenty-eight (228) settler farmers, families and staff associated with the GOPDC Ltd, between the ages of 35 and 64 years, were randomly selected for the study; pregnant women were excluded. The prevalence of MS was estimated using the IDF and ATPIII criteria.Results: The final subject pool included 102 males, and 104 females. The mean age of all subjects was 44.4 ± 6.9 years. The overall prevalence of MS by the IDF and ATPIII criteria were 35.9% and 15.0%, respectively, but there was an alarming female preponderance by both criteria {IDF: males = 15.7%, females =55.8%; ATPIII: males = 5.9%, females = 24.0%; sex differences p&lt;0.001 for both criteria}. The most important determinants for IDF-defined MS were central obesity (55.3%), low High Density Lipoprotein (42.7%) and high Blood Pressure (39.5%).Conclusion: The triad of central obesity, high blood pressure and low HDL were most responsible for the syndrome in this rural population. © 2012 Gyakobo et al.; licensee BioMed Central Ltd.","author":[{"dropping-particle":"","family":"Gyakobo","given":"Mawuli","non-dropping-particle":"","parse-names":false,"suffix":""},{"dropping-particle":"","family":"Amoah","given":"Albert G.B.","non-dropping-particle":"","parse-names":false,"suffix":""},{"dropping-particle":"","family":"Martey-Marbell","given":"De Anne","non-dropping-particle":"","parse-names":false,"suffix":""},{"dropping-particle":"","family":"Snow","given":"Rachel C.","non-dropping-particle":"","parse-names":false,"suffix":""}],"container-title":"BMC Endocrine Disorders","id":"ITEM-1","issued":{"date-parts":[["2012","10","30"]]},"title":"Prevalence of the metabolic syndrome in a rural population in Ghana","type":"article-journal","volume":"12"},"uris":["http://www.mendeley.com/documents/?uuid=3b1953f9-d70c-370c-802a-be7bb36874b1"]}],"mendeley":{"formattedCitation":"(Gyakobo et al., 2012)","manualFormatting":"; Gyakobo et al., 2012; Bovolini et al., 2021;)","plainTextFormattedCitation":"(Gyakobo et al., 2012)","previouslyFormattedCitation":"(Gyakobo et al., 2012)"},"properties":{"noteIndex":0},"schema":"https://github.com/citation-style-language/schema/raw/master/csl-citation.json"}</w:instrText>
      </w:r>
      <w:r w:rsidRPr="00B04590">
        <w:rPr>
          <w:rFonts w:ascii="Arial" w:hAnsi="Arial" w:cs="Arial"/>
          <w:sz w:val="20"/>
          <w:szCs w:val="24"/>
        </w:rPr>
        <w:fldChar w:fldCharType="separate"/>
      </w:r>
      <w:r w:rsidR="00DC67EC">
        <w:rPr>
          <w:rFonts w:ascii="Arial" w:hAnsi="Arial" w:cs="Arial"/>
          <w:noProof/>
          <w:sz w:val="20"/>
          <w:szCs w:val="24"/>
        </w:rPr>
        <w:t>4</w:t>
      </w:r>
      <w:r w:rsidRPr="00B04590">
        <w:rPr>
          <w:rFonts w:ascii="Arial" w:hAnsi="Arial" w:cs="Arial"/>
          <w:noProof/>
          <w:sz w:val="20"/>
          <w:szCs w:val="24"/>
        </w:rPr>
        <w:t>)</w:t>
      </w:r>
      <w:r w:rsidRPr="00B04590">
        <w:rPr>
          <w:rFonts w:ascii="Arial" w:hAnsi="Arial" w:cs="Arial"/>
          <w:sz w:val="20"/>
          <w:szCs w:val="24"/>
        </w:rPr>
        <w:fldChar w:fldCharType="end"/>
      </w:r>
      <w:r w:rsidRPr="00B04590">
        <w:rPr>
          <w:rFonts w:ascii="Arial" w:hAnsi="Arial" w:cs="Arial"/>
          <w:sz w:val="20"/>
          <w:szCs w:val="24"/>
        </w:rPr>
        <w:t>. These conditions synergistically heighten the risk of serious health problems, particularly cardiovascular complications and diabetes (</w:t>
      </w:r>
      <w:r w:rsidR="00C73FF9">
        <w:rPr>
          <w:rFonts w:ascii="Arial" w:hAnsi="Arial" w:cs="Arial"/>
          <w:sz w:val="20"/>
          <w:szCs w:val="24"/>
        </w:rPr>
        <w:t>5</w:t>
      </w:r>
      <w:r w:rsidRPr="00B04590">
        <w:rPr>
          <w:rFonts w:ascii="Arial" w:hAnsi="Arial" w:cs="Arial"/>
          <w:sz w:val="20"/>
          <w:szCs w:val="24"/>
        </w:rPr>
        <w:t xml:space="preserve">). The pervasive </w:t>
      </w:r>
      <w:r w:rsidR="006C13A1">
        <w:rPr>
          <w:rFonts w:ascii="Arial" w:hAnsi="Arial" w:cs="Arial"/>
          <w:sz w:val="20"/>
          <w:szCs w:val="24"/>
        </w:rPr>
        <w:t>occurrence</w:t>
      </w:r>
      <w:r w:rsidRPr="00B04590">
        <w:rPr>
          <w:rFonts w:ascii="Arial" w:hAnsi="Arial" w:cs="Arial"/>
          <w:sz w:val="20"/>
          <w:szCs w:val="24"/>
        </w:rPr>
        <w:t xml:space="preserve"> of metabolic syndrome has surged globally </w:t>
      </w:r>
      <w:r w:rsidR="006C13A1">
        <w:rPr>
          <w:rFonts w:ascii="Arial" w:hAnsi="Arial" w:cs="Arial"/>
          <w:sz w:val="20"/>
          <w:szCs w:val="24"/>
        </w:rPr>
        <w:t>(6 &amp; 7)</w:t>
      </w:r>
      <w:r w:rsidRPr="00B04590">
        <w:rPr>
          <w:rFonts w:ascii="Arial" w:hAnsi="Arial" w:cs="Arial"/>
          <w:sz w:val="20"/>
          <w:szCs w:val="24"/>
        </w:rPr>
        <w:fldChar w:fldCharType="begin" w:fldLock="1"/>
      </w:r>
      <w:r w:rsidRPr="00B04590">
        <w:rPr>
          <w:rFonts w:ascii="Arial" w:hAnsi="Arial" w:cs="Arial"/>
          <w:sz w:val="20"/>
          <w:szCs w:val="24"/>
        </w:rPr>
        <w:instrText>ADDIN CSL_CITATION {"citationItems":[{"id":"ITEM-1","itemData":{"DOI":"10.1016/J.DIABRES.2019.107843","ISSN":"1872-8227","PMID":"31518657","abstract":"Aims: To provide global estimates of diabetes prevalence for 2019 and projections for 2030 and 2045. Methods: A total of 255 high-quality data sources, published between 1990 and 2018 and representing 138 countries were identified. For countries without high quality in-country data, estimates were extrapolated from similar countries matched by economy, ethnicity, geography and language. Logistic regression was used to generate smoothed age-specific diabetes prevalence estimates (including previously undiagnosed diabetes) in adults aged 20–79 years. Results: The global diabetes prevalence in 2019 is estimated to be 9.3% (463 million people), rising to 10.2% (578 million) by 2030 and 10.9% (700 million) by 2045. The prevalence is higher in urban (10.8%) than rural (7.2%) areas, and in high-income (10.4%) than low-income countries (4.0%). One in two (50.1%) people living with diabetes do not know that they have diabetes. The global prevalence of impaired glucose tolerance is estimated to be 7.5% (374 million) in 2019 and projected to reach 8.0% (454 million) by 2030 and 8.6% (548 million) by 2045. Conclusions: Just under half a billion people are living with diabetes worldwide and the number is projected to increase by 25% in 2030 and 51% in 2045.","author":[{"dropping-particle":"","family":"Saeedi","given":"Pouya","non-dropping-particle":"","parse-names":false,"suffix":""},{"dropping-particle":"","family":"Petersohn","given":"Inga","non-dropping-particle":"","parse-names":false,"suffix":""},{"dropping-particle":"","family":"Salpea","given":"Paraskevi","non-dropping-particle":"","parse-names":false,"suffix":""},{"dropping-particle":"","family":"Malanda","given":"Belma","non-dropping-particle":"","parse-names":false,"suffix":""},{"dropping-particle":"","family":"Karuranga","given":"Suvi","non-dropping-particle":"","parse-names":false,"suffix":""},{"dropping-particle":"","family":"Unwin","given":"Nigel","non-dropping-particle":"","parse-names":false,"suffix":""},{"dropping-particle":"","family":"Colagiuri","given":"Stephen","non-dropping-particle":"","parse-names":false,"suffix":""},{"dropping-particle":"","family":"Guariguata","given":"Leonor","non-dropping-particle":"","parse-names":false,"suffix":""},{"dropping-particle":"","family":"Motala","given":"Ayesha A.","non-dropping-particle":"","parse-names":false,"suffix":""},{"dropping-particle":"","family":"Ogurtsova","given":"Katherine","non-dropping-particle":"","parse-names":false,"suffix":""},{"dropping-particle":"","family":"Shaw","given":"Jonathan E.","non-dropping-particle":"","parse-names":false,"suffix":""},{"dropping-particle":"","family":"Bright","given":"Dominic","non-dropping-particle":"","parse-names":false,"suffix":""},{"dropping-particle":"","family":"Williams","given":"Rhys","non-dropping-particle":"","parse-names":false,"suffix":""}],"container-title":"Diabetes research and clinical practice","id":"ITEM-1","issued":{"date-parts":[["2019","11","1"]]},"publisher":"Diabetes Res Clin Pract","title":"Global and regional diabetes prevalence estimates for 2019 and projections for 2030 and 2045: Results from the International Diabetes Federation Diabetes Atlas, 9th edition","type":"article-journal","volume":"157"},"uris":["http://www.mendeley.com/documents/?uuid=03a0e67e-3083-3d5e-8c7d-9daa5658d00e"]}],"mendeley":{"formattedCitation":"(Saeedi et al., 2019)","manualFormatting":"(Jatoi et al., 2022; Saeedi et al., 2019)","plainTextFormattedCitation":"(Saeedi et al., 2019)","previouslyFormattedCitation":"(Saeedi et al., 2019)"},"properties":{"noteIndex":0},"schema":"https://github.com/citation-style-language/schema/raw/master/csl-citation.json"}</w:instrText>
      </w:r>
      <w:r w:rsidRPr="00B04590">
        <w:rPr>
          <w:rFonts w:ascii="Arial" w:hAnsi="Arial" w:cs="Arial"/>
          <w:sz w:val="20"/>
          <w:szCs w:val="24"/>
        </w:rPr>
        <w:fldChar w:fldCharType="end"/>
      </w:r>
      <w:r w:rsidRPr="00B04590">
        <w:rPr>
          <w:rFonts w:ascii="Arial" w:hAnsi="Arial" w:cs="Arial"/>
          <w:sz w:val="20"/>
          <w:szCs w:val="24"/>
          <w:lang w:val="nl-NL"/>
        </w:rPr>
        <w:t>.</w:t>
      </w:r>
      <w:r w:rsidRPr="00B04590">
        <w:rPr>
          <w:rFonts w:ascii="Arial" w:hAnsi="Arial" w:cs="Arial"/>
          <w:sz w:val="20"/>
          <w:szCs w:val="24"/>
        </w:rPr>
        <w:t xml:space="preserve"> </w:t>
      </w:r>
      <w:r w:rsidR="006C13A1">
        <w:rPr>
          <w:rFonts w:ascii="Arial" w:hAnsi="Arial" w:cs="Arial"/>
          <w:sz w:val="20"/>
          <w:szCs w:val="24"/>
        </w:rPr>
        <w:t>T</w:t>
      </w:r>
      <w:r w:rsidRPr="00B04590">
        <w:rPr>
          <w:rFonts w:ascii="Arial" w:hAnsi="Arial" w:cs="Arial"/>
          <w:sz w:val="20"/>
          <w:szCs w:val="24"/>
        </w:rPr>
        <w:t xml:space="preserve">he prevalence of metabolic syndrome among Ghanaian diabetic patients </w:t>
      </w:r>
      <w:r w:rsidR="003D1481">
        <w:rPr>
          <w:rFonts w:ascii="Arial" w:hAnsi="Arial" w:cs="Arial"/>
          <w:sz w:val="20"/>
          <w:szCs w:val="24"/>
        </w:rPr>
        <w:t>ranges</w:t>
      </w:r>
      <w:r w:rsidRPr="00B04590">
        <w:rPr>
          <w:rFonts w:ascii="Arial" w:hAnsi="Arial" w:cs="Arial"/>
          <w:sz w:val="20"/>
          <w:szCs w:val="24"/>
        </w:rPr>
        <w:t xml:space="preserve"> from 43.3 % to 78.8 %</w:t>
      </w:r>
      <w:r w:rsidR="006C13A1">
        <w:rPr>
          <w:rFonts w:ascii="Arial" w:hAnsi="Arial" w:cs="Arial"/>
          <w:sz w:val="20"/>
          <w:szCs w:val="24"/>
        </w:rPr>
        <w:t xml:space="preserve"> (8)</w:t>
      </w:r>
      <w:r w:rsidR="006C13A1" w:rsidRPr="00B04590">
        <w:rPr>
          <w:rFonts w:ascii="Arial" w:hAnsi="Arial" w:cs="Arial"/>
          <w:sz w:val="20"/>
          <w:szCs w:val="24"/>
        </w:rPr>
        <w:t>.</w:t>
      </w:r>
    </w:p>
    <w:p w14:paraId="53200E50" w14:textId="05C9AA88" w:rsidR="005F53C8" w:rsidRPr="00B04590" w:rsidRDefault="005F53C8" w:rsidP="00D01B88">
      <w:pPr>
        <w:tabs>
          <w:tab w:val="left" w:pos="0"/>
        </w:tabs>
        <w:spacing w:line="480" w:lineRule="auto"/>
        <w:rPr>
          <w:rFonts w:ascii="Arial" w:hAnsi="Arial" w:cs="Arial"/>
          <w:sz w:val="20"/>
          <w:szCs w:val="24"/>
        </w:rPr>
      </w:pPr>
      <w:r w:rsidRPr="00B04590">
        <w:rPr>
          <w:rFonts w:ascii="Arial" w:hAnsi="Arial" w:cs="Arial"/>
          <w:sz w:val="20"/>
          <w:szCs w:val="24"/>
        </w:rPr>
        <w:t xml:space="preserve">Diets with high levels of fat </w:t>
      </w:r>
      <w:r w:rsidR="003D1481">
        <w:rPr>
          <w:rFonts w:ascii="Arial" w:hAnsi="Arial" w:cs="Arial"/>
          <w:sz w:val="20"/>
          <w:szCs w:val="24"/>
        </w:rPr>
        <w:t>have</w:t>
      </w:r>
      <w:r w:rsidRPr="00B04590">
        <w:rPr>
          <w:rFonts w:ascii="Arial" w:hAnsi="Arial" w:cs="Arial"/>
          <w:sz w:val="20"/>
          <w:szCs w:val="24"/>
        </w:rPr>
        <w:t xml:space="preserve"> been linked to numerous health issues, including obesity, cardiovascular diseases,</w:t>
      </w:r>
      <w:r w:rsidR="00F75F6C" w:rsidRPr="00B04590">
        <w:rPr>
          <w:rFonts w:ascii="Arial" w:hAnsi="Arial" w:cs="Arial"/>
          <w:sz w:val="20"/>
          <w:szCs w:val="24"/>
        </w:rPr>
        <w:t xml:space="preserve"> NAFD</w:t>
      </w:r>
      <w:r w:rsidRPr="00B04590">
        <w:rPr>
          <w:rFonts w:ascii="Arial" w:hAnsi="Arial" w:cs="Arial"/>
          <w:sz w:val="20"/>
          <w:szCs w:val="24"/>
        </w:rPr>
        <w:t xml:space="preserve"> and metabolic disorders</w:t>
      </w:r>
      <w:r w:rsidR="00F75F6C" w:rsidRPr="00B04590">
        <w:rPr>
          <w:rFonts w:ascii="Arial" w:hAnsi="Arial" w:cs="Arial"/>
          <w:sz w:val="20"/>
          <w:szCs w:val="24"/>
        </w:rPr>
        <w:t xml:space="preserve"> (9)</w:t>
      </w:r>
      <w:r w:rsidRPr="00B04590">
        <w:rPr>
          <w:rFonts w:ascii="Arial" w:hAnsi="Arial" w:cs="Arial"/>
          <w:sz w:val="20"/>
          <w:szCs w:val="24"/>
        </w:rPr>
        <w:t xml:space="preserve">. However, dietary fibre which is an essential component of a balanced diet, has some </w:t>
      </w:r>
      <w:r w:rsidR="003D1481">
        <w:rPr>
          <w:rFonts w:ascii="Arial" w:hAnsi="Arial" w:cs="Arial"/>
          <w:sz w:val="20"/>
          <w:szCs w:val="24"/>
        </w:rPr>
        <w:t>potential</w:t>
      </w:r>
      <w:r w:rsidRPr="00B04590">
        <w:rPr>
          <w:rFonts w:ascii="Arial" w:hAnsi="Arial" w:cs="Arial"/>
          <w:sz w:val="20"/>
          <w:szCs w:val="24"/>
        </w:rPr>
        <w:t xml:space="preserve"> in mitigating the adverse effects of a high-fat diet</w:t>
      </w:r>
      <w:r w:rsidR="00F75F6C" w:rsidRPr="00B04590">
        <w:rPr>
          <w:rFonts w:ascii="Arial" w:hAnsi="Arial" w:cs="Arial"/>
          <w:sz w:val="20"/>
          <w:szCs w:val="24"/>
        </w:rPr>
        <w:t xml:space="preserve"> (</w:t>
      </w:r>
      <w:r w:rsidR="003D1481">
        <w:rPr>
          <w:rFonts w:ascii="Arial" w:hAnsi="Arial" w:cs="Arial"/>
          <w:noProof/>
          <w:sz w:val="20"/>
        </w:rPr>
        <w:t>10</w:t>
      </w:r>
      <w:r w:rsidR="00F75F6C" w:rsidRPr="00B04590">
        <w:rPr>
          <w:rFonts w:ascii="Arial" w:hAnsi="Arial" w:cs="Arial"/>
          <w:noProof/>
          <w:sz w:val="20"/>
        </w:rPr>
        <w:t>)</w:t>
      </w:r>
      <w:r w:rsidRPr="00B04590">
        <w:rPr>
          <w:rFonts w:ascii="Arial" w:hAnsi="Arial" w:cs="Arial"/>
          <w:sz w:val="20"/>
          <w:szCs w:val="24"/>
        </w:rPr>
        <w:t>. This research aims to explore the role of dietary fibre in improving health outcomes and counteracting the negative impacts of high-fat consumption in humans by utilizing Albino rats as a research model</w:t>
      </w:r>
      <w:r w:rsidR="003D1481">
        <w:rPr>
          <w:rFonts w:ascii="Arial" w:hAnsi="Arial" w:cs="Arial"/>
          <w:sz w:val="20"/>
          <w:szCs w:val="24"/>
        </w:rPr>
        <w:t>.</w:t>
      </w:r>
      <w:r w:rsidRPr="00B04590">
        <w:rPr>
          <w:rFonts w:ascii="Arial" w:hAnsi="Arial" w:cs="Arial"/>
          <w:sz w:val="20"/>
          <w:szCs w:val="24"/>
        </w:rPr>
        <w:t xml:space="preserve"> </w:t>
      </w:r>
    </w:p>
    <w:p w14:paraId="7B6DF304" w14:textId="66BEB361" w:rsidR="000D34CA" w:rsidRPr="00B04590" w:rsidRDefault="000D34CA" w:rsidP="000D18E6">
      <w:pPr>
        <w:tabs>
          <w:tab w:val="left" w:pos="0"/>
        </w:tabs>
        <w:spacing w:line="480" w:lineRule="auto"/>
        <w:rPr>
          <w:rFonts w:ascii="Arial" w:hAnsi="Arial" w:cs="Arial"/>
          <w:sz w:val="20"/>
          <w:szCs w:val="24"/>
        </w:rPr>
      </w:pPr>
      <w:r w:rsidRPr="00B04590">
        <w:rPr>
          <w:rFonts w:ascii="Arial" w:hAnsi="Arial" w:cs="Arial"/>
          <w:sz w:val="20"/>
          <w:szCs w:val="24"/>
        </w:rPr>
        <w:t xml:space="preserve">While previous research works </w:t>
      </w:r>
      <w:r w:rsidRPr="00B04590">
        <w:rPr>
          <w:rFonts w:ascii="Arial" w:hAnsi="Arial" w:cs="Arial"/>
          <w:sz w:val="20"/>
          <w:szCs w:val="24"/>
        </w:rPr>
        <w:fldChar w:fldCharType="begin" w:fldLock="1"/>
      </w:r>
      <w:r w:rsidR="00B90115" w:rsidRPr="00B04590">
        <w:rPr>
          <w:rFonts w:ascii="Arial" w:hAnsi="Arial" w:cs="Arial"/>
          <w:sz w:val="20"/>
          <w:szCs w:val="24"/>
        </w:rPr>
        <w:instrText>ADDIN CSL_CITATION {"citationItems":[{"id":"ITEM-1","itemData":{"ISBN":"9798886971385","ISSN":"1024-8919","PMID":"32809726","abstract":"Dyslipidemia is maybe the most common and easily manageable risk factor for cardiovascular disease given that lipids play a vital role in atherosclerosis. Recently, rather than setting threshold values for normolipidemia, treatment with lifestyle modifications and lipid-lowering drugs after an individual cardiovascular risk assessment became the main therapeutic approach. Statins are still the essential therapy for lipid-lowering given that their benefit was shown by large studies. The choice of the type and dose of statin can be considered using cardiovascular risk assessment tools as suggested by guidelines. Addon therapy to statins may be useful when targeted lipid decrease levels are not met.","author":[{"dropping-particle":"","family":"Pappan","given":"Nikos","non-dropping-particle":"","parse-names":false,"suffix":""},{"dropping-particle":"","family":"Rehman","given":"Anis","non-dropping-particle":"","parse-names":false,"suffix":""}],"container-title":"StatPearls [Internet]","id":"ITEM-1","issued":{"date-parts":[["2023","7","10"]]},"page":"243-256","publisher":"StatPearls Publishing","title":"Dyslipidemia","type":"article-journal"},"uris":["http://www.mendeley.com/documents/?uuid=4289edd5-48bc-3421-8b0c-c16b2223706e"]},{"id":"ITEM-2","itemData":{"DOI":"10.14218/GE.2022.00006","ISSN":"1052-2166","abstract":"This study aimed to evaluate the effect of coconut oil (CO) on steatosis and oxidative stress in rats fed a high-fat diet.","author":[{"dropping-particle":"","family":"Barreto","given":"Laura Perreira","non-dropping-particle":"","parse-names":false,"suffix":""},{"dropping-particle":"","family":"Silva","given":"Raissa Yolanda de Oliveira","non-dropping-particle":"","parse-names":false,"suffix":""},{"dropping-particle":"de","family":"Almeida","given":"Bianca Bellizzi","non-dropping-particle":"","parse-names":false,"suffix":""},{"dropping-particle":"","family":"Ovídio","given":"Paula Payão","non-dropping-particle":"","parse-names":false,"suffix":""},{"dropping-particle":"","family":"Jordao","given":"Alceu Afonso","non-dropping-particle":"","parse-names":false,"suffix":""}],"container-title":"http://www.xiahepublishing.com/","id":"ITEM-2","issue":"1","issued":{"date-parts":[["2023","3","28"]]},"page":"10-18","publisher":"Xia &amp; He Publishing Inc.","title":"Metabolic Effects of Coconut Oil on Fatty Liver and Oxidative Stress Induced by a High-fat Diet in Rats","type":"article-journal","volume":"22"},"uris":["http://www.mendeley.com/documents/?uuid=a73cf30f-efde-3cf3-a5a8-ed780d773bfa"]},{"id":"ITEM-3","itemData":{"DOI":"10.3390/NU14132641","ISSN":"20726643","PMID":"35807822","abstract":"Throughout history, malnutrition and deficiency diseases have been a problem for our planet’s population. A balanced diet significantly influences everyone’s health, and fiber intake appears to play a more important role than previously thought. The natural dietary fibers are a category of carbohydrates in the constitution of plants that are not completely digested in the human intestine. High-fiber foods, such as fruits, vegetables and whole grains, have consistently been highly beneficial to health and effectively reduced the risk of disease. Although the mode of action of dietary fiber in the consumer body is not fully understood, nutritionists and health professionals unanimously recognize the therapeutic benefits. This paper presents the fiber consumption in different countries, the metabolism of fiber and the range of health benefits associated with fiber intake. In addition, the influence of fiber intake on the intestinal microbiome, metabolic diseases (obesity and diabetes), neurological aspects, cardiovascular diseases, autoimmune diseases and cancer prevention are discussed. Finally, dietary restrictions and excess fiber are addressed, which can cause episodes of diarrhea and dehydration and increase the likelihood of bloating and flatulence or even bowel obstruction. However, extensive studies are needed regarding the composition and required amount of fiber in relation to the metabolism of saprotrophic microorganisms from the enteral level and the benefits of the various pathologies with which they can be correlated.","author":[{"dropping-particle":"","family":"Ioniță-Mîndrican","given":"Corina Bianca","non-dropping-particle":"","parse-names":false,"suffix":""},{"dropping-particle":"","family":"Ziani","given":"Khaled","non-dropping-particle":"","parse-names":false,"suffix":""},{"dropping-particle":"","family":"Mititelu","given":"Magdalena","non-dropping-particle":"","parse-names":false,"suffix":""},{"dropping-particle":"","family":"Oprea","given":"Eliza","non-dropping-particle":"","parse-names":false,"suffix":""},{"dropping-particle":"","family":"Neacșu","given":"Sorinel Marius","non-dropping-particle":"","parse-names":false,"suffix":""},{"dropping-particle":"","family":"Moroșan","given":"Elena","non-dropping-particle":"","parse-names":false,"suffix":""},{"dropping-particle":"","family":"Dumitrescu","given":"Denisa Elena","non-dropping-particle":"","parse-names":false,"suffix":""},{"dropping-particle":"","family":"Roșca","given":"Adrian Cosmin","non-dropping-particle":"","parse-names":false,"suffix":""},{"dropping-particle":"","family":"Drăgănescu","given":"Doina","non-dropping-particle":"","parse-names":false,"suffix":""},{"dropping-particle":"","family":"Negrei","given":"Carolina","non-dropping-particle":"","parse-names":false,"suffix":""}],"container-title":"Nutrients","id":"ITEM-3","issue":"13","issued":{"date-parts":[["2022","7","1"]]},"publisher":"Multidisciplinary Digital Publishing Institute  (MDPI)","title":"Therapeutic Benefits and Dietary Restrictions of Fiber Intake: A State of the Art Review","type":"article-journal","volume":"14"},"uris":["http://www.mendeley.com/documents/?uuid=411bbf72-8a48-31d1-8b2a-c1fba8b7051f"]},{"id":"ITEM-4","itemData":{"DOI":"10.1016/J.JCM.2017.11.002","ISSN":"15563707","PMID":"29628808","abstract":"Objective: The purpose of this study was to review previously published meta-analyses on the effectiveness of dietary fiber on type 2 diabetes. Methods: An umbrella review of all published meta-analyses was performed. A PubMed search from January 1, 1980, to April 30, 2017, was conducted using the following search strategy: (fiber OR glucan OR psyllium) AND (meta-analysis OR systematic review). Only English-language publications that provided quantitative statistical analysis on type 2 diabetes, fasting blood glucose concentrations, or glycosylated hemoglobin were retrieved. Results: Sixteen meta-analyses were retrieved for inclusion in this umbrella review. In the meta-analyses comparing highest versus lowest dietary fiber intake, there was a statistically significant reduction in the relative risk (RR) of type 2 diabetes (RR = 0.81-0.85), with the greatest benefit coming from cereal fibers (RR = 0.67-0.87). However, statistically significant heterogeneity was observed in all of these meta-analyses. In the meta-analyses of supplementation studies using β-glucan or psyllium fibers on type 2 diabetic participants, statistically significant reductions were identified in both fasting blood glucose concentrations and glycosylated hemoglobin percentages. Conclusion: This review suggests that those consuming the highest amounts of dietary fiber, especially cereal fiber, may benefit from a reduction in the incidence of developing type 2 diabetes. There also appears to be a small reduction in fasting blood glucose concentration, as well as a small reduction in glycosylated hemoglobin percentage for individuals with type 2 diabetes who add β-glucan or psyllium to their daily dietary intake.","author":[{"dropping-particle":"","family":"McRae","given":"Marc P.","non-dropping-particle":"","parse-names":false,"suffix":""}],"container-title":"Journal of Chiropractic Medicine","id":"ITEM-4","issue":"1","issued":{"date-parts":[["2018","3","1"]]},"page":"44","publisher":"Elsevier","title":"Dietary Fiber Intake and Type 2 Diabetes Mellitus: An Umbrella Review of Meta-analyses","type":"article-journal","volume":"17"},"uris":["http://www.mendeley.com/documents/?uuid=4563b4db-b0f5-3353-86e9-942119e89642"]},{"id":"ITEM-5","itemData":{"DOI":"10.1093/aje/kwu257","ISSN":"14766256","PMID":"25552267","abstract":"Although in vitro and in vivo experiments have suggested that dietary fiber might have beneficial effects on health, results on the association between fiber intake and all-cause mortality in epidemiologic studies have been inconsistent. Therefore, we conducted a meta-analysis of prospective cohort studies to quantitatively assess this association. Pertinent studies were identified by searching articles in PubMed and Web of Knowledge through May 2014 and reviewing the reference lists of the retrieved articles. Study-specific risk estimates were combined using random-effects models. Seventeen prospective studies (1997-2014) that had a total of 67,260 deaths and 982,411 cohort members were included. When comparing persons with dietary fiber intakes in the top tertile with persons whose intakes were in the bottom tertile, we found a statistically significant inverse association between fiber intake and all-cause mortality, with an overall relative risk of 0.84 (95% confidence interval: 0.80, 0.87; I2 = 41.2%). There was a 10% reduction in risk for per each 10-g/day increase in fiber intake (relative risk = 0.90; 95% confidence interval: 0.86, 0.94; I2 = 77.2%). The combined estimate was robust across subgroup and sensitivity analyses. No publication bias was detected. A higher dietary fiber intake was associated with a reduced risk of death. These findings suggest that fiber intake may offer a potential public health benefit in reducing all-cause mortality.","author":[{"dropping-particle":"","family":"Yang","given":"Yang","non-dropping-particle":"","parse-names":false,"suffix":""},{"dropping-particle":"","family":"Zhao","given":"Long Gang","non-dropping-particle":"","parse-names":false,"suffix":""},{"dropping-particle":"","family":"Wu","given":"Qi Jun","non-dropping-particle":"","parse-names":false,"suffix":""},{"dropping-particle":"","family":"Ma","given":"Xiao","non-dropping-particle":"","parse-names":false,"suffix":""},{"dropping-particle":"","family":"Xiang","given":"Yong Bing","non-dropping-particle":"","parse-names":false,"suffix":""}],"container-title":"American Journal of Epidemiology","id":"ITEM-5","issue":"2","issued":{"date-parts":[["2015","1","15"]]},"page":"83-91","publisher":"Am J Epidemiol","title":"Association between dietary fiber and lower risk of all-cause mortality: A meta-analysis of cohort studies","type":"article-journal","volume":"181"},"uris":["http://www.mendeley.com/documents/?uuid=34945acc-ec5d-397d-a535-63379a86f0f4"]},{"id":"ITEM-6","itemData":{"DOI":"10.3945/AN.116.013219","ISSN":"2156-5376","PMID":"28140328","abstract":"Increased dietary fiber (DF) intake elicits a wide range of physiologic effects, not just locally in the gut, but systemically. DFs can greatly alter the gut milieu by affecting the gut microbiome, which in turn influences the gut barrier, gastrointestinal immune and endocrine responses, and nitrogen cycling and microbial metabolism. These gut-associated changes can then alter the physiology and biochemistry of the body's other main nutrient management and detoxification organs, the liver and kidneys. The molecular mechanisms by which DF alters the physiology of the gut, liver, and kidneys is likely through gut-localized events (i.e., bacterial nitrogen metabolism, microbe-microbe, and microbe-host cell interactions) coupled with specific factors that emanate from the gut in response to DF, which signal to or affect the physiology of the liver and kidneys. The latter may include microbe-derived xenometabolites, peptides, or bioactive food components made available by gut microbes, inflammation signals, and gut hormones. The intent of this review is to summarize how DF alters the gut milieu to specifically affect intestinal, liver, and kidney functions and to discuss the potential local and systemic signaling networks that are involved.","author":[{"dropping-particle":"","family":"Kieffer","given":"Dorothy A.","non-dropping-particle":"","parse-names":false,"suffix":""},{"dropping-particle":"","family":"Martin","given":"Roy J.","non-dropping-particle":"","parse-names":false,"suffix":""},{"dropping-particle":"","family":"Adams","given":"Sean H.","non-dropping-particle":"","parse-names":false,"suffix":""}],"container-title":"Advances in nutrition (Bethesda, Md.)","id":"ITEM-6","issue":"6","issued":{"date-parts":[["2016"]]},"page":"1111-1121","publisher":"Adv Nutr","title":"Impact of Dietary Fibers on Nutrient Management and Detoxification Organs: Gut, Liver, and Kidneys","type":"article-journal","volume":"7"},"uris":["http://www.mendeley.com/documents/?uuid=f06ac23f-2622-304c-953c-dcc39d97b07b"]},{"id":"ITEM-7","itemData":{"DOI":"10.3382/PS.2009-00179","ISSN":"0032-5791","PMID":"19903955","abstract":"The influence of fiber source and dietary fat level on digestive traits and productive performance was studied in broilers from 1 to 21 d of age. There were 6 treatments arranged factorially with 3 sources of fiber (none; 3% oat hulls, OH; and 3% sugar beet pulp, SBP) and 2 fat sources (5% soybean oil, SO; and 5% yellow grease, YG). Each treatment was replicated 6 times and the experimental unit was a cage with 18 broilers. Fiber inclusion improved BW gain (P ≤ 0.05) and feed:gain ratio (P ≤ 0.001) and increased total tract apparent retention (TTAR) of all nutrients measured (P ≤ 0.001). The increases observed in TTAR of nitrogen and ether extract and on AMEn of the diet were more pronounced with OH than with SBP. The increases in nutrient digestibility with OH inclusion were higher at excreta than at ileal level and in fact, SBP inclusion reduced the apparent ileal digestibility of most nutrients. The relative weight (%) of the gizzard was increased (P ≤ 0.001) and the pH of its contents was reduced (P ≤ 0.001) when additional fiber was included in the diet. The TTAR of nutrients was higher for the SO than for the YG diets (P ≤ 0.001). Also, the increases in ether extract digestibility (P ≤ 0.05) and AMEn (P ≤ 0.05) of the diet with fiber inclusion were more pronounced with the YG than with the SO. Therefore, the inclusion of moderate amounts of fiber in the diet might improve performance and nutrient digestibility in young chicks, especially when saturated fats are used. © 2009 Poultry Science Association Inc.","author":[{"dropping-particle":"","family":"Jiménez-Moreno","given":"E.","non-dropping-particle":"","parse-names":false,"suffix":""},{"dropping-particle":"","family":"González-Alvarado","given":"J. M.","non-dropping-particle":"","parse-names":false,"suffix":""},{"dropping-particle":"","family":"González-Serrano","given":"A.","non-dropping-particle":"","parse-names":false,"suffix":""},{"dropping-particle":"","family":"Lázaro","given":"R.","non-dropping-particle":"","parse-names":false,"suffix":""},{"dropping-particle":"","family":"Mateos","given":"G. G.","non-dropping-particle":"","parse-names":false,"suffix":""}],"container-title":"Poultry Science","id":"ITEM-7","issue":"12","issued":{"date-parts":[["2009","12","1"]]},"page":"2562-2574","publisher":"Elsevier","title":"Effect of dietary fiber and fat on performance and digestive traits of broilers from one to twenty-one days of age","type":"article-journal","volume":"88"},"uris":["http://www.mendeley.com/documents/?uuid=e394ad04-23ff-379a-a168-470ca49ed3ed"]}],"mendeley":{"formattedCitation":"(Barreto et al., 2023; Ioniță-Mîndrican et al., 2022; Jiménez-Moreno et al., 2009; Kieffer et al., 2016; McRae, 2018; Pappan &amp; Rehman, 2023; Yang et al., 2015)","manualFormatting":"(Barreto et al., 2023; Ioniță-Mîndrican et al., 2022; Jiménez-Moreno et al., 2009; Kieffer et al., 2016)","plainTextFormattedCitation":"(Barreto et al., 2023; Ioniță-Mîndrican et al., 2022; Jiménez-Moreno et al., 2009; Kieffer et al., 2016; McRae, 2018; Pappan &amp; Rehman, 2023; Yang et al., 2015)","previouslyFormattedCitation":"(Barreto et al., 2023; Ioniță-Mîndrican et al., 2022; Jiménez-Moreno et al., 2009; Kieffer et al., 2016; McRae, 2018; Pappan &amp; Rehman, 2023; Yang et al., 2015)"},"properties":{"noteIndex":0},"schema":"https://github.com/citation-style-language/schema/raw/master/csl-citation.json"}</w:instrText>
      </w:r>
      <w:r w:rsidRPr="00B04590">
        <w:rPr>
          <w:rFonts w:ascii="Arial" w:hAnsi="Arial" w:cs="Arial"/>
          <w:sz w:val="20"/>
          <w:szCs w:val="24"/>
        </w:rPr>
        <w:fldChar w:fldCharType="separate"/>
      </w:r>
      <w:r w:rsidR="00763E5F" w:rsidRPr="00B04590">
        <w:rPr>
          <w:rFonts w:ascii="Arial" w:hAnsi="Arial" w:cs="Arial"/>
          <w:noProof/>
          <w:sz w:val="20"/>
          <w:szCs w:val="24"/>
        </w:rPr>
        <w:t>(</w:t>
      </w:r>
      <w:r w:rsidR="003D1481">
        <w:rPr>
          <w:rFonts w:ascii="Arial" w:hAnsi="Arial" w:cs="Arial"/>
          <w:noProof/>
          <w:sz w:val="20"/>
          <w:szCs w:val="24"/>
        </w:rPr>
        <w:t>11,12,</w:t>
      </w:r>
      <w:r w:rsidR="00AE1331">
        <w:rPr>
          <w:rFonts w:ascii="Arial" w:hAnsi="Arial" w:cs="Arial"/>
          <w:noProof/>
          <w:sz w:val="20"/>
          <w:szCs w:val="24"/>
        </w:rPr>
        <w:t xml:space="preserve"> </w:t>
      </w:r>
      <w:r w:rsidR="003D1481">
        <w:rPr>
          <w:rFonts w:ascii="Arial" w:hAnsi="Arial" w:cs="Arial"/>
          <w:noProof/>
          <w:sz w:val="20"/>
          <w:szCs w:val="24"/>
        </w:rPr>
        <w:t>13 &amp; 14</w:t>
      </w:r>
      <w:r w:rsidR="00763E5F" w:rsidRPr="00B04590">
        <w:rPr>
          <w:rFonts w:ascii="Arial" w:hAnsi="Arial" w:cs="Arial"/>
          <w:noProof/>
          <w:sz w:val="20"/>
          <w:szCs w:val="24"/>
        </w:rPr>
        <w:t>)</w:t>
      </w:r>
      <w:r w:rsidRPr="00B04590">
        <w:rPr>
          <w:rFonts w:ascii="Arial" w:hAnsi="Arial" w:cs="Arial"/>
          <w:sz w:val="20"/>
          <w:szCs w:val="24"/>
        </w:rPr>
        <w:fldChar w:fldCharType="end"/>
      </w:r>
      <w:r w:rsidRPr="00B04590">
        <w:rPr>
          <w:rFonts w:ascii="Arial" w:hAnsi="Arial" w:cs="Arial"/>
          <w:sz w:val="20"/>
          <w:szCs w:val="24"/>
        </w:rPr>
        <w:t xml:space="preserve"> have investigated the individual effects of dietary fat or fibre on metabolic health, there remains a notable gap in understanding their interactive effects, </w:t>
      </w:r>
      <w:r w:rsidRPr="00B04590">
        <w:rPr>
          <w:rFonts w:ascii="Arial" w:hAnsi="Arial" w:cs="Arial"/>
          <w:sz w:val="20"/>
          <w:szCs w:val="24"/>
        </w:rPr>
        <w:lastRenderedPageBreak/>
        <w:t xml:space="preserve">particularly in animal models such as Albino rats. Very few literature works </w:t>
      </w:r>
      <w:r w:rsidRPr="00B04590">
        <w:rPr>
          <w:rFonts w:ascii="Arial" w:hAnsi="Arial" w:cs="Arial"/>
          <w:sz w:val="20"/>
          <w:szCs w:val="24"/>
        </w:rPr>
        <w:fldChar w:fldCharType="begin" w:fldLock="1"/>
      </w:r>
      <w:r w:rsidR="00257AD2" w:rsidRPr="00B04590">
        <w:rPr>
          <w:rFonts w:ascii="Arial" w:hAnsi="Arial" w:cs="Arial"/>
          <w:sz w:val="20"/>
          <w:szCs w:val="24"/>
        </w:rPr>
        <w:instrText>ADDIN CSL_CITATION {"citationItems":[{"id":"ITEM-1","itemData":{"DOI":"10.1186/s40168-020-0791-6","ISSN":"20492618","abstract":"Background: Dietary effects on the gut microbiome play key roles in the pathophysiology of inflammatory disorders, metabolic syndrome, obesity, and behavioral dysregulation. Often overlooked in such studies is the consideration that experimental diets vary significantly in the proportion and source of their dietary fiber. Commonly, treatment comparisons are made between animals fed a purchased refined diet that lacks soluble fiber and animals fed a standard vivarium-provided chow diet that contains a rich source of soluble fiber. Despite the well-established critical role of soluble fiber as the source of short chain fatty acid production via the gut microbiome, the extent to which measured outcomes are driven by differences in dietary fiber is unclear. Further, the interaction between sex and age in response to dietary transition is likely important and should also be considered. Results: We compared the impact of transitioning young adult and 1-year aged male and female mice from their standard chow diet to a refined low soluble fiber diet on gut microbiota community composition. Then, to determine the contribution of dietary fat, we also examined the impact of transitioning a subset of animals from refined low-fat to refined high-fat diet. We used a serial sampling strategy coupled with 16S rRNA marker gene sequencing to examine consequences of recurrent dietary switching on gut microbiota community dynamics. Analysis revealed that the transition from a chow diet to a refined diet that lacks soluble fiber accounted for most of the variance in community structure, diversity, and composition across all groups. This dietary transition was characterized by a loss of taxa within the phylum Bacteroidetes and expansion of Clostridia and Proteobacteria in a sex- and age-specific manner. Most notably, no changes to gut microbiota community structure and composition were observed between mice consuming either refined low- or high-fat diet, suggesting that transition to the refined diet that lacks soluble fiber is the primary driver of gut microbiota alterations, with limited additional impact of dietary fat on gut microbiota. Conclusion: Collectively, our results show that the choice of control diet has a significant impact on outcomes and interpretation related to diet effects on gut microbiota. As the reduction of soluble fiber may influence synthesis of microbial metabolites that are important for regulating metabolic, immune, behavioral, and neurobiologica…","author":[{"dropping-particle":"","family":"Morrison","given":"Kathleen E.","non-dropping-particle":"","parse-names":false,"suffix":""},{"dropping-particle":"","family":"Jašarević","given":"Eldin","non-dropping-particle":"","parse-names":false,"suffix":""},{"dropping-particle":"","family":"Howard","given":"Christopher D.","non-dropping-particle":"","parse-names":false,"suffix":""},{"dropping-particle":"","family":"Bale","given":"Tracy L.","non-dropping-particle":"","parse-names":false,"suffix":""}],"container-title":"Microbiome","id":"ITEM-1","issue":"1","issued":{"date-parts":[["2020"]]},"title":"It's the fiber, not the fat: Significant effects of dietary challenge on the gut microbiome","type":"article-journal","volume":"8"},"uris":["http://www.mendeley.com/documents/?uuid=ddc4cc97-cd9c-3cb3-add1-8f182b90332a"]},{"id":"ITEM-2","itemData":{"DOI":"10.2337/diacare.14.9.774","ISSN":"01495992","PMID":"1959471","abstract":"The dietary treatment of individuals with diabetes remains a controversial issue. The major emphasis in recent years has been on the reduction of total fat and saturated fat and replacement with complex carbohydrate. The rationale for this approach is based on the premise that such diets will reduce the risk of coronary artery disease (CAD) by reducing total and low-density lipoprotein cholesterol concentrations. In this article, we review the available data and conclude that there is little evidence to support the notion that low-fat high-carbohydrate diets per se lead to any reduction in the risk for CAD in individuals with diabetes. The only data indicating that low-fat high-carbohydrate diets lead to beneficial effects on carbohydrate and lipoprotein metabolism are confounded either by the lack of suitable experimental control, by the fact that diets also differed in the type of dietary fat and amount of dietary cholesterol, or were enormously enriched in dietary fiber. When these factors are taken into consideration, there appears to be little evidence in support of the view that substituting carbohydrate for fat in the diets of individuals with diabetes results in any measurable beneficial effect. Indeed, it could be argued that the most characteristic defects in carbohydrate and lipoprotein metabolism are exacerbated in response to low-fat high-carbohydrate diets. Alternatively, the data presented herein strongly suggest that diets containing conventional quantities of fat, in which saturated fat is replaced by unsaturated fat and dietary cholesterol reduced, would result in the desired reductions to total and low-density lipoprotein cholesterol concentrations without the adverse effects of increased postprandial glucose and insulin concentrations, increased fasting and postprandial total and very-low-density lipoprotein triglyceride concentrations, and decreased fasting high-density lipoprotein cholesterol concentrations.","author":[{"dropping-particle":"","family":"Hollenbeck","given":"C. B.","non-dropping-particle":"","parse-names":false,"suffix":""},{"dropping-particle":"","family":"Coulston","given":"A. M.","non-dropping-particle":"","parse-names":false,"suffix":""}],"container-title":"Diabetes Care","id":"ITEM-2","issue":"9","issued":{"date-parts":[["1991"]]},"page":"774-785","title":"Effects of dietary carbohydrate and fat intake on glucose and lipoprotein metabolism in individuals with diabetes mellitus","type":"article-journal","volume":"14"},"uris":["http://www.mendeley.com/documents/?uuid=6176d3e6-a97a-35ea-b0de-c6d0fdf4331a"]},{"id":"ITEM-3","itemData":{"author":[{"dropping-particle":"","family":"Jackson","given":"Carlton D","non-dropping-particle":"","parse-names":false,"suffix":""},{"dropping-particle":"","family":"Weis","given":"Constance","non-dropping-particle":"","parse-names":false,"suffix":""},{"dropping-particle":"","family":"Poirier","given":"Lionel A","non-dropping-particle":"","parse-names":false,"suffix":""},{"dropping-particle":"","family":"Bechtel","given":"David H","non-dropping-particle":"","parse-names":false,"suffix":""}],"id":"ITEM-3","issue":"10","issued":{"date-parts":[["1996"]]},"page":"1735-1747","title":"Interactions of Varying Levels of Dietary Fat, Carbohydrate, and Fiber on Food Consumption and Utilization, Weight Gain and Fecal Fat Contents in Female Sprague-Dawley Rats","type":"article-journal","volume":"16"},"uris":["http://www.mendeley.com/documents/?uuid=e17fa822-64a7-4a83-895c-241983e771d3"]},{"id":"ITEM-4","itemData":{"DOI":"10.3382/PS.2009-00179","ISSN":"0032-5791","PMID":"19903955","abstract":"The influence of fiber source and dietary fat level on digestive traits and productive performance was studied in broilers from 1 to 21 d of age. There were 6 treatments arranged factorially with 3 sources of fiber (none; 3% oat hulls, OH; and 3% sugar beet pulp, SBP) and 2 fat sources (5% soybean oil, SO; and 5% yellow grease, YG). Each treatment was replicated 6 times and the experimental unit was a cage with 18 broilers. Fiber inclusion improved BW gain (P ≤ 0.05) and feed:gain ratio (P ≤ 0.001) and increased total tract apparent retention (TTAR) of all nutrients measured (P ≤ 0.001). The increases observed in TTAR of nitrogen and ether extract and on AMEn of the diet were more pronounced with OH than with SBP. The increases in nutrient digestibility with OH inclusion were higher at excreta than at ileal level and in fact, SBP inclusion reduced the apparent ileal digestibility of most nutrients. The relative weight (%) of the gizzard was increased (P ≤ 0.001) and the pH of its contents was reduced (P ≤ 0.001) when additional fiber was included in the diet. The TTAR of nutrients was higher for the SO than for the YG diets (P ≤ 0.001). Also, the increases in ether extract digestibility (P ≤ 0.05) and AMEn (P ≤ 0.05) of the diet with fiber inclusion were more pronounced with the YG than with the SO. Therefore, the inclusion of moderate amounts of fiber in the diet might improve performance and nutrient digestibility in young chicks, especially when saturated fats are used. © 2009 Poultry Science Association Inc.","author":[{"dropping-particle":"","family":"Jiménez-Moreno","given":"E.","non-dropping-particle":"","parse-names":false,"suffix":""},{"dropping-particle":"","family":"González-Alvarado","given":"J. M.","non-dropping-particle":"","parse-names":false,"suffix":""},{"dropping-particle":"","family":"González-Serrano","given":"A.","non-dropping-particle":"","parse-names":false,"suffix":""},{"dropping-particle":"","family":"Lázaro","given":"R.","non-dropping-particle":"","parse-names":false,"suffix":""},{"dropping-particle":"","family":"Mateos","given":"G. G.","non-dropping-particle":"","parse-names":false,"suffix":""}],"container-title":"Poultry Science","id":"ITEM-4","issue":"12","issued":{"date-parts":[["2009","12","1"]]},"page":"2562-2574","publisher":"Elsevier","title":"Effect of dietary fiber and fat on performance and digestive traits of broilers from one to twenty-one days of age","type":"article-journal","volume":"88"},"uris":["http://www.mendeley.com/documents/?uuid=e394ad04-23ff-379a-a168-470ca49ed3ed"]}],"mendeley":{"formattedCitation":"(Hollenbeck &amp; Coulston, 1991; Jackson et al., 1996; Jiménez-Moreno et al., 2009; Morrison et al., 2020)","manualFormatting":"(Jiménez-Moreno et al., 2009; Morrison et al., 2020)","plainTextFormattedCitation":"(Hollenbeck &amp; Coulston, 1991; Jackson et al., 1996; Jiménez-Moreno et al., 2009; Morrison et al., 2020)","previouslyFormattedCitation":"(Hollenbeck &amp; Coulston, 1991; Jackson et al., 1996; Jiménez-Moreno et al., 2009; Morrison et al., 2020)"},"properties":{"noteIndex":0},"schema":"https://github.com/citation-style-language/schema/raw/master/csl-citation.json"}</w:instrText>
      </w:r>
      <w:r w:rsidRPr="00B04590">
        <w:rPr>
          <w:rFonts w:ascii="Arial" w:hAnsi="Arial" w:cs="Arial"/>
          <w:sz w:val="20"/>
          <w:szCs w:val="24"/>
        </w:rPr>
        <w:fldChar w:fldCharType="separate"/>
      </w:r>
      <w:r w:rsidR="00257AD2" w:rsidRPr="00B04590">
        <w:rPr>
          <w:rFonts w:ascii="Arial" w:hAnsi="Arial" w:cs="Arial"/>
          <w:noProof/>
          <w:sz w:val="20"/>
          <w:szCs w:val="24"/>
        </w:rPr>
        <w:t>(</w:t>
      </w:r>
      <w:r w:rsidR="00142118">
        <w:rPr>
          <w:rFonts w:ascii="Arial" w:hAnsi="Arial" w:cs="Arial"/>
          <w:noProof/>
          <w:sz w:val="20"/>
          <w:szCs w:val="24"/>
        </w:rPr>
        <w:t>13 &amp; 15</w:t>
      </w:r>
      <w:r w:rsidR="00763E5F" w:rsidRPr="00B04590">
        <w:rPr>
          <w:rFonts w:ascii="Arial" w:hAnsi="Arial" w:cs="Arial"/>
          <w:noProof/>
          <w:sz w:val="20"/>
          <w:szCs w:val="24"/>
        </w:rPr>
        <w:t>)</w:t>
      </w:r>
      <w:r w:rsidRPr="00B04590">
        <w:rPr>
          <w:rFonts w:ascii="Arial" w:hAnsi="Arial" w:cs="Arial"/>
          <w:sz w:val="20"/>
          <w:szCs w:val="24"/>
        </w:rPr>
        <w:fldChar w:fldCharType="end"/>
      </w:r>
      <w:r w:rsidRPr="00B04590">
        <w:rPr>
          <w:rFonts w:ascii="Arial" w:hAnsi="Arial" w:cs="Arial"/>
          <w:sz w:val="20"/>
          <w:szCs w:val="24"/>
        </w:rPr>
        <w:t xml:space="preserve"> delved into the interactive effects of fat and fibre. However, none of these research comprehensively analyzed the impact of variable dietary fat and fibre levels to examine their interactive effects on growth, haematology, serum biochemistry, and organ histology in their research models. </w:t>
      </w:r>
    </w:p>
    <w:p w14:paraId="4410E0CE" w14:textId="125B23CB" w:rsidR="000D34CA" w:rsidRPr="00B04590" w:rsidRDefault="000D34CA" w:rsidP="000D18E6">
      <w:pPr>
        <w:tabs>
          <w:tab w:val="left" w:pos="0"/>
        </w:tabs>
        <w:spacing w:line="480" w:lineRule="auto"/>
        <w:rPr>
          <w:rFonts w:ascii="Arial" w:hAnsi="Arial" w:cs="Arial"/>
          <w:sz w:val="20"/>
          <w:szCs w:val="24"/>
        </w:rPr>
      </w:pPr>
      <w:r w:rsidRPr="00B04590">
        <w:rPr>
          <w:rFonts w:ascii="Arial" w:hAnsi="Arial" w:cs="Arial"/>
          <w:sz w:val="20"/>
          <w:szCs w:val="24"/>
        </w:rPr>
        <w:t xml:space="preserve">Moreover, while existing studies have employed various animal models to address the adverse impacts of dietary fat, there remains a gap in exploring dietary fibre as </w:t>
      </w:r>
      <w:r w:rsidR="0094474A">
        <w:rPr>
          <w:rFonts w:ascii="Arial" w:hAnsi="Arial" w:cs="Arial"/>
          <w:sz w:val="20"/>
          <w:szCs w:val="24"/>
        </w:rPr>
        <w:t xml:space="preserve">a </w:t>
      </w:r>
      <w:r w:rsidRPr="00B04590">
        <w:rPr>
          <w:rFonts w:ascii="Arial" w:hAnsi="Arial" w:cs="Arial"/>
          <w:sz w:val="20"/>
          <w:szCs w:val="24"/>
        </w:rPr>
        <w:t>potential</w:t>
      </w:r>
      <w:r w:rsidR="00B90115" w:rsidRPr="00B04590">
        <w:rPr>
          <w:rFonts w:ascii="Arial" w:hAnsi="Arial" w:cs="Arial"/>
          <w:sz w:val="20"/>
          <w:szCs w:val="24"/>
        </w:rPr>
        <w:t xml:space="preserve"> remedy</w:t>
      </w:r>
      <w:r w:rsidRPr="00B04590">
        <w:rPr>
          <w:rFonts w:ascii="Arial" w:hAnsi="Arial" w:cs="Arial"/>
          <w:sz w:val="20"/>
          <w:szCs w:val="24"/>
        </w:rPr>
        <w:t xml:space="preserve">. This study aims to investigate the interactive physiological responses elicited by two levels of dietary fat and fibre in male Albino rats and assess the extent to which dietary fibre can mitigate the adverse effects of dietary fat. Thus, it was hypothesized in this study that high dietary fibre intake would mitigate the adverse effects of high-fat consumption on body weight, haematological parameters, serum biochemistry, and histological features of the liver, heart, and kidney in Albino rats. </w:t>
      </w:r>
      <w:r w:rsidR="005F53C8" w:rsidRPr="00B04590">
        <w:rPr>
          <w:rFonts w:ascii="Arial" w:hAnsi="Arial" w:cs="Arial"/>
          <w:sz w:val="20"/>
          <w:szCs w:val="24"/>
        </w:rPr>
        <w:t xml:space="preserve">Understanding the impact of dietary fibre in mitigating the adverse effects of </w:t>
      </w:r>
      <w:r w:rsidR="00FE480C">
        <w:rPr>
          <w:rFonts w:ascii="Arial" w:hAnsi="Arial" w:cs="Arial"/>
          <w:sz w:val="20"/>
          <w:szCs w:val="24"/>
        </w:rPr>
        <w:t>high-fat</w:t>
      </w:r>
      <w:r w:rsidR="005F53C8" w:rsidRPr="00B04590">
        <w:rPr>
          <w:rFonts w:ascii="Arial" w:hAnsi="Arial" w:cs="Arial"/>
          <w:sz w:val="20"/>
          <w:szCs w:val="24"/>
        </w:rPr>
        <w:t xml:space="preserve"> diets in Albino rats would be very beneficial in developing dietary strategies to enhance public health.</w:t>
      </w:r>
    </w:p>
    <w:p w14:paraId="0CD49E71" w14:textId="77777777" w:rsidR="000D18E6" w:rsidRDefault="00957859" w:rsidP="00A444EB">
      <w:pPr>
        <w:pStyle w:val="Heading1"/>
      </w:pPr>
      <w:r>
        <w:t xml:space="preserve">2.0 </w:t>
      </w:r>
      <w:r w:rsidR="00B04590" w:rsidRPr="009E33CA">
        <w:t>MATERIALS AND METHODS</w:t>
      </w:r>
      <w:bookmarkStart w:id="5" w:name="_Toc153348019"/>
      <w:bookmarkEnd w:id="4"/>
    </w:p>
    <w:p w14:paraId="7ED8AC6E" w14:textId="53CF0E4C" w:rsidR="000D34CA" w:rsidRPr="0002254F" w:rsidRDefault="00957859" w:rsidP="000D18E6">
      <w:pPr>
        <w:pStyle w:val="Heading2"/>
      </w:pPr>
      <w:r w:rsidRPr="0002254F">
        <w:t xml:space="preserve">2.1 </w:t>
      </w:r>
      <w:r w:rsidR="000D34CA" w:rsidRPr="0002254F">
        <w:t>Experimental animals and management</w:t>
      </w:r>
      <w:bookmarkEnd w:id="5"/>
    </w:p>
    <w:p w14:paraId="20F6CAE4" w14:textId="77777777" w:rsidR="000D18E6" w:rsidRDefault="000D34CA" w:rsidP="000D18E6">
      <w:pPr>
        <w:tabs>
          <w:tab w:val="left" w:pos="0"/>
        </w:tabs>
        <w:spacing w:line="480" w:lineRule="auto"/>
        <w:jc w:val="both"/>
        <w:rPr>
          <w:rFonts w:ascii="Arial" w:hAnsi="Arial" w:cs="Arial"/>
        </w:rPr>
      </w:pPr>
      <w:r w:rsidRPr="00B04590">
        <w:rPr>
          <w:rFonts w:ascii="Arial" w:hAnsi="Arial" w:cs="Arial"/>
          <w:sz w:val="20"/>
        </w:rPr>
        <w:t xml:space="preserve">Twenty-four male </w:t>
      </w:r>
      <w:r w:rsidRPr="00B04590">
        <w:rPr>
          <w:rFonts w:ascii="Arial" w:hAnsi="Arial" w:cs="Arial"/>
          <w:sz w:val="20"/>
          <w:szCs w:val="24"/>
        </w:rPr>
        <w:t>Albino</w:t>
      </w:r>
      <w:r w:rsidRPr="00B04590">
        <w:rPr>
          <w:rFonts w:ascii="Arial" w:hAnsi="Arial" w:cs="Arial"/>
          <w:sz w:val="20"/>
        </w:rPr>
        <w:t xml:space="preserve"> rats, weighing an average of 178 ± 4.73 g, were used for this study. They were housed in serene and conducive housing with a room temperature of 23 ± 3</w:t>
      </w:r>
      <w:r w:rsidRPr="00B04590">
        <w:rPr>
          <w:rFonts w:ascii="Arial" w:hAnsi="Arial" w:cs="Arial"/>
          <w:sz w:val="20"/>
          <w:vertAlign w:val="superscript"/>
        </w:rPr>
        <w:t>0</w:t>
      </w:r>
      <w:r w:rsidRPr="00B04590">
        <w:rPr>
          <w:rFonts w:ascii="Arial" w:hAnsi="Arial" w:cs="Arial"/>
          <w:sz w:val="20"/>
        </w:rPr>
        <w:t xml:space="preserve">C and 12-hour light/dark cycles. The rats were fed diets and clean water </w:t>
      </w:r>
      <w:r w:rsidRPr="00B04590">
        <w:rPr>
          <w:rFonts w:ascii="Arial" w:hAnsi="Arial" w:cs="Arial"/>
          <w:i/>
          <w:sz w:val="20"/>
        </w:rPr>
        <w:t xml:space="preserve">ad libitum </w:t>
      </w:r>
      <w:r w:rsidRPr="00B04590">
        <w:rPr>
          <w:rFonts w:ascii="Arial" w:hAnsi="Arial" w:cs="Arial"/>
          <w:sz w:val="20"/>
        </w:rPr>
        <w:t>throughout the experimental period</w:t>
      </w:r>
      <w:bookmarkStart w:id="6" w:name="_Toc153348020"/>
      <w:r w:rsidR="000D18E6">
        <w:rPr>
          <w:rFonts w:ascii="Arial" w:hAnsi="Arial" w:cs="Arial"/>
        </w:rPr>
        <w:t>.</w:t>
      </w:r>
    </w:p>
    <w:p w14:paraId="360D4EDF" w14:textId="36D261CC" w:rsidR="000D34CA" w:rsidRPr="000D18E6" w:rsidRDefault="00957859" w:rsidP="000D18E6">
      <w:pPr>
        <w:pStyle w:val="Heading2"/>
      </w:pPr>
      <w:r>
        <w:t xml:space="preserve">2.2 </w:t>
      </w:r>
      <w:r w:rsidR="000D34CA" w:rsidRPr="009E33CA">
        <w:t>Experimental Design and Treatments</w:t>
      </w:r>
      <w:bookmarkEnd w:id="6"/>
    </w:p>
    <w:p w14:paraId="37978D97" w14:textId="77777777" w:rsidR="000D34CA" w:rsidRPr="00B04590" w:rsidRDefault="000D34CA" w:rsidP="00D01B88">
      <w:pPr>
        <w:tabs>
          <w:tab w:val="left" w:pos="0"/>
        </w:tabs>
        <w:spacing w:line="480" w:lineRule="auto"/>
        <w:ind w:firstLine="27"/>
        <w:jc w:val="both"/>
        <w:rPr>
          <w:rFonts w:ascii="Arial" w:hAnsi="Arial" w:cs="Arial"/>
          <w:sz w:val="20"/>
        </w:rPr>
      </w:pPr>
      <w:r w:rsidRPr="00B04590">
        <w:rPr>
          <w:rFonts w:ascii="Arial" w:hAnsi="Arial" w:cs="Arial"/>
          <w:sz w:val="20"/>
        </w:rPr>
        <w:t xml:space="preserve">The Concept 5 feed formulation program (Creative Formulation Concepts, LLC, Annapolis, MD) was used to formulate the experimental diets (Table 1). The treatments were arranged in a 2 × 2 factorial completely randomised (CRD) design. The factors were dietary fat (Fa) (low or high), and dietary fibre (Fb) (low or high). </w:t>
      </w:r>
    </w:p>
    <w:p w14:paraId="4C1FA5C2" w14:textId="77777777" w:rsidR="000D34CA" w:rsidRDefault="000D34CA" w:rsidP="00D01B88">
      <w:pPr>
        <w:tabs>
          <w:tab w:val="left" w:pos="0"/>
        </w:tabs>
        <w:spacing w:before="240" w:line="480" w:lineRule="auto"/>
        <w:jc w:val="both"/>
        <w:rPr>
          <w:rFonts w:ascii="Arial" w:hAnsi="Arial" w:cs="Arial"/>
          <w:sz w:val="20"/>
        </w:rPr>
      </w:pPr>
      <w:r w:rsidRPr="00B04590">
        <w:rPr>
          <w:rFonts w:ascii="Arial" w:hAnsi="Arial" w:cs="Arial"/>
          <w:sz w:val="20"/>
        </w:rPr>
        <w:t>The treatments are as follows</w:t>
      </w:r>
      <w:r w:rsidR="00886473" w:rsidRPr="00B04590">
        <w:rPr>
          <w:rFonts w:ascii="Arial" w:hAnsi="Arial" w:cs="Arial"/>
          <w:sz w:val="20"/>
        </w:rPr>
        <w:t>;</w:t>
      </w:r>
      <w:r w:rsidRPr="00B04590">
        <w:rPr>
          <w:rFonts w:ascii="Arial" w:hAnsi="Arial" w:cs="Arial"/>
          <w:sz w:val="20"/>
        </w:rPr>
        <w:t xml:space="preserve"> Treatment 1: Low fat &amp; low fibre (LFa-LFb); Treatment 2</w:t>
      </w:r>
      <w:r w:rsidRPr="00B04590">
        <w:rPr>
          <w:rFonts w:ascii="Arial" w:hAnsi="Arial" w:cs="Arial"/>
          <w:b/>
          <w:sz w:val="20"/>
        </w:rPr>
        <w:t>:</w:t>
      </w:r>
      <w:r w:rsidRPr="00B04590">
        <w:rPr>
          <w:rFonts w:ascii="Arial" w:hAnsi="Arial" w:cs="Arial"/>
          <w:sz w:val="20"/>
        </w:rPr>
        <w:t xml:space="preserve"> Low fat &amp; high fibre (LFa-HFb); Treatment 3</w:t>
      </w:r>
      <w:r w:rsidRPr="00B04590">
        <w:rPr>
          <w:rFonts w:ascii="Arial" w:hAnsi="Arial" w:cs="Arial"/>
          <w:b/>
          <w:sz w:val="20"/>
        </w:rPr>
        <w:t>:</w:t>
      </w:r>
      <w:r w:rsidRPr="00B04590">
        <w:rPr>
          <w:rFonts w:ascii="Arial" w:hAnsi="Arial" w:cs="Arial"/>
          <w:sz w:val="20"/>
        </w:rPr>
        <w:t xml:space="preserve"> High fat &amp; low fibre (HFa-LFb); Treatment 4: High fat &amp; high fibre (HFa-</w:t>
      </w:r>
      <w:r w:rsidRPr="00B04590">
        <w:rPr>
          <w:rFonts w:ascii="Arial" w:hAnsi="Arial" w:cs="Arial"/>
          <w:sz w:val="20"/>
        </w:rPr>
        <w:lastRenderedPageBreak/>
        <w:t xml:space="preserve">HFb). The various treatment diets used for the study were formulated to be isocaloric and isonitrogenous to meet the nutrient and energy requirements of the </w:t>
      </w:r>
      <w:r w:rsidRPr="00B04590">
        <w:rPr>
          <w:rFonts w:ascii="Arial" w:hAnsi="Arial" w:cs="Arial"/>
          <w:sz w:val="20"/>
          <w:szCs w:val="24"/>
        </w:rPr>
        <w:t>Albino</w:t>
      </w:r>
      <w:r w:rsidRPr="00B04590">
        <w:rPr>
          <w:rFonts w:ascii="Arial" w:hAnsi="Arial" w:cs="Arial"/>
          <w:sz w:val="20"/>
        </w:rPr>
        <w:t xml:space="preserve"> rats.</w:t>
      </w:r>
    </w:p>
    <w:p w14:paraId="1A389AB2" w14:textId="469C701A" w:rsidR="00FE480C" w:rsidRDefault="00D415EE" w:rsidP="0083042F">
      <w:pPr>
        <w:tabs>
          <w:tab w:val="left" w:pos="0"/>
        </w:tabs>
        <w:spacing w:after="0" w:line="240" w:lineRule="auto"/>
        <w:ind w:hanging="426"/>
        <w:rPr>
          <w:rFonts w:cs="Times New Roman"/>
          <w:b/>
        </w:rPr>
      </w:pPr>
      <w:r>
        <w:rPr>
          <w:rFonts w:cs="Times New Roman"/>
          <w:b/>
        </w:rPr>
        <w:t xml:space="preserve">    </w:t>
      </w:r>
    </w:p>
    <w:p w14:paraId="30A130AA" w14:textId="0CA8CA5B" w:rsidR="00D415EE" w:rsidRPr="00B75031" w:rsidRDefault="00D415EE" w:rsidP="00D01B88">
      <w:pPr>
        <w:tabs>
          <w:tab w:val="left" w:pos="0"/>
        </w:tabs>
        <w:spacing w:after="0" w:line="240" w:lineRule="auto"/>
        <w:rPr>
          <w:rFonts w:ascii="Arial" w:hAnsi="Arial" w:cs="Arial"/>
          <w:b/>
          <w:sz w:val="20"/>
          <w:szCs w:val="20"/>
        </w:rPr>
      </w:pPr>
      <w:r w:rsidRPr="00B75031">
        <w:rPr>
          <w:rFonts w:ascii="Arial" w:hAnsi="Arial" w:cs="Arial"/>
          <w:b/>
          <w:sz w:val="20"/>
          <w:szCs w:val="20"/>
        </w:rPr>
        <w:t xml:space="preserve">Table </w:t>
      </w:r>
      <w:r w:rsidR="00951FE8">
        <w:rPr>
          <w:rFonts w:ascii="Arial" w:hAnsi="Arial" w:cs="Arial"/>
          <w:b/>
          <w:sz w:val="20"/>
          <w:szCs w:val="20"/>
        </w:rPr>
        <w:t>1</w:t>
      </w:r>
      <w:r w:rsidR="00590A6C">
        <w:rPr>
          <w:rFonts w:ascii="Arial" w:hAnsi="Arial" w:cs="Arial"/>
          <w:b/>
          <w:sz w:val="20"/>
          <w:szCs w:val="20"/>
        </w:rPr>
        <w:t>:</w:t>
      </w:r>
      <w:r w:rsidRPr="00B75031">
        <w:rPr>
          <w:rFonts w:ascii="Arial" w:hAnsi="Arial" w:cs="Arial"/>
          <w:b/>
          <w:sz w:val="20"/>
          <w:szCs w:val="20"/>
        </w:rPr>
        <w:t xml:space="preserve"> Composition of experimental diets, %</w:t>
      </w:r>
    </w:p>
    <w:tbl>
      <w:tblPr>
        <w:tblpPr w:leftFromText="180" w:rightFromText="180" w:vertAnchor="text" w:horzAnchor="margin" w:tblpY="72"/>
        <w:tblW w:w="882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552"/>
        <w:gridCol w:w="1685"/>
        <w:gridCol w:w="1571"/>
        <w:gridCol w:w="1653"/>
        <w:gridCol w:w="1359"/>
      </w:tblGrid>
      <w:tr w:rsidR="00D415EE" w:rsidRPr="00B75031" w14:paraId="52C8821B" w14:textId="77777777" w:rsidTr="00D01B88">
        <w:trPr>
          <w:trHeight w:val="1142"/>
        </w:trPr>
        <w:tc>
          <w:tcPr>
            <w:tcW w:w="2552" w:type="dxa"/>
            <w:tcBorders>
              <w:top w:val="single" w:sz="4" w:space="0" w:color="auto"/>
              <w:bottom w:val="single" w:sz="4" w:space="0" w:color="auto"/>
            </w:tcBorders>
            <w:shd w:val="clear" w:color="auto" w:fill="auto"/>
            <w:tcMar>
              <w:top w:w="15" w:type="dxa"/>
              <w:left w:w="108" w:type="dxa"/>
              <w:bottom w:w="0" w:type="dxa"/>
              <w:right w:w="108" w:type="dxa"/>
            </w:tcMar>
            <w:hideMark/>
          </w:tcPr>
          <w:p w14:paraId="32D4B80F" w14:textId="77777777" w:rsidR="00D415EE" w:rsidRPr="00B75031" w:rsidRDefault="00D415EE" w:rsidP="0083042F">
            <w:pPr>
              <w:tabs>
                <w:tab w:val="left" w:pos="0"/>
              </w:tabs>
              <w:spacing w:after="0" w:line="360" w:lineRule="auto"/>
              <w:rPr>
                <w:rFonts w:ascii="Arial" w:hAnsi="Arial" w:cs="Arial"/>
                <w:b/>
                <w:sz w:val="20"/>
                <w:szCs w:val="20"/>
              </w:rPr>
            </w:pPr>
            <w:r w:rsidRPr="00B75031">
              <w:rPr>
                <w:rFonts w:ascii="Arial" w:hAnsi="Arial" w:cs="Arial"/>
                <w:b/>
                <w:sz w:val="20"/>
                <w:szCs w:val="20"/>
              </w:rPr>
              <w:t>Ingredients (%)</w:t>
            </w:r>
          </w:p>
        </w:tc>
        <w:tc>
          <w:tcPr>
            <w:tcW w:w="1685" w:type="dxa"/>
            <w:tcBorders>
              <w:top w:val="single" w:sz="4" w:space="0" w:color="auto"/>
              <w:bottom w:val="single" w:sz="4" w:space="0" w:color="auto"/>
            </w:tcBorders>
            <w:shd w:val="clear" w:color="auto" w:fill="auto"/>
            <w:tcMar>
              <w:top w:w="15" w:type="dxa"/>
              <w:left w:w="108" w:type="dxa"/>
              <w:bottom w:w="0" w:type="dxa"/>
              <w:right w:w="108" w:type="dxa"/>
            </w:tcMar>
            <w:hideMark/>
          </w:tcPr>
          <w:p w14:paraId="25A5EA2C" w14:textId="77777777" w:rsidR="00D415EE" w:rsidRPr="00B75031" w:rsidRDefault="00D415EE" w:rsidP="0083042F">
            <w:pPr>
              <w:tabs>
                <w:tab w:val="left" w:pos="0"/>
              </w:tabs>
              <w:spacing w:after="0" w:line="360" w:lineRule="auto"/>
              <w:rPr>
                <w:rFonts w:ascii="Arial" w:hAnsi="Arial" w:cs="Arial"/>
                <w:b/>
                <w:sz w:val="20"/>
                <w:szCs w:val="20"/>
              </w:rPr>
            </w:pPr>
            <w:commentRangeStart w:id="7"/>
            <w:r w:rsidRPr="00B75031">
              <w:rPr>
                <w:rFonts w:ascii="Arial" w:hAnsi="Arial" w:cs="Arial"/>
                <w:b/>
                <w:sz w:val="20"/>
                <w:szCs w:val="20"/>
              </w:rPr>
              <w:t>Treatment 1</w:t>
            </w:r>
          </w:p>
          <w:p w14:paraId="691561D7"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(Low Fat vs</w:t>
            </w:r>
          </w:p>
          <w:p w14:paraId="7457565C" w14:textId="77777777" w:rsidR="00D415EE" w:rsidRPr="00B75031" w:rsidRDefault="00D415EE" w:rsidP="0083042F">
            <w:pPr>
              <w:tabs>
                <w:tab w:val="left" w:pos="0"/>
              </w:tabs>
              <w:spacing w:after="0" w:line="360" w:lineRule="auto"/>
              <w:rPr>
                <w:rFonts w:ascii="Arial" w:hAnsi="Arial" w:cs="Arial"/>
                <w:b/>
                <w:sz w:val="20"/>
                <w:szCs w:val="20"/>
              </w:rPr>
            </w:pPr>
            <w:r w:rsidRPr="00B75031">
              <w:rPr>
                <w:rFonts w:ascii="Arial" w:hAnsi="Arial" w:cs="Arial"/>
                <w:sz w:val="20"/>
                <w:szCs w:val="20"/>
              </w:rPr>
              <w:t>Low Fibre)</w:t>
            </w:r>
          </w:p>
        </w:tc>
        <w:tc>
          <w:tcPr>
            <w:tcW w:w="1571" w:type="dxa"/>
            <w:tcBorders>
              <w:top w:val="single" w:sz="4" w:space="0" w:color="auto"/>
              <w:bottom w:val="single" w:sz="4" w:space="0" w:color="auto"/>
            </w:tcBorders>
            <w:shd w:val="clear" w:color="auto" w:fill="auto"/>
            <w:tcMar>
              <w:top w:w="15" w:type="dxa"/>
              <w:left w:w="108" w:type="dxa"/>
              <w:bottom w:w="0" w:type="dxa"/>
              <w:right w:w="108" w:type="dxa"/>
            </w:tcMar>
            <w:hideMark/>
          </w:tcPr>
          <w:p w14:paraId="5598FEC8"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b/>
                <w:sz w:val="20"/>
                <w:szCs w:val="20"/>
              </w:rPr>
              <w:t xml:space="preserve">Treatment 2 </w:t>
            </w:r>
            <w:r w:rsidRPr="00B75031">
              <w:rPr>
                <w:rFonts w:ascii="Arial" w:hAnsi="Arial" w:cs="Arial"/>
                <w:sz w:val="20"/>
                <w:szCs w:val="20"/>
              </w:rPr>
              <w:t>(Low Fat vs</w:t>
            </w:r>
          </w:p>
          <w:p w14:paraId="69732621" w14:textId="77777777" w:rsidR="00D415EE" w:rsidRPr="00B75031" w:rsidRDefault="00D415EE" w:rsidP="0083042F">
            <w:pPr>
              <w:tabs>
                <w:tab w:val="left" w:pos="0"/>
              </w:tabs>
              <w:spacing w:after="0" w:line="360" w:lineRule="auto"/>
              <w:rPr>
                <w:rFonts w:ascii="Arial" w:hAnsi="Arial" w:cs="Arial"/>
                <w:b/>
                <w:sz w:val="20"/>
                <w:szCs w:val="20"/>
              </w:rPr>
            </w:pPr>
            <w:r w:rsidRPr="00B75031">
              <w:rPr>
                <w:rFonts w:ascii="Arial" w:hAnsi="Arial" w:cs="Arial"/>
                <w:sz w:val="20"/>
                <w:szCs w:val="20"/>
              </w:rPr>
              <w:t>High Fibre)</w:t>
            </w:r>
          </w:p>
        </w:tc>
        <w:tc>
          <w:tcPr>
            <w:tcW w:w="1653" w:type="dxa"/>
            <w:tcBorders>
              <w:top w:val="single" w:sz="4" w:space="0" w:color="auto"/>
              <w:bottom w:val="single" w:sz="4" w:space="0" w:color="auto"/>
            </w:tcBorders>
            <w:shd w:val="clear" w:color="auto" w:fill="auto"/>
            <w:tcMar>
              <w:top w:w="15" w:type="dxa"/>
              <w:left w:w="108" w:type="dxa"/>
              <w:bottom w:w="0" w:type="dxa"/>
              <w:right w:w="108" w:type="dxa"/>
            </w:tcMar>
            <w:hideMark/>
          </w:tcPr>
          <w:p w14:paraId="018ABA46"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b/>
                <w:sz w:val="20"/>
                <w:szCs w:val="20"/>
              </w:rPr>
              <w:t xml:space="preserve">Treatment 3 </w:t>
            </w:r>
            <w:r w:rsidRPr="00B75031">
              <w:rPr>
                <w:rFonts w:ascii="Arial" w:hAnsi="Arial" w:cs="Arial"/>
                <w:sz w:val="20"/>
                <w:szCs w:val="20"/>
              </w:rPr>
              <w:t>(High Fat vs</w:t>
            </w:r>
          </w:p>
          <w:p w14:paraId="4218D3B1" w14:textId="77777777" w:rsidR="00D415EE" w:rsidRPr="00B75031" w:rsidRDefault="00D415EE" w:rsidP="0083042F">
            <w:pPr>
              <w:tabs>
                <w:tab w:val="left" w:pos="0"/>
              </w:tabs>
              <w:spacing w:after="0" w:line="360" w:lineRule="auto"/>
              <w:rPr>
                <w:rFonts w:ascii="Arial" w:hAnsi="Arial" w:cs="Arial"/>
                <w:b/>
                <w:sz w:val="20"/>
                <w:szCs w:val="20"/>
              </w:rPr>
            </w:pPr>
            <w:r w:rsidRPr="00B75031">
              <w:rPr>
                <w:rFonts w:ascii="Arial" w:hAnsi="Arial" w:cs="Arial"/>
                <w:sz w:val="20"/>
                <w:szCs w:val="20"/>
              </w:rPr>
              <w:t>Low Fibre)</w:t>
            </w:r>
          </w:p>
        </w:tc>
        <w:tc>
          <w:tcPr>
            <w:tcW w:w="1359" w:type="dxa"/>
            <w:tcBorders>
              <w:top w:val="single" w:sz="4" w:space="0" w:color="auto"/>
              <w:bottom w:val="single" w:sz="4" w:space="0" w:color="auto"/>
            </w:tcBorders>
            <w:shd w:val="clear" w:color="auto" w:fill="auto"/>
            <w:tcMar>
              <w:top w:w="15" w:type="dxa"/>
              <w:left w:w="108" w:type="dxa"/>
              <w:bottom w:w="0" w:type="dxa"/>
              <w:right w:w="108" w:type="dxa"/>
            </w:tcMar>
            <w:hideMark/>
          </w:tcPr>
          <w:p w14:paraId="4D7DF2FC" w14:textId="77777777" w:rsidR="00D415EE" w:rsidRPr="00B75031" w:rsidRDefault="00D415EE" w:rsidP="0083042F">
            <w:pPr>
              <w:tabs>
                <w:tab w:val="left" w:pos="0"/>
              </w:tabs>
              <w:spacing w:after="0" w:line="360" w:lineRule="auto"/>
              <w:rPr>
                <w:rFonts w:ascii="Arial" w:hAnsi="Arial" w:cs="Arial"/>
                <w:b/>
                <w:sz w:val="20"/>
                <w:szCs w:val="20"/>
              </w:rPr>
            </w:pPr>
            <w:r w:rsidRPr="00B75031">
              <w:rPr>
                <w:rFonts w:ascii="Arial" w:hAnsi="Arial" w:cs="Arial"/>
                <w:b/>
                <w:sz w:val="20"/>
                <w:szCs w:val="20"/>
              </w:rPr>
              <w:t>Treatment 3</w:t>
            </w:r>
          </w:p>
          <w:p w14:paraId="73DF9000"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(High Fat vs</w:t>
            </w:r>
          </w:p>
          <w:p w14:paraId="62A443C3" w14:textId="77777777" w:rsidR="00D415EE" w:rsidRPr="00B75031" w:rsidRDefault="00D415EE" w:rsidP="0083042F">
            <w:pPr>
              <w:tabs>
                <w:tab w:val="left" w:pos="0"/>
              </w:tabs>
              <w:spacing w:after="0" w:line="360" w:lineRule="auto"/>
              <w:rPr>
                <w:rFonts w:ascii="Arial" w:hAnsi="Arial" w:cs="Arial"/>
                <w:b/>
                <w:sz w:val="20"/>
                <w:szCs w:val="20"/>
              </w:rPr>
            </w:pPr>
            <w:r w:rsidRPr="00B75031">
              <w:rPr>
                <w:rFonts w:ascii="Arial" w:hAnsi="Arial" w:cs="Arial"/>
                <w:sz w:val="20"/>
                <w:szCs w:val="20"/>
              </w:rPr>
              <w:t>High Fibre)</w:t>
            </w:r>
            <w:commentRangeEnd w:id="7"/>
            <w:r w:rsidR="000B7BA9">
              <w:rPr>
                <w:rStyle w:val="CommentReference"/>
              </w:rPr>
              <w:commentReference w:id="7"/>
            </w:r>
          </w:p>
        </w:tc>
      </w:tr>
      <w:tr w:rsidR="00D415EE" w:rsidRPr="00B75031" w14:paraId="54AB068E" w14:textId="77777777" w:rsidTr="00D01B88">
        <w:trPr>
          <w:trHeight w:val="461"/>
        </w:trPr>
        <w:tc>
          <w:tcPr>
            <w:tcW w:w="2552" w:type="dxa"/>
            <w:tcBorders>
              <w:top w:val="single" w:sz="4" w:space="0" w:color="auto"/>
            </w:tcBorders>
            <w:shd w:val="clear" w:color="auto" w:fill="auto"/>
            <w:tcMar>
              <w:top w:w="15" w:type="dxa"/>
              <w:left w:w="108" w:type="dxa"/>
              <w:bottom w:w="0" w:type="dxa"/>
              <w:right w:w="108" w:type="dxa"/>
            </w:tcMar>
            <w:hideMark/>
          </w:tcPr>
          <w:p w14:paraId="71341FB8" w14:textId="77777777" w:rsidR="00D415EE" w:rsidRPr="00B75031" w:rsidRDefault="00D415EE" w:rsidP="0083042F">
            <w:pPr>
              <w:tabs>
                <w:tab w:val="left" w:pos="0"/>
              </w:tabs>
              <w:spacing w:after="0" w:line="360" w:lineRule="auto"/>
              <w:rPr>
                <w:rFonts w:ascii="Arial" w:hAnsi="Arial" w:cs="Arial"/>
                <w:bCs/>
                <w:sz w:val="20"/>
                <w:szCs w:val="20"/>
              </w:rPr>
            </w:pPr>
            <w:r w:rsidRPr="00B75031">
              <w:rPr>
                <w:rFonts w:ascii="Arial" w:hAnsi="Arial" w:cs="Arial"/>
                <w:bCs/>
                <w:sz w:val="20"/>
                <w:szCs w:val="20"/>
              </w:rPr>
              <w:t xml:space="preserve">Corn </w:t>
            </w:r>
          </w:p>
        </w:tc>
        <w:tc>
          <w:tcPr>
            <w:tcW w:w="1685" w:type="dxa"/>
            <w:tcBorders>
              <w:top w:val="single" w:sz="4" w:space="0" w:color="auto"/>
            </w:tcBorders>
            <w:shd w:val="clear" w:color="auto" w:fill="auto"/>
            <w:tcMar>
              <w:top w:w="15" w:type="dxa"/>
              <w:left w:w="108" w:type="dxa"/>
              <w:bottom w:w="0" w:type="dxa"/>
              <w:right w:w="108" w:type="dxa"/>
            </w:tcMar>
            <w:hideMark/>
          </w:tcPr>
          <w:p w14:paraId="77B1D4D8"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50.00</w:t>
            </w:r>
          </w:p>
        </w:tc>
        <w:tc>
          <w:tcPr>
            <w:tcW w:w="1571" w:type="dxa"/>
            <w:tcBorders>
              <w:top w:val="single" w:sz="4" w:space="0" w:color="auto"/>
            </w:tcBorders>
            <w:shd w:val="clear" w:color="auto" w:fill="auto"/>
            <w:tcMar>
              <w:top w:w="15" w:type="dxa"/>
              <w:left w:w="108" w:type="dxa"/>
              <w:bottom w:w="0" w:type="dxa"/>
              <w:right w:w="108" w:type="dxa"/>
            </w:tcMar>
            <w:hideMark/>
          </w:tcPr>
          <w:p w14:paraId="7C3F5E2C"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5.00</w:t>
            </w:r>
          </w:p>
        </w:tc>
        <w:tc>
          <w:tcPr>
            <w:tcW w:w="1653" w:type="dxa"/>
            <w:tcBorders>
              <w:top w:val="single" w:sz="4" w:space="0" w:color="auto"/>
            </w:tcBorders>
            <w:shd w:val="clear" w:color="auto" w:fill="auto"/>
            <w:tcMar>
              <w:top w:w="15" w:type="dxa"/>
              <w:left w:w="108" w:type="dxa"/>
              <w:bottom w:w="0" w:type="dxa"/>
              <w:right w:w="108" w:type="dxa"/>
            </w:tcMar>
            <w:hideMark/>
          </w:tcPr>
          <w:p w14:paraId="260CB9FE"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50.00</w:t>
            </w:r>
          </w:p>
        </w:tc>
        <w:tc>
          <w:tcPr>
            <w:tcW w:w="1359" w:type="dxa"/>
            <w:tcBorders>
              <w:top w:val="single" w:sz="4" w:space="0" w:color="auto"/>
            </w:tcBorders>
            <w:shd w:val="clear" w:color="auto" w:fill="auto"/>
            <w:tcMar>
              <w:top w:w="15" w:type="dxa"/>
              <w:left w:w="108" w:type="dxa"/>
              <w:bottom w:w="0" w:type="dxa"/>
              <w:right w:w="108" w:type="dxa"/>
            </w:tcMar>
            <w:hideMark/>
          </w:tcPr>
          <w:p w14:paraId="5148106D"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5.00</w:t>
            </w:r>
          </w:p>
        </w:tc>
      </w:tr>
      <w:tr w:rsidR="00D415EE" w:rsidRPr="00B75031" w14:paraId="01F448DC" w14:textId="77777777" w:rsidTr="00D01B88">
        <w:trPr>
          <w:trHeight w:val="419"/>
        </w:trPr>
        <w:tc>
          <w:tcPr>
            <w:tcW w:w="2552" w:type="dxa"/>
            <w:shd w:val="clear" w:color="auto" w:fill="auto"/>
            <w:tcMar>
              <w:top w:w="15" w:type="dxa"/>
              <w:left w:w="108" w:type="dxa"/>
              <w:bottom w:w="0" w:type="dxa"/>
              <w:right w:w="108" w:type="dxa"/>
            </w:tcMar>
            <w:hideMark/>
          </w:tcPr>
          <w:p w14:paraId="40275113" w14:textId="77777777" w:rsidR="00D415EE" w:rsidRPr="00B75031" w:rsidRDefault="00D415EE" w:rsidP="0083042F">
            <w:pPr>
              <w:tabs>
                <w:tab w:val="left" w:pos="0"/>
              </w:tabs>
              <w:spacing w:after="0" w:line="360" w:lineRule="auto"/>
              <w:rPr>
                <w:rFonts w:ascii="Arial" w:hAnsi="Arial" w:cs="Arial"/>
                <w:bCs/>
                <w:sz w:val="20"/>
                <w:szCs w:val="20"/>
              </w:rPr>
            </w:pPr>
            <w:r w:rsidRPr="00B75031">
              <w:rPr>
                <w:rFonts w:ascii="Arial" w:hAnsi="Arial" w:cs="Arial"/>
                <w:bCs/>
                <w:sz w:val="20"/>
                <w:szCs w:val="20"/>
              </w:rPr>
              <w:t xml:space="preserve">Soybean meal </w:t>
            </w:r>
          </w:p>
        </w:tc>
        <w:tc>
          <w:tcPr>
            <w:tcW w:w="1685" w:type="dxa"/>
            <w:shd w:val="clear" w:color="auto" w:fill="auto"/>
            <w:tcMar>
              <w:top w:w="15" w:type="dxa"/>
              <w:left w:w="108" w:type="dxa"/>
              <w:bottom w:w="0" w:type="dxa"/>
              <w:right w:w="108" w:type="dxa"/>
            </w:tcMar>
            <w:hideMark/>
          </w:tcPr>
          <w:p w14:paraId="3F5E176D"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26.41</w:t>
            </w:r>
          </w:p>
        </w:tc>
        <w:tc>
          <w:tcPr>
            <w:tcW w:w="1571" w:type="dxa"/>
            <w:shd w:val="clear" w:color="auto" w:fill="auto"/>
            <w:tcMar>
              <w:top w:w="15" w:type="dxa"/>
              <w:left w:w="108" w:type="dxa"/>
              <w:bottom w:w="0" w:type="dxa"/>
              <w:right w:w="108" w:type="dxa"/>
            </w:tcMar>
            <w:hideMark/>
          </w:tcPr>
          <w:p w14:paraId="17B57C0E"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31.09</w:t>
            </w:r>
          </w:p>
        </w:tc>
        <w:tc>
          <w:tcPr>
            <w:tcW w:w="1653" w:type="dxa"/>
            <w:shd w:val="clear" w:color="auto" w:fill="auto"/>
            <w:tcMar>
              <w:top w:w="15" w:type="dxa"/>
              <w:left w:w="108" w:type="dxa"/>
              <w:bottom w:w="0" w:type="dxa"/>
              <w:right w:w="108" w:type="dxa"/>
            </w:tcMar>
            <w:hideMark/>
          </w:tcPr>
          <w:p w14:paraId="2864D531"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25.00</w:t>
            </w:r>
          </w:p>
        </w:tc>
        <w:tc>
          <w:tcPr>
            <w:tcW w:w="1359" w:type="dxa"/>
            <w:shd w:val="clear" w:color="auto" w:fill="auto"/>
            <w:tcMar>
              <w:top w:w="15" w:type="dxa"/>
              <w:left w:w="108" w:type="dxa"/>
              <w:bottom w:w="0" w:type="dxa"/>
              <w:right w:w="108" w:type="dxa"/>
            </w:tcMar>
            <w:hideMark/>
          </w:tcPr>
          <w:p w14:paraId="3F5383CE"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29.40</w:t>
            </w:r>
          </w:p>
        </w:tc>
      </w:tr>
      <w:tr w:rsidR="00D415EE" w:rsidRPr="00B75031" w14:paraId="52704055" w14:textId="77777777" w:rsidTr="00D01B88">
        <w:trPr>
          <w:trHeight w:val="352"/>
        </w:trPr>
        <w:tc>
          <w:tcPr>
            <w:tcW w:w="2552" w:type="dxa"/>
            <w:shd w:val="clear" w:color="auto" w:fill="auto"/>
            <w:tcMar>
              <w:top w:w="15" w:type="dxa"/>
              <w:left w:w="108" w:type="dxa"/>
              <w:bottom w:w="0" w:type="dxa"/>
              <w:right w:w="108" w:type="dxa"/>
            </w:tcMar>
            <w:hideMark/>
          </w:tcPr>
          <w:p w14:paraId="139BDD4B" w14:textId="77777777" w:rsidR="00D415EE" w:rsidRPr="00B75031" w:rsidRDefault="00D415EE" w:rsidP="0083042F">
            <w:pPr>
              <w:tabs>
                <w:tab w:val="left" w:pos="0"/>
              </w:tabs>
              <w:spacing w:after="0" w:line="360" w:lineRule="auto"/>
              <w:rPr>
                <w:rFonts w:ascii="Arial" w:hAnsi="Arial" w:cs="Arial"/>
                <w:bCs/>
                <w:sz w:val="20"/>
                <w:szCs w:val="20"/>
              </w:rPr>
            </w:pPr>
            <w:r w:rsidRPr="00B75031">
              <w:rPr>
                <w:rFonts w:ascii="Arial" w:hAnsi="Arial" w:cs="Arial"/>
                <w:bCs/>
                <w:sz w:val="20"/>
                <w:szCs w:val="20"/>
              </w:rPr>
              <w:t>Corn cob</w:t>
            </w:r>
          </w:p>
        </w:tc>
        <w:tc>
          <w:tcPr>
            <w:tcW w:w="1685" w:type="dxa"/>
            <w:shd w:val="clear" w:color="auto" w:fill="auto"/>
            <w:tcMar>
              <w:top w:w="15" w:type="dxa"/>
              <w:left w:w="108" w:type="dxa"/>
              <w:bottom w:w="0" w:type="dxa"/>
              <w:right w:w="108" w:type="dxa"/>
            </w:tcMar>
            <w:hideMark/>
          </w:tcPr>
          <w:p w14:paraId="5D8530A8"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21.09</w:t>
            </w:r>
          </w:p>
        </w:tc>
        <w:tc>
          <w:tcPr>
            <w:tcW w:w="1571" w:type="dxa"/>
            <w:shd w:val="clear" w:color="auto" w:fill="auto"/>
            <w:tcMar>
              <w:top w:w="15" w:type="dxa"/>
              <w:left w:w="108" w:type="dxa"/>
              <w:bottom w:w="0" w:type="dxa"/>
              <w:right w:w="108" w:type="dxa"/>
            </w:tcMar>
            <w:hideMark/>
          </w:tcPr>
          <w:p w14:paraId="59A88687"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60.00</w:t>
            </w:r>
          </w:p>
        </w:tc>
        <w:tc>
          <w:tcPr>
            <w:tcW w:w="1653" w:type="dxa"/>
            <w:shd w:val="clear" w:color="auto" w:fill="auto"/>
            <w:tcMar>
              <w:top w:w="15" w:type="dxa"/>
              <w:left w:w="108" w:type="dxa"/>
              <w:bottom w:w="0" w:type="dxa"/>
              <w:right w:w="108" w:type="dxa"/>
            </w:tcMar>
            <w:hideMark/>
          </w:tcPr>
          <w:p w14:paraId="313DDFA8"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19.00</w:t>
            </w:r>
          </w:p>
        </w:tc>
        <w:tc>
          <w:tcPr>
            <w:tcW w:w="1359" w:type="dxa"/>
            <w:shd w:val="clear" w:color="auto" w:fill="auto"/>
            <w:tcMar>
              <w:top w:w="15" w:type="dxa"/>
              <w:left w:w="108" w:type="dxa"/>
              <w:bottom w:w="0" w:type="dxa"/>
              <w:right w:w="108" w:type="dxa"/>
            </w:tcMar>
            <w:hideMark/>
          </w:tcPr>
          <w:p w14:paraId="2DB9F81D"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58.00</w:t>
            </w:r>
          </w:p>
        </w:tc>
      </w:tr>
      <w:tr w:rsidR="00D415EE" w:rsidRPr="00B75031" w14:paraId="2C3BB6ED" w14:textId="77777777" w:rsidTr="00D01B88">
        <w:trPr>
          <w:trHeight w:val="416"/>
        </w:trPr>
        <w:tc>
          <w:tcPr>
            <w:tcW w:w="2552" w:type="dxa"/>
            <w:shd w:val="clear" w:color="auto" w:fill="auto"/>
            <w:tcMar>
              <w:top w:w="15" w:type="dxa"/>
              <w:left w:w="108" w:type="dxa"/>
              <w:bottom w:w="0" w:type="dxa"/>
              <w:right w:w="108" w:type="dxa"/>
            </w:tcMar>
            <w:hideMark/>
          </w:tcPr>
          <w:p w14:paraId="3760E7E1" w14:textId="77777777" w:rsidR="00D415EE" w:rsidRPr="00B75031" w:rsidRDefault="00D415EE" w:rsidP="0083042F">
            <w:pPr>
              <w:tabs>
                <w:tab w:val="left" w:pos="0"/>
              </w:tabs>
              <w:spacing w:after="0" w:line="360" w:lineRule="auto"/>
              <w:rPr>
                <w:rFonts w:ascii="Arial" w:hAnsi="Arial" w:cs="Arial"/>
                <w:bCs/>
                <w:sz w:val="20"/>
                <w:szCs w:val="20"/>
              </w:rPr>
            </w:pPr>
            <w:r w:rsidRPr="00B75031">
              <w:rPr>
                <w:rFonts w:ascii="Arial" w:hAnsi="Arial" w:cs="Arial"/>
                <w:bCs/>
                <w:sz w:val="20"/>
                <w:szCs w:val="20"/>
              </w:rPr>
              <w:t>Coconut oil</w:t>
            </w:r>
          </w:p>
        </w:tc>
        <w:tc>
          <w:tcPr>
            <w:tcW w:w="1685" w:type="dxa"/>
            <w:shd w:val="clear" w:color="auto" w:fill="auto"/>
            <w:tcMar>
              <w:top w:w="15" w:type="dxa"/>
              <w:left w:w="108" w:type="dxa"/>
              <w:bottom w:w="0" w:type="dxa"/>
              <w:right w:w="108" w:type="dxa"/>
            </w:tcMar>
            <w:hideMark/>
          </w:tcPr>
          <w:p w14:paraId="1BAC64E7"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1.00</w:t>
            </w:r>
          </w:p>
        </w:tc>
        <w:tc>
          <w:tcPr>
            <w:tcW w:w="1571" w:type="dxa"/>
            <w:shd w:val="clear" w:color="auto" w:fill="auto"/>
            <w:tcMar>
              <w:top w:w="15" w:type="dxa"/>
              <w:left w:w="108" w:type="dxa"/>
              <w:bottom w:w="0" w:type="dxa"/>
              <w:right w:w="108" w:type="dxa"/>
            </w:tcMar>
            <w:hideMark/>
          </w:tcPr>
          <w:p w14:paraId="3FA7B44E"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2.41</w:t>
            </w:r>
          </w:p>
        </w:tc>
        <w:tc>
          <w:tcPr>
            <w:tcW w:w="1653" w:type="dxa"/>
            <w:shd w:val="clear" w:color="auto" w:fill="auto"/>
            <w:tcMar>
              <w:top w:w="15" w:type="dxa"/>
              <w:left w:w="108" w:type="dxa"/>
              <w:bottom w:w="0" w:type="dxa"/>
              <w:right w:w="108" w:type="dxa"/>
            </w:tcMar>
            <w:hideMark/>
          </w:tcPr>
          <w:p w14:paraId="1FBCEBA1"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4.50</w:t>
            </w:r>
          </w:p>
        </w:tc>
        <w:tc>
          <w:tcPr>
            <w:tcW w:w="1359" w:type="dxa"/>
            <w:shd w:val="clear" w:color="auto" w:fill="auto"/>
            <w:tcMar>
              <w:top w:w="15" w:type="dxa"/>
              <w:left w:w="108" w:type="dxa"/>
              <w:bottom w:w="0" w:type="dxa"/>
              <w:right w:w="108" w:type="dxa"/>
            </w:tcMar>
            <w:hideMark/>
          </w:tcPr>
          <w:p w14:paraId="2DA84A6B"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6.10</w:t>
            </w:r>
          </w:p>
        </w:tc>
      </w:tr>
      <w:tr w:rsidR="00D415EE" w:rsidRPr="00B75031" w14:paraId="51210199" w14:textId="77777777" w:rsidTr="00D01B88">
        <w:trPr>
          <w:trHeight w:val="124"/>
        </w:trPr>
        <w:tc>
          <w:tcPr>
            <w:tcW w:w="2552" w:type="dxa"/>
            <w:shd w:val="clear" w:color="auto" w:fill="auto"/>
            <w:tcMar>
              <w:top w:w="15" w:type="dxa"/>
              <w:left w:w="108" w:type="dxa"/>
              <w:bottom w:w="0" w:type="dxa"/>
              <w:right w:w="108" w:type="dxa"/>
            </w:tcMar>
            <w:hideMark/>
          </w:tcPr>
          <w:p w14:paraId="09E56397" w14:textId="77777777" w:rsidR="00D415EE" w:rsidRPr="00B75031" w:rsidRDefault="00D415EE" w:rsidP="0083042F">
            <w:pPr>
              <w:tabs>
                <w:tab w:val="left" w:pos="0"/>
              </w:tabs>
              <w:spacing w:after="0" w:line="360" w:lineRule="auto"/>
              <w:rPr>
                <w:rFonts w:ascii="Arial" w:hAnsi="Arial" w:cs="Arial"/>
                <w:bCs/>
                <w:sz w:val="20"/>
                <w:szCs w:val="20"/>
              </w:rPr>
            </w:pPr>
            <w:r w:rsidRPr="00B75031">
              <w:rPr>
                <w:rFonts w:ascii="Arial" w:hAnsi="Arial" w:cs="Arial"/>
                <w:bCs/>
                <w:sz w:val="20"/>
                <w:szCs w:val="20"/>
              </w:rPr>
              <w:t>Di-Calcium phosphate</w:t>
            </w:r>
          </w:p>
        </w:tc>
        <w:tc>
          <w:tcPr>
            <w:tcW w:w="1685" w:type="dxa"/>
            <w:shd w:val="clear" w:color="auto" w:fill="auto"/>
            <w:tcMar>
              <w:top w:w="15" w:type="dxa"/>
              <w:left w:w="108" w:type="dxa"/>
              <w:bottom w:w="0" w:type="dxa"/>
              <w:right w:w="108" w:type="dxa"/>
            </w:tcMar>
            <w:hideMark/>
          </w:tcPr>
          <w:p w14:paraId="402A41E4"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0.50</w:t>
            </w:r>
          </w:p>
        </w:tc>
        <w:tc>
          <w:tcPr>
            <w:tcW w:w="1571" w:type="dxa"/>
            <w:shd w:val="clear" w:color="auto" w:fill="auto"/>
            <w:tcMar>
              <w:top w:w="15" w:type="dxa"/>
              <w:left w:w="108" w:type="dxa"/>
              <w:bottom w:w="0" w:type="dxa"/>
              <w:right w:w="108" w:type="dxa"/>
            </w:tcMar>
            <w:hideMark/>
          </w:tcPr>
          <w:p w14:paraId="302E9DD9"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0.50</w:t>
            </w:r>
          </w:p>
        </w:tc>
        <w:tc>
          <w:tcPr>
            <w:tcW w:w="1653" w:type="dxa"/>
            <w:shd w:val="clear" w:color="auto" w:fill="auto"/>
            <w:tcMar>
              <w:top w:w="15" w:type="dxa"/>
              <w:left w:w="108" w:type="dxa"/>
              <w:bottom w:w="0" w:type="dxa"/>
              <w:right w:w="108" w:type="dxa"/>
            </w:tcMar>
            <w:hideMark/>
          </w:tcPr>
          <w:p w14:paraId="076A5564"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0.50</w:t>
            </w:r>
          </w:p>
        </w:tc>
        <w:tc>
          <w:tcPr>
            <w:tcW w:w="1359" w:type="dxa"/>
            <w:shd w:val="clear" w:color="auto" w:fill="auto"/>
            <w:tcMar>
              <w:top w:w="15" w:type="dxa"/>
              <w:left w:w="108" w:type="dxa"/>
              <w:bottom w:w="0" w:type="dxa"/>
              <w:right w:w="108" w:type="dxa"/>
            </w:tcMar>
            <w:hideMark/>
          </w:tcPr>
          <w:p w14:paraId="155AA2B7"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0.50</w:t>
            </w:r>
          </w:p>
        </w:tc>
      </w:tr>
      <w:tr w:rsidR="00D415EE" w:rsidRPr="00B75031" w14:paraId="08FC6CBF" w14:textId="77777777" w:rsidTr="00D01B88">
        <w:trPr>
          <w:trHeight w:val="277"/>
        </w:trPr>
        <w:tc>
          <w:tcPr>
            <w:tcW w:w="2552" w:type="dxa"/>
            <w:shd w:val="clear" w:color="auto" w:fill="auto"/>
            <w:tcMar>
              <w:top w:w="15" w:type="dxa"/>
              <w:left w:w="108" w:type="dxa"/>
              <w:bottom w:w="0" w:type="dxa"/>
              <w:right w:w="108" w:type="dxa"/>
            </w:tcMar>
            <w:hideMark/>
          </w:tcPr>
          <w:p w14:paraId="7A47307B" w14:textId="77777777" w:rsidR="00D415EE" w:rsidRPr="00B75031" w:rsidRDefault="00D415EE" w:rsidP="0083042F">
            <w:pPr>
              <w:tabs>
                <w:tab w:val="left" w:pos="0"/>
              </w:tabs>
              <w:spacing w:after="0" w:line="360" w:lineRule="auto"/>
              <w:rPr>
                <w:rFonts w:ascii="Arial" w:hAnsi="Arial" w:cs="Arial"/>
                <w:bCs/>
                <w:sz w:val="20"/>
                <w:szCs w:val="20"/>
              </w:rPr>
            </w:pPr>
            <w:r w:rsidRPr="00B75031">
              <w:rPr>
                <w:rFonts w:ascii="Arial" w:hAnsi="Arial" w:cs="Arial"/>
                <w:bCs/>
                <w:sz w:val="20"/>
                <w:szCs w:val="20"/>
              </w:rPr>
              <w:t>Salt</w:t>
            </w:r>
          </w:p>
        </w:tc>
        <w:tc>
          <w:tcPr>
            <w:tcW w:w="1685" w:type="dxa"/>
            <w:shd w:val="clear" w:color="auto" w:fill="auto"/>
            <w:tcMar>
              <w:top w:w="15" w:type="dxa"/>
              <w:left w:w="108" w:type="dxa"/>
              <w:bottom w:w="0" w:type="dxa"/>
              <w:right w:w="108" w:type="dxa"/>
            </w:tcMar>
            <w:hideMark/>
          </w:tcPr>
          <w:p w14:paraId="181BE016"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0.50</w:t>
            </w:r>
          </w:p>
        </w:tc>
        <w:tc>
          <w:tcPr>
            <w:tcW w:w="1571" w:type="dxa"/>
            <w:shd w:val="clear" w:color="auto" w:fill="auto"/>
            <w:tcMar>
              <w:top w:w="15" w:type="dxa"/>
              <w:left w:w="108" w:type="dxa"/>
              <w:bottom w:w="0" w:type="dxa"/>
              <w:right w:w="108" w:type="dxa"/>
            </w:tcMar>
            <w:hideMark/>
          </w:tcPr>
          <w:p w14:paraId="00707A26"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0.50</w:t>
            </w:r>
          </w:p>
        </w:tc>
        <w:tc>
          <w:tcPr>
            <w:tcW w:w="1653" w:type="dxa"/>
            <w:shd w:val="clear" w:color="auto" w:fill="auto"/>
            <w:tcMar>
              <w:top w:w="15" w:type="dxa"/>
              <w:left w:w="108" w:type="dxa"/>
              <w:bottom w:w="0" w:type="dxa"/>
              <w:right w:w="108" w:type="dxa"/>
            </w:tcMar>
            <w:hideMark/>
          </w:tcPr>
          <w:p w14:paraId="760AA239"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0.50</w:t>
            </w:r>
          </w:p>
        </w:tc>
        <w:tc>
          <w:tcPr>
            <w:tcW w:w="1359" w:type="dxa"/>
            <w:shd w:val="clear" w:color="auto" w:fill="auto"/>
            <w:tcMar>
              <w:top w:w="15" w:type="dxa"/>
              <w:left w:w="108" w:type="dxa"/>
              <w:bottom w:w="0" w:type="dxa"/>
              <w:right w:w="108" w:type="dxa"/>
            </w:tcMar>
            <w:hideMark/>
          </w:tcPr>
          <w:p w14:paraId="10FE5B2C"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0.50</w:t>
            </w:r>
          </w:p>
        </w:tc>
      </w:tr>
      <w:tr w:rsidR="00D415EE" w:rsidRPr="00B75031" w14:paraId="6D0CE374" w14:textId="77777777" w:rsidTr="00D01B88">
        <w:trPr>
          <w:trHeight w:val="263"/>
        </w:trPr>
        <w:tc>
          <w:tcPr>
            <w:tcW w:w="2552" w:type="dxa"/>
            <w:shd w:val="clear" w:color="auto" w:fill="auto"/>
            <w:tcMar>
              <w:top w:w="15" w:type="dxa"/>
              <w:left w:w="108" w:type="dxa"/>
              <w:bottom w:w="0" w:type="dxa"/>
              <w:right w:w="108" w:type="dxa"/>
            </w:tcMar>
            <w:hideMark/>
          </w:tcPr>
          <w:p w14:paraId="56E492FC" w14:textId="77777777" w:rsidR="00D415EE" w:rsidRPr="00B75031" w:rsidRDefault="00D415EE" w:rsidP="0083042F">
            <w:pPr>
              <w:tabs>
                <w:tab w:val="left" w:pos="0"/>
              </w:tabs>
              <w:spacing w:after="0" w:line="360" w:lineRule="auto"/>
              <w:rPr>
                <w:rFonts w:ascii="Arial" w:hAnsi="Arial" w:cs="Arial"/>
                <w:bCs/>
                <w:sz w:val="20"/>
                <w:szCs w:val="20"/>
              </w:rPr>
            </w:pPr>
            <w:r w:rsidRPr="00B75031">
              <w:rPr>
                <w:rFonts w:ascii="Arial" w:hAnsi="Arial" w:cs="Arial"/>
                <w:bCs/>
                <w:sz w:val="20"/>
                <w:szCs w:val="20"/>
              </w:rPr>
              <w:t>Vitamin/mineral Premix</w:t>
            </w:r>
            <w:r w:rsidRPr="00B75031">
              <w:rPr>
                <w:rFonts w:ascii="Arial" w:hAnsi="Arial" w:cs="Arial"/>
                <w:bCs/>
                <w:sz w:val="20"/>
                <w:szCs w:val="20"/>
                <w:vertAlign w:val="superscript"/>
              </w:rPr>
              <w:t>1</w:t>
            </w:r>
          </w:p>
        </w:tc>
        <w:tc>
          <w:tcPr>
            <w:tcW w:w="1685" w:type="dxa"/>
            <w:shd w:val="clear" w:color="auto" w:fill="auto"/>
            <w:tcMar>
              <w:top w:w="15" w:type="dxa"/>
              <w:left w:w="108" w:type="dxa"/>
              <w:bottom w:w="0" w:type="dxa"/>
              <w:right w:w="108" w:type="dxa"/>
            </w:tcMar>
            <w:hideMark/>
          </w:tcPr>
          <w:p w14:paraId="19E79ED9"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0.50</w:t>
            </w:r>
          </w:p>
        </w:tc>
        <w:tc>
          <w:tcPr>
            <w:tcW w:w="1571" w:type="dxa"/>
            <w:shd w:val="clear" w:color="auto" w:fill="auto"/>
            <w:tcMar>
              <w:top w:w="15" w:type="dxa"/>
              <w:left w:w="108" w:type="dxa"/>
              <w:bottom w:w="0" w:type="dxa"/>
              <w:right w:w="108" w:type="dxa"/>
            </w:tcMar>
            <w:hideMark/>
          </w:tcPr>
          <w:p w14:paraId="65C5A161"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0.50</w:t>
            </w:r>
          </w:p>
        </w:tc>
        <w:tc>
          <w:tcPr>
            <w:tcW w:w="1653" w:type="dxa"/>
            <w:shd w:val="clear" w:color="auto" w:fill="auto"/>
            <w:tcMar>
              <w:top w:w="15" w:type="dxa"/>
              <w:left w:w="108" w:type="dxa"/>
              <w:bottom w:w="0" w:type="dxa"/>
              <w:right w:w="108" w:type="dxa"/>
            </w:tcMar>
            <w:hideMark/>
          </w:tcPr>
          <w:p w14:paraId="69CCE911"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0.50</w:t>
            </w:r>
          </w:p>
        </w:tc>
        <w:tc>
          <w:tcPr>
            <w:tcW w:w="1359" w:type="dxa"/>
            <w:shd w:val="clear" w:color="auto" w:fill="auto"/>
            <w:tcMar>
              <w:top w:w="15" w:type="dxa"/>
              <w:left w:w="108" w:type="dxa"/>
              <w:bottom w:w="0" w:type="dxa"/>
              <w:right w:w="108" w:type="dxa"/>
            </w:tcMar>
            <w:hideMark/>
          </w:tcPr>
          <w:p w14:paraId="7516216A" w14:textId="77777777" w:rsidR="00D415EE" w:rsidRPr="00B75031" w:rsidRDefault="00D415EE" w:rsidP="0083042F">
            <w:pPr>
              <w:tabs>
                <w:tab w:val="left" w:pos="0"/>
              </w:tabs>
              <w:spacing w:after="0" w:line="360" w:lineRule="auto"/>
              <w:rPr>
                <w:rFonts w:ascii="Arial" w:hAnsi="Arial" w:cs="Arial"/>
                <w:sz w:val="20"/>
                <w:szCs w:val="20"/>
              </w:rPr>
            </w:pPr>
            <w:r w:rsidRPr="00B75031">
              <w:rPr>
                <w:rFonts w:ascii="Arial" w:hAnsi="Arial" w:cs="Arial"/>
                <w:sz w:val="20"/>
                <w:szCs w:val="20"/>
              </w:rPr>
              <w:t>0.50</w:t>
            </w:r>
          </w:p>
        </w:tc>
      </w:tr>
      <w:tr w:rsidR="00B75031" w:rsidRPr="00B75031" w14:paraId="386DB8F4" w14:textId="77777777" w:rsidTr="00D01B88">
        <w:trPr>
          <w:trHeight w:val="263"/>
        </w:trPr>
        <w:tc>
          <w:tcPr>
            <w:tcW w:w="2552" w:type="dxa"/>
            <w:shd w:val="clear" w:color="auto" w:fill="auto"/>
            <w:tcMar>
              <w:top w:w="15" w:type="dxa"/>
              <w:left w:w="108" w:type="dxa"/>
              <w:bottom w:w="0" w:type="dxa"/>
              <w:right w:w="108" w:type="dxa"/>
            </w:tcMar>
          </w:tcPr>
          <w:p w14:paraId="1059110E" w14:textId="77777777" w:rsidR="00B75031" w:rsidRPr="00B75031" w:rsidRDefault="00B75031" w:rsidP="0083042F">
            <w:pPr>
              <w:tabs>
                <w:tab w:val="left" w:pos="0"/>
              </w:tabs>
              <w:spacing w:after="0" w:line="360" w:lineRule="auto"/>
              <w:rPr>
                <w:rFonts w:ascii="Arial" w:hAnsi="Arial" w:cs="Arial"/>
                <w:bCs/>
                <w:sz w:val="20"/>
                <w:szCs w:val="20"/>
              </w:rPr>
            </w:pPr>
          </w:p>
        </w:tc>
        <w:tc>
          <w:tcPr>
            <w:tcW w:w="1685" w:type="dxa"/>
            <w:shd w:val="clear" w:color="auto" w:fill="auto"/>
            <w:tcMar>
              <w:top w:w="15" w:type="dxa"/>
              <w:left w:w="108" w:type="dxa"/>
              <w:bottom w:w="0" w:type="dxa"/>
              <w:right w:w="108" w:type="dxa"/>
            </w:tcMar>
          </w:tcPr>
          <w:p w14:paraId="43F00853" w14:textId="77777777" w:rsidR="00B75031" w:rsidRPr="00B75031" w:rsidRDefault="00B75031" w:rsidP="0083042F">
            <w:pPr>
              <w:tabs>
                <w:tab w:val="left" w:pos="0"/>
              </w:tabs>
              <w:spacing w:after="0" w:line="360" w:lineRule="auto"/>
              <w:rPr>
                <w:rFonts w:ascii="Arial" w:hAnsi="Arial" w:cs="Arial"/>
                <w:sz w:val="20"/>
                <w:szCs w:val="20"/>
              </w:rPr>
            </w:pPr>
          </w:p>
        </w:tc>
        <w:tc>
          <w:tcPr>
            <w:tcW w:w="1571" w:type="dxa"/>
            <w:shd w:val="clear" w:color="auto" w:fill="auto"/>
            <w:tcMar>
              <w:top w:w="15" w:type="dxa"/>
              <w:left w:w="108" w:type="dxa"/>
              <w:bottom w:w="0" w:type="dxa"/>
              <w:right w:w="108" w:type="dxa"/>
            </w:tcMar>
          </w:tcPr>
          <w:p w14:paraId="6A7C2181" w14:textId="77777777" w:rsidR="00B75031" w:rsidRPr="00B75031" w:rsidRDefault="00B75031" w:rsidP="0083042F">
            <w:pPr>
              <w:tabs>
                <w:tab w:val="left" w:pos="0"/>
              </w:tabs>
              <w:spacing w:after="0" w:line="360" w:lineRule="auto"/>
              <w:rPr>
                <w:rFonts w:ascii="Arial" w:hAnsi="Arial" w:cs="Arial"/>
                <w:sz w:val="20"/>
                <w:szCs w:val="20"/>
              </w:rPr>
            </w:pPr>
          </w:p>
        </w:tc>
        <w:tc>
          <w:tcPr>
            <w:tcW w:w="1653" w:type="dxa"/>
            <w:shd w:val="clear" w:color="auto" w:fill="auto"/>
            <w:tcMar>
              <w:top w:w="15" w:type="dxa"/>
              <w:left w:w="108" w:type="dxa"/>
              <w:bottom w:w="0" w:type="dxa"/>
              <w:right w:w="108" w:type="dxa"/>
            </w:tcMar>
          </w:tcPr>
          <w:p w14:paraId="371E4B66" w14:textId="77777777" w:rsidR="00B75031" w:rsidRPr="00B75031" w:rsidRDefault="00B75031" w:rsidP="0083042F">
            <w:pPr>
              <w:tabs>
                <w:tab w:val="left" w:pos="0"/>
              </w:tabs>
              <w:spacing w:after="0" w:line="360" w:lineRule="auto"/>
              <w:rPr>
                <w:rFonts w:ascii="Arial" w:hAnsi="Arial" w:cs="Arial"/>
                <w:sz w:val="20"/>
                <w:szCs w:val="20"/>
              </w:rPr>
            </w:pPr>
          </w:p>
        </w:tc>
        <w:tc>
          <w:tcPr>
            <w:tcW w:w="1359" w:type="dxa"/>
            <w:shd w:val="clear" w:color="auto" w:fill="auto"/>
            <w:tcMar>
              <w:top w:w="15" w:type="dxa"/>
              <w:left w:w="108" w:type="dxa"/>
              <w:bottom w:w="0" w:type="dxa"/>
              <w:right w:w="108" w:type="dxa"/>
            </w:tcMar>
          </w:tcPr>
          <w:p w14:paraId="203F535C" w14:textId="77777777" w:rsidR="00B75031" w:rsidRPr="00B75031" w:rsidRDefault="00B75031" w:rsidP="0083042F">
            <w:pPr>
              <w:tabs>
                <w:tab w:val="left" w:pos="0"/>
              </w:tabs>
              <w:spacing w:after="0" w:line="360" w:lineRule="auto"/>
              <w:rPr>
                <w:rFonts w:ascii="Arial" w:hAnsi="Arial" w:cs="Arial"/>
                <w:sz w:val="20"/>
                <w:szCs w:val="20"/>
              </w:rPr>
            </w:pPr>
          </w:p>
        </w:tc>
      </w:tr>
      <w:tr w:rsidR="00D415EE" w:rsidRPr="00B75031" w14:paraId="76A71F3F" w14:textId="77777777" w:rsidTr="00D01B88">
        <w:trPr>
          <w:trHeight w:val="397"/>
        </w:trPr>
        <w:tc>
          <w:tcPr>
            <w:tcW w:w="8820" w:type="dxa"/>
            <w:gridSpan w:val="5"/>
            <w:shd w:val="clear" w:color="auto" w:fill="auto"/>
            <w:tcMar>
              <w:top w:w="15" w:type="dxa"/>
              <w:left w:w="108" w:type="dxa"/>
              <w:bottom w:w="0" w:type="dxa"/>
              <w:right w:w="108" w:type="dxa"/>
            </w:tcMar>
            <w:hideMark/>
          </w:tcPr>
          <w:p w14:paraId="227ED466" w14:textId="77777777" w:rsidR="00D415EE" w:rsidRPr="00B75031" w:rsidRDefault="00D415EE" w:rsidP="0083042F">
            <w:pPr>
              <w:tabs>
                <w:tab w:val="left" w:pos="0"/>
              </w:tabs>
              <w:spacing w:after="0" w:line="360" w:lineRule="auto"/>
              <w:rPr>
                <w:rFonts w:ascii="Arial" w:hAnsi="Arial" w:cs="Arial"/>
                <w:b/>
                <w:sz w:val="20"/>
                <w:szCs w:val="20"/>
              </w:rPr>
            </w:pPr>
            <w:r w:rsidRPr="00B75031">
              <w:rPr>
                <w:rFonts w:ascii="Arial" w:hAnsi="Arial" w:cs="Arial"/>
                <w:b/>
                <w:sz w:val="20"/>
                <w:szCs w:val="20"/>
              </w:rPr>
              <w:t>Calculated nutrients (%)</w:t>
            </w:r>
          </w:p>
        </w:tc>
      </w:tr>
      <w:tr w:rsidR="00D415EE" w:rsidRPr="00B75031" w14:paraId="150128A3" w14:textId="77777777" w:rsidTr="00D01B88">
        <w:trPr>
          <w:trHeight w:val="262"/>
        </w:trPr>
        <w:tc>
          <w:tcPr>
            <w:tcW w:w="2552" w:type="dxa"/>
            <w:shd w:val="clear" w:color="auto" w:fill="auto"/>
            <w:tcMar>
              <w:top w:w="15" w:type="dxa"/>
              <w:left w:w="108" w:type="dxa"/>
              <w:bottom w:w="0" w:type="dxa"/>
              <w:right w:w="108" w:type="dxa"/>
            </w:tcMar>
            <w:hideMark/>
          </w:tcPr>
          <w:p w14:paraId="0466BE0F" w14:textId="77777777" w:rsidR="00D415EE" w:rsidRPr="00B75031" w:rsidRDefault="00D415EE" w:rsidP="0083042F">
            <w:pPr>
              <w:tabs>
                <w:tab w:val="left" w:pos="0"/>
              </w:tabs>
              <w:spacing w:after="0" w:line="240" w:lineRule="auto"/>
              <w:rPr>
                <w:rFonts w:ascii="Arial" w:hAnsi="Arial" w:cs="Arial"/>
                <w:bCs/>
                <w:sz w:val="20"/>
                <w:szCs w:val="20"/>
              </w:rPr>
            </w:pPr>
            <w:r w:rsidRPr="00B75031">
              <w:rPr>
                <w:rFonts w:ascii="Arial" w:hAnsi="Arial" w:cs="Arial"/>
                <w:bCs/>
                <w:sz w:val="20"/>
                <w:szCs w:val="20"/>
              </w:rPr>
              <w:t>Fat</w:t>
            </w:r>
          </w:p>
        </w:tc>
        <w:tc>
          <w:tcPr>
            <w:tcW w:w="1685" w:type="dxa"/>
            <w:shd w:val="clear" w:color="auto" w:fill="auto"/>
            <w:tcMar>
              <w:top w:w="15" w:type="dxa"/>
              <w:left w:w="108" w:type="dxa"/>
              <w:bottom w:w="0" w:type="dxa"/>
              <w:right w:w="108" w:type="dxa"/>
            </w:tcMar>
            <w:hideMark/>
          </w:tcPr>
          <w:p w14:paraId="7495F6D3"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3.04</w:t>
            </w:r>
          </w:p>
        </w:tc>
        <w:tc>
          <w:tcPr>
            <w:tcW w:w="1571" w:type="dxa"/>
            <w:shd w:val="clear" w:color="auto" w:fill="auto"/>
            <w:tcMar>
              <w:top w:w="15" w:type="dxa"/>
              <w:left w:w="108" w:type="dxa"/>
              <w:bottom w:w="0" w:type="dxa"/>
              <w:right w:w="108" w:type="dxa"/>
            </w:tcMar>
            <w:hideMark/>
          </w:tcPr>
          <w:p w14:paraId="382AF164"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3.00</w:t>
            </w:r>
          </w:p>
        </w:tc>
        <w:tc>
          <w:tcPr>
            <w:tcW w:w="1653" w:type="dxa"/>
            <w:shd w:val="clear" w:color="auto" w:fill="auto"/>
            <w:tcMar>
              <w:top w:w="15" w:type="dxa"/>
              <w:left w:w="108" w:type="dxa"/>
              <w:bottom w:w="0" w:type="dxa"/>
              <w:right w:w="108" w:type="dxa"/>
            </w:tcMar>
            <w:hideMark/>
          </w:tcPr>
          <w:p w14:paraId="627B632A"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6.16</w:t>
            </w:r>
          </w:p>
        </w:tc>
        <w:tc>
          <w:tcPr>
            <w:tcW w:w="1359" w:type="dxa"/>
            <w:shd w:val="clear" w:color="auto" w:fill="auto"/>
            <w:tcMar>
              <w:top w:w="15" w:type="dxa"/>
              <w:left w:w="108" w:type="dxa"/>
              <w:bottom w:w="0" w:type="dxa"/>
              <w:right w:w="108" w:type="dxa"/>
            </w:tcMar>
            <w:hideMark/>
          </w:tcPr>
          <w:p w14:paraId="32983A4B"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6.30</w:t>
            </w:r>
          </w:p>
        </w:tc>
      </w:tr>
      <w:tr w:rsidR="00D415EE" w:rsidRPr="00B75031" w14:paraId="28464A57" w14:textId="77777777" w:rsidTr="00D01B88">
        <w:trPr>
          <w:trHeight w:val="95"/>
        </w:trPr>
        <w:tc>
          <w:tcPr>
            <w:tcW w:w="2552" w:type="dxa"/>
            <w:shd w:val="clear" w:color="auto" w:fill="auto"/>
            <w:tcMar>
              <w:top w:w="15" w:type="dxa"/>
              <w:left w:w="108" w:type="dxa"/>
              <w:bottom w:w="0" w:type="dxa"/>
              <w:right w:w="108" w:type="dxa"/>
            </w:tcMar>
            <w:hideMark/>
          </w:tcPr>
          <w:p w14:paraId="6880C370" w14:textId="77777777" w:rsidR="00D415EE" w:rsidRPr="00B75031" w:rsidRDefault="00D415EE" w:rsidP="0083042F">
            <w:pPr>
              <w:tabs>
                <w:tab w:val="left" w:pos="0"/>
              </w:tabs>
              <w:spacing w:after="0" w:line="240" w:lineRule="auto"/>
              <w:rPr>
                <w:rFonts w:ascii="Arial" w:hAnsi="Arial" w:cs="Arial"/>
                <w:bCs/>
                <w:sz w:val="20"/>
                <w:szCs w:val="20"/>
              </w:rPr>
            </w:pPr>
            <w:r w:rsidRPr="00B75031">
              <w:rPr>
                <w:rFonts w:ascii="Arial" w:hAnsi="Arial" w:cs="Arial"/>
                <w:bCs/>
                <w:sz w:val="20"/>
                <w:szCs w:val="20"/>
              </w:rPr>
              <w:t>Fibre</w:t>
            </w:r>
          </w:p>
        </w:tc>
        <w:tc>
          <w:tcPr>
            <w:tcW w:w="1685" w:type="dxa"/>
            <w:shd w:val="clear" w:color="auto" w:fill="auto"/>
            <w:tcMar>
              <w:top w:w="15" w:type="dxa"/>
              <w:left w:w="108" w:type="dxa"/>
              <w:bottom w:w="0" w:type="dxa"/>
              <w:right w:w="108" w:type="dxa"/>
            </w:tcMar>
            <w:hideMark/>
          </w:tcPr>
          <w:p w14:paraId="2ED691CE"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8.29</w:t>
            </w:r>
          </w:p>
        </w:tc>
        <w:tc>
          <w:tcPr>
            <w:tcW w:w="1571" w:type="dxa"/>
            <w:shd w:val="clear" w:color="auto" w:fill="auto"/>
            <w:tcMar>
              <w:top w:w="15" w:type="dxa"/>
              <w:left w:w="108" w:type="dxa"/>
              <w:bottom w:w="0" w:type="dxa"/>
              <w:right w:w="108" w:type="dxa"/>
            </w:tcMar>
            <w:hideMark/>
          </w:tcPr>
          <w:p w14:paraId="78A457CF"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18.30</w:t>
            </w:r>
          </w:p>
        </w:tc>
        <w:tc>
          <w:tcPr>
            <w:tcW w:w="1653" w:type="dxa"/>
            <w:shd w:val="clear" w:color="auto" w:fill="auto"/>
            <w:tcMar>
              <w:top w:w="15" w:type="dxa"/>
              <w:left w:w="108" w:type="dxa"/>
              <w:bottom w:w="0" w:type="dxa"/>
              <w:right w:w="108" w:type="dxa"/>
            </w:tcMar>
            <w:hideMark/>
          </w:tcPr>
          <w:p w14:paraId="53C9A772"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7.65</w:t>
            </w:r>
          </w:p>
        </w:tc>
        <w:tc>
          <w:tcPr>
            <w:tcW w:w="1359" w:type="dxa"/>
            <w:shd w:val="clear" w:color="auto" w:fill="auto"/>
            <w:tcMar>
              <w:top w:w="15" w:type="dxa"/>
              <w:left w:w="108" w:type="dxa"/>
              <w:bottom w:w="0" w:type="dxa"/>
              <w:right w:w="108" w:type="dxa"/>
            </w:tcMar>
            <w:hideMark/>
          </w:tcPr>
          <w:p w14:paraId="7A299501"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17.67</w:t>
            </w:r>
          </w:p>
        </w:tc>
      </w:tr>
      <w:tr w:rsidR="00D415EE" w:rsidRPr="00B75031" w14:paraId="3C9D136B" w14:textId="77777777" w:rsidTr="00D01B88">
        <w:trPr>
          <w:trHeight w:val="242"/>
        </w:trPr>
        <w:tc>
          <w:tcPr>
            <w:tcW w:w="2552" w:type="dxa"/>
            <w:shd w:val="clear" w:color="auto" w:fill="auto"/>
            <w:tcMar>
              <w:top w:w="15" w:type="dxa"/>
              <w:left w:w="108" w:type="dxa"/>
              <w:bottom w:w="0" w:type="dxa"/>
              <w:right w:w="108" w:type="dxa"/>
            </w:tcMar>
          </w:tcPr>
          <w:p w14:paraId="2B9EB290" w14:textId="77777777" w:rsidR="00D415EE" w:rsidRPr="00B75031" w:rsidRDefault="00D415EE" w:rsidP="0083042F">
            <w:pPr>
              <w:tabs>
                <w:tab w:val="left" w:pos="0"/>
              </w:tabs>
              <w:spacing w:after="0" w:line="240" w:lineRule="auto"/>
              <w:rPr>
                <w:rFonts w:ascii="Arial" w:hAnsi="Arial" w:cs="Arial"/>
                <w:bCs/>
                <w:sz w:val="20"/>
                <w:szCs w:val="20"/>
              </w:rPr>
            </w:pPr>
            <w:r w:rsidRPr="00B75031">
              <w:rPr>
                <w:rFonts w:ascii="Arial" w:hAnsi="Arial" w:cs="Arial"/>
                <w:bCs/>
                <w:sz w:val="20"/>
                <w:szCs w:val="20"/>
              </w:rPr>
              <w:t xml:space="preserve">Crude protein </w:t>
            </w:r>
          </w:p>
        </w:tc>
        <w:tc>
          <w:tcPr>
            <w:tcW w:w="1685" w:type="dxa"/>
            <w:shd w:val="clear" w:color="auto" w:fill="auto"/>
            <w:tcMar>
              <w:top w:w="15" w:type="dxa"/>
              <w:left w:w="108" w:type="dxa"/>
              <w:bottom w:w="0" w:type="dxa"/>
              <w:right w:w="108" w:type="dxa"/>
            </w:tcMar>
          </w:tcPr>
          <w:p w14:paraId="023518AE"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17.5</w:t>
            </w:r>
          </w:p>
        </w:tc>
        <w:tc>
          <w:tcPr>
            <w:tcW w:w="1571" w:type="dxa"/>
            <w:shd w:val="clear" w:color="auto" w:fill="auto"/>
            <w:tcMar>
              <w:top w:w="15" w:type="dxa"/>
              <w:left w:w="108" w:type="dxa"/>
              <w:bottom w:w="0" w:type="dxa"/>
              <w:right w:w="108" w:type="dxa"/>
            </w:tcMar>
          </w:tcPr>
          <w:p w14:paraId="4A0080EF"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17.3</w:t>
            </w:r>
          </w:p>
        </w:tc>
        <w:tc>
          <w:tcPr>
            <w:tcW w:w="1653" w:type="dxa"/>
            <w:shd w:val="clear" w:color="auto" w:fill="auto"/>
            <w:tcMar>
              <w:top w:w="15" w:type="dxa"/>
              <w:left w:w="108" w:type="dxa"/>
              <w:bottom w:w="0" w:type="dxa"/>
              <w:right w:w="108" w:type="dxa"/>
            </w:tcMar>
          </w:tcPr>
          <w:p w14:paraId="105F33BC"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17.58</w:t>
            </w:r>
          </w:p>
        </w:tc>
        <w:tc>
          <w:tcPr>
            <w:tcW w:w="1359" w:type="dxa"/>
            <w:shd w:val="clear" w:color="auto" w:fill="auto"/>
            <w:tcMar>
              <w:top w:w="15" w:type="dxa"/>
              <w:left w:w="108" w:type="dxa"/>
              <w:bottom w:w="0" w:type="dxa"/>
              <w:right w:w="108" w:type="dxa"/>
            </w:tcMar>
          </w:tcPr>
          <w:p w14:paraId="2F5074C9"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17.3</w:t>
            </w:r>
          </w:p>
        </w:tc>
      </w:tr>
      <w:tr w:rsidR="00D415EE" w:rsidRPr="00B75031" w14:paraId="3D8F326D" w14:textId="77777777" w:rsidTr="00D01B88">
        <w:trPr>
          <w:trHeight w:val="577"/>
        </w:trPr>
        <w:tc>
          <w:tcPr>
            <w:tcW w:w="8820" w:type="dxa"/>
            <w:gridSpan w:val="5"/>
            <w:shd w:val="clear" w:color="auto" w:fill="auto"/>
            <w:tcMar>
              <w:top w:w="15" w:type="dxa"/>
              <w:left w:w="108" w:type="dxa"/>
              <w:bottom w:w="0" w:type="dxa"/>
              <w:right w:w="108" w:type="dxa"/>
            </w:tcMar>
          </w:tcPr>
          <w:p w14:paraId="70FEC5E3" w14:textId="77777777" w:rsidR="00D415EE" w:rsidRPr="00B75031" w:rsidRDefault="00D415EE" w:rsidP="0083042F">
            <w:pPr>
              <w:tabs>
                <w:tab w:val="left" w:pos="0"/>
              </w:tabs>
              <w:spacing w:after="0" w:line="240" w:lineRule="auto"/>
              <w:rPr>
                <w:rFonts w:ascii="Arial" w:hAnsi="Arial" w:cs="Arial"/>
                <w:b/>
                <w:sz w:val="20"/>
                <w:szCs w:val="20"/>
              </w:rPr>
            </w:pPr>
          </w:p>
          <w:p w14:paraId="78FA8362"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b/>
                <w:sz w:val="20"/>
                <w:szCs w:val="20"/>
              </w:rPr>
              <w:t>Analyzed Nutrient (%)</w:t>
            </w:r>
          </w:p>
        </w:tc>
      </w:tr>
      <w:tr w:rsidR="00D415EE" w:rsidRPr="00B75031" w14:paraId="0BB86B43" w14:textId="77777777" w:rsidTr="00D01B88">
        <w:trPr>
          <w:trHeight w:val="242"/>
        </w:trPr>
        <w:tc>
          <w:tcPr>
            <w:tcW w:w="2552" w:type="dxa"/>
            <w:shd w:val="clear" w:color="auto" w:fill="auto"/>
            <w:tcMar>
              <w:top w:w="15" w:type="dxa"/>
              <w:left w:w="108" w:type="dxa"/>
              <w:bottom w:w="0" w:type="dxa"/>
              <w:right w:w="108" w:type="dxa"/>
            </w:tcMar>
          </w:tcPr>
          <w:p w14:paraId="398E41C3" w14:textId="77777777" w:rsidR="00D415EE" w:rsidRPr="00B75031" w:rsidRDefault="00D415EE" w:rsidP="0083042F">
            <w:pPr>
              <w:tabs>
                <w:tab w:val="left" w:pos="0"/>
              </w:tabs>
              <w:spacing w:after="0" w:line="240" w:lineRule="auto"/>
              <w:rPr>
                <w:rFonts w:ascii="Arial" w:hAnsi="Arial" w:cs="Arial"/>
                <w:bCs/>
                <w:sz w:val="20"/>
                <w:szCs w:val="20"/>
              </w:rPr>
            </w:pPr>
            <w:r w:rsidRPr="00B75031">
              <w:rPr>
                <w:rFonts w:ascii="Arial" w:hAnsi="Arial" w:cs="Arial"/>
                <w:bCs/>
                <w:sz w:val="20"/>
                <w:szCs w:val="20"/>
              </w:rPr>
              <w:t xml:space="preserve">Fat </w:t>
            </w:r>
            <w:r w:rsidRPr="00B75031">
              <w:rPr>
                <w:rFonts w:ascii="Arial" w:hAnsi="Arial" w:cs="Arial"/>
                <w:b/>
                <w:sz w:val="20"/>
                <w:szCs w:val="20"/>
              </w:rPr>
              <w:t>(%)</w:t>
            </w:r>
          </w:p>
        </w:tc>
        <w:tc>
          <w:tcPr>
            <w:tcW w:w="1685" w:type="dxa"/>
            <w:shd w:val="clear" w:color="auto" w:fill="auto"/>
            <w:tcMar>
              <w:top w:w="15" w:type="dxa"/>
              <w:left w:w="108" w:type="dxa"/>
              <w:bottom w:w="0" w:type="dxa"/>
              <w:right w:w="108" w:type="dxa"/>
            </w:tcMar>
          </w:tcPr>
          <w:p w14:paraId="217D983A"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5.75</w:t>
            </w:r>
          </w:p>
        </w:tc>
        <w:tc>
          <w:tcPr>
            <w:tcW w:w="1571" w:type="dxa"/>
            <w:shd w:val="clear" w:color="auto" w:fill="auto"/>
            <w:tcMar>
              <w:top w:w="15" w:type="dxa"/>
              <w:left w:w="108" w:type="dxa"/>
              <w:bottom w:w="0" w:type="dxa"/>
              <w:right w:w="108" w:type="dxa"/>
            </w:tcMar>
          </w:tcPr>
          <w:p w14:paraId="6A45C05C"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6.90</w:t>
            </w:r>
          </w:p>
        </w:tc>
        <w:tc>
          <w:tcPr>
            <w:tcW w:w="1653" w:type="dxa"/>
            <w:shd w:val="clear" w:color="auto" w:fill="auto"/>
            <w:tcMar>
              <w:top w:w="15" w:type="dxa"/>
              <w:left w:w="108" w:type="dxa"/>
              <w:bottom w:w="0" w:type="dxa"/>
              <w:right w:w="108" w:type="dxa"/>
            </w:tcMar>
          </w:tcPr>
          <w:p w14:paraId="10F17AB7"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 xml:space="preserve">        19.37</w:t>
            </w:r>
          </w:p>
        </w:tc>
        <w:tc>
          <w:tcPr>
            <w:tcW w:w="1359" w:type="dxa"/>
            <w:shd w:val="clear" w:color="auto" w:fill="auto"/>
            <w:tcMar>
              <w:top w:w="15" w:type="dxa"/>
              <w:left w:w="108" w:type="dxa"/>
              <w:bottom w:w="0" w:type="dxa"/>
              <w:right w:w="108" w:type="dxa"/>
            </w:tcMar>
          </w:tcPr>
          <w:p w14:paraId="1AFD8A89"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19.41</w:t>
            </w:r>
          </w:p>
        </w:tc>
      </w:tr>
      <w:tr w:rsidR="00D415EE" w:rsidRPr="00B75031" w14:paraId="2C327C7F" w14:textId="77777777" w:rsidTr="00D01B88">
        <w:trPr>
          <w:trHeight w:val="242"/>
        </w:trPr>
        <w:tc>
          <w:tcPr>
            <w:tcW w:w="2552" w:type="dxa"/>
            <w:shd w:val="clear" w:color="auto" w:fill="auto"/>
            <w:tcMar>
              <w:top w:w="15" w:type="dxa"/>
              <w:left w:w="108" w:type="dxa"/>
              <w:bottom w:w="0" w:type="dxa"/>
              <w:right w:w="108" w:type="dxa"/>
            </w:tcMar>
          </w:tcPr>
          <w:p w14:paraId="3CF79360" w14:textId="77777777" w:rsidR="00D415EE" w:rsidRPr="00B75031" w:rsidRDefault="00D415EE" w:rsidP="0083042F">
            <w:pPr>
              <w:tabs>
                <w:tab w:val="left" w:pos="0"/>
              </w:tabs>
              <w:spacing w:after="0" w:line="240" w:lineRule="auto"/>
              <w:rPr>
                <w:rFonts w:ascii="Arial" w:hAnsi="Arial" w:cs="Arial"/>
                <w:bCs/>
                <w:sz w:val="20"/>
                <w:szCs w:val="20"/>
              </w:rPr>
            </w:pPr>
            <w:r w:rsidRPr="00B75031">
              <w:rPr>
                <w:rFonts w:ascii="Arial" w:hAnsi="Arial" w:cs="Arial"/>
                <w:bCs/>
                <w:sz w:val="20"/>
                <w:szCs w:val="20"/>
              </w:rPr>
              <w:t xml:space="preserve">Fibre </w:t>
            </w:r>
            <w:r w:rsidRPr="00B75031">
              <w:rPr>
                <w:rFonts w:ascii="Arial" w:hAnsi="Arial" w:cs="Arial"/>
                <w:b/>
                <w:sz w:val="20"/>
                <w:szCs w:val="20"/>
              </w:rPr>
              <w:t>(%)</w:t>
            </w:r>
          </w:p>
        </w:tc>
        <w:tc>
          <w:tcPr>
            <w:tcW w:w="1685" w:type="dxa"/>
            <w:shd w:val="clear" w:color="auto" w:fill="auto"/>
            <w:tcMar>
              <w:top w:w="15" w:type="dxa"/>
              <w:left w:w="108" w:type="dxa"/>
              <w:bottom w:w="0" w:type="dxa"/>
              <w:right w:w="108" w:type="dxa"/>
            </w:tcMar>
          </w:tcPr>
          <w:p w14:paraId="00DD9FE6"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9.97</w:t>
            </w:r>
          </w:p>
        </w:tc>
        <w:tc>
          <w:tcPr>
            <w:tcW w:w="1571" w:type="dxa"/>
            <w:shd w:val="clear" w:color="auto" w:fill="auto"/>
            <w:tcMar>
              <w:top w:w="15" w:type="dxa"/>
              <w:left w:w="108" w:type="dxa"/>
              <w:bottom w:w="0" w:type="dxa"/>
              <w:right w:w="108" w:type="dxa"/>
            </w:tcMar>
          </w:tcPr>
          <w:p w14:paraId="514BDBBF"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15.80</w:t>
            </w:r>
          </w:p>
        </w:tc>
        <w:tc>
          <w:tcPr>
            <w:tcW w:w="1653" w:type="dxa"/>
            <w:shd w:val="clear" w:color="auto" w:fill="auto"/>
            <w:tcMar>
              <w:top w:w="15" w:type="dxa"/>
              <w:left w:w="108" w:type="dxa"/>
              <w:bottom w:w="0" w:type="dxa"/>
              <w:right w:w="108" w:type="dxa"/>
            </w:tcMar>
          </w:tcPr>
          <w:p w14:paraId="663A1A22"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9.79</w:t>
            </w:r>
          </w:p>
        </w:tc>
        <w:tc>
          <w:tcPr>
            <w:tcW w:w="1359" w:type="dxa"/>
            <w:shd w:val="clear" w:color="auto" w:fill="auto"/>
            <w:tcMar>
              <w:top w:w="15" w:type="dxa"/>
              <w:left w:w="108" w:type="dxa"/>
              <w:bottom w:w="0" w:type="dxa"/>
              <w:right w:w="108" w:type="dxa"/>
            </w:tcMar>
          </w:tcPr>
          <w:p w14:paraId="5E09774C"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16.12</w:t>
            </w:r>
          </w:p>
        </w:tc>
      </w:tr>
      <w:tr w:rsidR="00D415EE" w:rsidRPr="00B75031" w14:paraId="2CC0A3C4" w14:textId="77777777" w:rsidTr="00D01B88">
        <w:trPr>
          <w:trHeight w:val="242"/>
        </w:trPr>
        <w:tc>
          <w:tcPr>
            <w:tcW w:w="2552" w:type="dxa"/>
            <w:shd w:val="clear" w:color="auto" w:fill="auto"/>
            <w:tcMar>
              <w:top w:w="15" w:type="dxa"/>
              <w:left w:w="108" w:type="dxa"/>
              <w:bottom w:w="0" w:type="dxa"/>
              <w:right w:w="108" w:type="dxa"/>
            </w:tcMar>
          </w:tcPr>
          <w:p w14:paraId="27DEDE78" w14:textId="77777777" w:rsidR="00D415EE" w:rsidRPr="00B75031" w:rsidRDefault="00D415EE" w:rsidP="0083042F">
            <w:pPr>
              <w:tabs>
                <w:tab w:val="left" w:pos="0"/>
              </w:tabs>
              <w:spacing w:after="0" w:line="240" w:lineRule="auto"/>
              <w:rPr>
                <w:rFonts w:ascii="Arial" w:hAnsi="Arial" w:cs="Arial"/>
                <w:bCs/>
                <w:sz w:val="20"/>
                <w:szCs w:val="20"/>
              </w:rPr>
            </w:pPr>
            <w:r w:rsidRPr="00B75031">
              <w:rPr>
                <w:rFonts w:ascii="Arial" w:hAnsi="Arial" w:cs="Arial"/>
                <w:bCs/>
                <w:sz w:val="20"/>
                <w:szCs w:val="20"/>
              </w:rPr>
              <w:t xml:space="preserve">Crude protein </w:t>
            </w:r>
            <w:r w:rsidRPr="00B75031">
              <w:rPr>
                <w:rFonts w:ascii="Arial" w:hAnsi="Arial" w:cs="Arial"/>
                <w:b/>
                <w:sz w:val="20"/>
                <w:szCs w:val="20"/>
              </w:rPr>
              <w:t>(%)</w:t>
            </w:r>
          </w:p>
        </w:tc>
        <w:tc>
          <w:tcPr>
            <w:tcW w:w="1685" w:type="dxa"/>
            <w:shd w:val="clear" w:color="auto" w:fill="auto"/>
            <w:tcMar>
              <w:top w:w="15" w:type="dxa"/>
              <w:left w:w="108" w:type="dxa"/>
              <w:bottom w:w="0" w:type="dxa"/>
              <w:right w:w="108" w:type="dxa"/>
            </w:tcMar>
          </w:tcPr>
          <w:p w14:paraId="2C095C44"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20.58</w:t>
            </w:r>
          </w:p>
        </w:tc>
        <w:tc>
          <w:tcPr>
            <w:tcW w:w="1571" w:type="dxa"/>
            <w:shd w:val="clear" w:color="auto" w:fill="auto"/>
            <w:tcMar>
              <w:top w:w="15" w:type="dxa"/>
              <w:left w:w="108" w:type="dxa"/>
              <w:bottom w:w="0" w:type="dxa"/>
              <w:right w:w="108" w:type="dxa"/>
            </w:tcMar>
          </w:tcPr>
          <w:p w14:paraId="7E2558CB"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19.70</w:t>
            </w:r>
          </w:p>
        </w:tc>
        <w:tc>
          <w:tcPr>
            <w:tcW w:w="1653" w:type="dxa"/>
            <w:shd w:val="clear" w:color="auto" w:fill="auto"/>
            <w:tcMar>
              <w:top w:w="15" w:type="dxa"/>
              <w:left w:w="108" w:type="dxa"/>
              <w:bottom w:w="0" w:type="dxa"/>
              <w:right w:w="108" w:type="dxa"/>
            </w:tcMar>
          </w:tcPr>
          <w:p w14:paraId="79CC5782"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17.51</w:t>
            </w:r>
          </w:p>
        </w:tc>
        <w:tc>
          <w:tcPr>
            <w:tcW w:w="1359" w:type="dxa"/>
            <w:shd w:val="clear" w:color="auto" w:fill="auto"/>
            <w:tcMar>
              <w:top w:w="15" w:type="dxa"/>
              <w:left w:w="108" w:type="dxa"/>
              <w:bottom w:w="0" w:type="dxa"/>
              <w:right w:w="108" w:type="dxa"/>
            </w:tcMar>
          </w:tcPr>
          <w:p w14:paraId="2F46087E"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19.05</w:t>
            </w:r>
          </w:p>
        </w:tc>
      </w:tr>
      <w:tr w:rsidR="00D415EE" w:rsidRPr="00B75031" w14:paraId="259F22D5" w14:textId="77777777" w:rsidTr="00D01B88">
        <w:trPr>
          <w:trHeight w:val="242"/>
        </w:trPr>
        <w:tc>
          <w:tcPr>
            <w:tcW w:w="2552" w:type="dxa"/>
            <w:shd w:val="clear" w:color="auto" w:fill="auto"/>
            <w:tcMar>
              <w:top w:w="15" w:type="dxa"/>
              <w:left w:w="108" w:type="dxa"/>
              <w:bottom w:w="0" w:type="dxa"/>
              <w:right w:w="108" w:type="dxa"/>
            </w:tcMar>
          </w:tcPr>
          <w:p w14:paraId="75574F72" w14:textId="77777777" w:rsidR="00D415EE" w:rsidRPr="00B75031" w:rsidRDefault="00D415EE" w:rsidP="0083042F">
            <w:pPr>
              <w:tabs>
                <w:tab w:val="left" w:pos="0"/>
              </w:tabs>
              <w:spacing w:after="0" w:line="240" w:lineRule="auto"/>
              <w:rPr>
                <w:rFonts w:ascii="Arial" w:hAnsi="Arial" w:cs="Arial"/>
                <w:bCs/>
                <w:sz w:val="20"/>
                <w:szCs w:val="20"/>
              </w:rPr>
            </w:pPr>
            <w:r w:rsidRPr="00B75031">
              <w:rPr>
                <w:rFonts w:ascii="Arial" w:hAnsi="Arial" w:cs="Arial"/>
                <w:bCs/>
                <w:sz w:val="20"/>
                <w:szCs w:val="20"/>
              </w:rPr>
              <w:t xml:space="preserve">Energy, kcal/kg </w:t>
            </w:r>
          </w:p>
        </w:tc>
        <w:tc>
          <w:tcPr>
            <w:tcW w:w="1685" w:type="dxa"/>
            <w:shd w:val="clear" w:color="auto" w:fill="auto"/>
            <w:tcMar>
              <w:top w:w="15" w:type="dxa"/>
              <w:left w:w="108" w:type="dxa"/>
              <w:bottom w:w="0" w:type="dxa"/>
              <w:right w:w="108" w:type="dxa"/>
            </w:tcMar>
          </w:tcPr>
          <w:p w14:paraId="318FBFED"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3473.61</w:t>
            </w:r>
          </w:p>
        </w:tc>
        <w:tc>
          <w:tcPr>
            <w:tcW w:w="1571" w:type="dxa"/>
            <w:shd w:val="clear" w:color="auto" w:fill="auto"/>
            <w:tcMar>
              <w:top w:w="15" w:type="dxa"/>
              <w:left w:w="108" w:type="dxa"/>
              <w:bottom w:w="0" w:type="dxa"/>
              <w:right w:w="108" w:type="dxa"/>
            </w:tcMar>
          </w:tcPr>
          <w:p w14:paraId="72C2B625"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3375.27</w:t>
            </w:r>
          </w:p>
        </w:tc>
        <w:tc>
          <w:tcPr>
            <w:tcW w:w="1653" w:type="dxa"/>
            <w:shd w:val="clear" w:color="auto" w:fill="auto"/>
            <w:tcMar>
              <w:top w:w="15" w:type="dxa"/>
              <w:left w:w="108" w:type="dxa"/>
              <w:bottom w:w="0" w:type="dxa"/>
              <w:right w:w="108" w:type="dxa"/>
            </w:tcMar>
          </w:tcPr>
          <w:p w14:paraId="32D29B7C"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3503.19</w:t>
            </w:r>
          </w:p>
        </w:tc>
        <w:tc>
          <w:tcPr>
            <w:tcW w:w="1359" w:type="dxa"/>
            <w:shd w:val="clear" w:color="auto" w:fill="auto"/>
            <w:tcMar>
              <w:top w:w="15" w:type="dxa"/>
              <w:left w:w="108" w:type="dxa"/>
              <w:bottom w:w="0" w:type="dxa"/>
              <w:right w:w="108" w:type="dxa"/>
            </w:tcMar>
          </w:tcPr>
          <w:p w14:paraId="54A3A934" w14:textId="77777777" w:rsidR="00D415EE" w:rsidRPr="00B75031" w:rsidRDefault="00D415EE" w:rsidP="0083042F">
            <w:pPr>
              <w:tabs>
                <w:tab w:val="left" w:pos="0"/>
              </w:tabs>
              <w:spacing w:after="0" w:line="240" w:lineRule="auto"/>
              <w:rPr>
                <w:rFonts w:ascii="Arial" w:hAnsi="Arial" w:cs="Arial"/>
                <w:sz w:val="20"/>
                <w:szCs w:val="20"/>
              </w:rPr>
            </w:pPr>
            <w:r w:rsidRPr="00B75031">
              <w:rPr>
                <w:rFonts w:ascii="Arial" w:hAnsi="Arial" w:cs="Arial"/>
                <w:sz w:val="20"/>
                <w:szCs w:val="20"/>
              </w:rPr>
              <w:t>3465.67</w:t>
            </w:r>
          </w:p>
        </w:tc>
      </w:tr>
    </w:tbl>
    <w:p w14:paraId="65081148" w14:textId="372B1742" w:rsidR="00D415EE" w:rsidRDefault="00D415EE" w:rsidP="0083042F">
      <w:pPr>
        <w:tabs>
          <w:tab w:val="left" w:pos="0"/>
        </w:tabs>
        <w:rPr>
          <w:rFonts w:ascii="Arial" w:eastAsia="Calibri" w:hAnsi="Arial" w:cs="Arial"/>
          <w:i/>
          <w:sz w:val="18"/>
          <w:szCs w:val="20"/>
        </w:rPr>
      </w:pPr>
      <w:r w:rsidRPr="00B919A0">
        <w:rPr>
          <w:rFonts w:ascii="Arial" w:hAnsi="Arial" w:cs="Arial"/>
          <w:bCs/>
          <w:sz w:val="18"/>
          <w:szCs w:val="20"/>
          <w:vertAlign w:val="superscript"/>
        </w:rPr>
        <w:t>1</w:t>
      </w:r>
      <w:r w:rsidRPr="00B919A0">
        <w:rPr>
          <w:rFonts w:ascii="Arial" w:eastAsia="Calibri" w:hAnsi="Arial" w:cs="Arial"/>
          <w:i/>
          <w:sz w:val="18"/>
          <w:szCs w:val="20"/>
        </w:rPr>
        <w:t xml:space="preserve">Vitamin A, 8,000,000 IU; Vitamin B1, 1300 mg, Vitamin B2, 2500 mg, Vitamin D3, 3000 IU; Vitamin E, 10,000 IU; Vitamin K3, 1,500 mg; Vitamin B6, 1,000 mg; Vitamin B12, 6 mg, Nicotinic Acid, 5,000 mg, Pantothenic Acid, 4000 mg; Choline Chloride, 8000 mg; Copper, 2,500 mg; Cobalt, 700 mg; Iron, 4,500 mg; Zinc, 55, 000 mg; Methionine, 50,000 mg; Lysine, 200,000 mg; Selenium (1%), 1,300 mg; Iodine, 2,000 mg; </w:t>
      </w:r>
      <w:commentRangeStart w:id="8"/>
      <w:r w:rsidRPr="00B919A0">
        <w:rPr>
          <w:rFonts w:ascii="Arial" w:eastAsia="Calibri" w:hAnsi="Arial" w:cs="Arial"/>
          <w:i/>
          <w:sz w:val="18"/>
          <w:szCs w:val="20"/>
        </w:rPr>
        <w:t>Manganese</w:t>
      </w:r>
      <w:r w:rsidR="00B919A0">
        <w:rPr>
          <w:rFonts w:ascii="Arial" w:eastAsia="Calibri" w:hAnsi="Arial" w:cs="Arial"/>
          <w:i/>
          <w:sz w:val="18"/>
          <w:szCs w:val="20"/>
        </w:rPr>
        <w:t>.</w:t>
      </w:r>
      <w:commentRangeEnd w:id="8"/>
      <w:r w:rsidR="000B7BA9">
        <w:rPr>
          <w:rStyle w:val="CommentReference"/>
        </w:rPr>
        <w:commentReference w:id="8"/>
      </w:r>
    </w:p>
    <w:p w14:paraId="0B281034" w14:textId="77777777" w:rsidR="00B919A0" w:rsidRPr="00B919A0" w:rsidRDefault="00B919A0" w:rsidP="0083042F">
      <w:pPr>
        <w:tabs>
          <w:tab w:val="left" w:pos="0"/>
        </w:tabs>
        <w:rPr>
          <w:rFonts w:ascii="Arial" w:hAnsi="Arial" w:cs="Arial"/>
          <w:sz w:val="18"/>
          <w:szCs w:val="20"/>
        </w:rPr>
      </w:pPr>
    </w:p>
    <w:p w14:paraId="7526DD63" w14:textId="18087B2F" w:rsidR="000D34CA" w:rsidRPr="009E33CA" w:rsidRDefault="00957859" w:rsidP="000D18E6">
      <w:pPr>
        <w:pStyle w:val="Heading2"/>
      </w:pPr>
      <w:bookmarkStart w:id="9" w:name="_Toc153348023"/>
      <w:r>
        <w:t xml:space="preserve">2.3 </w:t>
      </w:r>
      <w:r w:rsidR="000D34CA" w:rsidRPr="009E33CA">
        <w:t>Data Collection</w:t>
      </w:r>
      <w:bookmarkEnd w:id="9"/>
      <w:r w:rsidR="000D34CA" w:rsidRPr="009E33CA">
        <w:t xml:space="preserve"> </w:t>
      </w:r>
    </w:p>
    <w:p w14:paraId="4AC500BE" w14:textId="69F46D3E" w:rsidR="00590A6C" w:rsidRDefault="00957859" w:rsidP="004162EE">
      <w:pPr>
        <w:pStyle w:val="Heading3"/>
      </w:pPr>
      <w:r>
        <w:t xml:space="preserve">2.3.1 </w:t>
      </w:r>
      <w:r w:rsidR="000D34CA" w:rsidRPr="00B04590">
        <w:t xml:space="preserve">Feed intake </w:t>
      </w:r>
    </w:p>
    <w:p w14:paraId="0E373E64" w14:textId="3DA8C689" w:rsidR="00590A6C" w:rsidRPr="0083042F" w:rsidRDefault="00590A6C" w:rsidP="00AD7184">
      <w:pPr>
        <w:tabs>
          <w:tab w:val="left" w:pos="0"/>
        </w:tabs>
        <w:spacing w:line="480" w:lineRule="auto"/>
        <w:rPr>
          <w:rFonts w:ascii="Arial" w:hAnsi="Arial" w:cs="Arial"/>
          <w:sz w:val="20"/>
        </w:rPr>
      </w:pPr>
      <w:r w:rsidRPr="0083042F">
        <w:rPr>
          <w:rFonts w:ascii="Arial" w:hAnsi="Arial" w:cs="Arial"/>
          <w:sz w:val="20"/>
        </w:rPr>
        <w:t xml:space="preserve">Feed intake was measured </w:t>
      </w:r>
      <w:r w:rsidR="0094474A">
        <w:rPr>
          <w:rFonts w:ascii="Arial" w:hAnsi="Arial" w:cs="Arial"/>
          <w:sz w:val="20"/>
        </w:rPr>
        <w:t>and</w:t>
      </w:r>
      <w:r w:rsidR="00D01B88">
        <w:rPr>
          <w:rFonts w:ascii="Arial" w:hAnsi="Arial" w:cs="Arial"/>
          <w:sz w:val="20"/>
        </w:rPr>
        <w:t xml:space="preserve"> recorded </w:t>
      </w:r>
      <w:r w:rsidRPr="0083042F">
        <w:rPr>
          <w:rFonts w:ascii="Arial" w:hAnsi="Arial" w:cs="Arial"/>
          <w:sz w:val="20"/>
        </w:rPr>
        <w:t>every morning</w:t>
      </w:r>
      <w:r w:rsidR="0083042F" w:rsidRPr="0083042F">
        <w:rPr>
          <w:rFonts w:ascii="Arial" w:hAnsi="Arial" w:cs="Arial"/>
          <w:sz w:val="20"/>
        </w:rPr>
        <w:t xml:space="preserve"> using a </w:t>
      </w:r>
      <w:r w:rsidR="0083042F" w:rsidRPr="0083042F">
        <w:rPr>
          <w:rFonts w:ascii="Arial" w:hAnsi="Arial" w:cs="Arial"/>
          <w:sz w:val="20"/>
          <w:szCs w:val="24"/>
        </w:rPr>
        <w:t xml:space="preserve">Camry </w:t>
      </w:r>
      <w:r w:rsidR="0094474A">
        <w:rPr>
          <w:rFonts w:ascii="Arial" w:hAnsi="Arial" w:cs="Arial"/>
          <w:sz w:val="20"/>
          <w:szCs w:val="24"/>
        </w:rPr>
        <w:t>top-loading</w:t>
      </w:r>
      <w:r w:rsidR="0083042F" w:rsidRPr="0083042F">
        <w:rPr>
          <w:rFonts w:ascii="Arial" w:hAnsi="Arial" w:cs="Arial"/>
          <w:sz w:val="20"/>
          <w:szCs w:val="24"/>
        </w:rPr>
        <w:t xml:space="preserve"> sensitive scale</w:t>
      </w:r>
      <w:r w:rsidR="00D01B88">
        <w:rPr>
          <w:rFonts w:ascii="Arial" w:hAnsi="Arial" w:cs="Arial"/>
          <w:sz w:val="20"/>
          <w:szCs w:val="24"/>
        </w:rPr>
        <w:t xml:space="preserve">. </w:t>
      </w:r>
      <w:r w:rsidR="0094474A">
        <w:rPr>
          <w:rFonts w:ascii="Arial" w:hAnsi="Arial" w:cs="Arial"/>
          <w:sz w:val="20"/>
          <w:szCs w:val="24"/>
        </w:rPr>
        <w:t>The analyzed</w:t>
      </w:r>
      <w:r w:rsidR="00D01B88">
        <w:rPr>
          <w:rFonts w:ascii="Arial" w:hAnsi="Arial" w:cs="Arial"/>
          <w:sz w:val="20"/>
          <w:szCs w:val="24"/>
        </w:rPr>
        <w:t xml:space="preserve"> data on the feed intake is shown in Table 2.</w:t>
      </w:r>
    </w:p>
    <w:p w14:paraId="198B5D92" w14:textId="36379AB7" w:rsidR="007943CE" w:rsidRPr="00B04590" w:rsidRDefault="00590A6C" w:rsidP="004162EE">
      <w:pPr>
        <w:pStyle w:val="Heading3"/>
      </w:pPr>
      <w:r>
        <w:lastRenderedPageBreak/>
        <w:t>2.3.2 B</w:t>
      </w:r>
      <w:r w:rsidR="00886473" w:rsidRPr="00B04590">
        <w:t>ody weight</w:t>
      </w:r>
    </w:p>
    <w:p w14:paraId="44E4E62F" w14:textId="3851745F" w:rsidR="00AD7184" w:rsidRPr="0083042F" w:rsidRDefault="0094474A" w:rsidP="00AD7184">
      <w:pPr>
        <w:tabs>
          <w:tab w:val="left" w:pos="0"/>
        </w:tabs>
        <w:spacing w:line="480" w:lineRule="auto"/>
        <w:rPr>
          <w:rFonts w:ascii="Arial" w:hAnsi="Arial" w:cs="Arial"/>
          <w:sz w:val="20"/>
        </w:rPr>
      </w:pPr>
      <w:r>
        <w:rPr>
          <w:rFonts w:ascii="Arial" w:hAnsi="Arial" w:cs="Arial"/>
          <w:sz w:val="20"/>
          <w:szCs w:val="20"/>
        </w:rPr>
        <w:t>The weekly</w:t>
      </w:r>
      <w:r w:rsidR="000D34CA" w:rsidRPr="0083042F">
        <w:rPr>
          <w:rFonts w:ascii="Arial" w:hAnsi="Arial" w:cs="Arial"/>
          <w:sz w:val="20"/>
          <w:szCs w:val="20"/>
        </w:rPr>
        <w:t xml:space="preserve"> body weight of the Albino rats </w:t>
      </w:r>
      <w:r w:rsidR="005870B9">
        <w:rPr>
          <w:rFonts w:ascii="Arial" w:hAnsi="Arial" w:cs="Arial"/>
          <w:sz w:val="20"/>
          <w:szCs w:val="20"/>
        </w:rPr>
        <w:t>was</w:t>
      </w:r>
      <w:r w:rsidR="000D34CA" w:rsidRPr="0083042F">
        <w:rPr>
          <w:rFonts w:ascii="Arial" w:hAnsi="Arial" w:cs="Arial"/>
          <w:sz w:val="20"/>
          <w:szCs w:val="20"/>
        </w:rPr>
        <w:t xml:space="preserve"> measured</w:t>
      </w:r>
      <w:r w:rsidR="0083042F" w:rsidRPr="0083042F">
        <w:rPr>
          <w:rFonts w:ascii="Arial" w:hAnsi="Arial" w:cs="Arial"/>
          <w:sz w:val="20"/>
          <w:szCs w:val="20"/>
        </w:rPr>
        <w:t xml:space="preserve"> during the experimental period using a Camry </w:t>
      </w:r>
      <w:r w:rsidR="005870B9">
        <w:rPr>
          <w:rFonts w:ascii="Arial" w:hAnsi="Arial" w:cs="Arial"/>
          <w:sz w:val="20"/>
          <w:szCs w:val="20"/>
        </w:rPr>
        <w:t>top-loading</w:t>
      </w:r>
      <w:r w:rsidR="0083042F" w:rsidRPr="0083042F">
        <w:rPr>
          <w:rFonts w:ascii="Arial" w:hAnsi="Arial" w:cs="Arial"/>
          <w:sz w:val="20"/>
          <w:szCs w:val="20"/>
        </w:rPr>
        <w:t xml:space="preserve"> sensitive scale. After the experiment, the rats were</w:t>
      </w:r>
      <w:r w:rsidR="00D01B88">
        <w:rPr>
          <w:rFonts w:ascii="Arial" w:hAnsi="Arial" w:cs="Arial"/>
          <w:sz w:val="20"/>
          <w:szCs w:val="20"/>
        </w:rPr>
        <w:t xml:space="preserve"> examined, macroscopically examined and weighed before euthanization.</w:t>
      </w:r>
      <w:r w:rsidR="000D34CA" w:rsidRPr="0083042F">
        <w:rPr>
          <w:rFonts w:ascii="Arial" w:hAnsi="Arial" w:cs="Arial"/>
          <w:sz w:val="20"/>
          <w:szCs w:val="20"/>
        </w:rPr>
        <w:t xml:space="preserve"> </w:t>
      </w:r>
      <w:r w:rsidR="00AD7184">
        <w:rPr>
          <w:rFonts w:ascii="Arial" w:hAnsi="Arial" w:cs="Arial"/>
          <w:sz w:val="20"/>
          <w:szCs w:val="20"/>
        </w:rPr>
        <w:t>The a</w:t>
      </w:r>
      <w:r w:rsidR="00AD7184">
        <w:rPr>
          <w:rFonts w:ascii="Arial" w:hAnsi="Arial" w:cs="Arial"/>
          <w:sz w:val="20"/>
          <w:szCs w:val="24"/>
        </w:rPr>
        <w:t>nalyzed data on the bodyweight is shown in Table 3.</w:t>
      </w:r>
    </w:p>
    <w:p w14:paraId="5F66BB5C" w14:textId="061BA611" w:rsidR="00590A6C" w:rsidRDefault="00957859" w:rsidP="004162EE">
      <w:pPr>
        <w:pStyle w:val="Heading3"/>
      </w:pPr>
      <w:r>
        <w:t>2.3.</w:t>
      </w:r>
      <w:r w:rsidR="00AD7184">
        <w:t>3</w:t>
      </w:r>
      <w:r w:rsidR="00590A6C">
        <w:t xml:space="preserve"> Organ weight </w:t>
      </w:r>
    </w:p>
    <w:p w14:paraId="23AD7FFB" w14:textId="27EA22C0" w:rsidR="00D01B88" w:rsidRPr="00D01B88" w:rsidRDefault="0000478E" w:rsidP="00AD7184">
      <w:pPr>
        <w:spacing w:line="480" w:lineRule="auto"/>
      </w:pPr>
      <w:r w:rsidRPr="00B04590">
        <w:rPr>
          <w:rFonts w:ascii="Arial" w:hAnsi="Arial" w:cs="Arial"/>
          <w:sz w:val="20"/>
        </w:rPr>
        <w:t xml:space="preserve">After day 56 of the experimental study, the rats were euthanized using isoflurane following the protocols outlined by </w:t>
      </w:r>
      <w:r w:rsidRPr="00B04590">
        <w:rPr>
          <w:rFonts w:ascii="Arial" w:hAnsi="Arial" w:cs="Arial"/>
          <w:sz w:val="20"/>
        </w:rPr>
        <w:fldChar w:fldCharType="begin" w:fldLock="1"/>
      </w:r>
      <w:r w:rsidRPr="00B04590">
        <w:rPr>
          <w:rFonts w:ascii="Arial" w:hAnsi="Arial" w:cs="Arial"/>
          <w:sz w:val="20"/>
        </w:rPr>
        <w:instrText>ADDIN CSL_CITATION {"citationItems":[{"id":"ITEM-1","itemData":{"ISBN":"9781882691098","abstract":"2020 edition. \"Version 2020.0.1.\" \"The Guidelines are designed for use by members of the veterinary profession who carry out or oversee the euthanasia of animals ... The [Panel on Euthanasia's] objective in creating the Guidelines is to provide guidance for veterinarians about how to prevent and/or relieve the pain and suffering of animals that are to be euthanized.\" Introduction and general comments -- Methods of euthanasia -- Methods of euthanasia by species and environment.","author":[{"dropping-particle":"","family":"American Veterinary Medical Association","given":"","non-dropping-particle":"","parse-names":false,"suffix":""}],"container-title":"American Veterinary Medical Association guidelines for the euthanasia of animals: 2020 edition","id":"ITEM-1","issued":{"date-parts":[["2020"]]},"number-of-pages":"1-121","title":"American Veterinary Medical Association Guidelines for the Euthanasia of Animals: 2020 Edition","type":"book"},"uris":["http://www.mendeley.com/documents/?uuid=a44f2aca-4c46-40d8-9e5e-e9dbf9a91eb4"]}],"mendeley":{"formattedCitation":"(American Veterinary Medical Association, 2020)","manualFormatting":"the American Veterinary Medical Association, (2020)","plainTextFormattedCitation":"(American Veterinary Medical Association, 2020)","previouslyFormattedCitation":"(American Veterinary Medical Association, 2020)"},"properties":{"noteIndex":0},"schema":"https://github.com/citation-style-language/schema/raw/master/csl-citation.json"}</w:instrText>
      </w:r>
      <w:r w:rsidRPr="00B04590">
        <w:rPr>
          <w:rFonts w:ascii="Arial" w:hAnsi="Arial" w:cs="Arial"/>
          <w:sz w:val="20"/>
        </w:rPr>
        <w:fldChar w:fldCharType="separate"/>
      </w:r>
      <w:r w:rsidRPr="00B04590">
        <w:rPr>
          <w:rFonts w:ascii="Arial" w:hAnsi="Arial" w:cs="Arial"/>
          <w:noProof/>
          <w:sz w:val="20"/>
        </w:rPr>
        <w:t>the (</w:t>
      </w:r>
      <w:r>
        <w:rPr>
          <w:rFonts w:ascii="Arial" w:hAnsi="Arial" w:cs="Arial"/>
          <w:noProof/>
          <w:sz w:val="20"/>
        </w:rPr>
        <w:t>16</w:t>
      </w:r>
      <w:r w:rsidRPr="00B04590">
        <w:rPr>
          <w:rFonts w:ascii="Arial" w:hAnsi="Arial" w:cs="Arial"/>
          <w:noProof/>
          <w:sz w:val="20"/>
        </w:rPr>
        <w:t>)</w:t>
      </w:r>
      <w:r w:rsidRPr="00B04590">
        <w:rPr>
          <w:rFonts w:ascii="Arial" w:hAnsi="Arial" w:cs="Arial"/>
          <w:sz w:val="20"/>
        </w:rPr>
        <w:fldChar w:fldCharType="end"/>
      </w:r>
      <w:r>
        <w:rPr>
          <w:rFonts w:ascii="Arial" w:hAnsi="Arial" w:cs="Arial"/>
          <w:sz w:val="20"/>
        </w:rPr>
        <w:t xml:space="preserve">. </w:t>
      </w:r>
      <w:r w:rsidR="00AD7184">
        <w:rPr>
          <w:rFonts w:ascii="Arial" w:hAnsi="Arial" w:cs="Arial"/>
          <w:sz w:val="20"/>
        </w:rPr>
        <w:t>After careful dissection</w:t>
      </w:r>
      <w:r w:rsidR="005870B9">
        <w:rPr>
          <w:rFonts w:ascii="Arial" w:hAnsi="Arial" w:cs="Arial"/>
          <w:sz w:val="20"/>
        </w:rPr>
        <w:t>,</w:t>
      </w:r>
      <w:r w:rsidR="00AD7184">
        <w:rPr>
          <w:rFonts w:ascii="Arial" w:hAnsi="Arial" w:cs="Arial"/>
          <w:sz w:val="20"/>
        </w:rPr>
        <w:t xml:space="preserve"> th</w:t>
      </w:r>
      <w:r w:rsidR="00AD7184" w:rsidRPr="00B04590">
        <w:rPr>
          <w:rFonts w:ascii="Arial" w:hAnsi="Arial" w:cs="Arial"/>
          <w:sz w:val="20"/>
        </w:rPr>
        <w:t>e heart, kidney and liver were harvested and weighed after blood samples were collected via heart puncture</w:t>
      </w:r>
      <w:r w:rsidR="00AD7184">
        <w:rPr>
          <w:rFonts w:ascii="Arial" w:hAnsi="Arial" w:cs="Arial"/>
          <w:sz w:val="20"/>
        </w:rPr>
        <w:t xml:space="preserve">. </w:t>
      </w:r>
      <w:r w:rsidR="0076785D">
        <w:rPr>
          <w:rFonts w:ascii="Arial" w:hAnsi="Arial" w:cs="Arial"/>
          <w:sz w:val="20"/>
        </w:rPr>
        <w:t>Data on the organ weight is shown in Table 4.</w:t>
      </w:r>
    </w:p>
    <w:p w14:paraId="5C5C4263" w14:textId="08C33227" w:rsidR="007943CE" w:rsidRPr="00B04590" w:rsidRDefault="00590A6C" w:rsidP="004162EE">
      <w:pPr>
        <w:pStyle w:val="Heading3"/>
      </w:pPr>
      <w:r>
        <w:t>2.3.</w:t>
      </w:r>
      <w:r w:rsidR="00AD7184">
        <w:t>4</w:t>
      </w:r>
      <w:r w:rsidR="00957859">
        <w:t xml:space="preserve"> </w:t>
      </w:r>
      <w:r w:rsidR="00C31700" w:rsidRPr="00B04590">
        <w:t>Blood Glucose</w:t>
      </w:r>
    </w:p>
    <w:p w14:paraId="35E90655" w14:textId="62EC838C" w:rsidR="000D34CA" w:rsidRPr="00B04590" w:rsidRDefault="000D34CA" w:rsidP="0000478E">
      <w:pPr>
        <w:tabs>
          <w:tab w:val="left" w:pos="0"/>
        </w:tabs>
        <w:spacing w:after="200" w:line="480" w:lineRule="auto"/>
        <w:jc w:val="both"/>
        <w:rPr>
          <w:rFonts w:ascii="Arial" w:hAnsi="Arial" w:cs="Arial"/>
          <w:sz w:val="20"/>
        </w:rPr>
      </w:pPr>
      <w:r w:rsidRPr="00B04590">
        <w:rPr>
          <w:rFonts w:ascii="Arial" w:hAnsi="Arial" w:cs="Arial"/>
          <w:sz w:val="20"/>
        </w:rPr>
        <w:t xml:space="preserve">The blood glucose </w:t>
      </w:r>
      <w:r w:rsidR="00F40BF4">
        <w:rPr>
          <w:rFonts w:ascii="Arial" w:hAnsi="Arial" w:cs="Arial"/>
          <w:sz w:val="20"/>
        </w:rPr>
        <w:t>levels of the Albino rats were measured using an IVD No. Code Easy-use</w:t>
      </w:r>
      <w:r w:rsidRPr="00B04590">
        <w:rPr>
          <w:rFonts w:ascii="Arial" w:hAnsi="Arial" w:cs="Arial"/>
          <w:sz w:val="20"/>
        </w:rPr>
        <w:t xml:space="preserve"> blood glucometer. The measured value (mg/dL) was recorded for each rat and analyzed as shown in Table 5.</w:t>
      </w:r>
    </w:p>
    <w:p w14:paraId="47FDFDF3" w14:textId="79BCC862" w:rsidR="007943CE" w:rsidRPr="00B04590" w:rsidRDefault="00AD7184" w:rsidP="004162EE">
      <w:pPr>
        <w:pStyle w:val="Heading3"/>
      </w:pPr>
      <w:r>
        <w:t>2.3.5</w:t>
      </w:r>
      <w:r w:rsidR="00957859">
        <w:t xml:space="preserve"> </w:t>
      </w:r>
      <w:r w:rsidR="00C31700" w:rsidRPr="00B04590">
        <w:t>Haematological examination</w:t>
      </w:r>
    </w:p>
    <w:p w14:paraId="47A4B5F5" w14:textId="4507B41B" w:rsidR="00C31700" w:rsidRPr="00B04590" w:rsidRDefault="000D34CA" w:rsidP="0000478E">
      <w:pPr>
        <w:tabs>
          <w:tab w:val="left" w:pos="0"/>
        </w:tabs>
        <w:spacing w:after="200" w:line="480" w:lineRule="auto"/>
        <w:jc w:val="both"/>
        <w:rPr>
          <w:rFonts w:ascii="Arial" w:hAnsi="Arial" w:cs="Arial"/>
          <w:sz w:val="20"/>
        </w:rPr>
      </w:pPr>
      <w:r w:rsidRPr="00B04590">
        <w:rPr>
          <w:rFonts w:ascii="Arial" w:hAnsi="Arial" w:cs="Arial"/>
          <w:sz w:val="20"/>
        </w:rPr>
        <w:t>5 ml of blood was collected from each rat via cardiac puncture and placed in a tube containing the anticoagulant agent Ethylenediaminetetraacetic acid (EDTA). The haematological parameters were analyzed with an automated haematology analyzer</w:t>
      </w:r>
      <w:commentRangeStart w:id="10"/>
      <w:r w:rsidRPr="00B04590">
        <w:rPr>
          <w:rFonts w:ascii="Arial" w:hAnsi="Arial" w:cs="Arial"/>
          <w:sz w:val="20"/>
        </w:rPr>
        <w:t>; Rayto RT-7600s</w:t>
      </w:r>
      <w:commentRangeEnd w:id="10"/>
      <w:r w:rsidR="00C14675">
        <w:rPr>
          <w:rStyle w:val="CommentReference"/>
        </w:rPr>
        <w:commentReference w:id="10"/>
      </w:r>
      <w:r w:rsidRPr="00B04590">
        <w:rPr>
          <w:rFonts w:ascii="Arial" w:hAnsi="Arial" w:cs="Arial"/>
          <w:sz w:val="20"/>
        </w:rPr>
        <w:t xml:space="preserve">. </w:t>
      </w:r>
      <w:r w:rsidR="00C31700" w:rsidRPr="00B04590">
        <w:rPr>
          <w:rFonts w:ascii="Arial" w:hAnsi="Arial" w:cs="Arial"/>
          <w:sz w:val="20"/>
        </w:rPr>
        <w:t>The blood parameters measured included WBC, LYM, MID, GRA, RBC, HGB, HCT,</w:t>
      </w:r>
      <w:r w:rsidR="00EB3949" w:rsidRPr="00B04590">
        <w:rPr>
          <w:rFonts w:ascii="Arial" w:hAnsi="Arial" w:cs="Arial"/>
          <w:sz w:val="20"/>
        </w:rPr>
        <w:t xml:space="preserve"> </w:t>
      </w:r>
      <w:r w:rsidR="00C31700" w:rsidRPr="00B04590">
        <w:rPr>
          <w:rFonts w:ascii="Arial" w:hAnsi="Arial" w:cs="Arial"/>
          <w:sz w:val="20"/>
        </w:rPr>
        <w:t>MCV,</w:t>
      </w:r>
      <w:r w:rsidR="00EB3949" w:rsidRPr="00B04590">
        <w:rPr>
          <w:rFonts w:ascii="Arial" w:hAnsi="Arial" w:cs="Arial"/>
          <w:sz w:val="20"/>
        </w:rPr>
        <w:t xml:space="preserve"> </w:t>
      </w:r>
      <w:r w:rsidR="00C31700" w:rsidRPr="00B04590">
        <w:rPr>
          <w:rFonts w:ascii="Arial" w:hAnsi="Arial" w:cs="Arial"/>
          <w:sz w:val="20"/>
        </w:rPr>
        <w:t>MCH, PLT, MPV, PDW, PCT, P-LCR, RDW-SD, and RDW-CV</w:t>
      </w:r>
      <w:r w:rsidR="0076785D">
        <w:rPr>
          <w:rFonts w:ascii="Arial" w:hAnsi="Arial" w:cs="Arial"/>
          <w:sz w:val="20"/>
        </w:rPr>
        <w:t xml:space="preserve"> (Table 6a &amp; Table 6b)</w:t>
      </w:r>
      <w:r w:rsidR="0023334F">
        <w:rPr>
          <w:rFonts w:ascii="Arial" w:hAnsi="Arial" w:cs="Arial"/>
          <w:sz w:val="20"/>
        </w:rPr>
        <w:t>.</w:t>
      </w:r>
    </w:p>
    <w:p w14:paraId="1DB5CF96" w14:textId="3D126BCA" w:rsidR="007943CE" w:rsidRPr="00B04590" w:rsidRDefault="00957859" w:rsidP="004162EE">
      <w:pPr>
        <w:pStyle w:val="Heading3"/>
      </w:pPr>
      <w:r>
        <w:t>2.3.</w:t>
      </w:r>
      <w:r w:rsidR="00AD7184">
        <w:t>6</w:t>
      </w:r>
      <w:r>
        <w:t xml:space="preserve"> </w:t>
      </w:r>
      <w:r w:rsidR="00C31700" w:rsidRPr="00B04590">
        <w:t>Lipid Profile</w:t>
      </w:r>
      <w:r w:rsidR="00EB3949" w:rsidRPr="00B04590">
        <w:t xml:space="preserve"> and Liver </w:t>
      </w:r>
      <w:r w:rsidR="00886473" w:rsidRPr="00B04590">
        <w:t>Function Test</w:t>
      </w:r>
    </w:p>
    <w:p w14:paraId="14E551FF" w14:textId="21478F07" w:rsidR="00C31700" w:rsidRPr="00B04590" w:rsidRDefault="000D34CA" w:rsidP="0000478E">
      <w:pPr>
        <w:tabs>
          <w:tab w:val="left" w:pos="0"/>
        </w:tabs>
        <w:spacing w:after="200" w:line="480" w:lineRule="auto"/>
        <w:jc w:val="both"/>
        <w:rPr>
          <w:rFonts w:ascii="Arial" w:hAnsi="Arial" w:cs="Arial"/>
          <w:sz w:val="20"/>
        </w:rPr>
      </w:pPr>
      <w:r w:rsidRPr="00B04590">
        <w:rPr>
          <w:rFonts w:ascii="Arial" w:hAnsi="Arial" w:cs="Arial"/>
          <w:sz w:val="20"/>
        </w:rPr>
        <w:t>Another 5 ml of blood was collected and placed in a serum-separating tube to perform the lipid profile and liver function tests</w:t>
      </w:r>
      <w:r w:rsidR="00877683">
        <w:rPr>
          <w:rFonts w:ascii="Arial" w:hAnsi="Arial" w:cs="Arial"/>
          <w:sz w:val="20"/>
        </w:rPr>
        <w:t xml:space="preserve">. The blood samples were analyzed using </w:t>
      </w:r>
      <w:r w:rsidR="0070330A">
        <w:rPr>
          <w:rFonts w:ascii="Arial" w:hAnsi="Arial" w:cs="Arial"/>
          <w:sz w:val="20"/>
        </w:rPr>
        <w:t xml:space="preserve">a </w:t>
      </w:r>
      <w:r w:rsidR="00877683">
        <w:rPr>
          <w:rFonts w:ascii="Arial" w:hAnsi="Arial" w:cs="Arial"/>
          <w:sz w:val="20"/>
        </w:rPr>
        <w:t xml:space="preserve">Mindray Biochemistry analyzer (Mindray Bio-Medical </w:t>
      </w:r>
      <w:r w:rsidR="0070330A">
        <w:rPr>
          <w:rFonts w:ascii="Arial" w:hAnsi="Arial" w:cs="Arial"/>
          <w:sz w:val="20"/>
        </w:rPr>
        <w:t>Electronic</w:t>
      </w:r>
      <w:r w:rsidR="00877683">
        <w:rPr>
          <w:rFonts w:ascii="Arial" w:hAnsi="Arial" w:cs="Arial"/>
          <w:sz w:val="20"/>
        </w:rPr>
        <w:t xml:space="preserve"> Company Limited, China). The results are shown in Table 7 and Table 8 </w:t>
      </w:r>
      <w:r w:rsidR="00877683" w:rsidRPr="00C14675">
        <w:rPr>
          <w:rFonts w:ascii="Arial" w:hAnsi="Arial" w:cs="Arial"/>
          <w:strike/>
          <w:color w:val="FF0000"/>
          <w:sz w:val="20"/>
        </w:rPr>
        <w:t>respectively</w:t>
      </w:r>
      <w:r w:rsidRPr="00B04590">
        <w:rPr>
          <w:rFonts w:ascii="Arial" w:hAnsi="Arial" w:cs="Arial"/>
          <w:sz w:val="20"/>
        </w:rPr>
        <w:t xml:space="preserve">. </w:t>
      </w:r>
    </w:p>
    <w:p w14:paraId="3841FF82" w14:textId="3EB26634" w:rsidR="00590A6C" w:rsidRPr="00B04590" w:rsidRDefault="00590A6C" w:rsidP="004162EE">
      <w:pPr>
        <w:pStyle w:val="Heading3"/>
      </w:pPr>
      <w:bookmarkStart w:id="11" w:name="_Toc153348024"/>
      <w:r>
        <w:lastRenderedPageBreak/>
        <w:t>2.3.</w:t>
      </w:r>
      <w:r w:rsidR="00AD7184">
        <w:t>7</w:t>
      </w:r>
      <w:r>
        <w:t xml:space="preserve"> </w:t>
      </w:r>
      <w:r w:rsidRPr="00B04590">
        <w:t>Histological Examination</w:t>
      </w:r>
    </w:p>
    <w:p w14:paraId="56F3DFA3" w14:textId="75386A9D" w:rsidR="00590A6C" w:rsidRPr="007F123F" w:rsidRDefault="00590A6C" w:rsidP="0000478E">
      <w:pPr>
        <w:tabs>
          <w:tab w:val="left" w:pos="0"/>
        </w:tabs>
        <w:spacing w:after="200" w:line="480" w:lineRule="auto"/>
        <w:jc w:val="both"/>
        <w:rPr>
          <w:rFonts w:ascii="Arial" w:hAnsi="Arial" w:cs="Arial"/>
          <w:sz w:val="20"/>
        </w:rPr>
      </w:pPr>
      <w:r w:rsidRPr="00B04590">
        <w:rPr>
          <w:rFonts w:ascii="Arial" w:hAnsi="Arial" w:cs="Arial"/>
          <w:sz w:val="20"/>
        </w:rPr>
        <w:t xml:space="preserve">After the rats were euthanized using isoflurane following the protocols outlined by </w:t>
      </w:r>
      <w:r w:rsidRPr="00B04590">
        <w:rPr>
          <w:rFonts w:ascii="Arial" w:hAnsi="Arial" w:cs="Arial"/>
          <w:sz w:val="20"/>
        </w:rPr>
        <w:fldChar w:fldCharType="begin" w:fldLock="1"/>
      </w:r>
      <w:r w:rsidRPr="00B04590">
        <w:rPr>
          <w:rFonts w:ascii="Arial" w:hAnsi="Arial" w:cs="Arial"/>
          <w:sz w:val="20"/>
        </w:rPr>
        <w:instrText>ADDIN CSL_CITATION {"citationItems":[{"id":"ITEM-1","itemData":{"ISBN":"9781882691098","abstract":"2020 edition. \"Version 2020.0.1.\" \"The Guidelines are designed for use by members of the veterinary profession who carry out or oversee the euthanasia of animals ... The [Panel on Euthanasia's] objective in creating the Guidelines is to provide guidance for veterinarians about how to prevent and/or relieve the pain and suffering of animals that are to be euthanized.\" Introduction and general comments -- Methods of euthanasia -- Methods of euthanasia by species and environment.","author":[{"dropping-particle":"","family":"American Veterinary Medical Association","given":"","non-dropping-particle":"","parse-names":false,"suffix":""}],"container-title":"American Veterinary Medical Association guidelines for the euthanasia of animals: 2020 edition","id":"ITEM-1","issued":{"date-parts":[["2020"]]},"number-of-pages":"1-121","title":"American Veterinary Medical Association Guidelines for the Euthanasia of Animals: 2020 Edition","type":"book"},"uris":["http://www.mendeley.com/documents/?uuid=a44f2aca-4c46-40d8-9e5e-e9dbf9a91eb4"]}],"mendeley":{"formattedCitation":"(American Veterinary Medical Association, 2020)","manualFormatting":"the American Veterinary Medical Association, (2020)","plainTextFormattedCitation":"(American Veterinary Medical Association, 2020)","previouslyFormattedCitation":"(American Veterinary Medical Association, 2020)"},"properties":{"noteIndex":0},"schema":"https://github.com/citation-style-language/schema/raw/master/csl-citation.json"}</w:instrText>
      </w:r>
      <w:r w:rsidRPr="00B04590">
        <w:rPr>
          <w:rFonts w:ascii="Arial" w:hAnsi="Arial" w:cs="Arial"/>
          <w:sz w:val="20"/>
        </w:rPr>
        <w:fldChar w:fldCharType="separate"/>
      </w:r>
      <w:r w:rsidRPr="00B04590">
        <w:rPr>
          <w:rFonts w:ascii="Arial" w:hAnsi="Arial" w:cs="Arial"/>
          <w:noProof/>
          <w:sz w:val="20"/>
        </w:rPr>
        <w:t>the (</w:t>
      </w:r>
      <w:r>
        <w:rPr>
          <w:rFonts w:ascii="Arial" w:hAnsi="Arial" w:cs="Arial"/>
          <w:noProof/>
          <w:sz w:val="20"/>
        </w:rPr>
        <w:t>16</w:t>
      </w:r>
      <w:r w:rsidRPr="00B04590">
        <w:rPr>
          <w:rFonts w:ascii="Arial" w:hAnsi="Arial" w:cs="Arial"/>
          <w:noProof/>
          <w:sz w:val="20"/>
        </w:rPr>
        <w:t>)</w:t>
      </w:r>
      <w:r w:rsidRPr="00B04590">
        <w:rPr>
          <w:rFonts w:ascii="Arial" w:hAnsi="Arial" w:cs="Arial"/>
          <w:sz w:val="20"/>
        </w:rPr>
        <w:fldChar w:fldCharType="end"/>
      </w:r>
      <w:r w:rsidR="00AD7184">
        <w:rPr>
          <w:rFonts w:ascii="Arial" w:hAnsi="Arial" w:cs="Arial"/>
          <w:sz w:val="20"/>
        </w:rPr>
        <w:t>, t</w:t>
      </w:r>
      <w:r w:rsidRPr="00B04590">
        <w:rPr>
          <w:rFonts w:ascii="Arial" w:hAnsi="Arial" w:cs="Arial"/>
          <w:sz w:val="20"/>
        </w:rPr>
        <w:t>he heart, kidney and l</w:t>
      </w:r>
      <w:r w:rsidR="00877683">
        <w:rPr>
          <w:rFonts w:ascii="Arial" w:hAnsi="Arial" w:cs="Arial"/>
          <w:sz w:val="20"/>
        </w:rPr>
        <w:t>iver were harvested and weighed</w:t>
      </w:r>
      <w:r w:rsidRPr="00B04590">
        <w:rPr>
          <w:rFonts w:ascii="Arial" w:hAnsi="Arial" w:cs="Arial"/>
          <w:sz w:val="20"/>
        </w:rPr>
        <w:t xml:space="preserve">. </w:t>
      </w:r>
      <w:r w:rsidR="00877683">
        <w:rPr>
          <w:rFonts w:ascii="Arial" w:hAnsi="Arial" w:cs="Arial"/>
          <w:sz w:val="20"/>
        </w:rPr>
        <w:t>Afterwards, the</w:t>
      </w:r>
      <w:r w:rsidRPr="00B04590">
        <w:rPr>
          <w:rFonts w:ascii="Arial" w:hAnsi="Arial" w:cs="Arial"/>
          <w:sz w:val="20"/>
        </w:rPr>
        <w:t xml:space="preserve"> harvested organs were</w:t>
      </w:r>
      <w:r w:rsidR="00877683">
        <w:rPr>
          <w:rFonts w:ascii="Arial" w:hAnsi="Arial" w:cs="Arial"/>
          <w:sz w:val="20"/>
        </w:rPr>
        <w:t xml:space="preserve"> then</w:t>
      </w:r>
      <w:r w:rsidRPr="00B04590">
        <w:rPr>
          <w:rFonts w:ascii="Arial" w:hAnsi="Arial" w:cs="Arial"/>
          <w:sz w:val="20"/>
        </w:rPr>
        <w:t xml:space="preserve"> fixed in a freshly prepared 10 % formalin for histological </w:t>
      </w:r>
      <w:r w:rsidRPr="00590A6C">
        <w:rPr>
          <w:rFonts w:ascii="Arial" w:hAnsi="Arial" w:cs="Arial"/>
          <w:sz w:val="20"/>
        </w:rPr>
        <w:t>examination</w:t>
      </w:r>
      <w:r w:rsidRPr="009E33CA">
        <w:rPr>
          <w:rFonts w:ascii="Arial" w:hAnsi="Arial" w:cs="Arial"/>
        </w:rPr>
        <w:t xml:space="preserve">. </w:t>
      </w:r>
      <w:r w:rsidRPr="007F123F">
        <w:rPr>
          <w:rFonts w:ascii="Arial" w:hAnsi="Arial" w:cs="Arial"/>
          <w:sz w:val="20"/>
        </w:rPr>
        <w:t xml:space="preserve">The histological micrographs are shown in Figures 1, 2, and 3. </w:t>
      </w:r>
    </w:p>
    <w:p w14:paraId="3C875CE2" w14:textId="0DC1DBA8" w:rsidR="000D34CA" w:rsidRPr="009E33CA" w:rsidRDefault="00957859" w:rsidP="000D18E6">
      <w:pPr>
        <w:pStyle w:val="Heading2"/>
      </w:pPr>
      <w:r>
        <w:t xml:space="preserve">2.4 </w:t>
      </w:r>
      <w:r w:rsidR="000D34CA" w:rsidRPr="009E33CA">
        <w:t>Statistical Analysis</w:t>
      </w:r>
      <w:bookmarkEnd w:id="11"/>
    </w:p>
    <w:p w14:paraId="30031B40" w14:textId="2959B641" w:rsidR="000D34CA" w:rsidRPr="00B04590" w:rsidRDefault="000D34CA" w:rsidP="00877683">
      <w:pPr>
        <w:tabs>
          <w:tab w:val="left" w:pos="0"/>
        </w:tabs>
        <w:spacing w:after="0" w:line="480" w:lineRule="auto"/>
        <w:jc w:val="both"/>
        <w:rPr>
          <w:rFonts w:ascii="Arial" w:hAnsi="Arial" w:cs="Arial"/>
          <w:sz w:val="20"/>
        </w:rPr>
      </w:pPr>
      <w:r w:rsidRPr="00B04590">
        <w:rPr>
          <w:rFonts w:ascii="Arial" w:hAnsi="Arial" w:cs="Arial"/>
          <w:sz w:val="20"/>
        </w:rPr>
        <w:t>Data were analyzed using Minitab Sta</w:t>
      </w:r>
      <w:r w:rsidR="00B90115" w:rsidRPr="00B04590">
        <w:rPr>
          <w:rFonts w:ascii="Arial" w:hAnsi="Arial" w:cs="Arial"/>
          <w:sz w:val="20"/>
        </w:rPr>
        <w:t xml:space="preserve">tistical software version 20.0 </w:t>
      </w:r>
      <w:r w:rsidRPr="00B04590">
        <w:rPr>
          <w:rFonts w:ascii="Arial" w:hAnsi="Arial" w:cs="Arial"/>
          <w:sz w:val="20"/>
        </w:rPr>
        <w:t>as 2 × 2 factorial arrangements</w:t>
      </w:r>
      <w:r w:rsidR="00B90115" w:rsidRPr="00B04590">
        <w:rPr>
          <w:rFonts w:ascii="Arial" w:hAnsi="Arial" w:cs="Arial"/>
          <w:sz w:val="20"/>
        </w:rPr>
        <w:t>. T</w:t>
      </w:r>
      <w:r w:rsidRPr="00B04590">
        <w:rPr>
          <w:rFonts w:ascii="Arial" w:hAnsi="Arial" w:cs="Arial"/>
          <w:sz w:val="20"/>
        </w:rPr>
        <w:t xml:space="preserve">he General Linear Models (GLM) procedure </w:t>
      </w:r>
      <w:r w:rsidR="00B90115" w:rsidRPr="00B04590">
        <w:rPr>
          <w:rFonts w:ascii="Arial" w:hAnsi="Arial" w:cs="Arial"/>
          <w:sz w:val="20"/>
        </w:rPr>
        <w:t>was used to</w:t>
      </w:r>
      <w:r w:rsidRPr="00B04590">
        <w:rPr>
          <w:rFonts w:ascii="Arial" w:hAnsi="Arial" w:cs="Arial"/>
          <w:sz w:val="20"/>
        </w:rPr>
        <w:t xml:space="preserve"> assess the main effects of dietary fat and fibre (low or high) and their 2-way interactions (Fa× Fb). Tukey LSD means separation test was then used to make pairwise comparisons between treatment means (P &lt; 0.05). </w:t>
      </w:r>
    </w:p>
    <w:p w14:paraId="29F98ACB" w14:textId="302C3A64" w:rsidR="00046952" w:rsidRPr="009E33CA" w:rsidRDefault="00046952" w:rsidP="0083042F">
      <w:pPr>
        <w:tabs>
          <w:tab w:val="left" w:pos="0"/>
        </w:tabs>
        <w:rPr>
          <w:rFonts w:ascii="Arial" w:eastAsiaTheme="majorEastAsia" w:hAnsi="Arial" w:cs="Arial"/>
          <w:b/>
          <w:color w:val="000000" w:themeColor="text1"/>
          <w:szCs w:val="26"/>
        </w:rPr>
      </w:pPr>
      <w:bookmarkStart w:id="12" w:name="_Toc153348035"/>
      <w:bookmarkStart w:id="13" w:name="_Toc153348034"/>
    </w:p>
    <w:p w14:paraId="67BBB6C7" w14:textId="64C4AB80" w:rsidR="000D34CA" w:rsidRPr="009E33CA" w:rsidRDefault="00957859" w:rsidP="005870B9">
      <w:pPr>
        <w:pStyle w:val="Heading1"/>
        <w:ind w:left="0"/>
      </w:pPr>
      <w:r>
        <w:t xml:space="preserve">3.0 </w:t>
      </w:r>
      <w:r w:rsidR="007F123F" w:rsidRPr="009E33CA">
        <w:t>RESULTS AND DISCUSSION</w:t>
      </w:r>
      <w:bookmarkEnd w:id="12"/>
    </w:p>
    <w:p w14:paraId="275FDFCA" w14:textId="6FD6CD5E" w:rsidR="000D34CA" w:rsidRPr="00B75031" w:rsidRDefault="00957859" w:rsidP="000D18E6">
      <w:pPr>
        <w:pStyle w:val="Heading2"/>
      </w:pPr>
      <w:r>
        <w:t xml:space="preserve">3.1 </w:t>
      </w:r>
      <w:r w:rsidR="000D34CA" w:rsidRPr="00B75031">
        <w:t>Feed intake</w:t>
      </w:r>
    </w:p>
    <w:p w14:paraId="5DCC7DC9" w14:textId="37418EA5" w:rsidR="00951FE8" w:rsidRDefault="006303BD" w:rsidP="00877683">
      <w:pPr>
        <w:tabs>
          <w:tab w:val="left" w:pos="0"/>
        </w:tabs>
        <w:spacing w:line="480" w:lineRule="auto"/>
        <w:jc w:val="both"/>
        <w:rPr>
          <w:rFonts w:ascii="Arial" w:hAnsi="Arial" w:cs="Arial"/>
          <w:sz w:val="20"/>
          <w:szCs w:val="24"/>
        </w:rPr>
      </w:pPr>
      <w:r w:rsidRPr="007F123F">
        <w:rPr>
          <w:rFonts w:ascii="Arial" w:hAnsi="Arial" w:cs="Arial"/>
          <w:sz w:val="20"/>
          <w:szCs w:val="24"/>
        </w:rPr>
        <w:t xml:space="preserve">Neither fat nor fibre significantly affected the feed intake of the Albino </w:t>
      </w:r>
      <w:r w:rsidR="00951FE8">
        <w:rPr>
          <w:rFonts w:ascii="Arial" w:hAnsi="Arial" w:cs="Arial"/>
          <w:sz w:val="20"/>
          <w:szCs w:val="24"/>
        </w:rPr>
        <w:t>(Table 2)</w:t>
      </w:r>
      <w:r w:rsidR="000D34CA" w:rsidRPr="007F123F">
        <w:rPr>
          <w:rFonts w:ascii="Arial" w:hAnsi="Arial" w:cs="Arial"/>
          <w:sz w:val="20"/>
          <w:szCs w:val="24"/>
        </w:rPr>
        <w:t xml:space="preserve">. This is similar to the findings of </w:t>
      </w:r>
      <w:r w:rsidR="000D34CA" w:rsidRPr="007F123F">
        <w:rPr>
          <w:rFonts w:ascii="Arial" w:hAnsi="Arial" w:cs="Arial"/>
          <w:sz w:val="20"/>
          <w:szCs w:val="24"/>
        </w:rPr>
        <w:fldChar w:fldCharType="begin" w:fldLock="1"/>
      </w:r>
      <w:r w:rsidR="00CC4F20" w:rsidRPr="007F123F">
        <w:rPr>
          <w:rFonts w:ascii="Arial" w:hAnsi="Arial" w:cs="Arial"/>
          <w:sz w:val="20"/>
          <w:szCs w:val="24"/>
        </w:rPr>
        <w:instrText>ADDIN CSL_CITATION {"citationItems":[{"id":"ITEM-1","itemData":{"abstract":"This study was conducted to investigate the effects of dietary coconut oil as a medium-chain fatty acid (MCFA) source on performance, carcass composition and serum lipids in male broilers. A total of 540, one-day-old, male Arbor Acres broilers were randomly allotted to 1 of 5 treatments with each treatment being applied to 6 replicates of 18 chicks. The basal diet (i.e., R0) was based on corn and soybean meal and was supplemented with 1.5% soybean oil during the starter phase (d 0 to 21) and 3.0% soybean oil during the grower phase (d 22 to 42). Four experimental diets were formulated by replacing 25%, 50%, 75%, or 100% of the soybean oil with coconut oil (i.e., R25, R50, R75, and R100). Soybean oil and coconut oil were used as sources of long-chain fatty acid and MCFA, respectively. The feeding trial showed that dietary coconut oil had no effect on weight gain, feed intake or feed conversion. On d 42, serum levels of total cholesterol, low-density lipoprotein cholesterol, and low-density lipoprotein/high-density lipoprotein cholesterol were linearly decreased as the coconut oil level increased (p&lt;0.01). Lipoprotein lipase, hepatic lipase, and total lipase activities were linearly increased as the coconut oil level increased (p&lt;0.01). Abdominal fat weight/eviscerated weight (p = 0.05), intermuscular fat width (p&lt;0.01) and subcutaneous fat thickness (p&lt;0.01) showed a significant quadratic relationship, with the lowest value at R75. These results indicated that replacement of 75% of the soybean oil in diets with coconut oil is the optimum level to reduce fat deposition and favorably affect lipid profiles without impairing performance in broilers. (Key Words: Broiler, Medium-chain Fatty Acid, Growth Performance, Carcass Composition, Serum Lipid) INTRODUCTION","author":[{"dropping-particle":"","family":"Wang","given":"Jianhong","non-dropping-particle":"","parse-names":false,"suffix":""},{"dropping-particle":"","family":"Wang","given":"Xiaoxiao","non-dropping-particle":"","parse-names":false,"suffix":""},{"dropping-particle":"","family":"Li","given":"Juntao","non-dropping-particle":"","parse-names":false,"suffix":""},{"dropping-particle":"","family":"Chen","given":"Yiqiang","non-dropping-particle":"","parse-names":false,"suffix":""},{"dropping-particle":"","family":"Yang","given":"Wenjun","non-dropping-particle":"","parse-names":false,"suffix":""},{"dropping-particle":"","family":"Zhang","given":"Liying","non-dropping-particle":"","parse-names":false,"suffix":""}],"container-title":"Asian Australas. J. Anim. Sci.","id":"ITEM-1","issue":"2","issued":{"date-parts":[["2015"]]},"page":"223-230","title":"Effects of dietary coconut oil as MCFA &amp; lipid profile in Broilers","type":"article-journal","volume":"28"},"uris":["http://www.mendeley.com/documents/?uuid=174df75d-0c90-48ff-990c-f5d51a50caf9"]},{"id":"ITEM-2","itemData":{"DOI":"10.51791/NJAP.V45I2.535","abstract":"This study was conducted to determine the effect of coconut oil inclusion on thesupplementary feed intake, weight gain, haematology and serum biochemistry of grazing cattle. Twenty-five (25) White Fulani cattle weighing 138±2.21 kg were randomly allotted to five treatment groups of coconut oil administration (0 g/day, 50 g/day, 100 g/day, 150 g/day and 200 g/day) in a completely randomised design. The animals were grazed for 84 days and supplemented with concentrate throughout the experimental period. Data on feed intake, weight gain and blood profile of cattle were analysed using one-way analysis of variance. Results obtained showed that coconut oil did not affect (P&gt;0.05) the supplementary concentrate intake of grazing cattle. Lower (P&lt;0.05) weight gain was observed with animals fed coconut oil at 50 g/day (9.64 kg) but increased to 17.64 kg with 150 g/day. Packed cell volume, haemoglobin and white blood cells were not affected (P&gt;0.05) by coconut oil. Thehighest (P&lt;0.05) red blood cell (6.91×10 /L) and platelet counts (67.00×10 /L) wererecorded at 150 g/day coconut oil. Total cholesterol, HDL and LDL values were increased (P&lt;0.05) with increasing levels of coconut oil. Values obtained for HDL (166.00 mg/dL to 145.15 mg/dL) and LDL (135.00 mg/dL to 88.40 mg/dL) decreased when the level of oil was increased from 150g/day to 200g/day. Administering coconut oil up to 150 g/day is recommended as it increases the body weight gain of cattle and maintain the normal PCV and haemoglobin concentration of the animals","author":[{"dropping-particle":"","family":"Adelusi","given":"O. O.","non-dropping-particle":"","parse-names":false,"suffix":""},{"dropping-particle":"","family":"Oni","given":"A. O.","non-dropping-particle":"","parse-names":false,"suffix":""},{"dropping-particle":"","family":"Aderinboye","given":"R. Y.","non-dropping-particle":"","parse-names":false,"suffix":""},{"dropping-particle":"","family":"Arigbede","given":"O. M.","non-dropping-particle":"","parse-names":false,"suffix":""},{"dropping-particle":"","family":"Onwuka","given":"C. F. I.","non-dropping-particle":"","parse-names":false,"suffix":""}],"container-title":"Nigerian Journal of Animal Production","id":"ITEM-2","issue":"2","issued":{"date-parts":[["2020","12","25"]]},"page":"316-324","publisher":"Nigerian Society for Animal Production (NSAP)","title":"Effects of coconut oil on the weight and blood status of grazing cattle fed concentrate as supplementary feed","type":"article-journal","volume":"45"},"uris":["http://www.mendeley.com/documents/?uuid=0f47431b-5caa-3111-9e76-0f708f43e3a3"]}],"mendeley":{"formattedCitation":"(Adelusi et al., 2020; Wang et al., 2015)","manualFormatting":"Adelusi et al. (2020)  and Wang et al. (2015)","plainTextFormattedCitation":"(Adelusi et al., 2020; Wang et al., 2015)","previouslyFormattedCitation":"(Adelusi et al., 2020; Wang et al., 2015)"},"properties":{"noteIndex":0},"schema":"https://github.com/citation-style-language/schema/raw/master/csl-citation.json"}</w:instrText>
      </w:r>
      <w:r w:rsidR="000D34CA" w:rsidRPr="007F123F">
        <w:rPr>
          <w:rFonts w:ascii="Arial" w:hAnsi="Arial" w:cs="Arial"/>
          <w:sz w:val="20"/>
          <w:szCs w:val="24"/>
        </w:rPr>
        <w:fldChar w:fldCharType="separate"/>
      </w:r>
      <w:r w:rsidR="00FC26DB">
        <w:rPr>
          <w:rFonts w:ascii="Arial" w:hAnsi="Arial" w:cs="Arial"/>
          <w:noProof/>
          <w:sz w:val="20"/>
          <w:szCs w:val="24"/>
        </w:rPr>
        <w:t>(17 &amp; 18</w:t>
      </w:r>
      <w:r w:rsidR="00763E5F" w:rsidRPr="007F123F">
        <w:rPr>
          <w:rFonts w:ascii="Arial" w:hAnsi="Arial" w:cs="Arial"/>
          <w:noProof/>
          <w:sz w:val="20"/>
          <w:szCs w:val="24"/>
        </w:rPr>
        <w:t>)</w:t>
      </w:r>
      <w:r w:rsidR="000D34CA" w:rsidRPr="007F123F">
        <w:rPr>
          <w:rFonts w:ascii="Arial" w:hAnsi="Arial" w:cs="Arial"/>
          <w:sz w:val="20"/>
          <w:szCs w:val="24"/>
        </w:rPr>
        <w:fldChar w:fldCharType="end"/>
      </w:r>
      <w:r w:rsidR="000D34CA" w:rsidRPr="007F123F">
        <w:rPr>
          <w:rFonts w:ascii="Arial" w:hAnsi="Arial" w:cs="Arial"/>
          <w:sz w:val="20"/>
          <w:szCs w:val="24"/>
        </w:rPr>
        <w:t xml:space="preserve"> who reported that coconut oil did not affect the feed intake</w:t>
      </w:r>
      <w:r w:rsidR="00887439" w:rsidRPr="007F123F">
        <w:rPr>
          <w:rFonts w:ascii="Arial" w:hAnsi="Arial" w:cs="Arial"/>
          <w:sz w:val="20"/>
          <w:szCs w:val="24"/>
        </w:rPr>
        <w:t xml:space="preserve"> in other species</w:t>
      </w:r>
      <w:r w:rsidRPr="007F123F">
        <w:rPr>
          <w:rFonts w:ascii="Arial" w:hAnsi="Arial" w:cs="Arial"/>
          <w:sz w:val="20"/>
          <w:szCs w:val="24"/>
        </w:rPr>
        <w:t xml:space="preserve">. </w:t>
      </w:r>
      <w:r w:rsidR="000D34CA" w:rsidRPr="007F123F">
        <w:rPr>
          <w:rFonts w:ascii="Arial" w:hAnsi="Arial" w:cs="Arial"/>
          <w:sz w:val="20"/>
          <w:szCs w:val="24"/>
        </w:rPr>
        <w:fldChar w:fldCharType="begin" w:fldLock="1"/>
      </w:r>
      <w:r w:rsidR="00886473" w:rsidRPr="007F123F">
        <w:rPr>
          <w:rFonts w:ascii="Arial" w:hAnsi="Arial" w:cs="Arial"/>
          <w:sz w:val="20"/>
          <w:szCs w:val="24"/>
        </w:rPr>
        <w:instrText>ADDIN CSL_CITATION {"citationItems":[{"id":"ITEM-1","itemData":{"abstract":"This experiment was conducted at the livestock unit of the University for Development Studies (UDS) to determine the effect of corn cob on the performance of grasscutters (Thryonomys swinderianus). A total twelve weaned grasscutters of about 6 to 8 weeks old were assigned to two treatments, T0 containing 0% corn cob (control) and T1 containing 15% corn cob (CC). The experiment lasted for 8 weeks during the dry season. Data on feed intake and weight gain were collected over the period. Feed and feacal samples were collected from each treatment and their proximate composition analysed at the Spanish Laboratory of the UDS. There was no significant difference (P&gt;0.05) between the two diets for crude protein (CP), ether extract (EE), Feed intake and final weight gain of the animals on the corn-cob based diets were similar to those on the non-corn cob base diet. It is concluded that corn cob could be included up to 15% in grasscutter diet without any detrimental effect on digestibility.","author":[{"dropping-particle":"","family":"Ansah","given":"Terry","non-dropping-particle":"","parse-names":false,"suffix":""},{"dropping-particle":"","family":"Agbolosu","given":"Anthony Amison","non-dropping-particle":"","parse-names":false,"suffix":""},{"dropping-particle":"","family":"Teye","given":"Gabriel Ayum","non-dropping-particle":"","parse-names":false,"suffix":""},{"dropping-particle":"","family":"Akwasi","given":"Amponsah","non-dropping-particle":"","parse-names":false,"suffix":""},{"dropping-particle":"","family":"Opoku-Agyeman","given":"Michael","non-dropping-particle":"","parse-names":false,"suffix":""}],"container-title":"Scientific Papers: Animal Science and Biotechnologies","id":"ITEM-1","issue":"1","issued":{"date-parts":[["2012"]]},"title":"Evaluation of Corn Cob on the Growth Performance of Grasscutter (Thryonomys swinderianus)","type":"article-journal","volume":"45"},"uris":["http://www.mendeley.com/documents/?uuid=10497da3-01f3-3517-a186-e2df35801fbe"]}],"mendeley":{"formattedCitation":"(Ansah et al., 2012)","manualFormatting":"Ansah et al. (2012)","plainTextFormattedCitation":"(Ansah et al., 2012)","previouslyFormattedCitation":"(Ansah et al., 2012)"},"properties":{"noteIndex":0},"schema":"https://github.com/citation-style-language/schema/raw/master/csl-citation.json"}</w:instrText>
      </w:r>
      <w:r w:rsidR="000D34CA" w:rsidRPr="007F123F">
        <w:rPr>
          <w:rFonts w:ascii="Arial" w:hAnsi="Arial" w:cs="Arial"/>
          <w:sz w:val="20"/>
          <w:szCs w:val="24"/>
        </w:rPr>
        <w:fldChar w:fldCharType="separate"/>
      </w:r>
      <w:r w:rsidR="00FC26DB">
        <w:rPr>
          <w:rFonts w:ascii="Arial" w:hAnsi="Arial" w:cs="Arial"/>
          <w:noProof/>
          <w:sz w:val="20"/>
          <w:szCs w:val="24"/>
        </w:rPr>
        <w:t>(19</w:t>
      </w:r>
      <w:r w:rsidR="00763E5F" w:rsidRPr="007F123F">
        <w:rPr>
          <w:rFonts w:ascii="Arial" w:hAnsi="Arial" w:cs="Arial"/>
          <w:noProof/>
          <w:sz w:val="20"/>
          <w:szCs w:val="24"/>
        </w:rPr>
        <w:t>)</w:t>
      </w:r>
      <w:r w:rsidR="000D34CA" w:rsidRPr="007F123F">
        <w:rPr>
          <w:rFonts w:ascii="Arial" w:hAnsi="Arial" w:cs="Arial"/>
          <w:sz w:val="20"/>
          <w:szCs w:val="24"/>
        </w:rPr>
        <w:fldChar w:fldCharType="end"/>
      </w:r>
      <w:r w:rsidR="000D34CA" w:rsidRPr="007F123F">
        <w:rPr>
          <w:rFonts w:ascii="Arial" w:hAnsi="Arial" w:cs="Arial"/>
          <w:sz w:val="20"/>
          <w:szCs w:val="24"/>
        </w:rPr>
        <w:t xml:space="preserve"> reported that the inclusion of 15% corn cob in a diet</w:t>
      </w:r>
      <w:r w:rsidRPr="007F123F">
        <w:rPr>
          <w:rFonts w:ascii="Arial" w:hAnsi="Arial" w:cs="Arial"/>
          <w:sz w:val="20"/>
          <w:szCs w:val="24"/>
        </w:rPr>
        <w:t xml:space="preserve"> did not affect the feed intake</w:t>
      </w:r>
      <w:r w:rsidR="000D34CA" w:rsidRPr="007F123F">
        <w:rPr>
          <w:rFonts w:ascii="Arial" w:hAnsi="Arial" w:cs="Arial"/>
          <w:sz w:val="20"/>
          <w:szCs w:val="24"/>
        </w:rPr>
        <w:t>.</w:t>
      </w:r>
    </w:p>
    <w:p w14:paraId="4190E0F4" w14:textId="77777777" w:rsidR="00877683" w:rsidRDefault="00877683" w:rsidP="00877683">
      <w:pPr>
        <w:tabs>
          <w:tab w:val="left" w:pos="0"/>
        </w:tabs>
        <w:spacing w:line="480" w:lineRule="auto"/>
        <w:jc w:val="both"/>
        <w:rPr>
          <w:rFonts w:ascii="Arial" w:hAnsi="Arial" w:cs="Arial"/>
          <w:sz w:val="20"/>
          <w:szCs w:val="24"/>
        </w:rPr>
      </w:pPr>
    </w:p>
    <w:p w14:paraId="6E12B918" w14:textId="77777777" w:rsidR="00877683" w:rsidRDefault="00877683" w:rsidP="00877683">
      <w:pPr>
        <w:tabs>
          <w:tab w:val="left" w:pos="0"/>
        </w:tabs>
        <w:spacing w:line="480" w:lineRule="auto"/>
        <w:jc w:val="both"/>
        <w:rPr>
          <w:rFonts w:ascii="Arial" w:hAnsi="Arial" w:cs="Arial"/>
          <w:sz w:val="20"/>
          <w:szCs w:val="24"/>
        </w:rPr>
      </w:pPr>
    </w:p>
    <w:p w14:paraId="5F53C05C" w14:textId="77777777" w:rsidR="00877683" w:rsidRDefault="00877683" w:rsidP="00877683">
      <w:pPr>
        <w:tabs>
          <w:tab w:val="left" w:pos="0"/>
        </w:tabs>
        <w:spacing w:line="480" w:lineRule="auto"/>
        <w:jc w:val="both"/>
        <w:rPr>
          <w:rFonts w:ascii="Arial" w:hAnsi="Arial" w:cs="Arial"/>
          <w:sz w:val="20"/>
          <w:szCs w:val="24"/>
        </w:rPr>
      </w:pPr>
    </w:p>
    <w:p w14:paraId="2B075FF7" w14:textId="77777777" w:rsidR="00877683" w:rsidRDefault="00877683" w:rsidP="00877683">
      <w:pPr>
        <w:tabs>
          <w:tab w:val="left" w:pos="0"/>
        </w:tabs>
        <w:spacing w:line="480" w:lineRule="auto"/>
        <w:jc w:val="both"/>
        <w:rPr>
          <w:rFonts w:ascii="Arial" w:hAnsi="Arial" w:cs="Arial"/>
          <w:sz w:val="20"/>
          <w:szCs w:val="24"/>
        </w:rPr>
      </w:pPr>
    </w:p>
    <w:p w14:paraId="54F958B3" w14:textId="77777777" w:rsidR="00877683" w:rsidRDefault="00877683" w:rsidP="00877683">
      <w:pPr>
        <w:tabs>
          <w:tab w:val="left" w:pos="0"/>
        </w:tabs>
        <w:spacing w:line="480" w:lineRule="auto"/>
        <w:jc w:val="both"/>
        <w:rPr>
          <w:rFonts w:ascii="Arial" w:hAnsi="Arial" w:cs="Arial"/>
          <w:sz w:val="20"/>
          <w:szCs w:val="24"/>
        </w:rPr>
      </w:pPr>
    </w:p>
    <w:p w14:paraId="7CCCC049" w14:textId="77777777" w:rsidR="00877683" w:rsidRDefault="00877683" w:rsidP="00877683">
      <w:pPr>
        <w:tabs>
          <w:tab w:val="left" w:pos="0"/>
        </w:tabs>
        <w:spacing w:line="480" w:lineRule="auto"/>
        <w:jc w:val="both"/>
        <w:rPr>
          <w:rFonts w:ascii="Arial" w:hAnsi="Arial" w:cs="Arial"/>
          <w:sz w:val="20"/>
          <w:szCs w:val="24"/>
        </w:rPr>
      </w:pPr>
    </w:p>
    <w:p w14:paraId="55F9BAFC" w14:textId="77777777" w:rsidR="00877683" w:rsidRDefault="00877683" w:rsidP="00877683">
      <w:pPr>
        <w:tabs>
          <w:tab w:val="left" w:pos="0"/>
        </w:tabs>
        <w:spacing w:line="480" w:lineRule="auto"/>
        <w:jc w:val="both"/>
        <w:rPr>
          <w:rFonts w:ascii="Arial" w:hAnsi="Arial" w:cs="Arial"/>
          <w:sz w:val="20"/>
          <w:szCs w:val="24"/>
        </w:rPr>
      </w:pPr>
    </w:p>
    <w:p w14:paraId="68874929" w14:textId="77777777" w:rsidR="00877683" w:rsidRDefault="00877683" w:rsidP="00877683">
      <w:pPr>
        <w:tabs>
          <w:tab w:val="left" w:pos="0"/>
        </w:tabs>
        <w:spacing w:line="480" w:lineRule="auto"/>
        <w:jc w:val="both"/>
        <w:rPr>
          <w:rFonts w:ascii="Arial" w:hAnsi="Arial" w:cs="Arial"/>
          <w:sz w:val="20"/>
          <w:szCs w:val="24"/>
        </w:rPr>
      </w:pPr>
    </w:p>
    <w:p w14:paraId="73F3C5CE" w14:textId="0AEB1770" w:rsidR="00951FE8" w:rsidRPr="00F72782" w:rsidRDefault="00951FE8" w:rsidP="0083042F">
      <w:pPr>
        <w:tabs>
          <w:tab w:val="left" w:pos="0"/>
        </w:tabs>
        <w:spacing w:line="240" w:lineRule="auto"/>
        <w:ind w:left="-450" w:firstLine="180"/>
        <w:rPr>
          <w:rFonts w:ascii="Arial" w:hAnsi="Arial" w:cs="Arial"/>
          <w:b/>
          <w:sz w:val="20"/>
          <w:szCs w:val="20"/>
        </w:rPr>
      </w:pPr>
      <w:r w:rsidRPr="00047386">
        <w:rPr>
          <w:rFonts w:ascii="Arial" w:hAnsi="Arial" w:cs="Arial"/>
          <w:b/>
          <w:sz w:val="20"/>
          <w:szCs w:val="20"/>
        </w:rPr>
        <w:lastRenderedPageBreak/>
        <w:t>Table 2: Effects of two dietary fat and fibre levels on the daily feed intake (g) of Albino rats.</w:t>
      </w:r>
    </w:p>
    <w:tbl>
      <w:tblPr>
        <w:tblStyle w:val="TableGrid"/>
        <w:tblpPr w:leftFromText="180" w:rightFromText="180" w:vertAnchor="text" w:horzAnchor="margin" w:tblpXSpec="center" w:tblpY="76"/>
        <w:tblW w:w="91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720"/>
        <w:gridCol w:w="990"/>
        <w:gridCol w:w="1080"/>
        <w:gridCol w:w="990"/>
        <w:gridCol w:w="990"/>
        <w:gridCol w:w="990"/>
        <w:gridCol w:w="990"/>
        <w:gridCol w:w="990"/>
      </w:tblGrid>
      <w:tr w:rsidR="00951FE8" w:rsidRPr="00047386" w14:paraId="45553DA3" w14:textId="77777777" w:rsidTr="00FC26DB">
        <w:trPr>
          <w:trHeight w:val="470"/>
        </w:trPr>
        <w:tc>
          <w:tcPr>
            <w:tcW w:w="1440" w:type="dxa"/>
            <w:tcBorders>
              <w:top w:val="single" w:sz="4" w:space="0" w:color="auto"/>
              <w:bottom w:val="nil"/>
            </w:tcBorders>
          </w:tcPr>
          <w:p w14:paraId="50C4A476" w14:textId="77777777" w:rsidR="00951FE8" w:rsidRPr="00047386" w:rsidRDefault="00951FE8" w:rsidP="0083042F">
            <w:pPr>
              <w:tabs>
                <w:tab w:val="left" w:pos="0"/>
              </w:tabs>
              <w:spacing w:line="276" w:lineRule="auto"/>
              <w:rPr>
                <w:rFonts w:ascii="Arial" w:hAnsi="Arial" w:cs="Arial"/>
                <w:b/>
                <w:sz w:val="20"/>
                <w:szCs w:val="20"/>
              </w:rPr>
            </w:pPr>
            <w:r w:rsidRPr="00047386">
              <w:rPr>
                <w:rFonts w:ascii="Arial" w:hAnsi="Arial" w:cs="Arial"/>
                <w:b/>
                <w:sz w:val="20"/>
                <w:szCs w:val="20"/>
              </w:rPr>
              <w:t>Effects</w:t>
            </w:r>
          </w:p>
        </w:tc>
        <w:tc>
          <w:tcPr>
            <w:tcW w:w="720" w:type="dxa"/>
            <w:tcBorders>
              <w:top w:val="single" w:sz="4" w:space="0" w:color="auto"/>
              <w:bottom w:val="nil"/>
            </w:tcBorders>
          </w:tcPr>
          <w:p w14:paraId="22E6185D" w14:textId="77777777" w:rsidR="00951FE8" w:rsidRPr="00047386" w:rsidRDefault="00951FE8" w:rsidP="0083042F">
            <w:pPr>
              <w:tabs>
                <w:tab w:val="left" w:pos="0"/>
              </w:tabs>
              <w:spacing w:line="276" w:lineRule="auto"/>
              <w:rPr>
                <w:rFonts w:ascii="Arial" w:hAnsi="Arial" w:cs="Arial"/>
                <w:sz w:val="20"/>
                <w:szCs w:val="20"/>
              </w:rPr>
            </w:pPr>
          </w:p>
        </w:tc>
        <w:tc>
          <w:tcPr>
            <w:tcW w:w="990" w:type="dxa"/>
            <w:tcBorders>
              <w:top w:val="single" w:sz="4" w:space="0" w:color="auto"/>
              <w:bottom w:val="nil"/>
            </w:tcBorders>
          </w:tcPr>
          <w:p w14:paraId="704164ED" w14:textId="77777777" w:rsidR="00951FE8" w:rsidRPr="00047386" w:rsidRDefault="00951FE8" w:rsidP="0083042F">
            <w:pPr>
              <w:tabs>
                <w:tab w:val="left" w:pos="0"/>
              </w:tabs>
              <w:spacing w:line="276" w:lineRule="auto"/>
              <w:rPr>
                <w:rFonts w:ascii="Arial" w:hAnsi="Arial" w:cs="Arial"/>
                <w:sz w:val="20"/>
                <w:szCs w:val="20"/>
              </w:rPr>
            </w:pPr>
          </w:p>
        </w:tc>
        <w:tc>
          <w:tcPr>
            <w:tcW w:w="1080" w:type="dxa"/>
            <w:tcBorders>
              <w:top w:val="single" w:sz="4" w:space="0" w:color="auto"/>
              <w:bottom w:val="nil"/>
            </w:tcBorders>
          </w:tcPr>
          <w:p w14:paraId="17C9BA55" w14:textId="77777777" w:rsidR="00951FE8" w:rsidRPr="00047386" w:rsidRDefault="00951FE8" w:rsidP="0083042F">
            <w:pPr>
              <w:tabs>
                <w:tab w:val="left" w:pos="0"/>
              </w:tabs>
              <w:spacing w:line="276" w:lineRule="auto"/>
              <w:rPr>
                <w:rFonts w:ascii="Arial" w:hAnsi="Arial" w:cs="Arial"/>
                <w:b/>
                <w:sz w:val="20"/>
                <w:szCs w:val="20"/>
              </w:rPr>
            </w:pPr>
            <w:r w:rsidRPr="00047386">
              <w:rPr>
                <w:rFonts w:ascii="Arial" w:hAnsi="Arial" w:cs="Arial"/>
                <w:b/>
                <w:sz w:val="20"/>
                <w:szCs w:val="20"/>
              </w:rPr>
              <w:t xml:space="preserve"> d 15- 21</w:t>
            </w:r>
          </w:p>
        </w:tc>
        <w:tc>
          <w:tcPr>
            <w:tcW w:w="990" w:type="dxa"/>
            <w:tcBorders>
              <w:top w:val="single" w:sz="4" w:space="0" w:color="auto"/>
              <w:bottom w:val="nil"/>
            </w:tcBorders>
          </w:tcPr>
          <w:p w14:paraId="30FE0773" w14:textId="77777777" w:rsidR="00951FE8" w:rsidRPr="00047386" w:rsidRDefault="00951FE8" w:rsidP="0083042F">
            <w:pPr>
              <w:tabs>
                <w:tab w:val="left" w:pos="0"/>
              </w:tabs>
              <w:spacing w:line="276" w:lineRule="auto"/>
              <w:rPr>
                <w:rFonts w:ascii="Arial" w:hAnsi="Arial" w:cs="Arial"/>
                <w:b/>
                <w:sz w:val="20"/>
                <w:szCs w:val="20"/>
              </w:rPr>
            </w:pPr>
            <w:r w:rsidRPr="00047386">
              <w:rPr>
                <w:rFonts w:ascii="Arial" w:hAnsi="Arial" w:cs="Arial"/>
                <w:b/>
                <w:sz w:val="20"/>
                <w:szCs w:val="20"/>
              </w:rPr>
              <w:t>d 15-28</w:t>
            </w:r>
          </w:p>
        </w:tc>
        <w:tc>
          <w:tcPr>
            <w:tcW w:w="990" w:type="dxa"/>
            <w:tcBorders>
              <w:top w:val="single" w:sz="4" w:space="0" w:color="auto"/>
              <w:bottom w:val="nil"/>
            </w:tcBorders>
          </w:tcPr>
          <w:p w14:paraId="1C70A5F0" w14:textId="77777777" w:rsidR="00951FE8" w:rsidRPr="00047386" w:rsidRDefault="00951FE8" w:rsidP="0083042F">
            <w:pPr>
              <w:tabs>
                <w:tab w:val="left" w:pos="0"/>
              </w:tabs>
              <w:spacing w:line="276" w:lineRule="auto"/>
              <w:rPr>
                <w:rFonts w:ascii="Arial" w:hAnsi="Arial" w:cs="Arial"/>
                <w:b/>
                <w:sz w:val="20"/>
                <w:szCs w:val="20"/>
              </w:rPr>
            </w:pPr>
            <w:r w:rsidRPr="00047386">
              <w:rPr>
                <w:rFonts w:ascii="Arial" w:hAnsi="Arial" w:cs="Arial"/>
                <w:b/>
                <w:sz w:val="20"/>
                <w:szCs w:val="20"/>
              </w:rPr>
              <w:t>d 15-35</w:t>
            </w:r>
          </w:p>
        </w:tc>
        <w:tc>
          <w:tcPr>
            <w:tcW w:w="990" w:type="dxa"/>
            <w:tcBorders>
              <w:top w:val="single" w:sz="4" w:space="0" w:color="auto"/>
              <w:bottom w:val="nil"/>
            </w:tcBorders>
          </w:tcPr>
          <w:p w14:paraId="289AB5E4" w14:textId="77777777" w:rsidR="00951FE8" w:rsidRPr="00047386" w:rsidRDefault="00951FE8" w:rsidP="0083042F">
            <w:pPr>
              <w:tabs>
                <w:tab w:val="left" w:pos="0"/>
              </w:tabs>
              <w:spacing w:line="276" w:lineRule="auto"/>
              <w:rPr>
                <w:rFonts w:ascii="Arial" w:hAnsi="Arial" w:cs="Arial"/>
                <w:b/>
                <w:sz w:val="20"/>
                <w:szCs w:val="20"/>
              </w:rPr>
            </w:pPr>
            <w:r w:rsidRPr="00047386">
              <w:rPr>
                <w:rFonts w:ascii="Arial" w:hAnsi="Arial" w:cs="Arial"/>
                <w:b/>
                <w:sz w:val="20"/>
                <w:szCs w:val="20"/>
              </w:rPr>
              <w:t>d 15-42</w:t>
            </w:r>
          </w:p>
        </w:tc>
        <w:tc>
          <w:tcPr>
            <w:tcW w:w="990" w:type="dxa"/>
            <w:tcBorders>
              <w:top w:val="single" w:sz="4" w:space="0" w:color="auto"/>
              <w:bottom w:val="nil"/>
            </w:tcBorders>
          </w:tcPr>
          <w:p w14:paraId="5240AD2A" w14:textId="77777777" w:rsidR="00951FE8" w:rsidRPr="00047386" w:rsidRDefault="00951FE8" w:rsidP="0083042F">
            <w:pPr>
              <w:tabs>
                <w:tab w:val="left" w:pos="0"/>
              </w:tabs>
              <w:spacing w:line="276" w:lineRule="auto"/>
              <w:rPr>
                <w:rFonts w:ascii="Arial" w:hAnsi="Arial" w:cs="Arial"/>
                <w:b/>
                <w:sz w:val="20"/>
                <w:szCs w:val="20"/>
              </w:rPr>
            </w:pPr>
            <w:r w:rsidRPr="00047386">
              <w:rPr>
                <w:rFonts w:ascii="Arial" w:hAnsi="Arial" w:cs="Arial"/>
                <w:b/>
                <w:sz w:val="20"/>
                <w:szCs w:val="20"/>
              </w:rPr>
              <w:t>d 15-49</w:t>
            </w:r>
          </w:p>
        </w:tc>
        <w:tc>
          <w:tcPr>
            <w:tcW w:w="990" w:type="dxa"/>
            <w:tcBorders>
              <w:top w:val="single" w:sz="4" w:space="0" w:color="auto"/>
              <w:bottom w:val="nil"/>
            </w:tcBorders>
          </w:tcPr>
          <w:p w14:paraId="3242BCE4" w14:textId="77777777" w:rsidR="00951FE8" w:rsidRPr="00047386" w:rsidRDefault="00951FE8" w:rsidP="0083042F">
            <w:pPr>
              <w:tabs>
                <w:tab w:val="left" w:pos="0"/>
              </w:tabs>
              <w:spacing w:line="276" w:lineRule="auto"/>
              <w:rPr>
                <w:rFonts w:ascii="Arial" w:hAnsi="Arial" w:cs="Arial"/>
                <w:b/>
                <w:sz w:val="20"/>
                <w:szCs w:val="20"/>
              </w:rPr>
            </w:pPr>
            <w:r w:rsidRPr="00047386">
              <w:rPr>
                <w:rFonts w:ascii="Arial" w:hAnsi="Arial" w:cs="Arial"/>
                <w:b/>
                <w:sz w:val="20"/>
                <w:szCs w:val="20"/>
              </w:rPr>
              <w:t>d 15-56</w:t>
            </w:r>
          </w:p>
        </w:tc>
      </w:tr>
      <w:tr w:rsidR="00951FE8" w:rsidRPr="00047386" w14:paraId="7A94772E" w14:textId="77777777" w:rsidTr="00FC26DB">
        <w:trPr>
          <w:trHeight w:val="470"/>
        </w:trPr>
        <w:tc>
          <w:tcPr>
            <w:tcW w:w="1440" w:type="dxa"/>
            <w:tcBorders>
              <w:top w:val="nil"/>
              <w:bottom w:val="single" w:sz="4" w:space="0" w:color="auto"/>
            </w:tcBorders>
          </w:tcPr>
          <w:p w14:paraId="722A62A4" w14:textId="77777777" w:rsidR="00951FE8" w:rsidRPr="00047386" w:rsidRDefault="00951FE8" w:rsidP="0083042F">
            <w:pPr>
              <w:tabs>
                <w:tab w:val="left" w:pos="0"/>
              </w:tabs>
              <w:spacing w:line="276" w:lineRule="auto"/>
              <w:rPr>
                <w:rFonts w:ascii="Arial" w:hAnsi="Arial" w:cs="Arial"/>
                <w:sz w:val="20"/>
                <w:szCs w:val="20"/>
              </w:rPr>
            </w:pPr>
          </w:p>
        </w:tc>
        <w:tc>
          <w:tcPr>
            <w:tcW w:w="720" w:type="dxa"/>
            <w:tcBorders>
              <w:top w:val="nil"/>
              <w:bottom w:val="single" w:sz="4" w:space="0" w:color="auto"/>
            </w:tcBorders>
          </w:tcPr>
          <w:p w14:paraId="5F1711E8" w14:textId="77777777" w:rsidR="00951FE8" w:rsidRPr="00047386" w:rsidRDefault="00951FE8" w:rsidP="0083042F">
            <w:pPr>
              <w:tabs>
                <w:tab w:val="left" w:pos="0"/>
              </w:tabs>
              <w:spacing w:line="276" w:lineRule="auto"/>
              <w:rPr>
                <w:rFonts w:ascii="Arial" w:hAnsi="Arial" w:cs="Arial"/>
                <w:b/>
                <w:sz w:val="20"/>
                <w:szCs w:val="20"/>
              </w:rPr>
            </w:pPr>
            <w:r w:rsidRPr="00047386">
              <w:rPr>
                <w:rFonts w:ascii="Arial" w:hAnsi="Arial" w:cs="Arial"/>
                <w:b/>
                <w:sz w:val="20"/>
                <w:szCs w:val="20"/>
              </w:rPr>
              <w:t>Fat</w:t>
            </w:r>
          </w:p>
        </w:tc>
        <w:tc>
          <w:tcPr>
            <w:tcW w:w="990" w:type="dxa"/>
            <w:tcBorders>
              <w:top w:val="nil"/>
              <w:bottom w:val="single" w:sz="4" w:space="0" w:color="auto"/>
            </w:tcBorders>
          </w:tcPr>
          <w:p w14:paraId="1316D384" w14:textId="77777777" w:rsidR="00951FE8" w:rsidRPr="00047386" w:rsidRDefault="00951FE8" w:rsidP="0083042F">
            <w:pPr>
              <w:tabs>
                <w:tab w:val="left" w:pos="0"/>
              </w:tabs>
              <w:spacing w:line="276" w:lineRule="auto"/>
              <w:rPr>
                <w:rFonts w:ascii="Arial" w:hAnsi="Arial" w:cs="Arial"/>
                <w:b/>
                <w:sz w:val="20"/>
                <w:szCs w:val="20"/>
              </w:rPr>
            </w:pPr>
            <w:r w:rsidRPr="00047386">
              <w:rPr>
                <w:rFonts w:ascii="Arial" w:hAnsi="Arial" w:cs="Arial"/>
                <w:b/>
                <w:sz w:val="20"/>
                <w:szCs w:val="20"/>
              </w:rPr>
              <w:t>Fibre</w:t>
            </w:r>
          </w:p>
        </w:tc>
        <w:tc>
          <w:tcPr>
            <w:tcW w:w="1080" w:type="dxa"/>
            <w:tcBorders>
              <w:top w:val="nil"/>
              <w:bottom w:val="single" w:sz="4" w:space="0" w:color="auto"/>
            </w:tcBorders>
          </w:tcPr>
          <w:p w14:paraId="6DBD2772" w14:textId="77777777" w:rsidR="00951FE8" w:rsidRPr="00047386" w:rsidRDefault="00951FE8" w:rsidP="0083042F">
            <w:pPr>
              <w:tabs>
                <w:tab w:val="left" w:pos="0"/>
              </w:tabs>
              <w:spacing w:line="276" w:lineRule="auto"/>
              <w:rPr>
                <w:rFonts w:ascii="Arial" w:hAnsi="Arial" w:cs="Arial"/>
                <w:sz w:val="20"/>
                <w:szCs w:val="20"/>
              </w:rPr>
            </w:pPr>
          </w:p>
        </w:tc>
        <w:tc>
          <w:tcPr>
            <w:tcW w:w="990" w:type="dxa"/>
            <w:tcBorders>
              <w:top w:val="nil"/>
              <w:bottom w:val="single" w:sz="4" w:space="0" w:color="auto"/>
            </w:tcBorders>
          </w:tcPr>
          <w:p w14:paraId="0C9F3EF9" w14:textId="77777777" w:rsidR="00951FE8" w:rsidRPr="00047386" w:rsidRDefault="00951FE8" w:rsidP="0083042F">
            <w:pPr>
              <w:tabs>
                <w:tab w:val="left" w:pos="0"/>
              </w:tabs>
              <w:spacing w:line="276" w:lineRule="auto"/>
              <w:rPr>
                <w:rFonts w:ascii="Arial" w:hAnsi="Arial" w:cs="Arial"/>
                <w:sz w:val="20"/>
                <w:szCs w:val="20"/>
              </w:rPr>
            </w:pPr>
          </w:p>
        </w:tc>
        <w:tc>
          <w:tcPr>
            <w:tcW w:w="990" w:type="dxa"/>
            <w:tcBorders>
              <w:top w:val="nil"/>
              <w:bottom w:val="single" w:sz="4" w:space="0" w:color="auto"/>
            </w:tcBorders>
          </w:tcPr>
          <w:p w14:paraId="543F81FD" w14:textId="77777777" w:rsidR="00951FE8" w:rsidRPr="00047386" w:rsidRDefault="00951FE8" w:rsidP="0083042F">
            <w:pPr>
              <w:tabs>
                <w:tab w:val="left" w:pos="0"/>
              </w:tabs>
              <w:spacing w:line="276" w:lineRule="auto"/>
              <w:rPr>
                <w:rFonts w:ascii="Arial" w:hAnsi="Arial" w:cs="Arial"/>
                <w:sz w:val="20"/>
                <w:szCs w:val="20"/>
              </w:rPr>
            </w:pPr>
          </w:p>
        </w:tc>
        <w:tc>
          <w:tcPr>
            <w:tcW w:w="990" w:type="dxa"/>
            <w:tcBorders>
              <w:top w:val="nil"/>
              <w:bottom w:val="single" w:sz="4" w:space="0" w:color="auto"/>
            </w:tcBorders>
          </w:tcPr>
          <w:p w14:paraId="236AB535" w14:textId="77777777" w:rsidR="00951FE8" w:rsidRPr="00047386" w:rsidRDefault="00951FE8" w:rsidP="0083042F">
            <w:pPr>
              <w:tabs>
                <w:tab w:val="left" w:pos="0"/>
              </w:tabs>
              <w:spacing w:line="276" w:lineRule="auto"/>
              <w:rPr>
                <w:rFonts w:ascii="Arial" w:hAnsi="Arial" w:cs="Arial"/>
                <w:sz w:val="20"/>
                <w:szCs w:val="20"/>
              </w:rPr>
            </w:pPr>
          </w:p>
        </w:tc>
        <w:tc>
          <w:tcPr>
            <w:tcW w:w="990" w:type="dxa"/>
            <w:tcBorders>
              <w:top w:val="nil"/>
              <w:bottom w:val="single" w:sz="4" w:space="0" w:color="auto"/>
            </w:tcBorders>
          </w:tcPr>
          <w:p w14:paraId="4FB6741E" w14:textId="77777777" w:rsidR="00951FE8" w:rsidRPr="00047386" w:rsidRDefault="00951FE8" w:rsidP="0083042F">
            <w:pPr>
              <w:tabs>
                <w:tab w:val="left" w:pos="0"/>
              </w:tabs>
              <w:spacing w:line="276" w:lineRule="auto"/>
              <w:rPr>
                <w:rFonts w:ascii="Arial" w:hAnsi="Arial" w:cs="Arial"/>
                <w:sz w:val="20"/>
                <w:szCs w:val="20"/>
              </w:rPr>
            </w:pPr>
          </w:p>
        </w:tc>
        <w:tc>
          <w:tcPr>
            <w:tcW w:w="990" w:type="dxa"/>
            <w:tcBorders>
              <w:top w:val="nil"/>
              <w:bottom w:val="single" w:sz="4" w:space="0" w:color="auto"/>
            </w:tcBorders>
          </w:tcPr>
          <w:p w14:paraId="5779E6B4" w14:textId="77777777" w:rsidR="00951FE8" w:rsidRPr="00047386" w:rsidRDefault="00951FE8" w:rsidP="0083042F">
            <w:pPr>
              <w:tabs>
                <w:tab w:val="left" w:pos="0"/>
              </w:tabs>
              <w:spacing w:line="276" w:lineRule="auto"/>
              <w:rPr>
                <w:rFonts w:ascii="Arial" w:hAnsi="Arial" w:cs="Arial"/>
                <w:sz w:val="20"/>
                <w:szCs w:val="20"/>
              </w:rPr>
            </w:pPr>
          </w:p>
        </w:tc>
      </w:tr>
      <w:tr w:rsidR="00951FE8" w:rsidRPr="00047386" w14:paraId="6CD01A34" w14:textId="77777777" w:rsidTr="00FC26DB">
        <w:trPr>
          <w:trHeight w:val="445"/>
        </w:trPr>
        <w:tc>
          <w:tcPr>
            <w:tcW w:w="1440" w:type="dxa"/>
            <w:tcBorders>
              <w:top w:val="single" w:sz="4" w:space="0" w:color="auto"/>
            </w:tcBorders>
          </w:tcPr>
          <w:p w14:paraId="2CAD2037" w14:textId="77777777" w:rsidR="00951FE8" w:rsidRPr="00047386" w:rsidRDefault="00951FE8" w:rsidP="0083042F">
            <w:pPr>
              <w:tabs>
                <w:tab w:val="left" w:pos="0"/>
              </w:tabs>
              <w:spacing w:line="276" w:lineRule="auto"/>
              <w:rPr>
                <w:rFonts w:ascii="Arial" w:hAnsi="Arial" w:cs="Arial"/>
                <w:sz w:val="20"/>
                <w:szCs w:val="20"/>
              </w:rPr>
            </w:pPr>
          </w:p>
        </w:tc>
        <w:tc>
          <w:tcPr>
            <w:tcW w:w="720" w:type="dxa"/>
            <w:tcBorders>
              <w:top w:val="single" w:sz="4" w:space="0" w:color="auto"/>
            </w:tcBorders>
          </w:tcPr>
          <w:p w14:paraId="08B9A53E"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Low</w:t>
            </w:r>
          </w:p>
        </w:tc>
        <w:tc>
          <w:tcPr>
            <w:tcW w:w="990" w:type="dxa"/>
            <w:tcBorders>
              <w:top w:val="single" w:sz="4" w:space="0" w:color="auto"/>
            </w:tcBorders>
          </w:tcPr>
          <w:p w14:paraId="5504E508" w14:textId="77777777" w:rsidR="00951FE8" w:rsidRPr="00047386" w:rsidRDefault="00951FE8" w:rsidP="0083042F">
            <w:pPr>
              <w:tabs>
                <w:tab w:val="left" w:pos="0"/>
              </w:tabs>
              <w:spacing w:line="276" w:lineRule="auto"/>
              <w:rPr>
                <w:rFonts w:ascii="Arial" w:hAnsi="Arial" w:cs="Arial"/>
                <w:sz w:val="20"/>
                <w:szCs w:val="20"/>
              </w:rPr>
            </w:pPr>
          </w:p>
        </w:tc>
        <w:tc>
          <w:tcPr>
            <w:tcW w:w="1080" w:type="dxa"/>
            <w:tcBorders>
              <w:top w:val="single" w:sz="4" w:space="0" w:color="auto"/>
            </w:tcBorders>
          </w:tcPr>
          <w:p w14:paraId="37D355DF"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13.34</w:t>
            </w:r>
          </w:p>
        </w:tc>
        <w:tc>
          <w:tcPr>
            <w:tcW w:w="990" w:type="dxa"/>
            <w:tcBorders>
              <w:top w:val="single" w:sz="4" w:space="0" w:color="auto"/>
            </w:tcBorders>
          </w:tcPr>
          <w:p w14:paraId="4192306A"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13.03</w:t>
            </w:r>
          </w:p>
        </w:tc>
        <w:tc>
          <w:tcPr>
            <w:tcW w:w="990" w:type="dxa"/>
            <w:tcBorders>
              <w:top w:val="single" w:sz="4" w:space="0" w:color="auto"/>
            </w:tcBorders>
          </w:tcPr>
          <w:p w14:paraId="20583BA2"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13.08</w:t>
            </w:r>
          </w:p>
        </w:tc>
        <w:tc>
          <w:tcPr>
            <w:tcW w:w="990" w:type="dxa"/>
            <w:tcBorders>
              <w:top w:val="single" w:sz="4" w:space="0" w:color="auto"/>
            </w:tcBorders>
          </w:tcPr>
          <w:p w14:paraId="73F4899E"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12.60</w:t>
            </w:r>
          </w:p>
        </w:tc>
        <w:tc>
          <w:tcPr>
            <w:tcW w:w="990" w:type="dxa"/>
            <w:tcBorders>
              <w:top w:val="single" w:sz="4" w:space="0" w:color="auto"/>
            </w:tcBorders>
          </w:tcPr>
          <w:p w14:paraId="07507574"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12.10</w:t>
            </w:r>
          </w:p>
        </w:tc>
        <w:tc>
          <w:tcPr>
            <w:tcW w:w="990" w:type="dxa"/>
            <w:tcBorders>
              <w:top w:val="single" w:sz="4" w:space="0" w:color="auto"/>
            </w:tcBorders>
          </w:tcPr>
          <w:p w14:paraId="59F6D181"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12.02</w:t>
            </w:r>
          </w:p>
        </w:tc>
      </w:tr>
      <w:tr w:rsidR="00951FE8" w:rsidRPr="00047386" w14:paraId="4197488F" w14:textId="77777777" w:rsidTr="00FC26DB">
        <w:trPr>
          <w:trHeight w:val="470"/>
        </w:trPr>
        <w:tc>
          <w:tcPr>
            <w:tcW w:w="1440" w:type="dxa"/>
          </w:tcPr>
          <w:p w14:paraId="068A1CA7" w14:textId="77777777" w:rsidR="00951FE8" w:rsidRPr="00047386" w:rsidRDefault="00951FE8" w:rsidP="0083042F">
            <w:pPr>
              <w:tabs>
                <w:tab w:val="left" w:pos="0"/>
              </w:tabs>
              <w:spacing w:line="276" w:lineRule="auto"/>
              <w:rPr>
                <w:rFonts w:ascii="Arial" w:hAnsi="Arial" w:cs="Arial"/>
                <w:sz w:val="20"/>
                <w:szCs w:val="20"/>
              </w:rPr>
            </w:pPr>
          </w:p>
        </w:tc>
        <w:tc>
          <w:tcPr>
            <w:tcW w:w="720" w:type="dxa"/>
          </w:tcPr>
          <w:p w14:paraId="7B79EB89"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High</w:t>
            </w:r>
          </w:p>
        </w:tc>
        <w:tc>
          <w:tcPr>
            <w:tcW w:w="990" w:type="dxa"/>
          </w:tcPr>
          <w:p w14:paraId="0F4DE1CE" w14:textId="77777777" w:rsidR="00951FE8" w:rsidRPr="00047386" w:rsidRDefault="00951FE8" w:rsidP="0083042F">
            <w:pPr>
              <w:tabs>
                <w:tab w:val="left" w:pos="0"/>
              </w:tabs>
              <w:spacing w:line="276" w:lineRule="auto"/>
              <w:rPr>
                <w:rFonts w:ascii="Arial" w:hAnsi="Arial" w:cs="Arial"/>
                <w:sz w:val="20"/>
                <w:szCs w:val="20"/>
              </w:rPr>
            </w:pPr>
          </w:p>
        </w:tc>
        <w:tc>
          <w:tcPr>
            <w:tcW w:w="1080" w:type="dxa"/>
          </w:tcPr>
          <w:p w14:paraId="39DC5934"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11.76</w:t>
            </w:r>
          </w:p>
        </w:tc>
        <w:tc>
          <w:tcPr>
            <w:tcW w:w="990" w:type="dxa"/>
          </w:tcPr>
          <w:p w14:paraId="5556F0AA"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10.98</w:t>
            </w:r>
          </w:p>
        </w:tc>
        <w:tc>
          <w:tcPr>
            <w:tcW w:w="990" w:type="dxa"/>
          </w:tcPr>
          <w:p w14:paraId="035B7C42"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10.53</w:t>
            </w:r>
          </w:p>
        </w:tc>
        <w:tc>
          <w:tcPr>
            <w:tcW w:w="990" w:type="dxa"/>
          </w:tcPr>
          <w:p w14:paraId="67BAA2ED"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10.33</w:t>
            </w:r>
          </w:p>
        </w:tc>
        <w:tc>
          <w:tcPr>
            <w:tcW w:w="990" w:type="dxa"/>
          </w:tcPr>
          <w:p w14:paraId="7E094BB7"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10.09</w:t>
            </w:r>
          </w:p>
        </w:tc>
        <w:tc>
          <w:tcPr>
            <w:tcW w:w="990" w:type="dxa"/>
          </w:tcPr>
          <w:p w14:paraId="3E0ADB99"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10.08</w:t>
            </w:r>
          </w:p>
        </w:tc>
      </w:tr>
      <w:tr w:rsidR="00951FE8" w:rsidRPr="00047386" w14:paraId="0E673E32" w14:textId="77777777" w:rsidTr="00FC26DB">
        <w:trPr>
          <w:trHeight w:val="470"/>
        </w:trPr>
        <w:tc>
          <w:tcPr>
            <w:tcW w:w="1440" w:type="dxa"/>
          </w:tcPr>
          <w:p w14:paraId="63C776D4" w14:textId="77777777" w:rsidR="00951FE8" w:rsidRPr="00047386" w:rsidRDefault="00951FE8" w:rsidP="0083042F">
            <w:pPr>
              <w:tabs>
                <w:tab w:val="left" w:pos="0"/>
              </w:tabs>
              <w:spacing w:line="276" w:lineRule="auto"/>
              <w:rPr>
                <w:rFonts w:ascii="Arial" w:hAnsi="Arial" w:cs="Arial"/>
                <w:b/>
                <w:sz w:val="20"/>
                <w:szCs w:val="20"/>
              </w:rPr>
            </w:pPr>
            <w:r w:rsidRPr="00047386">
              <w:rPr>
                <w:rFonts w:ascii="Arial" w:hAnsi="Arial" w:cs="Arial"/>
                <w:b/>
                <w:sz w:val="20"/>
                <w:szCs w:val="20"/>
              </w:rPr>
              <w:t>SEM</w:t>
            </w:r>
          </w:p>
        </w:tc>
        <w:tc>
          <w:tcPr>
            <w:tcW w:w="720" w:type="dxa"/>
          </w:tcPr>
          <w:p w14:paraId="76269DE5"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42845633" w14:textId="77777777" w:rsidR="00951FE8" w:rsidRPr="00047386" w:rsidRDefault="00951FE8" w:rsidP="0083042F">
            <w:pPr>
              <w:tabs>
                <w:tab w:val="left" w:pos="0"/>
              </w:tabs>
              <w:spacing w:line="276" w:lineRule="auto"/>
              <w:rPr>
                <w:rFonts w:ascii="Arial" w:hAnsi="Arial" w:cs="Arial"/>
                <w:sz w:val="20"/>
                <w:szCs w:val="20"/>
              </w:rPr>
            </w:pPr>
          </w:p>
        </w:tc>
        <w:tc>
          <w:tcPr>
            <w:tcW w:w="1080" w:type="dxa"/>
          </w:tcPr>
          <w:p w14:paraId="69EBADAE"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0.069</w:t>
            </w:r>
          </w:p>
        </w:tc>
        <w:tc>
          <w:tcPr>
            <w:tcW w:w="990" w:type="dxa"/>
          </w:tcPr>
          <w:p w14:paraId="1172CD2C"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0.077</w:t>
            </w:r>
          </w:p>
        </w:tc>
        <w:tc>
          <w:tcPr>
            <w:tcW w:w="990" w:type="dxa"/>
          </w:tcPr>
          <w:p w14:paraId="7C35C61B"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0.074</w:t>
            </w:r>
          </w:p>
        </w:tc>
        <w:tc>
          <w:tcPr>
            <w:tcW w:w="990" w:type="dxa"/>
          </w:tcPr>
          <w:p w14:paraId="35FDF1B2"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0.071</w:t>
            </w:r>
          </w:p>
        </w:tc>
        <w:tc>
          <w:tcPr>
            <w:tcW w:w="990" w:type="dxa"/>
          </w:tcPr>
          <w:p w14:paraId="6A2E051D"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0.072</w:t>
            </w:r>
          </w:p>
        </w:tc>
        <w:tc>
          <w:tcPr>
            <w:tcW w:w="990" w:type="dxa"/>
          </w:tcPr>
          <w:p w14:paraId="15D7AF28"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0.075</w:t>
            </w:r>
          </w:p>
        </w:tc>
      </w:tr>
      <w:tr w:rsidR="00951FE8" w:rsidRPr="00047386" w14:paraId="463B52A9" w14:textId="77777777" w:rsidTr="00FC26DB">
        <w:trPr>
          <w:trHeight w:val="470"/>
        </w:trPr>
        <w:tc>
          <w:tcPr>
            <w:tcW w:w="1440" w:type="dxa"/>
          </w:tcPr>
          <w:p w14:paraId="29C9B22C" w14:textId="77777777" w:rsidR="00951FE8" w:rsidRPr="00047386" w:rsidRDefault="00951FE8" w:rsidP="0083042F">
            <w:pPr>
              <w:tabs>
                <w:tab w:val="left" w:pos="0"/>
              </w:tabs>
              <w:spacing w:line="276" w:lineRule="auto"/>
              <w:rPr>
                <w:rFonts w:ascii="Arial" w:hAnsi="Arial" w:cs="Arial"/>
                <w:sz w:val="20"/>
                <w:szCs w:val="20"/>
              </w:rPr>
            </w:pPr>
          </w:p>
        </w:tc>
        <w:tc>
          <w:tcPr>
            <w:tcW w:w="720" w:type="dxa"/>
          </w:tcPr>
          <w:p w14:paraId="39C509B1"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57119E9F"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Low</w:t>
            </w:r>
          </w:p>
        </w:tc>
        <w:tc>
          <w:tcPr>
            <w:tcW w:w="1080" w:type="dxa"/>
          </w:tcPr>
          <w:p w14:paraId="59FF1300"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13.81</w:t>
            </w:r>
          </w:p>
        </w:tc>
        <w:tc>
          <w:tcPr>
            <w:tcW w:w="990" w:type="dxa"/>
          </w:tcPr>
          <w:p w14:paraId="2988CDA7"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13.17</w:t>
            </w:r>
          </w:p>
        </w:tc>
        <w:tc>
          <w:tcPr>
            <w:tcW w:w="990" w:type="dxa"/>
          </w:tcPr>
          <w:p w14:paraId="004653AB"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12.86</w:t>
            </w:r>
          </w:p>
        </w:tc>
        <w:tc>
          <w:tcPr>
            <w:tcW w:w="990" w:type="dxa"/>
          </w:tcPr>
          <w:p w14:paraId="25046BFD"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12.29</w:t>
            </w:r>
          </w:p>
        </w:tc>
        <w:tc>
          <w:tcPr>
            <w:tcW w:w="990" w:type="dxa"/>
          </w:tcPr>
          <w:p w14:paraId="35AF8A7A"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11.69</w:t>
            </w:r>
          </w:p>
        </w:tc>
        <w:tc>
          <w:tcPr>
            <w:tcW w:w="990" w:type="dxa"/>
          </w:tcPr>
          <w:p w14:paraId="462CF838"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11.56</w:t>
            </w:r>
          </w:p>
        </w:tc>
      </w:tr>
      <w:tr w:rsidR="00951FE8" w:rsidRPr="00047386" w14:paraId="22CAF2D4" w14:textId="77777777" w:rsidTr="00FC26DB">
        <w:trPr>
          <w:trHeight w:val="470"/>
        </w:trPr>
        <w:tc>
          <w:tcPr>
            <w:tcW w:w="1440" w:type="dxa"/>
          </w:tcPr>
          <w:p w14:paraId="6CDF00D2" w14:textId="77777777" w:rsidR="00951FE8" w:rsidRPr="00047386" w:rsidRDefault="00951FE8" w:rsidP="0083042F">
            <w:pPr>
              <w:tabs>
                <w:tab w:val="left" w:pos="0"/>
              </w:tabs>
              <w:spacing w:line="276" w:lineRule="auto"/>
              <w:rPr>
                <w:rFonts w:ascii="Arial" w:hAnsi="Arial" w:cs="Arial"/>
                <w:sz w:val="20"/>
                <w:szCs w:val="20"/>
              </w:rPr>
            </w:pPr>
          </w:p>
        </w:tc>
        <w:tc>
          <w:tcPr>
            <w:tcW w:w="720" w:type="dxa"/>
          </w:tcPr>
          <w:p w14:paraId="422F79EA"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3264E924" w14:textId="77777777" w:rsidR="00951FE8" w:rsidRPr="00047386" w:rsidRDefault="00951FE8" w:rsidP="0083042F">
            <w:pPr>
              <w:tabs>
                <w:tab w:val="left" w:pos="0"/>
              </w:tabs>
              <w:spacing w:line="276" w:lineRule="auto"/>
              <w:rPr>
                <w:rFonts w:ascii="Arial" w:hAnsi="Arial" w:cs="Arial"/>
                <w:sz w:val="20"/>
                <w:szCs w:val="20"/>
              </w:rPr>
            </w:pPr>
          </w:p>
        </w:tc>
        <w:tc>
          <w:tcPr>
            <w:tcW w:w="1080" w:type="dxa"/>
          </w:tcPr>
          <w:p w14:paraId="6450C977"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0A4DCDB3"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65D8FBFB"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5047AF9D"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6928F54C"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266243AC" w14:textId="77777777" w:rsidR="00951FE8" w:rsidRPr="00047386" w:rsidRDefault="00951FE8" w:rsidP="0083042F">
            <w:pPr>
              <w:tabs>
                <w:tab w:val="left" w:pos="0"/>
              </w:tabs>
              <w:spacing w:line="276" w:lineRule="auto"/>
              <w:rPr>
                <w:rFonts w:ascii="Arial" w:hAnsi="Arial" w:cs="Arial"/>
                <w:sz w:val="20"/>
                <w:szCs w:val="20"/>
              </w:rPr>
            </w:pPr>
          </w:p>
        </w:tc>
      </w:tr>
      <w:tr w:rsidR="00951FE8" w:rsidRPr="00047386" w14:paraId="3E4B0220" w14:textId="77777777" w:rsidTr="00FC26DB">
        <w:trPr>
          <w:trHeight w:val="470"/>
        </w:trPr>
        <w:tc>
          <w:tcPr>
            <w:tcW w:w="1440" w:type="dxa"/>
          </w:tcPr>
          <w:p w14:paraId="5ED28495" w14:textId="77777777" w:rsidR="00951FE8" w:rsidRPr="00047386" w:rsidRDefault="00951FE8" w:rsidP="0083042F">
            <w:pPr>
              <w:tabs>
                <w:tab w:val="left" w:pos="0"/>
              </w:tabs>
              <w:spacing w:line="276" w:lineRule="auto"/>
              <w:rPr>
                <w:rFonts w:ascii="Arial" w:hAnsi="Arial" w:cs="Arial"/>
                <w:sz w:val="20"/>
                <w:szCs w:val="20"/>
              </w:rPr>
            </w:pPr>
          </w:p>
        </w:tc>
        <w:tc>
          <w:tcPr>
            <w:tcW w:w="720" w:type="dxa"/>
          </w:tcPr>
          <w:p w14:paraId="4D35329A"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0CE31C0F"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High</w:t>
            </w:r>
          </w:p>
        </w:tc>
        <w:tc>
          <w:tcPr>
            <w:tcW w:w="1080" w:type="dxa"/>
          </w:tcPr>
          <w:p w14:paraId="7FB82451"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11.36</w:t>
            </w:r>
          </w:p>
        </w:tc>
        <w:tc>
          <w:tcPr>
            <w:tcW w:w="990" w:type="dxa"/>
          </w:tcPr>
          <w:p w14:paraId="56563275"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10.87</w:t>
            </w:r>
          </w:p>
        </w:tc>
        <w:tc>
          <w:tcPr>
            <w:tcW w:w="990" w:type="dxa"/>
          </w:tcPr>
          <w:p w14:paraId="43DA963C"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10.72</w:t>
            </w:r>
          </w:p>
        </w:tc>
        <w:tc>
          <w:tcPr>
            <w:tcW w:w="990" w:type="dxa"/>
          </w:tcPr>
          <w:p w14:paraId="33C24C92"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10.59</w:t>
            </w:r>
          </w:p>
        </w:tc>
        <w:tc>
          <w:tcPr>
            <w:tcW w:w="990" w:type="dxa"/>
          </w:tcPr>
          <w:p w14:paraId="40004F89"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10.44</w:t>
            </w:r>
          </w:p>
        </w:tc>
        <w:tc>
          <w:tcPr>
            <w:tcW w:w="990" w:type="dxa"/>
          </w:tcPr>
          <w:p w14:paraId="5627573F"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10.48</w:t>
            </w:r>
          </w:p>
        </w:tc>
      </w:tr>
      <w:tr w:rsidR="00951FE8" w:rsidRPr="00047386" w14:paraId="7CBF9B62" w14:textId="77777777" w:rsidTr="00FC26DB">
        <w:trPr>
          <w:trHeight w:val="470"/>
        </w:trPr>
        <w:tc>
          <w:tcPr>
            <w:tcW w:w="1440" w:type="dxa"/>
          </w:tcPr>
          <w:p w14:paraId="5E9D513A" w14:textId="77777777" w:rsidR="00951FE8" w:rsidRPr="00047386" w:rsidRDefault="00951FE8" w:rsidP="0083042F">
            <w:pPr>
              <w:tabs>
                <w:tab w:val="left" w:pos="0"/>
              </w:tabs>
              <w:spacing w:line="276" w:lineRule="auto"/>
              <w:rPr>
                <w:rFonts w:ascii="Arial" w:hAnsi="Arial" w:cs="Arial"/>
                <w:b/>
                <w:sz w:val="20"/>
                <w:szCs w:val="20"/>
              </w:rPr>
            </w:pPr>
            <w:r w:rsidRPr="00047386">
              <w:rPr>
                <w:rFonts w:ascii="Arial" w:hAnsi="Arial" w:cs="Arial"/>
                <w:b/>
                <w:sz w:val="20"/>
                <w:szCs w:val="20"/>
              </w:rPr>
              <w:t>SEM</w:t>
            </w:r>
          </w:p>
        </w:tc>
        <w:tc>
          <w:tcPr>
            <w:tcW w:w="720" w:type="dxa"/>
          </w:tcPr>
          <w:p w14:paraId="54420279"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0365C516" w14:textId="77777777" w:rsidR="00951FE8" w:rsidRPr="00047386" w:rsidRDefault="00951FE8" w:rsidP="0083042F">
            <w:pPr>
              <w:tabs>
                <w:tab w:val="left" w:pos="0"/>
              </w:tabs>
              <w:spacing w:line="276" w:lineRule="auto"/>
              <w:rPr>
                <w:rFonts w:ascii="Arial" w:hAnsi="Arial" w:cs="Arial"/>
                <w:sz w:val="20"/>
                <w:szCs w:val="20"/>
              </w:rPr>
            </w:pPr>
          </w:p>
        </w:tc>
        <w:tc>
          <w:tcPr>
            <w:tcW w:w="1080" w:type="dxa"/>
          </w:tcPr>
          <w:p w14:paraId="72468A65"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0.069</w:t>
            </w:r>
          </w:p>
        </w:tc>
        <w:tc>
          <w:tcPr>
            <w:tcW w:w="990" w:type="dxa"/>
          </w:tcPr>
          <w:p w14:paraId="173847BE"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0.077</w:t>
            </w:r>
          </w:p>
        </w:tc>
        <w:tc>
          <w:tcPr>
            <w:tcW w:w="990" w:type="dxa"/>
          </w:tcPr>
          <w:p w14:paraId="65251206"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0.074</w:t>
            </w:r>
          </w:p>
        </w:tc>
        <w:tc>
          <w:tcPr>
            <w:tcW w:w="990" w:type="dxa"/>
          </w:tcPr>
          <w:p w14:paraId="5A314D64"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0.071</w:t>
            </w:r>
          </w:p>
        </w:tc>
        <w:tc>
          <w:tcPr>
            <w:tcW w:w="990" w:type="dxa"/>
          </w:tcPr>
          <w:p w14:paraId="3072CDAB"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0.072</w:t>
            </w:r>
          </w:p>
        </w:tc>
        <w:tc>
          <w:tcPr>
            <w:tcW w:w="990" w:type="dxa"/>
          </w:tcPr>
          <w:p w14:paraId="6D80AED2"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0.075</w:t>
            </w:r>
          </w:p>
        </w:tc>
      </w:tr>
      <w:tr w:rsidR="00951FE8" w:rsidRPr="00047386" w14:paraId="6C135249" w14:textId="77777777" w:rsidTr="00FC26DB">
        <w:trPr>
          <w:trHeight w:val="470"/>
        </w:trPr>
        <w:tc>
          <w:tcPr>
            <w:tcW w:w="1440" w:type="dxa"/>
          </w:tcPr>
          <w:p w14:paraId="5DB8EA6C" w14:textId="77777777" w:rsidR="00951FE8" w:rsidRPr="00047386" w:rsidRDefault="00951FE8" w:rsidP="0083042F">
            <w:pPr>
              <w:tabs>
                <w:tab w:val="left" w:pos="0"/>
              </w:tabs>
              <w:spacing w:line="276" w:lineRule="auto"/>
              <w:rPr>
                <w:rFonts w:ascii="Arial" w:hAnsi="Arial" w:cs="Arial"/>
                <w:b/>
                <w:sz w:val="20"/>
                <w:szCs w:val="20"/>
              </w:rPr>
            </w:pPr>
            <w:r w:rsidRPr="00047386">
              <w:rPr>
                <w:rFonts w:ascii="Arial" w:hAnsi="Arial" w:cs="Arial"/>
                <w:b/>
                <w:sz w:val="20"/>
                <w:szCs w:val="20"/>
              </w:rPr>
              <w:t>Interactions</w:t>
            </w:r>
          </w:p>
        </w:tc>
        <w:tc>
          <w:tcPr>
            <w:tcW w:w="720" w:type="dxa"/>
          </w:tcPr>
          <w:p w14:paraId="1A0619C3"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77171039" w14:textId="77777777" w:rsidR="00951FE8" w:rsidRPr="00047386" w:rsidRDefault="00951FE8" w:rsidP="0083042F">
            <w:pPr>
              <w:tabs>
                <w:tab w:val="left" w:pos="0"/>
              </w:tabs>
              <w:spacing w:line="276" w:lineRule="auto"/>
              <w:rPr>
                <w:rFonts w:ascii="Arial" w:hAnsi="Arial" w:cs="Arial"/>
                <w:sz w:val="20"/>
                <w:szCs w:val="20"/>
              </w:rPr>
            </w:pPr>
          </w:p>
        </w:tc>
        <w:tc>
          <w:tcPr>
            <w:tcW w:w="1080" w:type="dxa"/>
          </w:tcPr>
          <w:p w14:paraId="4AD6585D"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1C08B2CA"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14BFC268"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1B91CD26"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4377FB94"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7B50F6A7" w14:textId="77777777" w:rsidR="00951FE8" w:rsidRPr="00047386" w:rsidRDefault="00951FE8" w:rsidP="0083042F">
            <w:pPr>
              <w:tabs>
                <w:tab w:val="left" w:pos="0"/>
              </w:tabs>
              <w:spacing w:line="276" w:lineRule="auto"/>
              <w:rPr>
                <w:rFonts w:ascii="Arial" w:hAnsi="Arial" w:cs="Arial"/>
                <w:sz w:val="20"/>
                <w:szCs w:val="20"/>
              </w:rPr>
            </w:pPr>
          </w:p>
        </w:tc>
      </w:tr>
      <w:tr w:rsidR="00951FE8" w:rsidRPr="00047386" w14:paraId="25042389" w14:textId="77777777" w:rsidTr="00FC26DB">
        <w:trPr>
          <w:trHeight w:val="470"/>
        </w:trPr>
        <w:tc>
          <w:tcPr>
            <w:tcW w:w="1440" w:type="dxa"/>
          </w:tcPr>
          <w:p w14:paraId="3C48B0D5"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Low x low</w:t>
            </w:r>
          </w:p>
        </w:tc>
        <w:tc>
          <w:tcPr>
            <w:tcW w:w="720" w:type="dxa"/>
          </w:tcPr>
          <w:p w14:paraId="4BB4AE06"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6D85036E" w14:textId="77777777" w:rsidR="00951FE8" w:rsidRPr="00047386" w:rsidRDefault="00951FE8" w:rsidP="0083042F">
            <w:pPr>
              <w:tabs>
                <w:tab w:val="left" w:pos="0"/>
              </w:tabs>
              <w:spacing w:line="276" w:lineRule="auto"/>
              <w:rPr>
                <w:rFonts w:ascii="Arial" w:hAnsi="Arial" w:cs="Arial"/>
                <w:sz w:val="20"/>
                <w:szCs w:val="20"/>
              </w:rPr>
            </w:pPr>
          </w:p>
        </w:tc>
        <w:tc>
          <w:tcPr>
            <w:tcW w:w="1080" w:type="dxa"/>
          </w:tcPr>
          <w:p w14:paraId="22E17857"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15.25</w:t>
            </w:r>
          </w:p>
        </w:tc>
        <w:tc>
          <w:tcPr>
            <w:tcW w:w="990" w:type="dxa"/>
          </w:tcPr>
          <w:p w14:paraId="3ED2724E"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14.86</w:t>
            </w:r>
          </w:p>
        </w:tc>
        <w:tc>
          <w:tcPr>
            <w:tcW w:w="990" w:type="dxa"/>
          </w:tcPr>
          <w:p w14:paraId="2A77E5DE"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14.66</w:t>
            </w:r>
          </w:p>
        </w:tc>
        <w:tc>
          <w:tcPr>
            <w:tcW w:w="990" w:type="dxa"/>
          </w:tcPr>
          <w:p w14:paraId="54BA2CB8"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13.92</w:t>
            </w:r>
          </w:p>
        </w:tc>
        <w:tc>
          <w:tcPr>
            <w:tcW w:w="990" w:type="dxa"/>
          </w:tcPr>
          <w:p w14:paraId="05527C18"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13.12</w:t>
            </w:r>
          </w:p>
        </w:tc>
        <w:tc>
          <w:tcPr>
            <w:tcW w:w="990" w:type="dxa"/>
          </w:tcPr>
          <w:p w14:paraId="71A012F5"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12.84</w:t>
            </w:r>
          </w:p>
        </w:tc>
      </w:tr>
      <w:tr w:rsidR="00951FE8" w:rsidRPr="00047386" w14:paraId="5B2F4E40" w14:textId="77777777" w:rsidTr="00FC26DB">
        <w:trPr>
          <w:trHeight w:val="470"/>
        </w:trPr>
        <w:tc>
          <w:tcPr>
            <w:tcW w:w="1440" w:type="dxa"/>
          </w:tcPr>
          <w:p w14:paraId="2AD41337"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Low x high</w:t>
            </w:r>
          </w:p>
        </w:tc>
        <w:tc>
          <w:tcPr>
            <w:tcW w:w="720" w:type="dxa"/>
          </w:tcPr>
          <w:p w14:paraId="24F1F3A8"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711D433A" w14:textId="77777777" w:rsidR="00951FE8" w:rsidRPr="00047386" w:rsidRDefault="00951FE8" w:rsidP="0083042F">
            <w:pPr>
              <w:tabs>
                <w:tab w:val="left" w:pos="0"/>
              </w:tabs>
              <w:spacing w:line="276" w:lineRule="auto"/>
              <w:rPr>
                <w:rFonts w:ascii="Arial" w:hAnsi="Arial" w:cs="Arial"/>
                <w:sz w:val="20"/>
                <w:szCs w:val="20"/>
              </w:rPr>
            </w:pPr>
          </w:p>
        </w:tc>
        <w:tc>
          <w:tcPr>
            <w:tcW w:w="1080" w:type="dxa"/>
          </w:tcPr>
          <w:p w14:paraId="0AA9080D"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11.67</w:t>
            </w:r>
          </w:p>
        </w:tc>
        <w:tc>
          <w:tcPr>
            <w:tcW w:w="990" w:type="dxa"/>
          </w:tcPr>
          <w:p w14:paraId="11A6977E"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11.43</w:t>
            </w:r>
          </w:p>
        </w:tc>
        <w:tc>
          <w:tcPr>
            <w:tcW w:w="990" w:type="dxa"/>
          </w:tcPr>
          <w:p w14:paraId="3F0E7C2A"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11.68</w:t>
            </w:r>
          </w:p>
        </w:tc>
        <w:tc>
          <w:tcPr>
            <w:tcW w:w="990" w:type="dxa"/>
          </w:tcPr>
          <w:p w14:paraId="29BE245C"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11.40</w:t>
            </w:r>
          </w:p>
        </w:tc>
        <w:tc>
          <w:tcPr>
            <w:tcW w:w="990" w:type="dxa"/>
          </w:tcPr>
          <w:p w14:paraId="7E85B3BC"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11.15</w:t>
            </w:r>
          </w:p>
        </w:tc>
        <w:tc>
          <w:tcPr>
            <w:tcW w:w="990" w:type="dxa"/>
          </w:tcPr>
          <w:p w14:paraId="302D76B2"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11.25</w:t>
            </w:r>
          </w:p>
        </w:tc>
      </w:tr>
      <w:tr w:rsidR="00951FE8" w:rsidRPr="00047386" w14:paraId="1135F2C5" w14:textId="77777777" w:rsidTr="00FC26DB">
        <w:trPr>
          <w:trHeight w:val="470"/>
        </w:trPr>
        <w:tc>
          <w:tcPr>
            <w:tcW w:w="1440" w:type="dxa"/>
          </w:tcPr>
          <w:p w14:paraId="40D9C0F2"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High x low</w:t>
            </w:r>
          </w:p>
        </w:tc>
        <w:tc>
          <w:tcPr>
            <w:tcW w:w="720" w:type="dxa"/>
          </w:tcPr>
          <w:p w14:paraId="7CCBD9A1"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3368EDE6" w14:textId="77777777" w:rsidR="00951FE8" w:rsidRPr="00047386" w:rsidRDefault="00951FE8" w:rsidP="0083042F">
            <w:pPr>
              <w:tabs>
                <w:tab w:val="left" w:pos="0"/>
              </w:tabs>
              <w:spacing w:line="276" w:lineRule="auto"/>
              <w:rPr>
                <w:rFonts w:ascii="Arial" w:hAnsi="Arial" w:cs="Arial"/>
                <w:sz w:val="20"/>
                <w:szCs w:val="20"/>
              </w:rPr>
            </w:pPr>
          </w:p>
        </w:tc>
        <w:tc>
          <w:tcPr>
            <w:tcW w:w="1080" w:type="dxa"/>
          </w:tcPr>
          <w:p w14:paraId="5B7B667F"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12.51</w:t>
            </w:r>
          </w:p>
        </w:tc>
        <w:tc>
          <w:tcPr>
            <w:tcW w:w="990" w:type="dxa"/>
          </w:tcPr>
          <w:p w14:paraId="2817FD17"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11.67</w:t>
            </w:r>
          </w:p>
        </w:tc>
        <w:tc>
          <w:tcPr>
            <w:tcW w:w="990" w:type="dxa"/>
          </w:tcPr>
          <w:p w14:paraId="3B5524DC"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11.29</w:t>
            </w:r>
          </w:p>
        </w:tc>
        <w:tc>
          <w:tcPr>
            <w:tcW w:w="990" w:type="dxa"/>
          </w:tcPr>
          <w:p w14:paraId="4C73ED07"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10.85</w:t>
            </w:r>
          </w:p>
        </w:tc>
        <w:tc>
          <w:tcPr>
            <w:tcW w:w="990" w:type="dxa"/>
          </w:tcPr>
          <w:p w14:paraId="16590EF8"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10.41</w:t>
            </w:r>
          </w:p>
        </w:tc>
        <w:tc>
          <w:tcPr>
            <w:tcW w:w="990" w:type="dxa"/>
          </w:tcPr>
          <w:p w14:paraId="23947414"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10.41</w:t>
            </w:r>
          </w:p>
        </w:tc>
      </w:tr>
      <w:tr w:rsidR="00951FE8" w:rsidRPr="00047386" w14:paraId="48AD037F" w14:textId="77777777" w:rsidTr="00FC26DB">
        <w:trPr>
          <w:trHeight w:val="470"/>
        </w:trPr>
        <w:tc>
          <w:tcPr>
            <w:tcW w:w="1440" w:type="dxa"/>
          </w:tcPr>
          <w:p w14:paraId="5DAF1853"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High x high</w:t>
            </w:r>
          </w:p>
        </w:tc>
        <w:tc>
          <w:tcPr>
            <w:tcW w:w="720" w:type="dxa"/>
          </w:tcPr>
          <w:p w14:paraId="2145212A"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74160925" w14:textId="77777777" w:rsidR="00951FE8" w:rsidRPr="00047386" w:rsidRDefault="00951FE8" w:rsidP="0083042F">
            <w:pPr>
              <w:tabs>
                <w:tab w:val="left" w:pos="0"/>
              </w:tabs>
              <w:spacing w:line="276" w:lineRule="auto"/>
              <w:rPr>
                <w:rFonts w:ascii="Arial" w:hAnsi="Arial" w:cs="Arial"/>
                <w:sz w:val="20"/>
                <w:szCs w:val="20"/>
              </w:rPr>
            </w:pPr>
          </w:p>
        </w:tc>
        <w:tc>
          <w:tcPr>
            <w:tcW w:w="1080" w:type="dxa"/>
          </w:tcPr>
          <w:p w14:paraId="0C69B5D3"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11.05</w:t>
            </w:r>
          </w:p>
        </w:tc>
        <w:tc>
          <w:tcPr>
            <w:tcW w:w="990" w:type="dxa"/>
          </w:tcPr>
          <w:p w14:paraId="4E7109FC"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10.33</w:t>
            </w:r>
          </w:p>
        </w:tc>
        <w:tc>
          <w:tcPr>
            <w:tcW w:w="990" w:type="dxa"/>
          </w:tcPr>
          <w:p w14:paraId="6198FA70"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9.831</w:t>
            </w:r>
          </w:p>
        </w:tc>
        <w:tc>
          <w:tcPr>
            <w:tcW w:w="990" w:type="dxa"/>
          </w:tcPr>
          <w:p w14:paraId="44CC7820"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9.839</w:t>
            </w:r>
          </w:p>
        </w:tc>
        <w:tc>
          <w:tcPr>
            <w:tcW w:w="990" w:type="dxa"/>
          </w:tcPr>
          <w:p w14:paraId="73292A81"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9.778</w:t>
            </w:r>
          </w:p>
        </w:tc>
        <w:tc>
          <w:tcPr>
            <w:tcW w:w="990" w:type="dxa"/>
          </w:tcPr>
          <w:p w14:paraId="66C9040B"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9.755</w:t>
            </w:r>
          </w:p>
        </w:tc>
      </w:tr>
      <w:tr w:rsidR="00951FE8" w:rsidRPr="00047386" w14:paraId="2A5186CB" w14:textId="77777777" w:rsidTr="00FC26DB">
        <w:trPr>
          <w:trHeight w:val="470"/>
        </w:trPr>
        <w:tc>
          <w:tcPr>
            <w:tcW w:w="1440" w:type="dxa"/>
          </w:tcPr>
          <w:p w14:paraId="306BEF63"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b/>
                <w:sz w:val="20"/>
                <w:szCs w:val="20"/>
              </w:rPr>
              <w:t>SEM</w:t>
            </w:r>
          </w:p>
        </w:tc>
        <w:tc>
          <w:tcPr>
            <w:tcW w:w="720" w:type="dxa"/>
          </w:tcPr>
          <w:p w14:paraId="37CB710C"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12BCA929" w14:textId="77777777" w:rsidR="00951FE8" w:rsidRPr="00047386" w:rsidRDefault="00951FE8" w:rsidP="0083042F">
            <w:pPr>
              <w:tabs>
                <w:tab w:val="left" w:pos="0"/>
              </w:tabs>
              <w:spacing w:line="276" w:lineRule="auto"/>
              <w:rPr>
                <w:rFonts w:ascii="Arial" w:hAnsi="Arial" w:cs="Arial"/>
                <w:sz w:val="20"/>
                <w:szCs w:val="20"/>
              </w:rPr>
            </w:pPr>
          </w:p>
        </w:tc>
        <w:tc>
          <w:tcPr>
            <w:tcW w:w="1080" w:type="dxa"/>
          </w:tcPr>
          <w:p w14:paraId="6AB24E87"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0.098</w:t>
            </w:r>
          </w:p>
        </w:tc>
        <w:tc>
          <w:tcPr>
            <w:tcW w:w="990" w:type="dxa"/>
          </w:tcPr>
          <w:p w14:paraId="557B7991"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0.109</w:t>
            </w:r>
          </w:p>
        </w:tc>
        <w:tc>
          <w:tcPr>
            <w:tcW w:w="990" w:type="dxa"/>
          </w:tcPr>
          <w:p w14:paraId="7CF3986C"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0.105</w:t>
            </w:r>
          </w:p>
        </w:tc>
        <w:tc>
          <w:tcPr>
            <w:tcW w:w="990" w:type="dxa"/>
          </w:tcPr>
          <w:p w14:paraId="282B64E4"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0.101</w:t>
            </w:r>
          </w:p>
        </w:tc>
        <w:tc>
          <w:tcPr>
            <w:tcW w:w="990" w:type="dxa"/>
          </w:tcPr>
          <w:p w14:paraId="23CA49D5"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0.101</w:t>
            </w:r>
          </w:p>
        </w:tc>
        <w:tc>
          <w:tcPr>
            <w:tcW w:w="990" w:type="dxa"/>
          </w:tcPr>
          <w:p w14:paraId="074983CA"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0.106</w:t>
            </w:r>
          </w:p>
        </w:tc>
      </w:tr>
      <w:tr w:rsidR="00951FE8" w:rsidRPr="00047386" w14:paraId="5F7EE158" w14:textId="77777777" w:rsidTr="00FC26DB">
        <w:trPr>
          <w:trHeight w:val="470"/>
        </w:trPr>
        <w:tc>
          <w:tcPr>
            <w:tcW w:w="1440" w:type="dxa"/>
          </w:tcPr>
          <w:p w14:paraId="14ACEC3F" w14:textId="77777777" w:rsidR="00951FE8" w:rsidRPr="00047386" w:rsidRDefault="00951FE8" w:rsidP="0083042F">
            <w:pPr>
              <w:tabs>
                <w:tab w:val="left" w:pos="0"/>
              </w:tabs>
              <w:spacing w:line="276" w:lineRule="auto"/>
              <w:rPr>
                <w:rFonts w:ascii="Arial" w:hAnsi="Arial" w:cs="Arial"/>
                <w:b/>
                <w:sz w:val="20"/>
                <w:szCs w:val="20"/>
              </w:rPr>
            </w:pPr>
            <w:r w:rsidRPr="00047386">
              <w:rPr>
                <w:rFonts w:ascii="Arial" w:hAnsi="Arial" w:cs="Arial"/>
                <w:b/>
                <w:sz w:val="20"/>
                <w:szCs w:val="20"/>
              </w:rPr>
              <w:t>P- value</w:t>
            </w:r>
          </w:p>
        </w:tc>
        <w:tc>
          <w:tcPr>
            <w:tcW w:w="720" w:type="dxa"/>
          </w:tcPr>
          <w:p w14:paraId="48EFDFD6"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356B025D" w14:textId="77777777" w:rsidR="00951FE8" w:rsidRPr="00047386" w:rsidRDefault="00951FE8" w:rsidP="0083042F">
            <w:pPr>
              <w:tabs>
                <w:tab w:val="left" w:pos="0"/>
              </w:tabs>
              <w:spacing w:line="276" w:lineRule="auto"/>
              <w:rPr>
                <w:rFonts w:ascii="Arial" w:hAnsi="Arial" w:cs="Arial"/>
                <w:sz w:val="20"/>
                <w:szCs w:val="20"/>
              </w:rPr>
            </w:pPr>
          </w:p>
        </w:tc>
        <w:tc>
          <w:tcPr>
            <w:tcW w:w="1080" w:type="dxa"/>
          </w:tcPr>
          <w:p w14:paraId="654679A8"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5BB613FF"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732A020A"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2D9D22C2"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004B4053"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39467838" w14:textId="77777777" w:rsidR="00951FE8" w:rsidRPr="00047386" w:rsidRDefault="00951FE8" w:rsidP="0083042F">
            <w:pPr>
              <w:tabs>
                <w:tab w:val="left" w:pos="0"/>
              </w:tabs>
              <w:spacing w:line="276" w:lineRule="auto"/>
              <w:rPr>
                <w:rFonts w:ascii="Arial" w:hAnsi="Arial" w:cs="Arial"/>
                <w:sz w:val="20"/>
                <w:szCs w:val="20"/>
              </w:rPr>
            </w:pPr>
          </w:p>
        </w:tc>
      </w:tr>
      <w:tr w:rsidR="00951FE8" w:rsidRPr="00047386" w14:paraId="7CF5E96A" w14:textId="77777777" w:rsidTr="00FC26DB">
        <w:trPr>
          <w:trHeight w:val="445"/>
        </w:trPr>
        <w:tc>
          <w:tcPr>
            <w:tcW w:w="1440" w:type="dxa"/>
          </w:tcPr>
          <w:p w14:paraId="2197E77B"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Fat</w:t>
            </w:r>
          </w:p>
        </w:tc>
        <w:tc>
          <w:tcPr>
            <w:tcW w:w="720" w:type="dxa"/>
          </w:tcPr>
          <w:p w14:paraId="5B980C7C"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7323D0BA" w14:textId="77777777" w:rsidR="00951FE8" w:rsidRPr="00047386" w:rsidRDefault="00951FE8" w:rsidP="0083042F">
            <w:pPr>
              <w:tabs>
                <w:tab w:val="left" w:pos="0"/>
              </w:tabs>
              <w:spacing w:line="276" w:lineRule="auto"/>
              <w:rPr>
                <w:rFonts w:ascii="Arial" w:hAnsi="Arial" w:cs="Arial"/>
                <w:sz w:val="20"/>
                <w:szCs w:val="20"/>
              </w:rPr>
            </w:pPr>
          </w:p>
        </w:tc>
        <w:tc>
          <w:tcPr>
            <w:tcW w:w="1080" w:type="dxa"/>
          </w:tcPr>
          <w:p w14:paraId="400B6E0D"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0.233</w:t>
            </w:r>
          </w:p>
        </w:tc>
        <w:tc>
          <w:tcPr>
            <w:tcW w:w="990" w:type="dxa"/>
          </w:tcPr>
          <w:p w14:paraId="1189B394"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0.142</w:t>
            </w:r>
          </w:p>
        </w:tc>
        <w:tc>
          <w:tcPr>
            <w:tcW w:w="990" w:type="dxa"/>
          </w:tcPr>
          <w:p w14:paraId="6ABAF9D9"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0.058</w:t>
            </w:r>
          </w:p>
        </w:tc>
        <w:tc>
          <w:tcPr>
            <w:tcW w:w="990" w:type="dxa"/>
          </w:tcPr>
          <w:p w14:paraId="220FE5CE"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0.070</w:t>
            </w:r>
          </w:p>
        </w:tc>
        <w:tc>
          <w:tcPr>
            <w:tcW w:w="990" w:type="dxa"/>
          </w:tcPr>
          <w:p w14:paraId="56EFDFDC"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0.097</w:t>
            </w:r>
          </w:p>
        </w:tc>
        <w:tc>
          <w:tcPr>
            <w:tcW w:w="990" w:type="dxa"/>
          </w:tcPr>
          <w:p w14:paraId="02C28F08"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0.122</w:t>
            </w:r>
          </w:p>
        </w:tc>
      </w:tr>
      <w:tr w:rsidR="00951FE8" w:rsidRPr="00047386" w14:paraId="48078A59" w14:textId="77777777" w:rsidTr="00FC26DB">
        <w:trPr>
          <w:trHeight w:val="470"/>
        </w:trPr>
        <w:tc>
          <w:tcPr>
            <w:tcW w:w="1440" w:type="dxa"/>
          </w:tcPr>
          <w:p w14:paraId="01087A9B"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Fibre</w:t>
            </w:r>
          </w:p>
        </w:tc>
        <w:tc>
          <w:tcPr>
            <w:tcW w:w="720" w:type="dxa"/>
          </w:tcPr>
          <w:p w14:paraId="3D543080"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61D56E13" w14:textId="77777777" w:rsidR="00951FE8" w:rsidRPr="00047386" w:rsidRDefault="00951FE8" w:rsidP="0083042F">
            <w:pPr>
              <w:tabs>
                <w:tab w:val="left" w:pos="0"/>
              </w:tabs>
              <w:spacing w:line="276" w:lineRule="auto"/>
              <w:rPr>
                <w:rFonts w:ascii="Arial" w:hAnsi="Arial" w:cs="Arial"/>
                <w:sz w:val="20"/>
                <w:szCs w:val="20"/>
              </w:rPr>
            </w:pPr>
          </w:p>
        </w:tc>
        <w:tc>
          <w:tcPr>
            <w:tcW w:w="1080" w:type="dxa"/>
          </w:tcPr>
          <w:p w14:paraId="53ECB075"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0.067</w:t>
            </w:r>
          </w:p>
        </w:tc>
        <w:tc>
          <w:tcPr>
            <w:tcW w:w="990" w:type="dxa"/>
          </w:tcPr>
          <w:p w14:paraId="3A3A6560"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0.102</w:t>
            </w:r>
          </w:p>
        </w:tc>
        <w:tc>
          <w:tcPr>
            <w:tcW w:w="990" w:type="dxa"/>
          </w:tcPr>
          <w:p w14:paraId="6D4FEACA"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0.107</w:t>
            </w:r>
          </w:p>
        </w:tc>
        <w:tc>
          <w:tcPr>
            <w:tcW w:w="990" w:type="dxa"/>
          </w:tcPr>
          <w:p w14:paraId="2DEF3C33"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0.165</w:t>
            </w:r>
          </w:p>
        </w:tc>
        <w:tc>
          <w:tcPr>
            <w:tcW w:w="990" w:type="dxa"/>
          </w:tcPr>
          <w:p w14:paraId="4DE52AE5"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0.290</w:t>
            </w:r>
          </w:p>
        </w:tc>
        <w:tc>
          <w:tcPr>
            <w:tcW w:w="990" w:type="dxa"/>
          </w:tcPr>
          <w:p w14:paraId="2D5F9C9A"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0.378</w:t>
            </w:r>
          </w:p>
        </w:tc>
      </w:tr>
      <w:tr w:rsidR="00951FE8" w:rsidRPr="00047386" w14:paraId="6598AA42" w14:textId="77777777" w:rsidTr="00FC26DB">
        <w:trPr>
          <w:trHeight w:val="470"/>
        </w:trPr>
        <w:tc>
          <w:tcPr>
            <w:tcW w:w="1440" w:type="dxa"/>
          </w:tcPr>
          <w:p w14:paraId="64536055"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Fat x fibre</w:t>
            </w:r>
          </w:p>
        </w:tc>
        <w:tc>
          <w:tcPr>
            <w:tcW w:w="720" w:type="dxa"/>
          </w:tcPr>
          <w:p w14:paraId="6DA37B36" w14:textId="77777777" w:rsidR="00951FE8" w:rsidRPr="00047386" w:rsidRDefault="00951FE8" w:rsidP="0083042F">
            <w:pPr>
              <w:tabs>
                <w:tab w:val="left" w:pos="0"/>
              </w:tabs>
              <w:spacing w:line="276" w:lineRule="auto"/>
              <w:rPr>
                <w:rFonts w:ascii="Arial" w:hAnsi="Arial" w:cs="Arial"/>
                <w:sz w:val="20"/>
                <w:szCs w:val="20"/>
              </w:rPr>
            </w:pPr>
          </w:p>
        </w:tc>
        <w:tc>
          <w:tcPr>
            <w:tcW w:w="990" w:type="dxa"/>
          </w:tcPr>
          <w:p w14:paraId="33BABAC2" w14:textId="77777777" w:rsidR="00951FE8" w:rsidRPr="00047386" w:rsidRDefault="00951FE8" w:rsidP="0083042F">
            <w:pPr>
              <w:tabs>
                <w:tab w:val="left" w:pos="0"/>
              </w:tabs>
              <w:spacing w:line="276" w:lineRule="auto"/>
              <w:rPr>
                <w:rFonts w:ascii="Arial" w:hAnsi="Arial" w:cs="Arial"/>
                <w:sz w:val="20"/>
                <w:szCs w:val="20"/>
              </w:rPr>
            </w:pPr>
          </w:p>
        </w:tc>
        <w:tc>
          <w:tcPr>
            <w:tcW w:w="1080" w:type="dxa"/>
          </w:tcPr>
          <w:p w14:paraId="1D9B6CEF"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0.485</w:t>
            </w:r>
          </w:p>
        </w:tc>
        <w:tc>
          <w:tcPr>
            <w:tcW w:w="990" w:type="dxa"/>
          </w:tcPr>
          <w:p w14:paraId="6EAED919"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0.537</w:t>
            </w:r>
          </w:p>
        </w:tc>
        <w:tc>
          <w:tcPr>
            <w:tcW w:w="990" w:type="dxa"/>
          </w:tcPr>
          <w:p w14:paraId="44CB90D6"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0.684</w:t>
            </w:r>
          </w:p>
        </w:tc>
        <w:tc>
          <w:tcPr>
            <w:tcW w:w="990" w:type="dxa"/>
          </w:tcPr>
          <w:p w14:paraId="50804C37"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0.626</w:t>
            </w:r>
          </w:p>
        </w:tc>
        <w:tc>
          <w:tcPr>
            <w:tcW w:w="990" w:type="dxa"/>
          </w:tcPr>
          <w:p w14:paraId="64F8B817"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0.637</w:t>
            </w:r>
          </w:p>
        </w:tc>
        <w:tc>
          <w:tcPr>
            <w:tcW w:w="990" w:type="dxa"/>
          </w:tcPr>
          <w:p w14:paraId="0B375A87" w14:textId="77777777" w:rsidR="00951FE8" w:rsidRPr="00047386" w:rsidRDefault="00951FE8" w:rsidP="0083042F">
            <w:pPr>
              <w:tabs>
                <w:tab w:val="left" w:pos="0"/>
              </w:tabs>
              <w:spacing w:line="276" w:lineRule="auto"/>
              <w:rPr>
                <w:rFonts w:ascii="Arial" w:hAnsi="Arial" w:cs="Arial"/>
                <w:sz w:val="20"/>
                <w:szCs w:val="20"/>
              </w:rPr>
            </w:pPr>
            <w:r w:rsidRPr="00047386">
              <w:rPr>
                <w:rFonts w:ascii="Arial" w:hAnsi="Arial" w:cs="Arial"/>
                <w:sz w:val="20"/>
                <w:szCs w:val="20"/>
              </w:rPr>
              <w:t>0.761</w:t>
            </w:r>
          </w:p>
        </w:tc>
      </w:tr>
    </w:tbl>
    <w:p w14:paraId="461641B4" w14:textId="77777777" w:rsidR="00951FE8" w:rsidRDefault="00951FE8" w:rsidP="0083042F">
      <w:pPr>
        <w:tabs>
          <w:tab w:val="left" w:pos="0"/>
        </w:tabs>
        <w:spacing w:line="480" w:lineRule="auto"/>
        <w:ind w:left="-567"/>
        <w:jc w:val="both"/>
        <w:rPr>
          <w:rFonts w:ascii="Arial" w:hAnsi="Arial" w:cs="Arial"/>
          <w:sz w:val="20"/>
          <w:szCs w:val="24"/>
        </w:rPr>
      </w:pPr>
    </w:p>
    <w:p w14:paraId="1A94454D" w14:textId="74A168E0" w:rsidR="000D34CA" w:rsidRPr="009E33CA" w:rsidRDefault="00951FE8" w:rsidP="000D18E6">
      <w:pPr>
        <w:pStyle w:val="Heading2"/>
      </w:pPr>
      <w:bookmarkStart w:id="14" w:name="_Toc153348036"/>
      <w:r>
        <w:t xml:space="preserve">3.2 </w:t>
      </w:r>
      <w:r w:rsidR="000D34CA" w:rsidRPr="009E33CA">
        <w:t>Body weight</w:t>
      </w:r>
      <w:bookmarkEnd w:id="14"/>
    </w:p>
    <w:p w14:paraId="6EB2121B" w14:textId="6B1ADB3B" w:rsidR="00F72782" w:rsidRDefault="00F72782" w:rsidP="00877683">
      <w:pPr>
        <w:tabs>
          <w:tab w:val="left" w:pos="0"/>
        </w:tabs>
        <w:spacing w:line="480" w:lineRule="auto"/>
        <w:jc w:val="both"/>
        <w:rPr>
          <w:rFonts w:ascii="Arial" w:hAnsi="Arial" w:cs="Arial"/>
          <w:sz w:val="20"/>
          <w:szCs w:val="20"/>
        </w:rPr>
      </w:pPr>
      <w:bookmarkStart w:id="15" w:name="_Toc153348037"/>
      <w:r>
        <w:rPr>
          <w:rFonts w:ascii="Arial" w:hAnsi="Arial" w:cs="Arial"/>
          <w:sz w:val="20"/>
          <w:szCs w:val="20"/>
        </w:rPr>
        <w:t xml:space="preserve">The results </w:t>
      </w:r>
      <w:r w:rsidR="0070330A">
        <w:rPr>
          <w:rFonts w:ascii="Arial" w:hAnsi="Arial" w:cs="Arial"/>
          <w:sz w:val="20"/>
          <w:szCs w:val="20"/>
        </w:rPr>
        <w:t>indicate</w:t>
      </w:r>
      <w:r>
        <w:rPr>
          <w:rFonts w:ascii="Arial" w:hAnsi="Arial" w:cs="Arial"/>
          <w:sz w:val="20"/>
          <w:szCs w:val="20"/>
        </w:rPr>
        <w:t xml:space="preserve"> that high fibre as a main effect decreased (P&lt; .05) the body weight throughout the study compared to </w:t>
      </w:r>
      <w:r w:rsidR="0070330A">
        <w:rPr>
          <w:rFonts w:ascii="Arial" w:hAnsi="Arial" w:cs="Arial"/>
          <w:sz w:val="20"/>
          <w:szCs w:val="20"/>
        </w:rPr>
        <w:t xml:space="preserve">a </w:t>
      </w:r>
      <w:r>
        <w:rPr>
          <w:rFonts w:ascii="Arial" w:hAnsi="Arial" w:cs="Arial"/>
          <w:sz w:val="20"/>
          <w:szCs w:val="20"/>
        </w:rPr>
        <w:t xml:space="preserve">low-fibre diet. No fat and fibre interaction was detected </w:t>
      </w:r>
      <w:r w:rsidR="0070330A">
        <w:rPr>
          <w:rFonts w:ascii="Arial" w:hAnsi="Arial" w:cs="Arial"/>
          <w:sz w:val="20"/>
          <w:szCs w:val="20"/>
        </w:rPr>
        <w:t>in</w:t>
      </w:r>
      <w:r>
        <w:rPr>
          <w:rFonts w:ascii="Arial" w:hAnsi="Arial" w:cs="Arial"/>
          <w:sz w:val="20"/>
          <w:szCs w:val="20"/>
        </w:rPr>
        <w:t xml:space="preserve"> bodyweight. (Table 3)</w:t>
      </w:r>
    </w:p>
    <w:p w14:paraId="45335258" w14:textId="24B4E88D" w:rsidR="000D34CA" w:rsidRPr="007F123F" w:rsidRDefault="000D34CA" w:rsidP="00877683">
      <w:pPr>
        <w:tabs>
          <w:tab w:val="left" w:pos="0"/>
        </w:tabs>
        <w:spacing w:line="480" w:lineRule="auto"/>
        <w:jc w:val="both"/>
        <w:rPr>
          <w:rFonts w:ascii="Arial" w:hAnsi="Arial" w:cs="Arial"/>
          <w:sz w:val="20"/>
          <w:szCs w:val="20"/>
        </w:rPr>
      </w:pPr>
      <w:r w:rsidRPr="007F123F">
        <w:rPr>
          <w:rFonts w:ascii="Arial" w:hAnsi="Arial" w:cs="Arial"/>
          <w:sz w:val="20"/>
          <w:szCs w:val="20"/>
        </w:rPr>
        <w:t xml:space="preserve">The findings of </w:t>
      </w:r>
      <w:r w:rsidR="00AF71FA" w:rsidRPr="007F123F">
        <w:rPr>
          <w:rFonts w:ascii="Arial" w:hAnsi="Arial" w:cs="Arial"/>
          <w:sz w:val="20"/>
          <w:szCs w:val="20"/>
        </w:rPr>
        <w:t>the present</w:t>
      </w:r>
      <w:r w:rsidRPr="007F123F">
        <w:rPr>
          <w:rFonts w:ascii="Arial" w:hAnsi="Arial" w:cs="Arial"/>
          <w:sz w:val="20"/>
          <w:szCs w:val="20"/>
        </w:rPr>
        <w:t xml:space="preserve"> study corroborate existing literature indicating that high dietary fibre levels contribute to weight loss and management. Corn cob, the primary fibre source in t</w:t>
      </w:r>
      <w:r w:rsidR="00AF71FA" w:rsidRPr="007F123F">
        <w:rPr>
          <w:rFonts w:ascii="Arial" w:hAnsi="Arial" w:cs="Arial"/>
          <w:sz w:val="20"/>
          <w:szCs w:val="20"/>
        </w:rPr>
        <w:t>he present</w:t>
      </w:r>
      <w:r w:rsidRPr="007F123F">
        <w:rPr>
          <w:rFonts w:ascii="Arial" w:hAnsi="Arial" w:cs="Arial"/>
          <w:sz w:val="20"/>
          <w:szCs w:val="20"/>
        </w:rPr>
        <w:t xml:space="preserve"> study is rich in insoluble fibre, and known for its limited digestion and absorption, promoting satiety and reducing </w:t>
      </w:r>
      <w:r w:rsidRPr="007F123F">
        <w:rPr>
          <w:rFonts w:ascii="Arial" w:hAnsi="Arial" w:cs="Arial"/>
          <w:sz w:val="20"/>
          <w:szCs w:val="20"/>
        </w:rPr>
        <w:lastRenderedPageBreak/>
        <w:t xml:space="preserve">caloric intake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{"citationItems":[{"id":"ITEM-1","itemData":{"URL":"https://www.mountsinai.org/health-library/special-topic/soluble-vs-insoluble-fiber","accessed":{"date-parts":[["2023","6","2"]]},"author":[{"dropping-particle":"","family":"Phillips","given":"Michael M.","non-dropping-particle":"","parse-names":false,"suffix":""},{"dropping-particle":"","family":"Dugdale","given":"David C.","non-dropping-particle":"","parse-names":false,"suffix":""}],"container-title":"Mount sinai .org","id":"ITEM-1","issued":{"date-parts":[["2022"]]},"title":"Soluble vs. insoluble fiber Information | Mount Sinai - New York","type":"webpage"},"uris":["http://www.mendeley.com/documents/?uuid=da248569-edad-314c-9886-4570f399a694"]}],"mendeley":{"formattedCitation":"(Phillips &amp; Dugdale, 2022)","plainTextFormattedCitation":"(Phillips &amp; Dugdale, 2022)","previouslyFormattedCitation":"(Phillips &amp; Dugdale, 2022)"},"properties":{"noteIndex":0},"schema":"https://github.com/citation-style-language/schema/raw/master/csl-citation.json"}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A36E13">
        <w:rPr>
          <w:rFonts w:ascii="Arial" w:hAnsi="Arial" w:cs="Arial"/>
          <w:noProof/>
          <w:sz w:val="20"/>
          <w:szCs w:val="20"/>
        </w:rPr>
        <w:t>20</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High-fibre diets are associated with increased satiety and reduced energy intake due to their lower calorie density and slower consumption rate. Research by </w:t>
      </w:r>
      <w:r w:rsidRPr="007F123F">
        <w:rPr>
          <w:rFonts w:ascii="Arial" w:hAnsi="Arial" w:cs="Arial"/>
          <w:sz w:val="20"/>
          <w:szCs w:val="20"/>
        </w:rPr>
        <w:fldChar w:fldCharType="begin" w:fldLock="1"/>
      </w:r>
      <w:r w:rsidR="00886473" w:rsidRPr="007F123F">
        <w:rPr>
          <w:rFonts w:ascii="Arial" w:hAnsi="Arial" w:cs="Arial"/>
          <w:sz w:val="20"/>
          <w:szCs w:val="20"/>
        </w:rPr>
        <w:instrText>ADDIN CSL_CITATION {"citationItems":[{"id":"ITEM-1","itemData":{"URL":"https://www.healthline.com/nutrition/fiber-can-help-you-lose-weight#bottom-line","accessed":{"date-parts":[["2023","5","30"]]},"author":[{"dropping-particle":"","family":"Leech","given":"Joe","non-dropping-particle":"","parse-names":false,"suffix":""}],"id":"ITEM-1","issued":{"date-parts":[["2017"]]},"title":"Fiber Can Help You Lose Weight — But Only A Specific Type","type":"webpage"},"uris":["http://www.mendeley.com/documents/?uuid=acad0ee1-940d-3736-b14e-6af78c501489"]},{"id":"ITEM-2","itemData":{"DOI":"10.3390/NU14132641","ISSN":"20726643","PMID":"35807822","abstract":"Throughout history, malnutrition and deficiency diseases have been a problem for our planet’s population. A balanced diet significantly influences everyone’s health, and fiber intake appears to play a more important role than previously thought. The natural dietary fibers are a category of carbohydrates in the constitution of plants that are not completely digested in the human intestine. High-fiber foods, such as fruits, vegetables and whole grains, have consistently been highly beneficial to health and effectively reduced the risk of disease. Although the mode of action of dietary fiber in the consumer body is not fully understood, nutritionists and health professionals unanimously recognize the therapeutic benefits. This paper presents the fiber consumption in different countries, the metabolism of fiber and the range of health benefits associated with fiber intake. In addition, the influence of fiber intake on the intestinal microbiome, metabolic diseases (obesity and diabetes), neurological aspects, cardiovascular diseases, autoimmune diseases and cancer prevention are discussed. Finally, dietary restrictions and excess fiber are addressed, which can cause episodes of diarrhea and dehydration and increase the likelihood of bloating and flatulence or even bowel obstruction. However, extensive studies are needed regarding the composition and required amount of fiber in relation to the metabolism of saprotrophic microorganisms from the enteral level and the benefits of the various pathologies with which they can be correlated.","author":[{"dropping-particle":"","family":"Ioniță-Mîndrican","given":"Corina Bianca","non-dropping-particle":"","parse-names":false,"suffix":""},{"dropping-particle":"","family":"Ziani","given":"Khaled","non-dropping-particle":"","parse-names":false,"suffix":""},{"dropping-particle":"","family":"Mititelu","given":"Magdalena","non-dropping-particle":"","parse-names":false,"suffix":""},{"dropping-particle":"","family":"Oprea","given":"Eliza","non-dropping-particle":"","parse-names":false,"suffix":""},{"dropping-particle":"","family":"Neacșu","given":"Sorinel Marius","non-dropping-particle":"","parse-names":false,"suffix":""},{"dropping-particle":"","family":"Moroșan","given":"Elena","non-dropping-particle":"","parse-names":false,"suffix":""},{"dropping-particle":"","family":"Dumitrescu","given":"Denisa Elena","non-dropping-particle":"","parse-names":false,"suffix":""},{"dropping-particle":"","family":"Roșca","given":"Adrian Cosmin","non-dropping-particle":"","parse-names":false,"suffix":""},{"dropping-particle":"","family":"Drăgănescu","given":"Doina","non-dropping-particle":"","parse-names":false,"suffix":""},{"dropping-particle":"","family":"Negrei","given":"Carolina","non-dropping-particle":"","parse-names":false,"suffix":""}],"container-title":"Nutrients","id":"ITEM-2","issue":"13","issued":{"date-parts":[["2022","7","1"]]},"publisher":"Multidisciplinary Digital Publishing Institute  (MDPI)","title":"Therapeutic Benefits and Dietary Restrictions of Fiber Intake: A State of the Art Review","type":"article-journal","volume":"14"},"uris":["http://www.mendeley.com/documents/?uuid=411bbf72-8a48-31d1-8b2a-c1fba8b7051f"]}],"mendeley":{"formattedCitation":"(Ioniță-Mîndrican et al., 2022; Leech, 2017)","manualFormatting":"Ioniță-Mîndrican et al. (2022)","plainTextFormattedCitation":"(Ioniță-Mîndrican et al., 2022; Leech, 2017)","previouslyFormattedCitation":"(Ioniță-Mîndrican et al., 2022; Leech, 2017)"},"properties":{"noteIndex":0},"schema":"https://github.com/citation-style-language/schema/raw/master/csl-citation.json"}</w:instrText>
      </w:r>
      <w:r w:rsidRPr="007F123F">
        <w:rPr>
          <w:rFonts w:ascii="Arial" w:hAnsi="Arial" w:cs="Arial"/>
          <w:sz w:val="20"/>
          <w:szCs w:val="20"/>
        </w:rPr>
        <w:fldChar w:fldCharType="separate"/>
      </w:r>
      <w:r w:rsidR="00A36E13">
        <w:rPr>
          <w:rFonts w:ascii="Arial" w:hAnsi="Arial" w:cs="Arial"/>
          <w:noProof/>
          <w:sz w:val="20"/>
          <w:szCs w:val="20"/>
        </w:rPr>
        <w:t>(12</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supports the weight loss benefits of high-fibre diets, affirming that soluble and insoluble fibre intake correlates with reduced obesity risk. Consistent with the previous findings, this study confirms that high dietary fibre contributes to weight loss and reduces obesity risk, as evidenced by the reduced body weight of the Albino rats.</w:t>
      </w:r>
    </w:p>
    <w:p w14:paraId="5CEADCB9" w14:textId="1916B2BF" w:rsidR="000D34CA" w:rsidRPr="007F123F" w:rsidRDefault="000D34CA" w:rsidP="00877683">
      <w:pPr>
        <w:tabs>
          <w:tab w:val="left" w:pos="0"/>
        </w:tabs>
        <w:spacing w:before="240" w:line="480" w:lineRule="auto"/>
        <w:jc w:val="both"/>
        <w:rPr>
          <w:rFonts w:ascii="Arial" w:hAnsi="Arial" w:cs="Arial"/>
          <w:sz w:val="20"/>
          <w:szCs w:val="20"/>
        </w:rPr>
      </w:pPr>
      <w:r w:rsidRPr="007F123F">
        <w:rPr>
          <w:rFonts w:ascii="Arial" w:hAnsi="Arial" w:cs="Arial"/>
          <w:sz w:val="20"/>
          <w:szCs w:val="20"/>
        </w:rPr>
        <w:t>Contrary to</w:t>
      </w:r>
      <w:r w:rsidR="00AF71FA" w:rsidRPr="007F123F">
        <w:rPr>
          <w:rFonts w:ascii="Arial" w:hAnsi="Arial" w:cs="Arial"/>
          <w:sz w:val="20"/>
          <w:szCs w:val="20"/>
        </w:rPr>
        <w:t xml:space="preserve"> the present findings</w:t>
      </w:r>
      <w:r w:rsidRPr="007F123F">
        <w:rPr>
          <w:rFonts w:ascii="Arial" w:hAnsi="Arial" w:cs="Arial"/>
          <w:sz w:val="20"/>
          <w:szCs w:val="20"/>
        </w:rPr>
        <w:t xml:space="preserve">, a study by </w:t>
      </w:r>
      <w:r w:rsidRPr="007F123F">
        <w:rPr>
          <w:rFonts w:ascii="Arial" w:hAnsi="Arial" w:cs="Arial"/>
          <w:sz w:val="20"/>
          <w:szCs w:val="20"/>
        </w:rPr>
        <w:fldChar w:fldCharType="begin" w:fldLock="1"/>
      </w:r>
      <w:r w:rsidR="00886473" w:rsidRPr="007F123F">
        <w:rPr>
          <w:rFonts w:ascii="Arial" w:hAnsi="Arial" w:cs="Arial"/>
          <w:sz w:val="20"/>
          <w:szCs w:val="20"/>
        </w:rPr>
        <w:instrText>ADDIN CSL_CITATION {"citationItems":[{"id":"ITEM-1","itemData":{"DOI":"10.3382/PS.2009-00179","ISSN":"0032-5791","PMID":"19903955","abstract":"The influence of fiber source and dietary fat level on digestive traits and productive performance was studied in broilers from 1 to 21 d of age. There were 6 treatments arranged factorially with 3 sources of fiber (none; 3% oat hulls, OH; and 3% sugar beet pulp, SBP) and 2 fat sources (5% soybean oil, SO; and 5% yellow grease, YG). Each treatment was replicated 6 times and the experimental unit was a cage with 18 broilers. Fiber inclusion improved BW gain (P ≤ 0.05) and feed:gain ratio (P ≤ 0.001) and increased total tract apparent retention (TTAR) of all nutrients measured (P ≤ 0.001). The increases observed in TTAR of nitrogen and ether extract and on AMEn of the diet were more pronounced with OH than with SBP. The increases in nutrient digestibility with OH inclusion were higher at excreta than at ileal level and in fact, SBP inclusion reduced the apparent ileal digestibility of most nutrients. The relative weight (%) of the gizzard was increased (P ≤ 0.001) and the pH of its contents was reduced (P ≤ 0.001) when additional fiber was included in the diet. The TTAR of nutrients was higher for the SO than for the YG diets (P ≤ 0.001). Also, the increases in ether extract digestibility (P ≤ 0.05) and AMEn (P ≤ 0.05) of the diet with fiber inclusion were more pronounced with the YG than with the SO. Therefore, the inclusion of moderate amounts of fiber in the diet might improve performance and nutrient digestibility in young chicks, especially when saturated fats are used. © 2009 Poultry Science Association Inc.","author":[{"dropping-particle":"","family":"Jiménez-Moreno","given":"E.","non-dropping-particle":"","parse-names":false,"suffix":""},{"dropping-particle":"","family":"González-Alvarado","given":"J. M.","non-dropping-particle":"","parse-names":false,"suffix":""},{"dropping-particle":"","family":"González-Serrano","given":"A.","non-dropping-particle":"","parse-names":false,"suffix":""},{"dropping-particle":"","family":"Lázaro","given":"R.","non-dropping-particle":"","parse-names":false,"suffix":""},{"dropping-particle":"","family":"Mateos","given":"G. G.","non-dropping-particle":"","parse-names":false,"suffix":""}],"container-title":"Poultry Science","id":"ITEM-1","issue":"12","issued":{"date-parts":[["2009","12","1"]]},"page":"2562-2574","publisher":"Elsevier","title":"Effect of dietary fiber and fat on performance and digestive traits of broilers from one to twenty-one days of age","type":"article-journal","volume":"88"},"uris":["http://www.mendeley.com/documents/?uuid=e394ad04-23ff-379a-a168-470ca49ed3ed"]}],"mendeley":{"formattedCitation":"(Jiménez-Moreno et al., 2009)","manualFormatting":"Jiménez-Moreno et al. (2009)","plainTextFormattedCitation":"(Jiménez-Moreno et al., 2009)","previouslyFormattedCitation":"(Jiménez-Moreno et al., 2009)"},"properties":{"noteIndex":0},"schema":"https://github.com/citation-style-language/schema/raw/master/csl-citation.json"}</w:instrText>
      </w:r>
      <w:r w:rsidRPr="007F123F">
        <w:rPr>
          <w:rFonts w:ascii="Arial" w:hAnsi="Arial" w:cs="Arial"/>
          <w:sz w:val="20"/>
          <w:szCs w:val="20"/>
        </w:rPr>
        <w:fldChar w:fldCharType="separate"/>
      </w:r>
      <w:r w:rsidR="00700F96">
        <w:rPr>
          <w:rFonts w:ascii="Arial" w:hAnsi="Arial" w:cs="Arial"/>
          <w:noProof/>
          <w:sz w:val="20"/>
          <w:szCs w:val="20"/>
        </w:rPr>
        <w:t>(13)</w:t>
      </w:r>
      <w:r w:rsidRPr="007F123F">
        <w:rPr>
          <w:rFonts w:ascii="Arial" w:hAnsi="Arial" w:cs="Arial"/>
          <w:sz w:val="20"/>
          <w:szCs w:val="20"/>
        </w:rPr>
        <w:fldChar w:fldCharType="end"/>
      </w:r>
      <w:r w:rsidRPr="007F123F">
        <w:rPr>
          <w:rFonts w:ascii="Arial" w:hAnsi="Arial" w:cs="Arial"/>
          <w:sz w:val="20"/>
          <w:szCs w:val="20"/>
        </w:rPr>
        <w:t xml:space="preserve"> in day-old chicks showed increased body weight gain with dietary fibre supplementation. </w:t>
      </w:r>
      <w:commentRangeStart w:id="16"/>
      <w:r w:rsidRPr="00182D7A">
        <w:rPr>
          <w:rFonts w:ascii="Arial" w:hAnsi="Arial" w:cs="Arial"/>
          <w:color w:val="FF0000"/>
          <w:sz w:val="20"/>
          <w:szCs w:val="20"/>
        </w:rPr>
        <w:t>However, the high energy demand of the chicks coupled with the low fibre (3 %) compared to the minimum fibre content of 9.79 % in th</w:t>
      </w:r>
      <w:r w:rsidR="00AF71FA" w:rsidRPr="00182D7A">
        <w:rPr>
          <w:rFonts w:ascii="Arial" w:hAnsi="Arial" w:cs="Arial"/>
          <w:color w:val="FF0000"/>
          <w:sz w:val="20"/>
          <w:szCs w:val="20"/>
        </w:rPr>
        <w:t>e present</w:t>
      </w:r>
      <w:r w:rsidRPr="00182D7A">
        <w:rPr>
          <w:rFonts w:ascii="Arial" w:hAnsi="Arial" w:cs="Arial"/>
          <w:color w:val="FF0000"/>
          <w:sz w:val="20"/>
          <w:szCs w:val="20"/>
        </w:rPr>
        <w:t xml:space="preserve"> study likely led to the increased feed gain</w:t>
      </w:r>
      <w:r w:rsidRPr="007F123F">
        <w:rPr>
          <w:rFonts w:ascii="Arial" w:hAnsi="Arial" w:cs="Arial"/>
          <w:sz w:val="20"/>
          <w:szCs w:val="20"/>
        </w:rPr>
        <w:t xml:space="preserve">. </w:t>
      </w:r>
      <w:commentRangeEnd w:id="16"/>
      <w:r w:rsidR="00486FDC">
        <w:rPr>
          <w:rStyle w:val="CommentReference"/>
        </w:rPr>
        <w:commentReference w:id="16"/>
      </w:r>
      <w:r w:rsidRPr="007F123F">
        <w:rPr>
          <w:rFonts w:ascii="Arial" w:hAnsi="Arial" w:cs="Arial"/>
          <w:sz w:val="20"/>
          <w:szCs w:val="20"/>
        </w:rPr>
        <w:t xml:space="preserve">Similarly, </w:t>
      </w:r>
      <w:r w:rsidR="00386CDB">
        <w:rPr>
          <w:rFonts w:ascii="Arial" w:hAnsi="Arial" w:cs="Arial"/>
          <w:sz w:val="20"/>
          <w:szCs w:val="20"/>
        </w:rPr>
        <w:t>(21)</w:t>
      </w:r>
      <w:r w:rsidRPr="007F123F">
        <w:rPr>
          <w:rFonts w:ascii="Arial" w:hAnsi="Arial" w:cs="Arial"/>
          <w:sz w:val="20"/>
          <w:szCs w:val="20"/>
        </w:rPr>
        <w:t xml:space="preserve"> observed weight gain in broilers fed with hydrolyzed dietary fibre, which could be attributed to the feed's optimal fibre levels and reduced fibre content.</w:t>
      </w:r>
    </w:p>
    <w:p w14:paraId="7DC0E663" w14:textId="0691C8EF" w:rsidR="004351D2" w:rsidRPr="007F123F" w:rsidRDefault="000D34CA" w:rsidP="00877683">
      <w:pPr>
        <w:tabs>
          <w:tab w:val="left" w:pos="0"/>
        </w:tabs>
        <w:spacing w:before="240" w:line="480" w:lineRule="auto"/>
        <w:jc w:val="both"/>
        <w:rPr>
          <w:rFonts w:ascii="Arial" w:hAnsi="Arial" w:cs="Arial"/>
          <w:sz w:val="20"/>
          <w:szCs w:val="20"/>
        </w:rPr>
      </w:pPr>
      <w:r w:rsidRPr="007F123F">
        <w:rPr>
          <w:rFonts w:ascii="Arial" w:hAnsi="Arial" w:cs="Arial"/>
          <w:sz w:val="20"/>
          <w:szCs w:val="20"/>
        </w:rPr>
        <w:t>Unlike other saturated fats known to cause obesity, coconut oil reduces weight. Similar to th</w:t>
      </w:r>
      <w:r w:rsidR="0089256C" w:rsidRPr="007F123F">
        <w:rPr>
          <w:rFonts w:ascii="Arial" w:hAnsi="Arial" w:cs="Arial"/>
          <w:sz w:val="20"/>
          <w:szCs w:val="20"/>
        </w:rPr>
        <w:t>e</w:t>
      </w:r>
      <w:r w:rsidRPr="007F123F">
        <w:rPr>
          <w:rFonts w:ascii="Arial" w:hAnsi="Arial" w:cs="Arial"/>
          <w:sz w:val="20"/>
          <w:szCs w:val="20"/>
        </w:rPr>
        <w:t xml:space="preserve"> finding </w:t>
      </w:r>
      <w:r w:rsidR="0089256C" w:rsidRPr="007F123F">
        <w:rPr>
          <w:rFonts w:ascii="Arial" w:hAnsi="Arial" w:cs="Arial"/>
          <w:sz w:val="20"/>
          <w:szCs w:val="20"/>
        </w:rPr>
        <w:t xml:space="preserve">of the present study </w:t>
      </w:r>
      <w:r w:rsidRPr="007F123F">
        <w:rPr>
          <w:rFonts w:ascii="Arial" w:hAnsi="Arial" w:cs="Arial"/>
          <w:sz w:val="20"/>
          <w:szCs w:val="20"/>
        </w:rPr>
        <w:t xml:space="preserve">is the recent work of </w:t>
      </w:r>
      <w:r w:rsidRPr="007F123F">
        <w:rPr>
          <w:rFonts w:ascii="Arial" w:hAnsi="Arial" w:cs="Arial"/>
          <w:sz w:val="20"/>
          <w:szCs w:val="20"/>
        </w:rPr>
        <w:fldChar w:fldCharType="begin" w:fldLock="1"/>
      </w:r>
      <w:r w:rsidR="00886473" w:rsidRPr="007F123F">
        <w:rPr>
          <w:rFonts w:ascii="Arial" w:hAnsi="Arial" w:cs="Arial"/>
          <w:sz w:val="20"/>
          <w:szCs w:val="20"/>
        </w:rPr>
        <w:instrText>ADDIN CSL_CITATION {"citationItems":[{"id":"ITEM-1","itemData":{"DOI":"10.1016/J.JNUTBIO.2023.109272","ISSN":"18734847","PMID":"36681309","abstract":"This study was designed to evaluate the long-term effects of Fructose (20%) feeding in rats, simulating metabolic syndrome (MetS), and the effects of coconut oil (C.O.) supplementation when administered in a MetS context. MetS is a cluster of systemic conditions that represent an increased chance of developing cardiovascular diseases and type 2 diabetes in the future. C.O. has been the target of media speculation, and recent studies report inconsistent results. C.O. improved glucose homeostasis and reduced fat accumulation in Fructose-fed rats while decreasing the levels of triglycerides (TGs) in the liver. C.O. supplementation also increased TGs levels and fructosamine in serum during MetS, possibly due to white adipose tissue breakdown and high fructose feeding. Pro-inflammatory cytokines IL-1β and TNF-α were also increased in rats treated with Fructose and C.O. Oxidative stress marker nitrotyrosine is increased in fructose-fed animals, and C.O. treatment did not prevent this damage. No significant changes were observed in lipoperoxidation marker 4-Hydroxynonenal; however, fructose feeding increased total conjugated dienes and caused conjugated dienes to switch their conformation from cis-trans to trans-trans, which was not prevented by C.O. treatment. Potential benefits of C.O. have been reported with inconsistent results, and indeed we observed some benefits of C.O. supplementation in aiding weight loss, fat accumulation, and improving glucose homeostasis. Nonetheless, we also demonstrated that long-term C.O. supplementation could present some problematic effects with higher risk for individuals suffering MetS, including increased TGs and fructosamine levels and conformational changes in dienes.","author":[{"dropping-particle":"","family":"Gomes","given":"Henrique Mautone","non-dropping-particle":"","parse-names":false,"suffix":""},{"dropping-particle":"","family":"Silveira","given":"Alexandre K.","non-dropping-particle":"","parse-names":false,"suffix":""},{"dropping-particle":"","family":"Gasparotto","given":"Juciano","non-dropping-particle":"","parse-names":false,"suffix":""},{"dropping-particle":"","family":"Bortolin","given":"Rafael Calixto","non-dropping-particle":"","parse-names":false,"suffix":""},{"dropping-particle":"","family":"Terra","given":"Silvia R.","non-dropping-particle":"","parse-names":false,"suffix":""},{"dropping-particle":"","family":"Brum","given":"Pedro O.","non-dropping-particle":"","parse-names":false,"suffix":""},{"dropping-particle":"","family":"Gelain","given":"Daniel P.","non-dropping-particle":"","parse-names":false,"suffix":""},{"dropping-particle":"","family":"Fonseca Moreira","given":"José C.","non-dropping-particle":"","parse-names":false,"suffix":""}],"container-title":"Journal of Nutritional Biochemistry","id":"ITEM-1","issued":{"date-parts":[["2023","4","1"]]},"publisher":"Elsevier Inc.","title":"Effects of coconut oil long-term supplementation in Wistar rats during metabolic syndrome - regulation of metabolic conditions involving glucose homeostasis, inflammatory signals, and oxidative stress","type":"article-journal","volume":"114"},"uris":["http://www.mendeley.com/documents/?uuid=9a97c0cd-08cd-3e83-93f3-b9095cc2955a"]}],"mendeley":{"formattedCitation":"(Gomes et al., 2023)","manualFormatting":"Gomes et al. (2023)","plainTextFormattedCitation":"(Gomes et al., 2023)","previouslyFormattedCitation":"(Gomes et al., 2023)"},"properties":{"noteIndex":0},"schema":"https://github.com/citation-style-language/schema/raw/master/csl-citation.json"}</w:instrText>
      </w:r>
      <w:r w:rsidRPr="007F123F">
        <w:rPr>
          <w:rFonts w:ascii="Arial" w:hAnsi="Arial" w:cs="Arial"/>
          <w:sz w:val="20"/>
          <w:szCs w:val="20"/>
        </w:rPr>
        <w:fldChar w:fldCharType="separate"/>
      </w:r>
      <w:r w:rsidR="00886473" w:rsidRPr="007F123F">
        <w:rPr>
          <w:rFonts w:ascii="Arial" w:hAnsi="Arial" w:cs="Arial"/>
          <w:noProof/>
          <w:sz w:val="20"/>
          <w:szCs w:val="20"/>
        </w:rPr>
        <w:t>(</w:t>
      </w:r>
      <w:r w:rsidR="00386CDB">
        <w:rPr>
          <w:rFonts w:ascii="Arial" w:hAnsi="Arial" w:cs="Arial"/>
          <w:noProof/>
          <w:sz w:val="20"/>
          <w:szCs w:val="20"/>
        </w:rPr>
        <w:t>2</w:t>
      </w:r>
      <w:r w:rsidR="00763E5F" w:rsidRPr="007F123F">
        <w:rPr>
          <w:rFonts w:ascii="Arial" w:hAnsi="Arial" w:cs="Arial"/>
          <w:noProof/>
          <w:sz w:val="20"/>
          <w:szCs w:val="20"/>
        </w:rPr>
        <w:t>2)</w:t>
      </w:r>
      <w:r w:rsidRPr="007F123F">
        <w:rPr>
          <w:rFonts w:ascii="Arial" w:hAnsi="Arial" w:cs="Arial"/>
          <w:sz w:val="20"/>
          <w:szCs w:val="20"/>
        </w:rPr>
        <w:fldChar w:fldCharType="end"/>
      </w:r>
      <w:r w:rsidRPr="007F123F">
        <w:rPr>
          <w:rFonts w:ascii="Arial" w:hAnsi="Arial" w:cs="Arial"/>
          <w:sz w:val="20"/>
          <w:szCs w:val="20"/>
        </w:rPr>
        <w:t>. Their study showed that coconut oil supplementation aids in weight loss.</w:t>
      </w:r>
      <w:r w:rsidRPr="007F123F">
        <w:rPr>
          <w:rFonts w:ascii="Arial" w:hAnsi="Arial" w:cs="Arial"/>
          <w:bCs/>
          <w:sz w:val="20"/>
          <w:szCs w:val="20"/>
        </w:rPr>
        <w:t xml:space="preserve"> </w:t>
      </w:r>
      <w:r w:rsidR="0070330A">
        <w:rPr>
          <w:rFonts w:ascii="Arial" w:hAnsi="Arial" w:cs="Arial"/>
          <w:sz w:val="20"/>
          <w:szCs w:val="20"/>
        </w:rPr>
        <w:t>Medium-chain</w:t>
      </w:r>
      <w:r w:rsidR="00CC4F20" w:rsidRPr="007F123F">
        <w:rPr>
          <w:rFonts w:ascii="Arial" w:hAnsi="Arial" w:cs="Arial"/>
          <w:sz w:val="20"/>
          <w:szCs w:val="20"/>
        </w:rPr>
        <w:t xml:space="preserve"> triglycerides (M</w:t>
      </w:r>
      <w:r w:rsidRPr="007F123F">
        <w:rPr>
          <w:rFonts w:ascii="Arial" w:hAnsi="Arial" w:cs="Arial"/>
          <w:sz w:val="20"/>
          <w:szCs w:val="20"/>
        </w:rPr>
        <w:t>CT</w:t>
      </w:r>
      <w:r w:rsidR="00CC4F20" w:rsidRPr="007F123F">
        <w:rPr>
          <w:rFonts w:ascii="Arial" w:hAnsi="Arial" w:cs="Arial"/>
          <w:sz w:val="20"/>
          <w:szCs w:val="20"/>
        </w:rPr>
        <w:t xml:space="preserve">) </w:t>
      </w:r>
      <w:r w:rsidR="0070330A">
        <w:rPr>
          <w:rFonts w:ascii="Arial" w:hAnsi="Arial" w:cs="Arial"/>
          <w:sz w:val="20"/>
          <w:szCs w:val="20"/>
        </w:rPr>
        <w:t>increase</w:t>
      </w:r>
      <w:r w:rsidR="00CC4F20" w:rsidRPr="007F123F">
        <w:rPr>
          <w:rFonts w:ascii="Arial" w:hAnsi="Arial" w:cs="Arial"/>
          <w:sz w:val="20"/>
          <w:szCs w:val="20"/>
        </w:rPr>
        <w:t xml:space="preserve"> the </w:t>
      </w:r>
      <w:r w:rsidRPr="007F123F">
        <w:rPr>
          <w:rFonts w:ascii="Arial" w:hAnsi="Arial" w:cs="Arial"/>
          <w:sz w:val="20"/>
          <w:szCs w:val="20"/>
        </w:rPr>
        <w:t>calories the body burns</w:t>
      </w:r>
      <w:r w:rsidRPr="007F123F">
        <w:rPr>
          <w:rFonts w:ascii="Arial" w:hAnsi="Arial" w:cs="Arial"/>
          <w:bCs/>
          <w:sz w:val="20"/>
          <w:szCs w:val="20"/>
        </w:rPr>
        <w:t xml:space="preserve"> leading to a relative loss of weight. Since coconut oil is composed of about 65</w:t>
      </w:r>
      <w:r w:rsidR="0089256C" w:rsidRPr="007F123F">
        <w:rPr>
          <w:rFonts w:ascii="Arial" w:hAnsi="Arial" w:cs="Arial"/>
          <w:bCs/>
          <w:sz w:val="20"/>
          <w:szCs w:val="20"/>
        </w:rPr>
        <w:t xml:space="preserve"> </w:t>
      </w:r>
      <w:r w:rsidRPr="007F123F">
        <w:rPr>
          <w:rFonts w:ascii="Arial" w:hAnsi="Arial" w:cs="Arial"/>
          <w:bCs/>
          <w:sz w:val="20"/>
          <w:szCs w:val="20"/>
        </w:rPr>
        <w:t xml:space="preserve">% of MCT it is also noted to contribute to weight loss. In addition, </w:t>
      </w:r>
      <w:r w:rsidRPr="007F123F">
        <w:rPr>
          <w:rFonts w:ascii="Arial" w:hAnsi="Arial" w:cs="Arial"/>
          <w:sz w:val="20"/>
          <w:szCs w:val="20"/>
        </w:rPr>
        <w:t xml:space="preserve">MCTs are readily utilized by the liver just as proteins and carbohydrates. Unlike long-chain triglycerides, MCTs are easily oxidized by the liver and absorbed by cells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{"citationItems":[{"id":"ITEM-1","itemData":{"DOI":"10.3389/FNUT.2022.802805","ISSN":"2296861X","PMID":"35719157","abstract":"In the 1950s, the production of processed fats and oils from coconut oil was popular in the United States. It became necessary to find uses for the medium-chain fatty acids (MCFAs) that were byproducts of the process, and a production method for medium-chain triglycerides (MCTs) was established. At the time of this development, its use as a non-fattening fat was being studied. In the early days MCFAs included fatty acids ranging from hexanoic acid (C6:0) to dodecanoic acid (C12:0), but today their compositions vary among manufacturers and there seems to be no clear definition. MCFAs are more polar than long-chain fatty acids (LCFAs) because of their shorter chain length, and their hydrolysis and absorption properties differ greatly. These differences in physical properties have led, since the 1960s, to the use of MCTs to improve various lipid absorption disorders and malnutrition. More than half a century has passed since MCTs were first used in the medical field. It has been reported that they not only have properties as an energy source, but also have various physiological effects, such as effects on fat and protein metabolism. The enhancement of fat oxidation through ingestion of MCTs has led to interest in the study of body fat reduction and improvement of endurance during exercise. Recently, MCTs have also been shown to promote protein anabolism and inhibit catabolism, and applied research has been conducted into the prevention of frailty in the elderly. In addition, a relatively large ingestion of MCTs can be partially converted into ketone bodies, which can be used as a component of “ketone diets” in the dietary treatment of patients with intractable epilepsy, or in the nutritional support of terminally ill cancer patients. The possibility of improving cognitive function in dementia patients and mild cognitive impairment is also being studied. Obesity due to over-nutrition and lack of exercise, and frailty due to under-nutrition and aging, are major health issues in today's society. MCTs have been studied in relation to these concerns. In this paper we will introduce the results of applied research into the use of MCTs by healthy subjects.","author":[{"dropping-particle":"","family":"Watanabe","given":"Shinji","non-dropping-particle":"","parse-names":false,"suffix":""},{"dropping-particle":"","family":"Tsujino","given":"Shougo","non-dropping-particle":"","parse-names":false,"suffix":""}],"container-title":"Frontiers in Nutrition","id":"ITEM-1","issued":{"date-parts":[["2022","6","2"]]},"page":"802805","publisher":"Frontiers Media SA","title":"Applications of Medium-Chain Triglycerides in Foods","type":"article-journal","volume":"9"},"uris":["http://www.mendeley.com/documents/?uuid=caa471b2-b059-3bd1-8c44-e73e3dc17767"]}],"mendeley":{"formattedCitation":"(Watanabe &amp; Tsujino, 2022)","plainTextFormattedCitation":"(Watanabe &amp; Tsujino, 2022)","previouslyFormattedCitation":"(Watanabe &amp; Tsujino, 2022)"},"properties":{"noteIndex":0},"schema":"https://github.com/citation-style-language/schema/raw/master/csl-citation.json"}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386CDB">
        <w:rPr>
          <w:rFonts w:ascii="Arial" w:hAnsi="Arial" w:cs="Arial"/>
          <w:noProof/>
          <w:sz w:val="20"/>
          <w:szCs w:val="20"/>
        </w:rPr>
        <w:t>23</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w:t>
      </w:r>
      <w:r w:rsidR="007943CE" w:rsidRPr="007F123F">
        <w:rPr>
          <w:rFonts w:ascii="Arial" w:hAnsi="Arial" w:cs="Arial"/>
          <w:sz w:val="20"/>
          <w:szCs w:val="20"/>
        </w:rPr>
        <w:t xml:space="preserve"> </w:t>
      </w:r>
      <w:r w:rsidRPr="007F123F">
        <w:rPr>
          <w:rFonts w:ascii="Arial" w:hAnsi="Arial" w:cs="Arial"/>
          <w:sz w:val="20"/>
          <w:szCs w:val="20"/>
        </w:rPr>
        <w:t xml:space="preserve">The impact of coconut oil on body weight contradicts that of </w:t>
      </w:r>
      <w:r w:rsidRPr="007F123F">
        <w:rPr>
          <w:rFonts w:ascii="Arial" w:hAnsi="Arial" w:cs="Arial"/>
          <w:sz w:val="20"/>
          <w:szCs w:val="20"/>
        </w:rPr>
        <w:fldChar w:fldCharType="begin" w:fldLock="1"/>
      </w:r>
      <w:r w:rsidR="00886473" w:rsidRPr="007F123F">
        <w:rPr>
          <w:rFonts w:ascii="Arial" w:hAnsi="Arial" w:cs="Arial"/>
          <w:sz w:val="20"/>
          <w:szCs w:val="20"/>
        </w:rPr>
        <w:instrText>ADDIN CSL_CITATION {"citationItems":[{"id":"ITEM-1","itemData":{"DOI":"10.1016/j.jff.2018.07.036","ISSN":"17564646","abstract":"The recommended amount of intake of virgin coconut oil (VCO) for health benefits has not been defined. This study aims to evaluate the effects of partial dietary substitution of lipid source by VCO in the health of Wistar rats. The animals were divided as: G1, 100% of soybean oil; G2, 10.4% of VCO; G3, 50% of VCO; and G4, 95% of VCO. Weight and body measurements were not affected by substitution, as well as morphometry of adipocytes, food intake and hepatic expression of PPAR-α and CPT-1 genes. VCO consumption affected the serum lipid profile in a dose-dependent way, just like the tissue incorporation of saturated fatty acids, the inflammation in adipose tissue, and the antioxidant and antimicrobial effects. Since, it was not possible to establish the best dose of VCO to be consumed, the current recommendations for the consumption of satured fatty acids should be followed.","author":[{"dropping-particle":"","family":"Moura e Dias","given":"Mariana","non-dropping-particle":"de","parse-names":false,"suffix":""},{"dropping-particle":"","family":"Pais Siqueira","given":"Nathane","non-dropping-particle":"","parse-names":false,"suffix":""},{"dropping-particle":"","family":"Lopes da Conceição","given":"Lisiane","non-dropping-particle":"","parse-names":false,"suffix":""},{"dropping-particle":"","family":"Aparecida dos Reis","given":"Sandra","non-dropping-particle":"","parse-names":false,"suffix":""},{"dropping-particle":"","family":"Xavier Valente","given":"Flávia","non-dropping-particle":"","parse-names":false,"suffix":""},{"dropping-particle":"","family":"Maciel dos Santos Dias","given":"Manoela","non-dropping-particle":"","parse-names":false,"suffix":""},{"dropping-particle":"","family":"Oliveira Barbosa Rosa","given":"Carla","non-dropping-particle":"de","parse-names":false,"suffix":""},{"dropping-particle":"","family":"Oliveira de Paula","given":"Sérgio","non-dropping-particle":"","parse-names":false,"suffix":""},{"dropping-particle":"","family":"Matta","given":"Sérgio Luís Pinto","non-dropping-particle":"da","parse-names":false,"suffix":""},{"dropping-particle":"","family":"Licursi de Oliveira","given":"Leandro","non-dropping-particle":"","parse-names":false,"suffix":""},{"dropping-particle":"","family":"Bressan","given":"Josefina","non-dropping-particle":"","parse-names":false,"suffix":""},{"dropping-particle":"","family":"Gouveia Peluzio","given":"Maria do Carmo","non-dropping-particle":"","parse-names":false,"suffix":""}],"container-title":"Journal of Functional Foods","id":"ITEM-1","issued":{"date-parts":[["2018","9","1"]]},"page":"472-480","publisher":"Elsevier","title":"Consumption of virgin coconut oil in Wistar rats increases saturated fatty acids in the liver and adipose tissue, as well as adipose tissue inflammation","type":"article-journal","volume":"48"},"uris":["http://www.mendeley.com/documents/?uuid=60a12610-95eb-32e6-88c9-4e62f2c466ca"]},{"id":"ITEM-2","itemData":{"DOI":"10.51791/NJAP.V45I2.535","abstract":"This study was conducted to determine the effect of coconut oil inclusion on thesupplementary feed intake, weight gain, haematology and serum biochemistry of grazing cattle. Twenty-five (25) White Fulani cattle weighing 138±2.21 kg were randomly allotted to five treatment groups of coconut oil administration (0 g/day, 50 g/day, 100 g/day, 150 g/day and 200 g/day) in a completely randomised design. The animals were grazed for 84 days and supplemented with concentrate throughout the experimental period. Data on feed intake, weight gain and blood profile of cattle were analysed using one-way analysis of variance. Results obtained showed that coconut oil did not affect (P&gt;0.05) the supplementary concentrate intake of grazing cattle. Lower (P&lt;0.05) weight gain was observed with animals fed coconut oil at 50 g/day (9.64 kg) but increased to 17.64 kg with 150 g/day. Packed cell volume, haemoglobin and white blood cells were not affected (P&gt;0.05) by coconut oil. Thehighest (P&lt;0.05) red blood cell (6.91×10 /L) and platelet counts (67.00×10 /L) wererecorded at 150 g/day coconut oil. Total cholesterol, HDL and LDL values were increased (P&lt;0.05) with increasing levels of coconut oil. Values obtained for HDL (166.00 mg/dL to 145.15 mg/dL) and LDL (135.00 mg/dL to 88.40 mg/dL) decreased when the level of oil was increased from 150g/day to 200g/day. Administering coconut oil up to 150 g/day is recommended as it increases the body weight gain of cattle and maintain the normal PCV and haemoglobin concentration of the animals","author":[{"drop</w:instrText>
      </w:r>
      <w:r w:rsidR="00886473" w:rsidRPr="007F123F">
        <w:rPr>
          <w:rFonts w:ascii="Arial" w:hAnsi="Arial" w:cs="Arial"/>
          <w:sz w:val="20"/>
          <w:szCs w:val="20"/>
          <w:lang w:val="nl-NL"/>
        </w:rPr>
        <w:instrText>ping-particle":"","family":"Adelusi","given":"O. O.","non-dropping-particle":"","parse-names":false,"suffix":""},{"dropping-particle":"","family":"Oni","given":"A. O.","non-dropping-particle":"","parse-names":false,"suffix":""},{"dropping-particle":"","family":"Aderinboye","given":"R. Y.","non-dropping-particle":"","parse-names":false,"suffix":""},{"dropping-particle":"","family":"Arigbede","given":"O. M.","non-dropping-particle":"","parse-names":false,"suffix":""},{"dropping-particle":"","family":"Onwuka","given":"C. F. I.","non-dropping-particle":"","parse-names":false,"suffix":""}],"container-title":"Nigerian Journal of Animal Production","id":"ITEM-2","issue":"2","issued":{"date-parts":[["2020","12","25"]]},"page":"316-324","publisher":"Nigerian Society for Animal Production (NSAP)","title":"Effects of coconut oil on the weight and blood status of grazing cattle fed concentrate as supplementary feed","type":"article-journal","volume":"45"},"uris":["http://www.mendeley.com/documents/?uuid=0f47431b-5caa-3111-9e76-0f708f43e3a3"]}],"mendeley":{"formattedCitation":"(Adelusi et al., 2020; de Moura e Dias et al., 2018)","manualFormatting":"Adelusi et al. (2020) &amp; De Moura e Dias et al. (2018)","plainTextFormattedCitation":"(Adelusi et al., 2020; de Moura e Dias et al., 2018)","previouslyFormattedCitation":"(Adelusi et al., 2020; de Moura e Dias et al., 2018)"},"properties":{"noteIndex":0},"schema":"https://github.com/citation-style-language/schema/raw/master/csl-citation.json"}</w:instrText>
      </w:r>
      <w:r w:rsidRPr="007F123F">
        <w:rPr>
          <w:rFonts w:ascii="Arial" w:hAnsi="Arial" w:cs="Arial"/>
          <w:sz w:val="20"/>
          <w:szCs w:val="20"/>
        </w:rPr>
        <w:fldChar w:fldCharType="separate"/>
      </w:r>
      <w:r w:rsidR="00886473" w:rsidRPr="007F123F">
        <w:rPr>
          <w:rFonts w:ascii="Arial" w:hAnsi="Arial" w:cs="Arial"/>
          <w:noProof/>
          <w:sz w:val="20"/>
          <w:szCs w:val="20"/>
          <w:lang w:val="nl-NL"/>
        </w:rPr>
        <w:t>(</w:t>
      </w:r>
      <w:r w:rsidR="00250A74">
        <w:rPr>
          <w:rFonts w:ascii="Arial" w:hAnsi="Arial" w:cs="Arial"/>
          <w:noProof/>
          <w:sz w:val="20"/>
          <w:szCs w:val="20"/>
          <w:lang w:val="nl-NL"/>
        </w:rPr>
        <w:t>17</w:t>
      </w:r>
      <w:r w:rsidR="00886473" w:rsidRPr="007F123F">
        <w:rPr>
          <w:rFonts w:ascii="Arial" w:hAnsi="Arial" w:cs="Arial"/>
          <w:noProof/>
          <w:sz w:val="20"/>
          <w:szCs w:val="20"/>
          <w:lang w:val="nl-NL"/>
        </w:rPr>
        <w:t xml:space="preserve">) </w:t>
      </w:r>
      <w:r w:rsidR="004351D2" w:rsidRPr="007F123F">
        <w:rPr>
          <w:rFonts w:ascii="Arial" w:hAnsi="Arial" w:cs="Arial"/>
          <w:noProof/>
          <w:sz w:val="20"/>
          <w:szCs w:val="20"/>
          <w:lang w:val="nl-NL"/>
        </w:rPr>
        <w:t>and</w:t>
      </w:r>
      <w:r w:rsidR="00886473" w:rsidRPr="007F123F">
        <w:rPr>
          <w:rFonts w:ascii="Arial" w:hAnsi="Arial" w:cs="Arial"/>
          <w:noProof/>
          <w:sz w:val="20"/>
          <w:szCs w:val="20"/>
          <w:lang w:val="nl-NL"/>
        </w:rPr>
        <w:t xml:space="preserve"> </w:t>
      </w:r>
      <w:r w:rsidR="00250A74">
        <w:rPr>
          <w:rFonts w:ascii="Arial" w:hAnsi="Arial" w:cs="Arial"/>
          <w:noProof/>
          <w:sz w:val="20"/>
          <w:szCs w:val="20"/>
          <w:lang w:val="nl-NL"/>
        </w:rPr>
        <w:t xml:space="preserve">(24) </w:t>
      </w:r>
      <w:r w:rsidRPr="007F123F">
        <w:rPr>
          <w:rFonts w:ascii="Arial" w:hAnsi="Arial" w:cs="Arial"/>
          <w:sz w:val="20"/>
          <w:szCs w:val="20"/>
        </w:rPr>
        <w:fldChar w:fldCharType="end"/>
      </w:r>
      <w:r w:rsidRPr="007F123F">
        <w:rPr>
          <w:rFonts w:ascii="Arial" w:hAnsi="Arial" w:cs="Arial"/>
          <w:sz w:val="20"/>
          <w:szCs w:val="20"/>
        </w:rPr>
        <w:t xml:space="preserve"> who reported no significant difference in body weight</w:t>
      </w:r>
      <w:r w:rsidR="004351D2" w:rsidRPr="007F123F">
        <w:rPr>
          <w:rFonts w:ascii="Arial" w:hAnsi="Arial" w:cs="Arial"/>
          <w:sz w:val="20"/>
          <w:szCs w:val="20"/>
        </w:rPr>
        <w:t>.</w:t>
      </w:r>
    </w:p>
    <w:p w14:paraId="6C535EC5" w14:textId="7689A573" w:rsidR="000D34CA" w:rsidRDefault="000D34CA" w:rsidP="00877683">
      <w:pPr>
        <w:tabs>
          <w:tab w:val="left" w:pos="0"/>
        </w:tabs>
        <w:spacing w:before="240" w:line="480" w:lineRule="auto"/>
        <w:ind w:left="-90"/>
        <w:jc w:val="both"/>
        <w:rPr>
          <w:rFonts w:ascii="Arial" w:hAnsi="Arial" w:cs="Arial"/>
          <w:sz w:val="20"/>
          <w:szCs w:val="20"/>
        </w:rPr>
      </w:pPr>
      <w:r w:rsidRPr="007F123F">
        <w:rPr>
          <w:rFonts w:ascii="Arial" w:hAnsi="Arial" w:cs="Arial"/>
          <w:sz w:val="20"/>
          <w:szCs w:val="20"/>
        </w:rPr>
        <w:t>Corn</w:t>
      </w:r>
      <w:r w:rsidR="0089256C" w:rsidRPr="007F123F">
        <w:rPr>
          <w:rFonts w:ascii="Arial" w:hAnsi="Arial" w:cs="Arial"/>
          <w:sz w:val="20"/>
          <w:szCs w:val="20"/>
        </w:rPr>
        <w:t xml:space="preserve"> </w:t>
      </w:r>
      <w:r w:rsidRPr="007F123F">
        <w:rPr>
          <w:rFonts w:ascii="Arial" w:hAnsi="Arial" w:cs="Arial"/>
          <w:sz w:val="20"/>
          <w:szCs w:val="20"/>
        </w:rPr>
        <w:t>cob fibre promotes satiety and reduces calorie intake</w:t>
      </w:r>
      <w:r w:rsidR="000162A7" w:rsidRPr="007F123F">
        <w:rPr>
          <w:rFonts w:ascii="Arial" w:hAnsi="Arial" w:cs="Arial"/>
          <w:sz w:val="20"/>
          <w:szCs w:val="20"/>
        </w:rPr>
        <w:t xml:space="preserve"> (</w:t>
      </w:r>
      <w:r w:rsidR="00250A74">
        <w:rPr>
          <w:rFonts w:ascii="Arial" w:hAnsi="Arial" w:cs="Arial"/>
          <w:sz w:val="20"/>
          <w:szCs w:val="20"/>
        </w:rPr>
        <w:t>25</w:t>
      </w:r>
      <w:r w:rsidR="000162A7" w:rsidRPr="007F123F">
        <w:rPr>
          <w:rFonts w:ascii="Arial" w:hAnsi="Arial" w:cs="Arial"/>
          <w:sz w:val="20"/>
          <w:szCs w:val="20"/>
        </w:rPr>
        <w:t>)</w:t>
      </w:r>
      <w:r w:rsidRPr="007F123F">
        <w:rPr>
          <w:rFonts w:ascii="Arial" w:hAnsi="Arial" w:cs="Arial"/>
          <w:sz w:val="20"/>
          <w:szCs w:val="20"/>
        </w:rPr>
        <w:t>, while coconut oil, rich in MCTs, enhances calorie burning and weight loss</w:t>
      </w:r>
      <w:r w:rsidR="0089256C" w:rsidRPr="007F123F">
        <w:rPr>
          <w:rFonts w:ascii="Arial" w:hAnsi="Arial" w:cs="Arial"/>
          <w:sz w:val="20"/>
          <w:szCs w:val="20"/>
        </w:rPr>
        <w:t xml:space="preserve"> (</w:t>
      </w:r>
      <w:r w:rsidR="000162A7" w:rsidRPr="007F123F">
        <w:rPr>
          <w:rFonts w:ascii="Arial" w:hAnsi="Arial" w:cs="Arial"/>
          <w:sz w:val="20"/>
          <w:szCs w:val="20"/>
        </w:rPr>
        <w:t>2</w:t>
      </w:r>
      <w:r w:rsidR="00250A74">
        <w:rPr>
          <w:rFonts w:ascii="Arial" w:hAnsi="Arial" w:cs="Arial"/>
          <w:sz w:val="20"/>
          <w:szCs w:val="20"/>
        </w:rPr>
        <w:t>3</w:t>
      </w:r>
      <w:r w:rsidR="0089256C" w:rsidRPr="007F123F">
        <w:rPr>
          <w:rFonts w:ascii="Arial" w:hAnsi="Arial" w:cs="Arial"/>
          <w:sz w:val="20"/>
          <w:szCs w:val="20"/>
        </w:rPr>
        <w:t>)</w:t>
      </w:r>
      <w:r w:rsidRPr="007F123F">
        <w:rPr>
          <w:rFonts w:ascii="Arial" w:hAnsi="Arial" w:cs="Arial"/>
          <w:sz w:val="20"/>
          <w:szCs w:val="20"/>
        </w:rPr>
        <w:t xml:space="preserve">. Notably, high fibre levels contributed more to weight loss than high fat, as evidenced by consistent reductions in body weight across </w:t>
      </w:r>
      <w:commentRangeStart w:id="17"/>
      <w:r w:rsidR="0089256C" w:rsidRPr="007F123F">
        <w:rPr>
          <w:rFonts w:ascii="Arial" w:hAnsi="Arial" w:cs="Arial"/>
          <w:sz w:val="20"/>
          <w:szCs w:val="20"/>
        </w:rPr>
        <w:t xml:space="preserve">the </w:t>
      </w:r>
      <w:r w:rsidRPr="007F123F">
        <w:rPr>
          <w:rFonts w:ascii="Arial" w:hAnsi="Arial" w:cs="Arial"/>
          <w:sz w:val="20"/>
          <w:szCs w:val="20"/>
        </w:rPr>
        <w:t xml:space="preserve">different dietary compositions. </w:t>
      </w:r>
      <w:bookmarkEnd w:id="15"/>
      <w:r w:rsidRPr="007F123F">
        <w:rPr>
          <w:rFonts w:ascii="Arial" w:hAnsi="Arial" w:cs="Arial"/>
          <w:sz w:val="20"/>
          <w:szCs w:val="20"/>
        </w:rPr>
        <w:t xml:space="preserve">  </w:t>
      </w:r>
      <w:commentRangeEnd w:id="17"/>
      <w:r w:rsidR="00F74262">
        <w:rPr>
          <w:rStyle w:val="CommentReference"/>
        </w:rPr>
        <w:commentReference w:id="17"/>
      </w:r>
    </w:p>
    <w:p w14:paraId="199D220B" w14:textId="77777777" w:rsidR="00250A74" w:rsidRDefault="00250A74" w:rsidP="0083042F">
      <w:pPr>
        <w:tabs>
          <w:tab w:val="left" w:pos="0"/>
        </w:tabs>
        <w:spacing w:before="240" w:line="480" w:lineRule="auto"/>
        <w:ind w:left="-567"/>
        <w:jc w:val="both"/>
        <w:rPr>
          <w:rFonts w:ascii="Arial" w:hAnsi="Arial" w:cs="Arial"/>
          <w:sz w:val="20"/>
          <w:szCs w:val="20"/>
        </w:rPr>
      </w:pPr>
    </w:p>
    <w:p w14:paraId="3C2FBDD0" w14:textId="77777777" w:rsidR="00250A74" w:rsidRDefault="00250A74" w:rsidP="0083042F">
      <w:pPr>
        <w:tabs>
          <w:tab w:val="left" w:pos="0"/>
        </w:tabs>
        <w:spacing w:before="240" w:line="480" w:lineRule="auto"/>
        <w:ind w:left="-567"/>
        <w:jc w:val="both"/>
        <w:rPr>
          <w:rFonts w:ascii="Arial" w:hAnsi="Arial" w:cs="Arial"/>
          <w:sz w:val="20"/>
          <w:szCs w:val="20"/>
        </w:rPr>
      </w:pPr>
    </w:p>
    <w:p w14:paraId="0E91A8C9" w14:textId="77777777" w:rsidR="00250A74" w:rsidRDefault="00250A74" w:rsidP="0083042F">
      <w:pPr>
        <w:tabs>
          <w:tab w:val="left" w:pos="0"/>
        </w:tabs>
        <w:spacing w:before="240" w:line="480" w:lineRule="auto"/>
        <w:ind w:left="-567"/>
        <w:jc w:val="both"/>
        <w:rPr>
          <w:rFonts w:ascii="Arial" w:hAnsi="Arial" w:cs="Arial"/>
          <w:sz w:val="20"/>
          <w:szCs w:val="20"/>
        </w:rPr>
      </w:pPr>
    </w:p>
    <w:p w14:paraId="0504E0CB" w14:textId="77777777" w:rsidR="00250A74" w:rsidRDefault="00250A74" w:rsidP="0083042F">
      <w:pPr>
        <w:tabs>
          <w:tab w:val="left" w:pos="0"/>
        </w:tabs>
        <w:spacing w:before="240" w:line="480" w:lineRule="auto"/>
        <w:ind w:left="-567"/>
        <w:jc w:val="both"/>
        <w:rPr>
          <w:rFonts w:ascii="Arial" w:hAnsi="Arial" w:cs="Arial"/>
          <w:sz w:val="20"/>
          <w:szCs w:val="20"/>
        </w:rPr>
      </w:pPr>
    </w:p>
    <w:p w14:paraId="012BF5C8" w14:textId="289FBB44" w:rsidR="00F72782" w:rsidRPr="00525FEE" w:rsidRDefault="00F72782" w:rsidP="00877683">
      <w:pPr>
        <w:tabs>
          <w:tab w:val="left" w:pos="0"/>
        </w:tabs>
        <w:spacing w:line="240" w:lineRule="auto"/>
        <w:ind w:left="-90"/>
        <w:rPr>
          <w:rFonts w:ascii="Arial" w:hAnsi="Arial" w:cs="Arial"/>
          <w:b/>
          <w:sz w:val="20"/>
          <w:szCs w:val="20"/>
        </w:rPr>
      </w:pPr>
      <w:r w:rsidRPr="00525FEE">
        <w:rPr>
          <w:rFonts w:ascii="Arial" w:hAnsi="Arial" w:cs="Arial"/>
          <w:b/>
          <w:sz w:val="20"/>
          <w:szCs w:val="20"/>
        </w:rPr>
        <w:lastRenderedPageBreak/>
        <w:t xml:space="preserve">Table </w:t>
      </w:r>
      <w:r w:rsidR="00F67191">
        <w:rPr>
          <w:rFonts w:ascii="Arial" w:hAnsi="Arial" w:cs="Arial"/>
          <w:b/>
          <w:sz w:val="20"/>
          <w:szCs w:val="20"/>
        </w:rPr>
        <w:t>3</w:t>
      </w:r>
      <w:r w:rsidRPr="00525FEE">
        <w:rPr>
          <w:rFonts w:ascii="Arial" w:hAnsi="Arial" w:cs="Arial"/>
          <w:b/>
          <w:sz w:val="20"/>
          <w:szCs w:val="20"/>
        </w:rPr>
        <w:t>. Effects of two levels of dietary fat and fibre on the body weight (g) of Albino rats at d 56.</w:t>
      </w:r>
    </w:p>
    <w:tbl>
      <w:tblPr>
        <w:tblStyle w:val="TableGridLight"/>
        <w:tblW w:w="10710" w:type="dxa"/>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630"/>
        <w:gridCol w:w="720"/>
        <w:gridCol w:w="810"/>
        <w:gridCol w:w="900"/>
        <w:gridCol w:w="900"/>
        <w:gridCol w:w="900"/>
        <w:gridCol w:w="900"/>
        <w:gridCol w:w="900"/>
        <w:gridCol w:w="900"/>
        <w:gridCol w:w="900"/>
        <w:gridCol w:w="900"/>
      </w:tblGrid>
      <w:tr w:rsidR="00F72782" w:rsidRPr="00525FEE" w14:paraId="6F49C8D5" w14:textId="77777777" w:rsidTr="005870B9">
        <w:trPr>
          <w:trHeight w:val="488"/>
        </w:trPr>
        <w:tc>
          <w:tcPr>
            <w:tcW w:w="1350" w:type="dxa"/>
            <w:tcBorders>
              <w:top w:val="single" w:sz="4" w:space="0" w:color="auto"/>
              <w:bottom w:val="nil"/>
            </w:tcBorders>
          </w:tcPr>
          <w:p w14:paraId="0E809C47" w14:textId="77777777" w:rsidR="00F72782" w:rsidRPr="00525FEE" w:rsidRDefault="00F72782" w:rsidP="0083042F">
            <w:pPr>
              <w:tabs>
                <w:tab w:val="left" w:pos="0"/>
              </w:tabs>
              <w:spacing w:line="276" w:lineRule="auto"/>
              <w:rPr>
                <w:rFonts w:ascii="Arial" w:hAnsi="Arial" w:cs="Arial"/>
                <w:b/>
                <w:sz w:val="20"/>
                <w:szCs w:val="20"/>
              </w:rPr>
            </w:pPr>
            <w:r w:rsidRPr="00525FEE">
              <w:rPr>
                <w:rFonts w:ascii="Arial" w:hAnsi="Arial" w:cs="Arial"/>
                <w:b/>
                <w:sz w:val="20"/>
                <w:szCs w:val="20"/>
              </w:rPr>
              <w:t>Effects</w:t>
            </w:r>
          </w:p>
        </w:tc>
        <w:tc>
          <w:tcPr>
            <w:tcW w:w="630" w:type="dxa"/>
            <w:tcBorders>
              <w:top w:val="single" w:sz="4" w:space="0" w:color="auto"/>
              <w:bottom w:val="nil"/>
            </w:tcBorders>
          </w:tcPr>
          <w:p w14:paraId="76F8001F" w14:textId="77777777" w:rsidR="00F72782" w:rsidRPr="00525FEE" w:rsidRDefault="00F72782" w:rsidP="0083042F">
            <w:pPr>
              <w:tabs>
                <w:tab w:val="left" w:pos="0"/>
              </w:tabs>
              <w:spacing w:line="276" w:lineRule="auto"/>
              <w:rPr>
                <w:rFonts w:ascii="Arial" w:hAnsi="Arial" w:cs="Arial"/>
                <w:b/>
                <w:bCs/>
                <w:sz w:val="20"/>
                <w:szCs w:val="20"/>
              </w:rPr>
            </w:pPr>
            <w:r w:rsidRPr="00525FEE">
              <w:rPr>
                <w:rFonts w:ascii="Arial" w:hAnsi="Arial" w:cs="Arial"/>
                <w:b/>
                <w:bCs/>
                <w:sz w:val="20"/>
                <w:szCs w:val="20"/>
              </w:rPr>
              <w:t>Fat</w:t>
            </w:r>
          </w:p>
        </w:tc>
        <w:tc>
          <w:tcPr>
            <w:tcW w:w="720" w:type="dxa"/>
            <w:tcBorders>
              <w:top w:val="single" w:sz="4" w:space="0" w:color="auto"/>
              <w:bottom w:val="nil"/>
            </w:tcBorders>
          </w:tcPr>
          <w:p w14:paraId="232990AC" w14:textId="77777777" w:rsidR="00F72782" w:rsidRPr="00525FEE" w:rsidRDefault="00F72782" w:rsidP="0083042F">
            <w:pPr>
              <w:tabs>
                <w:tab w:val="left" w:pos="0"/>
              </w:tabs>
              <w:spacing w:line="276" w:lineRule="auto"/>
              <w:rPr>
                <w:rFonts w:ascii="Arial" w:hAnsi="Arial" w:cs="Arial"/>
                <w:b/>
                <w:bCs/>
                <w:sz w:val="20"/>
                <w:szCs w:val="20"/>
              </w:rPr>
            </w:pPr>
            <w:r w:rsidRPr="00525FEE">
              <w:rPr>
                <w:rFonts w:ascii="Arial" w:hAnsi="Arial" w:cs="Arial"/>
                <w:b/>
                <w:bCs/>
                <w:sz w:val="20"/>
                <w:szCs w:val="20"/>
              </w:rPr>
              <w:t>Fibre</w:t>
            </w:r>
          </w:p>
        </w:tc>
        <w:tc>
          <w:tcPr>
            <w:tcW w:w="810" w:type="dxa"/>
            <w:tcBorders>
              <w:top w:val="single" w:sz="4" w:space="0" w:color="auto"/>
              <w:bottom w:val="nil"/>
            </w:tcBorders>
          </w:tcPr>
          <w:p w14:paraId="0C9FEBD5" w14:textId="77777777" w:rsidR="00F72782" w:rsidRPr="00525FEE" w:rsidRDefault="00F72782" w:rsidP="0083042F">
            <w:pPr>
              <w:tabs>
                <w:tab w:val="left" w:pos="0"/>
              </w:tabs>
              <w:spacing w:line="276" w:lineRule="auto"/>
              <w:rPr>
                <w:rFonts w:ascii="Arial" w:hAnsi="Arial" w:cs="Arial"/>
                <w:b/>
                <w:sz w:val="20"/>
                <w:szCs w:val="20"/>
              </w:rPr>
            </w:pPr>
            <w:r w:rsidRPr="00525FEE">
              <w:rPr>
                <w:rFonts w:ascii="Arial" w:hAnsi="Arial" w:cs="Arial"/>
                <w:b/>
                <w:sz w:val="20"/>
                <w:szCs w:val="20"/>
              </w:rPr>
              <w:t>d 0</w:t>
            </w:r>
          </w:p>
        </w:tc>
        <w:tc>
          <w:tcPr>
            <w:tcW w:w="900" w:type="dxa"/>
            <w:tcBorders>
              <w:top w:val="single" w:sz="4" w:space="0" w:color="auto"/>
              <w:bottom w:val="nil"/>
            </w:tcBorders>
          </w:tcPr>
          <w:p w14:paraId="6E26F995" w14:textId="77777777" w:rsidR="00F72782" w:rsidRPr="00525FEE" w:rsidRDefault="00F72782" w:rsidP="0083042F">
            <w:pPr>
              <w:tabs>
                <w:tab w:val="left" w:pos="0"/>
              </w:tabs>
              <w:spacing w:line="276" w:lineRule="auto"/>
              <w:rPr>
                <w:rFonts w:ascii="Arial" w:hAnsi="Arial" w:cs="Arial"/>
                <w:b/>
                <w:sz w:val="20"/>
                <w:szCs w:val="20"/>
              </w:rPr>
            </w:pPr>
            <w:r w:rsidRPr="00525FEE">
              <w:rPr>
                <w:rFonts w:ascii="Arial" w:hAnsi="Arial" w:cs="Arial"/>
                <w:b/>
                <w:sz w:val="20"/>
                <w:szCs w:val="20"/>
              </w:rPr>
              <w:t>d 7</w:t>
            </w:r>
          </w:p>
        </w:tc>
        <w:tc>
          <w:tcPr>
            <w:tcW w:w="900" w:type="dxa"/>
            <w:tcBorders>
              <w:top w:val="single" w:sz="4" w:space="0" w:color="auto"/>
              <w:bottom w:val="nil"/>
            </w:tcBorders>
          </w:tcPr>
          <w:p w14:paraId="6841B39A" w14:textId="77777777" w:rsidR="00F72782" w:rsidRPr="00525FEE" w:rsidRDefault="00F72782" w:rsidP="0083042F">
            <w:pPr>
              <w:tabs>
                <w:tab w:val="left" w:pos="0"/>
              </w:tabs>
              <w:spacing w:line="276" w:lineRule="auto"/>
              <w:rPr>
                <w:rFonts w:ascii="Arial" w:hAnsi="Arial" w:cs="Arial"/>
                <w:b/>
                <w:sz w:val="20"/>
                <w:szCs w:val="20"/>
              </w:rPr>
            </w:pPr>
            <w:r w:rsidRPr="00525FEE">
              <w:rPr>
                <w:rFonts w:ascii="Arial" w:hAnsi="Arial" w:cs="Arial"/>
                <w:b/>
                <w:sz w:val="20"/>
                <w:szCs w:val="20"/>
              </w:rPr>
              <w:t>d 14</w:t>
            </w:r>
          </w:p>
        </w:tc>
        <w:tc>
          <w:tcPr>
            <w:tcW w:w="900" w:type="dxa"/>
            <w:tcBorders>
              <w:top w:val="single" w:sz="4" w:space="0" w:color="auto"/>
              <w:bottom w:val="nil"/>
            </w:tcBorders>
          </w:tcPr>
          <w:p w14:paraId="3B93F921" w14:textId="77777777" w:rsidR="00F72782" w:rsidRPr="00525FEE" w:rsidRDefault="00F72782" w:rsidP="0083042F">
            <w:pPr>
              <w:tabs>
                <w:tab w:val="left" w:pos="0"/>
              </w:tabs>
              <w:spacing w:line="276" w:lineRule="auto"/>
              <w:rPr>
                <w:rFonts w:ascii="Arial" w:hAnsi="Arial" w:cs="Arial"/>
                <w:b/>
                <w:sz w:val="20"/>
                <w:szCs w:val="20"/>
              </w:rPr>
            </w:pPr>
            <w:r w:rsidRPr="00525FEE">
              <w:rPr>
                <w:rFonts w:ascii="Arial" w:hAnsi="Arial" w:cs="Arial"/>
                <w:b/>
                <w:sz w:val="20"/>
                <w:szCs w:val="20"/>
              </w:rPr>
              <w:t>d 21</w:t>
            </w:r>
          </w:p>
        </w:tc>
        <w:tc>
          <w:tcPr>
            <w:tcW w:w="900" w:type="dxa"/>
            <w:tcBorders>
              <w:top w:val="single" w:sz="4" w:space="0" w:color="auto"/>
              <w:bottom w:val="nil"/>
            </w:tcBorders>
          </w:tcPr>
          <w:p w14:paraId="36C94D31" w14:textId="77777777" w:rsidR="00F72782" w:rsidRPr="00525FEE" w:rsidRDefault="00F72782" w:rsidP="0083042F">
            <w:pPr>
              <w:tabs>
                <w:tab w:val="left" w:pos="0"/>
              </w:tabs>
              <w:spacing w:line="276" w:lineRule="auto"/>
              <w:rPr>
                <w:rFonts w:ascii="Arial" w:hAnsi="Arial" w:cs="Arial"/>
                <w:b/>
                <w:sz w:val="20"/>
                <w:szCs w:val="20"/>
              </w:rPr>
            </w:pPr>
            <w:r w:rsidRPr="00525FEE">
              <w:rPr>
                <w:rFonts w:ascii="Arial" w:hAnsi="Arial" w:cs="Arial"/>
                <w:b/>
                <w:sz w:val="20"/>
                <w:szCs w:val="20"/>
              </w:rPr>
              <w:t>d 28</w:t>
            </w:r>
          </w:p>
        </w:tc>
        <w:tc>
          <w:tcPr>
            <w:tcW w:w="900" w:type="dxa"/>
            <w:tcBorders>
              <w:top w:val="single" w:sz="4" w:space="0" w:color="auto"/>
              <w:bottom w:val="nil"/>
            </w:tcBorders>
          </w:tcPr>
          <w:p w14:paraId="63A32159" w14:textId="77777777" w:rsidR="00F72782" w:rsidRPr="00525FEE" w:rsidRDefault="00F72782" w:rsidP="0083042F">
            <w:pPr>
              <w:tabs>
                <w:tab w:val="left" w:pos="0"/>
              </w:tabs>
              <w:spacing w:line="276" w:lineRule="auto"/>
              <w:rPr>
                <w:rFonts w:ascii="Arial" w:hAnsi="Arial" w:cs="Arial"/>
                <w:b/>
                <w:sz w:val="20"/>
                <w:szCs w:val="20"/>
              </w:rPr>
            </w:pPr>
            <w:r w:rsidRPr="00525FEE">
              <w:rPr>
                <w:rFonts w:ascii="Arial" w:hAnsi="Arial" w:cs="Arial"/>
                <w:b/>
                <w:sz w:val="20"/>
                <w:szCs w:val="20"/>
              </w:rPr>
              <w:t>d 35</w:t>
            </w:r>
          </w:p>
        </w:tc>
        <w:tc>
          <w:tcPr>
            <w:tcW w:w="900" w:type="dxa"/>
            <w:tcBorders>
              <w:top w:val="single" w:sz="4" w:space="0" w:color="auto"/>
              <w:bottom w:val="nil"/>
            </w:tcBorders>
          </w:tcPr>
          <w:p w14:paraId="0443374A" w14:textId="77777777" w:rsidR="00F72782" w:rsidRPr="00525FEE" w:rsidRDefault="00F72782" w:rsidP="0083042F">
            <w:pPr>
              <w:tabs>
                <w:tab w:val="left" w:pos="0"/>
              </w:tabs>
              <w:spacing w:line="276" w:lineRule="auto"/>
              <w:rPr>
                <w:rFonts w:ascii="Arial" w:hAnsi="Arial" w:cs="Arial"/>
                <w:b/>
                <w:sz w:val="20"/>
                <w:szCs w:val="20"/>
              </w:rPr>
            </w:pPr>
            <w:r w:rsidRPr="00525FEE">
              <w:rPr>
                <w:rFonts w:ascii="Arial" w:hAnsi="Arial" w:cs="Arial"/>
                <w:b/>
                <w:sz w:val="20"/>
                <w:szCs w:val="20"/>
              </w:rPr>
              <w:t>d 42</w:t>
            </w:r>
          </w:p>
        </w:tc>
        <w:tc>
          <w:tcPr>
            <w:tcW w:w="900" w:type="dxa"/>
            <w:tcBorders>
              <w:top w:val="single" w:sz="4" w:space="0" w:color="auto"/>
              <w:bottom w:val="nil"/>
            </w:tcBorders>
          </w:tcPr>
          <w:p w14:paraId="21ACD133" w14:textId="77777777" w:rsidR="00F72782" w:rsidRPr="00525FEE" w:rsidRDefault="00F72782" w:rsidP="0083042F">
            <w:pPr>
              <w:tabs>
                <w:tab w:val="left" w:pos="0"/>
              </w:tabs>
              <w:spacing w:line="276" w:lineRule="auto"/>
              <w:rPr>
                <w:rFonts w:ascii="Arial" w:hAnsi="Arial" w:cs="Arial"/>
                <w:b/>
                <w:sz w:val="20"/>
                <w:szCs w:val="20"/>
              </w:rPr>
            </w:pPr>
            <w:r w:rsidRPr="00525FEE">
              <w:rPr>
                <w:rFonts w:ascii="Arial" w:hAnsi="Arial" w:cs="Arial"/>
                <w:b/>
                <w:sz w:val="20"/>
                <w:szCs w:val="20"/>
              </w:rPr>
              <w:t>d 49</w:t>
            </w:r>
          </w:p>
        </w:tc>
        <w:tc>
          <w:tcPr>
            <w:tcW w:w="900" w:type="dxa"/>
            <w:tcBorders>
              <w:top w:val="single" w:sz="4" w:space="0" w:color="auto"/>
              <w:bottom w:val="nil"/>
            </w:tcBorders>
          </w:tcPr>
          <w:p w14:paraId="7DE257A8" w14:textId="77777777" w:rsidR="00F72782" w:rsidRPr="00525FEE" w:rsidRDefault="00F72782" w:rsidP="0083042F">
            <w:pPr>
              <w:tabs>
                <w:tab w:val="left" w:pos="0"/>
              </w:tabs>
              <w:spacing w:line="276" w:lineRule="auto"/>
              <w:rPr>
                <w:rFonts w:ascii="Arial" w:hAnsi="Arial" w:cs="Arial"/>
                <w:b/>
                <w:sz w:val="20"/>
                <w:szCs w:val="20"/>
              </w:rPr>
            </w:pPr>
            <w:r w:rsidRPr="00525FEE">
              <w:rPr>
                <w:rFonts w:ascii="Arial" w:hAnsi="Arial" w:cs="Arial"/>
                <w:b/>
                <w:sz w:val="20"/>
                <w:szCs w:val="20"/>
              </w:rPr>
              <w:t>d 56</w:t>
            </w:r>
          </w:p>
        </w:tc>
      </w:tr>
      <w:tr w:rsidR="00F72782" w:rsidRPr="00525FEE" w14:paraId="323D5761" w14:textId="77777777" w:rsidTr="005870B9">
        <w:trPr>
          <w:trHeight w:val="426"/>
        </w:trPr>
        <w:tc>
          <w:tcPr>
            <w:tcW w:w="1350" w:type="dxa"/>
            <w:tcBorders>
              <w:top w:val="single" w:sz="4" w:space="0" w:color="auto"/>
            </w:tcBorders>
          </w:tcPr>
          <w:p w14:paraId="7CAA7681" w14:textId="77777777" w:rsidR="00F72782" w:rsidRPr="00525FEE" w:rsidRDefault="00F72782" w:rsidP="0083042F">
            <w:pPr>
              <w:tabs>
                <w:tab w:val="left" w:pos="0"/>
              </w:tabs>
              <w:spacing w:line="276" w:lineRule="auto"/>
              <w:rPr>
                <w:rFonts w:ascii="Arial" w:hAnsi="Arial" w:cs="Arial"/>
                <w:sz w:val="20"/>
                <w:szCs w:val="20"/>
              </w:rPr>
            </w:pPr>
          </w:p>
        </w:tc>
        <w:tc>
          <w:tcPr>
            <w:tcW w:w="630" w:type="dxa"/>
            <w:tcBorders>
              <w:top w:val="single" w:sz="4" w:space="0" w:color="auto"/>
            </w:tcBorders>
          </w:tcPr>
          <w:p w14:paraId="32913F0E"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Low</w:t>
            </w:r>
          </w:p>
        </w:tc>
        <w:tc>
          <w:tcPr>
            <w:tcW w:w="720" w:type="dxa"/>
            <w:tcBorders>
              <w:top w:val="single" w:sz="4" w:space="0" w:color="auto"/>
            </w:tcBorders>
          </w:tcPr>
          <w:p w14:paraId="092CD03C" w14:textId="77777777" w:rsidR="00F72782" w:rsidRPr="00525FEE" w:rsidRDefault="00F72782" w:rsidP="0083042F">
            <w:pPr>
              <w:tabs>
                <w:tab w:val="left" w:pos="0"/>
              </w:tabs>
              <w:spacing w:line="276" w:lineRule="auto"/>
              <w:rPr>
                <w:rFonts w:ascii="Arial" w:hAnsi="Arial" w:cs="Arial"/>
                <w:sz w:val="20"/>
                <w:szCs w:val="20"/>
              </w:rPr>
            </w:pPr>
          </w:p>
        </w:tc>
        <w:tc>
          <w:tcPr>
            <w:tcW w:w="810" w:type="dxa"/>
            <w:tcBorders>
              <w:top w:val="single" w:sz="4" w:space="0" w:color="auto"/>
            </w:tcBorders>
          </w:tcPr>
          <w:p w14:paraId="173D409A"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181.0</w:t>
            </w:r>
          </w:p>
        </w:tc>
        <w:tc>
          <w:tcPr>
            <w:tcW w:w="900" w:type="dxa"/>
            <w:tcBorders>
              <w:top w:val="single" w:sz="4" w:space="0" w:color="auto"/>
            </w:tcBorders>
          </w:tcPr>
          <w:p w14:paraId="23E40D44"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193.7</w:t>
            </w:r>
          </w:p>
        </w:tc>
        <w:tc>
          <w:tcPr>
            <w:tcW w:w="900" w:type="dxa"/>
            <w:tcBorders>
              <w:top w:val="single" w:sz="4" w:space="0" w:color="auto"/>
            </w:tcBorders>
          </w:tcPr>
          <w:p w14:paraId="7EDDC1D1"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200.4</w:t>
            </w:r>
          </w:p>
        </w:tc>
        <w:tc>
          <w:tcPr>
            <w:tcW w:w="900" w:type="dxa"/>
            <w:tcBorders>
              <w:top w:val="single" w:sz="4" w:space="0" w:color="auto"/>
            </w:tcBorders>
          </w:tcPr>
          <w:p w14:paraId="1C616025"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202.3</w:t>
            </w:r>
          </w:p>
        </w:tc>
        <w:tc>
          <w:tcPr>
            <w:tcW w:w="900" w:type="dxa"/>
            <w:tcBorders>
              <w:top w:val="single" w:sz="4" w:space="0" w:color="auto"/>
            </w:tcBorders>
          </w:tcPr>
          <w:p w14:paraId="5EB23099"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202.5</w:t>
            </w:r>
          </w:p>
        </w:tc>
        <w:tc>
          <w:tcPr>
            <w:tcW w:w="900" w:type="dxa"/>
            <w:tcBorders>
              <w:top w:val="single" w:sz="4" w:space="0" w:color="auto"/>
            </w:tcBorders>
          </w:tcPr>
          <w:p w14:paraId="74FF5085"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198.4</w:t>
            </w:r>
          </w:p>
        </w:tc>
        <w:tc>
          <w:tcPr>
            <w:tcW w:w="900" w:type="dxa"/>
            <w:tcBorders>
              <w:top w:val="single" w:sz="4" w:space="0" w:color="auto"/>
            </w:tcBorders>
          </w:tcPr>
          <w:p w14:paraId="01C0F096"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190.5</w:t>
            </w:r>
          </w:p>
        </w:tc>
        <w:tc>
          <w:tcPr>
            <w:tcW w:w="900" w:type="dxa"/>
            <w:tcBorders>
              <w:top w:val="single" w:sz="4" w:space="0" w:color="auto"/>
            </w:tcBorders>
          </w:tcPr>
          <w:p w14:paraId="61DA5E1E"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192.6</w:t>
            </w:r>
          </w:p>
        </w:tc>
        <w:tc>
          <w:tcPr>
            <w:tcW w:w="900" w:type="dxa"/>
            <w:tcBorders>
              <w:top w:val="single" w:sz="4" w:space="0" w:color="auto"/>
            </w:tcBorders>
          </w:tcPr>
          <w:p w14:paraId="11598483"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220.8</w:t>
            </w:r>
            <w:r w:rsidRPr="00525FEE">
              <w:rPr>
                <w:rFonts w:ascii="Arial" w:hAnsi="Arial" w:cs="Arial"/>
                <w:b/>
                <w:sz w:val="20"/>
                <w:szCs w:val="20"/>
                <w:vertAlign w:val="superscript"/>
              </w:rPr>
              <w:t xml:space="preserve"> a</w:t>
            </w:r>
          </w:p>
        </w:tc>
      </w:tr>
      <w:tr w:rsidR="00F72782" w:rsidRPr="00525FEE" w14:paraId="411EA7BE" w14:textId="77777777" w:rsidTr="005870B9">
        <w:trPr>
          <w:trHeight w:val="488"/>
        </w:trPr>
        <w:tc>
          <w:tcPr>
            <w:tcW w:w="1350" w:type="dxa"/>
          </w:tcPr>
          <w:p w14:paraId="764DEA25" w14:textId="77777777" w:rsidR="00F72782" w:rsidRPr="00525FEE" w:rsidRDefault="00F72782" w:rsidP="0083042F">
            <w:pPr>
              <w:tabs>
                <w:tab w:val="left" w:pos="0"/>
              </w:tabs>
              <w:spacing w:line="276" w:lineRule="auto"/>
              <w:rPr>
                <w:rFonts w:ascii="Arial" w:hAnsi="Arial" w:cs="Arial"/>
                <w:sz w:val="20"/>
                <w:szCs w:val="20"/>
              </w:rPr>
            </w:pPr>
          </w:p>
        </w:tc>
        <w:tc>
          <w:tcPr>
            <w:tcW w:w="630" w:type="dxa"/>
          </w:tcPr>
          <w:p w14:paraId="261C7957"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High</w:t>
            </w:r>
          </w:p>
        </w:tc>
        <w:tc>
          <w:tcPr>
            <w:tcW w:w="720" w:type="dxa"/>
          </w:tcPr>
          <w:p w14:paraId="2D67C7A9" w14:textId="77777777" w:rsidR="00F72782" w:rsidRPr="00525FEE" w:rsidRDefault="00F72782" w:rsidP="0083042F">
            <w:pPr>
              <w:tabs>
                <w:tab w:val="left" w:pos="0"/>
              </w:tabs>
              <w:spacing w:line="276" w:lineRule="auto"/>
              <w:rPr>
                <w:rFonts w:ascii="Arial" w:hAnsi="Arial" w:cs="Arial"/>
                <w:sz w:val="20"/>
                <w:szCs w:val="20"/>
              </w:rPr>
            </w:pPr>
          </w:p>
        </w:tc>
        <w:tc>
          <w:tcPr>
            <w:tcW w:w="810" w:type="dxa"/>
          </w:tcPr>
          <w:p w14:paraId="01637C0F"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173.0</w:t>
            </w:r>
          </w:p>
        </w:tc>
        <w:tc>
          <w:tcPr>
            <w:tcW w:w="900" w:type="dxa"/>
          </w:tcPr>
          <w:p w14:paraId="609B00DF"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184.4</w:t>
            </w:r>
          </w:p>
        </w:tc>
        <w:tc>
          <w:tcPr>
            <w:tcW w:w="900" w:type="dxa"/>
          </w:tcPr>
          <w:p w14:paraId="357D5869"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188.2</w:t>
            </w:r>
          </w:p>
        </w:tc>
        <w:tc>
          <w:tcPr>
            <w:tcW w:w="900" w:type="dxa"/>
          </w:tcPr>
          <w:p w14:paraId="24B57A94"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186.8</w:t>
            </w:r>
          </w:p>
        </w:tc>
        <w:tc>
          <w:tcPr>
            <w:tcW w:w="900" w:type="dxa"/>
          </w:tcPr>
          <w:p w14:paraId="612C4FB6"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179.4</w:t>
            </w:r>
          </w:p>
        </w:tc>
        <w:tc>
          <w:tcPr>
            <w:tcW w:w="900" w:type="dxa"/>
          </w:tcPr>
          <w:p w14:paraId="7BFAF20C"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175.9</w:t>
            </w:r>
          </w:p>
        </w:tc>
        <w:tc>
          <w:tcPr>
            <w:tcW w:w="900" w:type="dxa"/>
          </w:tcPr>
          <w:p w14:paraId="6524BD01"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187.0</w:t>
            </w:r>
          </w:p>
        </w:tc>
        <w:tc>
          <w:tcPr>
            <w:tcW w:w="900" w:type="dxa"/>
          </w:tcPr>
          <w:p w14:paraId="4D73B8F0"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172.0</w:t>
            </w:r>
          </w:p>
        </w:tc>
        <w:tc>
          <w:tcPr>
            <w:tcW w:w="900" w:type="dxa"/>
          </w:tcPr>
          <w:p w14:paraId="6B8AA667"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170.0</w:t>
            </w:r>
            <w:r w:rsidRPr="00525FEE">
              <w:rPr>
                <w:rFonts w:ascii="Arial" w:hAnsi="Arial" w:cs="Arial"/>
                <w:b/>
                <w:sz w:val="20"/>
                <w:szCs w:val="20"/>
                <w:vertAlign w:val="superscript"/>
              </w:rPr>
              <w:t xml:space="preserve"> b</w:t>
            </w:r>
          </w:p>
        </w:tc>
      </w:tr>
      <w:tr w:rsidR="00F72782" w:rsidRPr="00525FEE" w14:paraId="27C6D7A2" w14:textId="77777777" w:rsidTr="005870B9">
        <w:trPr>
          <w:trHeight w:val="442"/>
        </w:trPr>
        <w:tc>
          <w:tcPr>
            <w:tcW w:w="1350" w:type="dxa"/>
          </w:tcPr>
          <w:p w14:paraId="5015F445" w14:textId="77777777" w:rsidR="00F72782" w:rsidRPr="00525FEE" w:rsidRDefault="00F72782" w:rsidP="0083042F">
            <w:pPr>
              <w:tabs>
                <w:tab w:val="left" w:pos="0"/>
              </w:tabs>
              <w:spacing w:line="276" w:lineRule="auto"/>
              <w:rPr>
                <w:rFonts w:ascii="Arial" w:hAnsi="Arial" w:cs="Arial"/>
                <w:b/>
                <w:sz w:val="20"/>
                <w:szCs w:val="20"/>
              </w:rPr>
            </w:pPr>
            <w:r w:rsidRPr="00525FEE">
              <w:rPr>
                <w:rFonts w:ascii="Arial" w:hAnsi="Arial" w:cs="Arial"/>
                <w:b/>
                <w:sz w:val="20"/>
                <w:szCs w:val="20"/>
              </w:rPr>
              <w:t>SEM</w:t>
            </w:r>
          </w:p>
        </w:tc>
        <w:tc>
          <w:tcPr>
            <w:tcW w:w="630" w:type="dxa"/>
          </w:tcPr>
          <w:p w14:paraId="7548E982" w14:textId="77777777" w:rsidR="00F72782" w:rsidRPr="00525FEE" w:rsidRDefault="00F72782" w:rsidP="0083042F">
            <w:pPr>
              <w:tabs>
                <w:tab w:val="left" w:pos="0"/>
              </w:tabs>
              <w:spacing w:line="276" w:lineRule="auto"/>
              <w:rPr>
                <w:rFonts w:ascii="Arial" w:hAnsi="Arial" w:cs="Arial"/>
                <w:sz w:val="20"/>
                <w:szCs w:val="20"/>
              </w:rPr>
            </w:pPr>
          </w:p>
        </w:tc>
        <w:tc>
          <w:tcPr>
            <w:tcW w:w="720" w:type="dxa"/>
          </w:tcPr>
          <w:p w14:paraId="09331664" w14:textId="77777777" w:rsidR="00F72782" w:rsidRPr="00525FEE" w:rsidRDefault="00F72782" w:rsidP="0083042F">
            <w:pPr>
              <w:tabs>
                <w:tab w:val="left" w:pos="0"/>
              </w:tabs>
              <w:spacing w:line="276" w:lineRule="auto"/>
              <w:rPr>
                <w:rFonts w:ascii="Arial" w:hAnsi="Arial" w:cs="Arial"/>
                <w:sz w:val="20"/>
                <w:szCs w:val="20"/>
              </w:rPr>
            </w:pPr>
          </w:p>
        </w:tc>
        <w:tc>
          <w:tcPr>
            <w:tcW w:w="810" w:type="dxa"/>
          </w:tcPr>
          <w:p w14:paraId="07EEBF0B"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0.378</w:t>
            </w:r>
          </w:p>
        </w:tc>
        <w:tc>
          <w:tcPr>
            <w:tcW w:w="900" w:type="dxa"/>
          </w:tcPr>
          <w:p w14:paraId="6D23ABC3"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0.044</w:t>
            </w:r>
          </w:p>
        </w:tc>
        <w:tc>
          <w:tcPr>
            <w:tcW w:w="900" w:type="dxa"/>
          </w:tcPr>
          <w:p w14:paraId="0C813C79"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0.047</w:t>
            </w:r>
          </w:p>
        </w:tc>
        <w:tc>
          <w:tcPr>
            <w:tcW w:w="900" w:type="dxa"/>
          </w:tcPr>
          <w:p w14:paraId="54F99F55"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0.041</w:t>
            </w:r>
          </w:p>
        </w:tc>
        <w:tc>
          <w:tcPr>
            <w:tcW w:w="900" w:type="dxa"/>
          </w:tcPr>
          <w:p w14:paraId="0762749F"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0.041</w:t>
            </w:r>
          </w:p>
        </w:tc>
        <w:tc>
          <w:tcPr>
            <w:tcW w:w="900" w:type="dxa"/>
          </w:tcPr>
          <w:p w14:paraId="6720AB16"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0.053</w:t>
            </w:r>
          </w:p>
        </w:tc>
        <w:tc>
          <w:tcPr>
            <w:tcW w:w="900" w:type="dxa"/>
          </w:tcPr>
          <w:p w14:paraId="6B505517"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0.041</w:t>
            </w:r>
          </w:p>
        </w:tc>
        <w:tc>
          <w:tcPr>
            <w:tcW w:w="900" w:type="dxa"/>
          </w:tcPr>
          <w:p w14:paraId="03DD34FE"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0.063</w:t>
            </w:r>
          </w:p>
        </w:tc>
        <w:tc>
          <w:tcPr>
            <w:tcW w:w="900" w:type="dxa"/>
          </w:tcPr>
          <w:p w14:paraId="58469B76"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0.060</w:t>
            </w:r>
          </w:p>
        </w:tc>
      </w:tr>
      <w:tr w:rsidR="00F72782" w:rsidRPr="00525FEE" w14:paraId="16F76DE5" w14:textId="77777777" w:rsidTr="005870B9">
        <w:trPr>
          <w:trHeight w:val="488"/>
        </w:trPr>
        <w:tc>
          <w:tcPr>
            <w:tcW w:w="1350" w:type="dxa"/>
          </w:tcPr>
          <w:p w14:paraId="124B2C8F" w14:textId="77777777" w:rsidR="00F72782" w:rsidRPr="00525FEE" w:rsidRDefault="00F72782" w:rsidP="0083042F">
            <w:pPr>
              <w:tabs>
                <w:tab w:val="left" w:pos="0"/>
              </w:tabs>
              <w:spacing w:line="276" w:lineRule="auto"/>
              <w:rPr>
                <w:rFonts w:ascii="Arial" w:hAnsi="Arial" w:cs="Arial"/>
                <w:sz w:val="20"/>
                <w:szCs w:val="20"/>
              </w:rPr>
            </w:pPr>
          </w:p>
        </w:tc>
        <w:tc>
          <w:tcPr>
            <w:tcW w:w="630" w:type="dxa"/>
          </w:tcPr>
          <w:p w14:paraId="68F92118" w14:textId="77777777" w:rsidR="00F72782" w:rsidRPr="00525FEE" w:rsidRDefault="00F72782" w:rsidP="0083042F">
            <w:pPr>
              <w:tabs>
                <w:tab w:val="left" w:pos="0"/>
              </w:tabs>
              <w:spacing w:line="276" w:lineRule="auto"/>
              <w:rPr>
                <w:rFonts w:ascii="Arial" w:hAnsi="Arial" w:cs="Arial"/>
                <w:sz w:val="20"/>
                <w:szCs w:val="20"/>
              </w:rPr>
            </w:pPr>
          </w:p>
        </w:tc>
        <w:tc>
          <w:tcPr>
            <w:tcW w:w="720" w:type="dxa"/>
          </w:tcPr>
          <w:p w14:paraId="387789EF"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Low</w:t>
            </w:r>
          </w:p>
        </w:tc>
        <w:tc>
          <w:tcPr>
            <w:tcW w:w="810" w:type="dxa"/>
          </w:tcPr>
          <w:p w14:paraId="5CF36519"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183.9</w:t>
            </w:r>
          </w:p>
        </w:tc>
        <w:tc>
          <w:tcPr>
            <w:tcW w:w="900" w:type="dxa"/>
          </w:tcPr>
          <w:p w14:paraId="007A50AB"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207.3</w:t>
            </w:r>
            <w:r w:rsidRPr="00525FEE">
              <w:rPr>
                <w:rFonts w:ascii="Arial" w:hAnsi="Arial" w:cs="Arial"/>
                <w:b/>
                <w:sz w:val="20"/>
                <w:szCs w:val="20"/>
                <w:vertAlign w:val="superscript"/>
              </w:rPr>
              <w:t>a</w:t>
            </w:r>
          </w:p>
        </w:tc>
        <w:tc>
          <w:tcPr>
            <w:tcW w:w="900" w:type="dxa"/>
          </w:tcPr>
          <w:p w14:paraId="6F7568C4"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229.5</w:t>
            </w:r>
            <w:r w:rsidRPr="00525FEE">
              <w:rPr>
                <w:rFonts w:ascii="Arial" w:hAnsi="Arial" w:cs="Arial"/>
                <w:b/>
                <w:sz w:val="20"/>
                <w:szCs w:val="20"/>
                <w:vertAlign w:val="superscript"/>
              </w:rPr>
              <w:t xml:space="preserve"> a</w:t>
            </w:r>
          </w:p>
        </w:tc>
        <w:tc>
          <w:tcPr>
            <w:tcW w:w="900" w:type="dxa"/>
          </w:tcPr>
          <w:p w14:paraId="06410D56"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235.4</w:t>
            </w:r>
            <w:r w:rsidRPr="00525FEE">
              <w:rPr>
                <w:rFonts w:ascii="Arial" w:hAnsi="Arial" w:cs="Arial"/>
                <w:b/>
                <w:sz w:val="20"/>
                <w:szCs w:val="20"/>
                <w:vertAlign w:val="superscript"/>
              </w:rPr>
              <w:t xml:space="preserve"> a</w:t>
            </w:r>
          </w:p>
        </w:tc>
        <w:tc>
          <w:tcPr>
            <w:tcW w:w="900" w:type="dxa"/>
          </w:tcPr>
          <w:p w14:paraId="08A94B13"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231.5</w:t>
            </w:r>
            <w:r w:rsidRPr="00525FEE">
              <w:rPr>
                <w:rFonts w:ascii="Arial" w:hAnsi="Arial" w:cs="Arial"/>
                <w:b/>
                <w:sz w:val="20"/>
                <w:szCs w:val="20"/>
                <w:vertAlign w:val="superscript"/>
              </w:rPr>
              <w:t xml:space="preserve"> a</w:t>
            </w:r>
          </w:p>
        </w:tc>
        <w:tc>
          <w:tcPr>
            <w:tcW w:w="900" w:type="dxa"/>
          </w:tcPr>
          <w:p w14:paraId="61B1DF88"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234.1</w:t>
            </w:r>
            <w:r w:rsidRPr="00525FEE">
              <w:rPr>
                <w:rFonts w:ascii="Arial" w:hAnsi="Arial" w:cs="Arial"/>
                <w:b/>
                <w:sz w:val="20"/>
                <w:szCs w:val="20"/>
                <w:vertAlign w:val="superscript"/>
              </w:rPr>
              <w:t xml:space="preserve"> a</w:t>
            </w:r>
          </w:p>
        </w:tc>
        <w:tc>
          <w:tcPr>
            <w:tcW w:w="900" w:type="dxa"/>
          </w:tcPr>
          <w:p w14:paraId="7FD9571E"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224.7</w:t>
            </w:r>
            <w:r w:rsidRPr="00525FEE">
              <w:rPr>
                <w:rFonts w:ascii="Arial" w:hAnsi="Arial" w:cs="Arial"/>
                <w:b/>
                <w:sz w:val="20"/>
                <w:szCs w:val="20"/>
                <w:vertAlign w:val="superscript"/>
              </w:rPr>
              <w:t xml:space="preserve"> a</w:t>
            </w:r>
          </w:p>
        </w:tc>
        <w:tc>
          <w:tcPr>
            <w:tcW w:w="900" w:type="dxa"/>
          </w:tcPr>
          <w:p w14:paraId="4FF01D9F"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216.5</w:t>
            </w:r>
            <w:r w:rsidRPr="00525FEE">
              <w:rPr>
                <w:rFonts w:ascii="Arial" w:hAnsi="Arial" w:cs="Arial"/>
                <w:b/>
                <w:sz w:val="20"/>
                <w:szCs w:val="20"/>
                <w:vertAlign w:val="superscript"/>
              </w:rPr>
              <w:t xml:space="preserve"> a</w:t>
            </w:r>
          </w:p>
        </w:tc>
        <w:tc>
          <w:tcPr>
            <w:tcW w:w="900" w:type="dxa"/>
          </w:tcPr>
          <w:p w14:paraId="49AD4330"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239.4</w:t>
            </w:r>
            <w:r w:rsidRPr="00525FEE">
              <w:rPr>
                <w:rFonts w:ascii="Arial" w:hAnsi="Arial" w:cs="Arial"/>
                <w:b/>
                <w:sz w:val="20"/>
                <w:szCs w:val="20"/>
                <w:vertAlign w:val="superscript"/>
              </w:rPr>
              <w:t xml:space="preserve"> a</w:t>
            </w:r>
          </w:p>
        </w:tc>
      </w:tr>
      <w:tr w:rsidR="00F72782" w:rsidRPr="00525FEE" w14:paraId="647A6B3A" w14:textId="77777777" w:rsidTr="005870B9">
        <w:trPr>
          <w:trHeight w:val="488"/>
        </w:trPr>
        <w:tc>
          <w:tcPr>
            <w:tcW w:w="1350" w:type="dxa"/>
          </w:tcPr>
          <w:p w14:paraId="2D3F9B6C" w14:textId="77777777" w:rsidR="00F72782" w:rsidRPr="00525FEE" w:rsidRDefault="00F72782" w:rsidP="0083042F">
            <w:pPr>
              <w:tabs>
                <w:tab w:val="left" w:pos="0"/>
              </w:tabs>
              <w:spacing w:line="276" w:lineRule="auto"/>
              <w:rPr>
                <w:rFonts w:ascii="Arial" w:hAnsi="Arial" w:cs="Arial"/>
                <w:sz w:val="20"/>
                <w:szCs w:val="20"/>
              </w:rPr>
            </w:pPr>
          </w:p>
        </w:tc>
        <w:tc>
          <w:tcPr>
            <w:tcW w:w="630" w:type="dxa"/>
          </w:tcPr>
          <w:p w14:paraId="7C3A3EAB" w14:textId="77777777" w:rsidR="00F72782" w:rsidRPr="00525FEE" w:rsidRDefault="00F72782" w:rsidP="0083042F">
            <w:pPr>
              <w:tabs>
                <w:tab w:val="left" w:pos="0"/>
              </w:tabs>
              <w:spacing w:line="276" w:lineRule="auto"/>
              <w:rPr>
                <w:rFonts w:ascii="Arial" w:hAnsi="Arial" w:cs="Arial"/>
                <w:sz w:val="20"/>
                <w:szCs w:val="20"/>
              </w:rPr>
            </w:pPr>
          </w:p>
        </w:tc>
        <w:tc>
          <w:tcPr>
            <w:tcW w:w="720" w:type="dxa"/>
          </w:tcPr>
          <w:p w14:paraId="61832E6A"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High</w:t>
            </w:r>
          </w:p>
        </w:tc>
        <w:tc>
          <w:tcPr>
            <w:tcW w:w="810" w:type="dxa"/>
          </w:tcPr>
          <w:p w14:paraId="009881F0"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170.2</w:t>
            </w:r>
          </w:p>
        </w:tc>
        <w:tc>
          <w:tcPr>
            <w:tcW w:w="900" w:type="dxa"/>
          </w:tcPr>
          <w:p w14:paraId="75BD771A"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172.3</w:t>
            </w:r>
            <w:r w:rsidRPr="00525FEE">
              <w:rPr>
                <w:rFonts w:ascii="Arial" w:hAnsi="Arial" w:cs="Arial"/>
                <w:b/>
                <w:sz w:val="20"/>
                <w:szCs w:val="20"/>
                <w:vertAlign w:val="superscript"/>
              </w:rPr>
              <w:t xml:space="preserve"> b</w:t>
            </w:r>
          </w:p>
        </w:tc>
        <w:tc>
          <w:tcPr>
            <w:tcW w:w="900" w:type="dxa"/>
          </w:tcPr>
          <w:p w14:paraId="008F1304"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164.4</w:t>
            </w:r>
            <w:r w:rsidRPr="00525FEE">
              <w:rPr>
                <w:rFonts w:ascii="Arial" w:hAnsi="Arial" w:cs="Arial"/>
                <w:b/>
                <w:sz w:val="20"/>
                <w:szCs w:val="20"/>
                <w:vertAlign w:val="superscript"/>
              </w:rPr>
              <w:t xml:space="preserve"> b</w:t>
            </w:r>
          </w:p>
        </w:tc>
        <w:tc>
          <w:tcPr>
            <w:tcW w:w="900" w:type="dxa"/>
          </w:tcPr>
          <w:p w14:paraId="0BD93522"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160.5</w:t>
            </w:r>
            <w:r w:rsidRPr="00525FEE">
              <w:rPr>
                <w:rFonts w:ascii="Arial" w:hAnsi="Arial" w:cs="Arial"/>
                <w:b/>
                <w:sz w:val="20"/>
                <w:szCs w:val="20"/>
                <w:vertAlign w:val="superscript"/>
              </w:rPr>
              <w:t xml:space="preserve"> b</w:t>
            </w:r>
          </w:p>
        </w:tc>
        <w:tc>
          <w:tcPr>
            <w:tcW w:w="900" w:type="dxa"/>
          </w:tcPr>
          <w:p w14:paraId="26D80111"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156.9</w:t>
            </w:r>
            <w:r w:rsidRPr="00525FEE">
              <w:rPr>
                <w:rFonts w:ascii="Arial" w:hAnsi="Arial" w:cs="Arial"/>
                <w:b/>
                <w:sz w:val="20"/>
                <w:szCs w:val="20"/>
                <w:vertAlign w:val="superscript"/>
              </w:rPr>
              <w:t xml:space="preserve"> b</w:t>
            </w:r>
          </w:p>
        </w:tc>
        <w:tc>
          <w:tcPr>
            <w:tcW w:w="900" w:type="dxa"/>
          </w:tcPr>
          <w:p w14:paraId="47ADB27E"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149.2</w:t>
            </w:r>
            <w:r w:rsidRPr="00525FEE">
              <w:rPr>
                <w:rFonts w:ascii="Arial" w:hAnsi="Arial" w:cs="Arial"/>
                <w:b/>
                <w:sz w:val="20"/>
                <w:szCs w:val="20"/>
                <w:vertAlign w:val="superscript"/>
              </w:rPr>
              <w:t xml:space="preserve"> b</w:t>
            </w:r>
          </w:p>
        </w:tc>
        <w:tc>
          <w:tcPr>
            <w:tcW w:w="900" w:type="dxa"/>
          </w:tcPr>
          <w:p w14:paraId="6DA56EA4"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158.5</w:t>
            </w:r>
            <w:r w:rsidRPr="00525FEE">
              <w:rPr>
                <w:rFonts w:ascii="Arial" w:hAnsi="Arial" w:cs="Arial"/>
                <w:b/>
                <w:sz w:val="20"/>
                <w:szCs w:val="20"/>
                <w:vertAlign w:val="superscript"/>
              </w:rPr>
              <w:t xml:space="preserve"> b</w:t>
            </w:r>
          </w:p>
        </w:tc>
        <w:tc>
          <w:tcPr>
            <w:tcW w:w="900" w:type="dxa"/>
          </w:tcPr>
          <w:p w14:paraId="7E926A15"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153.5</w:t>
            </w:r>
            <w:r w:rsidRPr="00525FEE">
              <w:rPr>
                <w:rFonts w:ascii="Arial" w:hAnsi="Arial" w:cs="Arial"/>
                <w:b/>
                <w:sz w:val="20"/>
                <w:szCs w:val="20"/>
                <w:vertAlign w:val="superscript"/>
              </w:rPr>
              <w:t xml:space="preserve"> b</w:t>
            </w:r>
          </w:p>
        </w:tc>
        <w:tc>
          <w:tcPr>
            <w:tcW w:w="900" w:type="dxa"/>
          </w:tcPr>
          <w:p w14:paraId="51FCA608"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156.7</w:t>
            </w:r>
            <w:r w:rsidRPr="00525FEE">
              <w:rPr>
                <w:rFonts w:ascii="Arial" w:hAnsi="Arial" w:cs="Arial"/>
                <w:b/>
                <w:sz w:val="20"/>
                <w:szCs w:val="20"/>
                <w:vertAlign w:val="superscript"/>
              </w:rPr>
              <w:t xml:space="preserve"> b</w:t>
            </w:r>
          </w:p>
        </w:tc>
      </w:tr>
      <w:tr w:rsidR="00F72782" w:rsidRPr="00525FEE" w14:paraId="28FFDAAA" w14:textId="77777777" w:rsidTr="005870B9">
        <w:trPr>
          <w:trHeight w:val="488"/>
        </w:trPr>
        <w:tc>
          <w:tcPr>
            <w:tcW w:w="1350" w:type="dxa"/>
          </w:tcPr>
          <w:p w14:paraId="4770869B" w14:textId="77777777" w:rsidR="00F72782" w:rsidRPr="00525FEE" w:rsidRDefault="00F72782" w:rsidP="0083042F">
            <w:pPr>
              <w:tabs>
                <w:tab w:val="left" w:pos="0"/>
              </w:tabs>
              <w:spacing w:line="276" w:lineRule="auto"/>
              <w:rPr>
                <w:rFonts w:ascii="Arial" w:hAnsi="Arial" w:cs="Arial"/>
                <w:b/>
                <w:sz w:val="20"/>
                <w:szCs w:val="20"/>
              </w:rPr>
            </w:pPr>
            <w:r w:rsidRPr="00525FEE">
              <w:rPr>
                <w:rFonts w:ascii="Arial" w:hAnsi="Arial" w:cs="Arial"/>
                <w:b/>
                <w:sz w:val="20"/>
                <w:szCs w:val="20"/>
              </w:rPr>
              <w:t>SEM</w:t>
            </w:r>
          </w:p>
        </w:tc>
        <w:tc>
          <w:tcPr>
            <w:tcW w:w="630" w:type="dxa"/>
          </w:tcPr>
          <w:p w14:paraId="42E8CFC9" w14:textId="77777777" w:rsidR="00F72782" w:rsidRPr="00525FEE" w:rsidRDefault="00F72782" w:rsidP="0083042F">
            <w:pPr>
              <w:tabs>
                <w:tab w:val="left" w:pos="0"/>
              </w:tabs>
              <w:spacing w:line="276" w:lineRule="auto"/>
              <w:rPr>
                <w:rFonts w:ascii="Arial" w:hAnsi="Arial" w:cs="Arial"/>
                <w:sz w:val="20"/>
                <w:szCs w:val="20"/>
              </w:rPr>
            </w:pPr>
          </w:p>
        </w:tc>
        <w:tc>
          <w:tcPr>
            <w:tcW w:w="720" w:type="dxa"/>
          </w:tcPr>
          <w:p w14:paraId="787825F0" w14:textId="77777777" w:rsidR="00F72782" w:rsidRPr="00525FEE" w:rsidRDefault="00F72782" w:rsidP="0083042F">
            <w:pPr>
              <w:tabs>
                <w:tab w:val="left" w:pos="0"/>
              </w:tabs>
              <w:spacing w:line="276" w:lineRule="auto"/>
              <w:rPr>
                <w:rFonts w:ascii="Arial" w:hAnsi="Arial" w:cs="Arial"/>
                <w:sz w:val="20"/>
                <w:szCs w:val="20"/>
              </w:rPr>
            </w:pPr>
          </w:p>
        </w:tc>
        <w:tc>
          <w:tcPr>
            <w:tcW w:w="810" w:type="dxa"/>
          </w:tcPr>
          <w:p w14:paraId="345452D0"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0.378</w:t>
            </w:r>
          </w:p>
        </w:tc>
        <w:tc>
          <w:tcPr>
            <w:tcW w:w="900" w:type="dxa"/>
          </w:tcPr>
          <w:p w14:paraId="21F9BB53"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0.044</w:t>
            </w:r>
          </w:p>
        </w:tc>
        <w:tc>
          <w:tcPr>
            <w:tcW w:w="900" w:type="dxa"/>
          </w:tcPr>
          <w:p w14:paraId="049416C1"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0.047</w:t>
            </w:r>
          </w:p>
        </w:tc>
        <w:tc>
          <w:tcPr>
            <w:tcW w:w="900" w:type="dxa"/>
          </w:tcPr>
          <w:p w14:paraId="4039950C"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0.041</w:t>
            </w:r>
          </w:p>
        </w:tc>
        <w:tc>
          <w:tcPr>
            <w:tcW w:w="900" w:type="dxa"/>
          </w:tcPr>
          <w:p w14:paraId="7C17CA44"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0.041</w:t>
            </w:r>
          </w:p>
        </w:tc>
        <w:tc>
          <w:tcPr>
            <w:tcW w:w="900" w:type="dxa"/>
          </w:tcPr>
          <w:p w14:paraId="37B79BE6"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0.051</w:t>
            </w:r>
          </w:p>
        </w:tc>
        <w:tc>
          <w:tcPr>
            <w:tcW w:w="900" w:type="dxa"/>
          </w:tcPr>
          <w:p w14:paraId="19E49083"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0.043</w:t>
            </w:r>
          </w:p>
        </w:tc>
        <w:tc>
          <w:tcPr>
            <w:tcW w:w="900" w:type="dxa"/>
          </w:tcPr>
          <w:p w14:paraId="7088AFC7"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0.063</w:t>
            </w:r>
          </w:p>
        </w:tc>
        <w:tc>
          <w:tcPr>
            <w:tcW w:w="900" w:type="dxa"/>
          </w:tcPr>
          <w:p w14:paraId="46CC5C5B"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0.060</w:t>
            </w:r>
          </w:p>
        </w:tc>
      </w:tr>
      <w:tr w:rsidR="00F72782" w:rsidRPr="00525FEE" w14:paraId="2195A513" w14:textId="77777777" w:rsidTr="005870B9">
        <w:trPr>
          <w:trHeight w:val="488"/>
        </w:trPr>
        <w:tc>
          <w:tcPr>
            <w:tcW w:w="1350" w:type="dxa"/>
          </w:tcPr>
          <w:p w14:paraId="7A7469CC" w14:textId="77777777" w:rsidR="00F72782" w:rsidRPr="00525FEE" w:rsidRDefault="00F72782" w:rsidP="0083042F">
            <w:pPr>
              <w:tabs>
                <w:tab w:val="left" w:pos="0"/>
              </w:tabs>
              <w:spacing w:line="276" w:lineRule="auto"/>
              <w:rPr>
                <w:rFonts w:ascii="Arial" w:hAnsi="Arial" w:cs="Arial"/>
                <w:b/>
                <w:sz w:val="20"/>
                <w:szCs w:val="20"/>
              </w:rPr>
            </w:pPr>
            <w:r w:rsidRPr="00525FEE">
              <w:rPr>
                <w:rFonts w:ascii="Arial" w:hAnsi="Arial" w:cs="Arial"/>
                <w:b/>
                <w:sz w:val="20"/>
                <w:szCs w:val="20"/>
              </w:rPr>
              <w:t>Interactions</w:t>
            </w:r>
          </w:p>
        </w:tc>
        <w:tc>
          <w:tcPr>
            <w:tcW w:w="630" w:type="dxa"/>
          </w:tcPr>
          <w:p w14:paraId="5F0BA03B" w14:textId="77777777" w:rsidR="00F72782" w:rsidRPr="00525FEE" w:rsidRDefault="00F72782" w:rsidP="0083042F">
            <w:pPr>
              <w:tabs>
                <w:tab w:val="left" w:pos="0"/>
              </w:tabs>
              <w:spacing w:line="276" w:lineRule="auto"/>
              <w:rPr>
                <w:rFonts w:ascii="Arial" w:hAnsi="Arial" w:cs="Arial"/>
                <w:sz w:val="20"/>
                <w:szCs w:val="20"/>
              </w:rPr>
            </w:pPr>
          </w:p>
        </w:tc>
        <w:tc>
          <w:tcPr>
            <w:tcW w:w="720" w:type="dxa"/>
          </w:tcPr>
          <w:p w14:paraId="5C0EF1A4" w14:textId="77777777" w:rsidR="00F72782" w:rsidRPr="00525FEE" w:rsidRDefault="00F72782" w:rsidP="0083042F">
            <w:pPr>
              <w:tabs>
                <w:tab w:val="left" w:pos="0"/>
              </w:tabs>
              <w:spacing w:line="276" w:lineRule="auto"/>
              <w:rPr>
                <w:rFonts w:ascii="Arial" w:hAnsi="Arial" w:cs="Arial"/>
                <w:sz w:val="20"/>
                <w:szCs w:val="20"/>
              </w:rPr>
            </w:pPr>
          </w:p>
        </w:tc>
        <w:tc>
          <w:tcPr>
            <w:tcW w:w="810" w:type="dxa"/>
          </w:tcPr>
          <w:p w14:paraId="4459043C"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26043B9A"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0B6F5991"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49CBC241"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28E80265"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67B09ACE"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7D2FC0ED"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2C093A1C"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7907214E" w14:textId="77777777" w:rsidR="00F72782" w:rsidRPr="00525FEE" w:rsidRDefault="00F72782" w:rsidP="0083042F">
            <w:pPr>
              <w:tabs>
                <w:tab w:val="left" w:pos="0"/>
              </w:tabs>
              <w:spacing w:line="276" w:lineRule="auto"/>
              <w:rPr>
                <w:rFonts w:ascii="Arial" w:hAnsi="Arial" w:cs="Arial"/>
                <w:sz w:val="20"/>
                <w:szCs w:val="20"/>
              </w:rPr>
            </w:pPr>
          </w:p>
        </w:tc>
      </w:tr>
      <w:tr w:rsidR="00F72782" w:rsidRPr="00525FEE" w14:paraId="07D3FAF3" w14:textId="77777777" w:rsidTr="005870B9">
        <w:trPr>
          <w:trHeight w:val="488"/>
        </w:trPr>
        <w:tc>
          <w:tcPr>
            <w:tcW w:w="1350" w:type="dxa"/>
          </w:tcPr>
          <w:p w14:paraId="04EA8792"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Low x low</w:t>
            </w:r>
          </w:p>
        </w:tc>
        <w:tc>
          <w:tcPr>
            <w:tcW w:w="630" w:type="dxa"/>
          </w:tcPr>
          <w:p w14:paraId="345FB253" w14:textId="77777777" w:rsidR="00F72782" w:rsidRPr="00525FEE" w:rsidRDefault="00F72782" w:rsidP="0083042F">
            <w:pPr>
              <w:tabs>
                <w:tab w:val="left" w:pos="0"/>
              </w:tabs>
              <w:spacing w:line="276" w:lineRule="auto"/>
              <w:rPr>
                <w:rFonts w:ascii="Arial" w:hAnsi="Arial" w:cs="Arial"/>
                <w:sz w:val="20"/>
                <w:szCs w:val="20"/>
              </w:rPr>
            </w:pPr>
          </w:p>
        </w:tc>
        <w:tc>
          <w:tcPr>
            <w:tcW w:w="720" w:type="dxa"/>
          </w:tcPr>
          <w:p w14:paraId="5648DC2A" w14:textId="77777777" w:rsidR="00F72782" w:rsidRPr="00525FEE" w:rsidRDefault="00F72782" w:rsidP="0083042F">
            <w:pPr>
              <w:tabs>
                <w:tab w:val="left" w:pos="0"/>
              </w:tabs>
              <w:spacing w:line="276" w:lineRule="auto"/>
              <w:rPr>
                <w:rFonts w:ascii="Arial" w:hAnsi="Arial" w:cs="Arial"/>
                <w:sz w:val="20"/>
                <w:szCs w:val="20"/>
              </w:rPr>
            </w:pPr>
          </w:p>
        </w:tc>
        <w:tc>
          <w:tcPr>
            <w:tcW w:w="810" w:type="dxa"/>
          </w:tcPr>
          <w:p w14:paraId="44331212"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184.3</w:t>
            </w:r>
          </w:p>
        </w:tc>
        <w:tc>
          <w:tcPr>
            <w:tcW w:w="900" w:type="dxa"/>
          </w:tcPr>
          <w:p w14:paraId="76491C12"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204.3</w:t>
            </w:r>
          </w:p>
        </w:tc>
        <w:tc>
          <w:tcPr>
            <w:tcW w:w="900" w:type="dxa"/>
          </w:tcPr>
          <w:p w14:paraId="6DC6CF14"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233.3</w:t>
            </w:r>
          </w:p>
        </w:tc>
        <w:tc>
          <w:tcPr>
            <w:tcW w:w="900" w:type="dxa"/>
          </w:tcPr>
          <w:p w14:paraId="7F032BDF"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239.1</w:t>
            </w:r>
          </w:p>
        </w:tc>
        <w:tc>
          <w:tcPr>
            <w:tcW w:w="900" w:type="dxa"/>
          </w:tcPr>
          <w:p w14:paraId="37B702B9"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242.5</w:t>
            </w:r>
          </w:p>
        </w:tc>
        <w:tc>
          <w:tcPr>
            <w:tcW w:w="900" w:type="dxa"/>
          </w:tcPr>
          <w:p w14:paraId="02F03EAA"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241.9</w:t>
            </w:r>
          </w:p>
        </w:tc>
        <w:tc>
          <w:tcPr>
            <w:tcW w:w="900" w:type="dxa"/>
          </w:tcPr>
          <w:p w14:paraId="55A0AFDC"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232.2</w:t>
            </w:r>
          </w:p>
        </w:tc>
        <w:tc>
          <w:tcPr>
            <w:tcW w:w="900" w:type="dxa"/>
          </w:tcPr>
          <w:p w14:paraId="10877C4B"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236.8</w:t>
            </w:r>
          </w:p>
        </w:tc>
        <w:tc>
          <w:tcPr>
            <w:tcW w:w="900" w:type="dxa"/>
          </w:tcPr>
          <w:p w14:paraId="38B80CE8"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276.5</w:t>
            </w:r>
          </w:p>
        </w:tc>
      </w:tr>
      <w:tr w:rsidR="00F72782" w:rsidRPr="00525FEE" w14:paraId="2B288F9D" w14:textId="77777777" w:rsidTr="005870B9">
        <w:trPr>
          <w:trHeight w:val="488"/>
        </w:trPr>
        <w:tc>
          <w:tcPr>
            <w:tcW w:w="1350" w:type="dxa"/>
          </w:tcPr>
          <w:p w14:paraId="6A4EE782"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Low x high</w:t>
            </w:r>
          </w:p>
        </w:tc>
        <w:tc>
          <w:tcPr>
            <w:tcW w:w="630" w:type="dxa"/>
          </w:tcPr>
          <w:p w14:paraId="70145F02" w14:textId="77777777" w:rsidR="00F72782" w:rsidRPr="00525FEE" w:rsidRDefault="00F72782" w:rsidP="0083042F">
            <w:pPr>
              <w:tabs>
                <w:tab w:val="left" w:pos="0"/>
              </w:tabs>
              <w:spacing w:line="276" w:lineRule="auto"/>
              <w:rPr>
                <w:rFonts w:ascii="Arial" w:hAnsi="Arial" w:cs="Arial"/>
                <w:sz w:val="20"/>
                <w:szCs w:val="20"/>
              </w:rPr>
            </w:pPr>
          </w:p>
        </w:tc>
        <w:tc>
          <w:tcPr>
            <w:tcW w:w="720" w:type="dxa"/>
          </w:tcPr>
          <w:p w14:paraId="588DC86F" w14:textId="77777777" w:rsidR="00F72782" w:rsidRPr="00525FEE" w:rsidRDefault="00F72782" w:rsidP="0083042F">
            <w:pPr>
              <w:tabs>
                <w:tab w:val="left" w:pos="0"/>
              </w:tabs>
              <w:spacing w:line="276" w:lineRule="auto"/>
              <w:rPr>
                <w:rFonts w:ascii="Arial" w:hAnsi="Arial" w:cs="Arial"/>
                <w:sz w:val="20"/>
                <w:szCs w:val="20"/>
              </w:rPr>
            </w:pPr>
          </w:p>
        </w:tc>
        <w:tc>
          <w:tcPr>
            <w:tcW w:w="810" w:type="dxa"/>
          </w:tcPr>
          <w:p w14:paraId="524F3C24"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177.7</w:t>
            </w:r>
          </w:p>
        </w:tc>
        <w:tc>
          <w:tcPr>
            <w:tcW w:w="900" w:type="dxa"/>
          </w:tcPr>
          <w:p w14:paraId="44C3078C"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183.6</w:t>
            </w:r>
          </w:p>
        </w:tc>
        <w:tc>
          <w:tcPr>
            <w:tcW w:w="900" w:type="dxa"/>
          </w:tcPr>
          <w:p w14:paraId="090550DE"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172.2</w:t>
            </w:r>
          </w:p>
        </w:tc>
        <w:tc>
          <w:tcPr>
            <w:tcW w:w="900" w:type="dxa"/>
          </w:tcPr>
          <w:p w14:paraId="2BFC014F"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171.1</w:t>
            </w:r>
          </w:p>
        </w:tc>
        <w:tc>
          <w:tcPr>
            <w:tcW w:w="900" w:type="dxa"/>
          </w:tcPr>
          <w:p w14:paraId="7DCAF110"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169.1</w:t>
            </w:r>
          </w:p>
        </w:tc>
        <w:tc>
          <w:tcPr>
            <w:tcW w:w="900" w:type="dxa"/>
          </w:tcPr>
          <w:p w14:paraId="6D8EE9F2"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162.8</w:t>
            </w:r>
          </w:p>
        </w:tc>
        <w:tc>
          <w:tcPr>
            <w:tcW w:w="900" w:type="dxa"/>
          </w:tcPr>
          <w:p w14:paraId="1EB1E1ED"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156.3</w:t>
            </w:r>
          </w:p>
        </w:tc>
        <w:tc>
          <w:tcPr>
            <w:tcW w:w="900" w:type="dxa"/>
          </w:tcPr>
          <w:p w14:paraId="29350210"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156.7</w:t>
            </w:r>
          </w:p>
        </w:tc>
        <w:tc>
          <w:tcPr>
            <w:tcW w:w="900" w:type="dxa"/>
          </w:tcPr>
          <w:p w14:paraId="719CE5CB"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176.3</w:t>
            </w:r>
          </w:p>
        </w:tc>
      </w:tr>
      <w:tr w:rsidR="00F72782" w:rsidRPr="00525FEE" w14:paraId="0657DF7B" w14:textId="77777777" w:rsidTr="005870B9">
        <w:trPr>
          <w:trHeight w:val="488"/>
        </w:trPr>
        <w:tc>
          <w:tcPr>
            <w:tcW w:w="1350" w:type="dxa"/>
          </w:tcPr>
          <w:p w14:paraId="4E1A3F0B"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High x low</w:t>
            </w:r>
          </w:p>
        </w:tc>
        <w:tc>
          <w:tcPr>
            <w:tcW w:w="630" w:type="dxa"/>
          </w:tcPr>
          <w:p w14:paraId="5FF16DFF" w14:textId="77777777" w:rsidR="00F72782" w:rsidRPr="00525FEE" w:rsidRDefault="00F72782" w:rsidP="0083042F">
            <w:pPr>
              <w:tabs>
                <w:tab w:val="left" w:pos="0"/>
              </w:tabs>
              <w:spacing w:line="276" w:lineRule="auto"/>
              <w:rPr>
                <w:rFonts w:ascii="Arial" w:hAnsi="Arial" w:cs="Arial"/>
                <w:sz w:val="20"/>
                <w:szCs w:val="20"/>
              </w:rPr>
            </w:pPr>
          </w:p>
        </w:tc>
        <w:tc>
          <w:tcPr>
            <w:tcW w:w="720" w:type="dxa"/>
          </w:tcPr>
          <w:p w14:paraId="4C15CA25" w14:textId="77777777" w:rsidR="00F72782" w:rsidRPr="00525FEE" w:rsidRDefault="00F72782" w:rsidP="0083042F">
            <w:pPr>
              <w:tabs>
                <w:tab w:val="left" w:pos="0"/>
              </w:tabs>
              <w:spacing w:line="276" w:lineRule="auto"/>
              <w:rPr>
                <w:rFonts w:ascii="Arial" w:hAnsi="Arial" w:cs="Arial"/>
                <w:sz w:val="20"/>
                <w:szCs w:val="20"/>
              </w:rPr>
            </w:pPr>
          </w:p>
        </w:tc>
        <w:tc>
          <w:tcPr>
            <w:tcW w:w="810" w:type="dxa"/>
          </w:tcPr>
          <w:p w14:paraId="7AF8C69A"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183.5</w:t>
            </w:r>
          </w:p>
        </w:tc>
        <w:tc>
          <w:tcPr>
            <w:tcW w:w="900" w:type="dxa"/>
          </w:tcPr>
          <w:p w14:paraId="34E807FE"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210.4</w:t>
            </w:r>
          </w:p>
        </w:tc>
        <w:tc>
          <w:tcPr>
            <w:tcW w:w="900" w:type="dxa"/>
          </w:tcPr>
          <w:p w14:paraId="44877377"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225.7</w:t>
            </w:r>
          </w:p>
        </w:tc>
        <w:tc>
          <w:tcPr>
            <w:tcW w:w="900" w:type="dxa"/>
          </w:tcPr>
          <w:p w14:paraId="1B656E0E"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231.8</w:t>
            </w:r>
          </w:p>
        </w:tc>
        <w:tc>
          <w:tcPr>
            <w:tcW w:w="900" w:type="dxa"/>
          </w:tcPr>
          <w:p w14:paraId="1D3BD00D"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221.0</w:t>
            </w:r>
          </w:p>
        </w:tc>
        <w:tc>
          <w:tcPr>
            <w:tcW w:w="900" w:type="dxa"/>
          </w:tcPr>
          <w:p w14:paraId="1AA948B5"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226.5</w:t>
            </w:r>
          </w:p>
        </w:tc>
        <w:tc>
          <w:tcPr>
            <w:tcW w:w="900" w:type="dxa"/>
          </w:tcPr>
          <w:p w14:paraId="6B571441"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217.4</w:t>
            </w:r>
          </w:p>
        </w:tc>
        <w:tc>
          <w:tcPr>
            <w:tcW w:w="900" w:type="dxa"/>
          </w:tcPr>
          <w:p w14:paraId="06B0ECEA"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198.0</w:t>
            </w:r>
          </w:p>
        </w:tc>
        <w:tc>
          <w:tcPr>
            <w:tcW w:w="900" w:type="dxa"/>
          </w:tcPr>
          <w:p w14:paraId="4C7D84AE"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207.3</w:t>
            </w:r>
          </w:p>
        </w:tc>
      </w:tr>
      <w:tr w:rsidR="00F72782" w:rsidRPr="00525FEE" w14:paraId="779853D9" w14:textId="77777777" w:rsidTr="005870B9">
        <w:trPr>
          <w:trHeight w:val="488"/>
        </w:trPr>
        <w:tc>
          <w:tcPr>
            <w:tcW w:w="1350" w:type="dxa"/>
          </w:tcPr>
          <w:p w14:paraId="7425241C"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High x high</w:t>
            </w:r>
          </w:p>
        </w:tc>
        <w:tc>
          <w:tcPr>
            <w:tcW w:w="630" w:type="dxa"/>
          </w:tcPr>
          <w:p w14:paraId="4FE72960" w14:textId="77777777" w:rsidR="00F72782" w:rsidRPr="00525FEE" w:rsidRDefault="00F72782" w:rsidP="0083042F">
            <w:pPr>
              <w:tabs>
                <w:tab w:val="left" w:pos="0"/>
              </w:tabs>
              <w:spacing w:line="276" w:lineRule="auto"/>
              <w:rPr>
                <w:rFonts w:ascii="Arial" w:hAnsi="Arial" w:cs="Arial"/>
                <w:sz w:val="20"/>
                <w:szCs w:val="20"/>
              </w:rPr>
            </w:pPr>
          </w:p>
        </w:tc>
        <w:tc>
          <w:tcPr>
            <w:tcW w:w="720" w:type="dxa"/>
          </w:tcPr>
          <w:p w14:paraId="722B3498" w14:textId="77777777" w:rsidR="00F72782" w:rsidRPr="00525FEE" w:rsidRDefault="00F72782" w:rsidP="0083042F">
            <w:pPr>
              <w:tabs>
                <w:tab w:val="left" w:pos="0"/>
              </w:tabs>
              <w:spacing w:line="276" w:lineRule="auto"/>
              <w:rPr>
                <w:rFonts w:ascii="Arial" w:hAnsi="Arial" w:cs="Arial"/>
                <w:sz w:val="20"/>
                <w:szCs w:val="20"/>
              </w:rPr>
            </w:pPr>
          </w:p>
        </w:tc>
        <w:tc>
          <w:tcPr>
            <w:tcW w:w="810" w:type="dxa"/>
          </w:tcPr>
          <w:p w14:paraId="7E8D9A8F"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163.0</w:t>
            </w:r>
          </w:p>
        </w:tc>
        <w:tc>
          <w:tcPr>
            <w:tcW w:w="900" w:type="dxa"/>
          </w:tcPr>
          <w:p w14:paraId="196F5D28"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161.7</w:t>
            </w:r>
          </w:p>
        </w:tc>
        <w:tc>
          <w:tcPr>
            <w:tcW w:w="900" w:type="dxa"/>
          </w:tcPr>
          <w:p w14:paraId="60558F16"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157.0</w:t>
            </w:r>
          </w:p>
        </w:tc>
        <w:tc>
          <w:tcPr>
            <w:tcW w:w="900" w:type="dxa"/>
          </w:tcPr>
          <w:p w14:paraId="4D5F2ABD"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150.5</w:t>
            </w:r>
          </w:p>
        </w:tc>
        <w:tc>
          <w:tcPr>
            <w:tcW w:w="900" w:type="dxa"/>
          </w:tcPr>
          <w:p w14:paraId="56F77624"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145.6</w:t>
            </w:r>
          </w:p>
        </w:tc>
        <w:tc>
          <w:tcPr>
            <w:tcW w:w="900" w:type="dxa"/>
          </w:tcPr>
          <w:p w14:paraId="6E7C28FA"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136.6</w:t>
            </w:r>
          </w:p>
        </w:tc>
        <w:tc>
          <w:tcPr>
            <w:tcW w:w="900" w:type="dxa"/>
          </w:tcPr>
          <w:p w14:paraId="2C3D0039"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160.8</w:t>
            </w:r>
          </w:p>
        </w:tc>
        <w:tc>
          <w:tcPr>
            <w:tcW w:w="900" w:type="dxa"/>
          </w:tcPr>
          <w:p w14:paraId="3B3E58DC"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149.5</w:t>
            </w:r>
          </w:p>
        </w:tc>
        <w:tc>
          <w:tcPr>
            <w:tcW w:w="900" w:type="dxa"/>
          </w:tcPr>
          <w:p w14:paraId="61E3B4B4"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139.3</w:t>
            </w:r>
          </w:p>
        </w:tc>
      </w:tr>
      <w:tr w:rsidR="00F72782" w:rsidRPr="00525FEE" w14:paraId="6102BE6B" w14:textId="77777777" w:rsidTr="005870B9">
        <w:trPr>
          <w:trHeight w:val="488"/>
        </w:trPr>
        <w:tc>
          <w:tcPr>
            <w:tcW w:w="1350" w:type="dxa"/>
          </w:tcPr>
          <w:p w14:paraId="29D5B2B4"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b/>
                <w:sz w:val="20"/>
                <w:szCs w:val="20"/>
              </w:rPr>
              <w:t>SEM</w:t>
            </w:r>
          </w:p>
        </w:tc>
        <w:tc>
          <w:tcPr>
            <w:tcW w:w="630" w:type="dxa"/>
          </w:tcPr>
          <w:p w14:paraId="06357B6F" w14:textId="77777777" w:rsidR="00F72782" w:rsidRPr="00525FEE" w:rsidRDefault="00F72782" w:rsidP="0083042F">
            <w:pPr>
              <w:tabs>
                <w:tab w:val="left" w:pos="0"/>
              </w:tabs>
              <w:spacing w:line="276" w:lineRule="auto"/>
              <w:rPr>
                <w:rFonts w:ascii="Arial" w:hAnsi="Arial" w:cs="Arial"/>
                <w:sz w:val="20"/>
                <w:szCs w:val="20"/>
              </w:rPr>
            </w:pPr>
          </w:p>
        </w:tc>
        <w:tc>
          <w:tcPr>
            <w:tcW w:w="720" w:type="dxa"/>
          </w:tcPr>
          <w:p w14:paraId="4CCD1535" w14:textId="77777777" w:rsidR="00F72782" w:rsidRPr="00525FEE" w:rsidRDefault="00F72782" w:rsidP="0083042F">
            <w:pPr>
              <w:tabs>
                <w:tab w:val="left" w:pos="0"/>
              </w:tabs>
              <w:spacing w:line="276" w:lineRule="auto"/>
              <w:rPr>
                <w:rFonts w:ascii="Arial" w:hAnsi="Arial" w:cs="Arial"/>
                <w:sz w:val="20"/>
                <w:szCs w:val="20"/>
              </w:rPr>
            </w:pPr>
          </w:p>
        </w:tc>
        <w:tc>
          <w:tcPr>
            <w:tcW w:w="810" w:type="dxa"/>
          </w:tcPr>
          <w:p w14:paraId="72B381D2"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0.054</w:t>
            </w:r>
          </w:p>
        </w:tc>
        <w:tc>
          <w:tcPr>
            <w:tcW w:w="900" w:type="dxa"/>
          </w:tcPr>
          <w:p w14:paraId="6B8840E2"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0.063</w:t>
            </w:r>
          </w:p>
        </w:tc>
        <w:tc>
          <w:tcPr>
            <w:tcW w:w="900" w:type="dxa"/>
          </w:tcPr>
          <w:p w14:paraId="652E1802"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0.069</w:t>
            </w:r>
          </w:p>
        </w:tc>
        <w:tc>
          <w:tcPr>
            <w:tcW w:w="900" w:type="dxa"/>
          </w:tcPr>
          <w:p w14:paraId="345BF2F2"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0.057</w:t>
            </w:r>
          </w:p>
        </w:tc>
        <w:tc>
          <w:tcPr>
            <w:tcW w:w="900" w:type="dxa"/>
          </w:tcPr>
          <w:p w14:paraId="46840F2C"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0.058</w:t>
            </w:r>
          </w:p>
        </w:tc>
        <w:tc>
          <w:tcPr>
            <w:tcW w:w="900" w:type="dxa"/>
          </w:tcPr>
          <w:p w14:paraId="5346DBFB"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0.072</w:t>
            </w:r>
          </w:p>
        </w:tc>
        <w:tc>
          <w:tcPr>
            <w:tcW w:w="900" w:type="dxa"/>
          </w:tcPr>
          <w:p w14:paraId="60721395"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0.061</w:t>
            </w:r>
          </w:p>
        </w:tc>
        <w:tc>
          <w:tcPr>
            <w:tcW w:w="900" w:type="dxa"/>
          </w:tcPr>
          <w:p w14:paraId="13662E72"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0.084</w:t>
            </w:r>
          </w:p>
        </w:tc>
        <w:tc>
          <w:tcPr>
            <w:tcW w:w="900" w:type="dxa"/>
          </w:tcPr>
          <w:p w14:paraId="521093CB"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0.085</w:t>
            </w:r>
          </w:p>
        </w:tc>
      </w:tr>
      <w:tr w:rsidR="00F72782" w:rsidRPr="00525FEE" w14:paraId="558BFB75" w14:textId="77777777" w:rsidTr="005870B9">
        <w:trPr>
          <w:trHeight w:val="488"/>
        </w:trPr>
        <w:tc>
          <w:tcPr>
            <w:tcW w:w="1350" w:type="dxa"/>
          </w:tcPr>
          <w:p w14:paraId="414FE962" w14:textId="77777777" w:rsidR="00F72782" w:rsidRPr="00525FEE" w:rsidRDefault="00F72782" w:rsidP="0083042F">
            <w:pPr>
              <w:tabs>
                <w:tab w:val="left" w:pos="0"/>
              </w:tabs>
              <w:spacing w:line="276" w:lineRule="auto"/>
              <w:rPr>
                <w:rFonts w:ascii="Arial" w:hAnsi="Arial" w:cs="Arial"/>
                <w:b/>
                <w:sz w:val="20"/>
                <w:szCs w:val="20"/>
              </w:rPr>
            </w:pPr>
            <w:r w:rsidRPr="00525FEE">
              <w:rPr>
                <w:rFonts w:ascii="Arial" w:hAnsi="Arial" w:cs="Arial"/>
                <w:b/>
                <w:sz w:val="20"/>
                <w:szCs w:val="20"/>
              </w:rPr>
              <w:t>P- value</w:t>
            </w:r>
          </w:p>
        </w:tc>
        <w:tc>
          <w:tcPr>
            <w:tcW w:w="630" w:type="dxa"/>
          </w:tcPr>
          <w:p w14:paraId="31B93EA0" w14:textId="77777777" w:rsidR="00F72782" w:rsidRPr="00525FEE" w:rsidRDefault="00F72782" w:rsidP="0083042F">
            <w:pPr>
              <w:tabs>
                <w:tab w:val="left" w:pos="0"/>
              </w:tabs>
              <w:spacing w:line="276" w:lineRule="auto"/>
              <w:rPr>
                <w:rFonts w:ascii="Arial" w:hAnsi="Arial" w:cs="Arial"/>
                <w:sz w:val="20"/>
                <w:szCs w:val="20"/>
              </w:rPr>
            </w:pPr>
          </w:p>
        </w:tc>
        <w:tc>
          <w:tcPr>
            <w:tcW w:w="720" w:type="dxa"/>
          </w:tcPr>
          <w:p w14:paraId="2AA45ACA" w14:textId="77777777" w:rsidR="00F72782" w:rsidRPr="00525FEE" w:rsidRDefault="00F72782" w:rsidP="0083042F">
            <w:pPr>
              <w:tabs>
                <w:tab w:val="left" w:pos="0"/>
              </w:tabs>
              <w:spacing w:line="276" w:lineRule="auto"/>
              <w:rPr>
                <w:rFonts w:ascii="Arial" w:hAnsi="Arial" w:cs="Arial"/>
                <w:sz w:val="20"/>
                <w:szCs w:val="20"/>
              </w:rPr>
            </w:pPr>
          </w:p>
        </w:tc>
        <w:tc>
          <w:tcPr>
            <w:tcW w:w="810" w:type="dxa"/>
          </w:tcPr>
          <w:p w14:paraId="7E3BC8FA"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569A179B"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708867A7"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3BFD6369"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02DB82CC"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3A3582CF"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31E8099B"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2DC557F3" w14:textId="77777777" w:rsidR="00F72782" w:rsidRPr="00525FEE" w:rsidRDefault="00F72782" w:rsidP="0083042F">
            <w:pPr>
              <w:tabs>
                <w:tab w:val="left" w:pos="0"/>
              </w:tabs>
              <w:spacing w:line="276" w:lineRule="auto"/>
              <w:rPr>
                <w:rFonts w:ascii="Arial" w:hAnsi="Arial" w:cs="Arial"/>
                <w:sz w:val="20"/>
                <w:szCs w:val="20"/>
              </w:rPr>
            </w:pPr>
          </w:p>
        </w:tc>
        <w:tc>
          <w:tcPr>
            <w:tcW w:w="900" w:type="dxa"/>
          </w:tcPr>
          <w:p w14:paraId="06CBDA8D" w14:textId="77777777" w:rsidR="00F72782" w:rsidRPr="00525FEE" w:rsidRDefault="00F72782" w:rsidP="0083042F">
            <w:pPr>
              <w:tabs>
                <w:tab w:val="left" w:pos="0"/>
              </w:tabs>
              <w:spacing w:line="276" w:lineRule="auto"/>
              <w:rPr>
                <w:rFonts w:ascii="Arial" w:hAnsi="Arial" w:cs="Arial"/>
                <w:sz w:val="20"/>
                <w:szCs w:val="20"/>
              </w:rPr>
            </w:pPr>
          </w:p>
        </w:tc>
      </w:tr>
      <w:tr w:rsidR="00F72782" w:rsidRPr="00525FEE" w14:paraId="53E7D4F7" w14:textId="77777777" w:rsidTr="005870B9">
        <w:trPr>
          <w:trHeight w:val="462"/>
        </w:trPr>
        <w:tc>
          <w:tcPr>
            <w:tcW w:w="1350" w:type="dxa"/>
          </w:tcPr>
          <w:p w14:paraId="763AA618"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Fat</w:t>
            </w:r>
          </w:p>
        </w:tc>
        <w:tc>
          <w:tcPr>
            <w:tcW w:w="630" w:type="dxa"/>
          </w:tcPr>
          <w:p w14:paraId="4302EAD1" w14:textId="77777777" w:rsidR="00F72782" w:rsidRPr="00525FEE" w:rsidRDefault="00F72782" w:rsidP="0083042F">
            <w:pPr>
              <w:tabs>
                <w:tab w:val="left" w:pos="0"/>
              </w:tabs>
              <w:spacing w:line="276" w:lineRule="auto"/>
              <w:rPr>
                <w:rFonts w:ascii="Arial" w:hAnsi="Arial" w:cs="Arial"/>
                <w:sz w:val="20"/>
                <w:szCs w:val="20"/>
              </w:rPr>
            </w:pPr>
          </w:p>
        </w:tc>
        <w:tc>
          <w:tcPr>
            <w:tcW w:w="720" w:type="dxa"/>
          </w:tcPr>
          <w:p w14:paraId="61F736C1" w14:textId="77777777" w:rsidR="00F72782" w:rsidRPr="00525FEE" w:rsidRDefault="00F72782" w:rsidP="0083042F">
            <w:pPr>
              <w:tabs>
                <w:tab w:val="left" w:pos="0"/>
              </w:tabs>
              <w:spacing w:line="276" w:lineRule="auto"/>
              <w:rPr>
                <w:rFonts w:ascii="Arial" w:hAnsi="Arial" w:cs="Arial"/>
                <w:sz w:val="20"/>
                <w:szCs w:val="20"/>
              </w:rPr>
            </w:pPr>
          </w:p>
        </w:tc>
        <w:tc>
          <w:tcPr>
            <w:tcW w:w="810" w:type="dxa"/>
          </w:tcPr>
          <w:p w14:paraId="63FC7A5B"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0.407</w:t>
            </w:r>
          </w:p>
        </w:tc>
        <w:tc>
          <w:tcPr>
            <w:tcW w:w="900" w:type="dxa"/>
          </w:tcPr>
          <w:p w14:paraId="67EED2A4"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0.444</w:t>
            </w:r>
          </w:p>
        </w:tc>
        <w:tc>
          <w:tcPr>
            <w:tcW w:w="900" w:type="dxa"/>
          </w:tcPr>
          <w:p w14:paraId="5013D8C2"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0.340</w:t>
            </w:r>
          </w:p>
        </w:tc>
        <w:tc>
          <w:tcPr>
            <w:tcW w:w="900" w:type="dxa"/>
          </w:tcPr>
          <w:p w14:paraId="246F7BFF"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0.191</w:t>
            </w:r>
          </w:p>
        </w:tc>
        <w:tc>
          <w:tcPr>
            <w:tcW w:w="900" w:type="dxa"/>
          </w:tcPr>
          <w:p w14:paraId="63F4A03B"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0.056</w:t>
            </w:r>
          </w:p>
        </w:tc>
        <w:tc>
          <w:tcPr>
            <w:tcW w:w="900" w:type="dxa"/>
          </w:tcPr>
          <w:p w14:paraId="3AB3D2EC"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0.128</w:t>
            </w:r>
          </w:p>
        </w:tc>
        <w:tc>
          <w:tcPr>
            <w:tcW w:w="900" w:type="dxa"/>
          </w:tcPr>
          <w:p w14:paraId="1FAF7942"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0.762</w:t>
            </w:r>
          </w:p>
        </w:tc>
        <w:tc>
          <w:tcPr>
            <w:tcW w:w="900" w:type="dxa"/>
          </w:tcPr>
          <w:p w14:paraId="29CBA46E"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0.226</w:t>
            </w:r>
          </w:p>
        </w:tc>
        <w:tc>
          <w:tcPr>
            <w:tcW w:w="900" w:type="dxa"/>
          </w:tcPr>
          <w:p w14:paraId="046FE66F"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0.013</w:t>
            </w:r>
          </w:p>
        </w:tc>
      </w:tr>
      <w:tr w:rsidR="00F72782" w:rsidRPr="00525FEE" w14:paraId="172CF5A9" w14:textId="77777777" w:rsidTr="005870B9">
        <w:trPr>
          <w:trHeight w:val="488"/>
        </w:trPr>
        <w:tc>
          <w:tcPr>
            <w:tcW w:w="1350" w:type="dxa"/>
          </w:tcPr>
          <w:p w14:paraId="7FE1DABF"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Fibre</w:t>
            </w:r>
          </w:p>
        </w:tc>
        <w:tc>
          <w:tcPr>
            <w:tcW w:w="630" w:type="dxa"/>
          </w:tcPr>
          <w:p w14:paraId="1691DB7B" w14:textId="77777777" w:rsidR="00F72782" w:rsidRPr="00525FEE" w:rsidRDefault="00F72782" w:rsidP="0083042F">
            <w:pPr>
              <w:tabs>
                <w:tab w:val="left" w:pos="0"/>
              </w:tabs>
              <w:spacing w:line="276" w:lineRule="auto"/>
              <w:rPr>
                <w:rFonts w:ascii="Arial" w:hAnsi="Arial" w:cs="Arial"/>
                <w:sz w:val="20"/>
                <w:szCs w:val="20"/>
              </w:rPr>
            </w:pPr>
          </w:p>
        </w:tc>
        <w:tc>
          <w:tcPr>
            <w:tcW w:w="720" w:type="dxa"/>
          </w:tcPr>
          <w:p w14:paraId="749DCE87" w14:textId="77777777" w:rsidR="00F72782" w:rsidRPr="00525FEE" w:rsidRDefault="00F72782" w:rsidP="0083042F">
            <w:pPr>
              <w:tabs>
                <w:tab w:val="left" w:pos="0"/>
              </w:tabs>
              <w:spacing w:line="276" w:lineRule="auto"/>
              <w:rPr>
                <w:rFonts w:ascii="Arial" w:hAnsi="Arial" w:cs="Arial"/>
                <w:sz w:val="20"/>
                <w:szCs w:val="20"/>
              </w:rPr>
            </w:pPr>
          </w:p>
        </w:tc>
        <w:tc>
          <w:tcPr>
            <w:tcW w:w="810" w:type="dxa"/>
          </w:tcPr>
          <w:p w14:paraId="650910DE"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0.163</w:t>
            </w:r>
          </w:p>
        </w:tc>
        <w:tc>
          <w:tcPr>
            <w:tcW w:w="900" w:type="dxa"/>
          </w:tcPr>
          <w:p w14:paraId="27D9105B"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0.008</w:t>
            </w:r>
          </w:p>
        </w:tc>
        <w:tc>
          <w:tcPr>
            <w:tcW w:w="900" w:type="dxa"/>
          </w:tcPr>
          <w:p w14:paraId="4D5548A0"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0.000</w:t>
            </w:r>
          </w:p>
        </w:tc>
        <w:tc>
          <w:tcPr>
            <w:tcW w:w="900" w:type="dxa"/>
          </w:tcPr>
          <w:p w14:paraId="5BD00C99"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0.000</w:t>
            </w:r>
          </w:p>
        </w:tc>
        <w:tc>
          <w:tcPr>
            <w:tcW w:w="900" w:type="dxa"/>
          </w:tcPr>
          <w:p w14:paraId="578027B1"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0.000</w:t>
            </w:r>
          </w:p>
        </w:tc>
        <w:tc>
          <w:tcPr>
            <w:tcW w:w="900" w:type="dxa"/>
          </w:tcPr>
          <w:p w14:paraId="6A7F9088"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0.000</w:t>
            </w:r>
          </w:p>
        </w:tc>
        <w:tc>
          <w:tcPr>
            <w:tcW w:w="900" w:type="dxa"/>
          </w:tcPr>
          <w:p w14:paraId="3AD8AC70"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0.000</w:t>
            </w:r>
          </w:p>
        </w:tc>
        <w:tc>
          <w:tcPr>
            <w:tcW w:w="900" w:type="dxa"/>
          </w:tcPr>
          <w:p w14:paraId="255C2845"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0.002</w:t>
            </w:r>
          </w:p>
        </w:tc>
        <w:tc>
          <w:tcPr>
            <w:tcW w:w="900" w:type="dxa"/>
          </w:tcPr>
          <w:p w14:paraId="5B81A1E7"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0.001</w:t>
            </w:r>
          </w:p>
        </w:tc>
      </w:tr>
      <w:tr w:rsidR="00F72782" w:rsidRPr="00525FEE" w14:paraId="3E63251A" w14:textId="77777777" w:rsidTr="005870B9">
        <w:trPr>
          <w:trHeight w:val="488"/>
        </w:trPr>
        <w:tc>
          <w:tcPr>
            <w:tcW w:w="1350" w:type="dxa"/>
          </w:tcPr>
          <w:p w14:paraId="32D90699"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Fat x fibre</w:t>
            </w:r>
          </w:p>
        </w:tc>
        <w:tc>
          <w:tcPr>
            <w:tcW w:w="630" w:type="dxa"/>
          </w:tcPr>
          <w:p w14:paraId="4ADEE9E2" w14:textId="77777777" w:rsidR="00F72782" w:rsidRPr="00525FEE" w:rsidRDefault="00F72782" w:rsidP="0083042F">
            <w:pPr>
              <w:tabs>
                <w:tab w:val="left" w:pos="0"/>
              </w:tabs>
              <w:spacing w:line="276" w:lineRule="auto"/>
              <w:rPr>
                <w:rFonts w:ascii="Arial" w:hAnsi="Arial" w:cs="Arial"/>
                <w:sz w:val="20"/>
                <w:szCs w:val="20"/>
              </w:rPr>
            </w:pPr>
          </w:p>
        </w:tc>
        <w:tc>
          <w:tcPr>
            <w:tcW w:w="720" w:type="dxa"/>
          </w:tcPr>
          <w:p w14:paraId="64BF55D2" w14:textId="77777777" w:rsidR="00F72782" w:rsidRPr="00525FEE" w:rsidRDefault="00F72782" w:rsidP="0083042F">
            <w:pPr>
              <w:tabs>
                <w:tab w:val="left" w:pos="0"/>
              </w:tabs>
              <w:spacing w:line="276" w:lineRule="auto"/>
              <w:rPr>
                <w:rFonts w:ascii="Arial" w:hAnsi="Arial" w:cs="Arial"/>
                <w:sz w:val="20"/>
                <w:szCs w:val="20"/>
              </w:rPr>
            </w:pPr>
          </w:p>
        </w:tc>
        <w:tc>
          <w:tcPr>
            <w:tcW w:w="810" w:type="dxa"/>
          </w:tcPr>
          <w:p w14:paraId="1B4C4783"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0.449</w:t>
            </w:r>
          </w:p>
        </w:tc>
        <w:tc>
          <w:tcPr>
            <w:tcW w:w="900" w:type="dxa"/>
          </w:tcPr>
          <w:p w14:paraId="5860277B"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0.227</w:t>
            </w:r>
          </w:p>
        </w:tc>
        <w:tc>
          <w:tcPr>
            <w:tcW w:w="900" w:type="dxa"/>
          </w:tcPr>
          <w:p w14:paraId="7BD7910B"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0.650</w:t>
            </w:r>
          </w:p>
        </w:tc>
        <w:tc>
          <w:tcPr>
            <w:tcW w:w="900" w:type="dxa"/>
          </w:tcPr>
          <w:p w14:paraId="17E43A66"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0.417</w:t>
            </w:r>
          </w:p>
        </w:tc>
        <w:tc>
          <w:tcPr>
            <w:tcW w:w="900" w:type="dxa"/>
          </w:tcPr>
          <w:p w14:paraId="29A12802"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0.637</w:t>
            </w:r>
          </w:p>
        </w:tc>
        <w:tc>
          <w:tcPr>
            <w:tcW w:w="900" w:type="dxa"/>
          </w:tcPr>
          <w:p w14:paraId="26889D1C"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0.477</w:t>
            </w:r>
          </w:p>
        </w:tc>
        <w:tc>
          <w:tcPr>
            <w:tcW w:w="900" w:type="dxa"/>
          </w:tcPr>
          <w:p w14:paraId="6200007B"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0.457</w:t>
            </w:r>
          </w:p>
        </w:tc>
        <w:tc>
          <w:tcPr>
            <w:tcW w:w="900" w:type="dxa"/>
          </w:tcPr>
          <w:p w14:paraId="351F4933"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0.471</w:t>
            </w:r>
          </w:p>
        </w:tc>
        <w:tc>
          <w:tcPr>
            <w:tcW w:w="900" w:type="dxa"/>
          </w:tcPr>
          <w:p w14:paraId="0C47ED31" w14:textId="77777777" w:rsidR="00F72782" w:rsidRPr="00525FEE" w:rsidRDefault="00F72782" w:rsidP="0083042F">
            <w:pPr>
              <w:tabs>
                <w:tab w:val="left" w:pos="0"/>
              </w:tabs>
              <w:spacing w:line="276" w:lineRule="auto"/>
              <w:rPr>
                <w:rFonts w:ascii="Arial" w:hAnsi="Arial" w:cs="Arial"/>
                <w:sz w:val="20"/>
                <w:szCs w:val="20"/>
              </w:rPr>
            </w:pPr>
            <w:r w:rsidRPr="00525FEE">
              <w:rPr>
                <w:rFonts w:ascii="Arial" w:hAnsi="Arial" w:cs="Arial"/>
                <w:sz w:val="20"/>
                <w:szCs w:val="20"/>
              </w:rPr>
              <w:t>0.772</w:t>
            </w:r>
          </w:p>
        </w:tc>
      </w:tr>
    </w:tbl>
    <w:p w14:paraId="7C93280A" w14:textId="77777777" w:rsidR="00F72782" w:rsidRPr="00877683" w:rsidRDefault="00F72782" w:rsidP="0083042F">
      <w:pPr>
        <w:tabs>
          <w:tab w:val="left" w:pos="0"/>
        </w:tabs>
        <w:spacing w:line="240" w:lineRule="auto"/>
        <w:ind w:firstLine="180"/>
        <w:rPr>
          <w:rFonts w:ascii="Arial" w:hAnsi="Arial" w:cs="Arial"/>
          <w:i/>
          <w:sz w:val="18"/>
          <w:szCs w:val="20"/>
        </w:rPr>
      </w:pPr>
      <w:r w:rsidRPr="00877683">
        <w:rPr>
          <w:rFonts w:ascii="Arial" w:hAnsi="Arial" w:cs="Arial"/>
          <w:i/>
          <w:sz w:val="18"/>
          <w:szCs w:val="20"/>
        </w:rPr>
        <w:t>Means bearing different superscripts (</w:t>
      </w:r>
      <w:r w:rsidRPr="00877683">
        <w:rPr>
          <w:rFonts w:ascii="Arial" w:hAnsi="Arial" w:cs="Arial"/>
          <w:b/>
          <w:i/>
          <w:sz w:val="18"/>
          <w:szCs w:val="20"/>
          <w:vertAlign w:val="superscript"/>
        </w:rPr>
        <w:t>ab</w:t>
      </w:r>
      <w:r w:rsidRPr="00877683">
        <w:rPr>
          <w:rFonts w:ascii="Arial" w:hAnsi="Arial" w:cs="Arial"/>
          <w:i/>
          <w:sz w:val="18"/>
          <w:szCs w:val="20"/>
        </w:rPr>
        <w:t>) in the same column are significantly different (P &lt; 0.05).</w:t>
      </w:r>
    </w:p>
    <w:p w14:paraId="078A0DD5" w14:textId="77777777" w:rsidR="00630013" w:rsidRPr="00250A74" w:rsidRDefault="00630013" w:rsidP="0083042F">
      <w:pPr>
        <w:tabs>
          <w:tab w:val="left" w:pos="0"/>
        </w:tabs>
        <w:spacing w:line="240" w:lineRule="auto"/>
        <w:ind w:firstLine="180"/>
        <w:rPr>
          <w:rFonts w:ascii="Arial" w:hAnsi="Arial" w:cs="Arial"/>
          <w:i/>
          <w:sz w:val="20"/>
          <w:szCs w:val="20"/>
        </w:rPr>
      </w:pPr>
    </w:p>
    <w:p w14:paraId="5567A0AE" w14:textId="211E468D" w:rsidR="000D34CA" w:rsidRPr="007F123F" w:rsidRDefault="00396895" w:rsidP="000D18E6">
      <w:pPr>
        <w:pStyle w:val="Heading2"/>
      </w:pPr>
      <w:bookmarkStart w:id="18" w:name="_Toc153348038"/>
      <w:r>
        <w:t xml:space="preserve">3.3 </w:t>
      </w:r>
      <w:r w:rsidR="000D34CA" w:rsidRPr="007F123F">
        <w:t>Organ weight</w:t>
      </w:r>
      <w:bookmarkEnd w:id="18"/>
    </w:p>
    <w:p w14:paraId="24ED9E19" w14:textId="32821FB8" w:rsidR="00396895" w:rsidRDefault="00396895" w:rsidP="0083042F">
      <w:pPr>
        <w:tabs>
          <w:tab w:val="left" w:pos="0"/>
        </w:tabs>
        <w:spacing w:before="240" w:line="480" w:lineRule="auto"/>
        <w:ind w:left="-567"/>
        <w:jc w:val="both"/>
        <w:rPr>
          <w:rFonts w:ascii="Arial" w:hAnsi="Arial" w:cs="Arial"/>
          <w:sz w:val="20"/>
          <w:szCs w:val="20"/>
        </w:rPr>
      </w:pPr>
      <w:r>
        <w:rPr>
          <w:rFonts w:ascii="Arial" w:hAnsi="Arial" w:cs="Arial"/>
          <w:sz w:val="20"/>
          <w:szCs w:val="20"/>
        </w:rPr>
        <w:t>As shown in Table 4, High fat as a main effect increased the w/BW (%) of the right kidney but caused a decrease in Liver when compared to low fat.</w:t>
      </w:r>
      <w:r w:rsidR="000640A9">
        <w:rPr>
          <w:rFonts w:ascii="Arial" w:hAnsi="Arial" w:cs="Arial"/>
          <w:sz w:val="20"/>
          <w:szCs w:val="20"/>
        </w:rPr>
        <w:t xml:space="preserve"> High fibre as a main effect increased the w/BW (%) of the kidneys compared to low fibre. A fat and fibre </w:t>
      </w:r>
      <w:r w:rsidR="00CE2F71">
        <w:rPr>
          <w:rFonts w:ascii="Arial" w:hAnsi="Arial" w:cs="Arial"/>
          <w:sz w:val="20"/>
          <w:szCs w:val="20"/>
        </w:rPr>
        <w:t>interaction</w:t>
      </w:r>
      <w:r w:rsidR="000640A9">
        <w:rPr>
          <w:rFonts w:ascii="Arial" w:hAnsi="Arial" w:cs="Arial"/>
          <w:sz w:val="20"/>
          <w:szCs w:val="20"/>
        </w:rPr>
        <w:t xml:space="preserve"> was detected </w:t>
      </w:r>
      <w:r w:rsidR="0070330A">
        <w:rPr>
          <w:rFonts w:ascii="Arial" w:hAnsi="Arial" w:cs="Arial"/>
          <w:sz w:val="20"/>
          <w:szCs w:val="20"/>
        </w:rPr>
        <w:t>in</w:t>
      </w:r>
      <w:r w:rsidR="000640A9">
        <w:rPr>
          <w:rFonts w:ascii="Arial" w:hAnsi="Arial" w:cs="Arial"/>
          <w:sz w:val="20"/>
          <w:szCs w:val="20"/>
        </w:rPr>
        <w:t xml:space="preserve"> the weight of the heart and right kidney.</w:t>
      </w:r>
    </w:p>
    <w:p w14:paraId="273080F2" w14:textId="77777777" w:rsidR="00250A74" w:rsidRDefault="00250A74" w:rsidP="0083042F">
      <w:pPr>
        <w:tabs>
          <w:tab w:val="left" w:pos="0"/>
        </w:tabs>
        <w:spacing w:line="240" w:lineRule="auto"/>
        <w:ind w:left="-540"/>
        <w:jc w:val="both"/>
        <w:rPr>
          <w:rFonts w:ascii="Arial" w:hAnsi="Arial" w:cs="Arial"/>
          <w:b/>
          <w:sz w:val="20"/>
          <w:szCs w:val="20"/>
        </w:rPr>
      </w:pPr>
    </w:p>
    <w:p w14:paraId="0ACF9C68" w14:textId="77777777" w:rsidR="00250A74" w:rsidRDefault="00250A74" w:rsidP="0083042F">
      <w:pPr>
        <w:tabs>
          <w:tab w:val="left" w:pos="0"/>
        </w:tabs>
        <w:spacing w:line="240" w:lineRule="auto"/>
        <w:ind w:left="-540"/>
        <w:jc w:val="both"/>
        <w:rPr>
          <w:rFonts w:ascii="Arial" w:hAnsi="Arial" w:cs="Arial"/>
          <w:b/>
          <w:sz w:val="20"/>
          <w:szCs w:val="20"/>
        </w:rPr>
      </w:pPr>
    </w:p>
    <w:p w14:paraId="59B0091D" w14:textId="77777777" w:rsidR="00250A74" w:rsidRDefault="00250A74" w:rsidP="0083042F">
      <w:pPr>
        <w:tabs>
          <w:tab w:val="left" w:pos="0"/>
        </w:tabs>
        <w:spacing w:line="240" w:lineRule="auto"/>
        <w:ind w:left="-540"/>
        <w:jc w:val="both"/>
        <w:rPr>
          <w:rFonts w:ascii="Arial" w:hAnsi="Arial" w:cs="Arial"/>
          <w:b/>
          <w:sz w:val="20"/>
          <w:szCs w:val="20"/>
        </w:rPr>
      </w:pPr>
    </w:p>
    <w:p w14:paraId="4C359D20" w14:textId="75713CF5" w:rsidR="00BA742E" w:rsidRPr="00A40E3D" w:rsidRDefault="00BA742E" w:rsidP="00877683">
      <w:pPr>
        <w:tabs>
          <w:tab w:val="left" w:pos="0"/>
        </w:tabs>
        <w:spacing w:line="240" w:lineRule="auto"/>
        <w:jc w:val="both"/>
        <w:rPr>
          <w:rFonts w:ascii="Arial" w:hAnsi="Arial" w:cs="Arial"/>
          <w:b/>
          <w:sz w:val="20"/>
          <w:szCs w:val="20"/>
        </w:rPr>
      </w:pPr>
      <w:r w:rsidRPr="00A40E3D">
        <w:rPr>
          <w:rFonts w:ascii="Arial" w:hAnsi="Arial" w:cs="Arial"/>
          <w:b/>
          <w:sz w:val="20"/>
          <w:szCs w:val="20"/>
        </w:rPr>
        <w:lastRenderedPageBreak/>
        <w:t xml:space="preserve">Table </w:t>
      </w:r>
      <w:r>
        <w:rPr>
          <w:rFonts w:ascii="Arial" w:hAnsi="Arial" w:cs="Arial"/>
          <w:b/>
          <w:sz w:val="20"/>
          <w:szCs w:val="20"/>
        </w:rPr>
        <w:t>4</w:t>
      </w:r>
      <w:r w:rsidRPr="00A40E3D">
        <w:rPr>
          <w:rFonts w:ascii="Arial" w:hAnsi="Arial" w:cs="Arial"/>
          <w:b/>
          <w:sz w:val="20"/>
          <w:szCs w:val="20"/>
        </w:rPr>
        <w:t>. Effects of two dietary fat and fibre levels on the weight/bodyweight % (</w:t>
      </w:r>
      <w:r>
        <w:rPr>
          <w:rFonts w:ascii="Arial" w:hAnsi="Arial" w:cs="Arial"/>
          <w:b/>
          <w:sz w:val="20"/>
          <w:szCs w:val="20"/>
        </w:rPr>
        <w:t xml:space="preserve">w/BW %) of the heart,               liver </w:t>
      </w:r>
      <w:r w:rsidR="00E1049D">
        <w:rPr>
          <w:rFonts w:ascii="Arial" w:hAnsi="Arial" w:cs="Arial"/>
          <w:b/>
          <w:sz w:val="20"/>
          <w:szCs w:val="20"/>
        </w:rPr>
        <w:t>and</w:t>
      </w:r>
      <w:r w:rsidR="00E1049D" w:rsidRPr="00A40E3D">
        <w:rPr>
          <w:rFonts w:ascii="Arial" w:hAnsi="Arial" w:cs="Arial"/>
          <w:b/>
          <w:sz w:val="20"/>
          <w:szCs w:val="20"/>
        </w:rPr>
        <w:t xml:space="preserve"> kidney</w:t>
      </w:r>
      <w:r w:rsidRPr="00A40E3D">
        <w:rPr>
          <w:rFonts w:ascii="Arial" w:hAnsi="Arial" w:cs="Arial"/>
          <w:b/>
          <w:sz w:val="20"/>
          <w:szCs w:val="20"/>
        </w:rPr>
        <w:t xml:space="preserve"> of Albino rats at d 56.</w:t>
      </w:r>
    </w:p>
    <w:tbl>
      <w:tblPr>
        <w:tblStyle w:val="TableGrid"/>
        <w:tblW w:w="82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810"/>
        <w:gridCol w:w="900"/>
        <w:gridCol w:w="1530"/>
        <w:gridCol w:w="1620"/>
        <w:gridCol w:w="990"/>
        <w:gridCol w:w="990"/>
      </w:tblGrid>
      <w:tr w:rsidR="00BA742E" w:rsidRPr="00A40E3D" w14:paraId="4FBC8CCE" w14:textId="77777777" w:rsidTr="00BA742E">
        <w:trPr>
          <w:trHeight w:val="417"/>
        </w:trPr>
        <w:tc>
          <w:tcPr>
            <w:tcW w:w="1440" w:type="dxa"/>
            <w:tcBorders>
              <w:top w:val="single" w:sz="4" w:space="0" w:color="auto"/>
              <w:bottom w:val="nil"/>
            </w:tcBorders>
          </w:tcPr>
          <w:p w14:paraId="3FD9ACBE" w14:textId="77777777" w:rsidR="00BA742E" w:rsidRPr="00A40E3D" w:rsidRDefault="00BA742E" w:rsidP="0083042F">
            <w:pPr>
              <w:tabs>
                <w:tab w:val="left" w:pos="0"/>
              </w:tabs>
              <w:spacing w:line="276" w:lineRule="auto"/>
              <w:rPr>
                <w:rFonts w:ascii="Arial" w:hAnsi="Arial" w:cs="Arial"/>
                <w:b/>
                <w:sz w:val="20"/>
                <w:szCs w:val="20"/>
              </w:rPr>
            </w:pPr>
            <w:r w:rsidRPr="00A40E3D">
              <w:rPr>
                <w:rFonts w:ascii="Arial" w:hAnsi="Arial" w:cs="Arial"/>
                <w:b/>
                <w:sz w:val="20"/>
                <w:szCs w:val="20"/>
              </w:rPr>
              <w:t>Effects</w:t>
            </w:r>
          </w:p>
        </w:tc>
        <w:tc>
          <w:tcPr>
            <w:tcW w:w="810" w:type="dxa"/>
            <w:tcBorders>
              <w:top w:val="single" w:sz="4" w:space="0" w:color="auto"/>
              <w:bottom w:val="nil"/>
            </w:tcBorders>
          </w:tcPr>
          <w:p w14:paraId="1CC4BFE1" w14:textId="77777777" w:rsidR="00BA742E" w:rsidRPr="00A40E3D" w:rsidRDefault="00BA742E" w:rsidP="0083042F">
            <w:pPr>
              <w:tabs>
                <w:tab w:val="left" w:pos="0"/>
              </w:tabs>
              <w:spacing w:line="276" w:lineRule="auto"/>
              <w:rPr>
                <w:rFonts w:ascii="Arial" w:hAnsi="Arial" w:cs="Arial"/>
                <w:b/>
                <w:sz w:val="20"/>
                <w:szCs w:val="20"/>
              </w:rPr>
            </w:pPr>
            <w:r w:rsidRPr="00A40E3D">
              <w:rPr>
                <w:rFonts w:ascii="Arial" w:hAnsi="Arial" w:cs="Arial"/>
                <w:b/>
                <w:sz w:val="20"/>
                <w:szCs w:val="20"/>
              </w:rPr>
              <w:t>Fat</w:t>
            </w:r>
          </w:p>
        </w:tc>
        <w:tc>
          <w:tcPr>
            <w:tcW w:w="900" w:type="dxa"/>
            <w:tcBorders>
              <w:top w:val="single" w:sz="4" w:space="0" w:color="auto"/>
              <w:bottom w:val="nil"/>
            </w:tcBorders>
          </w:tcPr>
          <w:p w14:paraId="4301DFD3" w14:textId="77777777" w:rsidR="00BA742E" w:rsidRPr="00A40E3D" w:rsidRDefault="00BA742E" w:rsidP="0083042F">
            <w:pPr>
              <w:tabs>
                <w:tab w:val="left" w:pos="0"/>
              </w:tabs>
              <w:spacing w:line="276" w:lineRule="auto"/>
              <w:rPr>
                <w:rFonts w:ascii="Arial" w:hAnsi="Arial" w:cs="Arial"/>
                <w:b/>
                <w:sz w:val="20"/>
                <w:szCs w:val="20"/>
              </w:rPr>
            </w:pPr>
            <w:r w:rsidRPr="00A40E3D">
              <w:rPr>
                <w:rFonts w:ascii="Arial" w:hAnsi="Arial" w:cs="Arial"/>
                <w:b/>
                <w:sz w:val="20"/>
                <w:szCs w:val="20"/>
              </w:rPr>
              <w:t>Fibre</w:t>
            </w:r>
          </w:p>
        </w:tc>
        <w:tc>
          <w:tcPr>
            <w:tcW w:w="1530" w:type="dxa"/>
            <w:tcBorders>
              <w:top w:val="single" w:sz="4" w:space="0" w:color="auto"/>
              <w:bottom w:val="nil"/>
            </w:tcBorders>
          </w:tcPr>
          <w:p w14:paraId="39F46743" w14:textId="77777777" w:rsidR="00BA742E" w:rsidRPr="00A40E3D" w:rsidRDefault="00BA742E" w:rsidP="0083042F">
            <w:pPr>
              <w:tabs>
                <w:tab w:val="left" w:pos="0"/>
              </w:tabs>
              <w:spacing w:line="276" w:lineRule="auto"/>
              <w:rPr>
                <w:rFonts w:ascii="Arial" w:hAnsi="Arial" w:cs="Arial"/>
                <w:b/>
                <w:sz w:val="20"/>
                <w:szCs w:val="20"/>
              </w:rPr>
            </w:pPr>
            <w:r w:rsidRPr="00A40E3D">
              <w:rPr>
                <w:rFonts w:ascii="Arial" w:hAnsi="Arial" w:cs="Arial"/>
                <w:b/>
                <w:sz w:val="20"/>
                <w:szCs w:val="20"/>
              </w:rPr>
              <w:t>Left Kidney</w:t>
            </w:r>
          </w:p>
        </w:tc>
        <w:tc>
          <w:tcPr>
            <w:tcW w:w="1620" w:type="dxa"/>
            <w:tcBorders>
              <w:top w:val="single" w:sz="4" w:space="0" w:color="auto"/>
              <w:bottom w:val="nil"/>
            </w:tcBorders>
          </w:tcPr>
          <w:p w14:paraId="702A455C" w14:textId="77777777" w:rsidR="00BA742E" w:rsidRPr="00A40E3D" w:rsidRDefault="00BA742E" w:rsidP="0083042F">
            <w:pPr>
              <w:tabs>
                <w:tab w:val="left" w:pos="0"/>
              </w:tabs>
              <w:spacing w:line="276" w:lineRule="auto"/>
              <w:rPr>
                <w:rFonts w:ascii="Arial" w:hAnsi="Arial" w:cs="Arial"/>
                <w:b/>
                <w:sz w:val="20"/>
                <w:szCs w:val="20"/>
              </w:rPr>
            </w:pPr>
            <w:r w:rsidRPr="00A40E3D">
              <w:rPr>
                <w:rFonts w:ascii="Arial" w:hAnsi="Arial" w:cs="Arial"/>
                <w:b/>
                <w:sz w:val="20"/>
                <w:szCs w:val="20"/>
              </w:rPr>
              <w:t>Right Kidney</w:t>
            </w:r>
          </w:p>
        </w:tc>
        <w:tc>
          <w:tcPr>
            <w:tcW w:w="990" w:type="dxa"/>
            <w:tcBorders>
              <w:top w:val="single" w:sz="4" w:space="0" w:color="auto"/>
              <w:bottom w:val="nil"/>
            </w:tcBorders>
          </w:tcPr>
          <w:p w14:paraId="20B3DA54" w14:textId="77777777" w:rsidR="00BA742E" w:rsidRPr="00A40E3D" w:rsidRDefault="00BA742E" w:rsidP="0083042F">
            <w:pPr>
              <w:tabs>
                <w:tab w:val="left" w:pos="0"/>
              </w:tabs>
              <w:spacing w:line="276" w:lineRule="auto"/>
              <w:rPr>
                <w:rFonts w:ascii="Arial" w:hAnsi="Arial" w:cs="Arial"/>
                <w:b/>
                <w:sz w:val="20"/>
                <w:szCs w:val="20"/>
              </w:rPr>
            </w:pPr>
            <w:r w:rsidRPr="00A40E3D">
              <w:rPr>
                <w:rFonts w:ascii="Arial" w:hAnsi="Arial" w:cs="Arial"/>
                <w:b/>
                <w:sz w:val="20"/>
                <w:szCs w:val="20"/>
              </w:rPr>
              <w:t>Liver</w:t>
            </w:r>
          </w:p>
        </w:tc>
        <w:tc>
          <w:tcPr>
            <w:tcW w:w="990" w:type="dxa"/>
            <w:tcBorders>
              <w:top w:val="single" w:sz="4" w:space="0" w:color="auto"/>
              <w:bottom w:val="nil"/>
            </w:tcBorders>
          </w:tcPr>
          <w:p w14:paraId="2ECB7E64" w14:textId="77777777" w:rsidR="00BA742E" w:rsidRPr="00A40E3D" w:rsidRDefault="00BA742E" w:rsidP="0083042F">
            <w:pPr>
              <w:tabs>
                <w:tab w:val="left" w:pos="0"/>
              </w:tabs>
              <w:spacing w:line="276" w:lineRule="auto"/>
              <w:rPr>
                <w:rFonts w:ascii="Arial" w:hAnsi="Arial" w:cs="Arial"/>
                <w:b/>
                <w:sz w:val="20"/>
                <w:szCs w:val="20"/>
              </w:rPr>
            </w:pPr>
            <w:r w:rsidRPr="00A40E3D">
              <w:rPr>
                <w:rFonts w:ascii="Arial" w:hAnsi="Arial" w:cs="Arial"/>
                <w:b/>
                <w:sz w:val="20"/>
                <w:szCs w:val="20"/>
              </w:rPr>
              <w:t>Heart</w:t>
            </w:r>
          </w:p>
        </w:tc>
      </w:tr>
      <w:tr w:rsidR="00BA742E" w:rsidRPr="00A40E3D" w14:paraId="2342A8CE" w14:textId="77777777" w:rsidTr="00BA742E">
        <w:trPr>
          <w:trHeight w:val="449"/>
        </w:trPr>
        <w:tc>
          <w:tcPr>
            <w:tcW w:w="1440" w:type="dxa"/>
            <w:tcBorders>
              <w:top w:val="single" w:sz="4" w:space="0" w:color="auto"/>
            </w:tcBorders>
          </w:tcPr>
          <w:p w14:paraId="0F72A9CF" w14:textId="77777777" w:rsidR="00BA742E" w:rsidRPr="00A40E3D" w:rsidRDefault="00BA742E" w:rsidP="0083042F">
            <w:pPr>
              <w:tabs>
                <w:tab w:val="left" w:pos="0"/>
              </w:tabs>
              <w:spacing w:line="276" w:lineRule="auto"/>
              <w:rPr>
                <w:rFonts w:ascii="Arial" w:hAnsi="Arial" w:cs="Arial"/>
                <w:sz w:val="20"/>
                <w:szCs w:val="20"/>
              </w:rPr>
            </w:pPr>
          </w:p>
        </w:tc>
        <w:tc>
          <w:tcPr>
            <w:tcW w:w="810" w:type="dxa"/>
            <w:tcBorders>
              <w:top w:val="single" w:sz="4" w:space="0" w:color="auto"/>
            </w:tcBorders>
          </w:tcPr>
          <w:p w14:paraId="3CE91E0D"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Low</w:t>
            </w:r>
          </w:p>
        </w:tc>
        <w:tc>
          <w:tcPr>
            <w:tcW w:w="900" w:type="dxa"/>
            <w:tcBorders>
              <w:top w:val="single" w:sz="4" w:space="0" w:color="auto"/>
            </w:tcBorders>
          </w:tcPr>
          <w:p w14:paraId="5632A6DF" w14:textId="77777777" w:rsidR="00BA742E" w:rsidRPr="00A40E3D" w:rsidRDefault="00BA742E" w:rsidP="0083042F">
            <w:pPr>
              <w:tabs>
                <w:tab w:val="left" w:pos="0"/>
              </w:tabs>
              <w:spacing w:line="276" w:lineRule="auto"/>
              <w:rPr>
                <w:rFonts w:ascii="Arial" w:hAnsi="Arial" w:cs="Arial"/>
                <w:sz w:val="20"/>
                <w:szCs w:val="20"/>
              </w:rPr>
            </w:pPr>
          </w:p>
        </w:tc>
        <w:tc>
          <w:tcPr>
            <w:tcW w:w="1530" w:type="dxa"/>
            <w:tcBorders>
              <w:top w:val="single" w:sz="4" w:space="0" w:color="auto"/>
            </w:tcBorders>
          </w:tcPr>
          <w:p w14:paraId="7038A428"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0.318</w:t>
            </w:r>
          </w:p>
        </w:tc>
        <w:tc>
          <w:tcPr>
            <w:tcW w:w="1620" w:type="dxa"/>
            <w:tcBorders>
              <w:top w:val="single" w:sz="4" w:space="0" w:color="auto"/>
            </w:tcBorders>
          </w:tcPr>
          <w:p w14:paraId="47FE88FE"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0.304</w:t>
            </w:r>
            <w:r w:rsidRPr="00A40E3D">
              <w:rPr>
                <w:rFonts w:ascii="Arial" w:hAnsi="Arial" w:cs="Arial"/>
                <w:b/>
                <w:sz w:val="20"/>
                <w:szCs w:val="20"/>
                <w:vertAlign w:val="superscript"/>
              </w:rPr>
              <w:t xml:space="preserve"> b</w:t>
            </w:r>
          </w:p>
        </w:tc>
        <w:tc>
          <w:tcPr>
            <w:tcW w:w="990" w:type="dxa"/>
            <w:tcBorders>
              <w:top w:val="single" w:sz="4" w:space="0" w:color="auto"/>
            </w:tcBorders>
          </w:tcPr>
          <w:p w14:paraId="0ADA58DC"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3.75</w:t>
            </w:r>
            <w:r w:rsidRPr="00A40E3D">
              <w:rPr>
                <w:rFonts w:ascii="Arial" w:hAnsi="Arial" w:cs="Arial"/>
                <w:b/>
                <w:sz w:val="20"/>
                <w:szCs w:val="20"/>
                <w:vertAlign w:val="superscript"/>
              </w:rPr>
              <w:t xml:space="preserve"> a</w:t>
            </w:r>
          </w:p>
        </w:tc>
        <w:tc>
          <w:tcPr>
            <w:tcW w:w="990" w:type="dxa"/>
            <w:tcBorders>
              <w:top w:val="single" w:sz="4" w:space="0" w:color="auto"/>
            </w:tcBorders>
          </w:tcPr>
          <w:p w14:paraId="758FA891"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0.364</w:t>
            </w:r>
          </w:p>
        </w:tc>
      </w:tr>
      <w:tr w:rsidR="00BA742E" w:rsidRPr="00A40E3D" w14:paraId="1B757736" w14:textId="77777777" w:rsidTr="00BA742E">
        <w:trPr>
          <w:trHeight w:val="474"/>
        </w:trPr>
        <w:tc>
          <w:tcPr>
            <w:tcW w:w="1440" w:type="dxa"/>
          </w:tcPr>
          <w:p w14:paraId="4F52B07D" w14:textId="77777777" w:rsidR="00BA742E" w:rsidRPr="00A40E3D" w:rsidRDefault="00BA742E" w:rsidP="0083042F">
            <w:pPr>
              <w:tabs>
                <w:tab w:val="left" w:pos="0"/>
              </w:tabs>
              <w:spacing w:line="276" w:lineRule="auto"/>
              <w:rPr>
                <w:rFonts w:ascii="Arial" w:hAnsi="Arial" w:cs="Arial"/>
                <w:sz w:val="20"/>
                <w:szCs w:val="20"/>
              </w:rPr>
            </w:pPr>
          </w:p>
        </w:tc>
        <w:tc>
          <w:tcPr>
            <w:tcW w:w="810" w:type="dxa"/>
          </w:tcPr>
          <w:p w14:paraId="32499A74"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High</w:t>
            </w:r>
          </w:p>
        </w:tc>
        <w:tc>
          <w:tcPr>
            <w:tcW w:w="900" w:type="dxa"/>
          </w:tcPr>
          <w:p w14:paraId="4CB73552" w14:textId="77777777" w:rsidR="00BA742E" w:rsidRPr="00A40E3D" w:rsidRDefault="00BA742E" w:rsidP="0083042F">
            <w:pPr>
              <w:tabs>
                <w:tab w:val="left" w:pos="0"/>
              </w:tabs>
              <w:spacing w:line="276" w:lineRule="auto"/>
              <w:rPr>
                <w:rFonts w:ascii="Arial" w:hAnsi="Arial" w:cs="Arial"/>
                <w:sz w:val="20"/>
                <w:szCs w:val="20"/>
              </w:rPr>
            </w:pPr>
          </w:p>
        </w:tc>
        <w:tc>
          <w:tcPr>
            <w:tcW w:w="1530" w:type="dxa"/>
          </w:tcPr>
          <w:p w14:paraId="2B857B2F"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0.333</w:t>
            </w:r>
          </w:p>
        </w:tc>
        <w:tc>
          <w:tcPr>
            <w:tcW w:w="1620" w:type="dxa"/>
          </w:tcPr>
          <w:p w14:paraId="3AD37F3C"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0.352</w:t>
            </w:r>
            <w:r w:rsidRPr="00A40E3D">
              <w:rPr>
                <w:rFonts w:ascii="Arial" w:hAnsi="Arial" w:cs="Arial"/>
                <w:b/>
                <w:sz w:val="20"/>
                <w:szCs w:val="20"/>
                <w:vertAlign w:val="superscript"/>
              </w:rPr>
              <w:t xml:space="preserve"> a</w:t>
            </w:r>
          </w:p>
        </w:tc>
        <w:tc>
          <w:tcPr>
            <w:tcW w:w="990" w:type="dxa"/>
          </w:tcPr>
          <w:p w14:paraId="5EC4ED5F"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2.904</w:t>
            </w:r>
            <w:r w:rsidRPr="00A40E3D">
              <w:rPr>
                <w:rFonts w:ascii="Arial" w:hAnsi="Arial" w:cs="Arial"/>
                <w:b/>
                <w:sz w:val="20"/>
                <w:szCs w:val="20"/>
                <w:vertAlign w:val="superscript"/>
              </w:rPr>
              <w:t xml:space="preserve"> b</w:t>
            </w:r>
          </w:p>
        </w:tc>
        <w:tc>
          <w:tcPr>
            <w:tcW w:w="990" w:type="dxa"/>
          </w:tcPr>
          <w:p w14:paraId="43D347C7"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0.422</w:t>
            </w:r>
          </w:p>
        </w:tc>
      </w:tr>
      <w:tr w:rsidR="00BA742E" w:rsidRPr="00A40E3D" w14:paraId="5EE7905D" w14:textId="77777777" w:rsidTr="00BA742E">
        <w:trPr>
          <w:trHeight w:val="474"/>
        </w:trPr>
        <w:tc>
          <w:tcPr>
            <w:tcW w:w="1440" w:type="dxa"/>
          </w:tcPr>
          <w:p w14:paraId="046B04E6" w14:textId="77777777" w:rsidR="00BA742E" w:rsidRPr="00A40E3D" w:rsidRDefault="00BA742E" w:rsidP="0083042F">
            <w:pPr>
              <w:tabs>
                <w:tab w:val="left" w:pos="0"/>
              </w:tabs>
              <w:spacing w:line="276" w:lineRule="auto"/>
              <w:rPr>
                <w:rFonts w:ascii="Arial" w:hAnsi="Arial" w:cs="Arial"/>
                <w:b/>
                <w:sz w:val="20"/>
                <w:szCs w:val="20"/>
              </w:rPr>
            </w:pPr>
            <w:r w:rsidRPr="00A40E3D">
              <w:rPr>
                <w:rFonts w:ascii="Arial" w:hAnsi="Arial" w:cs="Arial"/>
                <w:b/>
                <w:sz w:val="20"/>
                <w:szCs w:val="20"/>
              </w:rPr>
              <w:t>SEM</w:t>
            </w:r>
          </w:p>
        </w:tc>
        <w:tc>
          <w:tcPr>
            <w:tcW w:w="810" w:type="dxa"/>
          </w:tcPr>
          <w:p w14:paraId="18A79A76" w14:textId="77777777" w:rsidR="00BA742E" w:rsidRPr="00A40E3D" w:rsidRDefault="00BA742E" w:rsidP="0083042F">
            <w:pPr>
              <w:tabs>
                <w:tab w:val="left" w:pos="0"/>
              </w:tabs>
              <w:spacing w:line="276" w:lineRule="auto"/>
              <w:rPr>
                <w:rFonts w:ascii="Arial" w:hAnsi="Arial" w:cs="Arial"/>
                <w:sz w:val="20"/>
                <w:szCs w:val="20"/>
              </w:rPr>
            </w:pPr>
          </w:p>
        </w:tc>
        <w:tc>
          <w:tcPr>
            <w:tcW w:w="900" w:type="dxa"/>
          </w:tcPr>
          <w:p w14:paraId="70DD6F77" w14:textId="77777777" w:rsidR="00BA742E" w:rsidRPr="00A40E3D" w:rsidRDefault="00BA742E" w:rsidP="0083042F">
            <w:pPr>
              <w:tabs>
                <w:tab w:val="left" w:pos="0"/>
              </w:tabs>
              <w:spacing w:line="276" w:lineRule="auto"/>
              <w:rPr>
                <w:rFonts w:ascii="Arial" w:hAnsi="Arial" w:cs="Arial"/>
                <w:sz w:val="20"/>
                <w:szCs w:val="20"/>
              </w:rPr>
            </w:pPr>
          </w:p>
        </w:tc>
        <w:tc>
          <w:tcPr>
            <w:tcW w:w="1530" w:type="dxa"/>
          </w:tcPr>
          <w:p w14:paraId="7A0A16D2"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0.034</w:t>
            </w:r>
          </w:p>
        </w:tc>
        <w:tc>
          <w:tcPr>
            <w:tcW w:w="1620" w:type="dxa"/>
          </w:tcPr>
          <w:p w14:paraId="701A7A63"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0.036</w:t>
            </w:r>
          </w:p>
        </w:tc>
        <w:tc>
          <w:tcPr>
            <w:tcW w:w="990" w:type="dxa"/>
          </w:tcPr>
          <w:p w14:paraId="42D60ACC"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0.024</w:t>
            </w:r>
          </w:p>
        </w:tc>
        <w:tc>
          <w:tcPr>
            <w:tcW w:w="990" w:type="dxa"/>
          </w:tcPr>
          <w:p w14:paraId="2868FE11"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0.028</w:t>
            </w:r>
          </w:p>
        </w:tc>
      </w:tr>
      <w:tr w:rsidR="00BA742E" w:rsidRPr="00A40E3D" w14:paraId="425E178B" w14:textId="77777777" w:rsidTr="00BA742E">
        <w:trPr>
          <w:trHeight w:val="474"/>
        </w:trPr>
        <w:tc>
          <w:tcPr>
            <w:tcW w:w="1440" w:type="dxa"/>
          </w:tcPr>
          <w:p w14:paraId="749A36D8" w14:textId="77777777" w:rsidR="00BA742E" w:rsidRPr="00A40E3D" w:rsidRDefault="00BA742E" w:rsidP="0083042F">
            <w:pPr>
              <w:tabs>
                <w:tab w:val="left" w:pos="0"/>
              </w:tabs>
              <w:spacing w:line="276" w:lineRule="auto"/>
              <w:rPr>
                <w:rFonts w:ascii="Arial" w:hAnsi="Arial" w:cs="Arial"/>
                <w:sz w:val="20"/>
                <w:szCs w:val="20"/>
              </w:rPr>
            </w:pPr>
          </w:p>
        </w:tc>
        <w:tc>
          <w:tcPr>
            <w:tcW w:w="810" w:type="dxa"/>
          </w:tcPr>
          <w:p w14:paraId="5B36EE5C" w14:textId="77777777" w:rsidR="00BA742E" w:rsidRPr="00A40E3D" w:rsidRDefault="00BA742E" w:rsidP="0083042F">
            <w:pPr>
              <w:tabs>
                <w:tab w:val="left" w:pos="0"/>
              </w:tabs>
              <w:spacing w:line="276" w:lineRule="auto"/>
              <w:rPr>
                <w:rFonts w:ascii="Arial" w:hAnsi="Arial" w:cs="Arial"/>
                <w:sz w:val="20"/>
                <w:szCs w:val="20"/>
              </w:rPr>
            </w:pPr>
          </w:p>
        </w:tc>
        <w:tc>
          <w:tcPr>
            <w:tcW w:w="900" w:type="dxa"/>
          </w:tcPr>
          <w:p w14:paraId="65631CDB"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Low</w:t>
            </w:r>
          </w:p>
        </w:tc>
        <w:tc>
          <w:tcPr>
            <w:tcW w:w="1530" w:type="dxa"/>
          </w:tcPr>
          <w:p w14:paraId="2656EACE"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0.303</w:t>
            </w:r>
            <w:r w:rsidRPr="00A40E3D">
              <w:rPr>
                <w:rFonts w:ascii="Arial" w:hAnsi="Arial" w:cs="Arial"/>
                <w:b/>
                <w:sz w:val="20"/>
                <w:szCs w:val="20"/>
                <w:vertAlign w:val="superscript"/>
              </w:rPr>
              <w:t xml:space="preserve"> b</w:t>
            </w:r>
          </w:p>
        </w:tc>
        <w:tc>
          <w:tcPr>
            <w:tcW w:w="1620" w:type="dxa"/>
          </w:tcPr>
          <w:p w14:paraId="6F7AB43B"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0.306</w:t>
            </w:r>
            <w:r w:rsidRPr="00A40E3D">
              <w:rPr>
                <w:rFonts w:ascii="Arial" w:hAnsi="Arial" w:cs="Arial"/>
                <w:b/>
                <w:sz w:val="20"/>
                <w:szCs w:val="20"/>
                <w:vertAlign w:val="superscript"/>
              </w:rPr>
              <w:t xml:space="preserve"> b</w:t>
            </w:r>
          </w:p>
        </w:tc>
        <w:tc>
          <w:tcPr>
            <w:tcW w:w="990" w:type="dxa"/>
          </w:tcPr>
          <w:p w14:paraId="51611BA4"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3.058</w:t>
            </w:r>
          </w:p>
        </w:tc>
        <w:tc>
          <w:tcPr>
            <w:tcW w:w="990" w:type="dxa"/>
          </w:tcPr>
          <w:p w14:paraId="156E451D"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0.378</w:t>
            </w:r>
          </w:p>
        </w:tc>
      </w:tr>
      <w:tr w:rsidR="00BA742E" w:rsidRPr="00A40E3D" w14:paraId="14430426" w14:textId="77777777" w:rsidTr="00BA742E">
        <w:trPr>
          <w:trHeight w:val="474"/>
        </w:trPr>
        <w:tc>
          <w:tcPr>
            <w:tcW w:w="1440" w:type="dxa"/>
          </w:tcPr>
          <w:p w14:paraId="2EB9F734" w14:textId="77777777" w:rsidR="00BA742E" w:rsidRPr="00A40E3D" w:rsidRDefault="00BA742E" w:rsidP="0083042F">
            <w:pPr>
              <w:tabs>
                <w:tab w:val="left" w:pos="0"/>
              </w:tabs>
              <w:spacing w:line="276" w:lineRule="auto"/>
              <w:rPr>
                <w:rFonts w:ascii="Arial" w:hAnsi="Arial" w:cs="Arial"/>
                <w:sz w:val="20"/>
                <w:szCs w:val="20"/>
              </w:rPr>
            </w:pPr>
          </w:p>
        </w:tc>
        <w:tc>
          <w:tcPr>
            <w:tcW w:w="810" w:type="dxa"/>
          </w:tcPr>
          <w:p w14:paraId="2F4D5936" w14:textId="77777777" w:rsidR="00BA742E" w:rsidRPr="00A40E3D" w:rsidRDefault="00BA742E" w:rsidP="0083042F">
            <w:pPr>
              <w:tabs>
                <w:tab w:val="left" w:pos="0"/>
              </w:tabs>
              <w:spacing w:line="276" w:lineRule="auto"/>
              <w:rPr>
                <w:rFonts w:ascii="Arial" w:hAnsi="Arial" w:cs="Arial"/>
                <w:sz w:val="20"/>
                <w:szCs w:val="20"/>
              </w:rPr>
            </w:pPr>
          </w:p>
        </w:tc>
        <w:tc>
          <w:tcPr>
            <w:tcW w:w="900" w:type="dxa"/>
          </w:tcPr>
          <w:p w14:paraId="456445DB"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High</w:t>
            </w:r>
          </w:p>
        </w:tc>
        <w:tc>
          <w:tcPr>
            <w:tcW w:w="1530" w:type="dxa"/>
          </w:tcPr>
          <w:p w14:paraId="32D8C936"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0.349</w:t>
            </w:r>
            <w:r w:rsidRPr="00A40E3D">
              <w:rPr>
                <w:rFonts w:ascii="Arial" w:hAnsi="Arial" w:cs="Arial"/>
                <w:b/>
                <w:sz w:val="20"/>
                <w:szCs w:val="20"/>
                <w:vertAlign w:val="superscript"/>
              </w:rPr>
              <w:t>a</w:t>
            </w:r>
          </w:p>
        </w:tc>
        <w:tc>
          <w:tcPr>
            <w:tcW w:w="1620" w:type="dxa"/>
          </w:tcPr>
          <w:p w14:paraId="41ABF09D"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0.350</w:t>
            </w:r>
            <w:r w:rsidRPr="00A40E3D">
              <w:rPr>
                <w:rFonts w:ascii="Arial" w:hAnsi="Arial" w:cs="Arial"/>
                <w:b/>
                <w:sz w:val="20"/>
                <w:szCs w:val="20"/>
                <w:vertAlign w:val="superscript"/>
              </w:rPr>
              <w:t xml:space="preserve"> a</w:t>
            </w:r>
          </w:p>
        </w:tc>
        <w:tc>
          <w:tcPr>
            <w:tcW w:w="990" w:type="dxa"/>
          </w:tcPr>
          <w:p w14:paraId="7C3A8243"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3.015</w:t>
            </w:r>
          </w:p>
        </w:tc>
        <w:tc>
          <w:tcPr>
            <w:tcW w:w="990" w:type="dxa"/>
          </w:tcPr>
          <w:p w14:paraId="6BA42C43"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0.406</w:t>
            </w:r>
          </w:p>
        </w:tc>
      </w:tr>
      <w:tr w:rsidR="00BA742E" w:rsidRPr="00A40E3D" w14:paraId="02C38721" w14:textId="77777777" w:rsidTr="00BA742E">
        <w:trPr>
          <w:trHeight w:val="474"/>
        </w:trPr>
        <w:tc>
          <w:tcPr>
            <w:tcW w:w="1440" w:type="dxa"/>
          </w:tcPr>
          <w:p w14:paraId="6A02D861" w14:textId="77777777" w:rsidR="00BA742E" w:rsidRPr="00A40E3D" w:rsidRDefault="00BA742E" w:rsidP="0083042F">
            <w:pPr>
              <w:tabs>
                <w:tab w:val="left" w:pos="0"/>
              </w:tabs>
              <w:spacing w:line="276" w:lineRule="auto"/>
              <w:rPr>
                <w:rFonts w:ascii="Arial" w:hAnsi="Arial" w:cs="Arial"/>
                <w:b/>
                <w:sz w:val="20"/>
                <w:szCs w:val="20"/>
              </w:rPr>
            </w:pPr>
            <w:r w:rsidRPr="00A40E3D">
              <w:rPr>
                <w:rFonts w:ascii="Arial" w:hAnsi="Arial" w:cs="Arial"/>
                <w:b/>
                <w:sz w:val="20"/>
                <w:szCs w:val="20"/>
              </w:rPr>
              <w:t>SEM</w:t>
            </w:r>
          </w:p>
        </w:tc>
        <w:tc>
          <w:tcPr>
            <w:tcW w:w="810" w:type="dxa"/>
          </w:tcPr>
          <w:p w14:paraId="0A33F262" w14:textId="77777777" w:rsidR="00BA742E" w:rsidRPr="00A40E3D" w:rsidRDefault="00BA742E" w:rsidP="0083042F">
            <w:pPr>
              <w:tabs>
                <w:tab w:val="left" w:pos="0"/>
              </w:tabs>
              <w:spacing w:line="276" w:lineRule="auto"/>
              <w:rPr>
                <w:rFonts w:ascii="Arial" w:hAnsi="Arial" w:cs="Arial"/>
                <w:sz w:val="20"/>
                <w:szCs w:val="20"/>
              </w:rPr>
            </w:pPr>
          </w:p>
        </w:tc>
        <w:tc>
          <w:tcPr>
            <w:tcW w:w="900" w:type="dxa"/>
          </w:tcPr>
          <w:p w14:paraId="05E657B9" w14:textId="77777777" w:rsidR="00BA742E" w:rsidRPr="00A40E3D" w:rsidRDefault="00BA742E" w:rsidP="0083042F">
            <w:pPr>
              <w:tabs>
                <w:tab w:val="left" w:pos="0"/>
              </w:tabs>
              <w:spacing w:line="276" w:lineRule="auto"/>
              <w:rPr>
                <w:rFonts w:ascii="Arial" w:hAnsi="Arial" w:cs="Arial"/>
                <w:sz w:val="20"/>
                <w:szCs w:val="20"/>
              </w:rPr>
            </w:pPr>
          </w:p>
        </w:tc>
        <w:tc>
          <w:tcPr>
            <w:tcW w:w="1530" w:type="dxa"/>
          </w:tcPr>
          <w:p w14:paraId="70BFF792"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0.034</w:t>
            </w:r>
          </w:p>
        </w:tc>
        <w:tc>
          <w:tcPr>
            <w:tcW w:w="1620" w:type="dxa"/>
          </w:tcPr>
          <w:p w14:paraId="0F89920E"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0.036</w:t>
            </w:r>
          </w:p>
        </w:tc>
        <w:tc>
          <w:tcPr>
            <w:tcW w:w="990" w:type="dxa"/>
          </w:tcPr>
          <w:p w14:paraId="2BB4D9DC"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0.024</w:t>
            </w:r>
          </w:p>
        </w:tc>
        <w:tc>
          <w:tcPr>
            <w:tcW w:w="990" w:type="dxa"/>
          </w:tcPr>
          <w:p w14:paraId="54169E4B"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0.028</w:t>
            </w:r>
          </w:p>
        </w:tc>
      </w:tr>
      <w:tr w:rsidR="00BA742E" w:rsidRPr="00A40E3D" w14:paraId="566F8472" w14:textId="77777777" w:rsidTr="00BA742E">
        <w:trPr>
          <w:trHeight w:val="474"/>
        </w:trPr>
        <w:tc>
          <w:tcPr>
            <w:tcW w:w="1440" w:type="dxa"/>
          </w:tcPr>
          <w:p w14:paraId="2223B556" w14:textId="77777777" w:rsidR="00BA742E" w:rsidRPr="00A40E3D" w:rsidRDefault="00BA742E" w:rsidP="0083042F">
            <w:pPr>
              <w:tabs>
                <w:tab w:val="left" w:pos="0"/>
              </w:tabs>
              <w:spacing w:line="276" w:lineRule="auto"/>
              <w:rPr>
                <w:rFonts w:ascii="Arial" w:hAnsi="Arial" w:cs="Arial"/>
                <w:b/>
                <w:sz w:val="20"/>
                <w:szCs w:val="20"/>
              </w:rPr>
            </w:pPr>
            <w:r w:rsidRPr="00A40E3D">
              <w:rPr>
                <w:rFonts w:ascii="Arial" w:hAnsi="Arial" w:cs="Arial"/>
                <w:b/>
                <w:sz w:val="20"/>
                <w:szCs w:val="20"/>
              </w:rPr>
              <w:t>Interactions</w:t>
            </w:r>
          </w:p>
        </w:tc>
        <w:tc>
          <w:tcPr>
            <w:tcW w:w="810" w:type="dxa"/>
          </w:tcPr>
          <w:p w14:paraId="4EF06E7F" w14:textId="77777777" w:rsidR="00BA742E" w:rsidRPr="00A40E3D" w:rsidRDefault="00BA742E" w:rsidP="0083042F">
            <w:pPr>
              <w:tabs>
                <w:tab w:val="left" w:pos="0"/>
              </w:tabs>
              <w:spacing w:line="276" w:lineRule="auto"/>
              <w:rPr>
                <w:rFonts w:ascii="Arial" w:hAnsi="Arial" w:cs="Arial"/>
                <w:sz w:val="20"/>
                <w:szCs w:val="20"/>
              </w:rPr>
            </w:pPr>
          </w:p>
        </w:tc>
        <w:tc>
          <w:tcPr>
            <w:tcW w:w="900" w:type="dxa"/>
          </w:tcPr>
          <w:p w14:paraId="78CBEF33" w14:textId="77777777" w:rsidR="00BA742E" w:rsidRPr="00A40E3D" w:rsidRDefault="00BA742E" w:rsidP="0083042F">
            <w:pPr>
              <w:tabs>
                <w:tab w:val="left" w:pos="0"/>
              </w:tabs>
              <w:spacing w:line="276" w:lineRule="auto"/>
              <w:rPr>
                <w:rFonts w:ascii="Arial" w:hAnsi="Arial" w:cs="Arial"/>
                <w:sz w:val="20"/>
                <w:szCs w:val="20"/>
              </w:rPr>
            </w:pPr>
          </w:p>
        </w:tc>
        <w:tc>
          <w:tcPr>
            <w:tcW w:w="1530" w:type="dxa"/>
          </w:tcPr>
          <w:p w14:paraId="42A47B67" w14:textId="77777777" w:rsidR="00BA742E" w:rsidRPr="00A40E3D" w:rsidRDefault="00BA742E" w:rsidP="0083042F">
            <w:pPr>
              <w:tabs>
                <w:tab w:val="left" w:pos="0"/>
              </w:tabs>
              <w:spacing w:line="276" w:lineRule="auto"/>
              <w:rPr>
                <w:rFonts w:ascii="Arial" w:hAnsi="Arial" w:cs="Arial"/>
                <w:sz w:val="20"/>
                <w:szCs w:val="20"/>
              </w:rPr>
            </w:pPr>
          </w:p>
        </w:tc>
        <w:tc>
          <w:tcPr>
            <w:tcW w:w="1620" w:type="dxa"/>
          </w:tcPr>
          <w:p w14:paraId="3B1EEC45" w14:textId="77777777" w:rsidR="00BA742E" w:rsidRPr="00A40E3D" w:rsidRDefault="00BA742E" w:rsidP="0083042F">
            <w:pPr>
              <w:tabs>
                <w:tab w:val="left" w:pos="0"/>
              </w:tabs>
              <w:spacing w:line="276" w:lineRule="auto"/>
              <w:rPr>
                <w:rFonts w:ascii="Arial" w:hAnsi="Arial" w:cs="Arial"/>
                <w:sz w:val="20"/>
                <w:szCs w:val="20"/>
              </w:rPr>
            </w:pPr>
          </w:p>
        </w:tc>
        <w:tc>
          <w:tcPr>
            <w:tcW w:w="990" w:type="dxa"/>
          </w:tcPr>
          <w:p w14:paraId="2C5AE258" w14:textId="77777777" w:rsidR="00BA742E" w:rsidRPr="00A40E3D" w:rsidRDefault="00BA742E" w:rsidP="0083042F">
            <w:pPr>
              <w:tabs>
                <w:tab w:val="left" w:pos="0"/>
              </w:tabs>
              <w:spacing w:line="276" w:lineRule="auto"/>
              <w:rPr>
                <w:rFonts w:ascii="Arial" w:hAnsi="Arial" w:cs="Arial"/>
                <w:sz w:val="20"/>
                <w:szCs w:val="20"/>
              </w:rPr>
            </w:pPr>
          </w:p>
        </w:tc>
        <w:tc>
          <w:tcPr>
            <w:tcW w:w="990" w:type="dxa"/>
          </w:tcPr>
          <w:p w14:paraId="35AA0430" w14:textId="77777777" w:rsidR="00BA742E" w:rsidRPr="00A40E3D" w:rsidRDefault="00BA742E" w:rsidP="0083042F">
            <w:pPr>
              <w:tabs>
                <w:tab w:val="left" w:pos="0"/>
              </w:tabs>
              <w:spacing w:line="276" w:lineRule="auto"/>
              <w:rPr>
                <w:rFonts w:ascii="Arial" w:hAnsi="Arial" w:cs="Arial"/>
                <w:sz w:val="20"/>
                <w:szCs w:val="20"/>
              </w:rPr>
            </w:pPr>
          </w:p>
        </w:tc>
      </w:tr>
      <w:tr w:rsidR="00BA742E" w:rsidRPr="00A40E3D" w14:paraId="4746A820" w14:textId="77777777" w:rsidTr="00BA742E">
        <w:trPr>
          <w:trHeight w:val="474"/>
        </w:trPr>
        <w:tc>
          <w:tcPr>
            <w:tcW w:w="1440" w:type="dxa"/>
          </w:tcPr>
          <w:p w14:paraId="0F38EF8B"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Low x low</w:t>
            </w:r>
          </w:p>
        </w:tc>
        <w:tc>
          <w:tcPr>
            <w:tcW w:w="810" w:type="dxa"/>
          </w:tcPr>
          <w:p w14:paraId="164A7114" w14:textId="77777777" w:rsidR="00BA742E" w:rsidRPr="00A40E3D" w:rsidRDefault="00BA742E" w:rsidP="0083042F">
            <w:pPr>
              <w:tabs>
                <w:tab w:val="left" w:pos="0"/>
              </w:tabs>
              <w:spacing w:line="276" w:lineRule="auto"/>
              <w:rPr>
                <w:rFonts w:ascii="Arial" w:hAnsi="Arial" w:cs="Arial"/>
                <w:sz w:val="20"/>
                <w:szCs w:val="20"/>
              </w:rPr>
            </w:pPr>
          </w:p>
        </w:tc>
        <w:tc>
          <w:tcPr>
            <w:tcW w:w="900" w:type="dxa"/>
          </w:tcPr>
          <w:p w14:paraId="40E0CDFA" w14:textId="77777777" w:rsidR="00BA742E" w:rsidRPr="00A40E3D" w:rsidRDefault="00BA742E" w:rsidP="0083042F">
            <w:pPr>
              <w:tabs>
                <w:tab w:val="left" w:pos="0"/>
              </w:tabs>
              <w:spacing w:line="276" w:lineRule="auto"/>
              <w:rPr>
                <w:rFonts w:ascii="Arial" w:hAnsi="Arial" w:cs="Arial"/>
                <w:sz w:val="20"/>
                <w:szCs w:val="20"/>
              </w:rPr>
            </w:pPr>
          </w:p>
        </w:tc>
        <w:tc>
          <w:tcPr>
            <w:tcW w:w="1530" w:type="dxa"/>
          </w:tcPr>
          <w:p w14:paraId="0B4AD520"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0.307</w:t>
            </w:r>
          </w:p>
        </w:tc>
        <w:tc>
          <w:tcPr>
            <w:tcW w:w="1620" w:type="dxa"/>
          </w:tcPr>
          <w:p w14:paraId="50DEF647"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0.307</w:t>
            </w:r>
            <w:r w:rsidRPr="00A40E3D">
              <w:rPr>
                <w:rFonts w:ascii="Arial" w:hAnsi="Arial" w:cs="Arial"/>
                <w:b/>
                <w:sz w:val="20"/>
                <w:szCs w:val="20"/>
                <w:vertAlign w:val="superscript"/>
              </w:rPr>
              <w:t xml:space="preserve"> b</w:t>
            </w:r>
          </w:p>
        </w:tc>
        <w:tc>
          <w:tcPr>
            <w:tcW w:w="990" w:type="dxa"/>
          </w:tcPr>
          <w:p w14:paraId="149AF0D7"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3.313</w:t>
            </w:r>
            <w:r w:rsidRPr="00A40E3D">
              <w:rPr>
                <w:rFonts w:ascii="Arial" w:hAnsi="Arial" w:cs="Arial"/>
                <w:b/>
                <w:sz w:val="20"/>
                <w:szCs w:val="20"/>
                <w:vertAlign w:val="superscript"/>
              </w:rPr>
              <w:t xml:space="preserve"> a</w:t>
            </w:r>
          </w:p>
        </w:tc>
        <w:tc>
          <w:tcPr>
            <w:tcW w:w="990" w:type="dxa"/>
          </w:tcPr>
          <w:p w14:paraId="171622ED"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0.379</w:t>
            </w:r>
            <w:r w:rsidRPr="00A40E3D">
              <w:rPr>
                <w:rFonts w:ascii="Arial" w:hAnsi="Arial" w:cs="Arial"/>
                <w:b/>
                <w:sz w:val="20"/>
                <w:szCs w:val="20"/>
                <w:vertAlign w:val="superscript"/>
              </w:rPr>
              <w:t xml:space="preserve"> b</w:t>
            </w:r>
          </w:p>
        </w:tc>
      </w:tr>
      <w:tr w:rsidR="00BA742E" w:rsidRPr="00A40E3D" w14:paraId="6B6210E8" w14:textId="77777777" w:rsidTr="00BA742E">
        <w:trPr>
          <w:trHeight w:val="474"/>
        </w:trPr>
        <w:tc>
          <w:tcPr>
            <w:tcW w:w="1440" w:type="dxa"/>
          </w:tcPr>
          <w:p w14:paraId="7CACBF25"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Low x high</w:t>
            </w:r>
          </w:p>
        </w:tc>
        <w:tc>
          <w:tcPr>
            <w:tcW w:w="810" w:type="dxa"/>
          </w:tcPr>
          <w:p w14:paraId="0A2DE163" w14:textId="77777777" w:rsidR="00BA742E" w:rsidRPr="00A40E3D" w:rsidRDefault="00BA742E" w:rsidP="0083042F">
            <w:pPr>
              <w:tabs>
                <w:tab w:val="left" w:pos="0"/>
              </w:tabs>
              <w:spacing w:line="276" w:lineRule="auto"/>
              <w:rPr>
                <w:rFonts w:ascii="Arial" w:hAnsi="Arial" w:cs="Arial"/>
                <w:sz w:val="20"/>
                <w:szCs w:val="20"/>
              </w:rPr>
            </w:pPr>
          </w:p>
        </w:tc>
        <w:tc>
          <w:tcPr>
            <w:tcW w:w="900" w:type="dxa"/>
          </w:tcPr>
          <w:p w14:paraId="1D2C38A8" w14:textId="77777777" w:rsidR="00BA742E" w:rsidRPr="00A40E3D" w:rsidRDefault="00BA742E" w:rsidP="0083042F">
            <w:pPr>
              <w:tabs>
                <w:tab w:val="left" w:pos="0"/>
              </w:tabs>
              <w:spacing w:line="276" w:lineRule="auto"/>
              <w:rPr>
                <w:rFonts w:ascii="Arial" w:hAnsi="Arial" w:cs="Arial"/>
                <w:sz w:val="20"/>
                <w:szCs w:val="20"/>
              </w:rPr>
            </w:pPr>
          </w:p>
        </w:tc>
        <w:tc>
          <w:tcPr>
            <w:tcW w:w="1530" w:type="dxa"/>
          </w:tcPr>
          <w:p w14:paraId="44864685"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0.299</w:t>
            </w:r>
          </w:p>
        </w:tc>
        <w:tc>
          <w:tcPr>
            <w:tcW w:w="1620" w:type="dxa"/>
          </w:tcPr>
          <w:p w14:paraId="6E4C2CB6"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0.304</w:t>
            </w:r>
            <w:r w:rsidRPr="00A40E3D">
              <w:rPr>
                <w:rFonts w:ascii="Arial" w:hAnsi="Arial" w:cs="Arial"/>
                <w:b/>
                <w:sz w:val="20"/>
                <w:szCs w:val="20"/>
                <w:vertAlign w:val="superscript"/>
              </w:rPr>
              <w:t xml:space="preserve"> b</w:t>
            </w:r>
          </w:p>
        </w:tc>
        <w:tc>
          <w:tcPr>
            <w:tcW w:w="990" w:type="dxa"/>
          </w:tcPr>
          <w:p w14:paraId="7B5C3E7F"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2.823</w:t>
            </w:r>
            <w:r w:rsidRPr="00A40E3D">
              <w:rPr>
                <w:rFonts w:ascii="Arial" w:hAnsi="Arial" w:cs="Arial"/>
                <w:b/>
                <w:sz w:val="20"/>
                <w:szCs w:val="20"/>
                <w:vertAlign w:val="superscript"/>
              </w:rPr>
              <w:t xml:space="preserve"> b</w:t>
            </w:r>
          </w:p>
        </w:tc>
        <w:tc>
          <w:tcPr>
            <w:tcW w:w="990" w:type="dxa"/>
          </w:tcPr>
          <w:p w14:paraId="1CD67C0F"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0.378</w:t>
            </w:r>
            <w:r w:rsidRPr="00A40E3D">
              <w:rPr>
                <w:rFonts w:ascii="Arial" w:hAnsi="Arial" w:cs="Arial"/>
                <w:b/>
                <w:sz w:val="20"/>
                <w:szCs w:val="20"/>
                <w:vertAlign w:val="superscript"/>
              </w:rPr>
              <w:t xml:space="preserve"> b</w:t>
            </w:r>
          </w:p>
        </w:tc>
      </w:tr>
      <w:tr w:rsidR="00BA742E" w:rsidRPr="00A40E3D" w14:paraId="4669FF43" w14:textId="77777777" w:rsidTr="00BA742E">
        <w:trPr>
          <w:trHeight w:val="474"/>
        </w:trPr>
        <w:tc>
          <w:tcPr>
            <w:tcW w:w="1440" w:type="dxa"/>
          </w:tcPr>
          <w:p w14:paraId="2C2F7CBC"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High x low</w:t>
            </w:r>
          </w:p>
        </w:tc>
        <w:tc>
          <w:tcPr>
            <w:tcW w:w="810" w:type="dxa"/>
          </w:tcPr>
          <w:p w14:paraId="34D0F3DE" w14:textId="77777777" w:rsidR="00BA742E" w:rsidRPr="00A40E3D" w:rsidRDefault="00BA742E" w:rsidP="0083042F">
            <w:pPr>
              <w:tabs>
                <w:tab w:val="left" w:pos="0"/>
              </w:tabs>
              <w:spacing w:line="276" w:lineRule="auto"/>
              <w:rPr>
                <w:rFonts w:ascii="Arial" w:hAnsi="Arial" w:cs="Arial"/>
                <w:sz w:val="20"/>
                <w:szCs w:val="20"/>
              </w:rPr>
            </w:pPr>
          </w:p>
        </w:tc>
        <w:tc>
          <w:tcPr>
            <w:tcW w:w="900" w:type="dxa"/>
          </w:tcPr>
          <w:p w14:paraId="4F284EA2" w14:textId="77777777" w:rsidR="00BA742E" w:rsidRPr="00A40E3D" w:rsidRDefault="00BA742E" w:rsidP="0083042F">
            <w:pPr>
              <w:tabs>
                <w:tab w:val="left" w:pos="0"/>
              </w:tabs>
              <w:spacing w:line="276" w:lineRule="auto"/>
              <w:rPr>
                <w:rFonts w:ascii="Arial" w:hAnsi="Arial" w:cs="Arial"/>
                <w:sz w:val="20"/>
                <w:szCs w:val="20"/>
              </w:rPr>
            </w:pPr>
          </w:p>
        </w:tc>
        <w:tc>
          <w:tcPr>
            <w:tcW w:w="1530" w:type="dxa"/>
          </w:tcPr>
          <w:p w14:paraId="585D8586"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0.329</w:t>
            </w:r>
          </w:p>
        </w:tc>
        <w:tc>
          <w:tcPr>
            <w:tcW w:w="1620" w:type="dxa"/>
          </w:tcPr>
          <w:p w14:paraId="16D85C5E"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0.300</w:t>
            </w:r>
            <w:r w:rsidRPr="00A40E3D">
              <w:rPr>
                <w:rFonts w:ascii="Arial" w:hAnsi="Arial" w:cs="Arial"/>
                <w:b/>
                <w:sz w:val="20"/>
                <w:szCs w:val="20"/>
                <w:vertAlign w:val="superscript"/>
              </w:rPr>
              <w:t xml:space="preserve"> b</w:t>
            </w:r>
          </w:p>
        </w:tc>
        <w:tc>
          <w:tcPr>
            <w:tcW w:w="990" w:type="dxa"/>
          </w:tcPr>
          <w:p w14:paraId="055C5134"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3.043</w:t>
            </w:r>
            <w:r w:rsidRPr="00A40E3D">
              <w:rPr>
                <w:rFonts w:ascii="Arial" w:hAnsi="Arial" w:cs="Arial"/>
                <w:b/>
                <w:sz w:val="20"/>
                <w:szCs w:val="20"/>
                <w:vertAlign w:val="superscript"/>
              </w:rPr>
              <w:t xml:space="preserve"> ab</w:t>
            </w:r>
          </w:p>
        </w:tc>
        <w:tc>
          <w:tcPr>
            <w:tcW w:w="990" w:type="dxa"/>
          </w:tcPr>
          <w:p w14:paraId="41A3DD35"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0.349</w:t>
            </w:r>
            <w:r w:rsidRPr="00A40E3D">
              <w:rPr>
                <w:rFonts w:ascii="Arial" w:hAnsi="Arial" w:cs="Arial"/>
                <w:b/>
                <w:sz w:val="20"/>
                <w:szCs w:val="20"/>
                <w:vertAlign w:val="superscript"/>
              </w:rPr>
              <w:t xml:space="preserve"> b</w:t>
            </w:r>
          </w:p>
        </w:tc>
      </w:tr>
      <w:tr w:rsidR="00BA742E" w:rsidRPr="00A40E3D" w14:paraId="6F925EA0" w14:textId="77777777" w:rsidTr="00BA742E">
        <w:trPr>
          <w:trHeight w:val="474"/>
        </w:trPr>
        <w:tc>
          <w:tcPr>
            <w:tcW w:w="1440" w:type="dxa"/>
          </w:tcPr>
          <w:p w14:paraId="6B729257"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High x high</w:t>
            </w:r>
          </w:p>
        </w:tc>
        <w:tc>
          <w:tcPr>
            <w:tcW w:w="810" w:type="dxa"/>
          </w:tcPr>
          <w:p w14:paraId="25650E1D" w14:textId="77777777" w:rsidR="00BA742E" w:rsidRPr="00A40E3D" w:rsidRDefault="00BA742E" w:rsidP="0083042F">
            <w:pPr>
              <w:tabs>
                <w:tab w:val="left" w:pos="0"/>
              </w:tabs>
              <w:spacing w:line="276" w:lineRule="auto"/>
              <w:rPr>
                <w:rFonts w:ascii="Arial" w:hAnsi="Arial" w:cs="Arial"/>
                <w:sz w:val="20"/>
                <w:szCs w:val="20"/>
              </w:rPr>
            </w:pPr>
          </w:p>
        </w:tc>
        <w:tc>
          <w:tcPr>
            <w:tcW w:w="900" w:type="dxa"/>
          </w:tcPr>
          <w:p w14:paraId="30DB47C7" w14:textId="77777777" w:rsidR="00BA742E" w:rsidRPr="00A40E3D" w:rsidRDefault="00BA742E" w:rsidP="0083042F">
            <w:pPr>
              <w:tabs>
                <w:tab w:val="left" w:pos="0"/>
              </w:tabs>
              <w:spacing w:line="276" w:lineRule="auto"/>
              <w:rPr>
                <w:rFonts w:ascii="Arial" w:hAnsi="Arial" w:cs="Arial"/>
                <w:sz w:val="20"/>
                <w:szCs w:val="20"/>
              </w:rPr>
            </w:pPr>
          </w:p>
        </w:tc>
        <w:tc>
          <w:tcPr>
            <w:tcW w:w="1530" w:type="dxa"/>
          </w:tcPr>
          <w:p w14:paraId="675D5D94"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0.370</w:t>
            </w:r>
          </w:p>
        </w:tc>
        <w:tc>
          <w:tcPr>
            <w:tcW w:w="1620" w:type="dxa"/>
          </w:tcPr>
          <w:p w14:paraId="03DBF121"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0.407</w:t>
            </w:r>
            <w:r w:rsidRPr="00A40E3D">
              <w:rPr>
                <w:rFonts w:ascii="Arial" w:hAnsi="Arial" w:cs="Arial"/>
                <w:b/>
                <w:sz w:val="20"/>
                <w:szCs w:val="20"/>
                <w:vertAlign w:val="superscript"/>
              </w:rPr>
              <w:t xml:space="preserve"> a</w:t>
            </w:r>
          </w:p>
        </w:tc>
        <w:tc>
          <w:tcPr>
            <w:tcW w:w="990" w:type="dxa"/>
          </w:tcPr>
          <w:p w14:paraId="27BE23DB"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2.987</w:t>
            </w:r>
            <w:r w:rsidRPr="00A40E3D">
              <w:rPr>
                <w:rFonts w:ascii="Arial" w:hAnsi="Arial" w:cs="Arial"/>
                <w:b/>
                <w:sz w:val="20"/>
                <w:szCs w:val="20"/>
                <w:vertAlign w:val="superscript"/>
              </w:rPr>
              <w:t xml:space="preserve"> ab</w:t>
            </w:r>
          </w:p>
        </w:tc>
        <w:tc>
          <w:tcPr>
            <w:tcW w:w="990" w:type="dxa"/>
          </w:tcPr>
          <w:p w14:paraId="44724A1F"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0.472</w:t>
            </w:r>
            <w:r w:rsidRPr="00A40E3D">
              <w:rPr>
                <w:rFonts w:ascii="Arial" w:hAnsi="Arial" w:cs="Arial"/>
                <w:b/>
                <w:sz w:val="20"/>
                <w:szCs w:val="20"/>
                <w:vertAlign w:val="superscript"/>
              </w:rPr>
              <w:t xml:space="preserve"> a</w:t>
            </w:r>
          </w:p>
        </w:tc>
      </w:tr>
      <w:tr w:rsidR="00BA742E" w:rsidRPr="00A40E3D" w14:paraId="5A2FC679" w14:textId="77777777" w:rsidTr="00BA742E">
        <w:trPr>
          <w:trHeight w:val="474"/>
        </w:trPr>
        <w:tc>
          <w:tcPr>
            <w:tcW w:w="1440" w:type="dxa"/>
          </w:tcPr>
          <w:p w14:paraId="5D451862" w14:textId="77777777" w:rsidR="00BA742E" w:rsidRPr="00A40E3D" w:rsidRDefault="00BA742E" w:rsidP="0083042F">
            <w:pPr>
              <w:tabs>
                <w:tab w:val="left" w:pos="0"/>
              </w:tabs>
              <w:spacing w:line="276" w:lineRule="auto"/>
              <w:rPr>
                <w:rFonts w:ascii="Arial" w:hAnsi="Arial" w:cs="Arial"/>
                <w:b/>
                <w:sz w:val="20"/>
                <w:szCs w:val="20"/>
              </w:rPr>
            </w:pPr>
            <w:r w:rsidRPr="00A40E3D">
              <w:rPr>
                <w:rFonts w:ascii="Arial" w:hAnsi="Arial" w:cs="Arial"/>
                <w:b/>
                <w:sz w:val="20"/>
                <w:szCs w:val="20"/>
              </w:rPr>
              <w:t>SEM</w:t>
            </w:r>
          </w:p>
        </w:tc>
        <w:tc>
          <w:tcPr>
            <w:tcW w:w="810" w:type="dxa"/>
          </w:tcPr>
          <w:p w14:paraId="3EC555F9" w14:textId="77777777" w:rsidR="00BA742E" w:rsidRPr="00A40E3D" w:rsidRDefault="00BA742E" w:rsidP="0083042F">
            <w:pPr>
              <w:tabs>
                <w:tab w:val="left" w:pos="0"/>
              </w:tabs>
              <w:spacing w:line="276" w:lineRule="auto"/>
              <w:rPr>
                <w:rFonts w:ascii="Arial" w:hAnsi="Arial" w:cs="Arial"/>
                <w:sz w:val="20"/>
                <w:szCs w:val="20"/>
              </w:rPr>
            </w:pPr>
          </w:p>
        </w:tc>
        <w:tc>
          <w:tcPr>
            <w:tcW w:w="900" w:type="dxa"/>
          </w:tcPr>
          <w:p w14:paraId="337FFA4A" w14:textId="77777777" w:rsidR="00BA742E" w:rsidRPr="00A40E3D" w:rsidRDefault="00BA742E" w:rsidP="0083042F">
            <w:pPr>
              <w:tabs>
                <w:tab w:val="left" w:pos="0"/>
              </w:tabs>
              <w:spacing w:line="276" w:lineRule="auto"/>
              <w:rPr>
                <w:rFonts w:ascii="Arial" w:hAnsi="Arial" w:cs="Arial"/>
                <w:sz w:val="20"/>
                <w:szCs w:val="20"/>
              </w:rPr>
            </w:pPr>
          </w:p>
        </w:tc>
        <w:tc>
          <w:tcPr>
            <w:tcW w:w="1530" w:type="dxa"/>
          </w:tcPr>
          <w:p w14:paraId="4FB1B1A3"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0.047</w:t>
            </w:r>
          </w:p>
        </w:tc>
        <w:tc>
          <w:tcPr>
            <w:tcW w:w="1620" w:type="dxa"/>
          </w:tcPr>
          <w:p w14:paraId="6EF8A25D"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0.050</w:t>
            </w:r>
          </w:p>
        </w:tc>
        <w:tc>
          <w:tcPr>
            <w:tcW w:w="990" w:type="dxa"/>
          </w:tcPr>
          <w:p w14:paraId="5379B60E"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0.034</w:t>
            </w:r>
          </w:p>
        </w:tc>
        <w:tc>
          <w:tcPr>
            <w:tcW w:w="990" w:type="dxa"/>
          </w:tcPr>
          <w:p w14:paraId="7F4A230E"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0.039</w:t>
            </w:r>
          </w:p>
        </w:tc>
      </w:tr>
      <w:tr w:rsidR="00BA742E" w:rsidRPr="00A40E3D" w14:paraId="76D82142" w14:textId="77777777" w:rsidTr="00BA742E">
        <w:trPr>
          <w:trHeight w:val="474"/>
        </w:trPr>
        <w:tc>
          <w:tcPr>
            <w:tcW w:w="1440" w:type="dxa"/>
          </w:tcPr>
          <w:p w14:paraId="75DDE97E" w14:textId="77777777" w:rsidR="00BA742E" w:rsidRPr="00A40E3D" w:rsidRDefault="00BA742E" w:rsidP="0083042F">
            <w:pPr>
              <w:tabs>
                <w:tab w:val="left" w:pos="0"/>
              </w:tabs>
              <w:spacing w:line="276" w:lineRule="auto"/>
              <w:rPr>
                <w:rFonts w:ascii="Arial" w:hAnsi="Arial" w:cs="Arial"/>
                <w:b/>
                <w:sz w:val="20"/>
                <w:szCs w:val="20"/>
              </w:rPr>
            </w:pPr>
            <w:r w:rsidRPr="00A40E3D">
              <w:rPr>
                <w:rFonts w:ascii="Arial" w:hAnsi="Arial" w:cs="Arial"/>
                <w:b/>
                <w:sz w:val="20"/>
                <w:szCs w:val="20"/>
              </w:rPr>
              <w:t>P- value</w:t>
            </w:r>
          </w:p>
        </w:tc>
        <w:tc>
          <w:tcPr>
            <w:tcW w:w="810" w:type="dxa"/>
          </w:tcPr>
          <w:p w14:paraId="5D53894C" w14:textId="77777777" w:rsidR="00BA742E" w:rsidRPr="00A40E3D" w:rsidRDefault="00BA742E" w:rsidP="0083042F">
            <w:pPr>
              <w:tabs>
                <w:tab w:val="left" w:pos="0"/>
              </w:tabs>
              <w:spacing w:line="276" w:lineRule="auto"/>
              <w:rPr>
                <w:rFonts w:ascii="Arial" w:hAnsi="Arial" w:cs="Arial"/>
                <w:sz w:val="20"/>
                <w:szCs w:val="20"/>
              </w:rPr>
            </w:pPr>
          </w:p>
        </w:tc>
        <w:tc>
          <w:tcPr>
            <w:tcW w:w="900" w:type="dxa"/>
          </w:tcPr>
          <w:p w14:paraId="68C712A1" w14:textId="77777777" w:rsidR="00BA742E" w:rsidRPr="00A40E3D" w:rsidRDefault="00BA742E" w:rsidP="0083042F">
            <w:pPr>
              <w:tabs>
                <w:tab w:val="left" w:pos="0"/>
              </w:tabs>
              <w:spacing w:line="276" w:lineRule="auto"/>
              <w:rPr>
                <w:rFonts w:ascii="Arial" w:hAnsi="Arial" w:cs="Arial"/>
                <w:sz w:val="20"/>
                <w:szCs w:val="20"/>
              </w:rPr>
            </w:pPr>
          </w:p>
        </w:tc>
        <w:tc>
          <w:tcPr>
            <w:tcW w:w="1530" w:type="dxa"/>
          </w:tcPr>
          <w:p w14:paraId="3822AB84" w14:textId="77777777" w:rsidR="00BA742E" w:rsidRPr="00A40E3D" w:rsidRDefault="00BA742E" w:rsidP="0083042F">
            <w:pPr>
              <w:tabs>
                <w:tab w:val="left" w:pos="0"/>
              </w:tabs>
              <w:spacing w:line="276" w:lineRule="auto"/>
              <w:rPr>
                <w:rFonts w:ascii="Arial" w:hAnsi="Arial" w:cs="Arial"/>
                <w:sz w:val="20"/>
                <w:szCs w:val="20"/>
              </w:rPr>
            </w:pPr>
          </w:p>
        </w:tc>
        <w:tc>
          <w:tcPr>
            <w:tcW w:w="1620" w:type="dxa"/>
          </w:tcPr>
          <w:p w14:paraId="251AB88D" w14:textId="77777777" w:rsidR="00BA742E" w:rsidRPr="00A40E3D" w:rsidRDefault="00BA742E" w:rsidP="0083042F">
            <w:pPr>
              <w:tabs>
                <w:tab w:val="left" w:pos="0"/>
              </w:tabs>
              <w:spacing w:line="276" w:lineRule="auto"/>
              <w:rPr>
                <w:rFonts w:ascii="Arial" w:hAnsi="Arial" w:cs="Arial"/>
                <w:sz w:val="20"/>
                <w:szCs w:val="20"/>
              </w:rPr>
            </w:pPr>
          </w:p>
        </w:tc>
        <w:tc>
          <w:tcPr>
            <w:tcW w:w="990" w:type="dxa"/>
          </w:tcPr>
          <w:p w14:paraId="0D26CBA6" w14:textId="77777777" w:rsidR="00BA742E" w:rsidRPr="00A40E3D" w:rsidRDefault="00BA742E" w:rsidP="0083042F">
            <w:pPr>
              <w:tabs>
                <w:tab w:val="left" w:pos="0"/>
              </w:tabs>
              <w:spacing w:line="276" w:lineRule="auto"/>
              <w:rPr>
                <w:rFonts w:ascii="Arial" w:hAnsi="Arial" w:cs="Arial"/>
                <w:sz w:val="20"/>
                <w:szCs w:val="20"/>
              </w:rPr>
            </w:pPr>
          </w:p>
        </w:tc>
        <w:tc>
          <w:tcPr>
            <w:tcW w:w="990" w:type="dxa"/>
          </w:tcPr>
          <w:p w14:paraId="245F4B4A" w14:textId="77777777" w:rsidR="00BA742E" w:rsidRPr="00A40E3D" w:rsidRDefault="00BA742E" w:rsidP="0083042F">
            <w:pPr>
              <w:tabs>
                <w:tab w:val="left" w:pos="0"/>
              </w:tabs>
              <w:spacing w:line="276" w:lineRule="auto"/>
              <w:rPr>
                <w:rFonts w:ascii="Arial" w:hAnsi="Arial" w:cs="Arial"/>
                <w:sz w:val="20"/>
                <w:szCs w:val="20"/>
              </w:rPr>
            </w:pPr>
          </w:p>
        </w:tc>
      </w:tr>
      <w:tr w:rsidR="00BA742E" w:rsidRPr="00A40E3D" w14:paraId="2FA440D1" w14:textId="77777777" w:rsidTr="00BA742E">
        <w:trPr>
          <w:trHeight w:val="449"/>
        </w:trPr>
        <w:tc>
          <w:tcPr>
            <w:tcW w:w="1440" w:type="dxa"/>
          </w:tcPr>
          <w:p w14:paraId="5C80D6D6"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Fat</w:t>
            </w:r>
          </w:p>
        </w:tc>
        <w:tc>
          <w:tcPr>
            <w:tcW w:w="810" w:type="dxa"/>
          </w:tcPr>
          <w:p w14:paraId="55BEC54E" w14:textId="77777777" w:rsidR="00BA742E" w:rsidRPr="00A40E3D" w:rsidRDefault="00BA742E" w:rsidP="0083042F">
            <w:pPr>
              <w:tabs>
                <w:tab w:val="left" w:pos="0"/>
              </w:tabs>
              <w:spacing w:line="276" w:lineRule="auto"/>
              <w:rPr>
                <w:rFonts w:ascii="Arial" w:hAnsi="Arial" w:cs="Arial"/>
                <w:sz w:val="20"/>
                <w:szCs w:val="20"/>
              </w:rPr>
            </w:pPr>
          </w:p>
        </w:tc>
        <w:tc>
          <w:tcPr>
            <w:tcW w:w="900" w:type="dxa"/>
          </w:tcPr>
          <w:p w14:paraId="12A41AF4" w14:textId="77777777" w:rsidR="00BA742E" w:rsidRPr="00A40E3D" w:rsidRDefault="00BA742E" w:rsidP="0083042F">
            <w:pPr>
              <w:tabs>
                <w:tab w:val="left" w:pos="0"/>
              </w:tabs>
              <w:spacing w:line="276" w:lineRule="auto"/>
              <w:rPr>
                <w:rFonts w:ascii="Arial" w:hAnsi="Arial" w:cs="Arial"/>
                <w:sz w:val="20"/>
                <w:szCs w:val="20"/>
              </w:rPr>
            </w:pPr>
          </w:p>
        </w:tc>
        <w:tc>
          <w:tcPr>
            <w:tcW w:w="1530" w:type="dxa"/>
          </w:tcPr>
          <w:p w14:paraId="3CAABF68"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0.372</w:t>
            </w:r>
          </w:p>
        </w:tc>
        <w:tc>
          <w:tcPr>
            <w:tcW w:w="1620" w:type="dxa"/>
          </w:tcPr>
          <w:p w14:paraId="7D7DDE88"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0.020</w:t>
            </w:r>
          </w:p>
        </w:tc>
        <w:tc>
          <w:tcPr>
            <w:tcW w:w="990" w:type="dxa"/>
          </w:tcPr>
          <w:p w14:paraId="60CEFADE"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0.028</w:t>
            </w:r>
          </w:p>
        </w:tc>
        <w:tc>
          <w:tcPr>
            <w:tcW w:w="990" w:type="dxa"/>
          </w:tcPr>
          <w:p w14:paraId="7F7B1367"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0.005</w:t>
            </w:r>
          </w:p>
        </w:tc>
      </w:tr>
      <w:tr w:rsidR="00BA742E" w:rsidRPr="00A40E3D" w14:paraId="40CA069F" w14:textId="77777777" w:rsidTr="00BA742E">
        <w:trPr>
          <w:trHeight w:val="474"/>
        </w:trPr>
        <w:tc>
          <w:tcPr>
            <w:tcW w:w="1440" w:type="dxa"/>
          </w:tcPr>
          <w:p w14:paraId="4B576911"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Fibre</w:t>
            </w:r>
          </w:p>
        </w:tc>
        <w:tc>
          <w:tcPr>
            <w:tcW w:w="810" w:type="dxa"/>
          </w:tcPr>
          <w:p w14:paraId="73669487" w14:textId="77777777" w:rsidR="00BA742E" w:rsidRPr="00A40E3D" w:rsidRDefault="00BA742E" w:rsidP="0083042F">
            <w:pPr>
              <w:tabs>
                <w:tab w:val="left" w:pos="0"/>
              </w:tabs>
              <w:spacing w:line="276" w:lineRule="auto"/>
              <w:rPr>
                <w:rFonts w:ascii="Arial" w:hAnsi="Arial" w:cs="Arial"/>
                <w:sz w:val="20"/>
                <w:szCs w:val="20"/>
              </w:rPr>
            </w:pPr>
          </w:p>
        </w:tc>
        <w:tc>
          <w:tcPr>
            <w:tcW w:w="900" w:type="dxa"/>
          </w:tcPr>
          <w:p w14:paraId="415CF9B3" w14:textId="77777777" w:rsidR="00BA742E" w:rsidRPr="00A40E3D" w:rsidRDefault="00BA742E" w:rsidP="0083042F">
            <w:pPr>
              <w:tabs>
                <w:tab w:val="left" w:pos="0"/>
              </w:tabs>
              <w:spacing w:line="276" w:lineRule="auto"/>
              <w:rPr>
                <w:rFonts w:ascii="Arial" w:hAnsi="Arial" w:cs="Arial"/>
                <w:sz w:val="20"/>
                <w:szCs w:val="20"/>
              </w:rPr>
            </w:pPr>
          </w:p>
        </w:tc>
        <w:tc>
          <w:tcPr>
            <w:tcW w:w="1530" w:type="dxa"/>
          </w:tcPr>
          <w:p w14:paraId="26E42F35"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0.018</w:t>
            </w:r>
          </w:p>
        </w:tc>
        <w:tc>
          <w:tcPr>
            <w:tcW w:w="1620" w:type="dxa"/>
          </w:tcPr>
          <w:p w14:paraId="1AF3BC4E"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0.028</w:t>
            </w:r>
          </w:p>
        </w:tc>
        <w:tc>
          <w:tcPr>
            <w:tcW w:w="990" w:type="dxa"/>
          </w:tcPr>
          <w:p w14:paraId="138BAAB8"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0.682</w:t>
            </w:r>
          </w:p>
        </w:tc>
        <w:tc>
          <w:tcPr>
            <w:tcW w:w="990" w:type="dxa"/>
          </w:tcPr>
          <w:p w14:paraId="70211907"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0.110</w:t>
            </w:r>
          </w:p>
        </w:tc>
      </w:tr>
      <w:tr w:rsidR="00BA742E" w:rsidRPr="00A40E3D" w14:paraId="5C03498B" w14:textId="77777777" w:rsidTr="00BA742E">
        <w:trPr>
          <w:trHeight w:val="474"/>
        </w:trPr>
        <w:tc>
          <w:tcPr>
            <w:tcW w:w="1440" w:type="dxa"/>
          </w:tcPr>
          <w:p w14:paraId="216CDCF4"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Fat x fibre</w:t>
            </w:r>
          </w:p>
        </w:tc>
        <w:tc>
          <w:tcPr>
            <w:tcW w:w="810" w:type="dxa"/>
          </w:tcPr>
          <w:p w14:paraId="6865324A" w14:textId="77777777" w:rsidR="00BA742E" w:rsidRPr="00A40E3D" w:rsidRDefault="00BA742E" w:rsidP="0083042F">
            <w:pPr>
              <w:tabs>
                <w:tab w:val="left" w:pos="0"/>
              </w:tabs>
              <w:spacing w:line="276" w:lineRule="auto"/>
              <w:rPr>
                <w:rFonts w:ascii="Arial" w:hAnsi="Arial" w:cs="Arial"/>
                <w:sz w:val="20"/>
                <w:szCs w:val="20"/>
              </w:rPr>
            </w:pPr>
          </w:p>
        </w:tc>
        <w:tc>
          <w:tcPr>
            <w:tcW w:w="900" w:type="dxa"/>
          </w:tcPr>
          <w:p w14:paraId="0D471CD3" w14:textId="77777777" w:rsidR="00BA742E" w:rsidRPr="00A40E3D" w:rsidRDefault="00BA742E" w:rsidP="0083042F">
            <w:pPr>
              <w:tabs>
                <w:tab w:val="left" w:pos="0"/>
              </w:tabs>
              <w:spacing w:line="276" w:lineRule="auto"/>
              <w:rPr>
                <w:rFonts w:ascii="Arial" w:hAnsi="Arial" w:cs="Arial"/>
                <w:sz w:val="20"/>
                <w:szCs w:val="20"/>
              </w:rPr>
            </w:pPr>
          </w:p>
        </w:tc>
        <w:tc>
          <w:tcPr>
            <w:tcW w:w="1530" w:type="dxa"/>
          </w:tcPr>
          <w:p w14:paraId="7C297941"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0.174</w:t>
            </w:r>
          </w:p>
        </w:tc>
        <w:tc>
          <w:tcPr>
            <w:tcW w:w="1620" w:type="dxa"/>
          </w:tcPr>
          <w:p w14:paraId="5E1DB211"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0.014</w:t>
            </w:r>
          </w:p>
        </w:tc>
        <w:tc>
          <w:tcPr>
            <w:tcW w:w="990" w:type="dxa"/>
          </w:tcPr>
          <w:p w14:paraId="34450EF8"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0.067</w:t>
            </w:r>
          </w:p>
        </w:tc>
        <w:tc>
          <w:tcPr>
            <w:tcW w:w="990" w:type="dxa"/>
          </w:tcPr>
          <w:p w14:paraId="585BFCEF" w14:textId="77777777" w:rsidR="00BA742E" w:rsidRPr="00A40E3D" w:rsidRDefault="00BA742E" w:rsidP="0083042F">
            <w:pPr>
              <w:tabs>
                <w:tab w:val="left" w:pos="0"/>
              </w:tabs>
              <w:spacing w:line="276" w:lineRule="auto"/>
              <w:rPr>
                <w:rFonts w:ascii="Arial" w:hAnsi="Arial" w:cs="Arial"/>
                <w:sz w:val="20"/>
                <w:szCs w:val="20"/>
              </w:rPr>
            </w:pPr>
            <w:r w:rsidRPr="00A40E3D">
              <w:rPr>
                <w:rFonts w:ascii="Arial" w:hAnsi="Arial" w:cs="Arial"/>
                <w:sz w:val="20"/>
                <w:szCs w:val="20"/>
              </w:rPr>
              <w:t>0.005</w:t>
            </w:r>
          </w:p>
        </w:tc>
      </w:tr>
    </w:tbl>
    <w:p w14:paraId="052948D8" w14:textId="436D25D8" w:rsidR="00BA742E" w:rsidRPr="00956F8C" w:rsidRDefault="00BA742E" w:rsidP="0083042F">
      <w:pPr>
        <w:tabs>
          <w:tab w:val="left" w:pos="0"/>
        </w:tabs>
        <w:spacing w:line="240" w:lineRule="auto"/>
        <w:rPr>
          <w:rFonts w:ascii="Arial" w:hAnsi="Arial" w:cs="Arial"/>
          <w:i/>
          <w:sz w:val="18"/>
          <w:szCs w:val="20"/>
        </w:rPr>
      </w:pPr>
      <w:r w:rsidRPr="00956F8C">
        <w:rPr>
          <w:rFonts w:ascii="Arial" w:hAnsi="Arial" w:cs="Arial"/>
          <w:i/>
          <w:sz w:val="18"/>
          <w:szCs w:val="20"/>
        </w:rPr>
        <w:t xml:space="preserve">  Means bearing different superscripts (</w:t>
      </w:r>
      <w:r w:rsidRPr="00956F8C">
        <w:rPr>
          <w:rFonts w:ascii="Arial" w:hAnsi="Arial" w:cs="Arial"/>
          <w:b/>
          <w:i/>
          <w:sz w:val="18"/>
          <w:szCs w:val="20"/>
          <w:vertAlign w:val="superscript"/>
        </w:rPr>
        <w:t>abc</w:t>
      </w:r>
      <w:r w:rsidRPr="00956F8C">
        <w:rPr>
          <w:rFonts w:ascii="Arial" w:hAnsi="Arial" w:cs="Arial"/>
          <w:i/>
          <w:sz w:val="18"/>
          <w:szCs w:val="20"/>
        </w:rPr>
        <w:t>) in the same column are significantly different (P &lt; 0.05)</w:t>
      </w:r>
    </w:p>
    <w:p w14:paraId="038C0975" w14:textId="457D6CA2" w:rsidR="000D34CA" w:rsidRPr="007F123F" w:rsidRDefault="00396895" w:rsidP="00877683">
      <w:pPr>
        <w:tabs>
          <w:tab w:val="left" w:pos="0"/>
        </w:tabs>
        <w:spacing w:before="240" w:line="480" w:lineRule="auto"/>
        <w:jc w:val="both"/>
        <w:rPr>
          <w:rFonts w:ascii="Arial" w:hAnsi="Arial" w:cs="Arial"/>
          <w:sz w:val="20"/>
          <w:szCs w:val="20"/>
        </w:rPr>
      </w:pPr>
      <w:commentRangeStart w:id="19"/>
      <w:r>
        <w:rPr>
          <w:rFonts w:ascii="Arial" w:hAnsi="Arial" w:cs="Arial"/>
          <w:sz w:val="20"/>
          <w:szCs w:val="20"/>
        </w:rPr>
        <w:t xml:space="preserve">The w/BW (%) of the kidney and heart </w:t>
      </w:r>
      <w:r w:rsidR="000162A7" w:rsidRPr="007F123F">
        <w:rPr>
          <w:rFonts w:ascii="Arial" w:hAnsi="Arial" w:cs="Arial"/>
          <w:sz w:val="20"/>
          <w:szCs w:val="20"/>
        </w:rPr>
        <w:t xml:space="preserve">measured for T1, T2 T3 and  T4  </w:t>
      </w:r>
      <w:r w:rsidR="000D34CA" w:rsidRPr="007F123F">
        <w:rPr>
          <w:rFonts w:ascii="Arial" w:hAnsi="Arial" w:cs="Arial"/>
          <w:sz w:val="20"/>
          <w:szCs w:val="20"/>
        </w:rPr>
        <w:t xml:space="preserve">(0.614 %, 0.603 %, 0.629 % and 0.77 %) are similar to the 0.71 % of both kidneys from the study of </w:t>
      </w:r>
      <w:r w:rsidR="000D34CA" w:rsidRPr="007F123F">
        <w:rPr>
          <w:rFonts w:ascii="Arial" w:hAnsi="Arial" w:cs="Arial"/>
          <w:sz w:val="20"/>
          <w:szCs w:val="20"/>
        </w:rPr>
        <w:fldChar w:fldCharType="begin" w:fldLock="1"/>
      </w:r>
      <w:r w:rsidR="004351D2" w:rsidRPr="007F123F">
        <w:rPr>
          <w:rFonts w:ascii="Arial" w:hAnsi="Arial" w:cs="Arial"/>
          <w:sz w:val="20"/>
          <w:szCs w:val="20"/>
        </w:rPr>
        <w:instrText>ADDIN CSL_CITATION {"citationItems":[{"id":"ITEM-1","itemData":{"DOI":"10.9734/ijbcrr/2018/37304","author":[{"dropping-particle":"","family":"Ijioma","given":"Solomon","non-dropping-particle":"","parse-names":false,"suffix":""},{"dropping-particle":"","family":"Osim","given":"Eme","non-dropping-particle":"","parse-names":false,"suffix":""},{"dropping-particle":"","family":"Nwankwo","given":"Azubuike","non-dropping-particle":"","parse-names":false,"suffix":""},{"dropping-particle":"","family":"Nwosu","given":"Okechukwu","non-dropping-particle":"","parse-names":false,"suffix":""},{"dropping-particle":"","family":"Umezurike","given":"Chidozie","non-dropping-particle":"","parse-names":false,"suffix":""},{"dropping-particle":"","family":"Nwawuba","given":"Nnaemeka","non-dropping-particle":"","parse-names":false,"suffix":""}],"container-title":"International Journal of Biochemistry Research &amp; Review","id":"ITEM-1","issue":"3","issued":{"date-parts":[["2018"]]},"page":"1-10","title":"Relative Organ Weights and Histological Changes in Wistar Rats Treated with a South East Nigerian Polyherbal Formulation (Ajumbise)","type":"article-journal","volume":"21"},"uris":["http://www.mendeley.com/documents/?uuid=d16e5ec1-c50d-425f-9c63-894cb1967054"]}],"mendeley":{"formattedCitation":"(Ijioma et al., 2018)","manualFormatting":"Ijioma et al. (2018)","plainTextFormattedCitation":"(Ijioma et al., 2018)","previouslyFormattedCitation":"(Ijioma et al., 2018)"},"properties":{"noteIndex":0},"schema":"https://github.com/citation-style-language/schema/raw/master/csl-citation.json"}</w:instrText>
      </w:r>
      <w:r w:rsidR="000D34CA" w:rsidRPr="007F123F">
        <w:rPr>
          <w:rFonts w:ascii="Arial" w:hAnsi="Arial" w:cs="Arial"/>
          <w:sz w:val="20"/>
          <w:szCs w:val="20"/>
        </w:rPr>
        <w:fldChar w:fldCharType="separate"/>
      </w:r>
      <w:r w:rsidR="004351D2" w:rsidRPr="007F123F">
        <w:rPr>
          <w:rFonts w:ascii="Arial" w:hAnsi="Arial" w:cs="Arial"/>
          <w:noProof/>
          <w:sz w:val="20"/>
          <w:szCs w:val="20"/>
        </w:rPr>
        <w:t>(</w:t>
      </w:r>
      <w:r w:rsidR="00630013">
        <w:rPr>
          <w:rFonts w:ascii="Arial" w:hAnsi="Arial" w:cs="Arial"/>
          <w:noProof/>
          <w:sz w:val="20"/>
          <w:szCs w:val="20"/>
        </w:rPr>
        <w:t>26</w:t>
      </w:r>
      <w:r w:rsidR="00763E5F" w:rsidRPr="007F123F">
        <w:rPr>
          <w:rFonts w:ascii="Arial" w:hAnsi="Arial" w:cs="Arial"/>
          <w:noProof/>
          <w:sz w:val="20"/>
          <w:szCs w:val="20"/>
        </w:rPr>
        <w:t>)</w:t>
      </w:r>
      <w:r w:rsidR="000D34CA" w:rsidRPr="007F123F">
        <w:rPr>
          <w:rFonts w:ascii="Arial" w:hAnsi="Arial" w:cs="Arial"/>
          <w:sz w:val="20"/>
          <w:szCs w:val="20"/>
        </w:rPr>
        <w:fldChar w:fldCharType="end"/>
      </w:r>
      <w:r w:rsidR="000D34CA" w:rsidRPr="007F123F">
        <w:rPr>
          <w:rFonts w:ascii="Arial" w:hAnsi="Arial" w:cs="Arial"/>
          <w:sz w:val="20"/>
          <w:szCs w:val="20"/>
        </w:rPr>
        <w:t>.</w:t>
      </w:r>
      <w:r w:rsidR="00886473" w:rsidRPr="007F123F">
        <w:rPr>
          <w:rFonts w:ascii="Arial" w:hAnsi="Arial" w:cs="Arial"/>
          <w:sz w:val="20"/>
          <w:szCs w:val="20"/>
        </w:rPr>
        <w:t xml:space="preserve"> </w:t>
      </w:r>
      <w:commentRangeEnd w:id="19"/>
      <w:r w:rsidR="00F74262">
        <w:rPr>
          <w:rStyle w:val="CommentReference"/>
        </w:rPr>
        <w:commentReference w:id="19"/>
      </w:r>
      <w:r w:rsidR="000D34CA" w:rsidRPr="007F123F">
        <w:rPr>
          <w:rFonts w:ascii="Arial" w:hAnsi="Arial" w:cs="Arial"/>
          <w:sz w:val="20"/>
          <w:szCs w:val="20"/>
        </w:rPr>
        <w:t>High-fat diets increase kidney weight relative to body weight (w/</w:t>
      </w:r>
      <w:r w:rsidR="00630013" w:rsidRPr="007F123F">
        <w:rPr>
          <w:rFonts w:ascii="Arial" w:hAnsi="Arial" w:cs="Arial"/>
          <w:sz w:val="20"/>
          <w:szCs w:val="20"/>
        </w:rPr>
        <w:t>BW %</w:t>
      </w:r>
      <w:r w:rsidR="000D34CA" w:rsidRPr="007F123F">
        <w:rPr>
          <w:rFonts w:ascii="Arial" w:hAnsi="Arial" w:cs="Arial"/>
          <w:sz w:val="20"/>
          <w:szCs w:val="20"/>
        </w:rPr>
        <w:t xml:space="preserve">), potentially due to dyslipidemia, increased blood pressure, oxidative stress, increased perirenal fat and inflammation </w:t>
      </w:r>
      <w:r w:rsidR="00630013">
        <w:rPr>
          <w:rFonts w:ascii="Arial" w:hAnsi="Arial" w:cs="Arial"/>
          <w:sz w:val="20"/>
          <w:szCs w:val="20"/>
        </w:rPr>
        <w:t>(27</w:t>
      </w:r>
      <w:r w:rsidR="00FB1AFF" w:rsidRPr="007F123F">
        <w:rPr>
          <w:rFonts w:ascii="Arial" w:hAnsi="Arial" w:cs="Arial"/>
          <w:sz w:val="20"/>
          <w:szCs w:val="20"/>
        </w:rPr>
        <w:t>)</w:t>
      </w:r>
      <w:r w:rsidR="000D34CA" w:rsidRPr="007F123F">
        <w:rPr>
          <w:rFonts w:ascii="Arial" w:hAnsi="Arial" w:cs="Arial"/>
          <w:sz w:val="20"/>
          <w:szCs w:val="20"/>
        </w:rPr>
        <w:t xml:space="preserve">. Conversely, coconut oil's antioxidant properties may have reduced liver weight by lowering inflammation and excess fat accumulation </w:t>
      </w:r>
      <w:r w:rsidR="000D34CA"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{"citationItems":[{"id":"ITEM-1","itemData":{"DOI":"10.14218/GE.2022.00006","ISSN":"1052-2166","abstract":"This study aimed to evaluate the effect of coconut oil (CO) on steatosis and oxidative stress in rats fed a high-fat diet.","author":[{"dropping-particle":"","family":"Barreto","given":"Laura Perreira","non-dropping-particle":"","parse-names":false,"suffix":""},{"dropping-particle":"","family":"Silva","given":"Raissa Yolanda de Oliveira","non-dropping-particle":"","parse-names":false,"suffix":""},{"dropping-particle":"de","family":"Almeida","given":"Bianca Bellizzi","non-dropping-particle":"","parse-names":false,"suffix":""},{"dropping-particle":"","family":"Ovídio","given":"Paula Payão","non-dropping-particle":"","parse-names":false,"suffix":""},{"dropping-particle":"","family":"Jordao","given":"Alceu Afonso","non-dropping-particle":"","parse-names":false,"suffix":""}],"container-title":"http://www.xiahepublishing.com/","id":"ITEM-1","issue":"1","issued":{"date-parts":[["2023","3","28"]]},"page":"10-18","publisher":"Xia &amp; He Publishing Inc.","title":"Metabolic Effects of Coconut Oil on Fatty Liver and Oxidative Stress Induced by a High-fat Diet in Rats","type":"article-journal","volume":"22"},"uris":["http://www.mendeley.com/documents/?uuid=a73cf30f-efde-3cf3-a5a8-ed780d773bfa"]}],"mendeley":{"formattedCitation":"(Barreto et al., 2023)","plainTextFormattedCitation":"(Barreto et al., 2023)","previouslyFormattedCitation":"(Barreto et al., 2023)"},"properties":{"noteIndex":0},"schema":"https://github.com/citation-style-language/schema/raw/master/csl-citation.json"}</w:instrText>
      </w:r>
      <w:r w:rsidR="000D34CA" w:rsidRPr="007F123F">
        <w:rPr>
          <w:rFonts w:ascii="Arial" w:hAnsi="Arial" w:cs="Arial"/>
          <w:sz w:val="20"/>
          <w:szCs w:val="20"/>
        </w:rPr>
        <w:fldChar w:fldCharType="separate"/>
      </w:r>
      <w:r w:rsidR="00763E5F" w:rsidRPr="007F123F">
        <w:rPr>
          <w:rFonts w:ascii="Arial" w:hAnsi="Arial" w:cs="Arial"/>
          <w:noProof/>
          <w:sz w:val="20"/>
          <w:szCs w:val="20"/>
        </w:rPr>
        <w:t>(</w:t>
      </w:r>
      <w:r w:rsidR="00630013">
        <w:rPr>
          <w:rFonts w:ascii="Arial" w:hAnsi="Arial" w:cs="Arial"/>
          <w:noProof/>
          <w:sz w:val="20"/>
          <w:szCs w:val="20"/>
        </w:rPr>
        <w:t>11</w:t>
      </w:r>
      <w:r w:rsidR="00763E5F" w:rsidRPr="007F123F">
        <w:rPr>
          <w:rFonts w:ascii="Arial" w:hAnsi="Arial" w:cs="Arial"/>
          <w:noProof/>
          <w:sz w:val="20"/>
          <w:szCs w:val="20"/>
        </w:rPr>
        <w:t>)</w:t>
      </w:r>
      <w:r w:rsidR="000D34CA" w:rsidRPr="007F123F">
        <w:rPr>
          <w:rFonts w:ascii="Arial" w:hAnsi="Arial" w:cs="Arial"/>
          <w:sz w:val="20"/>
          <w:szCs w:val="20"/>
        </w:rPr>
        <w:fldChar w:fldCharType="end"/>
      </w:r>
      <w:r w:rsidR="000D34CA" w:rsidRPr="007F123F">
        <w:rPr>
          <w:rFonts w:ascii="Arial" w:hAnsi="Arial" w:cs="Arial"/>
          <w:sz w:val="20"/>
          <w:szCs w:val="20"/>
        </w:rPr>
        <w:t>.</w:t>
      </w:r>
    </w:p>
    <w:p w14:paraId="2E53839B" w14:textId="58940645" w:rsidR="000D34CA" w:rsidRPr="007F123F" w:rsidRDefault="000D34CA" w:rsidP="00877683">
      <w:pPr>
        <w:tabs>
          <w:tab w:val="left" w:pos="0"/>
        </w:tabs>
        <w:spacing w:before="240" w:line="480" w:lineRule="auto"/>
        <w:jc w:val="both"/>
        <w:rPr>
          <w:rFonts w:ascii="Arial" w:hAnsi="Arial" w:cs="Arial"/>
          <w:sz w:val="20"/>
          <w:szCs w:val="20"/>
        </w:rPr>
      </w:pPr>
      <w:r w:rsidRPr="007F123F">
        <w:rPr>
          <w:rFonts w:ascii="Arial" w:hAnsi="Arial" w:cs="Arial"/>
          <w:sz w:val="20"/>
          <w:szCs w:val="20"/>
        </w:rPr>
        <w:t xml:space="preserve">High-fibre diets increased kidney w/BW%, possibly by improving gut microbiota and reducing kidney workload, aiding in waste removal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{"citationItems":[{"id":"ITEM-1","itemData":{"DOI":"10.3945/AN.116.013219","ISSN":"2156-5376","PMID":"28140328","abstract":"Increased dietary fiber (DF) intake elicits a wide range of physiologic effects, not just locally in the gut, but systemically. DFs can greatly alter the gut milieu by affecting the gut microbiome, which in turn influences the gut barrier, gastrointestinal immune and endocrine responses, and nitrogen cycling and microbial metabolism. These gut-associated changes can then alter the physiology and biochemistry of the body's other main nutrient management and detoxification organs, the liver and kidneys. The molecular mechanisms by which DF alters the physiology of the gut, liver, and kidneys is likely through gut-localized events (i.e., bacterial nitrogen metabolism, microbe-microbe, and microbe-host cell interactions) coupled with specific factors that emanate from the gut in response to DF, which signal to or affect the physiology of the liver and kidneys. The latter may include microbe-derived xenometabolites, peptides, or bioactive food components made available by gut microbes, inflammation signals, and gut hormones. The intent of this review is to summarize how DF alters the gut milieu to specifically affect intestinal, liver, and kidney functions and to discuss the potential local and systemic signaling networks that are involved.","author":[{"dropping-particle":"","family":"Kieffer","given":"Dorothy A.","non-dropping-particle":"","parse-names":false,"suffix":""},{"dropping-particle":"","family":"Martin","given":"Roy J.","non-dropping-particle":"","parse-names":false,"suffix":""},{"dropping-particle":"","family":"Adams","given":"Sean H.","non-dropping-particle":"","parse-names":false,"suffix":""}],"container-title":"Advances in nutrition (Bethesda, Md.)","id":"ITEM-1","issue":"6","issued":{"date-parts":[["2016"]]},"page":"1111-1121","publisher":"Adv Nutr","title":"Impact of Dietary Fibers on Nutrient Management and Detoxification Organs: Gut, Liver, and Kidneys","type":"article-journal","volume":"7"},"uris":["http://www.mendeley.com/documents/?uuid=f06ac23f-2622-304c-953c-dcc39d97b07b"]}],"mendeley":{"formattedCitation":"(Kieffer et al., 2016)","plainTextFormattedCitation":"(Kieffer et al., 2016)","previouslyFormattedCitation":"(Kieffer et al., 2016)"},"properties":{"noteIndex":0},"schema":"https://github.com/citation-style-language/schema/raw/master/csl-citation.json"}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630013">
        <w:rPr>
          <w:rFonts w:ascii="Arial" w:hAnsi="Arial" w:cs="Arial"/>
          <w:noProof/>
          <w:sz w:val="20"/>
          <w:szCs w:val="20"/>
        </w:rPr>
        <w:t>14</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w:t>
      </w:r>
      <w:r w:rsidR="002D7C56">
        <w:rPr>
          <w:rFonts w:ascii="Arial" w:hAnsi="Arial" w:cs="Arial"/>
          <w:sz w:val="20"/>
          <w:szCs w:val="20"/>
        </w:rPr>
        <w:t>A</w:t>
      </w:r>
      <w:r w:rsidR="002D7C56" w:rsidRPr="007F123F">
        <w:rPr>
          <w:rFonts w:ascii="Arial" w:hAnsi="Arial" w:cs="Arial"/>
          <w:sz w:val="20"/>
          <w:szCs w:val="20"/>
        </w:rPr>
        <w:t xml:space="preserve">lso </w:t>
      </w:r>
      <w:r w:rsidRPr="007F123F">
        <w:rPr>
          <w:rFonts w:ascii="Arial" w:hAnsi="Arial" w:cs="Arial"/>
          <w:sz w:val="20"/>
          <w:szCs w:val="20"/>
        </w:rPr>
        <w:fldChar w:fldCharType="begin" w:fldLock="1"/>
      </w:r>
      <w:r w:rsidR="00886473" w:rsidRPr="007F123F">
        <w:rPr>
          <w:rFonts w:ascii="Arial" w:hAnsi="Arial" w:cs="Arial"/>
          <w:sz w:val="20"/>
          <w:szCs w:val="20"/>
        </w:rPr>
        <w:instrText>ADDIN CSL_CITATION {"citationItems":[{"id":"ITEM-1","itemData":{"DOI":"10.3945/AN.116.013219","ISSN":"2156-5376","PMID":"28140328","abstract":"Increased dietary fiber (DF) intake elicits a wide range of physiologic effects, not just locally in the gut, but systemically. DFs can greatly alter the gut milieu by affecting the gut microbiome, which in turn influences the gut barrier, gastrointestinal immune and endocrine responses, and nitrogen cycling and microbial metabolism. These gut-associated changes can then alter the physiology and biochemistry of the body's other main nutrient management and detoxification organs, the liver and kidneys. The molecular mechanisms by which DF alters the physiology of the gut, liver, and kidneys is likely through gut-localized events (i.e., bacterial nitrogen metabolism, microbe-microbe, and microbe-host cell interactions) coupled with specific factors that emanate from the gut in response to DF, which signal to or affect the physiology of the liver and kidneys. The latter may include microbe-derived xenometabolites, peptides, or bioactive food components made available by gut microbes, inflammation signals, and gut hormones. The intent of this review is to summarize how DF alters the gut milieu to specifically affect intestinal, liver, and kidney functions and to discuss the potential local and systemic signaling networks that are involved.","author":[{"dropping-particle":"","family":"Kieffer","given":"Dorothy A.","non-dropping-particle":"","parse-names":false,"suffix":""},{"dropping-particle":"","family":"Martin","given":"Roy J.","non-dropping-particle":"","parse-names":false,"suffix":""},{"dropping-particle":"","family":"Adams","given":"Sean H.","non-dropping-particle":"","parse-names":false,"suffix":""}],"container-title":"Advances in nutrition (Bethesda, Md.)","id":"ITEM-1","issue":"6","issued":{"date-parts":[["2016"]]},"page":"1111-1121","publisher":"Adv Nutr","title":"Impact of Dietary Fibers on Nutrient Management and Detoxification Organs: Gut, Liver, and Kidneys","type":"article-journal","volume":"7"},"uris":["http://www.mendeley.com/documents/?uuid=f06ac23f-2622-304c-953c-dcc39d97b07b"]}],"mendeley":{"formattedCitation":"(Kieffer et al., 2016)","manualFormatting":"Kieffer et al. (2016)","plainTextFormattedCitation":"(Kieffer et al., 2016)","previouslyFormattedCitation":"(Kieffer et al., 2016)"},"properties":{"noteIndex":0},"schema":"https://github.com/citation-style-language/schema/raw/master/csl-citation.json"}</w:instrText>
      </w:r>
      <w:r w:rsidRPr="007F123F">
        <w:rPr>
          <w:rFonts w:ascii="Arial" w:hAnsi="Arial" w:cs="Arial"/>
          <w:sz w:val="20"/>
          <w:szCs w:val="20"/>
        </w:rPr>
        <w:fldChar w:fldCharType="separate"/>
      </w:r>
      <w:r w:rsidR="00630013">
        <w:rPr>
          <w:rFonts w:ascii="Arial" w:hAnsi="Arial" w:cs="Arial"/>
          <w:noProof/>
          <w:sz w:val="20"/>
          <w:szCs w:val="20"/>
        </w:rPr>
        <w:t>(14</w:t>
      </w:r>
      <w:r w:rsidRPr="007F123F">
        <w:rPr>
          <w:rFonts w:ascii="Arial" w:hAnsi="Arial" w:cs="Arial"/>
          <w:sz w:val="20"/>
          <w:szCs w:val="20"/>
        </w:rPr>
        <w:fldChar w:fldCharType="end"/>
      </w:r>
      <w:r w:rsidR="00630013">
        <w:rPr>
          <w:rFonts w:ascii="Arial" w:hAnsi="Arial" w:cs="Arial"/>
          <w:sz w:val="20"/>
          <w:szCs w:val="20"/>
        </w:rPr>
        <w:t>)</w:t>
      </w:r>
      <w:r w:rsidRPr="007F123F">
        <w:rPr>
          <w:rFonts w:ascii="Arial" w:hAnsi="Arial" w:cs="Arial"/>
          <w:sz w:val="20"/>
          <w:szCs w:val="20"/>
        </w:rPr>
        <w:t xml:space="preserve"> reported that the changes caused in the gut by fibre </w:t>
      </w:r>
      <w:r w:rsidRPr="007F123F">
        <w:rPr>
          <w:rFonts w:ascii="Arial" w:hAnsi="Arial" w:cs="Arial"/>
          <w:sz w:val="20"/>
          <w:szCs w:val="20"/>
        </w:rPr>
        <w:lastRenderedPageBreak/>
        <w:t xml:space="preserve">could serve as a barrier to prevent bacteria that cause inflammation from invading the liver and kidney. Age-related structural changes could decrease kidney weight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URL":"https://www.msdmanuals.com/home/kidney-and-urinary-tract-disorders/diagnosis-of-kidney-and-urinary-tract-disorders/imaging-tests-of-the-urinary-tract","accessed":{"date-parts":[["2023","7","13"]]},"author":[{"dropping-particle":"","family":"Glenn","given":"M. Preminger","non-dropping-particle":"","parse-names":false,"suffix":""}],"container-title":"MSD manual Consumer version","id":"ITEM-1","issued":{"date-parts":[["2022"]]},"title":"Imaging Tests of the Urinary Tract - Kidney and Urinary Tract Disorders - MSD Manual Consumer Version","type":"webpage"},"uris":["http://www.mendeley.com/documents/?uuid=a25014bb-64c3-3611-9950-a191c07bfced"]}],"mendeley":{"formattedCitation":"(Glenn, 2022)","plainTextFormattedCitation":"(Glenn, 2022)","previouslyFormattedCitation":"(Glenn, 2022)"},"properties":{"noteIndex":0},"schema":"https://github.com/citation-style-language/schema/raw/master/csl-citation.json"}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265E18">
        <w:rPr>
          <w:rFonts w:ascii="Arial" w:hAnsi="Arial" w:cs="Arial"/>
          <w:noProof/>
          <w:sz w:val="20"/>
          <w:szCs w:val="20"/>
        </w:rPr>
        <w:t>28</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especially in low-fibre diets. High-fibre diets improve kidney health to maintain healthy kidney size and function. Heart weight increased in rats fed higher levels of coconut oil, likely due to fat accumulation or increased cholesterol levels. Interaction effects between high fat and fibre levels indicated increased kidney and heart weight, possibly due to elevated lipid profiles and fat deposits.</w:t>
      </w:r>
    </w:p>
    <w:p w14:paraId="54EC8A54" w14:textId="72EEB13B" w:rsidR="000D34CA" w:rsidRPr="007F123F" w:rsidRDefault="00956F8C" w:rsidP="000D18E6">
      <w:pPr>
        <w:pStyle w:val="Heading2"/>
      </w:pPr>
      <w:bookmarkStart w:id="20" w:name="_Toc153348039"/>
      <w:r>
        <w:t xml:space="preserve">3.4 </w:t>
      </w:r>
      <w:r w:rsidR="000D34CA" w:rsidRPr="007F123F">
        <w:t>Blood Glucose</w:t>
      </w:r>
      <w:bookmarkEnd w:id="20"/>
    </w:p>
    <w:p w14:paraId="6BAC6409" w14:textId="218E0CB2" w:rsidR="00AB3993" w:rsidRDefault="000D34CA" w:rsidP="00955E77">
      <w:pPr>
        <w:tabs>
          <w:tab w:val="left" w:pos="0"/>
        </w:tabs>
        <w:spacing w:after="0" w:line="480" w:lineRule="auto"/>
        <w:jc w:val="both"/>
        <w:rPr>
          <w:rFonts w:ascii="Arial" w:hAnsi="Arial" w:cs="Arial"/>
          <w:sz w:val="20"/>
          <w:szCs w:val="20"/>
        </w:rPr>
      </w:pPr>
      <w:r w:rsidRPr="007F123F">
        <w:rPr>
          <w:rFonts w:ascii="Arial" w:hAnsi="Arial" w:cs="Arial"/>
          <w:sz w:val="20"/>
          <w:szCs w:val="20"/>
        </w:rPr>
        <w:t>The blood glucose levels of Albino rats were unaffected by varying levels of dietary fat and fibre on d 56</w:t>
      </w:r>
      <w:r w:rsidR="00535518">
        <w:rPr>
          <w:rFonts w:ascii="Arial" w:hAnsi="Arial" w:cs="Arial"/>
          <w:sz w:val="20"/>
          <w:szCs w:val="20"/>
        </w:rPr>
        <w:t xml:space="preserve"> </w:t>
      </w:r>
      <w:r w:rsidR="00955E77">
        <w:rPr>
          <w:rFonts w:ascii="Arial" w:hAnsi="Arial" w:cs="Arial"/>
          <w:sz w:val="20"/>
          <w:szCs w:val="20"/>
        </w:rPr>
        <w:t xml:space="preserve">     </w:t>
      </w:r>
      <w:r w:rsidR="00535518">
        <w:rPr>
          <w:rFonts w:ascii="Arial" w:hAnsi="Arial" w:cs="Arial"/>
          <w:sz w:val="20"/>
          <w:szCs w:val="20"/>
        </w:rPr>
        <w:t>(Table 5)</w:t>
      </w:r>
      <w:r w:rsidRPr="007F123F">
        <w:rPr>
          <w:rFonts w:ascii="Arial" w:hAnsi="Arial" w:cs="Arial"/>
          <w:sz w:val="20"/>
          <w:szCs w:val="20"/>
        </w:rPr>
        <w:t xml:space="preserve">. </w:t>
      </w:r>
    </w:p>
    <w:p w14:paraId="34C37AFD" w14:textId="77777777" w:rsidR="00883791" w:rsidRPr="007F123F" w:rsidRDefault="00883791" w:rsidP="00883791">
      <w:pPr>
        <w:tabs>
          <w:tab w:val="left" w:pos="0"/>
        </w:tabs>
        <w:spacing w:line="480" w:lineRule="auto"/>
        <w:jc w:val="both"/>
        <w:rPr>
          <w:rFonts w:ascii="Arial" w:hAnsi="Arial" w:cs="Arial"/>
          <w:sz w:val="20"/>
          <w:szCs w:val="20"/>
        </w:rPr>
      </w:pPr>
      <w:r>
        <w:rPr>
          <w:rFonts w:ascii="Arial" w:hAnsi="Arial" w:cs="Arial"/>
          <w:sz w:val="20"/>
          <w:szCs w:val="20"/>
        </w:rPr>
        <w:t>The result</w:t>
      </w:r>
      <w:r w:rsidRPr="007F123F">
        <w:rPr>
          <w:rFonts w:ascii="Arial" w:hAnsi="Arial" w:cs="Arial"/>
          <w:sz w:val="20"/>
          <w:szCs w:val="20"/>
        </w:rPr>
        <w:t>s</w:t>
      </w:r>
      <w:r>
        <w:rPr>
          <w:rFonts w:ascii="Arial" w:hAnsi="Arial" w:cs="Arial"/>
          <w:sz w:val="20"/>
          <w:szCs w:val="20"/>
        </w:rPr>
        <w:t xml:space="preserve"> on the blood glucose</w:t>
      </w:r>
      <w:r w:rsidRPr="007F123F">
        <w:rPr>
          <w:rFonts w:ascii="Arial" w:hAnsi="Arial" w:cs="Arial"/>
          <w:sz w:val="20"/>
          <w:szCs w:val="20"/>
        </w:rPr>
        <w:t xml:space="preserve"> aligns with previous research by </w:t>
      </w:r>
      <w:r w:rsidRPr="007F123F">
        <w:rPr>
          <w:rFonts w:ascii="Arial" w:hAnsi="Arial" w:cs="Arial"/>
          <w:sz w:val="20"/>
          <w:szCs w:val="20"/>
        </w:rPr>
        <w:fldChar w:fldCharType="begin" w:fldLock="1"/>
      </w:r>
      <w:r w:rsidRPr="007F123F">
        <w:rPr>
          <w:rFonts w:ascii="Arial" w:hAnsi="Arial" w:cs="Arial"/>
          <w:sz w:val="20"/>
          <w:szCs w:val="20"/>
        </w:rPr>
        <w:instrText xml:space="preserve">ADDIN CSL_CITATION {"citationItems":[{"id":"ITEM-1","itemData":{"DOI":"10.51791/NJAP.V45I2.535","abstract":"This study was conducted to determine the effect of coconut oil inclusion on thesupplementary feed intake, weight gain, haematology and serum biochemistry of grazing cattle. Twenty-five (25) White Fulani cattle weighing 138±2.21 kg were randomly allotted to five treatment groups of coconut oil administration (0 g/day, 50 g/day, 100 g/day, 150 g/day and 200 g/day) in a completely randomised design. The animals were grazed for 84 days and supplemented with concentrate throughout the experimental period. Data on feed intake, weight gain and blood profile of cattle were analysed using one-way analysis of variance. Results obtained showed that coconut oil did not affect (P&gt;0.05) the supplementary concentrate intake of grazing cattle. Lower (P&lt;0.05) weight gain was observed with animals fed coconut oil at 50 g/day (9.64 kg) but increased to 17.64 kg with 150 g/day. Packed cell volume, haemoglobin and white blood cells were not affected (P&gt;0.05) by coconut oil. Thehighest (P&lt;0.05) red blood cell (6.91×10 /L) and platelet counts (67.00×10 /L) wererecorded at 150 g/day coconut oil. Total cholesterol, HDL and LDL values were increased (P&lt;0.05) with increasing levels of coconut oil. Values obtained for HDL (166.00 mg/dL to 145.15 mg/dL) and LDL (135.00 mg/dL to 88.40 mg/dL) decreased when the level of oil was increased from 150g/day to 200g/day. Administering coconut oil up to 150 g/day is recommended as it increases the body weight gain of cattle and maintain the normal PCV and haemoglobin concentration of the animals","author":[{"dropping-particle":"","family":"Adelusi","given":"O. O.","non-dropping-particle":"","parse-names":false,"suffix":""},{"dropping-particle":"","family":"Oni","given":"A. O.","non-dropping-particle":"","parse-names":false,"suffix":""},{"dropping-particle":"","family":"Aderinboye","given":"R. Y.","non-dropping-particle":"","parse-names":false,"suffix":""},{"dropping-particle":"","family":"Arigbede","given":"O. M.","non-dropping-particle":"","parse-names":false,"suffix":""},{"dropping-particle":"","family":"Onwuka","given":"C. F. I.","non-dropping-particle":"","parse-names":false,"suffix":""}],"container-title":"Nigerian Journal of Animal Production","id":"ITEM-1","issue":"2","issued":{"date-parts":[["2020","12","25"]]},"page":"316-324","publisher":"Nigerian Society for Animal Production (NSAP)","title":"Effects of coconut oil on the weight and blood status of grazing cattle fed concentrate as supplementary feed","type":"article-journal","volume":"45"},"uris":["http://www.mendeley.com/documents/?uuid=0f47431b-5caa-3111-9e76-0f708f43e3a3"]},{"id":"ITEM-2","itemData":{"DOI":"10.1016/j.jff.2018.07.036","ISSN":"17564646","abstract":"The recommended amount of intake of virgin coconut oil (VCO) for health benefits has not been defined. This study aims to evaluate the effects of partial dietary substitution of lipid source by VCO in the health of Wistar rats. The animals were divided as: G1, 100% of soybean oil; G2, 10.4% of VCO; G3, 50% of VCO; and G4, 95% of VCO. Weight and body measurements were not affected by substitution, as well as morphometry of adipocytes, food intake and hepatic expression of PPAR-α and CPT-1 genes. VCO consumption affected the serum lipid profile in a dose-dependent way, just like the tissue incorporation of saturated fatty acids, the inflammation in adipose tissue, and the antioxidant and antimicrobial effects. Since, it was not possible to establish the best dose of VCO to be consumed, the current recommendations for the consumption of satured fatty acids should be followed.","author":[{"dropping-particle":"","family":"Moura e Dias","given":"Mariana","non-dropping-particle":"de","parse-names":false,"suffix":""},{"dropping-particle":"","family":"Pais Siqueira","given":"Nathane","non-dropping-particle":"","parse-names":false,"suffix":""},{"dropping-particle":"","family":"Lopes da Conceição","given":"Lisiane","non-dropping-particle":"","parse-names":false,"suffix":""},{"dropping-particle":"","family":"Aparecida dos Reis","given":"Sandra","non-dropping-particle":"","parse-names":false,"suffix":""},{"dropping-particle":"","family":"Xavier Valente","given":"Flávia","non-dropping-particle":"","parse-names":false,"suffix":""},{"dropping-particle":"","family":"Maciel dos Santos Dias","given":"Manoela","non-dropping-particle":"","parse-names":false,"suffix":""},{"dropping-particle":"","family":"Oliveira Barbosa Rosa","given":"Carla","non-dropping-particle":"de","parse-names":false,"suffix":""},{"dropping-particle":"","family":"Oliveira </w:instrText>
      </w:r>
      <w:r w:rsidRPr="007F123F">
        <w:rPr>
          <w:rFonts w:ascii="Arial" w:hAnsi="Arial" w:cs="Arial"/>
          <w:sz w:val="20"/>
          <w:szCs w:val="20"/>
          <w:lang w:val="nl-NL"/>
        </w:rPr>
        <w:instrText>de Paula","given":"Sérgio","non-dropping-particle":"","parse-names":false,"suffix":""},{"dropping-particle":"","family":"Matta","given":"Sérgio Luís Pinto","non-dropping-particle":"da","parse-names":false,"suffix":""},{"dropping-particle":"","family":"Licursi de Oliveira","given":"Leandro","non-dropping-particle":"","parse-names":false,"suffix":""},{"dropping-particle":"","family":"Bressan","given":"Josefina","non-dropping-particle":"","parse-names":false,"suffix":""},{"dropping-particle":"","family":"Gouveia Peluzio","given":"Maria do Carmo","non-dropping-particle":"","parse-names":false,"suffix":""}],"container-title":"Journal of Functional Foods","id":"ITEM-2","issued":{"date-parts":[["2018","9","1"]]},"page":"472-480","publisher":"Elsevier","title":"Consumption of virgin coconut oil in Wistar rats increases saturated fatty acids in the liver and adipose tissue, as well as adipose tissue inflammation","type":"article-journal","volume":"48"},"uris":["http://www.mendeley.com/documents/?uuid=60a12610-95eb-32e6-88c9-4e62f2c466ca"]}],"mendeley":{"formattedCitation":"(Adelusi et al., 2020; de Moura e Dias et al., 2018)","manualFormatting":"Adelusi et al. (2020) &amp; De Moura e Dias et al. (2018)","plainTextFormattedCitation":"(Adelusi et al., 2020; de Moura e Dias et al., 2018)","previouslyFormattedCitation":"(Adelusi et al., 2020; de Moura e Dias et al., 2018)"},"properties":{"noteIndex":0},"schema":"https://github.com/citation-style-language/schema/raw/master/csl-citation.json"}</w:instrText>
      </w:r>
      <w:r w:rsidRPr="007F123F">
        <w:rPr>
          <w:rFonts w:ascii="Arial" w:hAnsi="Arial" w:cs="Arial"/>
          <w:sz w:val="20"/>
          <w:szCs w:val="20"/>
        </w:rPr>
        <w:fldChar w:fldCharType="separate"/>
      </w:r>
      <w:r w:rsidRPr="007F123F">
        <w:rPr>
          <w:rFonts w:ascii="Arial" w:hAnsi="Arial" w:cs="Arial"/>
          <w:noProof/>
          <w:sz w:val="20"/>
          <w:szCs w:val="20"/>
        </w:rPr>
        <w:t>(2</w:t>
      </w:r>
      <w:r>
        <w:rPr>
          <w:rFonts w:ascii="Arial" w:hAnsi="Arial" w:cs="Arial"/>
          <w:noProof/>
          <w:sz w:val="20"/>
          <w:szCs w:val="20"/>
        </w:rPr>
        <w:t>4</w:t>
      </w:r>
      <w:r w:rsidRPr="007F123F">
        <w:rPr>
          <w:rFonts w:ascii="Arial" w:hAnsi="Arial" w:cs="Arial"/>
          <w:noProof/>
          <w:sz w:val="20"/>
          <w:szCs w:val="20"/>
        </w:rPr>
        <w:t>)</w:t>
      </w:r>
      <w:r w:rsidRPr="007F123F">
        <w:rPr>
          <w:rFonts w:ascii="Arial" w:hAnsi="Arial" w:cs="Arial"/>
          <w:sz w:val="20"/>
          <w:szCs w:val="20"/>
        </w:rPr>
        <w:fldChar w:fldCharType="end"/>
      </w:r>
      <w:r w:rsidRPr="007F123F">
        <w:rPr>
          <w:rStyle w:val="Heading3Char"/>
          <w:b w:val="0"/>
        </w:rPr>
        <w:t xml:space="preserve"> </w:t>
      </w:r>
      <w:r w:rsidRPr="007F123F">
        <w:rPr>
          <w:rFonts w:ascii="Arial" w:hAnsi="Arial" w:cs="Arial"/>
          <w:sz w:val="20"/>
          <w:szCs w:val="20"/>
        </w:rPr>
        <w:t>who reported that coconut oil did not significantly impact blood glucose levels in Wistar rats (</w:t>
      </w:r>
      <w:r>
        <w:rPr>
          <w:rFonts w:ascii="Arial" w:hAnsi="Arial" w:cs="Arial"/>
          <w:sz w:val="20"/>
          <w:szCs w:val="20"/>
        </w:rPr>
        <w:t>24)</w:t>
      </w:r>
      <w:r w:rsidRPr="007F123F">
        <w:rPr>
          <w:rFonts w:ascii="Arial" w:hAnsi="Arial" w:cs="Arial"/>
          <w:sz w:val="20"/>
          <w:szCs w:val="20"/>
        </w:rPr>
        <w:t xml:space="preserve">. A contrasting result reported by </w:t>
      </w:r>
      <w:r w:rsidRPr="007F123F">
        <w:rPr>
          <w:rFonts w:ascii="Arial" w:hAnsi="Arial" w:cs="Arial"/>
          <w:sz w:val="20"/>
          <w:szCs w:val="20"/>
        </w:rPr>
        <w:fldChar w:fldCharType="begin" w:fldLock="1"/>
      </w:r>
      <w:r w:rsidRPr="007F123F">
        <w:rPr>
          <w:rFonts w:ascii="Arial" w:hAnsi="Arial" w:cs="Arial"/>
          <w:sz w:val="20"/>
          <w:szCs w:val="20"/>
        </w:rPr>
        <w:instrText>ADDIN CSL_CITATION {"citationItems":[{"id":"ITEM-1","itemData":{"DOI":"10.1016/J.JFF.2021.104500","ISSN":"1756-4646","abstract":"This review aimed to assess the effect of dietary fiber on short-term and long-term glycemic control and insulin responses in T2DM patients. Five electronic databases were searched for randomized controlled trials (RCTs) published in English and investigating one primary outcome—glycated hemoglobin (HbA1c), and six secondary outcomes—fasting blood glucose (FBG), fasting insulin, Homeostatic Model Assessment for Insulin Resistance (HOMA-IR), two-hour postprandial glucose, two-hour postprandial insulin, and body mass index (BMI) through March 23, 2021. Of 3266 identified studies, 22 eligible RCTs comprising 911 participants with T2DM were included. Among them, 16 studies used soluble fiber and the rest used fiber from natural foods. Subgroup analysis demonstrated that soluble fiber was more efficient in controlling HbA1c and FBG than fiber from natural foods. Compared with the control, dietary fiber at a median dose of 10 g/day for a median intervention duration of 8 weeks significantly reduced HbA1c, FBG, fasting insulin, and HOMA-IR. In conclusion, both soluble fiber products and fiber from natural foods are effective in improving glycemic control and insulin sensitivity in T2DM patients, the former yielding better effects. However, due to most of the evidence from rather short-term trials and the detected significant between-study heterogeneity, further long-term and high-quality RCTs are needed.","author":[{"dropping-particle":"","family":"Mao","given":"Ting","non-dropping-particle":"","parse-names":false,"suffix":""},{"dropping-particle":"","family":"Huang","given":"Fansu","non-dropping-particle":"","parse-names":false,"suffix":""},{"dropping-particle":"","family":"Zhu","given":"Xuping","non-dropping-particle":"","parse-names":false,"suffix":""},{"dropping-particle":"","family":"Wei","given":"Dong","non-dropping-particle":"","parse-names":false,"suffix":""},{"dropping-particle":"","family":"Chen","given":"Lianmeng","non-dropping-particle":"","parse-names":false,"suffix":""}],"container-title":"Journal of Functional Foods","id":"ITEM-1","issued":{"date-parts":[["2021","7","1"]]},"page":"104500","publisher":"Elsevier","title":"Effects of dietary fiber on glycemic control and insulin sensitivity in patients with type 2 diabetes: A systematic review and meta-analysis","type":"article-journal","volume":"82"},"uris":["http://www.mendeley.com/documents/?uuid=20ca188e-8bc1-33af-a5f2-a47f8442b06d"]}],"mendeley":{"formattedCitation":"(Mao et al., 2021)","manualFormatting":"Mao et al. (2021)","plainTextFormattedCitation":"(Mao et al., 2021)","previouslyFormattedCitation":"(Mao et al., 2021)"},"properties":{"noteIndex":0},"schema":"https://github.com/citation-style-language/schema/raw/master/csl-citation.json"}</w:instrText>
      </w:r>
      <w:r w:rsidRPr="007F123F">
        <w:rPr>
          <w:rFonts w:ascii="Arial" w:hAnsi="Arial" w:cs="Arial"/>
          <w:sz w:val="20"/>
          <w:szCs w:val="20"/>
        </w:rPr>
        <w:fldChar w:fldCharType="separate"/>
      </w:r>
      <w:r w:rsidRPr="007F123F">
        <w:rPr>
          <w:rFonts w:ascii="Arial" w:hAnsi="Arial" w:cs="Arial"/>
          <w:noProof/>
          <w:sz w:val="20"/>
          <w:szCs w:val="20"/>
        </w:rPr>
        <w:t>(2</w:t>
      </w:r>
      <w:r>
        <w:rPr>
          <w:rFonts w:ascii="Arial" w:hAnsi="Arial" w:cs="Arial"/>
          <w:noProof/>
          <w:sz w:val="20"/>
          <w:szCs w:val="20"/>
        </w:rPr>
        <w:t>9</w:t>
      </w:r>
      <w:r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suggested that soluble fibre may improve blood sugar levels and insulin sensitivity more effectively than insoluble fibre. The present study utilized corn cob, which contains mainly insoluble fibre contributing to the little impact on blood glucose levels. The average blood glucose levels of the rats were in the normal reference range of 148-208 mg/dL submitted from the work of </w:t>
      </w:r>
      <w:r w:rsidRPr="007F123F">
        <w:rPr>
          <w:rFonts w:ascii="Arial" w:hAnsi="Arial" w:cs="Arial"/>
          <w:sz w:val="20"/>
          <w:szCs w:val="20"/>
        </w:rPr>
        <w:fldChar w:fldCharType="begin" w:fldLock="1"/>
      </w:r>
      <w:r w:rsidRPr="007F123F">
        <w:rPr>
          <w:rFonts w:ascii="Arial" w:hAnsi="Arial" w:cs="Arial"/>
          <w:sz w:val="20"/>
          <w:szCs w:val="20"/>
        </w:rPr>
        <w:instrText>ADDIN CSL_CITATION {"citationItems":[{"id":"ITEM-1","itemData":{"ISBN":"9781119130536","abstract":"*Modified from Loeb et al (1999) (Loeb, WF and Quimby, FW. 1999. The Clinical Chemistry of Laboratory Animals, 2nd ed. Philadelphia: Taylor &amp; Francis USA.) DLAM | Pathology &amp; Laboratory Medicine Services David Geffen School of Medicine at UCLA 650 Charles E. Young Drive South, CHS:5V-109 Los Angeles","author":[{"dropping-particle":"","family":"Geffen","given":"David","non-dropping-particle":"","parse-names":false,"suffix":""}],"container-title":"Pharmacology Online School of Medicine at UCLA","id":"ITEM-1","issue":"310","issued":{"date-parts":[["2019"]]},"page":"9-25","title":"Serum Chemistry Reference Range - Rat","type":"article-journal"},"uris":["http://www.mendeley.com/documents/?uuid=3dbadfd9-0adf-4563-ad87-000ccc3c255d"]}],"mendeley":{"formattedCitation":"(Geffen, 2019)","manualFormatting":"Geffen (2019)","plainTextFormattedCitation":"(Geffen, 2019)","previouslyFormattedCitation":"(Geffen, 2019)"},"properties":{"noteIndex":0},"schema":"https://github.com/citation-style-language/schema/raw/master/csl-citation.json"}</w:instrText>
      </w:r>
      <w:r w:rsidRPr="007F123F">
        <w:rPr>
          <w:rFonts w:ascii="Arial" w:hAnsi="Arial" w:cs="Arial"/>
          <w:sz w:val="20"/>
          <w:szCs w:val="20"/>
        </w:rPr>
        <w:fldChar w:fldCharType="separate"/>
      </w:r>
      <w:r w:rsidRPr="007F123F">
        <w:rPr>
          <w:rFonts w:ascii="Arial" w:hAnsi="Arial" w:cs="Arial"/>
          <w:noProof/>
          <w:sz w:val="20"/>
          <w:szCs w:val="20"/>
        </w:rPr>
        <w:t>(</w:t>
      </w:r>
      <w:r>
        <w:rPr>
          <w:rFonts w:ascii="Arial" w:hAnsi="Arial" w:cs="Arial"/>
          <w:noProof/>
          <w:sz w:val="20"/>
          <w:szCs w:val="20"/>
        </w:rPr>
        <w:t>30</w:t>
      </w:r>
      <w:r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w:t>
      </w:r>
    </w:p>
    <w:p w14:paraId="353B088B" w14:textId="4A52021E" w:rsidR="00883791" w:rsidRDefault="00883791" w:rsidP="00883791">
      <w:pPr>
        <w:tabs>
          <w:tab w:val="left" w:pos="0"/>
        </w:tabs>
        <w:spacing w:after="0" w:line="480" w:lineRule="auto"/>
        <w:jc w:val="both"/>
        <w:rPr>
          <w:rFonts w:ascii="Arial" w:hAnsi="Arial" w:cs="Arial"/>
          <w:sz w:val="20"/>
          <w:szCs w:val="20"/>
        </w:rPr>
      </w:pPr>
      <w:r w:rsidRPr="007F123F">
        <w:rPr>
          <w:rFonts w:ascii="Arial" w:hAnsi="Arial" w:cs="Arial"/>
          <w:sz w:val="20"/>
          <w:szCs w:val="20"/>
        </w:rPr>
        <w:t xml:space="preserve">While soluble fibre can slow digestion and regulate glucose levels, the insoluble fibre content of corn cob did not significantly impact blood glucose levels in this study. Although the combination of high levels of coconut oil and corncob resulted in a slightly lower blood glucose level compared to the other treatment groups, the difference was not significant. The present finding is consistent with a recent review by </w:t>
      </w:r>
      <w:r w:rsidRPr="007F123F">
        <w:rPr>
          <w:rFonts w:ascii="Arial" w:hAnsi="Arial" w:cs="Arial"/>
          <w:sz w:val="20"/>
          <w:szCs w:val="20"/>
        </w:rPr>
        <w:fldChar w:fldCharType="begin" w:fldLock="1"/>
      </w:r>
      <w:r w:rsidRPr="007F123F">
        <w:rPr>
          <w:rFonts w:ascii="Arial" w:hAnsi="Arial" w:cs="Arial"/>
          <w:sz w:val="20"/>
          <w:szCs w:val="20"/>
        </w:rPr>
        <w:instrText>ADDIN CSL_CITATION {"citationItems":[{"id":"ITEM-1","itemData":{"DOI":"10.1111/IJFS.16338","ISSN":"1365-2621","abstract":"The corn cob is still a significant component of the corn residue. It is estimated that maize cob accounts for 40–50 percent of total corn production. Corn cob is considered an agriculture waste (by-product of sweet corn). This by-product causes environmental pollution, which produces health problems. Its phytochemicals and prebiotic potential provide large benefits for humans when it is consumed. Therefore, corn cob has functional properties such as antioxidant, antimicrobial, anticoagulant, anticancer and reduces the blood glucose level. Corn cob may be used as opportunistic raw material in food products and other possible applications. Current review explained the nutritional composition of corn cob and its possible health benefits. In conclusion, corn cobs have the potential for the development of value-added products, which are gluten free and also contribute to flourish business of food development and nutraceutical manufacturing industries.","author":[{"dropping-particle":"","family":"Islam","given":"Fakhar","non-dropping-particle":"","parse-names":false,"suffix":""},{"dropping-particle":"","family":"Imran","given":"Ali","non-dropping-particle":"","parse-names":false,"suffix":""},{"dropping-particle":"","family":"Afzaal","given":"Muhammad","non-dropping-particle":"","parse-names":false,"suffix":""},{"dropping-particle":"","family":"Saeed","given":"Farhan","non-dropping-particle":"","parse-names":false,"suffix":""},{"dropping-particle":"","family":"Asghar","given":"Aasma","non-dropping-particle":"","parse-names":false,"suffix":""},{"dropping-particle":"","family":"Shahid","given":"Sumaira","non-dropping-particle":"","parse-names":false,"suffix":""},{"dropping-particle":"","family":"Shams","given":"Arooj","non-dropping-particle":"","parse-names":false,"suffix":""},{"dropping-particle":"","family":"Zahra","given":"Syeda Mahvish","non-dropping-particle":"","parse-names":false,"suffix":""},{"dropping-particle":"","family":"Biswas","given":"Sunanda","non-dropping-particle":"","parse-names":false,"suffix":""},{"dropping-particle":"","family":"Aslam","given":"Muhammad Arslan","non-dropping-particle":"","parse-names":false,"suffix":""}],"container-title":"International Journal of Food Science &amp; Technology","id":"ITEM-1","issue":"5","issued":{"date-parts":[["2023","5","1"]]},"page":"2181-2188","publisher":"John Wiley &amp; Sons, Ltd","title":"Nutritional, functional, and ethno-medical properties of sweet corn cob: a concurrent review","type":"article-journal","volume":"58"},"uris":["http://www.mendeley.com/documents/?uuid=ae72c9ca-f7dc-3304-b6f2-9b69aabd236e"]}],"mendeley":{"formattedCitation":"(Islam et al., 2023)","manualFormatting":"Islam et al. (2023)","plainTextFormattedCitation":"(Islam et al., 2023)","previouslyFormattedCitation":"(Islam et al., 2023)"},"properties":{"noteIndex":0},"schema":"https://github.com/citation-style-language/schema/raw/master/csl-citation.json"}</w:instrText>
      </w:r>
      <w:r w:rsidRPr="007F123F">
        <w:rPr>
          <w:rFonts w:ascii="Arial" w:hAnsi="Arial" w:cs="Arial"/>
          <w:sz w:val="20"/>
          <w:szCs w:val="20"/>
        </w:rPr>
        <w:fldChar w:fldCharType="separate"/>
      </w:r>
      <w:r w:rsidRPr="007F123F">
        <w:rPr>
          <w:rFonts w:ascii="Arial" w:hAnsi="Arial" w:cs="Arial"/>
          <w:noProof/>
          <w:sz w:val="20"/>
          <w:szCs w:val="20"/>
        </w:rPr>
        <w:t>(3</w:t>
      </w:r>
      <w:r>
        <w:rPr>
          <w:rFonts w:ascii="Arial" w:hAnsi="Arial" w:cs="Arial"/>
          <w:noProof/>
          <w:sz w:val="20"/>
          <w:szCs w:val="20"/>
        </w:rPr>
        <w:t>1</w:t>
      </w:r>
      <w:r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which suggested a potential but minimal effect of corn cob on reducing blood glucose levels.</w:t>
      </w:r>
    </w:p>
    <w:p w14:paraId="34C3E52F" w14:textId="77777777" w:rsidR="00AB1365" w:rsidRDefault="00AB1365" w:rsidP="00883791">
      <w:pPr>
        <w:tabs>
          <w:tab w:val="left" w:pos="0"/>
        </w:tabs>
        <w:spacing w:after="0" w:line="480" w:lineRule="auto"/>
        <w:jc w:val="both"/>
        <w:rPr>
          <w:rFonts w:ascii="Arial" w:hAnsi="Arial" w:cs="Arial"/>
          <w:sz w:val="20"/>
          <w:szCs w:val="20"/>
        </w:rPr>
      </w:pPr>
    </w:p>
    <w:p w14:paraId="5A3C02CE" w14:textId="77777777" w:rsidR="00AB1365" w:rsidRDefault="00AB1365" w:rsidP="00883791">
      <w:pPr>
        <w:tabs>
          <w:tab w:val="left" w:pos="0"/>
        </w:tabs>
        <w:spacing w:after="0" w:line="480" w:lineRule="auto"/>
        <w:jc w:val="both"/>
        <w:rPr>
          <w:rFonts w:ascii="Arial" w:hAnsi="Arial" w:cs="Arial"/>
          <w:sz w:val="20"/>
          <w:szCs w:val="20"/>
        </w:rPr>
      </w:pPr>
    </w:p>
    <w:p w14:paraId="4B4484A8" w14:textId="77777777" w:rsidR="00AB1365" w:rsidRDefault="00AB1365" w:rsidP="00883791">
      <w:pPr>
        <w:tabs>
          <w:tab w:val="left" w:pos="0"/>
        </w:tabs>
        <w:spacing w:after="0" w:line="480" w:lineRule="auto"/>
        <w:jc w:val="both"/>
        <w:rPr>
          <w:rFonts w:ascii="Arial" w:hAnsi="Arial" w:cs="Arial"/>
          <w:sz w:val="20"/>
          <w:szCs w:val="20"/>
        </w:rPr>
      </w:pPr>
    </w:p>
    <w:p w14:paraId="1EA2097C" w14:textId="77777777" w:rsidR="00AB1365" w:rsidRDefault="00AB1365" w:rsidP="00883791">
      <w:pPr>
        <w:tabs>
          <w:tab w:val="left" w:pos="0"/>
        </w:tabs>
        <w:spacing w:after="0" w:line="480" w:lineRule="auto"/>
        <w:jc w:val="both"/>
        <w:rPr>
          <w:rFonts w:ascii="Arial" w:hAnsi="Arial" w:cs="Arial"/>
          <w:sz w:val="20"/>
          <w:szCs w:val="20"/>
        </w:rPr>
      </w:pPr>
    </w:p>
    <w:p w14:paraId="49529577" w14:textId="77777777" w:rsidR="00AB1365" w:rsidRDefault="00AB1365" w:rsidP="00883791">
      <w:pPr>
        <w:tabs>
          <w:tab w:val="left" w:pos="0"/>
        </w:tabs>
        <w:spacing w:after="0" w:line="480" w:lineRule="auto"/>
        <w:jc w:val="both"/>
        <w:rPr>
          <w:rFonts w:ascii="Arial" w:hAnsi="Arial" w:cs="Arial"/>
          <w:sz w:val="20"/>
          <w:szCs w:val="20"/>
        </w:rPr>
      </w:pPr>
    </w:p>
    <w:p w14:paraId="3387D941" w14:textId="77777777" w:rsidR="00AB3993" w:rsidRPr="00162259" w:rsidRDefault="00AB3993" w:rsidP="00955E77">
      <w:pPr>
        <w:tabs>
          <w:tab w:val="left" w:pos="0"/>
        </w:tabs>
        <w:spacing w:after="0" w:line="480" w:lineRule="auto"/>
        <w:rPr>
          <w:rFonts w:ascii="Arial" w:hAnsi="Arial" w:cs="Arial"/>
          <w:b/>
          <w:sz w:val="20"/>
          <w:szCs w:val="20"/>
        </w:rPr>
      </w:pPr>
      <w:r w:rsidRPr="00162259">
        <w:rPr>
          <w:rFonts w:ascii="Arial" w:hAnsi="Arial" w:cs="Arial"/>
          <w:b/>
          <w:sz w:val="20"/>
          <w:szCs w:val="20"/>
        </w:rPr>
        <w:lastRenderedPageBreak/>
        <w:t xml:space="preserve">Table </w:t>
      </w:r>
      <w:r>
        <w:rPr>
          <w:rFonts w:ascii="Arial" w:hAnsi="Arial" w:cs="Arial"/>
          <w:b/>
          <w:sz w:val="20"/>
          <w:szCs w:val="20"/>
        </w:rPr>
        <w:t>5</w:t>
      </w:r>
      <w:r w:rsidRPr="00162259">
        <w:rPr>
          <w:rFonts w:ascii="Arial" w:hAnsi="Arial" w:cs="Arial"/>
          <w:b/>
          <w:sz w:val="20"/>
          <w:szCs w:val="20"/>
        </w:rPr>
        <w:t>: Effects of two dietary fat and fibre levels on the Blood Glucose (mg/dL) of Albino rats at d 56.</w:t>
      </w:r>
    </w:p>
    <w:tbl>
      <w:tblPr>
        <w:tblStyle w:val="TableGrid"/>
        <w:tblW w:w="570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6"/>
        <w:gridCol w:w="1170"/>
        <w:gridCol w:w="1260"/>
        <w:gridCol w:w="1620"/>
      </w:tblGrid>
      <w:tr w:rsidR="00AB3993" w:rsidRPr="00162259" w14:paraId="4915FD39" w14:textId="77777777" w:rsidTr="00B919A0">
        <w:trPr>
          <w:trHeight w:val="483"/>
        </w:trPr>
        <w:tc>
          <w:tcPr>
            <w:tcW w:w="1656" w:type="dxa"/>
            <w:tcBorders>
              <w:top w:val="single" w:sz="4" w:space="0" w:color="auto"/>
              <w:bottom w:val="nil"/>
            </w:tcBorders>
          </w:tcPr>
          <w:p w14:paraId="4F869E56" w14:textId="77777777" w:rsidR="00AB3993" w:rsidRPr="00162259" w:rsidRDefault="00AB3993" w:rsidP="0083042F">
            <w:pPr>
              <w:tabs>
                <w:tab w:val="left" w:pos="0"/>
              </w:tabs>
              <w:spacing w:line="276" w:lineRule="auto"/>
              <w:rPr>
                <w:rFonts w:ascii="Arial" w:hAnsi="Arial" w:cs="Arial"/>
                <w:b/>
                <w:sz w:val="20"/>
                <w:szCs w:val="20"/>
              </w:rPr>
            </w:pPr>
            <w:r w:rsidRPr="00162259">
              <w:rPr>
                <w:rFonts w:ascii="Arial" w:hAnsi="Arial" w:cs="Arial"/>
                <w:b/>
                <w:sz w:val="20"/>
                <w:szCs w:val="20"/>
              </w:rPr>
              <w:t>Effects</w:t>
            </w:r>
          </w:p>
        </w:tc>
        <w:tc>
          <w:tcPr>
            <w:tcW w:w="1170" w:type="dxa"/>
            <w:tcBorders>
              <w:top w:val="single" w:sz="4" w:space="0" w:color="auto"/>
              <w:bottom w:val="nil"/>
            </w:tcBorders>
          </w:tcPr>
          <w:p w14:paraId="7A7526D3"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b/>
                <w:sz w:val="20"/>
                <w:szCs w:val="20"/>
              </w:rPr>
              <w:t>Fat</w:t>
            </w:r>
          </w:p>
        </w:tc>
        <w:tc>
          <w:tcPr>
            <w:tcW w:w="1260" w:type="dxa"/>
            <w:tcBorders>
              <w:top w:val="single" w:sz="4" w:space="0" w:color="auto"/>
              <w:bottom w:val="nil"/>
            </w:tcBorders>
          </w:tcPr>
          <w:p w14:paraId="7B5F67D5"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b/>
                <w:sz w:val="20"/>
                <w:szCs w:val="20"/>
              </w:rPr>
              <w:t>Fibre</w:t>
            </w:r>
          </w:p>
        </w:tc>
        <w:tc>
          <w:tcPr>
            <w:tcW w:w="1620" w:type="dxa"/>
            <w:tcBorders>
              <w:top w:val="single" w:sz="4" w:space="0" w:color="auto"/>
              <w:bottom w:val="nil"/>
            </w:tcBorders>
          </w:tcPr>
          <w:p w14:paraId="161F47E6" w14:textId="77777777" w:rsidR="00AB3993" w:rsidRPr="00162259" w:rsidRDefault="00AB3993" w:rsidP="0083042F">
            <w:pPr>
              <w:tabs>
                <w:tab w:val="left" w:pos="0"/>
              </w:tabs>
              <w:spacing w:line="276" w:lineRule="auto"/>
              <w:rPr>
                <w:rFonts w:ascii="Arial" w:hAnsi="Arial" w:cs="Arial"/>
                <w:b/>
                <w:sz w:val="20"/>
                <w:szCs w:val="20"/>
              </w:rPr>
            </w:pPr>
            <w:r w:rsidRPr="00162259">
              <w:rPr>
                <w:rFonts w:ascii="Arial" w:hAnsi="Arial" w:cs="Arial"/>
                <w:b/>
                <w:sz w:val="20"/>
                <w:szCs w:val="20"/>
              </w:rPr>
              <w:t>Blood glucose</w:t>
            </w:r>
          </w:p>
        </w:tc>
      </w:tr>
      <w:tr w:rsidR="00AB3993" w:rsidRPr="00162259" w14:paraId="7D6E26C8" w14:textId="77777777" w:rsidTr="00B919A0">
        <w:trPr>
          <w:trHeight w:val="457"/>
        </w:trPr>
        <w:tc>
          <w:tcPr>
            <w:tcW w:w="1656" w:type="dxa"/>
            <w:tcBorders>
              <w:top w:val="single" w:sz="4" w:space="0" w:color="auto"/>
            </w:tcBorders>
          </w:tcPr>
          <w:p w14:paraId="6BA05629" w14:textId="77777777" w:rsidR="00AB3993" w:rsidRPr="00162259" w:rsidRDefault="00AB3993" w:rsidP="0083042F">
            <w:pPr>
              <w:tabs>
                <w:tab w:val="left" w:pos="0"/>
              </w:tabs>
              <w:spacing w:line="276" w:lineRule="auto"/>
              <w:rPr>
                <w:rFonts w:ascii="Arial" w:hAnsi="Arial" w:cs="Arial"/>
                <w:sz w:val="20"/>
                <w:szCs w:val="20"/>
              </w:rPr>
            </w:pPr>
          </w:p>
        </w:tc>
        <w:tc>
          <w:tcPr>
            <w:tcW w:w="1170" w:type="dxa"/>
            <w:tcBorders>
              <w:top w:val="single" w:sz="4" w:space="0" w:color="auto"/>
            </w:tcBorders>
          </w:tcPr>
          <w:p w14:paraId="011656AA"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Low</w:t>
            </w:r>
          </w:p>
        </w:tc>
        <w:tc>
          <w:tcPr>
            <w:tcW w:w="1260" w:type="dxa"/>
            <w:tcBorders>
              <w:top w:val="single" w:sz="4" w:space="0" w:color="auto"/>
            </w:tcBorders>
          </w:tcPr>
          <w:p w14:paraId="51075D4C" w14:textId="77777777" w:rsidR="00AB3993" w:rsidRPr="00162259" w:rsidRDefault="00AB3993" w:rsidP="0083042F">
            <w:pPr>
              <w:tabs>
                <w:tab w:val="left" w:pos="0"/>
              </w:tabs>
              <w:spacing w:line="276" w:lineRule="auto"/>
              <w:rPr>
                <w:rFonts w:ascii="Arial" w:hAnsi="Arial" w:cs="Arial"/>
                <w:sz w:val="20"/>
                <w:szCs w:val="20"/>
              </w:rPr>
            </w:pPr>
          </w:p>
        </w:tc>
        <w:tc>
          <w:tcPr>
            <w:tcW w:w="1620" w:type="dxa"/>
            <w:tcBorders>
              <w:top w:val="single" w:sz="4" w:space="0" w:color="auto"/>
            </w:tcBorders>
          </w:tcPr>
          <w:p w14:paraId="22930687" w14:textId="77777777" w:rsidR="00AB3993" w:rsidRPr="009B27FE" w:rsidRDefault="00AB3993" w:rsidP="0083042F">
            <w:pPr>
              <w:tabs>
                <w:tab w:val="left" w:pos="0"/>
              </w:tabs>
              <w:spacing w:line="276" w:lineRule="auto"/>
              <w:rPr>
                <w:rFonts w:ascii="Arial" w:hAnsi="Arial" w:cs="Arial"/>
                <w:color w:val="FF0000"/>
                <w:sz w:val="20"/>
                <w:szCs w:val="20"/>
              </w:rPr>
            </w:pPr>
            <w:r w:rsidRPr="009B27FE">
              <w:rPr>
                <w:rFonts w:ascii="Arial" w:hAnsi="Arial" w:cs="Arial"/>
                <w:color w:val="FF0000"/>
                <w:sz w:val="20"/>
                <w:szCs w:val="20"/>
              </w:rPr>
              <w:t>177.8</w:t>
            </w:r>
          </w:p>
        </w:tc>
      </w:tr>
      <w:tr w:rsidR="00AB3993" w:rsidRPr="00162259" w14:paraId="42AA34E8" w14:textId="77777777" w:rsidTr="00B919A0">
        <w:trPr>
          <w:trHeight w:val="483"/>
        </w:trPr>
        <w:tc>
          <w:tcPr>
            <w:tcW w:w="1656" w:type="dxa"/>
          </w:tcPr>
          <w:p w14:paraId="05D2BA46" w14:textId="77777777" w:rsidR="00AB3993" w:rsidRPr="00162259" w:rsidRDefault="00AB3993" w:rsidP="0083042F">
            <w:pPr>
              <w:tabs>
                <w:tab w:val="left" w:pos="0"/>
              </w:tabs>
              <w:spacing w:line="276" w:lineRule="auto"/>
              <w:rPr>
                <w:rFonts w:ascii="Arial" w:hAnsi="Arial" w:cs="Arial"/>
                <w:sz w:val="20"/>
                <w:szCs w:val="20"/>
              </w:rPr>
            </w:pPr>
          </w:p>
        </w:tc>
        <w:tc>
          <w:tcPr>
            <w:tcW w:w="1170" w:type="dxa"/>
          </w:tcPr>
          <w:p w14:paraId="0040CD66"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High</w:t>
            </w:r>
          </w:p>
        </w:tc>
        <w:tc>
          <w:tcPr>
            <w:tcW w:w="1260" w:type="dxa"/>
          </w:tcPr>
          <w:p w14:paraId="51147DD9" w14:textId="77777777" w:rsidR="00AB3993" w:rsidRPr="00162259" w:rsidRDefault="00AB3993" w:rsidP="0083042F">
            <w:pPr>
              <w:tabs>
                <w:tab w:val="left" w:pos="0"/>
              </w:tabs>
              <w:spacing w:line="276" w:lineRule="auto"/>
              <w:rPr>
                <w:rFonts w:ascii="Arial" w:hAnsi="Arial" w:cs="Arial"/>
                <w:sz w:val="20"/>
                <w:szCs w:val="20"/>
              </w:rPr>
            </w:pPr>
          </w:p>
        </w:tc>
        <w:tc>
          <w:tcPr>
            <w:tcW w:w="1620" w:type="dxa"/>
          </w:tcPr>
          <w:p w14:paraId="1A2CC5BA" w14:textId="77777777" w:rsidR="00AB3993" w:rsidRPr="009B27FE" w:rsidRDefault="00AB3993" w:rsidP="0083042F">
            <w:pPr>
              <w:tabs>
                <w:tab w:val="left" w:pos="0"/>
              </w:tabs>
              <w:spacing w:line="276" w:lineRule="auto"/>
              <w:rPr>
                <w:rFonts w:ascii="Arial" w:hAnsi="Arial" w:cs="Arial"/>
                <w:color w:val="FF0000"/>
                <w:sz w:val="20"/>
                <w:szCs w:val="20"/>
              </w:rPr>
            </w:pPr>
            <w:r w:rsidRPr="009B27FE">
              <w:rPr>
                <w:rFonts w:ascii="Arial" w:hAnsi="Arial" w:cs="Arial"/>
                <w:color w:val="FF0000"/>
                <w:sz w:val="20"/>
                <w:szCs w:val="20"/>
              </w:rPr>
              <w:t>167.8</w:t>
            </w:r>
          </w:p>
        </w:tc>
      </w:tr>
      <w:tr w:rsidR="00AB3993" w:rsidRPr="00162259" w14:paraId="3560F210" w14:textId="77777777" w:rsidTr="00B919A0">
        <w:trPr>
          <w:trHeight w:val="483"/>
        </w:trPr>
        <w:tc>
          <w:tcPr>
            <w:tcW w:w="1656" w:type="dxa"/>
          </w:tcPr>
          <w:p w14:paraId="16BC74F0" w14:textId="77777777" w:rsidR="00AB3993" w:rsidRPr="00162259" w:rsidRDefault="00AB3993" w:rsidP="0083042F">
            <w:pPr>
              <w:tabs>
                <w:tab w:val="left" w:pos="0"/>
              </w:tabs>
              <w:spacing w:line="276" w:lineRule="auto"/>
              <w:rPr>
                <w:rFonts w:ascii="Arial" w:hAnsi="Arial" w:cs="Arial"/>
                <w:b/>
                <w:sz w:val="20"/>
                <w:szCs w:val="20"/>
              </w:rPr>
            </w:pPr>
            <w:r w:rsidRPr="00162259">
              <w:rPr>
                <w:rFonts w:ascii="Arial" w:hAnsi="Arial" w:cs="Arial"/>
                <w:b/>
                <w:sz w:val="20"/>
                <w:szCs w:val="20"/>
              </w:rPr>
              <w:t>SEM</w:t>
            </w:r>
          </w:p>
        </w:tc>
        <w:tc>
          <w:tcPr>
            <w:tcW w:w="1170" w:type="dxa"/>
          </w:tcPr>
          <w:p w14:paraId="56DEC7B2" w14:textId="77777777" w:rsidR="00AB3993" w:rsidRPr="00162259" w:rsidRDefault="00AB3993" w:rsidP="0083042F">
            <w:pPr>
              <w:tabs>
                <w:tab w:val="left" w:pos="0"/>
              </w:tabs>
              <w:spacing w:line="276" w:lineRule="auto"/>
              <w:rPr>
                <w:rFonts w:ascii="Arial" w:hAnsi="Arial" w:cs="Arial"/>
                <w:sz w:val="20"/>
                <w:szCs w:val="20"/>
              </w:rPr>
            </w:pPr>
          </w:p>
        </w:tc>
        <w:tc>
          <w:tcPr>
            <w:tcW w:w="1260" w:type="dxa"/>
          </w:tcPr>
          <w:p w14:paraId="3B9FCD75" w14:textId="77777777" w:rsidR="00AB3993" w:rsidRPr="00162259" w:rsidRDefault="00AB3993" w:rsidP="0083042F">
            <w:pPr>
              <w:tabs>
                <w:tab w:val="left" w:pos="0"/>
              </w:tabs>
              <w:spacing w:line="276" w:lineRule="auto"/>
              <w:rPr>
                <w:rFonts w:ascii="Arial" w:hAnsi="Arial" w:cs="Arial"/>
                <w:sz w:val="20"/>
                <w:szCs w:val="20"/>
              </w:rPr>
            </w:pPr>
          </w:p>
        </w:tc>
        <w:tc>
          <w:tcPr>
            <w:tcW w:w="1620" w:type="dxa"/>
          </w:tcPr>
          <w:p w14:paraId="7C99DA84" w14:textId="77777777" w:rsidR="00AB3993" w:rsidRPr="009B27FE" w:rsidRDefault="00AB3993" w:rsidP="0083042F">
            <w:pPr>
              <w:tabs>
                <w:tab w:val="left" w:pos="0"/>
              </w:tabs>
              <w:spacing w:line="276" w:lineRule="auto"/>
              <w:rPr>
                <w:rFonts w:ascii="Arial" w:hAnsi="Arial" w:cs="Arial"/>
                <w:color w:val="FF0000"/>
                <w:sz w:val="20"/>
                <w:szCs w:val="20"/>
              </w:rPr>
            </w:pPr>
            <w:r w:rsidRPr="009B27FE">
              <w:rPr>
                <w:rFonts w:ascii="Arial" w:hAnsi="Arial" w:cs="Arial"/>
                <w:color w:val="FF0000"/>
                <w:sz w:val="20"/>
                <w:szCs w:val="20"/>
              </w:rPr>
              <w:t>0.269</w:t>
            </w:r>
          </w:p>
        </w:tc>
      </w:tr>
      <w:tr w:rsidR="00AB3993" w:rsidRPr="00162259" w14:paraId="2A858983" w14:textId="77777777" w:rsidTr="00B919A0">
        <w:trPr>
          <w:trHeight w:val="483"/>
        </w:trPr>
        <w:tc>
          <w:tcPr>
            <w:tcW w:w="1656" w:type="dxa"/>
          </w:tcPr>
          <w:p w14:paraId="6333303E" w14:textId="77777777" w:rsidR="00AB3993" w:rsidRPr="00162259" w:rsidRDefault="00AB3993" w:rsidP="0083042F">
            <w:pPr>
              <w:tabs>
                <w:tab w:val="left" w:pos="0"/>
              </w:tabs>
              <w:spacing w:line="276" w:lineRule="auto"/>
              <w:rPr>
                <w:rFonts w:ascii="Arial" w:hAnsi="Arial" w:cs="Arial"/>
                <w:sz w:val="20"/>
                <w:szCs w:val="20"/>
              </w:rPr>
            </w:pPr>
          </w:p>
        </w:tc>
        <w:tc>
          <w:tcPr>
            <w:tcW w:w="1170" w:type="dxa"/>
          </w:tcPr>
          <w:p w14:paraId="3DCEB1F6" w14:textId="77777777" w:rsidR="00AB3993" w:rsidRPr="00162259" w:rsidRDefault="00AB3993" w:rsidP="0083042F">
            <w:pPr>
              <w:tabs>
                <w:tab w:val="left" w:pos="0"/>
              </w:tabs>
              <w:spacing w:line="276" w:lineRule="auto"/>
              <w:rPr>
                <w:rFonts w:ascii="Arial" w:hAnsi="Arial" w:cs="Arial"/>
                <w:sz w:val="20"/>
                <w:szCs w:val="20"/>
              </w:rPr>
            </w:pPr>
          </w:p>
        </w:tc>
        <w:tc>
          <w:tcPr>
            <w:tcW w:w="1260" w:type="dxa"/>
          </w:tcPr>
          <w:p w14:paraId="3D8DF260"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Low</w:t>
            </w:r>
          </w:p>
        </w:tc>
        <w:tc>
          <w:tcPr>
            <w:tcW w:w="1620" w:type="dxa"/>
          </w:tcPr>
          <w:p w14:paraId="099815B5" w14:textId="77777777" w:rsidR="00AB3993" w:rsidRPr="009B27FE" w:rsidRDefault="00AB3993" w:rsidP="0083042F">
            <w:pPr>
              <w:tabs>
                <w:tab w:val="left" w:pos="0"/>
              </w:tabs>
              <w:spacing w:line="276" w:lineRule="auto"/>
              <w:rPr>
                <w:rFonts w:ascii="Arial" w:hAnsi="Arial" w:cs="Arial"/>
                <w:color w:val="FF0000"/>
                <w:sz w:val="20"/>
                <w:szCs w:val="20"/>
              </w:rPr>
            </w:pPr>
            <w:r w:rsidRPr="009B27FE">
              <w:rPr>
                <w:rFonts w:ascii="Arial" w:hAnsi="Arial" w:cs="Arial"/>
                <w:color w:val="FF0000"/>
                <w:sz w:val="20"/>
                <w:szCs w:val="20"/>
              </w:rPr>
              <w:t>177.8</w:t>
            </w:r>
          </w:p>
        </w:tc>
      </w:tr>
      <w:tr w:rsidR="00AB3993" w:rsidRPr="00162259" w14:paraId="08D01D0F" w14:textId="77777777" w:rsidTr="00B919A0">
        <w:trPr>
          <w:trHeight w:val="483"/>
        </w:trPr>
        <w:tc>
          <w:tcPr>
            <w:tcW w:w="1656" w:type="dxa"/>
          </w:tcPr>
          <w:p w14:paraId="5FF92860" w14:textId="77777777" w:rsidR="00AB3993" w:rsidRPr="00162259" w:rsidRDefault="00AB3993" w:rsidP="0083042F">
            <w:pPr>
              <w:tabs>
                <w:tab w:val="left" w:pos="0"/>
              </w:tabs>
              <w:spacing w:line="276" w:lineRule="auto"/>
              <w:rPr>
                <w:rFonts w:ascii="Arial" w:hAnsi="Arial" w:cs="Arial"/>
                <w:sz w:val="20"/>
                <w:szCs w:val="20"/>
              </w:rPr>
            </w:pPr>
          </w:p>
        </w:tc>
        <w:tc>
          <w:tcPr>
            <w:tcW w:w="1170" w:type="dxa"/>
          </w:tcPr>
          <w:p w14:paraId="748ED725" w14:textId="77777777" w:rsidR="00AB3993" w:rsidRPr="00162259" w:rsidRDefault="00AB3993" w:rsidP="0083042F">
            <w:pPr>
              <w:tabs>
                <w:tab w:val="left" w:pos="0"/>
              </w:tabs>
              <w:spacing w:line="276" w:lineRule="auto"/>
              <w:rPr>
                <w:rFonts w:ascii="Arial" w:hAnsi="Arial" w:cs="Arial"/>
                <w:sz w:val="20"/>
                <w:szCs w:val="20"/>
              </w:rPr>
            </w:pPr>
          </w:p>
        </w:tc>
        <w:tc>
          <w:tcPr>
            <w:tcW w:w="1260" w:type="dxa"/>
          </w:tcPr>
          <w:p w14:paraId="26E09257"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High</w:t>
            </w:r>
          </w:p>
        </w:tc>
        <w:tc>
          <w:tcPr>
            <w:tcW w:w="1620" w:type="dxa"/>
          </w:tcPr>
          <w:p w14:paraId="105ADCAA" w14:textId="77777777" w:rsidR="00AB3993" w:rsidRPr="009B27FE" w:rsidRDefault="00AB3993" w:rsidP="0083042F">
            <w:pPr>
              <w:tabs>
                <w:tab w:val="left" w:pos="0"/>
              </w:tabs>
              <w:spacing w:line="276" w:lineRule="auto"/>
              <w:rPr>
                <w:rFonts w:ascii="Arial" w:hAnsi="Arial" w:cs="Arial"/>
                <w:color w:val="FF0000"/>
                <w:sz w:val="20"/>
                <w:szCs w:val="20"/>
              </w:rPr>
            </w:pPr>
            <w:r w:rsidRPr="009B27FE">
              <w:rPr>
                <w:rFonts w:ascii="Arial" w:hAnsi="Arial" w:cs="Arial"/>
                <w:color w:val="FF0000"/>
                <w:sz w:val="20"/>
                <w:szCs w:val="20"/>
              </w:rPr>
              <w:t>167.8</w:t>
            </w:r>
          </w:p>
        </w:tc>
      </w:tr>
      <w:tr w:rsidR="00AB3993" w:rsidRPr="00162259" w14:paraId="27B2B5C8" w14:textId="77777777" w:rsidTr="00B919A0">
        <w:trPr>
          <w:trHeight w:val="483"/>
        </w:trPr>
        <w:tc>
          <w:tcPr>
            <w:tcW w:w="1656" w:type="dxa"/>
          </w:tcPr>
          <w:p w14:paraId="32F77DE0" w14:textId="77777777" w:rsidR="00AB3993" w:rsidRPr="00162259" w:rsidRDefault="00AB3993" w:rsidP="0083042F">
            <w:pPr>
              <w:tabs>
                <w:tab w:val="left" w:pos="0"/>
              </w:tabs>
              <w:spacing w:line="276" w:lineRule="auto"/>
              <w:rPr>
                <w:rFonts w:ascii="Arial" w:hAnsi="Arial" w:cs="Arial"/>
                <w:b/>
                <w:sz w:val="20"/>
                <w:szCs w:val="20"/>
              </w:rPr>
            </w:pPr>
            <w:r w:rsidRPr="00162259">
              <w:rPr>
                <w:rFonts w:ascii="Arial" w:hAnsi="Arial" w:cs="Arial"/>
                <w:b/>
                <w:sz w:val="20"/>
                <w:szCs w:val="20"/>
              </w:rPr>
              <w:t>SEM</w:t>
            </w:r>
          </w:p>
        </w:tc>
        <w:tc>
          <w:tcPr>
            <w:tcW w:w="1170" w:type="dxa"/>
          </w:tcPr>
          <w:p w14:paraId="5BA4C168" w14:textId="77777777" w:rsidR="00AB3993" w:rsidRPr="00162259" w:rsidRDefault="00AB3993" w:rsidP="0083042F">
            <w:pPr>
              <w:tabs>
                <w:tab w:val="left" w:pos="0"/>
              </w:tabs>
              <w:spacing w:line="276" w:lineRule="auto"/>
              <w:rPr>
                <w:rFonts w:ascii="Arial" w:hAnsi="Arial" w:cs="Arial"/>
                <w:sz w:val="20"/>
                <w:szCs w:val="20"/>
              </w:rPr>
            </w:pPr>
          </w:p>
        </w:tc>
        <w:tc>
          <w:tcPr>
            <w:tcW w:w="1260" w:type="dxa"/>
          </w:tcPr>
          <w:p w14:paraId="5A9C941D" w14:textId="77777777" w:rsidR="00AB3993" w:rsidRPr="00162259" w:rsidRDefault="00AB3993" w:rsidP="0083042F">
            <w:pPr>
              <w:tabs>
                <w:tab w:val="left" w:pos="0"/>
              </w:tabs>
              <w:spacing w:line="276" w:lineRule="auto"/>
              <w:rPr>
                <w:rFonts w:ascii="Arial" w:hAnsi="Arial" w:cs="Arial"/>
                <w:sz w:val="20"/>
                <w:szCs w:val="20"/>
              </w:rPr>
            </w:pPr>
          </w:p>
        </w:tc>
        <w:tc>
          <w:tcPr>
            <w:tcW w:w="1620" w:type="dxa"/>
          </w:tcPr>
          <w:p w14:paraId="43EAF480" w14:textId="77777777" w:rsidR="00AB3993" w:rsidRPr="009B27FE" w:rsidRDefault="00AB3993" w:rsidP="0083042F">
            <w:pPr>
              <w:tabs>
                <w:tab w:val="left" w:pos="0"/>
              </w:tabs>
              <w:spacing w:line="276" w:lineRule="auto"/>
              <w:rPr>
                <w:rFonts w:ascii="Arial" w:hAnsi="Arial" w:cs="Arial"/>
                <w:color w:val="FF0000"/>
                <w:sz w:val="20"/>
                <w:szCs w:val="20"/>
              </w:rPr>
            </w:pPr>
            <w:commentRangeStart w:id="21"/>
            <w:r w:rsidRPr="009B27FE">
              <w:rPr>
                <w:rFonts w:ascii="Arial" w:hAnsi="Arial" w:cs="Arial"/>
                <w:color w:val="FF0000"/>
                <w:sz w:val="20"/>
                <w:szCs w:val="20"/>
              </w:rPr>
              <w:t>0.269</w:t>
            </w:r>
            <w:commentRangeEnd w:id="21"/>
            <w:r w:rsidR="009B27FE">
              <w:rPr>
                <w:rStyle w:val="CommentReference"/>
              </w:rPr>
              <w:commentReference w:id="21"/>
            </w:r>
          </w:p>
        </w:tc>
      </w:tr>
      <w:tr w:rsidR="00AB3993" w:rsidRPr="00162259" w14:paraId="30D21394" w14:textId="77777777" w:rsidTr="00B919A0">
        <w:trPr>
          <w:trHeight w:val="483"/>
        </w:trPr>
        <w:tc>
          <w:tcPr>
            <w:tcW w:w="1656" w:type="dxa"/>
          </w:tcPr>
          <w:p w14:paraId="0DF486FC" w14:textId="77777777" w:rsidR="00AB3993" w:rsidRPr="00162259" w:rsidRDefault="00AB3993" w:rsidP="0083042F">
            <w:pPr>
              <w:tabs>
                <w:tab w:val="left" w:pos="0"/>
              </w:tabs>
              <w:spacing w:line="276" w:lineRule="auto"/>
              <w:rPr>
                <w:rFonts w:ascii="Arial" w:hAnsi="Arial" w:cs="Arial"/>
                <w:b/>
                <w:sz w:val="20"/>
                <w:szCs w:val="20"/>
              </w:rPr>
            </w:pPr>
            <w:r w:rsidRPr="00162259">
              <w:rPr>
                <w:rFonts w:ascii="Arial" w:hAnsi="Arial" w:cs="Arial"/>
                <w:b/>
                <w:sz w:val="20"/>
                <w:szCs w:val="20"/>
              </w:rPr>
              <w:t>Interactions</w:t>
            </w:r>
          </w:p>
        </w:tc>
        <w:tc>
          <w:tcPr>
            <w:tcW w:w="1170" w:type="dxa"/>
          </w:tcPr>
          <w:p w14:paraId="78EB3667" w14:textId="77777777" w:rsidR="00AB3993" w:rsidRPr="00162259" w:rsidRDefault="00AB3993" w:rsidP="0083042F">
            <w:pPr>
              <w:tabs>
                <w:tab w:val="left" w:pos="0"/>
              </w:tabs>
              <w:spacing w:line="276" w:lineRule="auto"/>
              <w:rPr>
                <w:rFonts w:ascii="Arial" w:hAnsi="Arial" w:cs="Arial"/>
                <w:sz w:val="20"/>
                <w:szCs w:val="20"/>
              </w:rPr>
            </w:pPr>
          </w:p>
        </w:tc>
        <w:tc>
          <w:tcPr>
            <w:tcW w:w="1260" w:type="dxa"/>
          </w:tcPr>
          <w:p w14:paraId="72930AD8" w14:textId="77777777" w:rsidR="00AB3993" w:rsidRPr="00162259" w:rsidRDefault="00AB3993" w:rsidP="0083042F">
            <w:pPr>
              <w:tabs>
                <w:tab w:val="left" w:pos="0"/>
              </w:tabs>
              <w:spacing w:line="276" w:lineRule="auto"/>
              <w:rPr>
                <w:rFonts w:ascii="Arial" w:hAnsi="Arial" w:cs="Arial"/>
                <w:sz w:val="20"/>
                <w:szCs w:val="20"/>
              </w:rPr>
            </w:pPr>
          </w:p>
        </w:tc>
        <w:tc>
          <w:tcPr>
            <w:tcW w:w="1620" w:type="dxa"/>
          </w:tcPr>
          <w:p w14:paraId="0E14035F" w14:textId="77777777" w:rsidR="00AB3993" w:rsidRPr="00162259" w:rsidRDefault="00AB3993" w:rsidP="0083042F">
            <w:pPr>
              <w:tabs>
                <w:tab w:val="left" w:pos="0"/>
              </w:tabs>
              <w:spacing w:line="276" w:lineRule="auto"/>
              <w:rPr>
                <w:rFonts w:ascii="Arial" w:hAnsi="Arial" w:cs="Arial"/>
                <w:sz w:val="20"/>
                <w:szCs w:val="20"/>
              </w:rPr>
            </w:pPr>
          </w:p>
        </w:tc>
      </w:tr>
      <w:tr w:rsidR="00AB3993" w:rsidRPr="00162259" w14:paraId="4D002182" w14:textId="77777777" w:rsidTr="00B919A0">
        <w:trPr>
          <w:trHeight w:val="483"/>
        </w:trPr>
        <w:tc>
          <w:tcPr>
            <w:tcW w:w="1656" w:type="dxa"/>
          </w:tcPr>
          <w:p w14:paraId="0645D3DC"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Low x low</w:t>
            </w:r>
          </w:p>
        </w:tc>
        <w:tc>
          <w:tcPr>
            <w:tcW w:w="1170" w:type="dxa"/>
          </w:tcPr>
          <w:p w14:paraId="3FDD5026" w14:textId="77777777" w:rsidR="00AB3993" w:rsidRPr="00162259" w:rsidRDefault="00AB3993" w:rsidP="0083042F">
            <w:pPr>
              <w:tabs>
                <w:tab w:val="left" w:pos="0"/>
              </w:tabs>
              <w:spacing w:line="276" w:lineRule="auto"/>
              <w:rPr>
                <w:rFonts w:ascii="Arial" w:hAnsi="Arial" w:cs="Arial"/>
                <w:sz w:val="20"/>
                <w:szCs w:val="20"/>
              </w:rPr>
            </w:pPr>
          </w:p>
        </w:tc>
        <w:tc>
          <w:tcPr>
            <w:tcW w:w="1260" w:type="dxa"/>
          </w:tcPr>
          <w:p w14:paraId="2858A89C" w14:textId="77777777" w:rsidR="00AB3993" w:rsidRPr="00162259" w:rsidRDefault="00AB3993" w:rsidP="0083042F">
            <w:pPr>
              <w:tabs>
                <w:tab w:val="left" w:pos="0"/>
              </w:tabs>
              <w:spacing w:line="276" w:lineRule="auto"/>
              <w:rPr>
                <w:rFonts w:ascii="Arial" w:hAnsi="Arial" w:cs="Arial"/>
                <w:sz w:val="20"/>
                <w:szCs w:val="20"/>
              </w:rPr>
            </w:pPr>
          </w:p>
        </w:tc>
        <w:tc>
          <w:tcPr>
            <w:tcW w:w="1620" w:type="dxa"/>
          </w:tcPr>
          <w:p w14:paraId="6C49243D"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159.1</w:t>
            </w:r>
          </w:p>
        </w:tc>
      </w:tr>
      <w:tr w:rsidR="00AB3993" w:rsidRPr="00162259" w14:paraId="07994740" w14:textId="77777777" w:rsidTr="00B919A0">
        <w:trPr>
          <w:trHeight w:val="483"/>
        </w:trPr>
        <w:tc>
          <w:tcPr>
            <w:tcW w:w="1656" w:type="dxa"/>
          </w:tcPr>
          <w:p w14:paraId="1912610E"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Low x high</w:t>
            </w:r>
          </w:p>
        </w:tc>
        <w:tc>
          <w:tcPr>
            <w:tcW w:w="1170" w:type="dxa"/>
          </w:tcPr>
          <w:p w14:paraId="71220DFB" w14:textId="77777777" w:rsidR="00AB3993" w:rsidRPr="00162259" w:rsidRDefault="00AB3993" w:rsidP="0083042F">
            <w:pPr>
              <w:tabs>
                <w:tab w:val="left" w:pos="0"/>
              </w:tabs>
              <w:spacing w:line="276" w:lineRule="auto"/>
              <w:rPr>
                <w:rFonts w:ascii="Arial" w:hAnsi="Arial" w:cs="Arial"/>
                <w:sz w:val="20"/>
                <w:szCs w:val="20"/>
              </w:rPr>
            </w:pPr>
          </w:p>
        </w:tc>
        <w:tc>
          <w:tcPr>
            <w:tcW w:w="1260" w:type="dxa"/>
          </w:tcPr>
          <w:p w14:paraId="427F435B" w14:textId="77777777" w:rsidR="00AB3993" w:rsidRPr="00162259" w:rsidRDefault="00AB3993" w:rsidP="0083042F">
            <w:pPr>
              <w:tabs>
                <w:tab w:val="left" w:pos="0"/>
              </w:tabs>
              <w:spacing w:line="276" w:lineRule="auto"/>
              <w:rPr>
                <w:rFonts w:ascii="Arial" w:hAnsi="Arial" w:cs="Arial"/>
                <w:sz w:val="20"/>
                <w:szCs w:val="20"/>
              </w:rPr>
            </w:pPr>
          </w:p>
        </w:tc>
        <w:tc>
          <w:tcPr>
            <w:tcW w:w="1620" w:type="dxa"/>
          </w:tcPr>
          <w:p w14:paraId="2747C690"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198.7</w:t>
            </w:r>
          </w:p>
        </w:tc>
      </w:tr>
      <w:tr w:rsidR="00AB3993" w:rsidRPr="00162259" w14:paraId="2811FE37" w14:textId="77777777" w:rsidTr="00B919A0">
        <w:trPr>
          <w:trHeight w:val="483"/>
        </w:trPr>
        <w:tc>
          <w:tcPr>
            <w:tcW w:w="1656" w:type="dxa"/>
          </w:tcPr>
          <w:p w14:paraId="1E4F19ED"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High x low</w:t>
            </w:r>
          </w:p>
        </w:tc>
        <w:tc>
          <w:tcPr>
            <w:tcW w:w="1170" w:type="dxa"/>
          </w:tcPr>
          <w:p w14:paraId="5BA24B00" w14:textId="77777777" w:rsidR="00AB3993" w:rsidRPr="00162259" w:rsidRDefault="00AB3993" w:rsidP="0083042F">
            <w:pPr>
              <w:tabs>
                <w:tab w:val="left" w:pos="0"/>
              </w:tabs>
              <w:spacing w:line="276" w:lineRule="auto"/>
              <w:rPr>
                <w:rFonts w:ascii="Arial" w:hAnsi="Arial" w:cs="Arial"/>
                <w:sz w:val="20"/>
                <w:szCs w:val="20"/>
              </w:rPr>
            </w:pPr>
          </w:p>
        </w:tc>
        <w:tc>
          <w:tcPr>
            <w:tcW w:w="1260" w:type="dxa"/>
          </w:tcPr>
          <w:p w14:paraId="7C2417C9" w14:textId="77777777" w:rsidR="00AB3993" w:rsidRPr="00162259" w:rsidRDefault="00AB3993" w:rsidP="0083042F">
            <w:pPr>
              <w:tabs>
                <w:tab w:val="left" w:pos="0"/>
              </w:tabs>
              <w:spacing w:line="276" w:lineRule="auto"/>
              <w:rPr>
                <w:rFonts w:ascii="Arial" w:hAnsi="Arial" w:cs="Arial"/>
                <w:sz w:val="20"/>
                <w:szCs w:val="20"/>
              </w:rPr>
            </w:pPr>
          </w:p>
        </w:tc>
        <w:tc>
          <w:tcPr>
            <w:tcW w:w="1620" w:type="dxa"/>
          </w:tcPr>
          <w:p w14:paraId="0FB18397"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198.7</w:t>
            </w:r>
          </w:p>
        </w:tc>
      </w:tr>
      <w:tr w:rsidR="00AB3993" w:rsidRPr="00162259" w14:paraId="6C351B1E" w14:textId="77777777" w:rsidTr="00B919A0">
        <w:trPr>
          <w:trHeight w:val="483"/>
        </w:trPr>
        <w:tc>
          <w:tcPr>
            <w:tcW w:w="1656" w:type="dxa"/>
          </w:tcPr>
          <w:p w14:paraId="55524CF6"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High x high</w:t>
            </w:r>
          </w:p>
        </w:tc>
        <w:tc>
          <w:tcPr>
            <w:tcW w:w="1170" w:type="dxa"/>
          </w:tcPr>
          <w:p w14:paraId="515F500F" w14:textId="77777777" w:rsidR="00AB3993" w:rsidRPr="00162259" w:rsidRDefault="00AB3993" w:rsidP="0083042F">
            <w:pPr>
              <w:tabs>
                <w:tab w:val="left" w:pos="0"/>
              </w:tabs>
              <w:spacing w:line="276" w:lineRule="auto"/>
              <w:rPr>
                <w:rFonts w:ascii="Arial" w:hAnsi="Arial" w:cs="Arial"/>
                <w:sz w:val="20"/>
                <w:szCs w:val="20"/>
              </w:rPr>
            </w:pPr>
          </w:p>
        </w:tc>
        <w:tc>
          <w:tcPr>
            <w:tcW w:w="1260" w:type="dxa"/>
          </w:tcPr>
          <w:p w14:paraId="508F2F5B" w14:textId="77777777" w:rsidR="00AB3993" w:rsidRPr="00162259" w:rsidRDefault="00AB3993" w:rsidP="0083042F">
            <w:pPr>
              <w:tabs>
                <w:tab w:val="left" w:pos="0"/>
              </w:tabs>
              <w:spacing w:line="276" w:lineRule="auto"/>
              <w:rPr>
                <w:rFonts w:ascii="Arial" w:hAnsi="Arial" w:cs="Arial"/>
                <w:sz w:val="20"/>
                <w:szCs w:val="20"/>
              </w:rPr>
            </w:pPr>
          </w:p>
        </w:tc>
        <w:tc>
          <w:tcPr>
            <w:tcW w:w="1620" w:type="dxa"/>
          </w:tcPr>
          <w:p w14:paraId="2018A315"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141.7</w:t>
            </w:r>
          </w:p>
        </w:tc>
      </w:tr>
      <w:tr w:rsidR="00AB3993" w:rsidRPr="00162259" w14:paraId="65AE6D73" w14:textId="77777777" w:rsidTr="00B919A0">
        <w:trPr>
          <w:trHeight w:val="483"/>
        </w:trPr>
        <w:tc>
          <w:tcPr>
            <w:tcW w:w="1656" w:type="dxa"/>
          </w:tcPr>
          <w:p w14:paraId="4C5E3A78"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b/>
                <w:sz w:val="20"/>
                <w:szCs w:val="20"/>
              </w:rPr>
              <w:t>SEM</w:t>
            </w:r>
          </w:p>
        </w:tc>
        <w:tc>
          <w:tcPr>
            <w:tcW w:w="1170" w:type="dxa"/>
          </w:tcPr>
          <w:p w14:paraId="55F5EF13" w14:textId="77777777" w:rsidR="00AB3993" w:rsidRPr="00162259" w:rsidRDefault="00AB3993" w:rsidP="0083042F">
            <w:pPr>
              <w:tabs>
                <w:tab w:val="left" w:pos="0"/>
              </w:tabs>
              <w:spacing w:line="276" w:lineRule="auto"/>
              <w:rPr>
                <w:rFonts w:ascii="Arial" w:hAnsi="Arial" w:cs="Arial"/>
                <w:sz w:val="20"/>
                <w:szCs w:val="20"/>
              </w:rPr>
            </w:pPr>
          </w:p>
        </w:tc>
        <w:tc>
          <w:tcPr>
            <w:tcW w:w="1260" w:type="dxa"/>
          </w:tcPr>
          <w:p w14:paraId="56E191CE" w14:textId="77777777" w:rsidR="00AB3993" w:rsidRPr="00162259" w:rsidRDefault="00AB3993" w:rsidP="0083042F">
            <w:pPr>
              <w:tabs>
                <w:tab w:val="left" w:pos="0"/>
              </w:tabs>
              <w:spacing w:line="276" w:lineRule="auto"/>
              <w:rPr>
                <w:rFonts w:ascii="Arial" w:hAnsi="Arial" w:cs="Arial"/>
                <w:sz w:val="20"/>
                <w:szCs w:val="20"/>
              </w:rPr>
            </w:pPr>
          </w:p>
        </w:tc>
        <w:tc>
          <w:tcPr>
            <w:tcW w:w="1620" w:type="dxa"/>
          </w:tcPr>
          <w:p w14:paraId="26A366E0"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0.380</w:t>
            </w:r>
          </w:p>
        </w:tc>
      </w:tr>
      <w:tr w:rsidR="00AB3993" w:rsidRPr="00162259" w14:paraId="1491889D" w14:textId="77777777" w:rsidTr="00B919A0">
        <w:trPr>
          <w:trHeight w:val="483"/>
        </w:trPr>
        <w:tc>
          <w:tcPr>
            <w:tcW w:w="1656" w:type="dxa"/>
          </w:tcPr>
          <w:p w14:paraId="6FA9B8F4" w14:textId="77777777" w:rsidR="00AB3993" w:rsidRPr="00162259" w:rsidRDefault="00AB3993" w:rsidP="0083042F">
            <w:pPr>
              <w:tabs>
                <w:tab w:val="left" w:pos="0"/>
              </w:tabs>
              <w:spacing w:line="276" w:lineRule="auto"/>
              <w:rPr>
                <w:rFonts w:ascii="Arial" w:hAnsi="Arial" w:cs="Arial"/>
                <w:b/>
                <w:sz w:val="20"/>
                <w:szCs w:val="20"/>
              </w:rPr>
            </w:pPr>
            <w:r w:rsidRPr="00162259">
              <w:rPr>
                <w:rFonts w:ascii="Arial" w:hAnsi="Arial" w:cs="Arial"/>
                <w:b/>
                <w:sz w:val="20"/>
                <w:szCs w:val="20"/>
              </w:rPr>
              <w:t>P- value</w:t>
            </w:r>
          </w:p>
        </w:tc>
        <w:tc>
          <w:tcPr>
            <w:tcW w:w="1170" w:type="dxa"/>
          </w:tcPr>
          <w:p w14:paraId="5D296339" w14:textId="77777777" w:rsidR="00AB3993" w:rsidRPr="00162259" w:rsidRDefault="00AB3993" w:rsidP="0083042F">
            <w:pPr>
              <w:tabs>
                <w:tab w:val="left" w:pos="0"/>
              </w:tabs>
              <w:spacing w:line="276" w:lineRule="auto"/>
              <w:rPr>
                <w:rFonts w:ascii="Arial" w:hAnsi="Arial" w:cs="Arial"/>
                <w:sz w:val="20"/>
                <w:szCs w:val="20"/>
              </w:rPr>
            </w:pPr>
          </w:p>
        </w:tc>
        <w:tc>
          <w:tcPr>
            <w:tcW w:w="1260" w:type="dxa"/>
          </w:tcPr>
          <w:p w14:paraId="17D061D8" w14:textId="77777777" w:rsidR="00AB3993" w:rsidRPr="00162259" w:rsidRDefault="00AB3993" w:rsidP="0083042F">
            <w:pPr>
              <w:tabs>
                <w:tab w:val="left" w:pos="0"/>
              </w:tabs>
              <w:spacing w:line="276" w:lineRule="auto"/>
              <w:rPr>
                <w:rFonts w:ascii="Arial" w:hAnsi="Arial" w:cs="Arial"/>
                <w:sz w:val="20"/>
                <w:szCs w:val="20"/>
              </w:rPr>
            </w:pPr>
          </w:p>
        </w:tc>
        <w:tc>
          <w:tcPr>
            <w:tcW w:w="1620" w:type="dxa"/>
          </w:tcPr>
          <w:p w14:paraId="304650AB" w14:textId="77777777" w:rsidR="00AB3993" w:rsidRPr="00162259" w:rsidRDefault="00AB3993" w:rsidP="0083042F">
            <w:pPr>
              <w:tabs>
                <w:tab w:val="left" w:pos="0"/>
              </w:tabs>
              <w:spacing w:line="276" w:lineRule="auto"/>
              <w:rPr>
                <w:rFonts w:ascii="Arial" w:hAnsi="Arial" w:cs="Arial"/>
                <w:sz w:val="20"/>
                <w:szCs w:val="20"/>
              </w:rPr>
            </w:pPr>
          </w:p>
        </w:tc>
      </w:tr>
      <w:tr w:rsidR="00AB3993" w:rsidRPr="00162259" w14:paraId="6D6CA181" w14:textId="77777777" w:rsidTr="00B919A0">
        <w:trPr>
          <w:trHeight w:val="457"/>
        </w:trPr>
        <w:tc>
          <w:tcPr>
            <w:tcW w:w="1656" w:type="dxa"/>
          </w:tcPr>
          <w:p w14:paraId="2E32B65E"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Fat</w:t>
            </w:r>
          </w:p>
        </w:tc>
        <w:tc>
          <w:tcPr>
            <w:tcW w:w="1170" w:type="dxa"/>
          </w:tcPr>
          <w:p w14:paraId="6A8B0AFD" w14:textId="77777777" w:rsidR="00AB3993" w:rsidRPr="00162259" w:rsidRDefault="00AB3993" w:rsidP="0083042F">
            <w:pPr>
              <w:tabs>
                <w:tab w:val="left" w:pos="0"/>
              </w:tabs>
              <w:spacing w:line="276" w:lineRule="auto"/>
              <w:rPr>
                <w:rFonts w:ascii="Arial" w:hAnsi="Arial" w:cs="Arial"/>
                <w:sz w:val="20"/>
                <w:szCs w:val="20"/>
              </w:rPr>
            </w:pPr>
          </w:p>
        </w:tc>
        <w:tc>
          <w:tcPr>
            <w:tcW w:w="1260" w:type="dxa"/>
          </w:tcPr>
          <w:p w14:paraId="733179C1" w14:textId="77777777" w:rsidR="00AB3993" w:rsidRPr="00162259" w:rsidRDefault="00AB3993" w:rsidP="0083042F">
            <w:pPr>
              <w:tabs>
                <w:tab w:val="left" w:pos="0"/>
              </w:tabs>
              <w:spacing w:line="276" w:lineRule="auto"/>
              <w:rPr>
                <w:rFonts w:ascii="Arial" w:hAnsi="Arial" w:cs="Arial"/>
                <w:sz w:val="20"/>
                <w:szCs w:val="20"/>
              </w:rPr>
            </w:pPr>
          </w:p>
        </w:tc>
        <w:tc>
          <w:tcPr>
            <w:tcW w:w="1620" w:type="dxa"/>
          </w:tcPr>
          <w:p w14:paraId="4C18C5E4"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0.883</w:t>
            </w:r>
          </w:p>
        </w:tc>
      </w:tr>
      <w:tr w:rsidR="00AB3993" w:rsidRPr="00162259" w14:paraId="2B6CAD4B" w14:textId="77777777" w:rsidTr="00B919A0">
        <w:trPr>
          <w:trHeight w:val="483"/>
        </w:trPr>
        <w:tc>
          <w:tcPr>
            <w:tcW w:w="1656" w:type="dxa"/>
          </w:tcPr>
          <w:p w14:paraId="7B7CBE5B"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Fibre</w:t>
            </w:r>
          </w:p>
        </w:tc>
        <w:tc>
          <w:tcPr>
            <w:tcW w:w="1170" w:type="dxa"/>
          </w:tcPr>
          <w:p w14:paraId="7B9FA9DB" w14:textId="77777777" w:rsidR="00AB3993" w:rsidRPr="00162259" w:rsidRDefault="00AB3993" w:rsidP="0083042F">
            <w:pPr>
              <w:tabs>
                <w:tab w:val="left" w:pos="0"/>
              </w:tabs>
              <w:spacing w:line="276" w:lineRule="auto"/>
              <w:rPr>
                <w:rFonts w:ascii="Arial" w:hAnsi="Arial" w:cs="Arial"/>
                <w:sz w:val="20"/>
                <w:szCs w:val="20"/>
              </w:rPr>
            </w:pPr>
          </w:p>
        </w:tc>
        <w:tc>
          <w:tcPr>
            <w:tcW w:w="1260" w:type="dxa"/>
          </w:tcPr>
          <w:p w14:paraId="3744400E" w14:textId="77777777" w:rsidR="00AB3993" w:rsidRPr="00162259" w:rsidRDefault="00AB3993" w:rsidP="0083042F">
            <w:pPr>
              <w:tabs>
                <w:tab w:val="left" w:pos="0"/>
              </w:tabs>
              <w:spacing w:line="276" w:lineRule="auto"/>
              <w:rPr>
                <w:rFonts w:ascii="Arial" w:hAnsi="Arial" w:cs="Arial"/>
                <w:sz w:val="20"/>
                <w:szCs w:val="20"/>
              </w:rPr>
            </w:pPr>
          </w:p>
        </w:tc>
        <w:tc>
          <w:tcPr>
            <w:tcW w:w="1620" w:type="dxa"/>
          </w:tcPr>
          <w:p w14:paraId="505A188D"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0.882</w:t>
            </w:r>
          </w:p>
        </w:tc>
      </w:tr>
      <w:tr w:rsidR="00AB3993" w:rsidRPr="00162259" w14:paraId="660DD364" w14:textId="77777777" w:rsidTr="00B919A0">
        <w:trPr>
          <w:trHeight w:val="483"/>
        </w:trPr>
        <w:tc>
          <w:tcPr>
            <w:tcW w:w="1656" w:type="dxa"/>
          </w:tcPr>
          <w:p w14:paraId="0340E872"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Fat x fibre</w:t>
            </w:r>
          </w:p>
        </w:tc>
        <w:tc>
          <w:tcPr>
            <w:tcW w:w="1170" w:type="dxa"/>
          </w:tcPr>
          <w:p w14:paraId="6C221ADA" w14:textId="77777777" w:rsidR="00AB3993" w:rsidRPr="00162259" w:rsidRDefault="00AB3993" w:rsidP="0083042F">
            <w:pPr>
              <w:tabs>
                <w:tab w:val="left" w:pos="0"/>
              </w:tabs>
              <w:spacing w:line="276" w:lineRule="auto"/>
              <w:rPr>
                <w:rFonts w:ascii="Arial" w:hAnsi="Arial" w:cs="Arial"/>
                <w:sz w:val="20"/>
                <w:szCs w:val="20"/>
              </w:rPr>
            </w:pPr>
          </w:p>
        </w:tc>
        <w:tc>
          <w:tcPr>
            <w:tcW w:w="1260" w:type="dxa"/>
          </w:tcPr>
          <w:p w14:paraId="736D1B4D" w14:textId="77777777" w:rsidR="00AB3993" w:rsidRPr="00162259" w:rsidRDefault="00AB3993" w:rsidP="0083042F">
            <w:pPr>
              <w:tabs>
                <w:tab w:val="left" w:pos="0"/>
              </w:tabs>
              <w:spacing w:line="276" w:lineRule="auto"/>
              <w:rPr>
                <w:rFonts w:ascii="Arial" w:hAnsi="Arial" w:cs="Arial"/>
                <w:sz w:val="20"/>
                <w:szCs w:val="20"/>
              </w:rPr>
            </w:pPr>
          </w:p>
        </w:tc>
        <w:tc>
          <w:tcPr>
            <w:tcW w:w="1620" w:type="dxa"/>
          </w:tcPr>
          <w:p w14:paraId="3BBD3E5A" w14:textId="77777777" w:rsidR="00AB3993" w:rsidRPr="00162259" w:rsidRDefault="00AB3993" w:rsidP="0083042F">
            <w:pPr>
              <w:tabs>
                <w:tab w:val="left" w:pos="0"/>
              </w:tabs>
              <w:spacing w:line="276" w:lineRule="auto"/>
              <w:rPr>
                <w:rFonts w:ascii="Arial" w:hAnsi="Arial" w:cs="Arial"/>
                <w:sz w:val="20"/>
                <w:szCs w:val="20"/>
              </w:rPr>
            </w:pPr>
            <w:r w:rsidRPr="00162259">
              <w:rPr>
                <w:rFonts w:ascii="Arial" w:hAnsi="Arial" w:cs="Arial"/>
                <w:sz w:val="20"/>
                <w:szCs w:val="20"/>
              </w:rPr>
              <w:t>0.482</w:t>
            </w:r>
          </w:p>
        </w:tc>
      </w:tr>
    </w:tbl>
    <w:p w14:paraId="75318B65" w14:textId="77777777" w:rsidR="00AB3993" w:rsidRPr="00535518" w:rsidRDefault="00AB3993" w:rsidP="0083042F">
      <w:pPr>
        <w:tabs>
          <w:tab w:val="left" w:pos="0"/>
        </w:tabs>
        <w:spacing w:line="240" w:lineRule="auto"/>
        <w:rPr>
          <w:rFonts w:ascii="Arial" w:hAnsi="Arial" w:cs="Arial"/>
          <w:i/>
          <w:sz w:val="18"/>
          <w:szCs w:val="20"/>
        </w:rPr>
      </w:pPr>
      <w:r>
        <w:rPr>
          <w:rFonts w:ascii="Arial" w:hAnsi="Arial" w:cs="Arial"/>
          <w:i/>
          <w:sz w:val="18"/>
          <w:szCs w:val="20"/>
        </w:rPr>
        <w:t xml:space="preserve"> </w:t>
      </w:r>
      <w:r w:rsidRPr="00535518">
        <w:rPr>
          <w:rFonts w:ascii="Arial" w:hAnsi="Arial" w:cs="Arial"/>
          <w:i/>
          <w:sz w:val="18"/>
          <w:szCs w:val="20"/>
        </w:rPr>
        <w:t>Means bearing different superscripts (</w:t>
      </w:r>
      <w:r w:rsidRPr="00535518">
        <w:rPr>
          <w:rFonts w:ascii="Arial" w:hAnsi="Arial" w:cs="Arial"/>
          <w:b/>
          <w:i/>
          <w:sz w:val="18"/>
          <w:szCs w:val="20"/>
          <w:vertAlign w:val="superscript"/>
        </w:rPr>
        <w:t>abc</w:t>
      </w:r>
      <w:r w:rsidRPr="00535518">
        <w:rPr>
          <w:rFonts w:ascii="Arial" w:hAnsi="Arial" w:cs="Arial"/>
          <w:i/>
          <w:sz w:val="18"/>
          <w:szCs w:val="20"/>
        </w:rPr>
        <w:t>) in the same column are significantly different (P &lt; 0.05).</w:t>
      </w:r>
    </w:p>
    <w:p w14:paraId="00E2CF9A" w14:textId="2AC7274A" w:rsidR="000D34CA" w:rsidRDefault="000D34CA" w:rsidP="00AB1365">
      <w:pPr>
        <w:tabs>
          <w:tab w:val="left" w:pos="0"/>
        </w:tabs>
        <w:spacing w:after="0" w:line="480" w:lineRule="auto"/>
        <w:ind w:left="-567"/>
        <w:jc w:val="both"/>
        <w:rPr>
          <w:rFonts w:ascii="Arial" w:hAnsi="Arial" w:cs="Arial"/>
          <w:sz w:val="20"/>
          <w:szCs w:val="20"/>
        </w:rPr>
      </w:pPr>
    </w:p>
    <w:p w14:paraId="18430A89" w14:textId="584DA5AF" w:rsidR="000D34CA" w:rsidRPr="007F123F" w:rsidRDefault="005843A9" w:rsidP="000D18E6">
      <w:pPr>
        <w:pStyle w:val="Heading2"/>
      </w:pPr>
      <w:bookmarkStart w:id="22" w:name="_Toc153348040"/>
      <w:r>
        <w:t>3.</w:t>
      </w:r>
      <w:r w:rsidR="00B702FE">
        <w:t>5</w:t>
      </w:r>
      <w:r>
        <w:t xml:space="preserve"> </w:t>
      </w:r>
      <w:r w:rsidR="000D34CA" w:rsidRPr="007F123F">
        <w:t>Haematological Analysis</w:t>
      </w:r>
      <w:bookmarkStart w:id="23" w:name="_Toc153348041"/>
      <w:bookmarkEnd w:id="22"/>
    </w:p>
    <w:p w14:paraId="21C6AF31" w14:textId="164C0BEA" w:rsidR="00E1049D" w:rsidRDefault="00E1049D" w:rsidP="00AB1365">
      <w:pPr>
        <w:tabs>
          <w:tab w:val="left" w:pos="0"/>
        </w:tabs>
        <w:spacing w:line="480" w:lineRule="auto"/>
        <w:jc w:val="both"/>
        <w:rPr>
          <w:rFonts w:ascii="Arial" w:hAnsi="Arial" w:cs="Arial"/>
          <w:sz w:val="20"/>
          <w:szCs w:val="20"/>
        </w:rPr>
      </w:pPr>
      <w:r>
        <w:rPr>
          <w:rFonts w:ascii="Arial" w:hAnsi="Arial" w:cs="Arial"/>
          <w:sz w:val="20"/>
          <w:szCs w:val="20"/>
        </w:rPr>
        <w:t xml:space="preserve">Data from the haematological analysis are shown in </w:t>
      </w:r>
      <w:r w:rsidR="00AB3993">
        <w:rPr>
          <w:rFonts w:ascii="Arial" w:hAnsi="Arial" w:cs="Arial"/>
          <w:sz w:val="20"/>
          <w:szCs w:val="20"/>
        </w:rPr>
        <w:t>Tables</w:t>
      </w:r>
      <w:r>
        <w:rPr>
          <w:rFonts w:ascii="Arial" w:hAnsi="Arial" w:cs="Arial"/>
          <w:sz w:val="20"/>
          <w:szCs w:val="20"/>
        </w:rPr>
        <w:t xml:space="preserve"> 6</w:t>
      </w:r>
      <w:r w:rsidR="00B702FE">
        <w:rPr>
          <w:rFonts w:ascii="Arial" w:hAnsi="Arial" w:cs="Arial"/>
          <w:sz w:val="20"/>
          <w:szCs w:val="20"/>
        </w:rPr>
        <w:t>a</w:t>
      </w:r>
      <w:r>
        <w:rPr>
          <w:rFonts w:ascii="Arial" w:hAnsi="Arial" w:cs="Arial"/>
          <w:sz w:val="20"/>
          <w:szCs w:val="20"/>
        </w:rPr>
        <w:t xml:space="preserve"> and 6</w:t>
      </w:r>
      <w:r w:rsidR="00B702FE">
        <w:rPr>
          <w:rFonts w:ascii="Arial" w:hAnsi="Arial" w:cs="Arial"/>
          <w:sz w:val="20"/>
          <w:szCs w:val="20"/>
        </w:rPr>
        <w:t>b</w:t>
      </w:r>
      <w:r>
        <w:rPr>
          <w:rFonts w:ascii="Arial" w:hAnsi="Arial" w:cs="Arial"/>
          <w:sz w:val="20"/>
          <w:szCs w:val="20"/>
        </w:rPr>
        <w:t>. High fat as a main effect increased (</w:t>
      </w:r>
      <w:r w:rsidRPr="00E1049D">
        <w:rPr>
          <w:rFonts w:ascii="Arial" w:hAnsi="Arial" w:cs="Arial"/>
          <w:i/>
          <w:sz w:val="20"/>
          <w:szCs w:val="20"/>
        </w:rPr>
        <w:t>P</w:t>
      </w:r>
      <w:r w:rsidR="00AB3993">
        <w:rPr>
          <w:rFonts w:ascii="Arial" w:hAnsi="Arial" w:cs="Arial"/>
          <w:i/>
          <w:sz w:val="20"/>
          <w:szCs w:val="20"/>
        </w:rPr>
        <w:t xml:space="preserve"> </w:t>
      </w:r>
      <w:r>
        <w:rPr>
          <w:rFonts w:ascii="Arial" w:hAnsi="Arial" w:cs="Arial"/>
          <w:sz w:val="20"/>
          <w:szCs w:val="20"/>
        </w:rPr>
        <w:t>&lt;.05) the number of MID and tended to increase the percentage of MID (</w:t>
      </w:r>
      <w:r w:rsidRPr="00E1049D">
        <w:rPr>
          <w:rFonts w:ascii="Arial" w:hAnsi="Arial" w:cs="Arial"/>
          <w:i/>
          <w:sz w:val="20"/>
          <w:szCs w:val="20"/>
        </w:rPr>
        <w:t>P</w:t>
      </w:r>
      <w:r>
        <w:rPr>
          <w:rFonts w:ascii="Arial" w:hAnsi="Arial" w:cs="Arial"/>
          <w:sz w:val="20"/>
          <w:szCs w:val="20"/>
        </w:rPr>
        <w:t>=</w:t>
      </w:r>
      <w:r w:rsidR="00AB3993">
        <w:rPr>
          <w:rFonts w:ascii="Arial" w:hAnsi="Arial" w:cs="Arial"/>
          <w:sz w:val="20"/>
          <w:szCs w:val="20"/>
        </w:rPr>
        <w:t xml:space="preserve"> </w:t>
      </w:r>
      <w:r>
        <w:rPr>
          <w:rFonts w:ascii="Arial" w:hAnsi="Arial" w:cs="Arial"/>
          <w:sz w:val="20"/>
          <w:szCs w:val="20"/>
        </w:rPr>
        <w:t>.05</w:t>
      </w:r>
      <w:r w:rsidR="00AB3993">
        <w:rPr>
          <w:rFonts w:ascii="Arial" w:hAnsi="Arial" w:cs="Arial"/>
          <w:sz w:val="20"/>
          <w:szCs w:val="20"/>
        </w:rPr>
        <w:t>3) compared to low fat (Table 6a</w:t>
      </w:r>
      <w:r>
        <w:rPr>
          <w:rFonts w:ascii="Arial" w:hAnsi="Arial" w:cs="Arial"/>
          <w:sz w:val="20"/>
          <w:szCs w:val="20"/>
        </w:rPr>
        <w:t xml:space="preserve">). High levels of both fat and high fibre reduced the PLT and PCT levels in the blood of the Albino rats compared to their low levels (Table 6B). An interaction </w:t>
      </w:r>
      <w:r w:rsidR="00AB3993">
        <w:rPr>
          <w:rFonts w:ascii="Arial" w:hAnsi="Arial" w:cs="Arial"/>
          <w:sz w:val="20"/>
          <w:szCs w:val="20"/>
        </w:rPr>
        <w:t>between</w:t>
      </w:r>
      <w:r>
        <w:rPr>
          <w:rFonts w:ascii="Arial" w:hAnsi="Arial" w:cs="Arial"/>
          <w:sz w:val="20"/>
          <w:szCs w:val="20"/>
        </w:rPr>
        <w:t xml:space="preserve"> fat and fibre on PLT and PCT showed that a reduction in PLT (</w:t>
      </w:r>
      <w:r w:rsidRPr="00E1049D">
        <w:rPr>
          <w:rFonts w:ascii="Arial" w:hAnsi="Arial" w:cs="Arial"/>
          <w:i/>
          <w:sz w:val="20"/>
          <w:szCs w:val="20"/>
        </w:rPr>
        <w:t>P</w:t>
      </w:r>
      <w:r w:rsidR="00AB3993">
        <w:rPr>
          <w:rFonts w:ascii="Arial" w:hAnsi="Arial" w:cs="Arial"/>
          <w:i/>
          <w:sz w:val="20"/>
          <w:szCs w:val="20"/>
        </w:rPr>
        <w:t xml:space="preserve"> </w:t>
      </w:r>
      <w:r>
        <w:rPr>
          <w:rFonts w:ascii="Arial" w:hAnsi="Arial" w:cs="Arial"/>
          <w:sz w:val="20"/>
          <w:szCs w:val="20"/>
        </w:rPr>
        <w:t>=</w:t>
      </w:r>
      <w:r w:rsidR="00AB3993">
        <w:rPr>
          <w:rFonts w:ascii="Arial" w:hAnsi="Arial" w:cs="Arial"/>
          <w:sz w:val="20"/>
          <w:szCs w:val="20"/>
        </w:rPr>
        <w:t xml:space="preserve"> </w:t>
      </w:r>
      <w:r>
        <w:rPr>
          <w:rFonts w:ascii="Arial" w:hAnsi="Arial" w:cs="Arial"/>
          <w:sz w:val="20"/>
          <w:szCs w:val="20"/>
        </w:rPr>
        <w:t>.053) and PCT (</w:t>
      </w:r>
      <w:r w:rsidRPr="00E1049D">
        <w:rPr>
          <w:rFonts w:ascii="Arial" w:hAnsi="Arial" w:cs="Arial"/>
          <w:i/>
          <w:sz w:val="20"/>
          <w:szCs w:val="20"/>
        </w:rPr>
        <w:t>P</w:t>
      </w:r>
      <w:r w:rsidR="00AB1365">
        <w:rPr>
          <w:rFonts w:ascii="Arial" w:hAnsi="Arial" w:cs="Arial"/>
          <w:i/>
          <w:sz w:val="20"/>
          <w:szCs w:val="20"/>
        </w:rPr>
        <w:t xml:space="preserve"> </w:t>
      </w:r>
      <w:r>
        <w:rPr>
          <w:rFonts w:ascii="Arial" w:hAnsi="Arial" w:cs="Arial"/>
          <w:sz w:val="20"/>
          <w:szCs w:val="20"/>
        </w:rPr>
        <w:t>&lt;.</w:t>
      </w:r>
      <w:r w:rsidR="00AB3993">
        <w:rPr>
          <w:rFonts w:ascii="Arial" w:hAnsi="Arial" w:cs="Arial"/>
          <w:sz w:val="20"/>
          <w:szCs w:val="20"/>
        </w:rPr>
        <w:t xml:space="preserve"> </w:t>
      </w:r>
      <w:r>
        <w:rPr>
          <w:rFonts w:ascii="Arial" w:hAnsi="Arial" w:cs="Arial"/>
          <w:sz w:val="20"/>
          <w:szCs w:val="20"/>
        </w:rPr>
        <w:t xml:space="preserve">05) levels in the blood occurred when  </w:t>
      </w:r>
    </w:p>
    <w:p w14:paraId="1EF9398B" w14:textId="77777777" w:rsidR="00961AC6" w:rsidRDefault="00961AC6" w:rsidP="0083042F">
      <w:pPr>
        <w:tabs>
          <w:tab w:val="left" w:pos="0"/>
        </w:tabs>
        <w:spacing w:before="240" w:line="480" w:lineRule="auto"/>
        <w:ind w:left="-567"/>
        <w:jc w:val="both"/>
        <w:rPr>
          <w:rFonts w:ascii="Arial" w:hAnsi="Arial" w:cs="Arial"/>
          <w:sz w:val="20"/>
          <w:szCs w:val="20"/>
        </w:rPr>
        <w:sectPr w:rsidR="00961AC6" w:rsidSect="00F72782">
          <w:pgSz w:w="12240" w:h="15840"/>
          <w:pgMar w:top="1440" w:right="1440" w:bottom="1440" w:left="1710" w:header="720" w:footer="720" w:gutter="0"/>
          <w:cols w:space="720"/>
          <w:docGrid w:linePitch="360"/>
        </w:sectPr>
      </w:pPr>
    </w:p>
    <w:p w14:paraId="32EDFD86" w14:textId="593A5004" w:rsidR="002D7C56" w:rsidRPr="002D7C56" w:rsidRDefault="00961AC6" w:rsidP="0083042F">
      <w:pPr>
        <w:tabs>
          <w:tab w:val="left" w:pos="0"/>
        </w:tabs>
        <w:spacing w:line="240" w:lineRule="auto"/>
        <w:rPr>
          <w:rFonts w:ascii="Arial" w:hAnsi="Arial" w:cs="Arial"/>
          <w:sz w:val="20"/>
          <w:szCs w:val="20"/>
        </w:rPr>
      </w:pPr>
      <w:r w:rsidRPr="002D7C56">
        <w:rPr>
          <w:rFonts w:ascii="Arial" w:hAnsi="Arial" w:cs="Arial"/>
          <w:sz w:val="20"/>
          <w:szCs w:val="20"/>
        </w:rPr>
        <w:lastRenderedPageBreak/>
        <w:t xml:space="preserve">    </w:t>
      </w:r>
      <w:r w:rsidR="002D7C56" w:rsidRPr="002D7C56">
        <w:rPr>
          <w:rFonts w:ascii="Arial" w:hAnsi="Arial" w:cs="Arial"/>
          <w:sz w:val="20"/>
          <w:szCs w:val="20"/>
        </w:rPr>
        <w:t>both fat and fibre levels in the diet were high.</w:t>
      </w:r>
      <w:r w:rsidR="002D7C56">
        <w:rPr>
          <w:rFonts w:ascii="Arial" w:hAnsi="Arial" w:cs="Arial"/>
          <w:sz w:val="20"/>
          <w:szCs w:val="20"/>
        </w:rPr>
        <w:t xml:space="preserve"> </w:t>
      </w:r>
      <w:r w:rsidR="002D7C56" w:rsidRPr="002D7C56">
        <w:rPr>
          <w:rFonts w:ascii="Arial" w:hAnsi="Arial" w:cs="Arial"/>
          <w:sz w:val="20"/>
          <w:szCs w:val="20"/>
        </w:rPr>
        <w:t xml:space="preserve">Also, High fibre as a main effect decreased MCV levels compared to low fibre (Table 6b). </w:t>
      </w:r>
    </w:p>
    <w:p w14:paraId="4CB99EDE" w14:textId="77777777" w:rsidR="002D7C56" w:rsidRDefault="002D7C56" w:rsidP="0083042F">
      <w:pPr>
        <w:tabs>
          <w:tab w:val="left" w:pos="0"/>
        </w:tabs>
        <w:spacing w:line="240" w:lineRule="auto"/>
        <w:rPr>
          <w:rFonts w:ascii="Arial" w:hAnsi="Arial" w:cs="Arial"/>
          <w:b/>
          <w:sz w:val="20"/>
          <w:szCs w:val="20"/>
        </w:rPr>
      </w:pPr>
    </w:p>
    <w:p w14:paraId="3001E7A8" w14:textId="6F23D545" w:rsidR="00961AC6" w:rsidRPr="00C47834" w:rsidRDefault="00961AC6" w:rsidP="0083042F">
      <w:pPr>
        <w:tabs>
          <w:tab w:val="left" w:pos="0"/>
        </w:tabs>
        <w:spacing w:line="240" w:lineRule="auto"/>
        <w:rPr>
          <w:rFonts w:ascii="Arial" w:hAnsi="Arial" w:cs="Arial"/>
          <w:b/>
          <w:sz w:val="20"/>
          <w:szCs w:val="20"/>
        </w:rPr>
      </w:pPr>
      <w:r>
        <w:rPr>
          <w:rFonts w:ascii="Arial" w:hAnsi="Arial" w:cs="Arial"/>
          <w:b/>
          <w:sz w:val="20"/>
          <w:szCs w:val="20"/>
        </w:rPr>
        <w:t>Table 6</w:t>
      </w:r>
      <w:r w:rsidRPr="00C47834">
        <w:rPr>
          <w:rFonts w:ascii="Arial" w:hAnsi="Arial" w:cs="Arial"/>
          <w:b/>
          <w:sz w:val="20"/>
          <w:szCs w:val="20"/>
        </w:rPr>
        <w:t>a. Effects of two dietary fat and fibre levels on the haematological parameters of Albino rats at d 56.</w:t>
      </w:r>
    </w:p>
    <w:tbl>
      <w:tblPr>
        <w:tblStyle w:val="TableGrid"/>
        <w:tblW w:w="12600" w:type="dxa"/>
        <w:tblInd w:w="81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720"/>
        <w:gridCol w:w="761"/>
        <w:gridCol w:w="992"/>
        <w:gridCol w:w="992"/>
        <w:gridCol w:w="1134"/>
        <w:gridCol w:w="992"/>
        <w:gridCol w:w="799"/>
        <w:gridCol w:w="1044"/>
        <w:gridCol w:w="851"/>
        <w:gridCol w:w="1134"/>
        <w:gridCol w:w="992"/>
        <w:gridCol w:w="749"/>
      </w:tblGrid>
      <w:tr w:rsidR="00961AC6" w:rsidRPr="00C47834" w14:paraId="7C17B40F" w14:textId="77777777" w:rsidTr="00DC67EC">
        <w:trPr>
          <w:trHeight w:val="412"/>
        </w:trPr>
        <w:tc>
          <w:tcPr>
            <w:tcW w:w="1440" w:type="dxa"/>
            <w:tcBorders>
              <w:top w:val="single" w:sz="4" w:space="0" w:color="auto"/>
              <w:bottom w:val="nil"/>
            </w:tcBorders>
          </w:tcPr>
          <w:p w14:paraId="5420E163" w14:textId="77777777" w:rsidR="00961AC6" w:rsidRPr="00C47834" w:rsidRDefault="00961AC6" w:rsidP="0083042F">
            <w:pPr>
              <w:tabs>
                <w:tab w:val="left" w:pos="0"/>
              </w:tabs>
              <w:spacing w:line="276" w:lineRule="auto"/>
              <w:rPr>
                <w:rFonts w:ascii="Arial" w:hAnsi="Arial" w:cs="Arial"/>
                <w:b/>
                <w:sz w:val="20"/>
                <w:szCs w:val="20"/>
              </w:rPr>
            </w:pPr>
            <w:r w:rsidRPr="00C47834">
              <w:rPr>
                <w:rFonts w:ascii="Arial" w:hAnsi="Arial" w:cs="Arial"/>
                <w:b/>
                <w:sz w:val="20"/>
                <w:szCs w:val="20"/>
              </w:rPr>
              <w:t>Effects</w:t>
            </w:r>
          </w:p>
        </w:tc>
        <w:tc>
          <w:tcPr>
            <w:tcW w:w="720" w:type="dxa"/>
            <w:tcBorders>
              <w:top w:val="single" w:sz="4" w:space="0" w:color="auto"/>
              <w:bottom w:val="nil"/>
            </w:tcBorders>
          </w:tcPr>
          <w:p w14:paraId="0C73662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b/>
                <w:sz w:val="20"/>
                <w:szCs w:val="20"/>
              </w:rPr>
              <w:t>Fat</w:t>
            </w:r>
          </w:p>
        </w:tc>
        <w:tc>
          <w:tcPr>
            <w:tcW w:w="761" w:type="dxa"/>
            <w:tcBorders>
              <w:top w:val="single" w:sz="4" w:space="0" w:color="auto"/>
              <w:bottom w:val="nil"/>
            </w:tcBorders>
          </w:tcPr>
          <w:p w14:paraId="4222180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b/>
                <w:sz w:val="20"/>
                <w:szCs w:val="20"/>
              </w:rPr>
              <w:t>Fibre</w:t>
            </w:r>
          </w:p>
        </w:tc>
        <w:tc>
          <w:tcPr>
            <w:tcW w:w="992" w:type="dxa"/>
            <w:tcBorders>
              <w:top w:val="single" w:sz="4" w:space="0" w:color="auto"/>
              <w:bottom w:val="nil"/>
            </w:tcBorders>
            <w:vAlign w:val="bottom"/>
          </w:tcPr>
          <w:p w14:paraId="31004059"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WBC (</w:t>
            </w:r>
            <w:r w:rsidRPr="00C47834">
              <w:rPr>
                <w:rFonts w:ascii="Arial" w:hAnsi="Arial" w:cs="Arial"/>
                <w:sz w:val="20"/>
                <w:szCs w:val="20"/>
              </w:rPr>
              <w:t>10^9/L)</w:t>
            </w:r>
          </w:p>
        </w:tc>
        <w:tc>
          <w:tcPr>
            <w:tcW w:w="992" w:type="dxa"/>
            <w:tcBorders>
              <w:top w:val="single" w:sz="4" w:space="0" w:color="auto"/>
              <w:bottom w:val="nil"/>
            </w:tcBorders>
            <w:vAlign w:val="bottom"/>
          </w:tcPr>
          <w:p w14:paraId="71B16993"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 xml:space="preserve">LYM# </w:t>
            </w:r>
            <w:r w:rsidRPr="00C47834">
              <w:rPr>
                <w:rFonts w:ascii="Arial" w:hAnsi="Arial" w:cs="Arial"/>
                <w:sz w:val="20"/>
                <w:szCs w:val="20"/>
              </w:rPr>
              <w:t>(10^9/L)</w:t>
            </w:r>
          </w:p>
        </w:tc>
        <w:tc>
          <w:tcPr>
            <w:tcW w:w="1134" w:type="dxa"/>
            <w:tcBorders>
              <w:top w:val="single" w:sz="4" w:space="0" w:color="auto"/>
              <w:bottom w:val="nil"/>
            </w:tcBorders>
            <w:vAlign w:val="bottom"/>
          </w:tcPr>
          <w:p w14:paraId="3E2C250A"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 xml:space="preserve">MID# </w:t>
            </w:r>
            <w:r w:rsidRPr="00C47834">
              <w:rPr>
                <w:rFonts w:ascii="Arial" w:hAnsi="Arial" w:cs="Arial"/>
                <w:sz w:val="20"/>
                <w:szCs w:val="20"/>
              </w:rPr>
              <w:t>(10^9/L)</w:t>
            </w:r>
          </w:p>
        </w:tc>
        <w:tc>
          <w:tcPr>
            <w:tcW w:w="992" w:type="dxa"/>
            <w:tcBorders>
              <w:top w:val="single" w:sz="4" w:space="0" w:color="auto"/>
              <w:bottom w:val="nil"/>
            </w:tcBorders>
            <w:vAlign w:val="bottom"/>
          </w:tcPr>
          <w:p w14:paraId="3E95B531"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 xml:space="preserve">GRA# </w:t>
            </w:r>
            <w:r w:rsidRPr="00C47834">
              <w:rPr>
                <w:rFonts w:ascii="Arial" w:hAnsi="Arial" w:cs="Arial"/>
                <w:sz w:val="20"/>
                <w:szCs w:val="20"/>
              </w:rPr>
              <w:t>(10^9/L)</w:t>
            </w:r>
          </w:p>
        </w:tc>
        <w:tc>
          <w:tcPr>
            <w:tcW w:w="799" w:type="dxa"/>
            <w:tcBorders>
              <w:top w:val="single" w:sz="4" w:space="0" w:color="auto"/>
              <w:bottom w:val="nil"/>
            </w:tcBorders>
            <w:vAlign w:val="bottom"/>
          </w:tcPr>
          <w:p w14:paraId="1054FA5C"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LYM</w:t>
            </w:r>
            <w:r w:rsidRPr="00C47834">
              <w:rPr>
                <w:rFonts w:ascii="Arial" w:hAnsi="Arial" w:cs="Arial"/>
                <w:sz w:val="20"/>
                <w:szCs w:val="20"/>
              </w:rPr>
              <w:t xml:space="preserve"> (%)</w:t>
            </w:r>
          </w:p>
        </w:tc>
        <w:tc>
          <w:tcPr>
            <w:tcW w:w="1044" w:type="dxa"/>
            <w:tcBorders>
              <w:top w:val="single" w:sz="4" w:space="0" w:color="auto"/>
              <w:bottom w:val="nil"/>
            </w:tcBorders>
            <w:vAlign w:val="bottom"/>
          </w:tcPr>
          <w:p w14:paraId="271561EE"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 xml:space="preserve">MID </w:t>
            </w:r>
            <w:r w:rsidRPr="00C47834">
              <w:rPr>
                <w:rFonts w:ascii="Arial" w:hAnsi="Arial" w:cs="Arial"/>
                <w:bCs/>
                <w:sz w:val="20"/>
                <w:szCs w:val="20"/>
              </w:rPr>
              <w:t>(</w:t>
            </w:r>
            <w:r w:rsidRPr="00C47834">
              <w:rPr>
                <w:rFonts w:ascii="Arial" w:hAnsi="Arial" w:cs="Arial"/>
                <w:sz w:val="20"/>
                <w:szCs w:val="20"/>
              </w:rPr>
              <w:t>%)</w:t>
            </w:r>
          </w:p>
        </w:tc>
        <w:tc>
          <w:tcPr>
            <w:tcW w:w="851" w:type="dxa"/>
            <w:tcBorders>
              <w:top w:val="single" w:sz="4" w:space="0" w:color="auto"/>
              <w:bottom w:val="nil"/>
            </w:tcBorders>
            <w:vAlign w:val="bottom"/>
          </w:tcPr>
          <w:p w14:paraId="7A5ABE60"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GRA %</w:t>
            </w:r>
          </w:p>
        </w:tc>
        <w:tc>
          <w:tcPr>
            <w:tcW w:w="1134" w:type="dxa"/>
            <w:tcBorders>
              <w:top w:val="single" w:sz="4" w:space="0" w:color="auto"/>
              <w:bottom w:val="nil"/>
            </w:tcBorders>
            <w:vAlign w:val="bottom"/>
          </w:tcPr>
          <w:p w14:paraId="06465DB1"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 xml:space="preserve">RBC </w:t>
            </w:r>
            <w:r w:rsidRPr="00C47834">
              <w:rPr>
                <w:rFonts w:ascii="Arial" w:hAnsi="Arial" w:cs="Arial"/>
                <w:sz w:val="20"/>
                <w:szCs w:val="20"/>
              </w:rPr>
              <w:t>(10^12/L)</w:t>
            </w:r>
          </w:p>
        </w:tc>
        <w:tc>
          <w:tcPr>
            <w:tcW w:w="992" w:type="dxa"/>
            <w:tcBorders>
              <w:top w:val="single" w:sz="4" w:space="0" w:color="auto"/>
              <w:bottom w:val="nil"/>
            </w:tcBorders>
            <w:vAlign w:val="bottom"/>
          </w:tcPr>
          <w:p w14:paraId="548509AB"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 xml:space="preserve">HGB </w:t>
            </w:r>
            <w:r w:rsidRPr="00C47834">
              <w:rPr>
                <w:rFonts w:ascii="Arial" w:hAnsi="Arial" w:cs="Arial"/>
                <w:sz w:val="20"/>
                <w:szCs w:val="20"/>
              </w:rPr>
              <w:t>(g/dL)</w:t>
            </w:r>
          </w:p>
        </w:tc>
        <w:tc>
          <w:tcPr>
            <w:tcW w:w="749" w:type="dxa"/>
            <w:tcBorders>
              <w:top w:val="single" w:sz="4" w:space="0" w:color="auto"/>
              <w:bottom w:val="nil"/>
            </w:tcBorders>
            <w:vAlign w:val="bottom"/>
          </w:tcPr>
          <w:p w14:paraId="0ED0D212"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HCT</w:t>
            </w:r>
            <w:r w:rsidRPr="00C47834">
              <w:rPr>
                <w:rFonts w:ascii="Arial" w:hAnsi="Arial" w:cs="Arial"/>
                <w:sz w:val="20"/>
                <w:szCs w:val="20"/>
              </w:rPr>
              <w:t xml:space="preserve"> (%)</w:t>
            </w:r>
          </w:p>
        </w:tc>
      </w:tr>
      <w:tr w:rsidR="00961AC6" w:rsidRPr="00C47834" w14:paraId="2D064C7D" w14:textId="77777777" w:rsidTr="00DC67EC">
        <w:trPr>
          <w:trHeight w:val="391"/>
        </w:trPr>
        <w:tc>
          <w:tcPr>
            <w:tcW w:w="1440" w:type="dxa"/>
            <w:tcBorders>
              <w:top w:val="single" w:sz="4" w:space="0" w:color="auto"/>
            </w:tcBorders>
          </w:tcPr>
          <w:p w14:paraId="34639424" w14:textId="77777777" w:rsidR="00961AC6" w:rsidRPr="00C47834" w:rsidRDefault="00961AC6" w:rsidP="0083042F">
            <w:pPr>
              <w:tabs>
                <w:tab w:val="left" w:pos="0"/>
              </w:tabs>
              <w:spacing w:line="276" w:lineRule="auto"/>
              <w:rPr>
                <w:rFonts w:ascii="Arial" w:hAnsi="Arial" w:cs="Arial"/>
                <w:sz w:val="20"/>
                <w:szCs w:val="20"/>
              </w:rPr>
            </w:pPr>
          </w:p>
        </w:tc>
        <w:tc>
          <w:tcPr>
            <w:tcW w:w="720" w:type="dxa"/>
            <w:tcBorders>
              <w:top w:val="single" w:sz="4" w:space="0" w:color="auto"/>
            </w:tcBorders>
          </w:tcPr>
          <w:p w14:paraId="6B370A1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Low</w:t>
            </w:r>
          </w:p>
        </w:tc>
        <w:tc>
          <w:tcPr>
            <w:tcW w:w="761" w:type="dxa"/>
            <w:tcBorders>
              <w:top w:val="single" w:sz="4" w:space="0" w:color="auto"/>
            </w:tcBorders>
          </w:tcPr>
          <w:p w14:paraId="398BB6A1" w14:textId="77777777" w:rsidR="00961AC6" w:rsidRPr="00C47834" w:rsidRDefault="00961AC6" w:rsidP="0083042F">
            <w:pPr>
              <w:tabs>
                <w:tab w:val="left" w:pos="0"/>
              </w:tabs>
              <w:spacing w:line="276" w:lineRule="auto"/>
              <w:rPr>
                <w:rFonts w:ascii="Arial" w:hAnsi="Arial" w:cs="Arial"/>
                <w:sz w:val="20"/>
                <w:szCs w:val="20"/>
              </w:rPr>
            </w:pPr>
          </w:p>
        </w:tc>
        <w:tc>
          <w:tcPr>
            <w:tcW w:w="992" w:type="dxa"/>
            <w:tcBorders>
              <w:top w:val="single" w:sz="4" w:space="0" w:color="auto"/>
            </w:tcBorders>
          </w:tcPr>
          <w:p w14:paraId="3FEA0C0A"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3.141</w:t>
            </w:r>
          </w:p>
        </w:tc>
        <w:tc>
          <w:tcPr>
            <w:tcW w:w="992" w:type="dxa"/>
            <w:tcBorders>
              <w:top w:val="single" w:sz="4" w:space="0" w:color="auto"/>
            </w:tcBorders>
          </w:tcPr>
          <w:p w14:paraId="10DCB56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2.736</w:t>
            </w:r>
          </w:p>
        </w:tc>
        <w:tc>
          <w:tcPr>
            <w:tcW w:w="1134" w:type="dxa"/>
            <w:tcBorders>
              <w:top w:val="single" w:sz="4" w:space="0" w:color="auto"/>
            </w:tcBorders>
          </w:tcPr>
          <w:p w14:paraId="7E27D4C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0.207</w:t>
            </w:r>
            <w:r w:rsidRPr="00C47834">
              <w:rPr>
                <w:rFonts w:ascii="Arial" w:hAnsi="Arial" w:cs="Arial"/>
                <w:b/>
                <w:sz w:val="20"/>
                <w:szCs w:val="20"/>
                <w:vertAlign w:val="superscript"/>
              </w:rPr>
              <w:t>b</w:t>
            </w:r>
          </w:p>
        </w:tc>
        <w:tc>
          <w:tcPr>
            <w:tcW w:w="992" w:type="dxa"/>
            <w:tcBorders>
              <w:top w:val="single" w:sz="4" w:space="0" w:color="auto"/>
            </w:tcBorders>
          </w:tcPr>
          <w:p w14:paraId="5919F3F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0.144</w:t>
            </w:r>
          </w:p>
        </w:tc>
        <w:tc>
          <w:tcPr>
            <w:tcW w:w="799" w:type="dxa"/>
            <w:tcBorders>
              <w:top w:val="single" w:sz="4" w:space="0" w:color="auto"/>
            </w:tcBorders>
          </w:tcPr>
          <w:p w14:paraId="53B1FEC3"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87.08</w:t>
            </w:r>
          </w:p>
        </w:tc>
        <w:tc>
          <w:tcPr>
            <w:tcW w:w="1044" w:type="dxa"/>
            <w:tcBorders>
              <w:top w:val="single" w:sz="4" w:space="0" w:color="auto"/>
            </w:tcBorders>
          </w:tcPr>
          <w:p w14:paraId="6E874E1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6.600</w:t>
            </w:r>
          </w:p>
        </w:tc>
        <w:tc>
          <w:tcPr>
            <w:tcW w:w="851" w:type="dxa"/>
            <w:tcBorders>
              <w:top w:val="single" w:sz="4" w:space="0" w:color="auto"/>
            </w:tcBorders>
          </w:tcPr>
          <w:p w14:paraId="57CC8F1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4.489</w:t>
            </w:r>
          </w:p>
        </w:tc>
        <w:tc>
          <w:tcPr>
            <w:tcW w:w="1134" w:type="dxa"/>
            <w:tcBorders>
              <w:top w:val="single" w:sz="4" w:space="0" w:color="auto"/>
            </w:tcBorders>
          </w:tcPr>
          <w:p w14:paraId="5D9B50F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7.673</w:t>
            </w:r>
          </w:p>
        </w:tc>
        <w:tc>
          <w:tcPr>
            <w:tcW w:w="992" w:type="dxa"/>
            <w:tcBorders>
              <w:top w:val="single" w:sz="4" w:space="0" w:color="auto"/>
            </w:tcBorders>
          </w:tcPr>
          <w:p w14:paraId="2A7E9A4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14.99</w:t>
            </w:r>
          </w:p>
        </w:tc>
        <w:tc>
          <w:tcPr>
            <w:tcW w:w="749" w:type="dxa"/>
            <w:tcBorders>
              <w:top w:val="single" w:sz="4" w:space="0" w:color="auto"/>
            </w:tcBorders>
          </w:tcPr>
          <w:p w14:paraId="55F1819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40.96</w:t>
            </w:r>
          </w:p>
        </w:tc>
      </w:tr>
      <w:tr w:rsidR="00961AC6" w:rsidRPr="00C47834" w14:paraId="36DC2DD5" w14:textId="77777777" w:rsidTr="00DC67EC">
        <w:trPr>
          <w:trHeight w:val="391"/>
        </w:trPr>
        <w:tc>
          <w:tcPr>
            <w:tcW w:w="1440" w:type="dxa"/>
          </w:tcPr>
          <w:p w14:paraId="65B112D4" w14:textId="77777777" w:rsidR="00961AC6" w:rsidRPr="00C47834" w:rsidRDefault="00961AC6" w:rsidP="0083042F">
            <w:pPr>
              <w:tabs>
                <w:tab w:val="left" w:pos="0"/>
              </w:tabs>
              <w:spacing w:line="276" w:lineRule="auto"/>
              <w:rPr>
                <w:rFonts w:ascii="Arial" w:hAnsi="Arial" w:cs="Arial"/>
                <w:sz w:val="20"/>
                <w:szCs w:val="20"/>
              </w:rPr>
            </w:pPr>
          </w:p>
        </w:tc>
        <w:tc>
          <w:tcPr>
            <w:tcW w:w="720" w:type="dxa"/>
          </w:tcPr>
          <w:p w14:paraId="552C2A6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High</w:t>
            </w:r>
          </w:p>
        </w:tc>
        <w:tc>
          <w:tcPr>
            <w:tcW w:w="761" w:type="dxa"/>
          </w:tcPr>
          <w:p w14:paraId="1A648884"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1DD5FF8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3.740</w:t>
            </w:r>
          </w:p>
        </w:tc>
        <w:tc>
          <w:tcPr>
            <w:tcW w:w="992" w:type="dxa"/>
          </w:tcPr>
          <w:p w14:paraId="35B8B423"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3.182</w:t>
            </w:r>
          </w:p>
        </w:tc>
        <w:tc>
          <w:tcPr>
            <w:tcW w:w="1134" w:type="dxa"/>
          </w:tcPr>
          <w:p w14:paraId="09E3713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0.324</w:t>
            </w:r>
            <w:r w:rsidRPr="00C47834">
              <w:rPr>
                <w:rFonts w:ascii="Arial" w:hAnsi="Arial" w:cs="Arial"/>
                <w:b/>
                <w:sz w:val="20"/>
                <w:szCs w:val="20"/>
                <w:vertAlign w:val="superscript"/>
              </w:rPr>
              <w:t xml:space="preserve"> a</w:t>
            </w:r>
          </w:p>
        </w:tc>
        <w:tc>
          <w:tcPr>
            <w:tcW w:w="992" w:type="dxa"/>
          </w:tcPr>
          <w:p w14:paraId="757C18C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0.194</w:t>
            </w:r>
          </w:p>
        </w:tc>
        <w:tc>
          <w:tcPr>
            <w:tcW w:w="799" w:type="dxa"/>
          </w:tcPr>
          <w:p w14:paraId="34CFB8E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85.06</w:t>
            </w:r>
          </w:p>
        </w:tc>
        <w:tc>
          <w:tcPr>
            <w:tcW w:w="1044" w:type="dxa"/>
          </w:tcPr>
          <w:p w14:paraId="1FF44BE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8.731</w:t>
            </w:r>
          </w:p>
        </w:tc>
        <w:tc>
          <w:tcPr>
            <w:tcW w:w="851" w:type="dxa"/>
          </w:tcPr>
          <w:p w14:paraId="7A10D7A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5.135</w:t>
            </w:r>
          </w:p>
        </w:tc>
        <w:tc>
          <w:tcPr>
            <w:tcW w:w="1134" w:type="dxa"/>
          </w:tcPr>
          <w:p w14:paraId="732DE95F"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7.062</w:t>
            </w:r>
          </w:p>
        </w:tc>
        <w:tc>
          <w:tcPr>
            <w:tcW w:w="992" w:type="dxa"/>
          </w:tcPr>
          <w:p w14:paraId="435EDB4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13.61</w:t>
            </w:r>
          </w:p>
        </w:tc>
        <w:tc>
          <w:tcPr>
            <w:tcW w:w="749" w:type="dxa"/>
          </w:tcPr>
          <w:p w14:paraId="290EC65A"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36.87</w:t>
            </w:r>
          </w:p>
        </w:tc>
      </w:tr>
      <w:tr w:rsidR="00961AC6" w:rsidRPr="00C47834" w14:paraId="7CE2D46E" w14:textId="77777777" w:rsidTr="00DC67EC">
        <w:trPr>
          <w:trHeight w:val="391"/>
        </w:trPr>
        <w:tc>
          <w:tcPr>
            <w:tcW w:w="1440" w:type="dxa"/>
          </w:tcPr>
          <w:p w14:paraId="37D714A1" w14:textId="77777777" w:rsidR="00961AC6" w:rsidRPr="00C47834" w:rsidRDefault="00961AC6" w:rsidP="0083042F">
            <w:pPr>
              <w:tabs>
                <w:tab w:val="left" w:pos="0"/>
              </w:tabs>
              <w:spacing w:line="276" w:lineRule="auto"/>
              <w:rPr>
                <w:rFonts w:ascii="Arial" w:hAnsi="Arial" w:cs="Arial"/>
                <w:b/>
                <w:sz w:val="20"/>
                <w:szCs w:val="20"/>
              </w:rPr>
            </w:pPr>
            <w:r w:rsidRPr="00C47834">
              <w:rPr>
                <w:rFonts w:ascii="Arial" w:hAnsi="Arial" w:cs="Arial"/>
                <w:b/>
                <w:sz w:val="20"/>
                <w:szCs w:val="20"/>
              </w:rPr>
              <w:t>SEM</w:t>
            </w:r>
          </w:p>
        </w:tc>
        <w:tc>
          <w:tcPr>
            <w:tcW w:w="720" w:type="dxa"/>
          </w:tcPr>
          <w:p w14:paraId="513F2C92" w14:textId="77777777" w:rsidR="00961AC6" w:rsidRPr="00C47834" w:rsidRDefault="00961AC6" w:rsidP="0083042F">
            <w:pPr>
              <w:tabs>
                <w:tab w:val="left" w:pos="0"/>
              </w:tabs>
              <w:spacing w:line="276" w:lineRule="auto"/>
              <w:rPr>
                <w:rFonts w:ascii="Arial" w:hAnsi="Arial" w:cs="Arial"/>
                <w:sz w:val="20"/>
                <w:szCs w:val="20"/>
              </w:rPr>
            </w:pPr>
          </w:p>
        </w:tc>
        <w:tc>
          <w:tcPr>
            <w:tcW w:w="761" w:type="dxa"/>
          </w:tcPr>
          <w:p w14:paraId="7F9DACD6"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5EFC78B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0.144</w:t>
            </w:r>
          </w:p>
        </w:tc>
        <w:tc>
          <w:tcPr>
            <w:tcW w:w="992" w:type="dxa"/>
          </w:tcPr>
          <w:p w14:paraId="16B0D33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0.158</w:t>
            </w:r>
          </w:p>
        </w:tc>
        <w:tc>
          <w:tcPr>
            <w:tcW w:w="1134" w:type="dxa"/>
          </w:tcPr>
          <w:p w14:paraId="18A29AD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0.118</w:t>
            </w:r>
          </w:p>
        </w:tc>
        <w:tc>
          <w:tcPr>
            <w:tcW w:w="992" w:type="dxa"/>
          </w:tcPr>
          <w:p w14:paraId="311A67F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0.277</w:t>
            </w:r>
          </w:p>
        </w:tc>
        <w:tc>
          <w:tcPr>
            <w:tcW w:w="799" w:type="dxa"/>
          </w:tcPr>
          <w:p w14:paraId="5D1279D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0.026</w:t>
            </w:r>
          </w:p>
        </w:tc>
        <w:tc>
          <w:tcPr>
            <w:tcW w:w="1044" w:type="dxa"/>
          </w:tcPr>
          <w:p w14:paraId="28D91F8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0.087</w:t>
            </w:r>
          </w:p>
        </w:tc>
        <w:tc>
          <w:tcPr>
            <w:tcW w:w="851" w:type="dxa"/>
          </w:tcPr>
          <w:p w14:paraId="2C9B192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0.322</w:t>
            </w:r>
          </w:p>
        </w:tc>
        <w:tc>
          <w:tcPr>
            <w:tcW w:w="1134" w:type="dxa"/>
          </w:tcPr>
          <w:p w14:paraId="5521570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0.106</w:t>
            </w:r>
          </w:p>
        </w:tc>
        <w:tc>
          <w:tcPr>
            <w:tcW w:w="992" w:type="dxa"/>
          </w:tcPr>
          <w:p w14:paraId="7B1430D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0.094</w:t>
            </w:r>
          </w:p>
        </w:tc>
        <w:tc>
          <w:tcPr>
            <w:tcW w:w="749" w:type="dxa"/>
          </w:tcPr>
          <w:p w14:paraId="50A2494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0.112</w:t>
            </w:r>
          </w:p>
        </w:tc>
      </w:tr>
      <w:tr w:rsidR="00961AC6" w:rsidRPr="00C47834" w14:paraId="31C99F83" w14:textId="77777777" w:rsidTr="00DC67EC">
        <w:trPr>
          <w:trHeight w:val="413"/>
        </w:trPr>
        <w:tc>
          <w:tcPr>
            <w:tcW w:w="1440" w:type="dxa"/>
          </w:tcPr>
          <w:p w14:paraId="24FC686A" w14:textId="77777777" w:rsidR="00961AC6" w:rsidRPr="00C47834" w:rsidRDefault="00961AC6" w:rsidP="0083042F">
            <w:pPr>
              <w:tabs>
                <w:tab w:val="left" w:pos="0"/>
              </w:tabs>
              <w:spacing w:line="276" w:lineRule="auto"/>
              <w:rPr>
                <w:rFonts w:ascii="Arial" w:hAnsi="Arial" w:cs="Arial"/>
                <w:sz w:val="20"/>
                <w:szCs w:val="20"/>
              </w:rPr>
            </w:pPr>
          </w:p>
        </w:tc>
        <w:tc>
          <w:tcPr>
            <w:tcW w:w="720" w:type="dxa"/>
          </w:tcPr>
          <w:p w14:paraId="023E6614" w14:textId="77777777" w:rsidR="00961AC6" w:rsidRPr="00C47834" w:rsidRDefault="00961AC6" w:rsidP="0083042F">
            <w:pPr>
              <w:tabs>
                <w:tab w:val="left" w:pos="0"/>
              </w:tabs>
              <w:spacing w:line="276" w:lineRule="auto"/>
              <w:rPr>
                <w:rFonts w:ascii="Arial" w:hAnsi="Arial" w:cs="Arial"/>
                <w:sz w:val="20"/>
                <w:szCs w:val="20"/>
              </w:rPr>
            </w:pPr>
          </w:p>
        </w:tc>
        <w:tc>
          <w:tcPr>
            <w:tcW w:w="761" w:type="dxa"/>
          </w:tcPr>
          <w:p w14:paraId="2EDED04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Low</w:t>
            </w:r>
          </w:p>
        </w:tc>
        <w:tc>
          <w:tcPr>
            <w:tcW w:w="992" w:type="dxa"/>
          </w:tcPr>
          <w:p w14:paraId="34E80FE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3.487</w:t>
            </w:r>
          </w:p>
        </w:tc>
        <w:tc>
          <w:tcPr>
            <w:tcW w:w="992" w:type="dxa"/>
          </w:tcPr>
          <w:p w14:paraId="45B7DE6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2.863</w:t>
            </w:r>
          </w:p>
        </w:tc>
        <w:tc>
          <w:tcPr>
            <w:tcW w:w="1134" w:type="dxa"/>
          </w:tcPr>
          <w:p w14:paraId="39DCC19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0.263</w:t>
            </w:r>
          </w:p>
        </w:tc>
        <w:tc>
          <w:tcPr>
            <w:tcW w:w="992" w:type="dxa"/>
          </w:tcPr>
          <w:p w14:paraId="64FB3DA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0.159</w:t>
            </w:r>
          </w:p>
        </w:tc>
        <w:tc>
          <w:tcPr>
            <w:tcW w:w="799" w:type="dxa"/>
          </w:tcPr>
          <w:p w14:paraId="157834CA"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87.16</w:t>
            </w:r>
          </w:p>
        </w:tc>
        <w:tc>
          <w:tcPr>
            <w:tcW w:w="1044" w:type="dxa"/>
          </w:tcPr>
          <w:p w14:paraId="3F8DE10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7.666</w:t>
            </w:r>
          </w:p>
        </w:tc>
        <w:tc>
          <w:tcPr>
            <w:tcW w:w="851" w:type="dxa"/>
          </w:tcPr>
          <w:p w14:paraId="40FFAE5A"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4.566</w:t>
            </w:r>
          </w:p>
        </w:tc>
        <w:tc>
          <w:tcPr>
            <w:tcW w:w="1134" w:type="dxa"/>
          </w:tcPr>
          <w:p w14:paraId="2BD08B7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7.958</w:t>
            </w:r>
          </w:p>
        </w:tc>
        <w:tc>
          <w:tcPr>
            <w:tcW w:w="992" w:type="dxa"/>
          </w:tcPr>
          <w:p w14:paraId="7A83F74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15.72</w:t>
            </w:r>
          </w:p>
        </w:tc>
        <w:tc>
          <w:tcPr>
            <w:tcW w:w="749" w:type="dxa"/>
          </w:tcPr>
          <w:p w14:paraId="33B13EF9"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43.49</w:t>
            </w:r>
          </w:p>
        </w:tc>
      </w:tr>
      <w:tr w:rsidR="00961AC6" w:rsidRPr="00C47834" w14:paraId="58EE6E95" w14:textId="77777777" w:rsidTr="00DC67EC">
        <w:trPr>
          <w:trHeight w:val="391"/>
        </w:trPr>
        <w:tc>
          <w:tcPr>
            <w:tcW w:w="1440" w:type="dxa"/>
          </w:tcPr>
          <w:p w14:paraId="1EF94241" w14:textId="77777777" w:rsidR="00961AC6" w:rsidRPr="00C47834" w:rsidRDefault="00961AC6" w:rsidP="0083042F">
            <w:pPr>
              <w:tabs>
                <w:tab w:val="left" w:pos="0"/>
              </w:tabs>
              <w:spacing w:line="276" w:lineRule="auto"/>
              <w:rPr>
                <w:rFonts w:ascii="Arial" w:hAnsi="Arial" w:cs="Arial"/>
                <w:sz w:val="20"/>
                <w:szCs w:val="20"/>
              </w:rPr>
            </w:pPr>
          </w:p>
        </w:tc>
        <w:tc>
          <w:tcPr>
            <w:tcW w:w="720" w:type="dxa"/>
          </w:tcPr>
          <w:p w14:paraId="5B6F6D09" w14:textId="77777777" w:rsidR="00961AC6" w:rsidRPr="00C47834" w:rsidRDefault="00961AC6" w:rsidP="0083042F">
            <w:pPr>
              <w:tabs>
                <w:tab w:val="left" w:pos="0"/>
              </w:tabs>
              <w:spacing w:line="276" w:lineRule="auto"/>
              <w:rPr>
                <w:rFonts w:ascii="Arial" w:hAnsi="Arial" w:cs="Arial"/>
                <w:sz w:val="20"/>
                <w:szCs w:val="20"/>
              </w:rPr>
            </w:pPr>
          </w:p>
        </w:tc>
        <w:tc>
          <w:tcPr>
            <w:tcW w:w="761" w:type="dxa"/>
          </w:tcPr>
          <w:p w14:paraId="5CB6DFAA"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High</w:t>
            </w:r>
          </w:p>
        </w:tc>
        <w:tc>
          <w:tcPr>
            <w:tcW w:w="992" w:type="dxa"/>
          </w:tcPr>
          <w:p w14:paraId="6EAF5E1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3.369</w:t>
            </w:r>
          </w:p>
        </w:tc>
        <w:tc>
          <w:tcPr>
            <w:tcW w:w="992" w:type="dxa"/>
          </w:tcPr>
          <w:p w14:paraId="58B9705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3.041</w:t>
            </w:r>
          </w:p>
        </w:tc>
        <w:tc>
          <w:tcPr>
            <w:tcW w:w="1134" w:type="dxa"/>
          </w:tcPr>
          <w:p w14:paraId="5D16DD3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0.251</w:t>
            </w:r>
          </w:p>
        </w:tc>
        <w:tc>
          <w:tcPr>
            <w:tcW w:w="992" w:type="dxa"/>
          </w:tcPr>
          <w:p w14:paraId="5131889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0.175</w:t>
            </w:r>
          </w:p>
        </w:tc>
        <w:tc>
          <w:tcPr>
            <w:tcW w:w="799" w:type="dxa"/>
          </w:tcPr>
          <w:p w14:paraId="74528549"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84.98</w:t>
            </w:r>
          </w:p>
        </w:tc>
        <w:tc>
          <w:tcPr>
            <w:tcW w:w="1044" w:type="dxa"/>
          </w:tcPr>
          <w:p w14:paraId="1CD03FB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7.517</w:t>
            </w:r>
          </w:p>
        </w:tc>
        <w:tc>
          <w:tcPr>
            <w:tcW w:w="851" w:type="dxa"/>
          </w:tcPr>
          <w:p w14:paraId="7C288B5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5.048</w:t>
            </w:r>
          </w:p>
        </w:tc>
        <w:tc>
          <w:tcPr>
            <w:tcW w:w="1134" w:type="dxa"/>
          </w:tcPr>
          <w:p w14:paraId="3A77911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6.808</w:t>
            </w:r>
          </w:p>
        </w:tc>
        <w:tc>
          <w:tcPr>
            <w:tcW w:w="992" w:type="dxa"/>
          </w:tcPr>
          <w:p w14:paraId="180596E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12.97</w:t>
            </w:r>
          </w:p>
        </w:tc>
        <w:tc>
          <w:tcPr>
            <w:tcW w:w="749" w:type="dxa"/>
          </w:tcPr>
          <w:p w14:paraId="297A6E83"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34.72</w:t>
            </w:r>
          </w:p>
        </w:tc>
      </w:tr>
      <w:tr w:rsidR="00961AC6" w:rsidRPr="00C47834" w14:paraId="4F6933B6" w14:textId="77777777" w:rsidTr="00DC67EC">
        <w:trPr>
          <w:trHeight w:val="391"/>
        </w:trPr>
        <w:tc>
          <w:tcPr>
            <w:tcW w:w="1440" w:type="dxa"/>
          </w:tcPr>
          <w:p w14:paraId="4E151F8C" w14:textId="77777777" w:rsidR="00961AC6" w:rsidRPr="00C47834" w:rsidRDefault="00961AC6" w:rsidP="0083042F">
            <w:pPr>
              <w:tabs>
                <w:tab w:val="left" w:pos="0"/>
              </w:tabs>
              <w:spacing w:line="276" w:lineRule="auto"/>
              <w:rPr>
                <w:rFonts w:ascii="Arial" w:hAnsi="Arial" w:cs="Arial"/>
                <w:b/>
                <w:sz w:val="20"/>
                <w:szCs w:val="20"/>
              </w:rPr>
            </w:pPr>
            <w:r w:rsidRPr="00C47834">
              <w:rPr>
                <w:rFonts w:ascii="Arial" w:hAnsi="Arial" w:cs="Arial"/>
                <w:b/>
                <w:sz w:val="20"/>
                <w:szCs w:val="20"/>
              </w:rPr>
              <w:t>SEM</w:t>
            </w:r>
          </w:p>
        </w:tc>
        <w:tc>
          <w:tcPr>
            <w:tcW w:w="720" w:type="dxa"/>
          </w:tcPr>
          <w:p w14:paraId="1B681A66" w14:textId="77777777" w:rsidR="00961AC6" w:rsidRPr="00C47834" w:rsidRDefault="00961AC6" w:rsidP="0083042F">
            <w:pPr>
              <w:tabs>
                <w:tab w:val="left" w:pos="0"/>
              </w:tabs>
              <w:spacing w:line="276" w:lineRule="auto"/>
              <w:rPr>
                <w:rFonts w:ascii="Arial" w:hAnsi="Arial" w:cs="Arial"/>
                <w:sz w:val="20"/>
                <w:szCs w:val="20"/>
              </w:rPr>
            </w:pPr>
          </w:p>
        </w:tc>
        <w:tc>
          <w:tcPr>
            <w:tcW w:w="761" w:type="dxa"/>
          </w:tcPr>
          <w:p w14:paraId="03C97B0C"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6382337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0.144</w:t>
            </w:r>
          </w:p>
        </w:tc>
        <w:tc>
          <w:tcPr>
            <w:tcW w:w="992" w:type="dxa"/>
          </w:tcPr>
          <w:p w14:paraId="14FDD16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0.158</w:t>
            </w:r>
          </w:p>
        </w:tc>
        <w:tc>
          <w:tcPr>
            <w:tcW w:w="1134" w:type="dxa"/>
          </w:tcPr>
          <w:p w14:paraId="6856F61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0.118</w:t>
            </w:r>
          </w:p>
        </w:tc>
        <w:tc>
          <w:tcPr>
            <w:tcW w:w="992" w:type="dxa"/>
          </w:tcPr>
          <w:p w14:paraId="6B2CC259"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0.277</w:t>
            </w:r>
          </w:p>
        </w:tc>
        <w:tc>
          <w:tcPr>
            <w:tcW w:w="799" w:type="dxa"/>
          </w:tcPr>
          <w:p w14:paraId="2F28CE4A"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0.026</w:t>
            </w:r>
          </w:p>
        </w:tc>
        <w:tc>
          <w:tcPr>
            <w:tcW w:w="1044" w:type="dxa"/>
          </w:tcPr>
          <w:p w14:paraId="4B7EAD6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0.087</w:t>
            </w:r>
          </w:p>
        </w:tc>
        <w:tc>
          <w:tcPr>
            <w:tcW w:w="851" w:type="dxa"/>
          </w:tcPr>
          <w:p w14:paraId="55CEE49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0.322</w:t>
            </w:r>
          </w:p>
        </w:tc>
        <w:tc>
          <w:tcPr>
            <w:tcW w:w="1134" w:type="dxa"/>
          </w:tcPr>
          <w:p w14:paraId="7D245A1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0.106</w:t>
            </w:r>
          </w:p>
        </w:tc>
        <w:tc>
          <w:tcPr>
            <w:tcW w:w="992" w:type="dxa"/>
          </w:tcPr>
          <w:p w14:paraId="76A0C0A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0.094</w:t>
            </w:r>
          </w:p>
        </w:tc>
        <w:tc>
          <w:tcPr>
            <w:tcW w:w="749" w:type="dxa"/>
          </w:tcPr>
          <w:p w14:paraId="100CA02A"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0.112</w:t>
            </w:r>
          </w:p>
        </w:tc>
      </w:tr>
      <w:tr w:rsidR="00961AC6" w:rsidRPr="00C47834" w14:paraId="3DD4767C" w14:textId="77777777" w:rsidTr="00DC67EC">
        <w:trPr>
          <w:trHeight w:val="427"/>
        </w:trPr>
        <w:tc>
          <w:tcPr>
            <w:tcW w:w="1440" w:type="dxa"/>
          </w:tcPr>
          <w:p w14:paraId="11F1BFC3" w14:textId="77777777" w:rsidR="00961AC6" w:rsidRPr="00C47834" w:rsidRDefault="00961AC6" w:rsidP="0083042F">
            <w:pPr>
              <w:tabs>
                <w:tab w:val="left" w:pos="0"/>
              </w:tabs>
              <w:spacing w:line="276" w:lineRule="auto"/>
              <w:rPr>
                <w:rFonts w:ascii="Arial" w:hAnsi="Arial" w:cs="Arial"/>
                <w:b/>
                <w:sz w:val="20"/>
                <w:szCs w:val="20"/>
              </w:rPr>
            </w:pPr>
            <w:r w:rsidRPr="00C47834">
              <w:rPr>
                <w:rFonts w:ascii="Arial" w:hAnsi="Arial" w:cs="Arial"/>
                <w:b/>
                <w:sz w:val="20"/>
                <w:szCs w:val="20"/>
              </w:rPr>
              <w:t>Interactions</w:t>
            </w:r>
          </w:p>
        </w:tc>
        <w:tc>
          <w:tcPr>
            <w:tcW w:w="720" w:type="dxa"/>
          </w:tcPr>
          <w:p w14:paraId="02564BDF" w14:textId="77777777" w:rsidR="00961AC6" w:rsidRPr="00C47834" w:rsidRDefault="00961AC6" w:rsidP="0083042F">
            <w:pPr>
              <w:tabs>
                <w:tab w:val="left" w:pos="0"/>
              </w:tabs>
              <w:spacing w:line="276" w:lineRule="auto"/>
              <w:rPr>
                <w:rFonts w:ascii="Arial" w:hAnsi="Arial" w:cs="Arial"/>
                <w:sz w:val="20"/>
                <w:szCs w:val="20"/>
              </w:rPr>
            </w:pPr>
          </w:p>
        </w:tc>
        <w:tc>
          <w:tcPr>
            <w:tcW w:w="761" w:type="dxa"/>
          </w:tcPr>
          <w:p w14:paraId="43A96E0C"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55EF9981"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63E0BDDB" w14:textId="77777777" w:rsidR="00961AC6" w:rsidRPr="00C47834" w:rsidRDefault="00961AC6" w:rsidP="0083042F">
            <w:pPr>
              <w:tabs>
                <w:tab w:val="left" w:pos="0"/>
              </w:tabs>
              <w:spacing w:line="276" w:lineRule="auto"/>
              <w:rPr>
                <w:rFonts w:ascii="Arial" w:hAnsi="Arial" w:cs="Arial"/>
                <w:sz w:val="20"/>
                <w:szCs w:val="20"/>
              </w:rPr>
            </w:pPr>
          </w:p>
        </w:tc>
        <w:tc>
          <w:tcPr>
            <w:tcW w:w="1134" w:type="dxa"/>
          </w:tcPr>
          <w:p w14:paraId="3FE06C26"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1FA1D5BC" w14:textId="77777777" w:rsidR="00961AC6" w:rsidRPr="00C47834" w:rsidRDefault="00961AC6" w:rsidP="0083042F">
            <w:pPr>
              <w:tabs>
                <w:tab w:val="left" w:pos="0"/>
              </w:tabs>
              <w:spacing w:line="276" w:lineRule="auto"/>
              <w:rPr>
                <w:rFonts w:ascii="Arial" w:hAnsi="Arial" w:cs="Arial"/>
                <w:sz w:val="20"/>
                <w:szCs w:val="20"/>
              </w:rPr>
            </w:pPr>
          </w:p>
        </w:tc>
        <w:tc>
          <w:tcPr>
            <w:tcW w:w="799" w:type="dxa"/>
          </w:tcPr>
          <w:p w14:paraId="1E913E4D" w14:textId="77777777" w:rsidR="00961AC6" w:rsidRPr="00C47834" w:rsidRDefault="00961AC6" w:rsidP="0083042F">
            <w:pPr>
              <w:tabs>
                <w:tab w:val="left" w:pos="0"/>
              </w:tabs>
              <w:spacing w:line="276" w:lineRule="auto"/>
              <w:rPr>
                <w:rFonts w:ascii="Arial" w:hAnsi="Arial" w:cs="Arial"/>
                <w:sz w:val="20"/>
                <w:szCs w:val="20"/>
              </w:rPr>
            </w:pPr>
          </w:p>
        </w:tc>
        <w:tc>
          <w:tcPr>
            <w:tcW w:w="1044" w:type="dxa"/>
          </w:tcPr>
          <w:p w14:paraId="450FE1DF" w14:textId="77777777" w:rsidR="00961AC6" w:rsidRPr="00C47834" w:rsidRDefault="00961AC6" w:rsidP="0083042F">
            <w:pPr>
              <w:tabs>
                <w:tab w:val="left" w:pos="0"/>
              </w:tabs>
              <w:spacing w:line="276" w:lineRule="auto"/>
              <w:rPr>
                <w:rFonts w:ascii="Arial" w:hAnsi="Arial" w:cs="Arial"/>
                <w:sz w:val="20"/>
                <w:szCs w:val="20"/>
              </w:rPr>
            </w:pPr>
          </w:p>
        </w:tc>
        <w:tc>
          <w:tcPr>
            <w:tcW w:w="851" w:type="dxa"/>
          </w:tcPr>
          <w:p w14:paraId="0D58EFF2" w14:textId="77777777" w:rsidR="00961AC6" w:rsidRPr="00C47834" w:rsidRDefault="00961AC6" w:rsidP="0083042F">
            <w:pPr>
              <w:tabs>
                <w:tab w:val="left" w:pos="0"/>
              </w:tabs>
              <w:spacing w:line="276" w:lineRule="auto"/>
              <w:rPr>
                <w:rFonts w:ascii="Arial" w:hAnsi="Arial" w:cs="Arial"/>
                <w:sz w:val="20"/>
                <w:szCs w:val="20"/>
              </w:rPr>
            </w:pPr>
          </w:p>
        </w:tc>
        <w:tc>
          <w:tcPr>
            <w:tcW w:w="1134" w:type="dxa"/>
          </w:tcPr>
          <w:p w14:paraId="27F9D8C7"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36FE172C" w14:textId="77777777" w:rsidR="00961AC6" w:rsidRPr="00C47834" w:rsidRDefault="00961AC6" w:rsidP="0083042F">
            <w:pPr>
              <w:tabs>
                <w:tab w:val="left" w:pos="0"/>
              </w:tabs>
              <w:spacing w:line="276" w:lineRule="auto"/>
              <w:rPr>
                <w:rFonts w:ascii="Arial" w:hAnsi="Arial" w:cs="Arial"/>
                <w:sz w:val="20"/>
                <w:szCs w:val="20"/>
              </w:rPr>
            </w:pPr>
          </w:p>
        </w:tc>
        <w:tc>
          <w:tcPr>
            <w:tcW w:w="749" w:type="dxa"/>
          </w:tcPr>
          <w:p w14:paraId="4CCBB465" w14:textId="77777777" w:rsidR="00961AC6" w:rsidRPr="00C47834" w:rsidRDefault="00961AC6" w:rsidP="0083042F">
            <w:pPr>
              <w:tabs>
                <w:tab w:val="left" w:pos="0"/>
              </w:tabs>
              <w:spacing w:line="276" w:lineRule="auto"/>
              <w:rPr>
                <w:rFonts w:ascii="Arial" w:hAnsi="Arial" w:cs="Arial"/>
                <w:sz w:val="20"/>
                <w:szCs w:val="20"/>
              </w:rPr>
            </w:pPr>
          </w:p>
        </w:tc>
      </w:tr>
      <w:tr w:rsidR="00961AC6" w:rsidRPr="00C47834" w14:paraId="34CEA747" w14:textId="77777777" w:rsidTr="00DC67EC">
        <w:trPr>
          <w:trHeight w:val="391"/>
        </w:trPr>
        <w:tc>
          <w:tcPr>
            <w:tcW w:w="1440" w:type="dxa"/>
          </w:tcPr>
          <w:p w14:paraId="1AD24D3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Low x low</w:t>
            </w:r>
          </w:p>
        </w:tc>
        <w:tc>
          <w:tcPr>
            <w:tcW w:w="720" w:type="dxa"/>
          </w:tcPr>
          <w:p w14:paraId="10E7F19F" w14:textId="77777777" w:rsidR="00961AC6" w:rsidRPr="00C47834" w:rsidRDefault="00961AC6" w:rsidP="0083042F">
            <w:pPr>
              <w:tabs>
                <w:tab w:val="left" w:pos="0"/>
              </w:tabs>
              <w:spacing w:line="276" w:lineRule="auto"/>
              <w:rPr>
                <w:rFonts w:ascii="Arial" w:hAnsi="Arial" w:cs="Arial"/>
                <w:sz w:val="20"/>
                <w:szCs w:val="20"/>
              </w:rPr>
            </w:pPr>
          </w:p>
        </w:tc>
        <w:tc>
          <w:tcPr>
            <w:tcW w:w="761" w:type="dxa"/>
          </w:tcPr>
          <w:p w14:paraId="2D2D29AB"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38A454D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3.239</w:t>
            </w:r>
          </w:p>
        </w:tc>
        <w:tc>
          <w:tcPr>
            <w:tcW w:w="992" w:type="dxa"/>
          </w:tcPr>
          <w:p w14:paraId="1357C68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2.812</w:t>
            </w:r>
          </w:p>
        </w:tc>
        <w:tc>
          <w:tcPr>
            <w:tcW w:w="1134" w:type="dxa"/>
          </w:tcPr>
          <w:p w14:paraId="2966E2C9"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0.246</w:t>
            </w:r>
          </w:p>
        </w:tc>
        <w:tc>
          <w:tcPr>
            <w:tcW w:w="992" w:type="dxa"/>
          </w:tcPr>
          <w:p w14:paraId="6B16FB0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0.161</w:t>
            </w:r>
          </w:p>
        </w:tc>
        <w:tc>
          <w:tcPr>
            <w:tcW w:w="799" w:type="dxa"/>
          </w:tcPr>
          <w:p w14:paraId="6BA93CB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86.75</w:t>
            </w:r>
          </w:p>
        </w:tc>
        <w:tc>
          <w:tcPr>
            <w:tcW w:w="1044" w:type="dxa"/>
          </w:tcPr>
          <w:p w14:paraId="568B3E6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7.581</w:t>
            </w:r>
          </w:p>
        </w:tc>
        <w:tc>
          <w:tcPr>
            <w:tcW w:w="851" w:type="dxa"/>
          </w:tcPr>
          <w:p w14:paraId="36E4D97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4.967</w:t>
            </w:r>
          </w:p>
        </w:tc>
        <w:tc>
          <w:tcPr>
            <w:tcW w:w="1134" w:type="dxa"/>
          </w:tcPr>
          <w:p w14:paraId="047890D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7.474</w:t>
            </w:r>
          </w:p>
        </w:tc>
        <w:tc>
          <w:tcPr>
            <w:tcW w:w="992" w:type="dxa"/>
          </w:tcPr>
          <w:p w14:paraId="2059485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15.25</w:t>
            </w:r>
          </w:p>
        </w:tc>
        <w:tc>
          <w:tcPr>
            <w:tcW w:w="749" w:type="dxa"/>
          </w:tcPr>
          <w:p w14:paraId="1C383ED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42.06</w:t>
            </w:r>
          </w:p>
        </w:tc>
      </w:tr>
      <w:tr w:rsidR="00961AC6" w:rsidRPr="00C47834" w14:paraId="5718116E" w14:textId="77777777" w:rsidTr="00DC67EC">
        <w:trPr>
          <w:trHeight w:val="391"/>
        </w:trPr>
        <w:tc>
          <w:tcPr>
            <w:tcW w:w="1440" w:type="dxa"/>
          </w:tcPr>
          <w:p w14:paraId="76F40FFA"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Low x high</w:t>
            </w:r>
          </w:p>
        </w:tc>
        <w:tc>
          <w:tcPr>
            <w:tcW w:w="720" w:type="dxa"/>
          </w:tcPr>
          <w:p w14:paraId="0C15EB13" w14:textId="77777777" w:rsidR="00961AC6" w:rsidRPr="00C47834" w:rsidRDefault="00961AC6" w:rsidP="0083042F">
            <w:pPr>
              <w:tabs>
                <w:tab w:val="left" w:pos="0"/>
              </w:tabs>
              <w:spacing w:line="276" w:lineRule="auto"/>
              <w:rPr>
                <w:rFonts w:ascii="Arial" w:hAnsi="Arial" w:cs="Arial"/>
                <w:sz w:val="20"/>
                <w:szCs w:val="20"/>
              </w:rPr>
            </w:pPr>
          </w:p>
        </w:tc>
        <w:tc>
          <w:tcPr>
            <w:tcW w:w="761" w:type="dxa"/>
          </w:tcPr>
          <w:p w14:paraId="3FE7F81E"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412663E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3.046</w:t>
            </w:r>
          </w:p>
        </w:tc>
        <w:tc>
          <w:tcPr>
            <w:tcW w:w="992" w:type="dxa"/>
          </w:tcPr>
          <w:p w14:paraId="78D44A7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2.663</w:t>
            </w:r>
          </w:p>
        </w:tc>
        <w:tc>
          <w:tcPr>
            <w:tcW w:w="1134" w:type="dxa"/>
          </w:tcPr>
          <w:p w14:paraId="0338DEF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0.174</w:t>
            </w:r>
          </w:p>
        </w:tc>
        <w:tc>
          <w:tcPr>
            <w:tcW w:w="992" w:type="dxa"/>
          </w:tcPr>
          <w:p w14:paraId="37CE84C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0.128</w:t>
            </w:r>
          </w:p>
        </w:tc>
        <w:tc>
          <w:tcPr>
            <w:tcW w:w="799" w:type="dxa"/>
          </w:tcPr>
          <w:p w14:paraId="08C847A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87.42</w:t>
            </w:r>
          </w:p>
        </w:tc>
        <w:tc>
          <w:tcPr>
            <w:tcW w:w="1044" w:type="dxa"/>
          </w:tcPr>
          <w:p w14:paraId="067159C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5.746</w:t>
            </w:r>
          </w:p>
        </w:tc>
        <w:tc>
          <w:tcPr>
            <w:tcW w:w="851" w:type="dxa"/>
          </w:tcPr>
          <w:p w14:paraId="458D58F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4.056</w:t>
            </w:r>
          </w:p>
        </w:tc>
        <w:tc>
          <w:tcPr>
            <w:tcW w:w="1134" w:type="dxa"/>
          </w:tcPr>
          <w:p w14:paraId="5A9BE93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7.877</w:t>
            </w:r>
          </w:p>
        </w:tc>
        <w:tc>
          <w:tcPr>
            <w:tcW w:w="992" w:type="dxa"/>
          </w:tcPr>
          <w:p w14:paraId="2A4F57E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14.73</w:t>
            </w:r>
          </w:p>
        </w:tc>
        <w:tc>
          <w:tcPr>
            <w:tcW w:w="749" w:type="dxa"/>
          </w:tcPr>
          <w:p w14:paraId="40ECCA4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39.89</w:t>
            </w:r>
          </w:p>
        </w:tc>
      </w:tr>
      <w:tr w:rsidR="00961AC6" w:rsidRPr="00C47834" w14:paraId="088B35D7" w14:textId="77777777" w:rsidTr="00DC67EC">
        <w:trPr>
          <w:trHeight w:val="413"/>
        </w:trPr>
        <w:tc>
          <w:tcPr>
            <w:tcW w:w="1440" w:type="dxa"/>
          </w:tcPr>
          <w:p w14:paraId="51617F6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High x low</w:t>
            </w:r>
          </w:p>
        </w:tc>
        <w:tc>
          <w:tcPr>
            <w:tcW w:w="720" w:type="dxa"/>
          </w:tcPr>
          <w:p w14:paraId="246269F7" w14:textId="77777777" w:rsidR="00961AC6" w:rsidRPr="00C47834" w:rsidRDefault="00961AC6" w:rsidP="0083042F">
            <w:pPr>
              <w:tabs>
                <w:tab w:val="left" w:pos="0"/>
              </w:tabs>
              <w:spacing w:line="276" w:lineRule="auto"/>
              <w:rPr>
                <w:rFonts w:ascii="Arial" w:hAnsi="Arial" w:cs="Arial"/>
                <w:sz w:val="20"/>
                <w:szCs w:val="20"/>
              </w:rPr>
            </w:pPr>
          </w:p>
        </w:tc>
        <w:tc>
          <w:tcPr>
            <w:tcW w:w="761" w:type="dxa"/>
          </w:tcPr>
          <w:p w14:paraId="6E87FBC0"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71D1D87A"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3.754</w:t>
            </w:r>
          </w:p>
        </w:tc>
        <w:tc>
          <w:tcPr>
            <w:tcW w:w="992" w:type="dxa"/>
          </w:tcPr>
          <w:p w14:paraId="1A6AB789"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3.289</w:t>
            </w:r>
          </w:p>
        </w:tc>
        <w:tc>
          <w:tcPr>
            <w:tcW w:w="1134" w:type="dxa"/>
          </w:tcPr>
          <w:p w14:paraId="0B0FB5F3"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0.291</w:t>
            </w:r>
          </w:p>
        </w:tc>
        <w:tc>
          <w:tcPr>
            <w:tcW w:w="992" w:type="dxa"/>
          </w:tcPr>
          <w:p w14:paraId="74C3E113"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0.157</w:t>
            </w:r>
          </w:p>
        </w:tc>
        <w:tc>
          <w:tcPr>
            <w:tcW w:w="799" w:type="dxa"/>
          </w:tcPr>
          <w:p w14:paraId="199E7FC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87.58</w:t>
            </w:r>
          </w:p>
        </w:tc>
        <w:tc>
          <w:tcPr>
            <w:tcW w:w="1044" w:type="dxa"/>
          </w:tcPr>
          <w:p w14:paraId="7098C21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7.752</w:t>
            </w:r>
          </w:p>
        </w:tc>
        <w:tc>
          <w:tcPr>
            <w:tcW w:w="851" w:type="dxa"/>
          </w:tcPr>
          <w:p w14:paraId="2F5AF38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4.197</w:t>
            </w:r>
          </w:p>
        </w:tc>
        <w:tc>
          <w:tcPr>
            <w:tcW w:w="1134" w:type="dxa"/>
          </w:tcPr>
          <w:p w14:paraId="4F3D4F9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8.474</w:t>
            </w:r>
          </w:p>
        </w:tc>
        <w:tc>
          <w:tcPr>
            <w:tcW w:w="992" w:type="dxa"/>
          </w:tcPr>
          <w:p w14:paraId="7E2353F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16.21</w:t>
            </w:r>
          </w:p>
        </w:tc>
        <w:tc>
          <w:tcPr>
            <w:tcW w:w="749" w:type="dxa"/>
          </w:tcPr>
          <w:p w14:paraId="2C59B54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44.97</w:t>
            </w:r>
          </w:p>
        </w:tc>
      </w:tr>
      <w:tr w:rsidR="00961AC6" w:rsidRPr="00C47834" w14:paraId="27C1AE67" w14:textId="77777777" w:rsidTr="00DC67EC">
        <w:trPr>
          <w:trHeight w:val="391"/>
        </w:trPr>
        <w:tc>
          <w:tcPr>
            <w:tcW w:w="1440" w:type="dxa"/>
          </w:tcPr>
          <w:p w14:paraId="5F9D278F"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High x high</w:t>
            </w:r>
          </w:p>
        </w:tc>
        <w:tc>
          <w:tcPr>
            <w:tcW w:w="720" w:type="dxa"/>
          </w:tcPr>
          <w:p w14:paraId="2B038A78" w14:textId="77777777" w:rsidR="00961AC6" w:rsidRPr="00C47834" w:rsidRDefault="00961AC6" w:rsidP="0083042F">
            <w:pPr>
              <w:tabs>
                <w:tab w:val="left" w:pos="0"/>
              </w:tabs>
              <w:spacing w:line="276" w:lineRule="auto"/>
              <w:rPr>
                <w:rFonts w:ascii="Arial" w:hAnsi="Arial" w:cs="Arial"/>
                <w:sz w:val="20"/>
                <w:szCs w:val="20"/>
              </w:rPr>
            </w:pPr>
          </w:p>
        </w:tc>
        <w:tc>
          <w:tcPr>
            <w:tcW w:w="761" w:type="dxa"/>
          </w:tcPr>
          <w:p w14:paraId="41E3D830"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5CE984E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3.726</w:t>
            </w:r>
          </w:p>
        </w:tc>
        <w:tc>
          <w:tcPr>
            <w:tcW w:w="992" w:type="dxa"/>
          </w:tcPr>
          <w:p w14:paraId="059D49A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3.079</w:t>
            </w:r>
          </w:p>
        </w:tc>
        <w:tc>
          <w:tcPr>
            <w:tcW w:w="1134" w:type="dxa"/>
          </w:tcPr>
          <w:p w14:paraId="7E1E243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0.362</w:t>
            </w:r>
          </w:p>
        </w:tc>
        <w:tc>
          <w:tcPr>
            <w:tcW w:w="992" w:type="dxa"/>
          </w:tcPr>
          <w:p w14:paraId="6560287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0.239</w:t>
            </w:r>
          </w:p>
        </w:tc>
        <w:tc>
          <w:tcPr>
            <w:tcW w:w="799" w:type="dxa"/>
          </w:tcPr>
          <w:p w14:paraId="34FC8EE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82.61</w:t>
            </w:r>
          </w:p>
        </w:tc>
        <w:tc>
          <w:tcPr>
            <w:tcW w:w="1044" w:type="dxa"/>
          </w:tcPr>
          <w:p w14:paraId="5804216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9.833</w:t>
            </w:r>
          </w:p>
        </w:tc>
        <w:tc>
          <w:tcPr>
            <w:tcW w:w="851" w:type="dxa"/>
          </w:tcPr>
          <w:p w14:paraId="3182E15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6.282</w:t>
            </w:r>
          </w:p>
        </w:tc>
        <w:tc>
          <w:tcPr>
            <w:tcW w:w="1134" w:type="dxa"/>
          </w:tcPr>
          <w:p w14:paraId="050C57F3"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5.885</w:t>
            </w:r>
          </w:p>
        </w:tc>
        <w:tc>
          <w:tcPr>
            <w:tcW w:w="992" w:type="dxa"/>
          </w:tcPr>
          <w:p w14:paraId="4596AA5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11.42</w:t>
            </w:r>
          </w:p>
        </w:tc>
        <w:tc>
          <w:tcPr>
            <w:tcW w:w="749" w:type="dxa"/>
          </w:tcPr>
          <w:p w14:paraId="4012AE9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30.23</w:t>
            </w:r>
          </w:p>
        </w:tc>
      </w:tr>
      <w:tr w:rsidR="00961AC6" w:rsidRPr="00C47834" w14:paraId="7C2D0E43" w14:textId="77777777" w:rsidTr="00DC67EC">
        <w:trPr>
          <w:trHeight w:val="391"/>
        </w:trPr>
        <w:tc>
          <w:tcPr>
            <w:tcW w:w="1440" w:type="dxa"/>
          </w:tcPr>
          <w:p w14:paraId="4C4C787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b/>
                <w:sz w:val="20"/>
                <w:szCs w:val="20"/>
              </w:rPr>
              <w:t>SEM</w:t>
            </w:r>
          </w:p>
        </w:tc>
        <w:tc>
          <w:tcPr>
            <w:tcW w:w="720" w:type="dxa"/>
          </w:tcPr>
          <w:p w14:paraId="2CB5446B" w14:textId="77777777" w:rsidR="00961AC6" w:rsidRPr="00C47834" w:rsidRDefault="00961AC6" w:rsidP="0083042F">
            <w:pPr>
              <w:tabs>
                <w:tab w:val="left" w:pos="0"/>
              </w:tabs>
              <w:spacing w:line="276" w:lineRule="auto"/>
              <w:rPr>
                <w:rFonts w:ascii="Arial" w:hAnsi="Arial" w:cs="Arial"/>
                <w:sz w:val="20"/>
                <w:szCs w:val="20"/>
              </w:rPr>
            </w:pPr>
          </w:p>
        </w:tc>
        <w:tc>
          <w:tcPr>
            <w:tcW w:w="761" w:type="dxa"/>
          </w:tcPr>
          <w:p w14:paraId="410E8DA5"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665CC56F"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0.203</w:t>
            </w:r>
          </w:p>
        </w:tc>
        <w:tc>
          <w:tcPr>
            <w:tcW w:w="992" w:type="dxa"/>
          </w:tcPr>
          <w:p w14:paraId="100F330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0.224</w:t>
            </w:r>
          </w:p>
        </w:tc>
        <w:tc>
          <w:tcPr>
            <w:tcW w:w="1134" w:type="dxa"/>
          </w:tcPr>
          <w:p w14:paraId="3224749F"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0.167</w:t>
            </w:r>
          </w:p>
        </w:tc>
        <w:tc>
          <w:tcPr>
            <w:tcW w:w="992" w:type="dxa"/>
          </w:tcPr>
          <w:p w14:paraId="3B9AC7A3"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0.392</w:t>
            </w:r>
          </w:p>
        </w:tc>
        <w:tc>
          <w:tcPr>
            <w:tcW w:w="799" w:type="dxa"/>
          </w:tcPr>
          <w:p w14:paraId="3BE983D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0.036</w:t>
            </w:r>
          </w:p>
        </w:tc>
        <w:tc>
          <w:tcPr>
            <w:tcW w:w="1044" w:type="dxa"/>
          </w:tcPr>
          <w:p w14:paraId="0872CD5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0.123</w:t>
            </w:r>
          </w:p>
        </w:tc>
        <w:tc>
          <w:tcPr>
            <w:tcW w:w="851" w:type="dxa"/>
          </w:tcPr>
          <w:p w14:paraId="373BF8A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0.455</w:t>
            </w:r>
          </w:p>
        </w:tc>
        <w:tc>
          <w:tcPr>
            <w:tcW w:w="1134" w:type="dxa"/>
          </w:tcPr>
          <w:p w14:paraId="12BE7F5A"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0.150</w:t>
            </w:r>
          </w:p>
        </w:tc>
        <w:tc>
          <w:tcPr>
            <w:tcW w:w="992" w:type="dxa"/>
          </w:tcPr>
          <w:p w14:paraId="3128560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0.133</w:t>
            </w:r>
          </w:p>
        </w:tc>
        <w:tc>
          <w:tcPr>
            <w:tcW w:w="749" w:type="dxa"/>
          </w:tcPr>
          <w:p w14:paraId="7378CBB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0.159</w:t>
            </w:r>
          </w:p>
        </w:tc>
      </w:tr>
      <w:tr w:rsidR="00961AC6" w:rsidRPr="00C47834" w14:paraId="35BA72B8" w14:textId="77777777" w:rsidTr="00DC67EC">
        <w:trPr>
          <w:trHeight w:val="391"/>
        </w:trPr>
        <w:tc>
          <w:tcPr>
            <w:tcW w:w="1440" w:type="dxa"/>
          </w:tcPr>
          <w:p w14:paraId="6789233D" w14:textId="77777777" w:rsidR="00961AC6" w:rsidRPr="00C47834" w:rsidRDefault="00961AC6" w:rsidP="0083042F">
            <w:pPr>
              <w:tabs>
                <w:tab w:val="left" w:pos="0"/>
              </w:tabs>
              <w:spacing w:line="276" w:lineRule="auto"/>
              <w:rPr>
                <w:rFonts w:ascii="Arial" w:hAnsi="Arial" w:cs="Arial"/>
                <w:b/>
                <w:sz w:val="20"/>
                <w:szCs w:val="20"/>
              </w:rPr>
            </w:pPr>
            <w:r w:rsidRPr="00C47834">
              <w:rPr>
                <w:rFonts w:ascii="Arial" w:hAnsi="Arial" w:cs="Arial"/>
                <w:b/>
                <w:sz w:val="20"/>
                <w:szCs w:val="20"/>
              </w:rPr>
              <w:t>P- value</w:t>
            </w:r>
          </w:p>
        </w:tc>
        <w:tc>
          <w:tcPr>
            <w:tcW w:w="720" w:type="dxa"/>
          </w:tcPr>
          <w:p w14:paraId="1319C197" w14:textId="77777777" w:rsidR="00961AC6" w:rsidRPr="00C47834" w:rsidRDefault="00961AC6" w:rsidP="0083042F">
            <w:pPr>
              <w:tabs>
                <w:tab w:val="left" w:pos="0"/>
              </w:tabs>
              <w:spacing w:line="276" w:lineRule="auto"/>
              <w:rPr>
                <w:rFonts w:ascii="Arial" w:hAnsi="Arial" w:cs="Arial"/>
                <w:sz w:val="20"/>
                <w:szCs w:val="20"/>
              </w:rPr>
            </w:pPr>
          </w:p>
        </w:tc>
        <w:tc>
          <w:tcPr>
            <w:tcW w:w="761" w:type="dxa"/>
          </w:tcPr>
          <w:p w14:paraId="5E247CF2"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38DA2782"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242A66AB" w14:textId="77777777" w:rsidR="00961AC6" w:rsidRPr="00C47834" w:rsidRDefault="00961AC6" w:rsidP="0083042F">
            <w:pPr>
              <w:tabs>
                <w:tab w:val="left" w:pos="0"/>
              </w:tabs>
              <w:spacing w:line="276" w:lineRule="auto"/>
              <w:rPr>
                <w:rFonts w:ascii="Arial" w:hAnsi="Arial" w:cs="Arial"/>
                <w:sz w:val="20"/>
                <w:szCs w:val="20"/>
              </w:rPr>
            </w:pPr>
          </w:p>
        </w:tc>
        <w:tc>
          <w:tcPr>
            <w:tcW w:w="1134" w:type="dxa"/>
          </w:tcPr>
          <w:p w14:paraId="09B169B1"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76306E49" w14:textId="77777777" w:rsidR="00961AC6" w:rsidRPr="00C47834" w:rsidRDefault="00961AC6" w:rsidP="0083042F">
            <w:pPr>
              <w:tabs>
                <w:tab w:val="left" w:pos="0"/>
              </w:tabs>
              <w:spacing w:line="276" w:lineRule="auto"/>
              <w:rPr>
                <w:rFonts w:ascii="Arial" w:hAnsi="Arial" w:cs="Arial"/>
                <w:sz w:val="20"/>
                <w:szCs w:val="20"/>
              </w:rPr>
            </w:pPr>
          </w:p>
        </w:tc>
        <w:tc>
          <w:tcPr>
            <w:tcW w:w="799" w:type="dxa"/>
          </w:tcPr>
          <w:p w14:paraId="3B03CF32" w14:textId="77777777" w:rsidR="00961AC6" w:rsidRPr="00C47834" w:rsidRDefault="00961AC6" w:rsidP="0083042F">
            <w:pPr>
              <w:tabs>
                <w:tab w:val="left" w:pos="0"/>
              </w:tabs>
              <w:spacing w:line="276" w:lineRule="auto"/>
              <w:rPr>
                <w:rFonts w:ascii="Arial" w:hAnsi="Arial" w:cs="Arial"/>
                <w:sz w:val="20"/>
                <w:szCs w:val="20"/>
              </w:rPr>
            </w:pPr>
          </w:p>
        </w:tc>
        <w:tc>
          <w:tcPr>
            <w:tcW w:w="1044" w:type="dxa"/>
          </w:tcPr>
          <w:p w14:paraId="1C308191" w14:textId="77777777" w:rsidR="00961AC6" w:rsidRPr="00C47834" w:rsidRDefault="00961AC6" w:rsidP="0083042F">
            <w:pPr>
              <w:tabs>
                <w:tab w:val="left" w:pos="0"/>
              </w:tabs>
              <w:spacing w:line="276" w:lineRule="auto"/>
              <w:rPr>
                <w:rFonts w:ascii="Arial" w:hAnsi="Arial" w:cs="Arial"/>
                <w:sz w:val="20"/>
                <w:szCs w:val="20"/>
              </w:rPr>
            </w:pPr>
          </w:p>
        </w:tc>
        <w:tc>
          <w:tcPr>
            <w:tcW w:w="851" w:type="dxa"/>
          </w:tcPr>
          <w:p w14:paraId="0BE74755" w14:textId="77777777" w:rsidR="00961AC6" w:rsidRPr="00C47834" w:rsidRDefault="00961AC6" w:rsidP="0083042F">
            <w:pPr>
              <w:tabs>
                <w:tab w:val="left" w:pos="0"/>
              </w:tabs>
              <w:spacing w:line="276" w:lineRule="auto"/>
              <w:rPr>
                <w:rFonts w:ascii="Arial" w:hAnsi="Arial" w:cs="Arial"/>
                <w:sz w:val="20"/>
                <w:szCs w:val="20"/>
              </w:rPr>
            </w:pPr>
          </w:p>
        </w:tc>
        <w:tc>
          <w:tcPr>
            <w:tcW w:w="1134" w:type="dxa"/>
          </w:tcPr>
          <w:p w14:paraId="42A84F70"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4DFC4112" w14:textId="77777777" w:rsidR="00961AC6" w:rsidRPr="00C47834" w:rsidRDefault="00961AC6" w:rsidP="0083042F">
            <w:pPr>
              <w:tabs>
                <w:tab w:val="left" w:pos="0"/>
              </w:tabs>
              <w:spacing w:line="276" w:lineRule="auto"/>
              <w:rPr>
                <w:rFonts w:ascii="Arial" w:hAnsi="Arial" w:cs="Arial"/>
                <w:sz w:val="20"/>
                <w:szCs w:val="20"/>
              </w:rPr>
            </w:pPr>
          </w:p>
        </w:tc>
        <w:tc>
          <w:tcPr>
            <w:tcW w:w="749" w:type="dxa"/>
          </w:tcPr>
          <w:p w14:paraId="61593105" w14:textId="77777777" w:rsidR="00961AC6" w:rsidRPr="00C47834" w:rsidRDefault="00961AC6" w:rsidP="0083042F">
            <w:pPr>
              <w:tabs>
                <w:tab w:val="left" w:pos="0"/>
              </w:tabs>
              <w:spacing w:line="276" w:lineRule="auto"/>
              <w:rPr>
                <w:rFonts w:ascii="Arial" w:hAnsi="Arial" w:cs="Arial"/>
                <w:sz w:val="20"/>
                <w:szCs w:val="20"/>
              </w:rPr>
            </w:pPr>
          </w:p>
        </w:tc>
      </w:tr>
      <w:tr w:rsidR="00961AC6" w:rsidRPr="00C47834" w14:paraId="53EBA939" w14:textId="77777777" w:rsidTr="00DC67EC">
        <w:trPr>
          <w:trHeight w:val="413"/>
        </w:trPr>
        <w:tc>
          <w:tcPr>
            <w:tcW w:w="1440" w:type="dxa"/>
          </w:tcPr>
          <w:p w14:paraId="4CCFD7E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Fat</w:t>
            </w:r>
          </w:p>
        </w:tc>
        <w:tc>
          <w:tcPr>
            <w:tcW w:w="720" w:type="dxa"/>
          </w:tcPr>
          <w:p w14:paraId="5C99C72D" w14:textId="77777777" w:rsidR="00961AC6" w:rsidRPr="00C47834" w:rsidRDefault="00961AC6" w:rsidP="0083042F">
            <w:pPr>
              <w:tabs>
                <w:tab w:val="left" w:pos="0"/>
              </w:tabs>
              <w:spacing w:line="276" w:lineRule="auto"/>
              <w:rPr>
                <w:rFonts w:ascii="Arial" w:hAnsi="Arial" w:cs="Arial"/>
                <w:sz w:val="20"/>
                <w:szCs w:val="20"/>
              </w:rPr>
            </w:pPr>
          </w:p>
        </w:tc>
        <w:tc>
          <w:tcPr>
            <w:tcW w:w="761" w:type="dxa"/>
          </w:tcPr>
          <w:p w14:paraId="127AED88"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10F7284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0.416</w:t>
            </w:r>
          </w:p>
        </w:tc>
        <w:tc>
          <w:tcPr>
            <w:tcW w:w="992" w:type="dxa"/>
          </w:tcPr>
          <w:p w14:paraId="74D0727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0.519</w:t>
            </w:r>
          </w:p>
        </w:tc>
        <w:tc>
          <w:tcPr>
            <w:tcW w:w="1134" w:type="dxa"/>
          </w:tcPr>
          <w:p w14:paraId="7BC4678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0.028</w:t>
            </w:r>
          </w:p>
        </w:tc>
        <w:tc>
          <w:tcPr>
            <w:tcW w:w="992" w:type="dxa"/>
          </w:tcPr>
          <w:p w14:paraId="38C431F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0.469</w:t>
            </w:r>
          </w:p>
        </w:tc>
        <w:tc>
          <w:tcPr>
            <w:tcW w:w="799" w:type="dxa"/>
          </w:tcPr>
          <w:p w14:paraId="59BD5959"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0.533</w:t>
            </w:r>
          </w:p>
        </w:tc>
        <w:tc>
          <w:tcPr>
            <w:tcW w:w="1044" w:type="dxa"/>
          </w:tcPr>
          <w:p w14:paraId="501980E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0.053</w:t>
            </w:r>
          </w:p>
        </w:tc>
        <w:tc>
          <w:tcPr>
            <w:tcW w:w="851" w:type="dxa"/>
          </w:tcPr>
          <w:p w14:paraId="7D72E20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0.775</w:t>
            </w:r>
          </w:p>
        </w:tc>
        <w:tc>
          <w:tcPr>
            <w:tcW w:w="1134" w:type="dxa"/>
          </w:tcPr>
          <w:p w14:paraId="3B5604A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0.596</w:t>
            </w:r>
          </w:p>
        </w:tc>
        <w:tc>
          <w:tcPr>
            <w:tcW w:w="992" w:type="dxa"/>
          </w:tcPr>
          <w:p w14:paraId="6DFD59E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0.489</w:t>
            </w:r>
          </w:p>
        </w:tc>
        <w:tc>
          <w:tcPr>
            <w:tcW w:w="749" w:type="dxa"/>
          </w:tcPr>
          <w:p w14:paraId="2B6EC79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0.525</w:t>
            </w:r>
          </w:p>
        </w:tc>
      </w:tr>
      <w:tr w:rsidR="00961AC6" w:rsidRPr="00C47834" w14:paraId="7AC4BF69" w14:textId="77777777" w:rsidTr="00DC67EC">
        <w:trPr>
          <w:trHeight w:val="391"/>
        </w:trPr>
        <w:tc>
          <w:tcPr>
            <w:tcW w:w="1440" w:type="dxa"/>
          </w:tcPr>
          <w:p w14:paraId="12C7C07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Fibre</w:t>
            </w:r>
          </w:p>
        </w:tc>
        <w:tc>
          <w:tcPr>
            <w:tcW w:w="720" w:type="dxa"/>
          </w:tcPr>
          <w:p w14:paraId="1430012F" w14:textId="77777777" w:rsidR="00961AC6" w:rsidRPr="00C47834" w:rsidRDefault="00961AC6" w:rsidP="0083042F">
            <w:pPr>
              <w:tabs>
                <w:tab w:val="left" w:pos="0"/>
              </w:tabs>
              <w:spacing w:line="276" w:lineRule="auto"/>
              <w:rPr>
                <w:rFonts w:ascii="Arial" w:hAnsi="Arial" w:cs="Arial"/>
                <w:sz w:val="20"/>
                <w:szCs w:val="20"/>
              </w:rPr>
            </w:pPr>
          </w:p>
        </w:tc>
        <w:tc>
          <w:tcPr>
            <w:tcW w:w="761" w:type="dxa"/>
          </w:tcPr>
          <w:p w14:paraId="10AA1B07"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68DBA2C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0.870</w:t>
            </w:r>
          </w:p>
        </w:tc>
        <w:tc>
          <w:tcPr>
            <w:tcW w:w="992" w:type="dxa"/>
          </w:tcPr>
          <w:p w14:paraId="4D016259"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0.795</w:t>
            </w:r>
          </w:p>
        </w:tc>
        <w:tc>
          <w:tcPr>
            <w:tcW w:w="1134" w:type="dxa"/>
          </w:tcPr>
          <w:p w14:paraId="4926BBEF"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0.710</w:t>
            </w:r>
          </w:p>
        </w:tc>
        <w:tc>
          <w:tcPr>
            <w:tcW w:w="992" w:type="dxa"/>
          </w:tcPr>
          <w:p w14:paraId="6E04A43A"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0.811</w:t>
            </w:r>
          </w:p>
        </w:tc>
        <w:tc>
          <w:tcPr>
            <w:tcW w:w="799" w:type="dxa"/>
          </w:tcPr>
          <w:p w14:paraId="431D2E3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0.503</w:t>
            </w:r>
          </w:p>
        </w:tc>
        <w:tc>
          <w:tcPr>
            <w:tcW w:w="1044" w:type="dxa"/>
          </w:tcPr>
          <w:p w14:paraId="5182080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0.877</w:t>
            </w:r>
          </w:p>
        </w:tc>
        <w:tc>
          <w:tcPr>
            <w:tcW w:w="851" w:type="dxa"/>
          </w:tcPr>
          <w:p w14:paraId="047A1863"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0.831</w:t>
            </w:r>
          </w:p>
        </w:tc>
        <w:tc>
          <w:tcPr>
            <w:tcW w:w="1134" w:type="dxa"/>
          </w:tcPr>
          <w:p w14:paraId="5B06316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0.329</w:t>
            </w:r>
          </w:p>
        </w:tc>
        <w:tc>
          <w:tcPr>
            <w:tcW w:w="992" w:type="dxa"/>
          </w:tcPr>
          <w:p w14:paraId="17A2396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0.187</w:t>
            </w:r>
          </w:p>
        </w:tc>
        <w:tc>
          <w:tcPr>
            <w:tcW w:w="749" w:type="dxa"/>
          </w:tcPr>
          <w:p w14:paraId="4580D6FF"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0.194</w:t>
            </w:r>
          </w:p>
        </w:tc>
      </w:tr>
      <w:tr w:rsidR="00961AC6" w:rsidRPr="00C47834" w14:paraId="356D5EBC" w14:textId="77777777" w:rsidTr="00DC67EC">
        <w:trPr>
          <w:trHeight w:val="391"/>
        </w:trPr>
        <w:tc>
          <w:tcPr>
            <w:tcW w:w="1440" w:type="dxa"/>
          </w:tcPr>
          <w:p w14:paraId="68F029F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Fat x fibre</w:t>
            </w:r>
          </w:p>
        </w:tc>
        <w:tc>
          <w:tcPr>
            <w:tcW w:w="720" w:type="dxa"/>
          </w:tcPr>
          <w:p w14:paraId="608798B6" w14:textId="77777777" w:rsidR="00961AC6" w:rsidRPr="00C47834" w:rsidRDefault="00961AC6" w:rsidP="0083042F">
            <w:pPr>
              <w:tabs>
                <w:tab w:val="left" w:pos="0"/>
              </w:tabs>
              <w:spacing w:line="276" w:lineRule="auto"/>
              <w:rPr>
                <w:rFonts w:ascii="Arial" w:hAnsi="Arial" w:cs="Arial"/>
                <w:sz w:val="20"/>
                <w:szCs w:val="20"/>
              </w:rPr>
            </w:pPr>
          </w:p>
        </w:tc>
        <w:tc>
          <w:tcPr>
            <w:tcW w:w="761" w:type="dxa"/>
          </w:tcPr>
          <w:p w14:paraId="4CFA7B19"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4051470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0.898</w:t>
            </w:r>
          </w:p>
        </w:tc>
        <w:tc>
          <w:tcPr>
            <w:tcW w:w="992" w:type="dxa"/>
          </w:tcPr>
          <w:p w14:paraId="091E7BF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0.980</w:t>
            </w:r>
          </w:p>
        </w:tc>
        <w:tc>
          <w:tcPr>
            <w:tcW w:w="1134" w:type="dxa"/>
          </w:tcPr>
          <w:p w14:paraId="71864A7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0.129</w:t>
            </w:r>
          </w:p>
        </w:tc>
        <w:tc>
          <w:tcPr>
            <w:tcW w:w="992" w:type="dxa"/>
          </w:tcPr>
          <w:p w14:paraId="47E440C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0.435</w:t>
            </w:r>
          </w:p>
        </w:tc>
        <w:tc>
          <w:tcPr>
            <w:tcW w:w="799" w:type="dxa"/>
          </w:tcPr>
          <w:p w14:paraId="1A95E1F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0.387</w:t>
            </w:r>
          </w:p>
        </w:tc>
        <w:tc>
          <w:tcPr>
            <w:tcW w:w="1044" w:type="dxa"/>
          </w:tcPr>
          <w:p w14:paraId="0309B79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0.070</w:t>
            </w:r>
          </w:p>
        </w:tc>
        <w:tc>
          <w:tcPr>
            <w:tcW w:w="851" w:type="dxa"/>
          </w:tcPr>
          <w:p w14:paraId="26D5CC7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0.524</w:t>
            </w:r>
          </w:p>
        </w:tc>
        <w:tc>
          <w:tcPr>
            <w:tcW w:w="1134" w:type="dxa"/>
          </w:tcPr>
          <w:p w14:paraId="7310CCB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0.203</w:t>
            </w:r>
          </w:p>
        </w:tc>
        <w:tc>
          <w:tcPr>
            <w:tcW w:w="992" w:type="dxa"/>
          </w:tcPr>
          <w:p w14:paraId="6689714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0.270</w:t>
            </w:r>
          </w:p>
        </w:tc>
        <w:tc>
          <w:tcPr>
            <w:tcW w:w="749" w:type="dxa"/>
          </w:tcPr>
          <w:p w14:paraId="41CB75A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0.309</w:t>
            </w:r>
          </w:p>
        </w:tc>
      </w:tr>
    </w:tbl>
    <w:p w14:paraId="4FB4A2ED" w14:textId="34BDF4FF" w:rsidR="0091112C" w:rsidRDefault="00961AC6" w:rsidP="0083042F">
      <w:pPr>
        <w:tabs>
          <w:tab w:val="left" w:pos="0"/>
        </w:tabs>
        <w:spacing w:after="0" w:line="240" w:lineRule="auto"/>
        <w:ind w:left="142" w:hanging="142"/>
        <w:rPr>
          <w:rFonts w:ascii="Arial" w:hAnsi="Arial" w:cs="Arial"/>
          <w:i/>
          <w:sz w:val="18"/>
          <w:szCs w:val="20"/>
        </w:rPr>
      </w:pPr>
      <w:r w:rsidRPr="00C47834">
        <w:rPr>
          <w:rFonts w:ascii="Arial" w:hAnsi="Arial" w:cs="Arial"/>
          <w:sz w:val="20"/>
          <w:szCs w:val="20"/>
        </w:rPr>
        <w:t xml:space="preserve">    </w:t>
      </w:r>
      <w:r w:rsidR="0091112C">
        <w:rPr>
          <w:rFonts w:ascii="Arial" w:hAnsi="Arial" w:cs="Arial"/>
          <w:sz w:val="20"/>
          <w:szCs w:val="20"/>
        </w:rPr>
        <w:t xml:space="preserve">             </w:t>
      </w:r>
      <w:r w:rsidRPr="00F81C0F">
        <w:rPr>
          <w:rFonts w:ascii="Arial" w:hAnsi="Arial" w:cs="Arial"/>
          <w:i/>
          <w:sz w:val="18"/>
          <w:szCs w:val="20"/>
        </w:rPr>
        <w:t>Means bearing different superscripts (</w:t>
      </w:r>
      <w:r w:rsidRPr="00F81C0F">
        <w:rPr>
          <w:rFonts w:ascii="Arial" w:hAnsi="Arial" w:cs="Arial"/>
          <w:b/>
          <w:i/>
          <w:sz w:val="18"/>
          <w:szCs w:val="20"/>
          <w:vertAlign w:val="superscript"/>
        </w:rPr>
        <w:t>ab</w:t>
      </w:r>
      <w:r w:rsidRPr="00F81C0F">
        <w:rPr>
          <w:rFonts w:ascii="Arial" w:hAnsi="Arial" w:cs="Arial"/>
          <w:i/>
          <w:sz w:val="18"/>
          <w:szCs w:val="20"/>
        </w:rPr>
        <w:t xml:space="preserve">) in the same column are significantly different (P &lt; 0.05). </w:t>
      </w:r>
      <w:r w:rsidRPr="00F81C0F">
        <w:rPr>
          <w:rFonts w:ascii="Arial" w:hAnsi="Arial" w:cs="Arial"/>
          <w:b/>
          <w:i/>
          <w:sz w:val="18"/>
          <w:szCs w:val="20"/>
        </w:rPr>
        <w:t>WBC</w:t>
      </w:r>
      <w:r w:rsidRPr="00F81C0F">
        <w:rPr>
          <w:rFonts w:ascii="Arial" w:hAnsi="Arial" w:cs="Arial"/>
          <w:i/>
          <w:sz w:val="18"/>
          <w:szCs w:val="20"/>
        </w:rPr>
        <w:t xml:space="preserve">: White blood cell, </w:t>
      </w:r>
      <w:r w:rsidRPr="00F81C0F">
        <w:rPr>
          <w:rFonts w:ascii="Arial" w:hAnsi="Arial" w:cs="Arial"/>
          <w:b/>
          <w:i/>
          <w:sz w:val="18"/>
          <w:szCs w:val="20"/>
        </w:rPr>
        <w:t>LYM</w:t>
      </w:r>
      <w:r w:rsidRPr="00F81C0F">
        <w:rPr>
          <w:rFonts w:ascii="Arial" w:hAnsi="Arial" w:cs="Arial"/>
          <w:i/>
          <w:sz w:val="18"/>
          <w:szCs w:val="20"/>
        </w:rPr>
        <w:t>: Lymphocytes,</w:t>
      </w:r>
    </w:p>
    <w:p w14:paraId="3FD82EAF" w14:textId="7956088E" w:rsidR="00961AC6" w:rsidRPr="00F81C0F" w:rsidRDefault="0091112C" w:rsidP="0083042F">
      <w:pPr>
        <w:tabs>
          <w:tab w:val="left" w:pos="0"/>
        </w:tabs>
        <w:spacing w:after="0" w:line="240" w:lineRule="auto"/>
        <w:ind w:left="142" w:hanging="142"/>
        <w:rPr>
          <w:rFonts w:ascii="Arial" w:hAnsi="Arial" w:cs="Arial"/>
          <w:i/>
          <w:sz w:val="18"/>
          <w:szCs w:val="20"/>
        </w:rPr>
        <w:sectPr w:rsidR="00961AC6" w:rsidRPr="00F81C0F" w:rsidSect="000D34CA">
          <w:pgSz w:w="15840" w:h="12240" w:orient="landscape"/>
          <w:pgMar w:top="1170" w:right="630" w:bottom="1080" w:left="1080" w:header="720" w:footer="720" w:gutter="0"/>
          <w:cols w:space="720"/>
          <w:docGrid w:linePitch="360"/>
        </w:sectPr>
      </w:pPr>
      <w:r>
        <w:rPr>
          <w:rFonts w:ascii="Arial" w:hAnsi="Arial" w:cs="Arial"/>
          <w:i/>
          <w:sz w:val="18"/>
          <w:szCs w:val="20"/>
        </w:rPr>
        <w:t xml:space="preserve">                 </w:t>
      </w:r>
      <w:r w:rsidR="00961AC6" w:rsidRPr="00F81C0F">
        <w:rPr>
          <w:rFonts w:ascii="Arial" w:hAnsi="Arial" w:cs="Arial"/>
          <w:i/>
          <w:sz w:val="18"/>
          <w:szCs w:val="20"/>
        </w:rPr>
        <w:t xml:space="preserve"> </w:t>
      </w:r>
      <w:r w:rsidR="00961AC6" w:rsidRPr="00F81C0F">
        <w:rPr>
          <w:rFonts w:ascii="Arial" w:hAnsi="Arial" w:cs="Arial"/>
          <w:b/>
          <w:i/>
          <w:sz w:val="18"/>
          <w:szCs w:val="20"/>
        </w:rPr>
        <w:t>MID</w:t>
      </w:r>
      <w:r w:rsidR="00961AC6" w:rsidRPr="00F81C0F">
        <w:rPr>
          <w:rFonts w:ascii="Arial" w:hAnsi="Arial" w:cs="Arial"/>
          <w:i/>
          <w:sz w:val="18"/>
          <w:szCs w:val="20"/>
        </w:rPr>
        <w:t xml:space="preserve">: Minimum inhibitory dilution, </w:t>
      </w:r>
      <w:r w:rsidR="00961AC6" w:rsidRPr="00F81C0F">
        <w:rPr>
          <w:rFonts w:ascii="Arial" w:hAnsi="Arial" w:cs="Arial"/>
          <w:b/>
          <w:i/>
          <w:sz w:val="18"/>
          <w:szCs w:val="20"/>
        </w:rPr>
        <w:t>GRA</w:t>
      </w:r>
      <w:r w:rsidR="00961AC6" w:rsidRPr="00F81C0F">
        <w:rPr>
          <w:rFonts w:ascii="Arial" w:hAnsi="Arial" w:cs="Arial"/>
          <w:i/>
          <w:sz w:val="18"/>
          <w:szCs w:val="20"/>
        </w:rPr>
        <w:t xml:space="preserve">: Granulocytes, </w:t>
      </w:r>
      <w:r w:rsidR="00961AC6" w:rsidRPr="00F81C0F">
        <w:rPr>
          <w:rFonts w:ascii="Arial" w:hAnsi="Arial" w:cs="Arial"/>
          <w:b/>
          <w:i/>
          <w:sz w:val="18"/>
          <w:szCs w:val="20"/>
        </w:rPr>
        <w:t>RBC</w:t>
      </w:r>
      <w:r w:rsidR="00961AC6" w:rsidRPr="00F81C0F">
        <w:rPr>
          <w:rFonts w:ascii="Arial" w:hAnsi="Arial" w:cs="Arial"/>
          <w:i/>
          <w:sz w:val="18"/>
          <w:szCs w:val="20"/>
        </w:rPr>
        <w:t xml:space="preserve">: Red blood cell, </w:t>
      </w:r>
      <w:r w:rsidR="00961AC6" w:rsidRPr="00F81C0F">
        <w:rPr>
          <w:rFonts w:ascii="Arial" w:hAnsi="Arial" w:cs="Arial"/>
          <w:b/>
          <w:i/>
          <w:sz w:val="18"/>
          <w:szCs w:val="20"/>
        </w:rPr>
        <w:t>HGB</w:t>
      </w:r>
      <w:r w:rsidR="00961AC6" w:rsidRPr="00F81C0F">
        <w:rPr>
          <w:rFonts w:ascii="Arial" w:hAnsi="Arial" w:cs="Arial"/>
          <w:i/>
          <w:sz w:val="18"/>
          <w:szCs w:val="20"/>
        </w:rPr>
        <w:t xml:space="preserve">: Haemoglobin, </w:t>
      </w:r>
      <w:r w:rsidR="00961AC6" w:rsidRPr="00F81C0F">
        <w:rPr>
          <w:rFonts w:ascii="Arial" w:hAnsi="Arial" w:cs="Arial"/>
          <w:b/>
          <w:i/>
          <w:sz w:val="18"/>
          <w:szCs w:val="20"/>
        </w:rPr>
        <w:t>HCT</w:t>
      </w:r>
      <w:r w:rsidR="00961AC6" w:rsidRPr="00F81C0F">
        <w:rPr>
          <w:rFonts w:ascii="Arial" w:hAnsi="Arial" w:cs="Arial"/>
          <w:i/>
          <w:sz w:val="18"/>
          <w:szCs w:val="20"/>
        </w:rPr>
        <w:t>: Haematocrit.</w:t>
      </w:r>
    </w:p>
    <w:p w14:paraId="519C1BA3" w14:textId="0B848247" w:rsidR="00961AC6" w:rsidRPr="00C47834" w:rsidRDefault="00961AC6" w:rsidP="0083042F">
      <w:pPr>
        <w:tabs>
          <w:tab w:val="left" w:pos="0"/>
        </w:tabs>
        <w:spacing w:line="240" w:lineRule="auto"/>
        <w:ind w:left="-426" w:firstLine="142"/>
        <w:rPr>
          <w:rFonts w:ascii="Arial" w:hAnsi="Arial" w:cs="Arial"/>
          <w:b/>
          <w:sz w:val="20"/>
          <w:szCs w:val="20"/>
        </w:rPr>
      </w:pPr>
      <w:r w:rsidRPr="00C47834">
        <w:rPr>
          <w:rFonts w:ascii="Arial" w:hAnsi="Arial" w:cs="Arial"/>
          <w:b/>
          <w:sz w:val="20"/>
          <w:szCs w:val="20"/>
        </w:rPr>
        <w:lastRenderedPageBreak/>
        <w:t xml:space="preserve">Table </w:t>
      </w:r>
      <w:r>
        <w:rPr>
          <w:rFonts w:ascii="Arial" w:hAnsi="Arial" w:cs="Arial"/>
          <w:b/>
          <w:sz w:val="20"/>
          <w:szCs w:val="20"/>
        </w:rPr>
        <w:t>6</w:t>
      </w:r>
      <w:r w:rsidRPr="00C47834">
        <w:rPr>
          <w:rFonts w:ascii="Arial" w:hAnsi="Arial" w:cs="Arial"/>
          <w:b/>
          <w:sz w:val="20"/>
          <w:szCs w:val="20"/>
        </w:rPr>
        <w:t>b. Effects of two dietary fat and fibre levels on the haematological parameters of Albino rats on at d, Continuation.</w:t>
      </w:r>
    </w:p>
    <w:tbl>
      <w:tblPr>
        <w:tblStyle w:val="TableGrid"/>
        <w:tblW w:w="13548" w:type="dxa"/>
        <w:tblInd w:w="-36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9"/>
        <w:gridCol w:w="851"/>
        <w:gridCol w:w="850"/>
        <w:gridCol w:w="993"/>
        <w:gridCol w:w="992"/>
        <w:gridCol w:w="1134"/>
        <w:gridCol w:w="1276"/>
        <w:gridCol w:w="1275"/>
        <w:gridCol w:w="993"/>
        <w:gridCol w:w="850"/>
        <w:gridCol w:w="851"/>
        <w:gridCol w:w="850"/>
        <w:gridCol w:w="1134"/>
      </w:tblGrid>
      <w:tr w:rsidR="00961AC6" w:rsidRPr="00C47834" w14:paraId="233DE171" w14:textId="77777777" w:rsidTr="00DC67EC">
        <w:trPr>
          <w:trHeight w:val="542"/>
        </w:trPr>
        <w:tc>
          <w:tcPr>
            <w:tcW w:w="1499" w:type="dxa"/>
            <w:tcBorders>
              <w:top w:val="single" w:sz="4" w:space="0" w:color="auto"/>
              <w:bottom w:val="nil"/>
            </w:tcBorders>
          </w:tcPr>
          <w:p w14:paraId="6CDD172D" w14:textId="77777777" w:rsidR="00961AC6" w:rsidRPr="00C47834" w:rsidRDefault="00961AC6" w:rsidP="0083042F">
            <w:pPr>
              <w:tabs>
                <w:tab w:val="left" w:pos="0"/>
              </w:tabs>
              <w:spacing w:line="276" w:lineRule="auto"/>
              <w:rPr>
                <w:rFonts w:ascii="Arial" w:hAnsi="Arial" w:cs="Arial"/>
                <w:b/>
                <w:sz w:val="20"/>
                <w:szCs w:val="20"/>
              </w:rPr>
            </w:pPr>
            <w:r w:rsidRPr="00C47834">
              <w:rPr>
                <w:rFonts w:ascii="Arial" w:hAnsi="Arial" w:cs="Arial"/>
                <w:b/>
                <w:sz w:val="20"/>
                <w:szCs w:val="20"/>
              </w:rPr>
              <w:t>Effects</w:t>
            </w:r>
          </w:p>
        </w:tc>
        <w:tc>
          <w:tcPr>
            <w:tcW w:w="851" w:type="dxa"/>
            <w:tcBorders>
              <w:top w:val="single" w:sz="4" w:space="0" w:color="auto"/>
              <w:bottom w:val="nil"/>
            </w:tcBorders>
          </w:tcPr>
          <w:p w14:paraId="78CF06D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b/>
                <w:sz w:val="20"/>
                <w:szCs w:val="20"/>
              </w:rPr>
              <w:t>Fat</w:t>
            </w:r>
          </w:p>
        </w:tc>
        <w:tc>
          <w:tcPr>
            <w:tcW w:w="850" w:type="dxa"/>
            <w:tcBorders>
              <w:top w:val="single" w:sz="4" w:space="0" w:color="auto"/>
              <w:bottom w:val="nil"/>
            </w:tcBorders>
          </w:tcPr>
          <w:p w14:paraId="3945684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b/>
                <w:sz w:val="20"/>
                <w:szCs w:val="20"/>
              </w:rPr>
              <w:t>Fibre</w:t>
            </w:r>
          </w:p>
        </w:tc>
        <w:tc>
          <w:tcPr>
            <w:tcW w:w="993" w:type="dxa"/>
            <w:tcBorders>
              <w:top w:val="single" w:sz="4" w:space="0" w:color="auto"/>
              <w:bottom w:val="nil"/>
            </w:tcBorders>
            <w:vAlign w:val="bottom"/>
          </w:tcPr>
          <w:p w14:paraId="36BF2CDD"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 xml:space="preserve">MCV </w:t>
            </w:r>
            <w:r w:rsidRPr="00C47834">
              <w:rPr>
                <w:rFonts w:ascii="Arial" w:hAnsi="Arial" w:cs="Arial"/>
                <w:sz w:val="20"/>
                <w:szCs w:val="20"/>
              </w:rPr>
              <w:t>(fL)</w:t>
            </w:r>
          </w:p>
        </w:tc>
        <w:tc>
          <w:tcPr>
            <w:tcW w:w="992" w:type="dxa"/>
            <w:tcBorders>
              <w:top w:val="single" w:sz="4" w:space="0" w:color="auto"/>
              <w:bottom w:val="nil"/>
            </w:tcBorders>
            <w:vAlign w:val="bottom"/>
          </w:tcPr>
          <w:p w14:paraId="5F28DA6C"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 xml:space="preserve">MCH </w:t>
            </w:r>
            <w:r w:rsidRPr="00C47834">
              <w:rPr>
                <w:rFonts w:ascii="Arial" w:hAnsi="Arial" w:cs="Arial"/>
                <w:sz w:val="20"/>
                <w:szCs w:val="20"/>
              </w:rPr>
              <w:t>(pg)</w:t>
            </w:r>
          </w:p>
        </w:tc>
        <w:tc>
          <w:tcPr>
            <w:tcW w:w="1134" w:type="dxa"/>
            <w:tcBorders>
              <w:top w:val="single" w:sz="4" w:space="0" w:color="auto"/>
              <w:bottom w:val="nil"/>
            </w:tcBorders>
            <w:vAlign w:val="bottom"/>
          </w:tcPr>
          <w:p w14:paraId="3D504DA8"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 xml:space="preserve">MCHC </w:t>
            </w:r>
            <w:r w:rsidRPr="00C47834">
              <w:rPr>
                <w:rFonts w:ascii="Arial" w:hAnsi="Arial" w:cs="Arial"/>
                <w:sz w:val="20"/>
                <w:szCs w:val="20"/>
              </w:rPr>
              <w:t>(g/dL)</w:t>
            </w:r>
          </w:p>
        </w:tc>
        <w:tc>
          <w:tcPr>
            <w:tcW w:w="1276" w:type="dxa"/>
            <w:tcBorders>
              <w:top w:val="single" w:sz="4" w:space="0" w:color="auto"/>
              <w:bottom w:val="nil"/>
            </w:tcBorders>
            <w:vAlign w:val="bottom"/>
          </w:tcPr>
          <w:p w14:paraId="4CBFF980"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 xml:space="preserve">RDW-SD </w:t>
            </w:r>
            <w:r w:rsidRPr="00C47834">
              <w:rPr>
                <w:rFonts w:ascii="Arial" w:hAnsi="Arial" w:cs="Arial"/>
                <w:sz w:val="20"/>
                <w:szCs w:val="20"/>
              </w:rPr>
              <w:t>(fL)</w:t>
            </w:r>
          </w:p>
        </w:tc>
        <w:tc>
          <w:tcPr>
            <w:tcW w:w="1275" w:type="dxa"/>
            <w:tcBorders>
              <w:top w:val="single" w:sz="4" w:space="0" w:color="auto"/>
              <w:bottom w:val="nil"/>
            </w:tcBorders>
            <w:vAlign w:val="bottom"/>
          </w:tcPr>
          <w:p w14:paraId="7BD38AAC"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RDW-CV (</w:t>
            </w:r>
            <w:r w:rsidRPr="00C47834">
              <w:rPr>
                <w:rFonts w:ascii="Arial" w:hAnsi="Arial" w:cs="Arial"/>
                <w:sz w:val="20"/>
                <w:szCs w:val="20"/>
              </w:rPr>
              <w:t>%)</w:t>
            </w:r>
          </w:p>
        </w:tc>
        <w:tc>
          <w:tcPr>
            <w:tcW w:w="993" w:type="dxa"/>
            <w:tcBorders>
              <w:top w:val="single" w:sz="4" w:space="0" w:color="auto"/>
              <w:bottom w:val="nil"/>
            </w:tcBorders>
            <w:vAlign w:val="bottom"/>
          </w:tcPr>
          <w:p w14:paraId="7D7BED41"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 xml:space="preserve">PLT </w:t>
            </w:r>
            <w:r w:rsidRPr="00C47834">
              <w:rPr>
                <w:rFonts w:ascii="Arial" w:hAnsi="Arial" w:cs="Arial"/>
                <w:sz w:val="20"/>
                <w:szCs w:val="20"/>
              </w:rPr>
              <w:t>(10^9/L)</w:t>
            </w:r>
          </w:p>
        </w:tc>
        <w:tc>
          <w:tcPr>
            <w:tcW w:w="850" w:type="dxa"/>
            <w:tcBorders>
              <w:top w:val="single" w:sz="4" w:space="0" w:color="auto"/>
              <w:bottom w:val="nil"/>
            </w:tcBorders>
            <w:vAlign w:val="bottom"/>
          </w:tcPr>
          <w:p w14:paraId="1649D1B9"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 xml:space="preserve">MPV </w:t>
            </w:r>
            <w:r w:rsidRPr="00C47834">
              <w:rPr>
                <w:rFonts w:ascii="Arial" w:hAnsi="Arial" w:cs="Arial"/>
                <w:sz w:val="20"/>
                <w:szCs w:val="20"/>
              </w:rPr>
              <w:t>(fL)</w:t>
            </w:r>
          </w:p>
        </w:tc>
        <w:tc>
          <w:tcPr>
            <w:tcW w:w="851" w:type="dxa"/>
            <w:tcBorders>
              <w:top w:val="single" w:sz="4" w:space="0" w:color="auto"/>
              <w:bottom w:val="nil"/>
            </w:tcBorders>
            <w:vAlign w:val="bottom"/>
          </w:tcPr>
          <w:p w14:paraId="28FF6A7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b/>
                <w:bCs/>
                <w:sz w:val="20"/>
                <w:szCs w:val="20"/>
              </w:rPr>
              <w:t>PDW</w:t>
            </w:r>
            <w:r w:rsidRPr="00C47834">
              <w:rPr>
                <w:rFonts w:ascii="Arial" w:hAnsi="Arial" w:cs="Arial"/>
                <w:sz w:val="20"/>
                <w:szCs w:val="20"/>
              </w:rPr>
              <w:t xml:space="preserve"> (%)</w:t>
            </w:r>
          </w:p>
        </w:tc>
        <w:tc>
          <w:tcPr>
            <w:tcW w:w="850" w:type="dxa"/>
            <w:tcBorders>
              <w:top w:val="single" w:sz="4" w:space="0" w:color="auto"/>
              <w:bottom w:val="nil"/>
            </w:tcBorders>
            <w:vAlign w:val="bottom"/>
          </w:tcPr>
          <w:p w14:paraId="69A44346"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PCT</w:t>
            </w:r>
            <w:r w:rsidRPr="00C47834">
              <w:rPr>
                <w:rFonts w:ascii="Arial" w:hAnsi="Arial" w:cs="Arial"/>
                <w:sz w:val="20"/>
                <w:szCs w:val="20"/>
              </w:rPr>
              <w:t xml:space="preserve"> (%)</w:t>
            </w:r>
          </w:p>
        </w:tc>
        <w:tc>
          <w:tcPr>
            <w:tcW w:w="1134" w:type="dxa"/>
            <w:tcBorders>
              <w:top w:val="single" w:sz="4" w:space="0" w:color="auto"/>
              <w:bottom w:val="nil"/>
            </w:tcBorders>
            <w:vAlign w:val="bottom"/>
          </w:tcPr>
          <w:p w14:paraId="5DB5D1C9" w14:textId="77777777" w:rsidR="00961AC6" w:rsidRPr="00C47834" w:rsidRDefault="00961AC6" w:rsidP="0083042F">
            <w:pPr>
              <w:tabs>
                <w:tab w:val="left" w:pos="0"/>
              </w:tabs>
              <w:spacing w:line="276" w:lineRule="auto"/>
              <w:rPr>
                <w:rFonts w:ascii="Arial" w:hAnsi="Arial" w:cs="Arial"/>
                <w:b/>
                <w:bCs/>
                <w:sz w:val="20"/>
                <w:szCs w:val="20"/>
              </w:rPr>
            </w:pPr>
            <w:r w:rsidRPr="00C47834">
              <w:rPr>
                <w:rFonts w:ascii="Arial" w:hAnsi="Arial" w:cs="Arial"/>
                <w:b/>
                <w:bCs/>
                <w:sz w:val="20"/>
                <w:szCs w:val="20"/>
              </w:rPr>
              <w:t xml:space="preserve">P-LCR </w:t>
            </w:r>
            <w:r w:rsidRPr="00C47834">
              <w:rPr>
                <w:rFonts w:ascii="Arial" w:hAnsi="Arial" w:cs="Arial"/>
                <w:sz w:val="20"/>
                <w:szCs w:val="20"/>
              </w:rPr>
              <w:t>(%)</w:t>
            </w:r>
          </w:p>
        </w:tc>
      </w:tr>
      <w:tr w:rsidR="00961AC6" w:rsidRPr="00C47834" w14:paraId="61E865B7" w14:textId="77777777" w:rsidTr="00DC67EC">
        <w:trPr>
          <w:trHeight w:val="351"/>
        </w:trPr>
        <w:tc>
          <w:tcPr>
            <w:tcW w:w="1499" w:type="dxa"/>
            <w:tcBorders>
              <w:top w:val="single" w:sz="4" w:space="0" w:color="auto"/>
            </w:tcBorders>
          </w:tcPr>
          <w:p w14:paraId="17FE623A" w14:textId="77777777" w:rsidR="00961AC6" w:rsidRPr="00C47834" w:rsidRDefault="00961AC6" w:rsidP="0083042F">
            <w:pPr>
              <w:tabs>
                <w:tab w:val="left" w:pos="0"/>
              </w:tabs>
              <w:spacing w:line="276" w:lineRule="auto"/>
              <w:rPr>
                <w:rFonts w:ascii="Arial" w:hAnsi="Arial" w:cs="Arial"/>
                <w:sz w:val="20"/>
                <w:szCs w:val="20"/>
              </w:rPr>
            </w:pPr>
          </w:p>
        </w:tc>
        <w:tc>
          <w:tcPr>
            <w:tcW w:w="851" w:type="dxa"/>
            <w:tcBorders>
              <w:top w:val="single" w:sz="4" w:space="0" w:color="auto"/>
            </w:tcBorders>
          </w:tcPr>
          <w:p w14:paraId="150B0B1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Low</w:t>
            </w:r>
          </w:p>
        </w:tc>
        <w:tc>
          <w:tcPr>
            <w:tcW w:w="850" w:type="dxa"/>
            <w:tcBorders>
              <w:top w:val="single" w:sz="4" w:space="0" w:color="auto"/>
            </w:tcBorders>
          </w:tcPr>
          <w:p w14:paraId="63B41CEF" w14:textId="77777777" w:rsidR="00961AC6" w:rsidRPr="00C47834" w:rsidRDefault="00961AC6" w:rsidP="0083042F">
            <w:pPr>
              <w:tabs>
                <w:tab w:val="left" w:pos="0"/>
              </w:tabs>
              <w:spacing w:line="276" w:lineRule="auto"/>
              <w:rPr>
                <w:rFonts w:ascii="Arial" w:hAnsi="Arial" w:cs="Arial"/>
                <w:sz w:val="20"/>
                <w:szCs w:val="20"/>
              </w:rPr>
            </w:pPr>
          </w:p>
        </w:tc>
        <w:tc>
          <w:tcPr>
            <w:tcW w:w="993" w:type="dxa"/>
            <w:tcBorders>
              <w:top w:val="single" w:sz="4" w:space="0" w:color="auto"/>
            </w:tcBorders>
          </w:tcPr>
          <w:p w14:paraId="0FC6D88A"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53.35</w:t>
            </w:r>
          </w:p>
        </w:tc>
        <w:tc>
          <w:tcPr>
            <w:tcW w:w="992" w:type="dxa"/>
            <w:tcBorders>
              <w:top w:val="single" w:sz="4" w:space="0" w:color="auto"/>
            </w:tcBorders>
          </w:tcPr>
          <w:p w14:paraId="5A6DE63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19.50</w:t>
            </w:r>
          </w:p>
        </w:tc>
        <w:tc>
          <w:tcPr>
            <w:tcW w:w="1134" w:type="dxa"/>
            <w:tcBorders>
              <w:top w:val="single" w:sz="4" w:space="0" w:color="auto"/>
            </w:tcBorders>
          </w:tcPr>
          <w:p w14:paraId="4524F19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36.59</w:t>
            </w:r>
          </w:p>
        </w:tc>
        <w:tc>
          <w:tcPr>
            <w:tcW w:w="1276" w:type="dxa"/>
            <w:tcBorders>
              <w:top w:val="single" w:sz="4" w:space="0" w:color="auto"/>
            </w:tcBorders>
          </w:tcPr>
          <w:p w14:paraId="355611F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34.60</w:t>
            </w:r>
          </w:p>
        </w:tc>
        <w:tc>
          <w:tcPr>
            <w:tcW w:w="1275" w:type="dxa"/>
            <w:tcBorders>
              <w:top w:val="single" w:sz="4" w:space="0" w:color="auto"/>
            </w:tcBorders>
          </w:tcPr>
          <w:p w14:paraId="41FCFDB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13.85</w:t>
            </w:r>
          </w:p>
        </w:tc>
        <w:tc>
          <w:tcPr>
            <w:tcW w:w="993" w:type="dxa"/>
            <w:tcBorders>
              <w:top w:val="single" w:sz="4" w:space="0" w:color="auto"/>
            </w:tcBorders>
          </w:tcPr>
          <w:p w14:paraId="219E110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687.3</w:t>
            </w:r>
            <w:r w:rsidRPr="00C47834">
              <w:rPr>
                <w:rFonts w:ascii="Arial" w:hAnsi="Arial" w:cs="Arial"/>
                <w:b/>
                <w:sz w:val="20"/>
                <w:szCs w:val="20"/>
                <w:vertAlign w:val="superscript"/>
              </w:rPr>
              <w:t>a</w:t>
            </w:r>
          </w:p>
        </w:tc>
        <w:tc>
          <w:tcPr>
            <w:tcW w:w="850" w:type="dxa"/>
            <w:tcBorders>
              <w:top w:val="single" w:sz="4" w:space="0" w:color="auto"/>
            </w:tcBorders>
          </w:tcPr>
          <w:p w14:paraId="4800E2B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6.440</w:t>
            </w:r>
          </w:p>
        </w:tc>
        <w:tc>
          <w:tcPr>
            <w:tcW w:w="851" w:type="dxa"/>
            <w:tcBorders>
              <w:top w:val="single" w:sz="4" w:space="0" w:color="auto"/>
            </w:tcBorders>
          </w:tcPr>
          <w:p w14:paraId="6506226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10.90</w:t>
            </w:r>
          </w:p>
        </w:tc>
        <w:tc>
          <w:tcPr>
            <w:tcW w:w="850" w:type="dxa"/>
            <w:tcBorders>
              <w:top w:val="single" w:sz="4" w:space="0" w:color="auto"/>
            </w:tcBorders>
          </w:tcPr>
          <w:p w14:paraId="3763A649"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0.442</w:t>
            </w:r>
            <w:r w:rsidRPr="00C47834">
              <w:rPr>
                <w:rFonts w:ascii="Arial" w:hAnsi="Arial" w:cs="Arial"/>
                <w:b/>
                <w:sz w:val="20"/>
                <w:szCs w:val="20"/>
                <w:vertAlign w:val="superscript"/>
              </w:rPr>
              <w:t xml:space="preserve"> a</w:t>
            </w:r>
          </w:p>
        </w:tc>
        <w:tc>
          <w:tcPr>
            <w:tcW w:w="1134" w:type="dxa"/>
            <w:tcBorders>
              <w:top w:val="single" w:sz="4" w:space="0" w:color="auto"/>
            </w:tcBorders>
          </w:tcPr>
          <w:p w14:paraId="04EF0D93"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4.459</w:t>
            </w:r>
          </w:p>
        </w:tc>
      </w:tr>
      <w:tr w:rsidR="00961AC6" w:rsidRPr="00C47834" w14:paraId="407DE789" w14:textId="77777777" w:rsidTr="00DC67EC">
        <w:trPr>
          <w:trHeight w:val="351"/>
        </w:trPr>
        <w:tc>
          <w:tcPr>
            <w:tcW w:w="1499" w:type="dxa"/>
          </w:tcPr>
          <w:p w14:paraId="2B9308DB" w14:textId="77777777" w:rsidR="00961AC6" w:rsidRPr="00C47834" w:rsidRDefault="00961AC6" w:rsidP="0083042F">
            <w:pPr>
              <w:tabs>
                <w:tab w:val="left" w:pos="0"/>
              </w:tabs>
              <w:spacing w:line="276" w:lineRule="auto"/>
              <w:rPr>
                <w:rFonts w:ascii="Arial" w:hAnsi="Arial" w:cs="Arial"/>
                <w:sz w:val="20"/>
                <w:szCs w:val="20"/>
              </w:rPr>
            </w:pPr>
          </w:p>
        </w:tc>
        <w:tc>
          <w:tcPr>
            <w:tcW w:w="851" w:type="dxa"/>
          </w:tcPr>
          <w:p w14:paraId="42C77833"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High</w:t>
            </w:r>
          </w:p>
        </w:tc>
        <w:tc>
          <w:tcPr>
            <w:tcW w:w="850" w:type="dxa"/>
          </w:tcPr>
          <w:p w14:paraId="795B10AB" w14:textId="77777777" w:rsidR="00961AC6" w:rsidRPr="00C47834" w:rsidRDefault="00961AC6" w:rsidP="0083042F">
            <w:pPr>
              <w:tabs>
                <w:tab w:val="left" w:pos="0"/>
              </w:tabs>
              <w:spacing w:line="276" w:lineRule="auto"/>
              <w:rPr>
                <w:rFonts w:ascii="Arial" w:hAnsi="Arial" w:cs="Arial"/>
                <w:sz w:val="20"/>
                <w:szCs w:val="20"/>
              </w:rPr>
            </w:pPr>
          </w:p>
        </w:tc>
        <w:tc>
          <w:tcPr>
            <w:tcW w:w="993" w:type="dxa"/>
          </w:tcPr>
          <w:p w14:paraId="359B6FA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52.20</w:t>
            </w:r>
          </w:p>
        </w:tc>
        <w:tc>
          <w:tcPr>
            <w:tcW w:w="992" w:type="dxa"/>
          </w:tcPr>
          <w:p w14:paraId="2717132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19.27</w:t>
            </w:r>
          </w:p>
        </w:tc>
        <w:tc>
          <w:tcPr>
            <w:tcW w:w="1134" w:type="dxa"/>
          </w:tcPr>
          <w:p w14:paraId="3B460BC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36.91</w:t>
            </w:r>
          </w:p>
        </w:tc>
        <w:tc>
          <w:tcPr>
            <w:tcW w:w="1276" w:type="dxa"/>
          </w:tcPr>
          <w:p w14:paraId="093E472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33.80</w:t>
            </w:r>
          </w:p>
        </w:tc>
        <w:tc>
          <w:tcPr>
            <w:tcW w:w="1275" w:type="dxa"/>
          </w:tcPr>
          <w:p w14:paraId="353D758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13.94</w:t>
            </w:r>
          </w:p>
        </w:tc>
        <w:tc>
          <w:tcPr>
            <w:tcW w:w="993" w:type="dxa"/>
          </w:tcPr>
          <w:p w14:paraId="11D33A6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351.2</w:t>
            </w:r>
            <w:r w:rsidRPr="00C47834">
              <w:rPr>
                <w:rFonts w:ascii="Arial" w:hAnsi="Arial" w:cs="Arial"/>
                <w:b/>
                <w:sz w:val="20"/>
                <w:szCs w:val="20"/>
                <w:vertAlign w:val="superscript"/>
              </w:rPr>
              <w:t xml:space="preserve"> b</w:t>
            </w:r>
          </w:p>
        </w:tc>
        <w:tc>
          <w:tcPr>
            <w:tcW w:w="850" w:type="dxa"/>
          </w:tcPr>
          <w:p w14:paraId="6F7534C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6.647</w:t>
            </w:r>
          </w:p>
        </w:tc>
        <w:tc>
          <w:tcPr>
            <w:tcW w:w="851" w:type="dxa"/>
          </w:tcPr>
          <w:p w14:paraId="7E766D3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12.16</w:t>
            </w:r>
          </w:p>
        </w:tc>
        <w:tc>
          <w:tcPr>
            <w:tcW w:w="850" w:type="dxa"/>
          </w:tcPr>
          <w:p w14:paraId="2048B65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0.233</w:t>
            </w:r>
            <w:r w:rsidRPr="00C47834">
              <w:rPr>
                <w:rFonts w:ascii="Arial" w:hAnsi="Arial" w:cs="Arial"/>
                <w:b/>
                <w:sz w:val="20"/>
                <w:szCs w:val="20"/>
                <w:vertAlign w:val="superscript"/>
              </w:rPr>
              <w:t xml:space="preserve"> b</w:t>
            </w:r>
          </w:p>
        </w:tc>
        <w:tc>
          <w:tcPr>
            <w:tcW w:w="1134" w:type="dxa"/>
          </w:tcPr>
          <w:p w14:paraId="2088F07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5.953</w:t>
            </w:r>
          </w:p>
        </w:tc>
      </w:tr>
      <w:tr w:rsidR="00961AC6" w:rsidRPr="00C47834" w14:paraId="61AA485B" w14:textId="77777777" w:rsidTr="00DC67EC">
        <w:trPr>
          <w:trHeight w:val="351"/>
        </w:trPr>
        <w:tc>
          <w:tcPr>
            <w:tcW w:w="1499" w:type="dxa"/>
          </w:tcPr>
          <w:p w14:paraId="39285899" w14:textId="77777777" w:rsidR="00961AC6" w:rsidRPr="00C47834" w:rsidRDefault="00961AC6" w:rsidP="0083042F">
            <w:pPr>
              <w:tabs>
                <w:tab w:val="left" w:pos="0"/>
              </w:tabs>
              <w:spacing w:line="276" w:lineRule="auto"/>
              <w:rPr>
                <w:rFonts w:ascii="Arial" w:hAnsi="Arial" w:cs="Arial"/>
                <w:b/>
                <w:sz w:val="20"/>
                <w:szCs w:val="20"/>
              </w:rPr>
            </w:pPr>
            <w:r w:rsidRPr="00C47834">
              <w:rPr>
                <w:rFonts w:ascii="Arial" w:hAnsi="Arial" w:cs="Arial"/>
                <w:b/>
                <w:sz w:val="20"/>
                <w:szCs w:val="20"/>
              </w:rPr>
              <w:t>SEM</w:t>
            </w:r>
          </w:p>
        </w:tc>
        <w:tc>
          <w:tcPr>
            <w:tcW w:w="851" w:type="dxa"/>
          </w:tcPr>
          <w:p w14:paraId="5BDBB9A6"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176E0DDE" w14:textId="77777777" w:rsidR="00961AC6" w:rsidRPr="00C47834" w:rsidRDefault="00961AC6" w:rsidP="0083042F">
            <w:pPr>
              <w:tabs>
                <w:tab w:val="left" w:pos="0"/>
              </w:tabs>
              <w:spacing w:line="276" w:lineRule="auto"/>
              <w:rPr>
                <w:rFonts w:ascii="Arial" w:hAnsi="Arial" w:cs="Arial"/>
                <w:sz w:val="20"/>
                <w:szCs w:val="20"/>
              </w:rPr>
            </w:pPr>
          </w:p>
        </w:tc>
        <w:tc>
          <w:tcPr>
            <w:tcW w:w="993" w:type="dxa"/>
          </w:tcPr>
          <w:p w14:paraId="7416BB1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0.123</w:t>
            </w:r>
          </w:p>
        </w:tc>
        <w:tc>
          <w:tcPr>
            <w:tcW w:w="992" w:type="dxa"/>
          </w:tcPr>
          <w:p w14:paraId="27143919"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0.018</w:t>
            </w:r>
          </w:p>
        </w:tc>
        <w:tc>
          <w:tcPr>
            <w:tcW w:w="1134" w:type="dxa"/>
          </w:tcPr>
          <w:p w14:paraId="4DDF428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0.022</w:t>
            </w:r>
          </w:p>
        </w:tc>
        <w:tc>
          <w:tcPr>
            <w:tcW w:w="1276" w:type="dxa"/>
          </w:tcPr>
          <w:p w14:paraId="09083C1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0.025</w:t>
            </w:r>
          </w:p>
        </w:tc>
        <w:tc>
          <w:tcPr>
            <w:tcW w:w="1275" w:type="dxa"/>
          </w:tcPr>
          <w:p w14:paraId="1BF517C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0.018</w:t>
            </w:r>
          </w:p>
        </w:tc>
        <w:tc>
          <w:tcPr>
            <w:tcW w:w="993" w:type="dxa"/>
          </w:tcPr>
          <w:p w14:paraId="249E826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0.155</w:t>
            </w:r>
          </w:p>
        </w:tc>
        <w:tc>
          <w:tcPr>
            <w:tcW w:w="850" w:type="dxa"/>
          </w:tcPr>
          <w:p w14:paraId="6FFD004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0.022</w:t>
            </w:r>
          </w:p>
        </w:tc>
        <w:tc>
          <w:tcPr>
            <w:tcW w:w="851" w:type="dxa"/>
          </w:tcPr>
          <w:p w14:paraId="5800AEB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0.049</w:t>
            </w:r>
          </w:p>
        </w:tc>
        <w:tc>
          <w:tcPr>
            <w:tcW w:w="850" w:type="dxa"/>
          </w:tcPr>
          <w:p w14:paraId="2D3B4CF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0.150</w:t>
            </w:r>
          </w:p>
        </w:tc>
        <w:tc>
          <w:tcPr>
            <w:tcW w:w="1134" w:type="dxa"/>
          </w:tcPr>
          <w:p w14:paraId="5704793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0.124</w:t>
            </w:r>
          </w:p>
        </w:tc>
      </w:tr>
      <w:tr w:rsidR="00961AC6" w:rsidRPr="00C47834" w14:paraId="7D5E842C" w14:textId="77777777" w:rsidTr="00DC67EC">
        <w:trPr>
          <w:trHeight w:val="371"/>
        </w:trPr>
        <w:tc>
          <w:tcPr>
            <w:tcW w:w="1499" w:type="dxa"/>
          </w:tcPr>
          <w:p w14:paraId="5CA6B90D" w14:textId="77777777" w:rsidR="00961AC6" w:rsidRPr="00C47834" w:rsidRDefault="00961AC6" w:rsidP="0083042F">
            <w:pPr>
              <w:tabs>
                <w:tab w:val="left" w:pos="0"/>
              </w:tabs>
              <w:spacing w:line="276" w:lineRule="auto"/>
              <w:rPr>
                <w:rFonts w:ascii="Arial" w:hAnsi="Arial" w:cs="Arial"/>
                <w:sz w:val="20"/>
                <w:szCs w:val="20"/>
              </w:rPr>
            </w:pPr>
          </w:p>
        </w:tc>
        <w:tc>
          <w:tcPr>
            <w:tcW w:w="851" w:type="dxa"/>
          </w:tcPr>
          <w:p w14:paraId="03161A71"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0201180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Low</w:t>
            </w:r>
          </w:p>
        </w:tc>
        <w:tc>
          <w:tcPr>
            <w:tcW w:w="993" w:type="dxa"/>
          </w:tcPr>
          <w:p w14:paraId="7F046AA3"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54.63</w:t>
            </w:r>
            <w:r w:rsidRPr="00C47834">
              <w:rPr>
                <w:rFonts w:ascii="Arial" w:hAnsi="Arial" w:cs="Arial"/>
                <w:b/>
                <w:sz w:val="20"/>
                <w:szCs w:val="20"/>
                <w:vertAlign w:val="superscript"/>
              </w:rPr>
              <w:t xml:space="preserve"> a</w:t>
            </w:r>
          </w:p>
        </w:tc>
        <w:tc>
          <w:tcPr>
            <w:tcW w:w="992" w:type="dxa"/>
          </w:tcPr>
          <w:p w14:paraId="677BDDBA"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19.74</w:t>
            </w:r>
          </w:p>
        </w:tc>
        <w:tc>
          <w:tcPr>
            <w:tcW w:w="1134" w:type="dxa"/>
          </w:tcPr>
          <w:p w14:paraId="15F61E23"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36.17</w:t>
            </w:r>
          </w:p>
        </w:tc>
        <w:tc>
          <w:tcPr>
            <w:tcW w:w="1276" w:type="dxa"/>
          </w:tcPr>
          <w:p w14:paraId="1DEED7F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34.94</w:t>
            </w:r>
          </w:p>
        </w:tc>
        <w:tc>
          <w:tcPr>
            <w:tcW w:w="1275" w:type="dxa"/>
          </w:tcPr>
          <w:p w14:paraId="6EE001D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13.62</w:t>
            </w:r>
          </w:p>
        </w:tc>
        <w:tc>
          <w:tcPr>
            <w:tcW w:w="993" w:type="dxa"/>
          </w:tcPr>
          <w:p w14:paraId="22B43AA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651.6</w:t>
            </w:r>
            <w:r w:rsidRPr="00C47834">
              <w:rPr>
                <w:rFonts w:ascii="Arial" w:hAnsi="Arial" w:cs="Arial"/>
                <w:b/>
                <w:sz w:val="20"/>
                <w:szCs w:val="20"/>
                <w:vertAlign w:val="superscript"/>
              </w:rPr>
              <w:t xml:space="preserve"> a</w:t>
            </w:r>
          </w:p>
        </w:tc>
        <w:tc>
          <w:tcPr>
            <w:tcW w:w="850" w:type="dxa"/>
          </w:tcPr>
          <w:p w14:paraId="773BCC1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6.574</w:t>
            </w:r>
          </w:p>
        </w:tc>
        <w:tc>
          <w:tcPr>
            <w:tcW w:w="851" w:type="dxa"/>
          </w:tcPr>
          <w:p w14:paraId="4C11BF5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10.82</w:t>
            </w:r>
          </w:p>
        </w:tc>
        <w:tc>
          <w:tcPr>
            <w:tcW w:w="850" w:type="dxa"/>
          </w:tcPr>
          <w:p w14:paraId="5FE6219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0.429</w:t>
            </w:r>
            <w:r w:rsidRPr="00C47834">
              <w:rPr>
                <w:rFonts w:ascii="Arial" w:hAnsi="Arial" w:cs="Arial"/>
                <w:b/>
                <w:sz w:val="20"/>
                <w:szCs w:val="20"/>
                <w:vertAlign w:val="superscript"/>
              </w:rPr>
              <w:t xml:space="preserve"> a</w:t>
            </w:r>
          </w:p>
        </w:tc>
        <w:tc>
          <w:tcPr>
            <w:tcW w:w="1134" w:type="dxa"/>
          </w:tcPr>
          <w:p w14:paraId="1AA314B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5.281</w:t>
            </w:r>
          </w:p>
        </w:tc>
      </w:tr>
      <w:tr w:rsidR="00961AC6" w:rsidRPr="00C47834" w14:paraId="651D7C09" w14:textId="77777777" w:rsidTr="00DC67EC">
        <w:trPr>
          <w:trHeight w:val="351"/>
        </w:trPr>
        <w:tc>
          <w:tcPr>
            <w:tcW w:w="1499" w:type="dxa"/>
          </w:tcPr>
          <w:p w14:paraId="2E018811" w14:textId="77777777" w:rsidR="00961AC6" w:rsidRPr="00C47834" w:rsidRDefault="00961AC6" w:rsidP="0083042F">
            <w:pPr>
              <w:tabs>
                <w:tab w:val="left" w:pos="0"/>
              </w:tabs>
              <w:spacing w:line="276" w:lineRule="auto"/>
              <w:rPr>
                <w:rFonts w:ascii="Arial" w:hAnsi="Arial" w:cs="Arial"/>
                <w:sz w:val="20"/>
                <w:szCs w:val="20"/>
              </w:rPr>
            </w:pPr>
          </w:p>
        </w:tc>
        <w:tc>
          <w:tcPr>
            <w:tcW w:w="851" w:type="dxa"/>
          </w:tcPr>
          <w:p w14:paraId="0BCDC63A"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703A4E9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High</w:t>
            </w:r>
          </w:p>
        </w:tc>
        <w:tc>
          <w:tcPr>
            <w:tcW w:w="993" w:type="dxa"/>
          </w:tcPr>
          <w:p w14:paraId="07E53D6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50.98</w:t>
            </w:r>
            <w:r w:rsidRPr="00C47834">
              <w:rPr>
                <w:rFonts w:ascii="Arial" w:hAnsi="Arial" w:cs="Arial"/>
                <w:b/>
                <w:sz w:val="20"/>
                <w:szCs w:val="20"/>
                <w:vertAlign w:val="superscript"/>
              </w:rPr>
              <w:t xml:space="preserve"> b</w:t>
            </w:r>
          </w:p>
        </w:tc>
        <w:tc>
          <w:tcPr>
            <w:tcW w:w="992" w:type="dxa"/>
          </w:tcPr>
          <w:p w14:paraId="0070CCA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19.03</w:t>
            </w:r>
          </w:p>
        </w:tc>
        <w:tc>
          <w:tcPr>
            <w:tcW w:w="1134" w:type="dxa"/>
          </w:tcPr>
          <w:p w14:paraId="02687D7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37.34</w:t>
            </w:r>
          </w:p>
        </w:tc>
        <w:tc>
          <w:tcPr>
            <w:tcW w:w="1276" w:type="dxa"/>
          </w:tcPr>
          <w:p w14:paraId="7DA1DA5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33.48</w:t>
            </w:r>
          </w:p>
        </w:tc>
        <w:tc>
          <w:tcPr>
            <w:tcW w:w="1275" w:type="dxa"/>
          </w:tcPr>
          <w:p w14:paraId="4541B24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14.17</w:t>
            </w:r>
          </w:p>
        </w:tc>
        <w:tc>
          <w:tcPr>
            <w:tcW w:w="993" w:type="dxa"/>
          </w:tcPr>
          <w:p w14:paraId="04610C5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370.4</w:t>
            </w:r>
            <w:r w:rsidRPr="00C47834">
              <w:rPr>
                <w:rFonts w:ascii="Arial" w:hAnsi="Arial" w:cs="Arial"/>
                <w:b/>
                <w:sz w:val="20"/>
                <w:szCs w:val="20"/>
                <w:vertAlign w:val="superscript"/>
              </w:rPr>
              <w:t xml:space="preserve"> b</w:t>
            </w:r>
          </w:p>
        </w:tc>
        <w:tc>
          <w:tcPr>
            <w:tcW w:w="850" w:type="dxa"/>
          </w:tcPr>
          <w:p w14:paraId="1A23F29A"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6.512</w:t>
            </w:r>
          </w:p>
        </w:tc>
        <w:tc>
          <w:tcPr>
            <w:tcW w:w="851" w:type="dxa"/>
          </w:tcPr>
          <w:p w14:paraId="701EB4D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12.26</w:t>
            </w:r>
          </w:p>
        </w:tc>
        <w:tc>
          <w:tcPr>
            <w:tcW w:w="850" w:type="dxa"/>
          </w:tcPr>
          <w:p w14:paraId="650D87F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0.240</w:t>
            </w:r>
            <w:r w:rsidRPr="00C47834">
              <w:rPr>
                <w:rFonts w:ascii="Arial" w:hAnsi="Arial" w:cs="Arial"/>
                <w:b/>
                <w:sz w:val="20"/>
                <w:szCs w:val="20"/>
                <w:vertAlign w:val="superscript"/>
              </w:rPr>
              <w:t xml:space="preserve"> b</w:t>
            </w:r>
          </w:p>
        </w:tc>
        <w:tc>
          <w:tcPr>
            <w:tcW w:w="1134" w:type="dxa"/>
          </w:tcPr>
          <w:p w14:paraId="53259DA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5.027</w:t>
            </w:r>
          </w:p>
        </w:tc>
      </w:tr>
      <w:tr w:rsidR="00961AC6" w:rsidRPr="00C47834" w14:paraId="14741C79" w14:textId="77777777" w:rsidTr="00DC67EC">
        <w:trPr>
          <w:trHeight w:val="351"/>
        </w:trPr>
        <w:tc>
          <w:tcPr>
            <w:tcW w:w="1499" w:type="dxa"/>
          </w:tcPr>
          <w:p w14:paraId="372C4ED8" w14:textId="77777777" w:rsidR="00961AC6" w:rsidRPr="00C47834" w:rsidRDefault="00961AC6" w:rsidP="0083042F">
            <w:pPr>
              <w:tabs>
                <w:tab w:val="left" w:pos="0"/>
              </w:tabs>
              <w:spacing w:line="276" w:lineRule="auto"/>
              <w:rPr>
                <w:rFonts w:ascii="Arial" w:hAnsi="Arial" w:cs="Arial"/>
                <w:b/>
                <w:sz w:val="20"/>
                <w:szCs w:val="20"/>
              </w:rPr>
            </w:pPr>
            <w:r w:rsidRPr="00C47834">
              <w:rPr>
                <w:rFonts w:ascii="Arial" w:hAnsi="Arial" w:cs="Arial"/>
                <w:b/>
                <w:sz w:val="20"/>
                <w:szCs w:val="20"/>
              </w:rPr>
              <w:t>SEM</w:t>
            </w:r>
          </w:p>
        </w:tc>
        <w:tc>
          <w:tcPr>
            <w:tcW w:w="851" w:type="dxa"/>
          </w:tcPr>
          <w:p w14:paraId="39D98BB0"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69D0A2E5" w14:textId="77777777" w:rsidR="00961AC6" w:rsidRPr="00C47834" w:rsidRDefault="00961AC6" w:rsidP="0083042F">
            <w:pPr>
              <w:tabs>
                <w:tab w:val="left" w:pos="0"/>
              </w:tabs>
              <w:spacing w:line="276" w:lineRule="auto"/>
              <w:rPr>
                <w:rFonts w:ascii="Arial" w:hAnsi="Arial" w:cs="Arial"/>
                <w:sz w:val="20"/>
                <w:szCs w:val="20"/>
              </w:rPr>
            </w:pPr>
          </w:p>
        </w:tc>
        <w:tc>
          <w:tcPr>
            <w:tcW w:w="993" w:type="dxa"/>
          </w:tcPr>
          <w:p w14:paraId="040621B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0.123</w:t>
            </w:r>
          </w:p>
        </w:tc>
        <w:tc>
          <w:tcPr>
            <w:tcW w:w="992" w:type="dxa"/>
          </w:tcPr>
          <w:p w14:paraId="7A48C40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0.018</w:t>
            </w:r>
          </w:p>
        </w:tc>
        <w:tc>
          <w:tcPr>
            <w:tcW w:w="1134" w:type="dxa"/>
          </w:tcPr>
          <w:p w14:paraId="5495D44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0.022</w:t>
            </w:r>
          </w:p>
        </w:tc>
        <w:tc>
          <w:tcPr>
            <w:tcW w:w="1276" w:type="dxa"/>
          </w:tcPr>
          <w:p w14:paraId="12FD926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0.025</w:t>
            </w:r>
          </w:p>
        </w:tc>
        <w:tc>
          <w:tcPr>
            <w:tcW w:w="1275" w:type="dxa"/>
          </w:tcPr>
          <w:p w14:paraId="24E6D88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0.018</w:t>
            </w:r>
          </w:p>
        </w:tc>
        <w:tc>
          <w:tcPr>
            <w:tcW w:w="993" w:type="dxa"/>
          </w:tcPr>
          <w:p w14:paraId="470E969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0.155</w:t>
            </w:r>
          </w:p>
        </w:tc>
        <w:tc>
          <w:tcPr>
            <w:tcW w:w="850" w:type="dxa"/>
          </w:tcPr>
          <w:p w14:paraId="15B3813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0.022</w:t>
            </w:r>
          </w:p>
        </w:tc>
        <w:tc>
          <w:tcPr>
            <w:tcW w:w="851" w:type="dxa"/>
          </w:tcPr>
          <w:p w14:paraId="226FC49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0.049</w:t>
            </w:r>
          </w:p>
        </w:tc>
        <w:tc>
          <w:tcPr>
            <w:tcW w:w="850" w:type="dxa"/>
          </w:tcPr>
          <w:p w14:paraId="34D67B0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0.150</w:t>
            </w:r>
          </w:p>
        </w:tc>
        <w:tc>
          <w:tcPr>
            <w:tcW w:w="1134" w:type="dxa"/>
          </w:tcPr>
          <w:p w14:paraId="233A73A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0.124</w:t>
            </w:r>
          </w:p>
        </w:tc>
      </w:tr>
      <w:tr w:rsidR="00961AC6" w:rsidRPr="00C47834" w14:paraId="47668A41" w14:textId="77777777" w:rsidTr="00DC67EC">
        <w:trPr>
          <w:trHeight w:val="371"/>
        </w:trPr>
        <w:tc>
          <w:tcPr>
            <w:tcW w:w="1499" w:type="dxa"/>
          </w:tcPr>
          <w:p w14:paraId="45750E05" w14:textId="77777777" w:rsidR="00961AC6" w:rsidRPr="00C47834" w:rsidRDefault="00961AC6" w:rsidP="0083042F">
            <w:pPr>
              <w:tabs>
                <w:tab w:val="left" w:pos="0"/>
              </w:tabs>
              <w:spacing w:line="276" w:lineRule="auto"/>
              <w:rPr>
                <w:rFonts w:ascii="Arial" w:hAnsi="Arial" w:cs="Arial"/>
                <w:b/>
                <w:sz w:val="20"/>
                <w:szCs w:val="20"/>
              </w:rPr>
            </w:pPr>
            <w:r w:rsidRPr="00C47834">
              <w:rPr>
                <w:rFonts w:ascii="Arial" w:hAnsi="Arial" w:cs="Arial"/>
                <w:b/>
                <w:sz w:val="20"/>
                <w:szCs w:val="20"/>
              </w:rPr>
              <w:t>Interactions</w:t>
            </w:r>
          </w:p>
        </w:tc>
        <w:tc>
          <w:tcPr>
            <w:tcW w:w="851" w:type="dxa"/>
          </w:tcPr>
          <w:p w14:paraId="36A7BB45"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5BC81DA8" w14:textId="77777777" w:rsidR="00961AC6" w:rsidRPr="00C47834" w:rsidRDefault="00961AC6" w:rsidP="0083042F">
            <w:pPr>
              <w:tabs>
                <w:tab w:val="left" w:pos="0"/>
              </w:tabs>
              <w:spacing w:line="276" w:lineRule="auto"/>
              <w:rPr>
                <w:rFonts w:ascii="Arial" w:hAnsi="Arial" w:cs="Arial"/>
                <w:sz w:val="20"/>
                <w:szCs w:val="20"/>
              </w:rPr>
            </w:pPr>
          </w:p>
        </w:tc>
        <w:tc>
          <w:tcPr>
            <w:tcW w:w="993" w:type="dxa"/>
          </w:tcPr>
          <w:p w14:paraId="27269CD6"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0F5B7950" w14:textId="77777777" w:rsidR="00961AC6" w:rsidRPr="00C47834" w:rsidRDefault="00961AC6" w:rsidP="0083042F">
            <w:pPr>
              <w:tabs>
                <w:tab w:val="left" w:pos="0"/>
              </w:tabs>
              <w:spacing w:line="276" w:lineRule="auto"/>
              <w:rPr>
                <w:rFonts w:ascii="Arial" w:hAnsi="Arial" w:cs="Arial"/>
                <w:sz w:val="20"/>
                <w:szCs w:val="20"/>
              </w:rPr>
            </w:pPr>
          </w:p>
        </w:tc>
        <w:tc>
          <w:tcPr>
            <w:tcW w:w="1134" w:type="dxa"/>
          </w:tcPr>
          <w:p w14:paraId="4349B50C" w14:textId="77777777" w:rsidR="00961AC6" w:rsidRPr="00C47834" w:rsidRDefault="00961AC6" w:rsidP="0083042F">
            <w:pPr>
              <w:tabs>
                <w:tab w:val="left" w:pos="0"/>
              </w:tabs>
              <w:spacing w:line="276" w:lineRule="auto"/>
              <w:rPr>
                <w:rFonts w:ascii="Arial" w:hAnsi="Arial" w:cs="Arial"/>
                <w:sz w:val="20"/>
                <w:szCs w:val="20"/>
              </w:rPr>
            </w:pPr>
          </w:p>
        </w:tc>
        <w:tc>
          <w:tcPr>
            <w:tcW w:w="1276" w:type="dxa"/>
          </w:tcPr>
          <w:p w14:paraId="7DB37608" w14:textId="77777777" w:rsidR="00961AC6" w:rsidRPr="00C47834" w:rsidRDefault="00961AC6" w:rsidP="0083042F">
            <w:pPr>
              <w:tabs>
                <w:tab w:val="left" w:pos="0"/>
              </w:tabs>
              <w:spacing w:line="276" w:lineRule="auto"/>
              <w:rPr>
                <w:rFonts w:ascii="Arial" w:hAnsi="Arial" w:cs="Arial"/>
                <w:sz w:val="20"/>
                <w:szCs w:val="20"/>
              </w:rPr>
            </w:pPr>
          </w:p>
        </w:tc>
        <w:tc>
          <w:tcPr>
            <w:tcW w:w="1275" w:type="dxa"/>
          </w:tcPr>
          <w:p w14:paraId="68C40797" w14:textId="77777777" w:rsidR="00961AC6" w:rsidRPr="00C47834" w:rsidRDefault="00961AC6" w:rsidP="0083042F">
            <w:pPr>
              <w:tabs>
                <w:tab w:val="left" w:pos="0"/>
              </w:tabs>
              <w:spacing w:line="276" w:lineRule="auto"/>
              <w:rPr>
                <w:rFonts w:ascii="Arial" w:hAnsi="Arial" w:cs="Arial"/>
                <w:sz w:val="20"/>
                <w:szCs w:val="20"/>
              </w:rPr>
            </w:pPr>
          </w:p>
        </w:tc>
        <w:tc>
          <w:tcPr>
            <w:tcW w:w="993" w:type="dxa"/>
          </w:tcPr>
          <w:p w14:paraId="43642145"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735D1FBE" w14:textId="77777777" w:rsidR="00961AC6" w:rsidRPr="00C47834" w:rsidRDefault="00961AC6" w:rsidP="0083042F">
            <w:pPr>
              <w:tabs>
                <w:tab w:val="left" w:pos="0"/>
              </w:tabs>
              <w:spacing w:line="276" w:lineRule="auto"/>
              <w:rPr>
                <w:rFonts w:ascii="Arial" w:hAnsi="Arial" w:cs="Arial"/>
                <w:sz w:val="20"/>
                <w:szCs w:val="20"/>
              </w:rPr>
            </w:pPr>
          </w:p>
        </w:tc>
        <w:tc>
          <w:tcPr>
            <w:tcW w:w="851" w:type="dxa"/>
          </w:tcPr>
          <w:p w14:paraId="5697A765"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12FDB2C6" w14:textId="77777777" w:rsidR="00961AC6" w:rsidRPr="00C47834" w:rsidRDefault="00961AC6" w:rsidP="0083042F">
            <w:pPr>
              <w:tabs>
                <w:tab w:val="left" w:pos="0"/>
              </w:tabs>
              <w:spacing w:line="276" w:lineRule="auto"/>
              <w:rPr>
                <w:rFonts w:ascii="Arial" w:hAnsi="Arial" w:cs="Arial"/>
                <w:sz w:val="20"/>
                <w:szCs w:val="20"/>
              </w:rPr>
            </w:pPr>
          </w:p>
        </w:tc>
        <w:tc>
          <w:tcPr>
            <w:tcW w:w="1134" w:type="dxa"/>
          </w:tcPr>
          <w:p w14:paraId="29C00AAE" w14:textId="77777777" w:rsidR="00961AC6" w:rsidRPr="00C47834" w:rsidRDefault="00961AC6" w:rsidP="0083042F">
            <w:pPr>
              <w:tabs>
                <w:tab w:val="left" w:pos="0"/>
              </w:tabs>
              <w:spacing w:line="276" w:lineRule="auto"/>
              <w:rPr>
                <w:rFonts w:ascii="Arial" w:hAnsi="Arial" w:cs="Arial"/>
                <w:sz w:val="20"/>
                <w:szCs w:val="20"/>
              </w:rPr>
            </w:pPr>
          </w:p>
        </w:tc>
      </w:tr>
      <w:tr w:rsidR="00961AC6" w:rsidRPr="00C47834" w14:paraId="33EA83DD" w14:textId="77777777" w:rsidTr="00DC67EC">
        <w:trPr>
          <w:trHeight w:val="351"/>
        </w:trPr>
        <w:tc>
          <w:tcPr>
            <w:tcW w:w="1499" w:type="dxa"/>
          </w:tcPr>
          <w:p w14:paraId="43D2BFA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Low x low</w:t>
            </w:r>
          </w:p>
        </w:tc>
        <w:tc>
          <w:tcPr>
            <w:tcW w:w="851" w:type="dxa"/>
          </w:tcPr>
          <w:p w14:paraId="070FFE15"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0B9321E1" w14:textId="77777777" w:rsidR="00961AC6" w:rsidRPr="00C47834" w:rsidRDefault="00961AC6" w:rsidP="0083042F">
            <w:pPr>
              <w:tabs>
                <w:tab w:val="left" w:pos="0"/>
              </w:tabs>
              <w:spacing w:line="276" w:lineRule="auto"/>
              <w:rPr>
                <w:rFonts w:ascii="Arial" w:hAnsi="Arial" w:cs="Arial"/>
                <w:sz w:val="20"/>
                <w:szCs w:val="20"/>
              </w:rPr>
            </w:pPr>
          </w:p>
        </w:tc>
        <w:tc>
          <w:tcPr>
            <w:tcW w:w="993" w:type="dxa"/>
          </w:tcPr>
          <w:p w14:paraId="26877BB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56.22</w:t>
            </w:r>
          </w:p>
        </w:tc>
        <w:tc>
          <w:tcPr>
            <w:tcW w:w="992" w:type="dxa"/>
          </w:tcPr>
          <w:p w14:paraId="36A1360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20.38</w:t>
            </w:r>
          </w:p>
        </w:tc>
        <w:tc>
          <w:tcPr>
            <w:tcW w:w="1134" w:type="dxa"/>
          </w:tcPr>
          <w:p w14:paraId="61A286A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36.30</w:t>
            </w:r>
          </w:p>
        </w:tc>
        <w:tc>
          <w:tcPr>
            <w:tcW w:w="1276" w:type="dxa"/>
          </w:tcPr>
          <w:p w14:paraId="3313B16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36.20</w:t>
            </w:r>
          </w:p>
        </w:tc>
        <w:tc>
          <w:tcPr>
            <w:tcW w:w="1275" w:type="dxa"/>
          </w:tcPr>
          <w:p w14:paraId="1589408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13.68</w:t>
            </w:r>
          </w:p>
        </w:tc>
        <w:tc>
          <w:tcPr>
            <w:tcW w:w="993" w:type="dxa"/>
          </w:tcPr>
          <w:p w14:paraId="4D7DC799"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708.2</w:t>
            </w:r>
            <w:r w:rsidRPr="00C47834">
              <w:rPr>
                <w:rFonts w:ascii="Arial" w:hAnsi="Arial" w:cs="Arial"/>
                <w:b/>
                <w:sz w:val="20"/>
                <w:szCs w:val="20"/>
                <w:vertAlign w:val="superscript"/>
              </w:rPr>
              <w:t xml:space="preserve"> a</w:t>
            </w:r>
          </w:p>
        </w:tc>
        <w:tc>
          <w:tcPr>
            <w:tcW w:w="850" w:type="dxa"/>
          </w:tcPr>
          <w:p w14:paraId="6D5F0DC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6.484</w:t>
            </w:r>
          </w:p>
        </w:tc>
        <w:tc>
          <w:tcPr>
            <w:tcW w:w="851" w:type="dxa"/>
          </w:tcPr>
          <w:p w14:paraId="72A052E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10.78</w:t>
            </w:r>
          </w:p>
        </w:tc>
        <w:tc>
          <w:tcPr>
            <w:tcW w:w="850" w:type="dxa"/>
          </w:tcPr>
          <w:p w14:paraId="0B9A1A7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0.459</w:t>
            </w:r>
            <w:r w:rsidRPr="00C47834">
              <w:rPr>
                <w:rFonts w:ascii="Arial" w:hAnsi="Arial" w:cs="Arial"/>
                <w:b/>
                <w:sz w:val="20"/>
                <w:szCs w:val="20"/>
                <w:vertAlign w:val="superscript"/>
              </w:rPr>
              <w:t xml:space="preserve"> a</w:t>
            </w:r>
          </w:p>
        </w:tc>
        <w:tc>
          <w:tcPr>
            <w:tcW w:w="1134" w:type="dxa"/>
          </w:tcPr>
          <w:p w14:paraId="31F58B3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4.801</w:t>
            </w:r>
          </w:p>
        </w:tc>
      </w:tr>
      <w:tr w:rsidR="00961AC6" w:rsidRPr="00C47834" w14:paraId="018063CC" w14:textId="77777777" w:rsidTr="00DC67EC">
        <w:trPr>
          <w:trHeight w:val="351"/>
        </w:trPr>
        <w:tc>
          <w:tcPr>
            <w:tcW w:w="1499" w:type="dxa"/>
          </w:tcPr>
          <w:p w14:paraId="46D188A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Low x high</w:t>
            </w:r>
          </w:p>
        </w:tc>
        <w:tc>
          <w:tcPr>
            <w:tcW w:w="851" w:type="dxa"/>
          </w:tcPr>
          <w:p w14:paraId="6F755B6B"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0440FA68" w14:textId="77777777" w:rsidR="00961AC6" w:rsidRPr="00C47834" w:rsidRDefault="00961AC6" w:rsidP="0083042F">
            <w:pPr>
              <w:tabs>
                <w:tab w:val="left" w:pos="0"/>
              </w:tabs>
              <w:spacing w:line="276" w:lineRule="auto"/>
              <w:rPr>
                <w:rFonts w:ascii="Arial" w:hAnsi="Arial" w:cs="Arial"/>
                <w:sz w:val="20"/>
                <w:szCs w:val="20"/>
              </w:rPr>
            </w:pPr>
          </w:p>
        </w:tc>
        <w:tc>
          <w:tcPr>
            <w:tcW w:w="993" w:type="dxa"/>
          </w:tcPr>
          <w:p w14:paraId="4BD315D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50.63</w:t>
            </w:r>
          </w:p>
        </w:tc>
        <w:tc>
          <w:tcPr>
            <w:tcW w:w="992" w:type="dxa"/>
          </w:tcPr>
          <w:p w14:paraId="7BFA8DF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18.66</w:t>
            </w:r>
          </w:p>
        </w:tc>
        <w:tc>
          <w:tcPr>
            <w:tcW w:w="1134" w:type="dxa"/>
          </w:tcPr>
          <w:p w14:paraId="5624E59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36.88</w:t>
            </w:r>
          </w:p>
        </w:tc>
        <w:tc>
          <w:tcPr>
            <w:tcW w:w="1276" w:type="dxa"/>
          </w:tcPr>
          <w:p w14:paraId="6087C55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33.08</w:t>
            </w:r>
          </w:p>
        </w:tc>
        <w:tc>
          <w:tcPr>
            <w:tcW w:w="1275" w:type="dxa"/>
          </w:tcPr>
          <w:p w14:paraId="53AB6AE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14.03</w:t>
            </w:r>
          </w:p>
        </w:tc>
        <w:tc>
          <w:tcPr>
            <w:tcW w:w="993" w:type="dxa"/>
          </w:tcPr>
          <w:p w14:paraId="723041B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667.0</w:t>
            </w:r>
            <w:r w:rsidRPr="00C47834">
              <w:rPr>
                <w:rFonts w:ascii="Arial" w:hAnsi="Arial" w:cs="Arial"/>
                <w:b/>
                <w:sz w:val="20"/>
                <w:szCs w:val="20"/>
                <w:vertAlign w:val="superscript"/>
              </w:rPr>
              <w:t xml:space="preserve"> a</w:t>
            </w:r>
          </w:p>
        </w:tc>
        <w:tc>
          <w:tcPr>
            <w:tcW w:w="850" w:type="dxa"/>
          </w:tcPr>
          <w:p w14:paraId="405696C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6.396</w:t>
            </w:r>
          </w:p>
        </w:tc>
        <w:tc>
          <w:tcPr>
            <w:tcW w:w="851" w:type="dxa"/>
          </w:tcPr>
          <w:p w14:paraId="54E2FCE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11.02</w:t>
            </w:r>
          </w:p>
        </w:tc>
        <w:tc>
          <w:tcPr>
            <w:tcW w:w="850" w:type="dxa"/>
          </w:tcPr>
          <w:p w14:paraId="230BFA23"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0.426</w:t>
            </w:r>
            <w:r w:rsidRPr="00C47834">
              <w:rPr>
                <w:rFonts w:ascii="Arial" w:hAnsi="Arial" w:cs="Arial"/>
                <w:b/>
                <w:sz w:val="20"/>
                <w:szCs w:val="20"/>
                <w:vertAlign w:val="superscript"/>
              </w:rPr>
              <w:t xml:space="preserve"> a</w:t>
            </w:r>
          </w:p>
        </w:tc>
        <w:tc>
          <w:tcPr>
            <w:tcW w:w="1134" w:type="dxa"/>
          </w:tcPr>
          <w:p w14:paraId="1D87E59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4.142</w:t>
            </w:r>
          </w:p>
        </w:tc>
      </w:tr>
      <w:tr w:rsidR="00961AC6" w:rsidRPr="00C47834" w14:paraId="2644EFBD" w14:textId="77777777" w:rsidTr="00DC67EC">
        <w:trPr>
          <w:trHeight w:val="371"/>
        </w:trPr>
        <w:tc>
          <w:tcPr>
            <w:tcW w:w="1499" w:type="dxa"/>
          </w:tcPr>
          <w:p w14:paraId="35813F9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High x low</w:t>
            </w:r>
          </w:p>
        </w:tc>
        <w:tc>
          <w:tcPr>
            <w:tcW w:w="851" w:type="dxa"/>
          </w:tcPr>
          <w:p w14:paraId="3A7112FE"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1EF273BD" w14:textId="77777777" w:rsidR="00961AC6" w:rsidRPr="00C47834" w:rsidRDefault="00961AC6" w:rsidP="0083042F">
            <w:pPr>
              <w:tabs>
                <w:tab w:val="left" w:pos="0"/>
              </w:tabs>
              <w:spacing w:line="276" w:lineRule="auto"/>
              <w:rPr>
                <w:rFonts w:ascii="Arial" w:hAnsi="Arial" w:cs="Arial"/>
                <w:sz w:val="20"/>
                <w:szCs w:val="20"/>
              </w:rPr>
            </w:pPr>
          </w:p>
        </w:tc>
        <w:tc>
          <w:tcPr>
            <w:tcW w:w="993" w:type="dxa"/>
          </w:tcPr>
          <w:p w14:paraId="564EEEDA"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53.09</w:t>
            </w:r>
          </w:p>
        </w:tc>
        <w:tc>
          <w:tcPr>
            <w:tcW w:w="992" w:type="dxa"/>
          </w:tcPr>
          <w:p w14:paraId="2D2E0F3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19.12</w:t>
            </w:r>
          </w:p>
        </w:tc>
        <w:tc>
          <w:tcPr>
            <w:tcW w:w="1134" w:type="dxa"/>
          </w:tcPr>
          <w:p w14:paraId="5B09972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36.03</w:t>
            </w:r>
          </w:p>
        </w:tc>
        <w:tc>
          <w:tcPr>
            <w:tcW w:w="1276" w:type="dxa"/>
          </w:tcPr>
          <w:p w14:paraId="19F8908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33.72</w:t>
            </w:r>
          </w:p>
        </w:tc>
        <w:tc>
          <w:tcPr>
            <w:tcW w:w="1275" w:type="dxa"/>
          </w:tcPr>
          <w:p w14:paraId="6FCD715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13.56</w:t>
            </w:r>
          </w:p>
        </w:tc>
        <w:tc>
          <w:tcPr>
            <w:tcW w:w="993" w:type="dxa"/>
          </w:tcPr>
          <w:p w14:paraId="37812E4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599.5</w:t>
            </w:r>
            <w:r w:rsidRPr="00C47834">
              <w:rPr>
                <w:rFonts w:ascii="Arial" w:hAnsi="Arial" w:cs="Arial"/>
                <w:b/>
                <w:sz w:val="20"/>
                <w:szCs w:val="20"/>
                <w:vertAlign w:val="superscript"/>
              </w:rPr>
              <w:t xml:space="preserve"> a</w:t>
            </w:r>
          </w:p>
        </w:tc>
        <w:tc>
          <w:tcPr>
            <w:tcW w:w="850" w:type="dxa"/>
          </w:tcPr>
          <w:p w14:paraId="71DA462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6.665</w:t>
            </w:r>
          </w:p>
        </w:tc>
        <w:tc>
          <w:tcPr>
            <w:tcW w:w="851" w:type="dxa"/>
          </w:tcPr>
          <w:p w14:paraId="5DC2C5A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10.85</w:t>
            </w:r>
          </w:p>
        </w:tc>
        <w:tc>
          <w:tcPr>
            <w:tcW w:w="850" w:type="dxa"/>
          </w:tcPr>
          <w:p w14:paraId="1426409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0.400</w:t>
            </w:r>
            <w:r w:rsidRPr="00C47834">
              <w:rPr>
                <w:rFonts w:ascii="Arial" w:hAnsi="Arial" w:cs="Arial"/>
                <w:b/>
                <w:sz w:val="20"/>
                <w:szCs w:val="20"/>
                <w:vertAlign w:val="superscript"/>
              </w:rPr>
              <w:t xml:space="preserve"> a</w:t>
            </w:r>
          </w:p>
        </w:tc>
        <w:tc>
          <w:tcPr>
            <w:tcW w:w="1134" w:type="dxa"/>
          </w:tcPr>
          <w:p w14:paraId="1A89747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5.810</w:t>
            </w:r>
          </w:p>
        </w:tc>
      </w:tr>
      <w:tr w:rsidR="00961AC6" w:rsidRPr="00C47834" w14:paraId="721C24F8" w14:textId="77777777" w:rsidTr="00DC67EC">
        <w:trPr>
          <w:trHeight w:val="351"/>
        </w:trPr>
        <w:tc>
          <w:tcPr>
            <w:tcW w:w="1499" w:type="dxa"/>
          </w:tcPr>
          <w:p w14:paraId="3DADF39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High x high</w:t>
            </w:r>
          </w:p>
        </w:tc>
        <w:tc>
          <w:tcPr>
            <w:tcW w:w="851" w:type="dxa"/>
          </w:tcPr>
          <w:p w14:paraId="556697BC"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5BD7E3C2" w14:textId="77777777" w:rsidR="00961AC6" w:rsidRPr="00C47834" w:rsidRDefault="00961AC6" w:rsidP="0083042F">
            <w:pPr>
              <w:tabs>
                <w:tab w:val="left" w:pos="0"/>
              </w:tabs>
              <w:spacing w:line="276" w:lineRule="auto"/>
              <w:rPr>
                <w:rFonts w:ascii="Arial" w:hAnsi="Arial" w:cs="Arial"/>
                <w:sz w:val="20"/>
                <w:szCs w:val="20"/>
              </w:rPr>
            </w:pPr>
          </w:p>
        </w:tc>
        <w:tc>
          <w:tcPr>
            <w:tcW w:w="993" w:type="dxa"/>
          </w:tcPr>
          <w:p w14:paraId="044968D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51.32</w:t>
            </w:r>
          </w:p>
        </w:tc>
        <w:tc>
          <w:tcPr>
            <w:tcW w:w="992" w:type="dxa"/>
          </w:tcPr>
          <w:p w14:paraId="0F48A28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19.42</w:t>
            </w:r>
          </w:p>
        </w:tc>
        <w:tc>
          <w:tcPr>
            <w:tcW w:w="1134" w:type="dxa"/>
          </w:tcPr>
          <w:p w14:paraId="708FF06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37.80</w:t>
            </w:r>
          </w:p>
        </w:tc>
        <w:tc>
          <w:tcPr>
            <w:tcW w:w="1276" w:type="dxa"/>
          </w:tcPr>
          <w:p w14:paraId="5D05A32F"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33.88</w:t>
            </w:r>
          </w:p>
        </w:tc>
        <w:tc>
          <w:tcPr>
            <w:tcW w:w="1275" w:type="dxa"/>
          </w:tcPr>
          <w:p w14:paraId="3C523C4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14.33</w:t>
            </w:r>
          </w:p>
        </w:tc>
        <w:tc>
          <w:tcPr>
            <w:tcW w:w="993" w:type="dxa"/>
          </w:tcPr>
          <w:p w14:paraId="39DF79D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205.7</w:t>
            </w:r>
            <w:r w:rsidRPr="00C47834">
              <w:rPr>
                <w:rFonts w:ascii="Arial" w:hAnsi="Arial" w:cs="Arial"/>
                <w:b/>
                <w:sz w:val="20"/>
                <w:szCs w:val="20"/>
                <w:vertAlign w:val="superscript"/>
              </w:rPr>
              <w:t xml:space="preserve"> b</w:t>
            </w:r>
          </w:p>
        </w:tc>
        <w:tc>
          <w:tcPr>
            <w:tcW w:w="850" w:type="dxa"/>
          </w:tcPr>
          <w:p w14:paraId="4D50EA5E"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6.629</w:t>
            </w:r>
          </w:p>
        </w:tc>
        <w:tc>
          <w:tcPr>
            <w:tcW w:w="851" w:type="dxa"/>
          </w:tcPr>
          <w:p w14:paraId="343BEEC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13.63</w:t>
            </w:r>
          </w:p>
        </w:tc>
        <w:tc>
          <w:tcPr>
            <w:tcW w:w="850" w:type="dxa"/>
          </w:tcPr>
          <w:p w14:paraId="7A43AE2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0.136</w:t>
            </w:r>
            <w:r w:rsidRPr="00C47834">
              <w:rPr>
                <w:rFonts w:ascii="Arial" w:hAnsi="Arial" w:cs="Arial"/>
                <w:b/>
                <w:sz w:val="20"/>
                <w:szCs w:val="20"/>
                <w:vertAlign w:val="superscript"/>
              </w:rPr>
              <w:t xml:space="preserve"> b</w:t>
            </w:r>
          </w:p>
        </w:tc>
        <w:tc>
          <w:tcPr>
            <w:tcW w:w="1134" w:type="dxa"/>
          </w:tcPr>
          <w:p w14:paraId="117C8C39"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6.100</w:t>
            </w:r>
          </w:p>
        </w:tc>
      </w:tr>
      <w:tr w:rsidR="00961AC6" w:rsidRPr="00C47834" w14:paraId="6D6D1EDD" w14:textId="77777777" w:rsidTr="00DC67EC">
        <w:trPr>
          <w:trHeight w:val="351"/>
        </w:trPr>
        <w:tc>
          <w:tcPr>
            <w:tcW w:w="1499" w:type="dxa"/>
          </w:tcPr>
          <w:p w14:paraId="3CC33C2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b/>
                <w:sz w:val="20"/>
                <w:szCs w:val="20"/>
              </w:rPr>
              <w:t>SEM</w:t>
            </w:r>
          </w:p>
        </w:tc>
        <w:tc>
          <w:tcPr>
            <w:tcW w:w="851" w:type="dxa"/>
          </w:tcPr>
          <w:p w14:paraId="28E65F2F"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28DE5376" w14:textId="77777777" w:rsidR="00961AC6" w:rsidRPr="00C47834" w:rsidRDefault="00961AC6" w:rsidP="0083042F">
            <w:pPr>
              <w:tabs>
                <w:tab w:val="left" w:pos="0"/>
              </w:tabs>
              <w:spacing w:line="276" w:lineRule="auto"/>
              <w:rPr>
                <w:rFonts w:ascii="Arial" w:hAnsi="Arial" w:cs="Arial"/>
                <w:sz w:val="20"/>
                <w:szCs w:val="20"/>
              </w:rPr>
            </w:pPr>
          </w:p>
        </w:tc>
        <w:tc>
          <w:tcPr>
            <w:tcW w:w="993" w:type="dxa"/>
          </w:tcPr>
          <w:p w14:paraId="743490F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0.017</w:t>
            </w:r>
          </w:p>
        </w:tc>
        <w:tc>
          <w:tcPr>
            <w:tcW w:w="992" w:type="dxa"/>
          </w:tcPr>
          <w:p w14:paraId="1FAAF97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0.026</w:t>
            </w:r>
          </w:p>
        </w:tc>
        <w:tc>
          <w:tcPr>
            <w:tcW w:w="1134" w:type="dxa"/>
          </w:tcPr>
          <w:p w14:paraId="7D308BD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0.032</w:t>
            </w:r>
          </w:p>
        </w:tc>
        <w:tc>
          <w:tcPr>
            <w:tcW w:w="1276" w:type="dxa"/>
          </w:tcPr>
          <w:p w14:paraId="4A709F0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0.036</w:t>
            </w:r>
          </w:p>
        </w:tc>
        <w:tc>
          <w:tcPr>
            <w:tcW w:w="1275" w:type="dxa"/>
          </w:tcPr>
          <w:p w14:paraId="5D90A75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0.025</w:t>
            </w:r>
          </w:p>
        </w:tc>
        <w:tc>
          <w:tcPr>
            <w:tcW w:w="993" w:type="dxa"/>
          </w:tcPr>
          <w:p w14:paraId="117023A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0.219</w:t>
            </w:r>
          </w:p>
        </w:tc>
        <w:tc>
          <w:tcPr>
            <w:tcW w:w="850" w:type="dxa"/>
          </w:tcPr>
          <w:p w14:paraId="1615556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0.031</w:t>
            </w:r>
          </w:p>
        </w:tc>
        <w:tc>
          <w:tcPr>
            <w:tcW w:w="851" w:type="dxa"/>
          </w:tcPr>
          <w:p w14:paraId="4B79203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0.069</w:t>
            </w:r>
          </w:p>
        </w:tc>
        <w:tc>
          <w:tcPr>
            <w:tcW w:w="850" w:type="dxa"/>
          </w:tcPr>
          <w:p w14:paraId="00D4A2E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0.212</w:t>
            </w:r>
          </w:p>
        </w:tc>
        <w:tc>
          <w:tcPr>
            <w:tcW w:w="1134" w:type="dxa"/>
          </w:tcPr>
          <w:p w14:paraId="7879A2F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0.175</w:t>
            </w:r>
          </w:p>
        </w:tc>
      </w:tr>
      <w:tr w:rsidR="00961AC6" w:rsidRPr="00C47834" w14:paraId="7CCE6E1C" w14:textId="77777777" w:rsidTr="00DC67EC">
        <w:trPr>
          <w:trHeight w:val="371"/>
        </w:trPr>
        <w:tc>
          <w:tcPr>
            <w:tcW w:w="1499" w:type="dxa"/>
          </w:tcPr>
          <w:p w14:paraId="0E4600E5" w14:textId="77777777" w:rsidR="00961AC6" w:rsidRPr="00C47834" w:rsidRDefault="00961AC6" w:rsidP="0083042F">
            <w:pPr>
              <w:tabs>
                <w:tab w:val="left" w:pos="0"/>
              </w:tabs>
              <w:spacing w:line="276" w:lineRule="auto"/>
              <w:rPr>
                <w:rFonts w:ascii="Arial" w:hAnsi="Arial" w:cs="Arial"/>
                <w:b/>
                <w:sz w:val="20"/>
                <w:szCs w:val="20"/>
              </w:rPr>
            </w:pPr>
            <w:r w:rsidRPr="00C47834">
              <w:rPr>
                <w:rFonts w:ascii="Arial" w:hAnsi="Arial" w:cs="Arial"/>
                <w:b/>
                <w:sz w:val="20"/>
                <w:szCs w:val="20"/>
              </w:rPr>
              <w:t>P- value</w:t>
            </w:r>
          </w:p>
        </w:tc>
        <w:tc>
          <w:tcPr>
            <w:tcW w:w="851" w:type="dxa"/>
          </w:tcPr>
          <w:p w14:paraId="2E9D075E"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59306123" w14:textId="77777777" w:rsidR="00961AC6" w:rsidRPr="00C47834" w:rsidRDefault="00961AC6" w:rsidP="0083042F">
            <w:pPr>
              <w:tabs>
                <w:tab w:val="left" w:pos="0"/>
              </w:tabs>
              <w:spacing w:line="276" w:lineRule="auto"/>
              <w:rPr>
                <w:rFonts w:ascii="Arial" w:hAnsi="Arial" w:cs="Arial"/>
                <w:sz w:val="20"/>
                <w:szCs w:val="20"/>
              </w:rPr>
            </w:pPr>
          </w:p>
        </w:tc>
        <w:tc>
          <w:tcPr>
            <w:tcW w:w="993" w:type="dxa"/>
          </w:tcPr>
          <w:p w14:paraId="300B5A33" w14:textId="77777777" w:rsidR="00961AC6" w:rsidRPr="00C47834" w:rsidRDefault="00961AC6" w:rsidP="0083042F">
            <w:pPr>
              <w:tabs>
                <w:tab w:val="left" w:pos="0"/>
              </w:tabs>
              <w:spacing w:line="276" w:lineRule="auto"/>
              <w:rPr>
                <w:rFonts w:ascii="Arial" w:hAnsi="Arial" w:cs="Arial"/>
                <w:sz w:val="20"/>
                <w:szCs w:val="20"/>
              </w:rPr>
            </w:pPr>
          </w:p>
        </w:tc>
        <w:tc>
          <w:tcPr>
            <w:tcW w:w="992" w:type="dxa"/>
          </w:tcPr>
          <w:p w14:paraId="3E90323D" w14:textId="77777777" w:rsidR="00961AC6" w:rsidRPr="00C47834" w:rsidRDefault="00961AC6" w:rsidP="0083042F">
            <w:pPr>
              <w:tabs>
                <w:tab w:val="left" w:pos="0"/>
              </w:tabs>
              <w:spacing w:line="276" w:lineRule="auto"/>
              <w:rPr>
                <w:rFonts w:ascii="Arial" w:hAnsi="Arial" w:cs="Arial"/>
                <w:sz w:val="20"/>
                <w:szCs w:val="20"/>
              </w:rPr>
            </w:pPr>
          </w:p>
        </w:tc>
        <w:tc>
          <w:tcPr>
            <w:tcW w:w="1134" w:type="dxa"/>
          </w:tcPr>
          <w:p w14:paraId="3CE43496" w14:textId="77777777" w:rsidR="00961AC6" w:rsidRPr="00C47834" w:rsidRDefault="00961AC6" w:rsidP="0083042F">
            <w:pPr>
              <w:tabs>
                <w:tab w:val="left" w:pos="0"/>
              </w:tabs>
              <w:spacing w:line="276" w:lineRule="auto"/>
              <w:rPr>
                <w:rFonts w:ascii="Arial" w:hAnsi="Arial" w:cs="Arial"/>
                <w:sz w:val="20"/>
                <w:szCs w:val="20"/>
              </w:rPr>
            </w:pPr>
          </w:p>
        </w:tc>
        <w:tc>
          <w:tcPr>
            <w:tcW w:w="1276" w:type="dxa"/>
          </w:tcPr>
          <w:p w14:paraId="19C243F3" w14:textId="77777777" w:rsidR="00961AC6" w:rsidRPr="00C47834" w:rsidRDefault="00961AC6" w:rsidP="0083042F">
            <w:pPr>
              <w:tabs>
                <w:tab w:val="left" w:pos="0"/>
              </w:tabs>
              <w:spacing w:line="276" w:lineRule="auto"/>
              <w:rPr>
                <w:rFonts w:ascii="Arial" w:hAnsi="Arial" w:cs="Arial"/>
                <w:sz w:val="20"/>
                <w:szCs w:val="20"/>
              </w:rPr>
            </w:pPr>
          </w:p>
        </w:tc>
        <w:tc>
          <w:tcPr>
            <w:tcW w:w="1275" w:type="dxa"/>
          </w:tcPr>
          <w:p w14:paraId="4CB57281" w14:textId="77777777" w:rsidR="00961AC6" w:rsidRPr="00C47834" w:rsidRDefault="00961AC6" w:rsidP="0083042F">
            <w:pPr>
              <w:tabs>
                <w:tab w:val="left" w:pos="0"/>
              </w:tabs>
              <w:spacing w:line="276" w:lineRule="auto"/>
              <w:rPr>
                <w:rFonts w:ascii="Arial" w:hAnsi="Arial" w:cs="Arial"/>
                <w:sz w:val="20"/>
                <w:szCs w:val="20"/>
              </w:rPr>
            </w:pPr>
          </w:p>
        </w:tc>
        <w:tc>
          <w:tcPr>
            <w:tcW w:w="993" w:type="dxa"/>
          </w:tcPr>
          <w:p w14:paraId="67F6A5AA"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7C3E4CB0" w14:textId="77777777" w:rsidR="00961AC6" w:rsidRPr="00C47834" w:rsidRDefault="00961AC6" w:rsidP="0083042F">
            <w:pPr>
              <w:tabs>
                <w:tab w:val="left" w:pos="0"/>
              </w:tabs>
              <w:spacing w:line="276" w:lineRule="auto"/>
              <w:rPr>
                <w:rFonts w:ascii="Arial" w:hAnsi="Arial" w:cs="Arial"/>
                <w:sz w:val="20"/>
                <w:szCs w:val="20"/>
              </w:rPr>
            </w:pPr>
          </w:p>
        </w:tc>
        <w:tc>
          <w:tcPr>
            <w:tcW w:w="851" w:type="dxa"/>
          </w:tcPr>
          <w:p w14:paraId="7D10E549"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0C390A59" w14:textId="77777777" w:rsidR="00961AC6" w:rsidRPr="00C47834" w:rsidRDefault="00961AC6" w:rsidP="0083042F">
            <w:pPr>
              <w:tabs>
                <w:tab w:val="left" w:pos="0"/>
              </w:tabs>
              <w:spacing w:line="276" w:lineRule="auto"/>
              <w:rPr>
                <w:rFonts w:ascii="Arial" w:hAnsi="Arial" w:cs="Arial"/>
                <w:sz w:val="20"/>
                <w:szCs w:val="20"/>
              </w:rPr>
            </w:pPr>
          </w:p>
        </w:tc>
        <w:tc>
          <w:tcPr>
            <w:tcW w:w="1134" w:type="dxa"/>
          </w:tcPr>
          <w:p w14:paraId="034EB04F" w14:textId="77777777" w:rsidR="00961AC6" w:rsidRPr="00C47834" w:rsidRDefault="00961AC6" w:rsidP="0083042F">
            <w:pPr>
              <w:tabs>
                <w:tab w:val="left" w:pos="0"/>
              </w:tabs>
              <w:spacing w:line="276" w:lineRule="auto"/>
              <w:rPr>
                <w:rFonts w:ascii="Arial" w:hAnsi="Arial" w:cs="Arial"/>
                <w:sz w:val="20"/>
                <w:szCs w:val="20"/>
              </w:rPr>
            </w:pPr>
          </w:p>
        </w:tc>
      </w:tr>
      <w:tr w:rsidR="00961AC6" w:rsidRPr="00C47834" w14:paraId="2D2E7517" w14:textId="77777777" w:rsidTr="00DC67EC">
        <w:trPr>
          <w:trHeight w:val="351"/>
        </w:trPr>
        <w:tc>
          <w:tcPr>
            <w:tcW w:w="1499" w:type="dxa"/>
          </w:tcPr>
          <w:p w14:paraId="166316D9"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Fat</w:t>
            </w:r>
            <w:r w:rsidRPr="00C47834">
              <w:rPr>
                <w:rFonts w:ascii="Arial" w:hAnsi="Arial" w:cs="Arial"/>
                <w:sz w:val="20"/>
                <w:szCs w:val="20"/>
              </w:rPr>
              <w:tab/>
            </w:r>
          </w:p>
        </w:tc>
        <w:tc>
          <w:tcPr>
            <w:tcW w:w="851" w:type="dxa"/>
          </w:tcPr>
          <w:p w14:paraId="727031CF"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5533CE21" w14:textId="77777777" w:rsidR="00961AC6" w:rsidRPr="00C47834" w:rsidRDefault="00961AC6" w:rsidP="0083042F">
            <w:pPr>
              <w:tabs>
                <w:tab w:val="left" w:pos="0"/>
              </w:tabs>
              <w:spacing w:line="276" w:lineRule="auto"/>
              <w:rPr>
                <w:rFonts w:ascii="Arial" w:hAnsi="Arial" w:cs="Arial"/>
                <w:sz w:val="20"/>
                <w:szCs w:val="20"/>
              </w:rPr>
            </w:pPr>
          </w:p>
        </w:tc>
        <w:tc>
          <w:tcPr>
            <w:tcW w:w="993" w:type="dxa"/>
          </w:tcPr>
          <w:p w14:paraId="3F77B29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0.245</w:t>
            </w:r>
          </w:p>
        </w:tc>
        <w:tc>
          <w:tcPr>
            <w:tcW w:w="992" w:type="dxa"/>
          </w:tcPr>
          <w:p w14:paraId="6E0BF6B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0.651</w:t>
            </w:r>
          </w:p>
        </w:tc>
        <w:tc>
          <w:tcPr>
            <w:tcW w:w="1134" w:type="dxa"/>
          </w:tcPr>
          <w:p w14:paraId="5C04C7D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0.793</w:t>
            </w:r>
          </w:p>
        </w:tc>
        <w:tc>
          <w:tcPr>
            <w:tcW w:w="1276" w:type="dxa"/>
          </w:tcPr>
          <w:p w14:paraId="3E73323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0.534</w:t>
            </w:r>
          </w:p>
        </w:tc>
        <w:tc>
          <w:tcPr>
            <w:tcW w:w="1275" w:type="dxa"/>
          </w:tcPr>
          <w:p w14:paraId="645B0B4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0.816</w:t>
            </w:r>
          </w:p>
        </w:tc>
        <w:tc>
          <w:tcPr>
            <w:tcW w:w="993" w:type="dxa"/>
          </w:tcPr>
          <w:p w14:paraId="13CD6B3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0.015</w:t>
            </w:r>
          </w:p>
        </w:tc>
        <w:tc>
          <w:tcPr>
            <w:tcW w:w="850" w:type="dxa"/>
          </w:tcPr>
          <w:p w14:paraId="4A9688C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0.339</w:t>
            </w:r>
          </w:p>
        </w:tc>
        <w:tc>
          <w:tcPr>
            <w:tcW w:w="851" w:type="dxa"/>
          </w:tcPr>
          <w:p w14:paraId="0C0905F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0.152</w:t>
            </w:r>
          </w:p>
        </w:tc>
        <w:tc>
          <w:tcPr>
            <w:tcW w:w="850" w:type="dxa"/>
          </w:tcPr>
          <w:p w14:paraId="5135C05F"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0.026</w:t>
            </w:r>
          </w:p>
        </w:tc>
        <w:tc>
          <w:tcPr>
            <w:tcW w:w="1134" w:type="dxa"/>
          </w:tcPr>
          <w:p w14:paraId="1621E3D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0.227</w:t>
            </w:r>
          </w:p>
        </w:tc>
      </w:tr>
      <w:tr w:rsidR="00961AC6" w:rsidRPr="00C47834" w14:paraId="0C1446ED" w14:textId="77777777" w:rsidTr="00DC67EC">
        <w:trPr>
          <w:trHeight w:val="351"/>
        </w:trPr>
        <w:tc>
          <w:tcPr>
            <w:tcW w:w="1499" w:type="dxa"/>
          </w:tcPr>
          <w:p w14:paraId="6A4EBFD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Fibre</w:t>
            </w:r>
          </w:p>
        </w:tc>
        <w:tc>
          <w:tcPr>
            <w:tcW w:w="851" w:type="dxa"/>
          </w:tcPr>
          <w:p w14:paraId="6A231FDB"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6089F298" w14:textId="77777777" w:rsidR="00961AC6" w:rsidRPr="00C47834" w:rsidRDefault="00961AC6" w:rsidP="0083042F">
            <w:pPr>
              <w:tabs>
                <w:tab w:val="left" w:pos="0"/>
              </w:tabs>
              <w:spacing w:line="276" w:lineRule="auto"/>
              <w:rPr>
                <w:rFonts w:ascii="Arial" w:hAnsi="Arial" w:cs="Arial"/>
                <w:sz w:val="20"/>
                <w:szCs w:val="20"/>
              </w:rPr>
            </w:pPr>
          </w:p>
        </w:tc>
        <w:tc>
          <w:tcPr>
            <w:tcW w:w="993" w:type="dxa"/>
          </w:tcPr>
          <w:p w14:paraId="272C897C"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0.004</w:t>
            </w:r>
          </w:p>
        </w:tc>
        <w:tc>
          <w:tcPr>
            <w:tcW w:w="992" w:type="dxa"/>
          </w:tcPr>
          <w:p w14:paraId="72A332D6"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0.190</w:t>
            </w:r>
          </w:p>
        </w:tc>
        <w:tc>
          <w:tcPr>
            <w:tcW w:w="1134" w:type="dxa"/>
          </w:tcPr>
          <w:p w14:paraId="79E21EF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0.344</w:t>
            </w:r>
          </w:p>
        </w:tc>
        <w:tc>
          <w:tcPr>
            <w:tcW w:w="1276" w:type="dxa"/>
          </w:tcPr>
          <w:p w14:paraId="72CA16A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0.269</w:t>
            </w:r>
          </w:p>
        </w:tc>
        <w:tc>
          <w:tcPr>
            <w:tcW w:w="1275" w:type="dxa"/>
          </w:tcPr>
          <w:p w14:paraId="4DD3344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0.155</w:t>
            </w:r>
          </w:p>
        </w:tc>
        <w:tc>
          <w:tcPr>
            <w:tcW w:w="993" w:type="dxa"/>
          </w:tcPr>
          <w:p w14:paraId="3A8918C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0.033</w:t>
            </w:r>
          </w:p>
        </w:tc>
        <w:tc>
          <w:tcPr>
            <w:tcW w:w="850" w:type="dxa"/>
          </w:tcPr>
          <w:p w14:paraId="3889533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0.765</w:t>
            </w:r>
          </w:p>
        </w:tc>
        <w:tc>
          <w:tcPr>
            <w:tcW w:w="851" w:type="dxa"/>
          </w:tcPr>
          <w:p w14:paraId="074AC159"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0.108</w:t>
            </w:r>
          </w:p>
        </w:tc>
        <w:tc>
          <w:tcPr>
            <w:tcW w:w="850" w:type="dxa"/>
          </w:tcPr>
          <w:p w14:paraId="59E82EAD"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0.016</w:t>
            </w:r>
          </w:p>
        </w:tc>
        <w:tc>
          <w:tcPr>
            <w:tcW w:w="1134" w:type="dxa"/>
          </w:tcPr>
          <w:p w14:paraId="3B53774B"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0.826</w:t>
            </w:r>
          </w:p>
        </w:tc>
      </w:tr>
      <w:tr w:rsidR="00961AC6" w:rsidRPr="00C47834" w14:paraId="592F9A0C" w14:textId="77777777" w:rsidTr="00DC67EC">
        <w:trPr>
          <w:trHeight w:val="351"/>
        </w:trPr>
        <w:tc>
          <w:tcPr>
            <w:tcW w:w="1499" w:type="dxa"/>
          </w:tcPr>
          <w:p w14:paraId="00F19AF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Fat x fibre</w:t>
            </w:r>
          </w:p>
        </w:tc>
        <w:tc>
          <w:tcPr>
            <w:tcW w:w="851" w:type="dxa"/>
          </w:tcPr>
          <w:p w14:paraId="4FD19C70" w14:textId="77777777" w:rsidR="00961AC6" w:rsidRPr="00C47834" w:rsidRDefault="00961AC6" w:rsidP="0083042F">
            <w:pPr>
              <w:tabs>
                <w:tab w:val="left" w:pos="0"/>
              </w:tabs>
              <w:spacing w:line="276" w:lineRule="auto"/>
              <w:rPr>
                <w:rFonts w:ascii="Arial" w:hAnsi="Arial" w:cs="Arial"/>
                <w:sz w:val="20"/>
                <w:szCs w:val="20"/>
              </w:rPr>
            </w:pPr>
          </w:p>
        </w:tc>
        <w:tc>
          <w:tcPr>
            <w:tcW w:w="850" w:type="dxa"/>
          </w:tcPr>
          <w:p w14:paraId="376B57D2" w14:textId="77777777" w:rsidR="00961AC6" w:rsidRPr="00C47834" w:rsidRDefault="00961AC6" w:rsidP="0083042F">
            <w:pPr>
              <w:tabs>
                <w:tab w:val="left" w:pos="0"/>
              </w:tabs>
              <w:spacing w:line="276" w:lineRule="auto"/>
              <w:rPr>
                <w:rFonts w:ascii="Arial" w:hAnsi="Arial" w:cs="Arial"/>
                <w:sz w:val="20"/>
                <w:szCs w:val="20"/>
              </w:rPr>
            </w:pPr>
          </w:p>
        </w:tc>
        <w:tc>
          <w:tcPr>
            <w:tcW w:w="993" w:type="dxa"/>
          </w:tcPr>
          <w:p w14:paraId="2C14DE25"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0.077</w:t>
            </w:r>
          </w:p>
        </w:tc>
        <w:tc>
          <w:tcPr>
            <w:tcW w:w="992" w:type="dxa"/>
          </w:tcPr>
          <w:p w14:paraId="379AF68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0.078</w:t>
            </w:r>
          </w:p>
        </w:tc>
        <w:tc>
          <w:tcPr>
            <w:tcW w:w="1134" w:type="dxa"/>
          </w:tcPr>
          <w:p w14:paraId="4EF05EA7"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0.623</w:t>
            </w:r>
          </w:p>
        </w:tc>
        <w:tc>
          <w:tcPr>
            <w:tcW w:w="1276" w:type="dxa"/>
          </w:tcPr>
          <w:p w14:paraId="766BFCB0"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0.223</w:t>
            </w:r>
          </w:p>
        </w:tc>
        <w:tc>
          <w:tcPr>
            <w:tcW w:w="1275" w:type="dxa"/>
          </w:tcPr>
          <w:p w14:paraId="27C9EBD8"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0.568</w:t>
            </w:r>
          </w:p>
        </w:tc>
        <w:tc>
          <w:tcPr>
            <w:tcW w:w="993" w:type="dxa"/>
          </w:tcPr>
          <w:p w14:paraId="08697359"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0.050</w:t>
            </w:r>
          </w:p>
        </w:tc>
        <w:tc>
          <w:tcPr>
            <w:tcW w:w="850" w:type="dxa"/>
          </w:tcPr>
          <w:p w14:paraId="507AC172"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0.899</w:t>
            </w:r>
          </w:p>
        </w:tc>
        <w:tc>
          <w:tcPr>
            <w:tcW w:w="851" w:type="dxa"/>
          </w:tcPr>
          <w:p w14:paraId="105C2163"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0.174</w:t>
            </w:r>
          </w:p>
        </w:tc>
        <w:tc>
          <w:tcPr>
            <w:tcW w:w="850" w:type="dxa"/>
          </w:tcPr>
          <w:p w14:paraId="397986D1"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0.045</w:t>
            </w:r>
          </w:p>
        </w:tc>
        <w:tc>
          <w:tcPr>
            <w:tcW w:w="1134" w:type="dxa"/>
          </w:tcPr>
          <w:p w14:paraId="0635CE14" w14:textId="77777777" w:rsidR="00961AC6" w:rsidRPr="00C47834" w:rsidRDefault="00961AC6" w:rsidP="0083042F">
            <w:pPr>
              <w:tabs>
                <w:tab w:val="left" w:pos="0"/>
              </w:tabs>
              <w:spacing w:line="276" w:lineRule="auto"/>
              <w:rPr>
                <w:rFonts w:ascii="Arial" w:hAnsi="Arial" w:cs="Arial"/>
                <w:sz w:val="20"/>
                <w:szCs w:val="20"/>
              </w:rPr>
            </w:pPr>
            <w:r w:rsidRPr="00C47834">
              <w:rPr>
                <w:rFonts w:ascii="Arial" w:hAnsi="Arial" w:cs="Arial"/>
                <w:sz w:val="20"/>
                <w:szCs w:val="20"/>
              </w:rPr>
              <w:t>0.664</w:t>
            </w:r>
          </w:p>
        </w:tc>
      </w:tr>
    </w:tbl>
    <w:p w14:paraId="1235B4D3" w14:textId="77777777" w:rsidR="00961AC6" w:rsidRPr="00F81C0F" w:rsidRDefault="00961AC6" w:rsidP="0083042F">
      <w:pPr>
        <w:tabs>
          <w:tab w:val="left" w:pos="0"/>
        </w:tabs>
        <w:spacing w:line="240" w:lineRule="auto"/>
        <w:ind w:left="-284"/>
        <w:rPr>
          <w:rFonts w:ascii="Arial" w:hAnsi="Arial" w:cs="Arial"/>
          <w:i/>
          <w:sz w:val="18"/>
          <w:szCs w:val="20"/>
        </w:rPr>
      </w:pPr>
      <w:r w:rsidRPr="00F81C0F">
        <w:rPr>
          <w:rFonts w:ascii="Arial" w:hAnsi="Arial" w:cs="Arial"/>
          <w:i/>
          <w:sz w:val="18"/>
          <w:szCs w:val="20"/>
        </w:rPr>
        <w:t>Means bearing different superscripts (</w:t>
      </w:r>
      <w:r w:rsidRPr="00F81C0F">
        <w:rPr>
          <w:rFonts w:ascii="Arial" w:hAnsi="Arial" w:cs="Arial"/>
          <w:b/>
          <w:i/>
          <w:sz w:val="18"/>
          <w:szCs w:val="20"/>
          <w:vertAlign w:val="superscript"/>
        </w:rPr>
        <w:t>ab</w:t>
      </w:r>
      <w:r w:rsidRPr="00F81C0F">
        <w:rPr>
          <w:rFonts w:ascii="Arial" w:hAnsi="Arial" w:cs="Arial"/>
          <w:i/>
          <w:sz w:val="18"/>
          <w:szCs w:val="20"/>
        </w:rPr>
        <w:t xml:space="preserve">) in the same column are significantly different (P &lt; 0.05). </w:t>
      </w:r>
    </w:p>
    <w:p w14:paraId="3166BCCC" w14:textId="77777777" w:rsidR="00961AC6" w:rsidRPr="00F81C0F" w:rsidRDefault="00961AC6" w:rsidP="0083042F">
      <w:pPr>
        <w:tabs>
          <w:tab w:val="left" w:pos="0"/>
        </w:tabs>
        <w:spacing w:line="240" w:lineRule="auto"/>
        <w:ind w:left="-284"/>
        <w:rPr>
          <w:rFonts w:ascii="Arial" w:hAnsi="Arial" w:cs="Arial"/>
          <w:i/>
          <w:sz w:val="18"/>
          <w:szCs w:val="20"/>
        </w:rPr>
      </w:pPr>
      <w:r w:rsidRPr="00F81C0F">
        <w:rPr>
          <w:rFonts w:ascii="Arial" w:hAnsi="Arial" w:cs="Arial"/>
          <w:b/>
          <w:i/>
          <w:sz w:val="18"/>
          <w:szCs w:val="20"/>
        </w:rPr>
        <w:t>MCV</w:t>
      </w:r>
      <w:r w:rsidRPr="00F81C0F">
        <w:rPr>
          <w:rFonts w:ascii="Arial" w:hAnsi="Arial" w:cs="Arial"/>
          <w:i/>
          <w:sz w:val="18"/>
          <w:szCs w:val="20"/>
        </w:rPr>
        <w:t xml:space="preserve">: Mean cellular volume, </w:t>
      </w:r>
      <w:r w:rsidRPr="00F81C0F">
        <w:rPr>
          <w:rFonts w:ascii="Arial" w:hAnsi="Arial" w:cs="Arial"/>
          <w:b/>
          <w:i/>
          <w:sz w:val="18"/>
          <w:szCs w:val="20"/>
        </w:rPr>
        <w:t>MCH</w:t>
      </w:r>
      <w:r w:rsidRPr="00F81C0F">
        <w:rPr>
          <w:rFonts w:ascii="Arial" w:hAnsi="Arial" w:cs="Arial"/>
          <w:i/>
          <w:sz w:val="18"/>
          <w:szCs w:val="20"/>
        </w:rPr>
        <w:t xml:space="preserve">: Mean Cellular haemoglobin, </w:t>
      </w:r>
      <w:r w:rsidRPr="00F81C0F">
        <w:rPr>
          <w:rFonts w:ascii="Arial" w:hAnsi="Arial" w:cs="Arial"/>
          <w:b/>
          <w:i/>
          <w:sz w:val="18"/>
          <w:szCs w:val="20"/>
        </w:rPr>
        <w:t>MCHC</w:t>
      </w:r>
      <w:r w:rsidRPr="00F81C0F">
        <w:rPr>
          <w:rFonts w:ascii="Arial" w:hAnsi="Arial" w:cs="Arial"/>
          <w:i/>
          <w:sz w:val="18"/>
          <w:szCs w:val="20"/>
        </w:rPr>
        <w:t xml:space="preserve">: Mean cellular haemoglobin concentration, </w:t>
      </w:r>
      <w:r w:rsidRPr="00F81C0F">
        <w:rPr>
          <w:rFonts w:ascii="Arial" w:hAnsi="Arial" w:cs="Arial"/>
          <w:b/>
          <w:i/>
          <w:sz w:val="18"/>
          <w:szCs w:val="20"/>
        </w:rPr>
        <w:t>RDW</w:t>
      </w:r>
      <w:r w:rsidRPr="00F81C0F">
        <w:rPr>
          <w:rFonts w:ascii="Arial" w:hAnsi="Arial" w:cs="Arial"/>
          <w:i/>
          <w:sz w:val="18"/>
          <w:szCs w:val="20"/>
        </w:rPr>
        <w:t xml:space="preserve">: Red cell distribution width, </w:t>
      </w:r>
      <w:r w:rsidRPr="00F81C0F">
        <w:rPr>
          <w:rFonts w:ascii="Arial" w:hAnsi="Arial" w:cs="Arial"/>
          <w:b/>
          <w:i/>
          <w:sz w:val="18"/>
          <w:szCs w:val="20"/>
        </w:rPr>
        <w:t>PLT</w:t>
      </w:r>
      <w:r w:rsidRPr="00F81C0F">
        <w:rPr>
          <w:rFonts w:ascii="Arial" w:hAnsi="Arial" w:cs="Arial"/>
          <w:i/>
          <w:sz w:val="18"/>
          <w:szCs w:val="20"/>
        </w:rPr>
        <w:t xml:space="preserve">: Platelet, </w:t>
      </w:r>
      <w:r w:rsidRPr="00F81C0F">
        <w:rPr>
          <w:rFonts w:ascii="Arial" w:hAnsi="Arial" w:cs="Arial"/>
          <w:b/>
          <w:i/>
          <w:sz w:val="18"/>
          <w:szCs w:val="20"/>
        </w:rPr>
        <w:t>MPV</w:t>
      </w:r>
      <w:r w:rsidRPr="00F81C0F">
        <w:rPr>
          <w:rFonts w:ascii="Arial" w:hAnsi="Arial" w:cs="Arial"/>
          <w:i/>
          <w:sz w:val="18"/>
          <w:szCs w:val="20"/>
        </w:rPr>
        <w:t xml:space="preserve">: Mean platelet volume, </w:t>
      </w:r>
      <w:r w:rsidRPr="00F81C0F">
        <w:rPr>
          <w:rFonts w:ascii="Arial" w:hAnsi="Arial" w:cs="Arial"/>
          <w:b/>
          <w:i/>
          <w:sz w:val="18"/>
          <w:szCs w:val="20"/>
        </w:rPr>
        <w:t>PDW</w:t>
      </w:r>
      <w:r w:rsidRPr="00F81C0F">
        <w:rPr>
          <w:rFonts w:ascii="Arial" w:hAnsi="Arial" w:cs="Arial"/>
          <w:i/>
          <w:sz w:val="18"/>
          <w:szCs w:val="20"/>
        </w:rPr>
        <w:t xml:space="preserve">: Platelet distribution width, </w:t>
      </w:r>
      <w:r w:rsidRPr="00F81C0F">
        <w:rPr>
          <w:rFonts w:ascii="Arial" w:hAnsi="Arial" w:cs="Arial"/>
          <w:b/>
          <w:i/>
          <w:sz w:val="18"/>
          <w:szCs w:val="20"/>
        </w:rPr>
        <w:t>PCT</w:t>
      </w:r>
      <w:r w:rsidRPr="00F81C0F">
        <w:rPr>
          <w:rFonts w:ascii="Arial" w:hAnsi="Arial" w:cs="Arial"/>
          <w:i/>
          <w:sz w:val="18"/>
          <w:szCs w:val="20"/>
        </w:rPr>
        <w:t xml:space="preserve">: Plateletcrit, </w:t>
      </w:r>
      <w:r w:rsidRPr="00F81C0F">
        <w:rPr>
          <w:rFonts w:ascii="Arial" w:hAnsi="Arial" w:cs="Arial"/>
          <w:b/>
          <w:i/>
          <w:sz w:val="18"/>
          <w:szCs w:val="20"/>
        </w:rPr>
        <w:t>P-LCR</w:t>
      </w:r>
      <w:r w:rsidRPr="00F81C0F">
        <w:rPr>
          <w:rFonts w:ascii="Arial" w:hAnsi="Arial" w:cs="Arial"/>
          <w:i/>
          <w:sz w:val="18"/>
          <w:szCs w:val="20"/>
        </w:rPr>
        <w:t>: Platelet larger cell ratio.</w:t>
      </w:r>
    </w:p>
    <w:p w14:paraId="4D65B626" w14:textId="77777777" w:rsidR="00961AC6" w:rsidRPr="00F81C0F" w:rsidRDefault="00961AC6" w:rsidP="0083042F">
      <w:pPr>
        <w:tabs>
          <w:tab w:val="left" w:pos="0"/>
        </w:tabs>
        <w:spacing w:line="240" w:lineRule="auto"/>
        <w:rPr>
          <w:rFonts w:ascii="Arial" w:hAnsi="Arial" w:cs="Arial"/>
          <w:i/>
          <w:sz w:val="18"/>
          <w:szCs w:val="20"/>
        </w:rPr>
      </w:pPr>
    </w:p>
    <w:p w14:paraId="5209BA0D" w14:textId="77777777" w:rsidR="00961AC6" w:rsidRPr="00C47834" w:rsidRDefault="00961AC6" w:rsidP="0083042F">
      <w:pPr>
        <w:tabs>
          <w:tab w:val="left" w:pos="0"/>
        </w:tabs>
        <w:rPr>
          <w:rFonts w:ascii="Arial" w:hAnsi="Arial" w:cs="Arial"/>
          <w:b/>
          <w:sz w:val="20"/>
          <w:szCs w:val="20"/>
        </w:rPr>
      </w:pPr>
    </w:p>
    <w:p w14:paraId="3566B12A" w14:textId="7586837B" w:rsidR="00961AC6" w:rsidRDefault="00961AC6" w:rsidP="0083042F">
      <w:pPr>
        <w:tabs>
          <w:tab w:val="left" w:pos="0"/>
        </w:tabs>
        <w:rPr>
          <w:rFonts w:ascii="Arial" w:hAnsi="Arial" w:cs="Arial"/>
          <w:sz w:val="20"/>
          <w:szCs w:val="20"/>
        </w:rPr>
      </w:pPr>
      <w:r>
        <w:rPr>
          <w:rFonts w:ascii="Arial" w:hAnsi="Arial" w:cs="Arial"/>
          <w:sz w:val="20"/>
          <w:szCs w:val="20"/>
        </w:rPr>
        <w:br w:type="page"/>
      </w:r>
    </w:p>
    <w:p w14:paraId="102B7154" w14:textId="77777777" w:rsidR="00961AC6" w:rsidRDefault="00961AC6" w:rsidP="0083042F">
      <w:pPr>
        <w:tabs>
          <w:tab w:val="left" w:pos="0"/>
        </w:tabs>
        <w:rPr>
          <w:rFonts w:ascii="Arial" w:hAnsi="Arial" w:cs="Arial"/>
          <w:sz w:val="20"/>
          <w:szCs w:val="20"/>
        </w:rPr>
        <w:sectPr w:rsidR="00961AC6" w:rsidSect="00961AC6">
          <w:pgSz w:w="15840" w:h="12240" w:orient="landscape"/>
          <w:pgMar w:top="1710" w:right="1440" w:bottom="1440" w:left="1440" w:header="720" w:footer="720" w:gutter="0"/>
          <w:cols w:space="720"/>
          <w:docGrid w:linePitch="360"/>
        </w:sectPr>
      </w:pPr>
    </w:p>
    <w:p w14:paraId="26F88FDE" w14:textId="408A1B05" w:rsidR="00F81C0F" w:rsidRPr="007F123F" w:rsidRDefault="00F81C0F" w:rsidP="00AB1365">
      <w:pPr>
        <w:tabs>
          <w:tab w:val="left" w:pos="0"/>
        </w:tabs>
        <w:spacing w:line="480" w:lineRule="auto"/>
        <w:jc w:val="both"/>
        <w:rPr>
          <w:rFonts w:ascii="Arial" w:hAnsi="Arial" w:cs="Arial"/>
          <w:sz w:val="20"/>
          <w:szCs w:val="20"/>
        </w:rPr>
      </w:pPr>
      <w:r w:rsidRPr="007F123F">
        <w:rPr>
          <w:rFonts w:ascii="Arial" w:hAnsi="Arial" w:cs="Arial"/>
          <w:sz w:val="20"/>
          <w:szCs w:val="20"/>
        </w:rPr>
        <w:lastRenderedPageBreak/>
        <w:t xml:space="preserve">The increase in Minimum Inhibitory Dilution Number (MID#) caused by high levels of fat might indicate a potential immune response, inflammation or a disease </w:t>
      </w:r>
      <w:r w:rsidRPr="007F123F">
        <w:rPr>
          <w:rFonts w:ascii="Arial" w:hAnsi="Arial" w:cs="Arial"/>
          <w:sz w:val="20"/>
          <w:szCs w:val="20"/>
        </w:rPr>
        <w:fldChar w:fldCharType="begin" w:fldLock="1"/>
      </w:r>
      <w:r w:rsidRPr="007F123F">
        <w:rPr>
          <w:rFonts w:ascii="Arial" w:hAnsi="Arial" w:cs="Arial"/>
          <w:sz w:val="20"/>
          <w:szCs w:val="20"/>
        </w:rPr>
        <w:instrText>ADDIN CSL_CITATION {"citationItems":[{"id":"ITEM-1","itemData":{"URL":"https://www.healthtap.com/questions/1448886-what-causes-a-high-number-percentage-of-mid-cells-in-cbc-when-the-overall-wbc-is-in-the-normal-range/","accessed":{"date-parts":[["2023","7","14"]]},"author":[{"dropping-particle":"","family":"Dugan","given":"Michael","non-dropping-particle":"","parse-names":false,"suffix":""}],"container-title":"Healthtap","id":"ITEM-1","issued":{"date-parts":[["2014"]]},"title":"What causes high mid cell count with normal WBC count?","type":"webpage"},"uris":["http://www.mendeley.com/documents/?uuid=4199378b-c397-36ae-a4e0-3e8a701a3101"]}],"mendeley":{"formattedCitation":"(Dugan, 2014)","plainTextFormattedCitation":"(Dugan, 2014)","previouslyFormattedCitation":"(Dugan, 2014)"},"properties":{"noteIndex":0},"schema":"https://github.com/citation-style-language/schema/raw/master/csl-citation.json"}</w:instrText>
      </w:r>
      <w:r w:rsidRPr="007F123F">
        <w:rPr>
          <w:rFonts w:ascii="Arial" w:hAnsi="Arial" w:cs="Arial"/>
          <w:sz w:val="20"/>
          <w:szCs w:val="20"/>
        </w:rPr>
        <w:fldChar w:fldCharType="separate"/>
      </w:r>
      <w:r w:rsidRPr="007F123F">
        <w:rPr>
          <w:rFonts w:ascii="Arial" w:hAnsi="Arial" w:cs="Arial"/>
          <w:noProof/>
          <w:sz w:val="20"/>
          <w:szCs w:val="20"/>
        </w:rPr>
        <w:t>(</w:t>
      </w:r>
      <w:r w:rsidR="00AB3993">
        <w:rPr>
          <w:rFonts w:ascii="Arial" w:hAnsi="Arial" w:cs="Arial"/>
          <w:noProof/>
          <w:sz w:val="20"/>
          <w:szCs w:val="20"/>
        </w:rPr>
        <w:t>32</w:t>
      </w:r>
      <w:r w:rsidRPr="007F123F">
        <w:rPr>
          <w:rFonts w:ascii="Arial" w:hAnsi="Arial" w:cs="Arial"/>
          <w:sz w:val="20"/>
          <w:szCs w:val="20"/>
        </w:rPr>
        <w:fldChar w:fldCharType="end"/>
      </w:r>
      <w:r w:rsidR="00AB3993">
        <w:rPr>
          <w:rFonts w:ascii="Arial" w:hAnsi="Arial" w:cs="Arial"/>
          <w:sz w:val="20"/>
          <w:szCs w:val="20"/>
        </w:rPr>
        <w:t>)</w:t>
      </w:r>
      <w:r w:rsidRPr="007F123F">
        <w:rPr>
          <w:rFonts w:ascii="Arial" w:hAnsi="Arial" w:cs="Arial"/>
          <w:sz w:val="20"/>
          <w:szCs w:val="20"/>
        </w:rPr>
        <w:t xml:space="preserve">. An increase in MID# could also be attributed to the antimicrobial activity of coconut oil due to its high content of monolaurin and lauric acid of about 50% </w:t>
      </w:r>
      <w:r w:rsidRPr="007F123F">
        <w:rPr>
          <w:rFonts w:ascii="Arial" w:hAnsi="Arial" w:cs="Arial"/>
          <w:sz w:val="20"/>
          <w:szCs w:val="20"/>
        </w:rPr>
        <w:fldChar w:fldCharType="begin" w:fldLock="1"/>
      </w:r>
      <w:r w:rsidRPr="007F123F">
        <w:rPr>
          <w:rFonts w:ascii="Arial" w:hAnsi="Arial" w:cs="Arial"/>
          <w:sz w:val="20"/>
          <w:szCs w:val="20"/>
        </w:rPr>
        <w:instrText>ADDIN CSL_CITATION {"citationItems":[{"id":"ITEM-1","itemData":{"author":[{"dropping-particle":"","family":"Hewlings","given":"Susan","non-dropping-particle":"","parse-names":false,"suffix":""}],"container-title":"Journal","id":"ITEM-1","issued":{"date-parts":[["2020"]]},"title":"Coconuts and Health : Di ff erent Chain Lengths of Saturated Fats Require Di ff erent Consideration","type":"article-journal"},"uris":["http://www.mendeley.com/documents/?uuid=325bcd86-5efc-44d0-829a-ef36b69ce1c6"]}],"mendeley":{"formattedCitation":"(Hewlings, 2020)","plainTextFormattedCitation":"(Hewlings, 2020)"},"properties":{"noteIndex":0},"schema":"https://github.com/citation-style-language/schema/raw/master/csl-citation.json"}</w:instrText>
      </w:r>
      <w:r w:rsidRPr="007F123F">
        <w:rPr>
          <w:rFonts w:ascii="Arial" w:hAnsi="Arial" w:cs="Arial"/>
          <w:sz w:val="20"/>
          <w:szCs w:val="20"/>
        </w:rPr>
        <w:fldChar w:fldCharType="separate"/>
      </w:r>
      <w:r w:rsidRPr="007F123F">
        <w:rPr>
          <w:rFonts w:ascii="Arial" w:hAnsi="Arial" w:cs="Arial"/>
          <w:noProof/>
          <w:sz w:val="20"/>
          <w:szCs w:val="20"/>
        </w:rPr>
        <w:t>(</w:t>
      </w:r>
      <w:r w:rsidR="00EA6927">
        <w:rPr>
          <w:rFonts w:ascii="Arial" w:hAnsi="Arial" w:cs="Arial"/>
          <w:noProof/>
          <w:sz w:val="20"/>
          <w:szCs w:val="20"/>
        </w:rPr>
        <w:t>33</w:t>
      </w:r>
      <w:r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w:t>
      </w:r>
    </w:p>
    <w:p w14:paraId="28B3FD55" w14:textId="4925B3F8" w:rsidR="00F81C0F" w:rsidRPr="007F123F" w:rsidRDefault="00F81C0F" w:rsidP="00AB1365">
      <w:pPr>
        <w:tabs>
          <w:tab w:val="left" w:pos="0"/>
        </w:tabs>
        <w:spacing w:before="240" w:line="480" w:lineRule="auto"/>
        <w:jc w:val="both"/>
        <w:rPr>
          <w:rFonts w:ascii="Arial" w:hAnsi="Arial" w:cs="Arial"/>
          <w:sz w:val="20"/>
          <w:szCs w:val="20"/>
        </w:rPr>
      </w:pPr>
      <w:r w:rsidRPr="007F123F">
        <w:rPr>
          <w:rFonts w:ascii="Arial" w:hAnsi="Arial" w:cs="Arial"/>
          <w:sz w:val="20"/>
          <w:szCs w:val="20"/>
        </w:rPr>
        <w:fldChar w:fldCharType="begin" w:fldLock="1"/>
      </w:r>
      <w:r w:rsidRPr="007F123F">
        <w:rPr>
          <w:rFonts w:ascii="Arial" w:hAnsi="Arial" w:cs="Arial"/>
          <w:sz w:val="20"/>
          <w:szCs w:val="20"/>
        </w:rPr>
        <w:instrText>ADDIN CSL_CITATION {"citationItems":[{"id":"ITEM-1","itemData":{"DOI":"10.3109/14767058.2011.572308","ISSN":"14767058","abstract":"Objective. Data on the effect of coconut oil intake on various hematologic and metabolic parameters in pregnant women or animals are scanty. Hence we attempted to assess the effect of oral administration of graded doses of this edible oil during pregnancy, on various hematologic and metabolic parameters in rats. Methods.Groups of pregnant Sprague Dawley rats were given oral doses of 1ml, 2ml, and 4ml coconut oil twice per day, respectively. Control group of rats were given tap water. Oral feeding of oil was done continuously for a period of 20 days and at the end of the study period the animals were lightly anaesthetized with ether and sacrificed to collect blood samples for analysis. Various hematologic parameters such as red blood cell (RBC) count, white blood cell (WBC) count, hemoglobin (Hg), platelets, lymphocytes, and mean corpuscular hemoglobin concentration (MCHC) were analyzed by a hematology blood analyzer, while metabolic parameters such as cholesterol, triglycerides, urea, uric acid, creatinine, and protein were analyzed by specific analytical kits. Activities of antioxidant enzyme, superoxide dismutase (SOD), glutathione peroxidase (GPX), and total antioxidant activity (TAO) were assessed by specific analytical kits. Statistical analysis of data was performed using a SPSS data analytical package. Results.Oral administration of coconut oil for 20 continuous days of pregnancy did not significantly alter any of the hematologic parameters studied, compared to control group even when the oil was administered at a relatively massive dose of 4ml/day. Administration of coconut oil appeared to decrease WBC, Hg, platelet, and lymphocyte blood concentrations in treated rats, but the difference, however, was not statistically significant (ANOVA test; p &gt; 0.05). However, platelet concentration was significantly lower (p &lt; 0.05) in rats receiving 1ml/day of coconut oil compared to control group rats. Administration of coconut oil did not alter the concentrations of protein, cholesterol, urea, triglycerides, uric acid, and creatinine in treated groups of rats significantly (Student's t-test, p &gt; 0.05) compared to those of control rats. SOD, GPX, and TAO levels in control and treated groups were not significantly different (ANOVA test, p &gt; 0.05) than controls. Conclusions.We conclude that oral administration of coconut oil during pregnancy in rats, even in massive doses, does not cause any significant alterations in hematologic and metabolic parameters. Mo…","author":[{"dropping-particle":"","family":"Nandakumaran","given":"Moorkath","non-dropping-particle":"","parse-names":false,"suffix":""},{"dropping-particle":"","family":"Angelaki","given":"Elisaveth","non-dropping-particle":"","parse-names":false,"suffix":""},{"dropping-particle":"","family":"Al-Azemi","given":"Nasser","non-dropping-particle":"","parse-names":false,"suffix":""},{"dropping-particle":"","family":"Al-Sarraf","given":"Hameed","non-dropping-particle":"","parse-names":false,"suffix":""},{"dropping-particle":"","family":"Al-Saleh","given":"Eyad","non-dropping-particle":"","parse-names":false,"suffix":""}],"container-title":"Journal of Maternal-Fetal and Neonatal Medicine","id":"ITEM-1","issue":"10","issued":{"date-parts":[["2011"]]},"title":"Influence of coconut oil administration on some hematologic and metabolic parameters in pregnant rats","type":"article-journal","volume":"24"},"uris":["http://www.mendeley.com/documents/?uuid=301c3b15-e7ae-32d0-8ad3-bbbee88c3a15"]}],"mendeley":{"formattedCitation":"(Nandakumaran et al., 2011)","manualFormatting":"Nandakumaran et al. (2011)","plainTextFormattedCitation":"(Nandakumaran et al., 2011)","previouslyFormattedCitation":"(Nandakumaran et al., 2011)"},"properties":{"noteIndex":0},"schema":"https://github.com/citation-style-language/schema/raw/master/csl-citation.json"}</w:instrText>
      </w:r>
      <w:r w:rsidRPr="007F123F">
        <w:rPr>
          <w:rFonts w:ascii="Arial" w:hAnsi="Arial" w:cs="Arial"/>
          <w:sz w:val="20"/>
          <w:szCs w:val="20"/>
        </w:rPr>
        <w:fldChar w:fldCharType="separate"/>
      </w:r>
      <w:r w:rsidRPr="007F123F">
        <w:rPr>
          <w:rFonts w:ascii="Arial" w:hAnsi="Arial" w:cs="Arial"/>
          <w:noProof/>
          <w:sz w:val="20"/>
          <w:szCs w:val="20"/>
        </w:rPr>
        <w:t>(</w:t>
      </w:r>
      <w:r w:rsidR="00EA6927">
        <w:rPr>
          <w:rFonts w:ascii="Arial" w:hAnsi="Arial" w:cs="Arial"/>
          <w:noProof/>
          <w:sz w:val="20"/>
          <w:szCs w:val="20"/>
        </w:rPr>
        <w:t>34</w:t>
      </w:r>
      <w:r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also reported from their study that coconut oil appeared to reduce WBC, HGB, platelet, and lymphocyte blood concentrations in treated rats, although the differences were not statistically significant. Some haematological results from this study align with their findings, showing that high levels of coconut oil decreased HGB while insignificantly increasing WBC and lymphocytes. However, coconut oil notably decreased PLT and PCT levels.</w:t>
      </w:r>
    </w:p>
    <w:p w14:paraId="1C0A7CE0" w14:textId="26D7D439" w:rsidR="00F81C0F" w:rsidRPr="007F123F" w:rsidRDefault="00F81C0F" w:rsidP="00AB1365">
      <w:pPr>
        <w:tabs>
          <w:tab w:val="left" w:pos="0"/>
        </w:tabs>
        <w:spacing w:before="240" w:line="480" w:lineRule="auto"/>
        <w:jc w:val="both"/>
        <w:rPr>
          <w:rFonts w:ascii="Arial" w:hAnsi="Arial" w:cs="Arial"/>
          <w:sz w:val="20"/>
          <w:szCs w:val="20"/>
        </w:rPr>
      </w:pPr>
      <w:r w:rsidRPr="007F123F">
        <w:rPr>
          <w:rFonts w:ascii="Arial" w:hAnsi="Arial" w:cs="Arial"/>
          <w:sz w:val="20"/>
          <w:szCs w:val="20"/>
        </w:rPr>
        <w:t xml:space="preserve">High fat and high fibre levels also reduced Platelet count (PLT) and Plateletcrit (PCT) levels. This result is similar to that of  </w:t>
      </w:r>
      <w:r w:rsidRPr="007F123F">
        <w:rPr>
          <w:rFonts w:ascii="Arial" w:hAnsi="Arial" w:cs="Arial"/>
          <w:sz w:val="20"/>
          <w:szCs w:val="20"/>
        </w:rPr>
        <w:fldChar w:fldCharType="begin" w:fldLock="1"/>
      </w:r>
      <w:r w:rsidRPr="007F123F">
        <w:rPr>
          <w:rFonts w:ascii="Arial" w:hAnsi="Arial" w:cs="Arial"/>
          <w:sz w:val="20"/>
          <w:szCs w:val="20"/>
        </w:rPr>
        <w:instrText>ADDIN CSL_CITATION {"citationItems":[{"id":"ITEM-1","itemData":{"DOI":"10.51847/rbipc8oiwy","author":[{"dropping-particle":"","family":"Oghenemaro","given":"Enwa Felix","non-dropping-particle":"","parse-names":false,"suffix":""},{"dropping-particle":"","family":"Johnson","given":"Jemikalajah Daniel","non-dropping-particle":"","parse-names":false,"suffix":""},{"dropping-particle":"","family":"Collins","given":"Adjekuko","non-dropping-particle":"","parse-names":false,"suffix":""},{"dropping-particle":"","family":"Micheal","given":"Oghenejobo","non-dropping-particle":"","parse-names":false,"suffix":""},{"dropping-particle":"","family":"Aruoriwoghene","given":"Aviye Hosanna","non-dropping-particle":"","parse-names":false,"suffix":""}],"container-title":"Pharmacophore","id":"ITEM-1","issue":"5","issued":{"date-parts":[["2022","11","8"]]},"page":"8-13","publisher":"Polaris","title":"The Effect of Fresh Coconut Oil on Gastrointestinal Tract Microbiome, Heamatological /Biochemical indices of Wistar Rats","type":"article-journal","volume":"13"},"uris":["http://www.mendeley.com/documents/?uuid=dc3f3aff-87ad-334c-b0b0-080b1363df1c"]}],"mendeley":{"formattedCitation":"(Oghenemaro et al., 2022)","manualFormatting":"Oghenemaro et al. (2022)","plainTextFormattedCitation":"(Oghenemaro et al., 2022)","previouslyFormattedCitation":"(Oghenemaro et al., 2022)"},"properties":{"noteIndex":0},"schema":"https://github.com/citation-style-language/schema/raw/master/csl-citation.json"}</w:instrText>
      </w:r>
      <w:r w:rsidRPr="007F123F">
        <w:rPr>
          <w:rFonts w:ascii="Arial" w:hAnsi="Arial" w:cs="Arial"/>
          <w:sz w:val="20"/>
          <w:szCs w:val="20"/>
        </w:rPr>
        <w:fldChar w:fldCharType="separate"/>
      </w:r>
      <w:r w:rsidRPr="007F123F">
        <w:rPr>
          <w:rFonts w:ascii="Arial" w:hAnsi="Arial" w:cs="Arial"/>
          <w:noProof/>
          <w:sz w:val="20"/>
          <w:szCs w:val="20"/>
        </w:rPr>
        <w:t>(</w:t>
      </w:r>
      <w:r w:rsidR="00EA6927">
        <w:rPr>
          <w:rFonts w:ascii="Arial" w:hAnsi="Arial" w:cs="Arial"/>
          <w:noProof/>
          <w:sz w:val="20"/>
          <w:szCs w:val="20"/>
        </w:rPr>
        <w:t>35</w:t>
      </w:r>
      <w:r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and </w:t>
      </w:r>
      <w:r w:rsidRPr="007F123F">
        <w:rPr>
          <w:rFonts w:ascii="Arial" w:hAnsi="Arial" w:cs="Arial"/>
          <w:sz w:val="20"/>
          <w:szCs w:val="20"/>
        </w:rPr>
        <w:fldChar w:fldCharType="begin" w:fldLock="1"/>
      </w:r>
      <w:r w:rsidRPr="007F123F">
        <w:rPr>
          <w:rFonts w:ascii="Arial" w:hAnsi="Arial" w:cs="Arial"/>
          <w:sz w:val="20"/>
          <w:szCs w:val="20"/>
        </w:rPr>
        <w:instrText>ADDIN CSL_CITATION {"citationItems":[{"id":"ITEM-1","itemData":{"DOI":"10.3109/14767058.2011.572308","ISSN":"14767058","abstract":"Objective. Data on the effect of coconut oil intake on various hematologic and metabolic parameters in pregnant women or animals are scanty. Hence we attempted to assess the effect of oral administration of graded doses of this edible oil during pregnancy, on various hematologic and metabolic parameters in rats. Methods.Groups of pregnant Sprague Dawley rats were given oral doses of 1ml, 2ml, and 4ml coconut oil twice per day, respectively. Control group of rats were given tap water. Oral feeding of oil was done continuously for a period of 20 days and at the end of the study period the animals were lightly anaesthetized with ether and sacrificed to collect blood samples for analysis. Various hematologic parameters such as red blood cell (RBC) count, white blood cell (WBC) count, hemoglobin (Hg), platelets, lymphocytes, and mean corpuscular hemoglobin concentration (MCHC) were analyzed by a hematology blood analyzer, while metabolic parameters such as cholesterol, triglycerides, urea, uric acid, creatinine, and protein were analyzed by specific analytical kits. Activities of antioxidant enzyme, superoxide dismutase (SOD), glutathione peroxidase (GPX), and total antioxidant activity (TAO) were assessed by specific analytical kits. Statistical analysis of data was performed using a SPSS data analytical package. Results.Oral administration of coconut oil for 20 continuous days of pregnancy did not significantly alter any of the hematologic parameters studied, compared to control group even when the oil was administered at a relatively massive dose of 4ml/day. Administration of coconut oil appeared to decrease WBC, Hg, platelet, and lymphocyte blood concentrations in treated rats, but the difference, however, was not statistically significant (ANOVA test; p &gt; 0.05). However, platelet concentration was significantly lower (p &lt; 0.05) in rats receiving 1ml/day of coconut oil compared to control group rats. Administration of coconut oil did not alter the concentrations of protein, cholesterol, urea, triglycerides, uric acid, and creatinine in treated groups of rats significantly (Student's t-test, p &gt; 0.05) compared to those of control rats. SOD, GPX, and TAO levels in control and treated groups were not significantly different (ANOVA test, p &gt; 0.05) than controls. Conclusions.We conclude that oral administration of coconut oil during pregnancy in rats, even in massive doses, does not cause any significant alterations in hematologic and metabolic parameters. Mo…","author":[{"dropping-particle":"","family":"Nandakumaran","given":"Moorkath","non-dropping-particle":"","parse-names":false,"suffix":""},{"dropping-particle":"","family":"Angelaki","given":"Elisaveth","non-dropping-particle":"","parse-names":false,"suffix":""},{"dropping-particle":"","family":"Al-Azemi","given":"Nasser","non-dropping-particle":"","parse-names":false,"suffix":""},{"dropping-particle":"","family":"Al-Sarraf","given":"Hameed","non-dropping-particle":"","parse-names":false,"suffix":""},{"dropping-particle":"","family":"Al-Saleh","given":"Eyad","non-dropping-particle":"","parse-names":false,"suffix":""}],"container-title":"Journal of Maternal-Fetal and Neonatal Medicine","id":"ITEM-1","issue":"10","issued":{"date-parts":[["2011"]]},"title":"Influence of coconut oil administration on some hematologic and metabolic parameters in pregnant rats","type":"article-journal","volume":"24"},"uris":["http://www.mendeley.com/documents/?uuid=301c3b15-e7ae-32d0-8ad3-bbbee88c3a15"]}],"mendeley":{"formattedCitation":"(Nandakumaran et al., 2011)","manualFormatting":"Nandakumaran et al., (2011)","plainTextFormattedCitation":"(Nandakumaran et al., 2011)","previouslyFormattedCitation":"(Nandakumaran et al., 2011)"},"properties":{"noteIndex":0},"schema":"https://github.com/citation-style-language/schema/raw/master/csl-citation.json"}</w:instrText>
      </w:r>
      <w:r w:rsidRPr="007F123F">
        <w:rPr>
          <w:rFonts w:ascii="Arial" w:hAnsi="Arial" w:cs="Arial"/>
          <w:sz w:val="20"/>
          <w:szCs w:val="20"/>
        </w:rPr>
        <w:fldChar w:fldCharType="separate"/>
      </w:r>
      <w:r w:rsidR="00EA6927">
        <w:rPr>
          <w:rFonts w:ascii="Arial" w:hAnsi="Arial" w:cs="Arial"/>
          <w:noProof/>
          <w:sz w:val="20"/>
          <w:szCs w:val="20"/>
        </w:rPr>
        <w:t>(34</w:t>
      </w:r>
      <w:r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who observed some decrease in PLT in the blood of pregnant rats fed a variable amount of coconut oil. However, it contradicts the report of </w:t>
      </w:r>
      <w:r w:rsidRPr="007F123F">
        <w:rPr>
          <w:rFonts w:ascii="Arial" w:hAnsi="Arial" w:cs="Arial"/>
          <w:sz w:val="20"/>
          <w:szCs w:val="20"/>
        </w:rPr>
        <w:fldChar w:fldCharType="begin" w:fldLock="1"/>
      </w:r>
      <w:r w:rsidRPr="007F123F">
        <w:rPr>
          <w:rFonts w:ascii="Arial" w:hAnsi="Arial" w:cs="Arial"/>
          <w:sz w:val="20"/>
          <w:szCs w:val="20"/>
        </w:rPr>
        <w:instrText>ADDIN CSL_CITATION {"citationItems":[{"id":"ITEM-1","itemData":{"DOI":"10.51791/NJAP.V45I2.535","abstract":"This study was conducted to determine the effect of coconut oil inclusion on thesupplementary feed intake, weight gain, haematology and serum biochemistry of grazing cattle. Twenty-five (25) White Fulani cattle weighing 138±2.21 kg were randomly allotted to five treatment groups of coconut oil administration (0 g/day, 50 g/day, 100 g/day, 150 g/day and 200 g/day) in a completely randomised design. The animals were grazed for 84 days and supplemented with concentrate throughout the experimental period. Data on feed intake, weight gain and blood profile of cattle were analysed using one-way analysis of variance. Results obtained showed that coconut oil did not affect (P&gt;0.05) the supplementary concentrate intake of grazing cattle. Lower (P&lt;0.05) weight gain was observed with animals fed coconut oil at 50 g/day (9.64 kg) but increased to 17.64 kg with 150 g/day. Packed cell volume, haemoglobin and white blood cells were not affected (P&gt;0.05) by coconut oil. Thehighest (P&lt;0.05) red blood cell (6.91×10 /L) and platelet counts (67.00×10 /L) wererecorded at 150 g/day coconut oil. Total cholesterol, HDL and LDL values were increased (P&lt;0.05) with increasing levels of coconut oil. Values obtained for HDL (166.00 mg/dL to 145.15 mg/dL) and LDL (135.00 mg/dL to 88.40 mg/dL) decreased when the level of oil was increased from 150g/day to 200g/day. Administering coconut oil up to 150 g/day is recommended as it increases the body weight gain of cattle and maintain the normal PCV and haemoglobin concentration of the animals","author":[{"dropping-particle":"","family":"Adelusi","given":"O. O.","non-dropping-particle":"","parse-names":false,"suffix":""},{"dropping-particle":"","family":"Oni","given":"A. O.","non-dropping-particle":"","parse-names":false,"suffix":""},{"dropping-particle":"","family":"Aderinboye","given":"R. Y.","non-dropping-particle":"","parse-names":false,"suffix":""},{"dropping-particle":"","family":"Arigbede","given":"O. M.","non-dropping-particle":"","parse-names":false,"suffix":""},{"dropping-particle":"","family":"Onwuka","given":"C. F. I.","non-dropping-particle":"","parse-names":false,"suffix":""}],"container-title":"Nigerian Journal of Animal Production","id":"ITEM-1","issue":"2","issued":{"date-parts":[["2020","12","25"]]},"page":"316-324","publisher":"Nigerian Society for Animal Production (NSAP)","title":"Effects of coconut oil on the weight and blood status of grazing cattle fed concentrate as supplementary feed","type":"article-journal","volume":"45"},"uris":["http://www.mendeley.com/documents/?uuid=0f47431b-5caa-3111-9e76-0f708f43e3a3"]}],"mendeley":{"formattedCitation":"(Adelusi et al., 2020)","manualFormatting":"Adelusi et al. (2020)","plainTextFormattedCitation":"(Adelusi et al., 2020)","previouslyFormattedCitation":"(Adelusi et al., 2020)"},"properties":{"noteIndex":0},"schema":"https://github.com/citation-style-language/schema/raw/master/csl-citation.json"}</w:instrText>
      </w:r>
      <w:r w:rsidRPr="007F123F">
        <w:rPr>
          <w:rFonts w:ascii="Arial" w:hAnsi="Arial" w:cs="Arial"/>
          <w:sz w:val="20"/>
          <w:szCs w:val="20"/>
        </w:rPr>
        <w:fldChar w:fldCharType="separate"/>
      </w:r>
      <w:r w:rsidRPr="007F123F">
        <w:rPr>
          <w:rFonts w:ascii="Arial" w:hAnsi="Arial" w:cs="Arial"/>
          <w:noProof/>
          <w:sz w:val="20"/>
          <w:szCs w:val="20"/>
        </w:rPr>
        <w:t>(</w:t>
      </w:r>
      <w:r w:rsidR="00EA6927">
        <w:rPr>
          <w:rFonts w:ascii="Arial" w:hAnsi="Arial" w:cs="Arial"/>
          <w:noProof/>
          <w:sz w:val="20"/>
          <w:szCs w:val="20"/>
        </w:rPr>
        <w:t>17</w:t>
      </w:r>
      <w:r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who observed an increase in PLT in the blood of grazing cattle fed variable amounts of coconut oil. This reduction in PLT and PCT levels may be linked to the impact of high-fat diets on lipid metabolism and liver function. Additionally, high fibre levels decreased Mean Corpuscular Volume (MCV), potentially due to nutritional deficiencies or inflammation associated with the high-fibre diet (</w:t>
      </w:r>
      <w:r w:rsidRPr="007F123F">
        <w:rPr>
          <w:rFonts w:ascii="Arial" w:hAnsi="Arial" w:cs="Arial"/>
          <w:sz w:val="20"/>
          <w:szCs w:val="20"/>
        </w:rPr>
        <w:fldChar w:fldCharType="begin" w:fldLock="1"/>
      </w:r>
      <w:r w:rsidRPr="007F123F">
        <w:rPr>
          <w:rFonts w:ascii="Arial" w:hAnsi="Arial" w:cs="Arial"/>
          <w:sz w:val="20"/>
          <w:szCs w:val="20"/>
        </w:rPr>
        <w:instrText>ADDIN CSL_CITATION {"citationItems":[{"id":"ITEM-1","itemData":{"DOI":"10.1007/978-3-030-11488-6_7/COVER","ISSN":"22148019","PMID":"31140174","abstract":"Modern society has changed its diet composition, transitioning to a higher intake of saturated fat with a 50% increase of cardiovascular risk (CVD). Within the context of increased CVD, there is an induction of a prothrombotic phenotype mainly due to increased platelet reactivity as well as decreased platelet response to inhibitors. Platelets maintain haemostasis through both blood components and endothelial cells that secrete inhibitory or stimulatory molecules to regulate thrombus formation. There exist a correlation between platelets’ polyunsaturated fatty acid (PUFA) and the increase in platelet reactivity. The aim of this chapter is to review the metabolism of the main PUFAs involved in platelet function associated with the role that their enzyme-derived oxidized metabolites exert in platelet function and fate. Finally, how lipid metabolism in the organism affect platelet aggregation and activation and the pharmac</w:instrText>
      </w:r>
      <w:r w:rsidRPr="007F123F">
        <w:rPr>
          <w:rFonts w:ascii="Arial" w:hAnsi="Arial" w:cs="Arial"/>
          <w:sz w:val="20"/>
          <w:szCs w:val="20"/>
          <w:lang w:val="nl-NL"/>
        </w:rPr>
        <w:instrText>ological modulation of these processes will also be discussed.","author":[{"dropping-particle":"","family":"Paes","given":"Antonio Marcus de Andrade","non-dropping-particle":"","parse-names":false,"suffix":""},{"dropping-particle":"","family":"Gaspar","given":"Renato Simões","non-dropping-particle":"","parse-names":false,"suffix":""},{"dropping-particle":"","family":"Fuentes","given":"Eduardo","non-dropping-particle":"","parse-names":false,"suffix":""},{"dropping-particle":"","family":"Wehinger","given":"Sergio","non-dropping-particle":"","parse-names":false,"suffix":""},{"dropping-particle":"","family":"Palomo","given":"Iván","non-dropping-particle":"","parse-names":false,"suffix":""},{"dropping-particle":"","family":"Trostchansky","given":"Andrés","non-dropping-particle":"","parse-names":false,"suffix":""}],"container-title":"Advances in Experimental Medicine and Biology","id":"ITEM-1","issued":{"date-parts":[["2019"]]},"page":"97-115","publisher":"Springer New York LLC","title":"Lipid metabolism and signaling in platelet function","type":"article-journal","volume":"1127"},"uris":["http://www.mendeley.com/documents/?uuid=c1485de3-c008-3e6d-996a-1e91800ab5e1"]}],"mendeley":{"formattedCitation":"(Paes et al., 2019)","manualFormatting":"Paes et al. (2019)","plainTextFormattedCitation":"(Paes et al., 2019)","previouslyFormattedCitation":"(Paes et al., 2019)"},"properties":{"noteIndex":0},"schema":"https://github.com/citation-style-language/schema/raw/master/csl-citation.json"}</w:instrText>
      </w:r>
      <w:r w:rsidRPr="007F123F">
        <w:rPr>
          <w:rFonts w:ascii="Arial" w:hAnsi="Arial" w:cs="Arial"/>
          <w:sz w:val="20"/>
          <w:szCs w:val="20"/>
        </w:rPr>
        <w:fldChar w:fldCharType="separate"/>
      </w:r>
      <w:r w:rsidR="00EA6927">
        <w:rPr>
          <w:rFonts w:ascii="Arial" w:hAnsi="Arial" w:cs="Arial"/>
          <w:noProof/>
          <w:sz w:val="20"/>
          <w:szCs w:val="20"/>
          <w:lang w:val="nl-NL"/>
        </w:rPr>
        <w:t>36</w:t>
      </w:r>
      <w:r w:rsidRPr="007F123F">
        <w:rPr>
          <w:rFonts w:ascii="Arial" w:hAnsi="Arial" w:cs="Arial"/>
          <w:noProof/>
          <w:sz w:val="20"/>
          <w:szCs w:val="20"/>
          <w:lang w:val="nl-NL"/>
        </w:rPr>
        <w:t>)</w:t>
      </w:r>
      <w:r w:rsidRPr="007F123F">
        <w:rPr>
          <w:rFonts w:ascii="Arial" w:hAnsi="Arial" w:cs="Arial"/>
          <w:sz w:val="20"/>
          <w:szCs w:val="20"/>
        </w:rPr>
        <w:fldChar w:fldCharType="end"/>
      </w:r>
      <w:r w:rsidRPr="007F123F">
        <w:rPr>
          <w:rFonts w:ascii="Arial" w:hAnsi="Arial" w:cs="Arial"/>
          <w:sz w:val="20"/>
          <w:szCs w:val="20"/>
          <w:lang w:val="nl-NL"/>
        </w:rPr>
        <w:t xml:space="preserve">. </w:t>
      </w:r>
      <w:r w:rsidRPr="007F123F">
        <w:rPr>
          <w:rFonts w:ascii="Arial" w:hAnsi="Arial" w:cs="Arial"/>
          <w:sz w:val="20"/>
          <w:szCs w:val="20"/>
        </w:rPr>
        <w:fldChar w:fldCharType="begin" w:fldLock="1"/>
      </w:r>
      <w:r w:rsidRPr="007F123F">
        <w:rPr>
          <w:rFonts w:ascii="Arial" w:hAnsi="Arial" w:cs="Arial"/>
          <w:sz w:val="20"/>
          <w:szCs w:val="20"/>
          <w:lang w:val="nl-NL"/>
        </w:rPr>
        <w:instrText>ADDIN CSL_CITATION {"citationItems":[{"id":"ITEM-1","itemData":{"DOI":"10.1136/bmj.k2179","ISSN":"17561833","PMID":"29899036","abstract":"Ana M Valdes and colleagues discuss strategies for modulating the gut microbiota through diet and probiotics","author":[{"dropping-particle":"","family":"Valdes","given":"Ana M.","non-dropping-particle":"","parse-names":false,"suffix":""},{"dropping-particle":"","family":"Walter","given":"Jens","non-dropping-particle":"","parse-names":false,"suffix":""},{"dropping-particle":"","family":"Segal","given":"Eran","non-dropping-particle":"","parse-names":false,"suffix":""},{"dropping-particle":"","family":"Spector","given":"Tim D.","non-dropping-particle":"","parse-names":false,"suffix":""}],"container-title":"BMJ (Online)","id":"ITEM-1","issued":{"date-parts":[["2018"]]},"page":"36-44","title":"Role of the gut microbiota in nutrition and health","type":"article-journal","volume":"361"},"uris":["http://www.mendeley.com/documents/?uuid=044995e4-ca9f-43f6-8652-af09cf5bd9c8"]},{"id":"ITEM-2","itemData":{"DOI":"10.1016/J.CELL.2021.06.019","ISSN":"1097-4172","PMID":"34256014","abstract":"Diet modulates the gut microbiome, which in turn can impact the immune system. Here, we determined how two microbiota-targeted dietary interventions, plant-based fiber and fermented foods, influence the human microbiome and immune system in healthy adults. Using a 17-week randomized, prospective study (n = 18/arm) combined with -omics measurements of microbiome and host, including extensive immune profiling, we found diet-specific effects. The high-fiber diet increased microbiome-encoded glycan-degrading carbohydrate active enzymes (CAZymes) despite stable microbial community diversity. Although cytokine response score (primary outcome) was unchanged, three distinct immunological trajectories in high-fiber consumers corresponded to baseline microbiota diversity. Alternatively, the high-fermented-food diet steadily increased microbiota diversity and decreased inflammatory markers. The data highlight how coupling dietary interventions to deep and longitudinal immune and microbiome profiling can provide individualized and population-wide insight. Fermented foods may be valuable in countering the decreased microbiome diversity and increased inflammation pervasive in industrialized society.","author":[{"dropping-particle":"","family":"Wastyk","given":"Hannah C.","non-dropping-particle":"","parse-names":false,"suffix":""},{"dropping-particle":"","family":"Fragiadakis","given":"Gabriela K.","non-dropping-particle":"","parse-names":false,"suffix":""},{"dropping-particle":"","family":"Perelman","given":"Dalia","non-dropping-particle":"","parse-names":false,"suffix":""},{"dropping-particle":"","family":"Dahan","given":"Dylan","non-dropping-particle":"","parse-names":false,"suffix":""},{"dropping-particle":"","family":"Merrill","given":"Bryan D.","non-dropping-particle":"","parse-names":false,"suffix":""},{"dropping-particle":"","family":"Yu","given":"Feiqiao B.","non-dropping-particle":"","parse-names":false,"suffix":""},{"dropping-particle":"","family":"Topf","given":"Madeline","non-dropping-particle":"","parse-names":false,"suffix":""},{"dropping-particle":"","family":"Gonzalez","given":"Carlos G.","non-dropping-particle":"","parse-names":false,"suffix":""},{"dropping-particle":"","family":"Treuren","given":"William","non-dropping-particle":"Van","parse-names":false,"suffix":""},{"dropping-particle":"","family":"Han","given":"Shuo","non-dropping-particle":"","parse-names":false,"suffix":""},{"dropping-particle":"","family":"Robinson","given":"Jennifer L.","non-dropping-particle":"","parse-names":false,"suffix":""},{"dropping-particle":"","family":"Elias","given":"Joshua E.","non-dropping-particle":"","parse-names":false,"suffix":""},{"dropping-particle":"","family":"Sonnenburg","given":"Erica D.","non-dropping-particle":"","parse-names":false,"suffix":""},{"dropping-particle":"","family":"Gardner","given":"Christopher D.","non-dropping-particle":"","parse-names":false,"suffix":""},{"dropping-particle":"","family":"Sonnenburg","given":"Justin L.","non-dropping-particle":"","parse-names":false,"suffix":""}],"container-title":"Cell","id":"ITEM-2","issue":"16","issued":{"date-parts":[["2021","8","5"]]},"page":"4137-4153.e14","publisher":"Cell","title":"Gut-microbiota-targeted diets modulate human immune status","type":"article-journal","volume":"184"},"uris":["http://www.mendeley.com/documents/?uuid=f882503b-ce7a-3f5e-a1b6-93b366a2262f"]}],"mendeley":{"formattedCitation":"(Valdes et al., 2018; Wastyk et al., 2021)","manualFormatting":" Wastyk et al., (2021)","plainTextFormattedCitation":"(Valdes et al., 2018; Wastyk et al., 2021)","previouslyFormattedCitation":"(Valdes et al., 2018; Wastyk et al., 2021)"},"properties":{"noteIndex":0},"schema":"https://github.com/citation-style-language/schema/raw/master/csl-citation.json"}</w:instrText>
      </w:r>
      <w:r w:rsidRPr="007F123F">
        <w:rPr>
          <w:rFonts w:ascii="Arial" w:hAnsi="Arial" w:cs="Arial"/>
          <w:sz w:val="20"/>
          <w:szCs w:val="20"/>
        </w:rPr>
        <w:fldChar w:fldCharType="separate"/>
      </w:r>
      <w:r w:rsidRPr="007F123F">
        <w:rPr>
          <w:rFonts w:ascii="Arial" w:hAnsi="Arial" w:cs="Arial"/>
          <w:noProof/>
          <w:sz w:val="20"/>
          <w:szCs w:val="20"/>
          <w:lang w:val="nl-NL"/>
        </w:rPr>
        <w:t xml:space="preserve"> (</w:t>
      </w:r>
      <w:r w:rsidR="00EA6927">
        <w:rPr>
          <w:rFonts w:ascii="Arial" w:hAnsi="Arial" w:cs="Arial"/>
          <w:noProof/>
          <w:sz w:val="20"/>
          <w:szCs w:val="20"/>
          <w:lang w:val="nl-NL"/>
        </w:rPr>
        <w:t>37</w:t>
      </w:r>
      <w:r w:rsidRPr="007F123F">
        <w:rPr>
          <w:rFonts w:ascii="Arial" w:hAnsi="Arial" w:cs="Arial"/>
          <w:noProof/>
          <w:sz w:val="20"/>
          <w:szCs w:val="20"/>
          <w:lang w:val="nl-NL"/>
        </w:rPr>
        <w:t>)</w:t>
      </w:r>
      <w:r w:rsidRPr="007F123F">
        <w:rPr>
          <w:rFonts w:ascii="Arial" w:hAnsi="Arial" w:cs="Arial"/>
          <w:sz w:val="20"/>
          <w:szCs w:val="20"/>
        </w:rPr>
        <w:fldChar w:fldCharType="end"/>
      </w:r>
      <w:r w:rsidRPr="007F123F">
        <w:rPr>
          <w:rFonts w:ascii="Arial" w:hAnsi="Arial" w:cs="Arial"/>
          <w:sz w:val="20"/>
          <w:szCs w:val="20"/>
          <w:lang w:val="nl-NL"/>
        </w:rPr>
        <w:t xml:space="preserve"> reported that improved gut microbiota can modulate immune response and platelet function. </w:t>
      </w:r>
      <w:r w:rsidRPr="007F123F">
        <w:rPr>
          <w:rFonts w:ascii="Arial" w:hAnsi="Arial" w:cs="Arial"/>
          <w:sz w:val="20"/>
          <w:szCs w:val="20"/>
        </w:rPr>
        <w:t>Since high fibre improved gut microbiota, it could have also affected the immune status and platelet function by decreasing PCT and PLT as observed in this study.</w:t>
      </w:r>
    </w:p>
    <w:p w14:paraId="59654C6E" w14:textId="77777777" w:rsidR="00F81C0F" w:rsidRDefault="00F81C0F" w:rsidP="00AB1365">
      <w:pPr>
        <w:tabs>
          <w:tab w:val="left" w:pos="0"/>
        </w:tabs>
        <w:spacing w:before="240" w:line="480" w:lineRule="auto"/>
        <w:jc w:val="both"/>
        <w:rPr>
          <w:rFonts w:ascii="Arial" w:hAnsi="Arial" w:cs="Arial"/>
          <w:sz w:val="20"/>
          <w:szCs w:val="20"/>
        </w:rPr>
      </w:pPr>
      <w:r w:rsidRPr="007F123F">
        <w:rPr>
          <w:rFonts w:ascii="Arial" w:hAnsi="Arial" w:cs="Arial"/>
          <w:sz w:val="20"/>
          <w:szCs w:val="20"/>
        </w:rPr>
        <w:t xml:space="preserve">The fat x fibre interaction on PLT and PCT levels further confirmed a reduction when both fat and fibre levels were high, suggesting a combined effect on platelet function. The results from the haematological analysis suggest that while dietary fat and fibre levels may influence certain haematological parameters their effects on other parameters and the hematopoietic process of Albino rats were not significant. The minimal effect of the dietary fat and fibre on the haematological parameters suggests that the levels used may not have a substantial impact on the hematopoietic process of the Albino rats during the study period. </w:t>
      </w:r>
    </w:p>
    <w:p w14:paraId="75AE2E0D" w14:textId="08B71EDF" w:rsidR="000D34CA" w:rsidRPr="007F123F" w:rsidRDefault="00EB3CC2" w:rsidP="000D18E6">
      <w:pPr>
        <w:pStyle w:val="Heading2"/>
      </w:pPr>
      <w:r>
        <w:lastRenderedPageBreak/>
        <w:t>3.</w:t>
      </w:r>
      <w:r w:rsidR="00B702FE">
        <w:t>6</w:t>
      </w:r>
      <w:r>
        <w:t xml:space="preserve"> </w:t>
      </w:r>
      <w:r w:rsidR="000D34CA" w:rsidRPr="007F123F">
        <w:t>Biochemical Analysis</w:t>
      </w:r>
      <w:bookmarkEnd w:id="23"/>
      <w:r w:rsidR="000D34CA" w:rsidRPr="007F123F">
        <w:t xml:space="preserve">  </w:t>
      </w:r>
    </w:p>
    <w:p w14:paraId="3629990B" w14:textId="353EB69F" w:rsidR="000D34CA" w:rsidRPr="007F123F" w:rsidRDefault="00B702FE" w:rsidP="004162EE">
      <w:pPr>
        <w:pStyle w:val="Heading3"/>
      </w:pPr>
      <w:r>
        <w:t xml:space="preserve">3.6.1 </w:t>
      </w:r>
      <w:r w:rsidR="000D34CA" w:rsidRPr="007F123F">
        <w:t>Lipid profile</w:t>
      </w:r>
    </w:p>
    <w:p w14:paraId="42CDB4B4" w14:textId="77777777" w:rsidR="00A162D3" w:rsidRDefault="00022DD3" w:rsidP="00AB1365">
      <w:pPr>
        <w:tabs>
          <w:tab w:val="left" w:pos="0"/>
        </w:tabs>
        <w:spacing w:before="240" w:line="480" w:lineRule="auto"/>
        <w:jc w:val="both"/>
        <w:rPr>
          <w:rFonts w:ascii="Arial" w:hAnsi="Arial" w:cs="Arial"/>
          <w:sz w:val="20"/>
          <w:szCs w:val="20"/>
        </w:rPr>
      </w:pPr>
      <w:r>
        <w:rPr>
          <w:rFonts w:ascii="Arial" w:hAnsi="Arial" w:cs="Arial"/>
          <w:sz w:val="20"/>
          <w:szCs w:val="20"/>
        </w:rPr>
        <w:t>As shown in Table 7, high fat as a main effect decreased the levels of TGA and VLDL compared to low fat. Fibre as a main effect did not affect (</w:t>
      </w:r>
      <w:r w:rsidRPr="00022DD3">
        <w:rPr>
          <w:rFonts w:ascii="Arial" w:hAnsi="Arial" w:cs="Arial"/>
          <w:i/>
          <w:sz w:val="20"/>
          <w:szCs w:val="20"/>
        </w:rPr>
        <w:t>P</w:t>
      </w:r>
      <w:r>
        <w:rPr>
          <w:rFonts w:ascii="Arial" w:hAnsi="Arial" w:cs="Arial"/>
          <w:i/>
          <w:sz w:val="20"/>
          <w:szCs w:val="20"/>
        </w:rPr>
        <w:t xml:space="preserve"> </w:t>
      </w:r>
      <w:r>
        <w:rPr>
          <w:rFonts w:ascii="Arial" w:hAnsi="Arial" w:cs="Arial"/>
          <w:sz w:val="20"/>
          <w:szCs w:val="20"/>
        </w:rPr>
        <w:t xml:space="preserve">&gt; .05) any of the parameters captured in the lipid profile. An interaction between fat and fibre was observed for LDL, TGA, VLDL and </w:t>
      </w:r>
      <w:commentRangeStart w:id="24"/>
      <w:r>
        <w:rPr>
          <w:rFonts w:ascii="Arial" w:hAnsi="Arial" w:cs="Arial"/>
          <w:sz w:val="20"/>
          <w:szCs w:val="20"/>
        </w:rPr>
        <w:t>Coronary</w:t>
      </w:r>
      <w:commentRangeEnd w:id="24"/>
      <w:r w:rsidR="00DA2F8B">
        <w:rPr>
          <w:rStyle w:val="CommentReference"/>
        </w:rPr>
        <w:commentReference w:id="24"/>
      </w:r>
      <w:r>
        <w:rPr>
          <w:rFonts w:ascii="Arial" w:hAnsi="Arial" w:cs="Arial"/>
          <w:sz w:val="20"/>
          <w:szCs w:val="20"/>
        </w:rPr>
        <w:t xml:space="preserve"> risk (Table 7).</w:t>
      </w:r>
    </w:p>
    <w:p w14:paraId="6B8F753C" w14:textId="77777777" w:rsidR="00AB1365" w:rsidRDefault="00AB1365" w:rsidP="00AB1365">
      <w:pPr>
        <w:tabs>
          <w:tab w:val="left" w:pos="0"/>
        </w:tabs>
        <w:spacing w:after="0" w:line="480" w:lineRule="auto"/>
        <w:ind w:left="-567"/>
        <w:jc w:val="both"/>
        <w:rPr>
          <w:rFonts w:ascii="Arial" w:hAnsi="Arial" w:cs="Arial"/>
          <w:b/>
          <w:sz w:val="20"/>
          <w:szCs w:val="20"/>
        </w:rPr>
      </w:pPr>
      <w:r>
        <w:rPr>
          <w:rFonts w:ascii="Arial" w:hAnsi="Arial" w:cs="Arial"/>
          <w:b/>
          <w:sz w:val="20"/>
          <w:szCs w:val="20"/>
        </w:rPr>
        <w:tab/>
      </w:r>
      <w:r w:rsidR="00A162D3" w:rsidRPr="00E67845">
        <w:rPr>
          <w:rFonts w:ascii="Arial" w:hAnsi="Arial" w:cs="Arial"/>
          <w:b/>
          <w:sz w:val="20"/>
          <w:szCs w:val="20"/>
        </w:rPr>
        <w:t xml:space="preserve">Table </w:t>
      </w:r>
      <w:r w:rsidR="0091112C">
        <w:rPr>
          <w:rFonts w:ascii="Arial" w:hAnsi="Arial" w:cs="Arial"/>
          <w:b/>
          <w:sz w:val="20"/>
          <w:szCs w:val="20"/>
        </w:rPr>
        <w:t>7</w:t>
      </w:r>
      <w:r>
        <w:rPr>
          <w:rFonts w:ascii="Arial" w:hAnsi="Arial" w:cs="Arial"/>
          <w:b/>
          <w:sz w:val="20"/>
          <w:szCs w:val="20"/>
        </w:rPr>
        <w:t>.</w:t>
      </w:r>
      <w:r w:rsidR="00A162D3" w:rsidRPr="00E67845">
        <w:rPr>
          <w:rFonts w:ascii="Arial" w:hAnsi="Arial" w:cs="Arial"/>
          <w:b/>
          <w:sz w:val="20"/>
          <w:szCs w:val="20"/>
        </w:rPr>
        <w:t>Effects of two dietary fat and fibre levels on the Lipid profile (mmol/L) of Albino rats</w:t>
      </w:r>
      <w:r w:rsidR="00A162D3" w:rsidRPr="00E67845">
        <w:rPr>
          <w:rFonts w:ascii="Arial" w:hAnsi="Arial" w:cs="Arial"/>
          <w:b/>
          <w:sz w:val="20"/>
          <w:szCs w:val="20"/>
          <w:vertAlign w:val="superscript"/>
        </w:rPr>
        <w:t xml:space="preserve"> </w:t>
      </w:r>
      <w:r w:rsidR="00A162D3" w:rsidRPr="00E67845">
        <w:rPr>
          <w:rFonts w:ascii="Arial" w:hAnsi="Arial" w:cs="Arial"/>
          <w:b/>
          <w:sz w:val="20"/>
          <w:szCs w:val="20"/>
        </w:rPr>
        <w:t xml:space="preserve">at </w:t>
      </w:r>
      <w:r w:rsidRPr="00E67845">
        <w:rPr>
          <w:rFonts w:ascii="Arial" w:hAnsi="Arial" w:cs="Arial"/>
          <w:b/>
          <w:sz w:val="20"/>
          <w:szCs w:val="20"/>
        </w:rPr>
        <w:t xml:space="preserve">d </w:t>
      </w:r>
      <w:r>
        <w:rPr>
          <w:rFonts w:ascii="Arial" w:hAnsi="Arial" w:cs="Arial"/>
          <w:b/>
          <w:sz w:val="20"/>
          <w:szCs w:val="20"/>
        </w:rPr>
        <w:t xml:space="preserve">              </w:t>
      </w:r>
    </w:p>
    <w:p w14:paraId="695B7DCD" w14:textId="0F445026" w:rsidR="00A162D3" w:rsidRPr="00AB1365" w:rsidRDefault="00AB1365" w:rsidP="00AB1365">
      <w:pPr>
        <w:tabs>
          <w:tab w:val="left" w:pos="0"/>
        </w:tabs>
        <w:spacing w:after="0" w:line="480" w:lineRule="auto"/>
        <w:ind w:left="-567"/>
        <w:jc w:val="both"/>
        <w:rPr>
          <w:rFonts w:ascii="Arial" w:hAnsi="Arial" w:cs="Arial"/>
          <w:b/>
          <w:sz w:val="20"/>
          <w:szCs w:val="20"/>
        </w:rPr>
      </w:pPr>
      <w:r>
        <w:rPr>
          <w:rFonts w:ascii="Arial" w:hAnsi="Arial" w:cs="Arial"/>
          <w:b/>
          <w:sz w:val="20"/>
          <w:szCs w:val="20"/>
        </w:rPr>
        <w:tab/>
      </w:r>
      <w:r>
        <w:rPr>
          <w:rFonts w:ascii="Arial" w:hAnsi="Arial" w:cs="Arial"/>
          <w:b/>
          <w:sz w:val="20"/>
          <w:szCs w:val="20"/>
        </w:rPr>
        <w:tab/>
        <w:t>56</w:t>
      </w:r>
      <w:r w:rsidR="00A162D3" w:rsidRPr="00E67845">
        <w:rPr>
          <w:rFonts w:ascii="Arial" w:hAnsi="Arial" w:cs="Arial"/>
          <w:b/>
          <w:sz w:val="20"/>
          <w:szCs w:val="20"/>
        </w:rPr>
        <w:t>.</w:t>
      </w:r>
    </w:p>
    <w:tbl>
      <w:tblPr>
        <w:tblStyle w:val="TableGrid"/>
        <w:tblW w:w="9000" w:type="dxa"/>
        <w:tblInd w:w="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270"/>
        <w:gridCol w:w="630"/>
        <w:gridCol w:w="720"/>
        <w:gridCol w:w="1350"/>
        <w:gridCol w:w="720"/>
        <w:gridCol w:w="990"/>
        <w:gridCol w:w="900"/>
        <w:gridCol w:w="896"/>
        <w:gridCol w:w="1174"/>
      </w:tblGrid>
      <w:tr w:rsidR="00AB1365" w:rsidRPr="00E67845" w14:paraId="2D7E7172" w14:textId="77777777" w:rsidTr="00AB1365">
        <w:trPr>
          <w:trHeight w:val="125"/>
        </w:trPr>
        <w:tc>
          <w:tcPr>
            <w:tcW w:w="1350" w:type="dxa"/>
            <w:tcBorders>
              <w:top w:val="single" w:sz="4" w:space="0" w:color="auto"/>
              <w:bottom w:val="nil"/>
            </w:tcBorders>
          </w:tcPr>
          <w:p w14:paraId="75F60460" w14:textId="77777777" w:rsidR="00AB1365" w:rsidRPr="00E67845" w:rsidRDefault="00AB1365" w:rsidP="0083042F">
            <w:pPr>
              <w:tabs>
                <w:tab w:val="left" w:pos="0"/>
              </w:tabs>
              <w:spacing w:line="276" w:lineRule="auto"/>
              <w:rPr>
                <w:rFonts w:ascii="Arial" w:hAnsi="Arial" w:cs="Arial"/>
                <w:b/>
                <w:sz w:val="20"/>
                <w:szCs w:val="20"/>
              </w:rPr>
            </w:pPr>
            <w:r w:rsidRPr="00E67845">
              <w:rPr>
                <w:rFonts w:ascii="Arial" w:hAnsi="Arial" w:cs="Arial"/>
                <w:b/>
                <w:sz w:val="20"/>
                <w:szCs w:val="20"/>
              </w:rPr>
              <w:t>Effects</w:t>
            </w:r>
          </w:p>
        </w:tc>
        <w:tc>
          <w:tcPr>
            <w:tcW w:w="270" w:type="dxa"/>
            <w:tcBorders>
              <w:top w:val="single" w:sz="4" w:space="0" w:color="auto"/>
              <w:bottom w:val="nil"/>
            </w:tcBorders>
          </w:tcPr>
          <w:p w14:paraId="51E39118" w14:textId="77777777" w:rsidR="00AB1365" w:rsidRPr="00E67845" w:rsidRDefault="00AB1365" w:rsidP="0083042F">
            <w:pPr>
              <w:tabs>
                <w:tab w:val="left" w:pos="0"/>
              </w:tabs>
              <w:spacing w:line="276" w:lineRule="auto"/>
              <w:rPr>
                <w:rFonts w:ascii="Arial" w:hAnsi="Arial" w:cs="Arial"/>
                <w:b/>
                <w:sz w:val="20"/>
                <w:szCs w:val="20"/>
              </w:rPr>
            </w:pPr>
          </w:p>
        </w:tc>
        <w:tc>
          <w:tcPr>
            <w:tcW w:w="630" w:type="dxa"/>
            <w:tcBorders>
              <w:top w:val="single" w:sz="4" w:space="0" w:color="auto"/>
              <w:bottom w:val="nil"/>
            </w:tcBorders>
          </w:tcPr>
          <w:p w14:paraId="7A12CE15" w14:textId="5CFC30A8"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b/>
                <w:sz w:val="20"/>
                <w:szCs w:val="20"/>
              </w:rPr>
              <w:t>Fat</w:t>
            </w:r>
          </w:p>
        </w:tc>
        <w:tc>
          <w:tcPr>
            <w:tcW w:w="720" w:type="dxa"/>
            <w:tcBorders>
              <w:top w:val="single" w:sz="4" w:space="0" w:color="auto"/>
              <w:bottom w:val="nil"/>
            </w:tcBorders>
          </w:tcPr>
          <w:p w14:paraId="3E78FB88"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b/>
                <w:sz w:val="20"/>
                <w:szCs w:val="20"/>
              </w:rPr>
              <w:t>Fibre</w:t>
            </w:r>
          </w:p>
        </w:tc>
        <w:tc>
          <w:tcPr>
            <w:tcW w:w="1350" w:type="dxa"/>
            <w:tcBorders>
              <w:top w:val="single" w:sz="4" w:space="0" w:color="auto"/>
              <w:bottom w:val="nil"/>
            </w:tcBorders>
            <w:vAlign w:val="bottom"/>
          </w:tcPr>
          <w:p w14:paraId="42566CA5" w14:textId="6A163FD6" w:rsidR="00AB1365" w:rsidRPr="00E67845" w:rsidRDefault="00AB1365" w:rsidP="0083042F">
            <w:pPr>
              <w:tabs>
                <w:tab w:val="left" w:pos="0"/>
              </w:tabs>
              <w:spacing w:line="276" w:lineRule="auto"/>
              <w:rPr>
                <w:rFonts w:ascii="Arial" w:hAnsi="Arial" w:cs="Arial"/>
                <w:b/>
                <w:bCs/>
                <w:sz w:val="20"/>
                <w:szCs w:val="20"/>
              </w:rPr>
            </w:pPr>
            <w:r>
              <w:rPr>
                <w:rFonts w:ascii="Arial" w:hAnsi="Arial" w:cs="Arial"/>
                <w:b/>
                <w:bCs/>
                <w:sz w:val="20"/>
                <w:szCs w:val="20"/>
              </w:rPr>
              <w:t>Total</w:t>
            </w:r>
          </w:p>
          <w:p w14:paraId="0892C06D" w14:textId="77777777" w:rsidR="00AB1365" w:rsidRPr="00E67845" w:rsidRDefault="00AB1365" w:rsidP="0083042F">
            <w:pPr>
              <w:tabs>
                <w:tab w:val="left" w:pos="0"/>
              </w:tabs>
              <w:spacing w:line="276" w:lineRule="auto"/>
              <w:rPr>
                <w:rFonts w:ascii="Arial" w:hAnsi="Arial" w:cs="Arial"/>
                <w:b/>
                <w:bCs/>
                <w:sz w:val="20"/>
                <w:szCs w:val="20"/>
              </w:rPr>
            </w:pPr>
            <w:r w:rsidRPr="00E67845">
              <w:rPr>
                <w:rFonts w:ascii="Arial" w:hAnsi="Arial" w:cs="Arial"/>
                <w:b/>
                <w:bCs/>
                <w:sz w:val="20"/>
                <w:szCs w:val="20"/>
              </w:rPr>
              <w:t>Cholesterol</w:t>
            </w:r>
          </w:p>
        </w:tc>
        <w:tc>
          <w:tcPr>
            <w:tcW w:w="720" w:type="dxa"/>
            <w:tcBorders>
              <w:top w:val="single" w:sz="4" w:space="0" w:color="auto"/>
              <w:bottom w:val="nil"/>
            </w:tcBorders>
            <w:vAlign w:val="bottom"/>
          </w:tcPr>
          <w:p w14:paraId="00ECB7D8" w14:textId="77777777" w:rsidR="00AB1365" w:rsidRPr="00E67845" w:rsidRDefault="00AB1365" w:rsidP="0083042F">
            <w:pPr>
              <w:tabs>
                <w:tab w:val="left" w:pos="0"/>
              </w:tabs>
              <w:spacing w:line="276" w:lineRule="auto"/>
              <w:rPr>
                <w:rFonts w:ascii="Arial" w:hAnsi="Arial" w:cs="Arial"/>
                <w:b/>
                <w:bCs/>
                <w:sz w:val="20"/>
                <w:szCs w:val="20"/>
              </w:rPr>
            </w:pPr>
            <w:r w:rsidRPr="00E67845">
              <w:rPr>
                <w:rFonts w:ascii="Arial" w:hAnsi="Arial" w:cs="Arial"/>
                <w:b/>
                <w:bCs/>
                <w:sz w:val="20"/>
                <w:szCs w:val="20"/>
              </w:rPr>
              <w:t>HDL</w:t>
            </w:r>
          </w:p>
        </w:tc>
        <w:tc>
          <w:tcPr>
            <w:tcW w:w="990" w:type="dxa"/>
            <w:tcBorders>
              <w:top w:val="single" w:sz="4" w:space="0" w:color="auto"/>
              <w:bottom w:val="nil"/>
            </w:tcBorders>
            <w:vAlign w:val="bottom"/>
          </w:tcPr>
          <w:p w14:paraId="14558D52" w14:textId="77777777" w:rsidR="00AB1365" w:rsidRPr="00E67845" w:rsidRDefault="00AB1365" w:rsidP="0083042F">
            <w:pPr>
              <w:tabs>
                <w:tab w:val="left" w:pos="0"/>
              </w:tabs>
              <w:spacing w:line="276" w:lineRule="auto"/>
              <w:rPr>
                <w:rFonts w:ascii="Arial" w:hAnsi="Arial" w:cs="Arial"/>
                <w:b/>
                <w:bCs/>
                <w:sz w:val="20"/>
                <w:szCs w:val="20"/>
              </w:rPr>
            </w:pPr>
            <w:r w:rsidRPr="00E67845">
              <w:rPr>
                <w:rFonts w:ascii="Arial" w:hAnsi="Arial" w:cs="Arial"/>
                <w:b/>
                <w:bCs/>
                <w:sz w:val="20"/>
                <w:szCs w:val="20"/>
              </w:rPr>
              <w:t>LDL</w:t>
            </w:r>
          </w:p>
        </w:tc>
        <w:tc>
          <w:tcPr>
            <w:tcW w:w="900" w:type="dxa"/>
            <w:tcBorders>
              <w:top w:val="single" w:sz="4" w:space="0" w:color="auto"/>
              <w:bottom w:val="nil"/>
            </w:tcBorders>
            <w:vAlign w:val="bottom"/>
          </w:tcPr>
          <w:p w14:paraId="311B50F1" w14:textId="77777777" w:rsidR="00AB1365" w:rsidRPr="00E67845" w:rsidRDefault="00AB1365" w:rsidP="0083042F">
            <w:pPr>
              <w:tabs>
                <w:tab w:val="left" w:pos="0"/>
              </w:tabs>
              <w:spacing w:line="276" w:lineRule="auto"/>
              <w:rPr>
                <w:rFonts w:ascii="Arial" w:hAnsi="Arial" w:cs="Arial"/>
                <w:b/>
                <w:bCs/>
                <w:sz w:val="20"/>
                <w:szCs w:val="20"/>
              </w:rPr>
            </w:pPr>
            <w:r w:rsidRPr="00E67845">
              <w:rPr>
                <w:rFonts w:ascii="Arial" w:hAnsi="Arial" w:cs="Arial"/>
                <w:b/>
                <w:bCs/>
                <w:sz w:val="20"/>
                <w:szCs w:val="20"/>
              </w:rPr>
              <w:t>TGA</w:t>
            </w:r>
          </w:p>
        </w:tc>
        <w:tc>
          <w:tcPr>
            <w:tcW w:w="896" w:type="dxa"/>
            <w:tcBorders>
              <w:top w:val="single" w:sz="4" w:space="0" w:color="auto"/>
              <w:bottom w:val="nil"/>
            </w:tcBorders>
            <w:vAlign w:val="bottom"/>
          </w:tcPr>
          <w:p w14:paraId="7FFCFDD5" w14:textId="77777777" w:rsidR="00AB1365" w:rsidRPr="00E67845" w:rsidRDefault="00AB1365" w:rsidP="0083042F">
            <w:pPr>
              <w:tabs>
                <w:tab w:val="left" w:pos="0"/>
              </w:tabs>
              <w:spacing w:line="276" w:lineRule="auto"/>
              <w:rPr>
                <w:rFonts w:ascii="Arial" w:hAnsi="Arial" w:cs="Arial"/>
                <w:b/>
                <w:bCs/>
                <w:sz w:val="20"/>
                <w:szCs w:val="20"/>
              </w:rPr>
            </w:pPr>
            <w:r w:rsidRPr="00E67845">
              <w:rPr>
                <w:rFonts w:ascii="Arial" w:hAnsi="Arial" w:cs="Arial"/>
                <w:b/>
                <w:bCs/>
                <w:sz w:val="20"/>
                <w:szCs w:val="20"/>
              </w:rPr>
              <w:t>VLDL</w:t>
            </w:r>
          </w:p>
        </w:tc>
        <w:tc>
          <w:tcPr>
            <w:tcW w:w="1174" w:type="dxa"/>
            <w:tcBorders>
              <w:top w:val="single" w:sz="4" w:space="0" w:color="auto"/>
              <w:bottom w:val="nil"/>
            </w:tcBorders>
            <w:vAlign w:val="bottom"/>
          </w:tcPr>
          <w:p w14:paraId="27A2D97E" w14:textId="77777777" w:rsidR="00AB1365" w:rsidRPr="00E67845" w:rsidRDefault="00AB1365" w:rsidP="0083042F">
            <w:pPr>
              <w:tabs>
                <w:tab w:val="left" w:pos="0"/>
              </w:tabs>
              <w:spacing w:line="276" w:lineRule="auto"/>
              <w:rPr>
                <w:rFonts w:ascii="Arial" w:hAnsi="Arial" w:cs="Arial"/>
                <w:b/>
                <w:bCs/>
                <w:sz w:val="20"/>
                <w:szCs w:val="20"/>
              </w:rPr>
            </w:pPr>
            <w:r w:rsidRPr="00E67845">
              <w:rPr>
                <w:rFonts w:ascii="Arial" w:hAnsi="Arial" w:cs="Arial"/>
                <w:b/>
                <w:bCs/>
                <w:sz w:val="20"/>
                <w:szCs w:val="20"/>
              </w:rPr>
              <w:t>Coronary risks</w:t>
            </w:r>
          </w:p>
        </w:tc>
      </w:tr>
      <w:tr w:rsidR="00AB1365" w:rsidRPr="00E67845" w14:paraId="10E54FE2" w14:textId="77777777" w:rsidTr="00AB1365">
        <w:trPr>
          <w:trHeight w:val="394"/>
        </w:trPr>
        <w:tc>
          <w:tcPr>
            <w:tcW w:w="1350" w:type="dxa"/>
            <w:tcBorders>
              <w:top w:val="single" w:sz="4" w:space="0" w:color="auto"/>
            </w:tcBorders>
          </w:tcPr>
          <w:p w14:paraId="66D2DE81" w14:textId="77777777" w:rsidR="00AB1365" w:rsidRPr="00E67845" w:rsidRDefault="00AB1365" w:rsidP="0083042F">
            <w:pPr>
              <w:tabs>
                <w:tab w:val="left" w:pos="0"/>
              </w:tabs>
              <w:spacing w:line="276" w:lineRule="auto"/>
              <w:rPr>
                <w:rFonts w:ascii="Arial" w:hAnsi="Arial" w:cs="Arial"/>
                <w:sz w:val="20"/>
                <w:szCs w:val="20"/>
              </w:rPr>
            </w:pPr>
          </w:p>
        </w:tc>
        <w:tc>
          <w:tcPr>
            <w:tcW w:w="270" w:type="dxa"/>
            <w:tcBorders>
              <w:top w:val="single" w:sz="4" w:space="0" w:color="auto"/>
            </w:tcBorders>
          </w:tcPr>
          <w:p w14:paraId="5FD54AB2" w14:textId="77777777" w:rsidR="00AB1365" w:rsidRPr="00E67845" w:rsidRDefault="00AB1365" w:rsidP="0083042F">
            <w:pPr>
              <w:tabs>
                <w:tab w:val="left" w:pos="0"/>
              </w:tabs>
              <w:spacing w:line="276" w:lineRule="auto"/>
              <w:rPr>
                <w:rFonts w:ascii="Arial" w:hAnsi="Arial" w:cs="Arial"/>
                <w:sz w:val="20"/>
                <w:szCs w:val="20"/>
              </w:rPr>
            </w:pPr>
          </w:p>
        </w:tc>
        <w:tc>
          <w:tcPr>
            <w:tcW w:w="630" w:type="dxa"/>
            <w:tcBorders>
              <w:top w:val="single" w:sz="4" w:space="0" w:color="auto"/>
            </w:tcBorders>
          </w:tcPr>
          <w:p w14:paraId="42AEEEA1" w14:textId="22422D6C"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Low</w:t>
            </w:r>
          </w:p>
        </w:tc>
        <w:tc>
          <w:tcPr>
            <w:tcW w:w="720" w:type="dxa"/>
            <w:tcBorders>
              <w:top w:val="single" w:sz="4" w:space="0" w:color="auto"/>
            </w:tcBorders>
          </w:tcPr>
          <w:p w14:paraId="4C056251" w14:textId="77777777" w:rsidR="00AB1365" w:rsidRPr="00E67845" w:rsidRDefault="00AB1365" w:rsidP="0083042F">
            <w:pPr>
              <w:tabs>
                <w:tab w:val="left" w:pos="0"/>
              </w:tabs>
              <w:spacing w:line="276" w:lineRule="auto"/>
              <w:rPr>
                <w:rFonts w:ascii="Arial" w:hAnsi="Arial" w:cs="Arial"/>
                <w:sz w:val="20"/>
                <w:szCs w:val="20"/>
              </w:rPr>
            </w:pPr>
          </w:p>
        </w:tc>
        <w:tc>
          <w:tcPr>
            <w:tcW w:w="1350" w:type="dxa"/>
            <w:tcBorders>
              <w:top w:val="single" w:sz="4" w:space="0" w:color="auto"/>
            </w:tcBorders>
          </w:tcPr>
          <w:p w14:paraId="05999060"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3.512</w:t>
            </w:r>
          </w:p>
        </w:tc>
        <w:tc>
          <w:tcPr>
            <w:tcW w:w="720" w:type="dxa"/>
            <w:tcBorders>
              <w:top w:val="single" w:sz="4" w:space="0" w:color="auto"/>
            </w:tcBorders>
          </w:tcPr>
          <w:p w14:paraId="6F446945"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1.600</w:t>
            </w:r>
          </w:p>
        </w:tc>
        <w:tc>
          <w:tcPr>
            <w:tcW w:w="990" w:type="dxa"/>
            <w:tcBorders>
              <w:top w:val="single" w:sz="4" w:space="0" w:color="auto"/>
            </w:tcBorders>
          </w:tcPr>
          <w:p w14:paraId="2E877753"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1.175</w:t>
            </w:r>
          </w:p>
        </w:tc>
        <w:tc>
          <w:tcPr>
            <w:tcW w:w="900" w:type="dxa"/>
            <w:tcBorders>
              <w:top w:val="single" w:sz="4" w:space="0" w:color="auto"/>
            </w:tcBorders>
          </w:tcPr>
          <w:p w14:paraId="1DF97D5A"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1.544</w:t>
            </w:r>
            <w:r w:rsidRPr="00E67845">
              <w:rPr>
                <w:rFonts w:ascii="Arial" w:hAnsi="Arial" w:cs="Arial"/>
                <w:b/>
                <w:sz w:val="20"/>
                <w:szCs w:val="20"/>
                <w:vertAlign w:val="superscript"/>
              </w:rPr>
              <w:t>a</w:t>
            </w:r>
          </w:p>
        </w:tc>
        <w:tc>
          <w:tcPr>
            <w:tcW w:w="896" w:type="dxa"/>
            <w:tcBorders>
              <w:top w:val="single" w:sz="4" w:space="0" w:color="auto"/>
            </w:tcBorders>
          </w:tcPr>
          <w:p w14:paraId="074AA324"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0.702</w:t>
            </w:r>
            <w:r w:rsidRPr="00E67845">
              <w:rPr>
                <w:rFonts w:ascii="Arial" w:hAnsi="Arial" w:cs="Arial"/>
                <w:b/>
                <w:sz w:val="20"/>
                <w:szCs w:val="20"/>
                <w:vertAlign w:val="superscript"/>
              </w:rPr>
              <w:t xml:space="preserve"> a</w:t>
            </w:r>
          </w:p>
        </w:tc>
        <w:tc>
          <w:tcPr>
            <w:tcW w:w="1174" w:type="dxa"/>
            <w:tcBorders>
              <w:top w:val="single" w:sz="4" w:space="0" w:color="auto"/>
            </w:tcBorders>
          </w:tcPr>
          <w:p w14:paraId="55614D74"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2.152</w:t>
            </w:r>
          </w:p>
        </w:tc>
      </w:tr>
      <w:tr w:rsidR="00AB1365" w:rsidRPr="00E67845" w14:paraId="36FFD7CF" w14:textId="77777777" w:rsidTr="00AB1365">
        <w:trPr>
          <w:trHeight w:val="416"/>
        </w:trPr>
        <w:tc>
          <w:tcPr>
            <w:tcW w:w="1350" w:type="dxa"/>
          </w:tcPr>
          <w:p w14:paraId="4836446D" w14:textId="77777777" w:rsidR="00AB1365" w:rsidRPr="00E67845" w:rsidRDefault="00AB1365" w:rsidP="0083042F">
            <w:pPr>
              <w:tabs>
                <w:tab w:val="left" w:pos="0"/>
              </w:tabs>
              <w:spacing w:line="276" w:lineRule="auto"/>
              <w:rPr>
                <w:rFonts w:ascii="Arial" w:hAnsi="Arial" w:cs="Arial"/>
                <w:sz w:val="20"/>
                <w:szCs w:val="20"/>
              </w:rPr>
            </w:pPr>
          </w:p>
        </w:tc>
        <w:tc>
          <w:tcPr>
            <w:tcW w:w="270" w:type="dxa"/>
          </w:tcPr>
          <w:p w14:paraId="432286E8" w14:textId="77777777" w:rsidR="00AB1365" w:rsidRPr="00E67845" w:rsidRDefault="00AB1365" w:rsidP="0083042F">
            <w:pPr>
              <w:tabs>
                <w:tab w:val="left" w:pos="0"/>
              </w:tabs>
              <w:spacing w:line="276" w:lineRule="auto"/>
              <w:rPr>
                <w:rFonts w:ascii="Arial" w:hAnsi="Arial" w:cs="Arial"/>
                <w:sz w:val="20"/>
                <w:szCs w:val="20"/>
              </w:rPr>
            </w:pPr>
          </w:p>
        </w:tc>
        <w:tc>
          <w:tcPr>
            <w:tcW w:w="630" w:type="dxa"/>
          </w:tcPr>
          <w:p w14:paraId="64EBF3B2" w14:textId="149F6CED"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High</w:t>
            </w:r>
          </w:p>
        </w:tc>
        <w:tc>
          <w:tcPr>
            <w:tcW w:w="720" w:type="dxa"/>
          </w:tcPr>
          <w:p w14:paraId="4AF0D54C" w14:textId="77777777" w:rsidR="00AB1365" w:rsidRPr="00E67845" w:rsidRDefault="00AB1365" w:rsidP="0083042F">
            <w:pPr>
              <w:tabs>
                <w:tab w:val="left" w:pos="0"/>
              </w:tabs>
              <w:spacing w:line="276" w:lineRule="auto"/>
              <w:rPr>
                <w:rFonts w:ascii="Arial" w:hAnsi="Arial" w:cs="Arial"/>
                <w:sz w:val="20"/>
                <w:szCs w:val="20"/>
              </w:rPr>
            </w:pPr>
          </w:p>
        </w:tc>
        <w:tc>
          <w:tcPr>
            <w:tcW w:w="1350" w:type="dxa"/>
          </w:tcPr>
          <w:p w14:paraId="14339217"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3.540</w:t>
            </w:r>
          </w:p>
        </w:tc>
        <w:tc>
          <w:tcPr>
            <w:tcW w:w="720" w:type="dxa"/>
          </w:tcPr>
          <w:p w14:paraId="197828CA"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1.491</w:t>
            </w:r>
          </w:p>
        </w:tc>
        <w:tc>
          <w:tcPr>
            <w:tcW w:w="990" w:type="dxa"/>
          </w:tcPr>
          <w:p w14:paraId="31C19C35"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1.365</w:t>
            </w:r>
          </w:p>
        </w:tc>
        <w:tc>
          <w:tcPr>
            <w:tcW w:w="900" w:type="dxa"/>
          </w:tcPr>
          <w:p w14:paraId="6B927A63"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1.315</w:t>
            </w:r>
            <w:r w:rsidRPr="00E67845">
              <w:rPr>
                <w:rFonts w:ascii="Arial" w:hAnsi="Arial" w:cs="Arial"/>
                <w:b/>
                <w:sz w:val="20"/>
                <w:szCs w:val="20"/>
                <w:vertAlign w:val="superscript"/>
              </w:rPr>
              <w:t xml:space="preserve"> b</w:t>
            </w:r>
          </w:p>
        </w:tc>
        <w:tc>
          <w:tcPr>
            <w:tcW w:w="896" w:type="dxa"/>
          </w:tcPr>
          <w:p w14:paraId="6D6E1FB3"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0.598</w:t>
            </w:r>
            <w:r w:rsidRPr="00E67845">
              <w:rPr>
                <w:rFonts w:ascii="Arial" w:hAnsi="Arial" w:cs="Arial"/>
                <w:b/>
                <w:sz w:val="20"/>
                <w:szCs w:val="20"/>
                <w:vertAlign w:val="superscript"/>
              </w:rPr>
              <w:t xml:space="preserve"> b</w:t>
            </w:r>
          </w:p>
        </w:tc>
        <w:tc>
          <w:tcPr>
            <w:tcW w:w="1174" w:type="dxa"/>
          </w:tcPr>
          <w:p w14:paraId="34C2FA0F"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2.211</w:t>
            </w:r>
          </w:p>
        </w:tc>
      </w:tr>
      <w:tr w:rsidR="00AB1365" w:rsidRPr="00E67845" w14:paraId="21BBA4BE" w14:textId="77777777" w:rsidTr="00AB1365">
        <w:trPr>
          <w:trHeight w:val="416"/>
        </w:trPr>
        <w:tc>
          <w:tcPr>
            <w:tcW w:w="1350" w:type="dxa"/>
          </w:tcPr>
          <w:p w14:paraId="1006E92F" w14:textId="77777777" w:rsidR="00AB1365" w:rsidRPr="00E67845" w:rsidRDefault="00AB1365" w:rsidP="0083042F">
            <w:pPr>
              <w:tabs>
                <w:tab w:val="left" w:pos="0"/>
              </w:tabs>
              <w:spacing w:line="276" w:lineRule="auto"/>
              <w:rPr>
                <w:rFonts w:ascii="Arial" w:hAnsi="Arial" w:cs="Arial"/>
                <w:b/>
                <w:sz w:val="20"/>
                <w:szCs w:val="20"/>
              </w:rPr>
            </w:pPr>
            <w:r w:rsidRPr="00E67845">
              <w:rPr>
                <w:rFonts w:ascii="Arial" w:hAnsi="Arial" w:cs="Arial"/>
                <w:b/>
                <w:sz w:val="20"/>
                <w:szCs w:val="20"/>
              </w:rPr>
              <w:t>SEM</w:t>
            </w:r>
          </w:p>
        </w:tc>
        <w:tc>
          <w:tcPr>
            <w:tcW w:w="270" w:type="dxa"/>
          </w:tcPr>
          <w:p w14:paraId="37D88A15" w14:textId="77777777" w:rsidR="00AB1365" w:rsidRPr="00E67845" w:rsidRDefault="00AB1365" w:rsidP="0083042F">
            <w:pPr>
              <w:tabs>
                <w:tab w:val="left" w:pos="0"/>
              </w:tabs>
              <w:spacing w:line="276" w:lineRule="auto"/>
              <w:rPr>
                <w:rFonts w:ascii="Arial" w:hAnsi="Arial" w:cs="Arial"/>
                <w:sz w:val="20"/>
                <w:szCs w:val="20"/>
              </w:rPr>
            </w:pPr>
          </w:p>
        </w:tc>
        <w:tc>
          <w:tcPr>
            <w:tcW w:w="630" w:type="dxa"/>
          </w:tcPr>
          <w:p w14:paraId="742C6066" w14:textId="1E9E3EB6" w:rsidR="00AB1365" w:rsidRPr="00E67845" w:rsidRDefault="00AB1365" w:rsidP="0083042F">
            <w:pPr>
              <w:tabs>
                <w:tab w:val="left" w:pos="0"/>
              </w:tabs>
              <w:spacing w:line="276" w:lineRule="auto"/>
              <w:rPr>
                <w:rFonts w:ascii="Arial" w:hAnsi="Arial" w:cs="Arial"/>
                <w:sz w:val="20"/>
                <w:szCs w:val="20"/>
              </w:rPr>
            </w:pPr>
          </w:p>
        </w:tc>
        <w:tc>
          <w:tcPr>
            <w:tcW w:w="720" w:type="dxa"/>
          </w:tcPr>
          <w:p w14:paraId="657B2F53" w14:textId="77777777" w:rsidR="00AB1365" w:rsidRPr="00E67845" w:rsidRDefault="00AB1365" w:rsidP="0083042F">
            <w:pPr>
              <w:tabs>
                <w:tab w:val="left" w:pos="0"/>
              </w:tabs>
              <w:spacing w:line="276" w:lineRule="auto"/>
              <w:rPr>
                <w:rFonts w:ascii="Arial" w:hAnsi="Arial" w:cs="Arial"/>
                <w:sz w:val="20"/>
                <w:szCs w:val="20"/>
              </w:rPr>
            </w:pPr>
          </w:p>
        </w:tc>
        <w:tc>
          <w:tcPr>
            <w:tcW w:w="1350" w:type="dxa"/>
          </w:tcPr>
          <w:p w14:paraId="41D3702C"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0.025</w:t>
            </w:r>
          </w:p>
        </w:tc>
        <w:tc>
          <w:tcPr>
            <w:tcW w:w="720" w:type="dxa"/>
          </w:tcPr>
          <w:p w14:paraId="67832CD6"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0.065</w:t>
            </w:r>
          </w:p>
        </w:tc>
        <w:tc>
          <w:tcPr>
            <w:tcW w:w="990" w:type="dxa"/>
          </w:tcPr>
          <w:p w14:paraId="2E5BFA51"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0.071</w:t>
            </w:r>
          </w:p>
        </w:tc>
        <w:tc>
          <w:tcPr>
            <w:tcW w:w="900" w:type="dxa"/>
          </w:tcPr>
          <w:p w14:paraId="199EB079"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0.044</w:t>
            </w:r>
          </w:p>
        </w:tc>
        <w:tc>
          <w:tcPr>
            <w:tcW w:w="896" w:type="dxa"/>
          </w:tcPr>
          <w:p w14:paraId="77E4CA86"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0.045</w:t>
            </w:r>
          </w:p>
        </w:tc>
        <w:tc>
          <w:tcPr>
            <w:tcW w:w="1174" w:type="dxa"/>
          </w:tcPr>
          <w:p w14:paraId="1F3A7C34"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0.065</w:t>
            </w:r>
          </w:p>
        </w:tc>
      </w:tr>
      <w:tr w:rsidR="00AB1365" w:rsidRPr="00E67845" w14:paraId="3FB6EA76" w14:textId="77777777" w:rsidTr="00AB1365">
        <w:trPr>
          <w:trHeight w:val="416"/>
        </w:trPr>
        <w:tc>
          <w:tcPr>
            <w:tcW w:w="1350" w:type="dxa"/>
          </w:tcPr>
          <w:p w14:paraId="36ABDC4C" w14:textId="77777777" w:rsidR="00AB1365" w:rsidRPr="00E67845" w:rsidRDefault="00AB1365" w:rsidP="0083042F">
            <w:pPr>
              <w:tabs>
                <w:tab w:val="left" w:pos="0"/>
              </w:tabs>
              <w:spacing w:line="276" w:lineRule="auto"/>
              <w:rPr>
                <w:rFonts w:ascii="Arial" w:hAnsi="Arial" w:cs="Arial"/>
                <w:sz w:val="20"/>
                <w:szCs w:val="20"/>
              </w:rPr>
            </w:pPr>
          </w:p>
        </w:tc>
        <w:tc>
          <w:tcPr>
            <w:tcW w:w="270" w:type="dxa"/>
          </w:tcPr>
          <w:p w14:paraId="7DEDDBE8" w14:textId="77777777" w:rsidR="00AB1365" w:rsidRPr="00E67845" w:rsidRDefault="00AB1365" w:rsidP="0083042F">
            <w:pPr>
              <w:tabs>
                <w:tab w:val="left" w:pos="0"/>
              </w:tabs>
              <w:spacing w:line="276" w:lineRule="auto"/>
              <w:rPr>
                <w:rFonts w:ascii="Arial" w:hAnsi="Arial" w:cs="Arial"/>
                <w:sz w:val="20"/>
                <w:szCs w:val="20"/>
              </w:rPr>
            </w:pPr>
          </w:p>
        </w:tc>
        <w:tc>
          <w:tcPr>
            <w:tcW w:w="630" w:type="dxa"/>
          </w:tcPr>
          <w:p w14:paraId="7A2F3030" w14:textId="093629CA" w:rsidR="00AB1365" w:rsidRPr="00E67845" w:rsidRDefault="00AB1365" w:rsidP="0083042F">
            <w:pPr>
              <w:tabs>
                <w:tab w:val="left" w:pos="0"/>
              </w:tabs>
              <w:spacing w:line="276" w:lineRule="auto"/>
              <w:rPr>
                <w:rFonts w:ascii="Arial" w:hAnsi="Arial" w:cs="Arial"/>
                <w:sz w:val="20"/>
                <w:szCs w:val="20"/>
              </w:rPr>
            </w:pPr>
          </w:p>
        </w:tc>
        <w:tc>
          <w:tcPr>
            <w:tcW w:w="720" w:type="dxa"/>
          </w:tcPr>
          <w:p w14:paraId="7F58A6CE"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Low</w:t>
            </w:r>
          </w:p>
        </w:tc>
        <w:tc>
          <w:tcPr>
            <w:tcW w:w="1350" w:type="dxa"/>
          </w:tcPr>
          <w:p w14:paraId="07043955"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3.520</w:t>
            </w:r>
          </w:p>
        </w:tc>
        <w:tc>
          <w:tcPr>
            <w:tcW w:w="720" w:type="dxa"/>
          </w:tcPr>
          <w:p w14:paraId="4818152C"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1.486</w:t>
            </w:r>
          </w:p>
        </w:tc>
        <w:tc>
          <w:tcPr>
            <w:tcW w:w="990" w:type="dxa"/>
          </w:tcPr>
          <w:p w14:paraId="5EF101AA"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1.313</w:t>
            </w:r>
          </w:p>
        </w:tc>
        <w:tc>
          <w:tcPr>
            <w:tcW w:w="900" w:type="dxa"/>
          </w:tcPr>
          <w:p w14:paraId="5ED9B7F0"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1.384</w:t>
            </w:r>
          </w:p>
        </w:tc>
        <w:tc>
          <w:tcPr>
            <w:tcW w:w="896" w:type="dxa"/>
          </w:tcPr>
          <w:p w14:paraId="61726294"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0.629</w:t>
            </w:r>
          </w:p>
        </w:tc>
        <w:tc>
          <w:tcPr>
            <w:tcW w:w="1174" w:type="dxa"/>
          </w:tcPr>
          <w:p w14:paraId="7C3CB349"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2.322</w:t>
            </w:r>
          </w:p>
        </w:tc>
      </w:tr>
      <w:tr w:rsidR="00AB1365" w:rsidRPr="00E67845" w14:paraId="2DE28F95" w14:textId="77777777" w:rsidTr="00AB1365">
        <w:trPr>
          <w:trHeight w:val="416"/>
        </w:trPr>
        <w:tc>
          <w:tcPr>
            <w:tcW w:w="1350" w:type="dxa"/>
          </w:tcPr>
          <w:p w14:paraId="674D7CEB" w14:textId="77777777" w:rsidR="00AB1365" w:rsidRPr="00E67845" w:rsidRDefault="00AB1365" w:rsidP="0083042F">
            <w:pPr>
              <w:tabs>
                <w:tab w:val="left" w:pos="0"/>
              </w:tabs>
              <w:spacing w:line="276" w:lineRule="auto"/>
              <w:rPr>
                <w:rFonts w:ascii="Arial" w:hAnsi="Arial" w:cs="Arial"/>
                <w:sz w:val="20"/>
                <w:szCs w:val="20"/>
              </w:rPr>
            </w:pPr>
          </w:p>
        </w:tc>
        <w:tc>
          <w:tcPr>
            <w:tcW w:w="270" w:type="dxa"/>
          </w:tcPr>
          <w:p w14:paraId="72606973" w14:textId="77777777" w:rsidR="00AB1365" w:rsidRPr="00E67845" w:rsidRDefault="00AB1365" w:rsidP="0083042F">
            <w:pPr>
              <w:tabs>
                <w:tab w:val="left" w:pos="0"/>
              </w:tabs>
              <w:spacing w:line="276" w:lineRule="auto"/>
              <w:rPr>
                <w:rFonts w:ascii="Arial" w:hAnsi="Arial" w:cs="Arial"/>
                <w:sz w:val="20"/>
                <w:szCs w:val="20"/>
              </w:rPr>
            </w:pPr>
          </w:p>
        </w:tc>
        <w:tc>
          <w:tcPr>
            <w:tcW w:w="630" w:type="dxa"/>
          </w:tcPr>
          <w:p w14:paraId="22BE2B39" w14:textId="291A55F5" w:rsidR="00AB1365" w:rsidRPr="00E67845" w:rsidRDefault="00AB1365" w:rsidP="0083042F">
            <w:pPr>
              <w:tabs>
                <w:tab w:val="left" w:pos="0"/>
              </w:tabs>
              <w:spacing w:line="276" w:lineRule="auto"/>
              <w:rPr>
                <w:rFonts w:ascii="Arial" w:hAnsi="Arial" w:cs="Arial"/>
                <w:sz w:val="20"/>
                <w:szCs w:val="20"/>
              </w:rPr>
            </w:pPr>
          </w:p>
        </w:tc>
        <w:tc>
          <w:tcPr>
            <w:tcW w:w="720" w:type="dxa"/>
          </w:tcPr>
          <w:p w14:paraId="748CFA1A"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High</w:t>
            </w:r>
          </w:p>
        </w:tc>
        <w:tc>
          <w:tcPr>
            <w:tcW w:w="1350" w:type="dxa"/>
          </w:tcPr>
          <w:p w14:paraId="5F63B3D3"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3.532</w:t>
            </w:r>
          </w:p>
        </w:tc>
        <w:tc>
          <w:tcPr>
            <w:tcW w:w="720" w:type="dxa"/>
          </w:tcPr>
          <w:p w14:paraId="0EF69393"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1.605</w:t>
            </w:r>
          </w:p>
        </w:tc>
        <w:tc>
          <w:tcPr>
            <w:tcW w:w="990" w:type="dxa"/>
          </w:tcPr>
          <w:p w14:paraId="248833CA"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1.221</w:t>
            </w:r>
          </w:p>
        </w:tc>
        <w:tc>
          <w:tcPr>
            <w:tcW w:w="900" w:type="dxa"/>
          </w:tcPr>
          <w:p w14:paraId="18378781"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1.467</w:t>
            </w:r>
          </w:p>
        </w:tc>
        <w:tc>
          <w:tcPr>
            <w:tcW w:w="896" w:type="dxa"/>
          </w:tcPr>
          <w:p w14:paraId="25561F68"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0.667</w:t>
            </w:r>
          </w:p>
        </w:tc>
        <w:tc>
          <w:tcPr>
            <w:tcW w:w="1174" w:type="dxa"/>
          </w:tcPr>
          <w:p w14:paraId="73FF8D74"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2.049</w:t>
            </w:r>
          </w:p>
        </w:tc>
      </w:tr>
      <w:tr w:rsidR="00AB1365" w:rsidRPr="00E67845" w14:paraId="29838CEB" w14:textId="77777777" w:rsidTr="00AB1365">
        <w:trPr>
          <w:trHeight w:val="416"/>
        </w:trPr>
        <w:tc>
          <w:tcPr>
            <w:tcW w:w="1350" w:type="dxa"/>
          </w:tcPr>
          <w:p w14:paraId="67AB0518" w14:textId="77777777" w:rsidR="00AB1365" w:rsidRPr="00E67845" w:rsidRDefault="00AB1365" w:rsidP="0083042F">
            <w:pPr>
              <w:tabs>
                <w:tab w:val="left" w:pos="0"/>
              </w:tabs>
              <w:spacing w:line="276" w:lineRule="auto"/>
              <w:rPr>
                <w:rFonts w:ascii="Arial" w:hAnsi="Arial" w:cs="Arial"/>
                <w:b/>
                <w:sz w:val="20"/>
                <w:szCs w:val="20"/>
              </w:rPr>
            </w:pPr>
            <w:r w:rsidRPr="00E67845">
              <w:rPr>
                <w:rFonts w:ascii="Arial" w:hAnsi="Arial" w:cs="Arial"/>
                <w:b/>
                <w:sz w:val="20"/>
                <w:szCs w:val="20"/>
              </w:rPr>
              <w:t>SEM</w:t>
            </w:r>
          </w:p>
        </w:tc>
        <w:tc>
          <w:tcPr>
            <w:tcW w:w="270" w:type="dxa"/>
          </w:tcPr>
          <w:p w14:paraId="40F413DD" w14:textId="77777777" w:rsidR="00AB1365" w:rsidRPr="00E67845" w:rsidRDefault="00AB1365" w:rsidP="0083042F">
            <w:pPr>
              <w:tabs>
                <w:tab w:val="left" w:pos="0"/>
              </w:tabs>
              <w:spacing w:line="276" w:lineRule="auto"/>
              <w:rPr>
                <w:rFonts w:ascii="Arial" w:hAnsi="Arial" w:cs="Arial"/>
                <w:sz w:val="20"/>
                <w:szCs w:val="20"/>
              </w:rPr>
            </w:pPr>
          </w:p>
        </w:tc>
        <w:tc>
          <w:tcPr>
            <w:tcW w:w="630" w:type="dxa"/>
          </w:tcPr>
          <w:p w14:paraId="26EF4BE0" w14:textId="77BA4B9F" w:rsidR="00AB1365" w:rsidRPr="00E67845" w:rsidRDefault="00AB1365" w:rsidP="0083042F">
            <w:pPr>
              <w:tabs>
                <w:tab w:val="left" w:pos="0"/>
              </w:tabs>
              <w:spacing w:line="276" w:lineRule="auto"/>
              <w:rPr>
                <w:rFonts w:ascii="Arial" w:hAnsi="Arial" w:cs="Arial"/>
                <w:sz w:val="20"/>
                <w:szCs w:val="20"/>
              </w:rPr>
            </w:pPr>
          </w:p>
        </w:tc>
        <w:tc>
          <w:tcPr>
            <w:tcW w:w="720" w:type="dxa"/>
          </w:tcPr>
          <w:p w14:paraId="453EA844" w14:textId="77777777" w:rsidR="00AB1365" w:rsidRPr="00E67845" w:rsidRDefault="00AB1365" w:rsidP="0083042F">
            <w:pPr>
              <w:tabs>
                <w:tab w:val="left" w:pos="0"/>
              </w:tabs>
              <w:spacing w:line="276" w:lineRule="auto"/>
              <w:rPr>
                <w:rFonts w:ascii="Arial" w:hAnsi="Arial" w:cs="Arial"/>
                <w:sz w:val="20"/>
                <w:szCs w:val="20"/>
              </w:rPr>
            </w:pPr>
          </w:p>
        </w:tc>
        <w:tc>
          <w:tcPr>
            <w:tcW w:w="1350" w:type="dxa"/>
          </w:tcPr>
          <w:p w14:paraId="0FCA1505"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0.025</w:t>
            </w:r>
          </w:p>
        </w:tc>
        <w:tc>
          <w:tcPr>
            <w:tcW w:w="720" w:type="dxa"/>
          </w:tcPr>
          <w:p w14:paraId="56950BE6"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0.065</w:t>
            </w:r>
          </w:p>
        </w:tc>
        <w:tc>
          <w:tcPr>
            <w:tcW w:w="990" w:type="dxa"/>
          </w:tcPr>
          <w:p w14:paraId="2EF66167"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0.071</w:t>
            </w:r>
          </w:p>
        </w:tc>
        <w:tc>
          <w:tcPr>
            <w:tcW w:w="900" w:type="dxa"/>
          </w:tcPr>
          <w:p w14:paraId="3D038702"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0.044</w:t>
            </w:r>
          </w:p>
        </w:tc>
        <w:tc>
          <w:tcPr>
            <w:tcW w:w="896" w:type="dxa"/>
          </w:tcPr>
          <w:p w14:paraId="4B5F225B"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0.045</w:t>
            </w:r>
          </w:p>
        </w:tc>
        <w:tc>
          <w:tcPr>
            <w:tcW w:w="1174" w:type="dxa"/>
          </w:tcPr>
          <w:p w14:paraId="1BB5D39A"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0.065</w:t>
            </w:r>
          </w:p>
        </w:tc>
      </w:tr>
      <w:tr w:rsidR="00AB1365" w:rsidRPr="00E67845" w14:paraId="3C1E9AA2" w14:textId="77777777" w:rsidTr="00AB1365">
        <w:trPr>
          <w:trHeight w:val="416"/>
        </w:trPr>
        <w:tc>
          <w:tcPr>
            <w:tcW w:w="1350" w:type="dxa"/>
          </w:tcPr>
          <w:p w14:paraId="36C1E245" w14:textId="77777777" w:rsidR="00AB1365" w:rsidRPr="00E67845" w:rsidRDefault="00AB1365" w:rsidP="0083042F">
            <w:pPr>
              <w:tabs>
                <w:tab w:val="left" w:pos="0"/>
              </w:tabs>
              <w:spacing w:line="276" w:lineRule="auto"/>
              <w:rPr>
                <w:rFonts w:ascii="Arial" w:hAnsi="Arial" w:cs="Arial"/>
                <w:b/>
                <w:sz w:val="20"/>
                <w:szCs w:val="20"/>
              </w:rPr>
            </w:pPr>
            <w:r w:rsidRPr="00E67845">
              <w:rPr>
                <w:rFonts w:ascii="Arial" w:hAnsi="Arial" w:cs="Arial"/>
                <w:b/>
                <w:sz w:val="20"/>
                <w:szCs w:val="20"/>
              </w:rPr>
              <w:t>Interactions</w:t>
            </w:r>
          </w:p>
        </w:tc>
        <w:tc>
          <w:tcPr>
            <w:tcW w:w="270" w:type="dxa"/>
          </w:tcPr>
          <w:p w14:paraId="2C10A25E" w14:textId="77777777" w:rsidR="00AB1365" w:rsidRPr="00E67845" w:rsidRDefault="00AB1365" w:rsidP="0083042F">
            <w:pPr>
              <w:tabs>
                <w:tab w:val="left" w:pos="0"/>
              </w:tabs>
              <w:spacing w:line="276" w:lineRule="auto"/>
              <w:rPr>
                <w:rFonts w:ascii="Arial" w:hAnsi="Arial" w:cs="Arial"/>
                <w:sz w:val="20"/>
                <w:szCs w:val="20"/>
              </w:rPr>
            </w:pPr>
          </w:p>
        </w:tc>
        <w:tc>
          <w:tcPr>
            <w:tcW w:w="630" w:type="dxa"/>
          </w:tcPr>
          <w:p w14:paraId="4712552C" w14:textId="6EAADDEC" w:rsidR="00AB1365" w:rsidRPr="00E67845" w:rsidRDefault="00AB1365" w:rsidP="0083042F">
            <w:pPr>
              <w:tabs>
                <w:tab w:val="left" w:pos="0"/>
              </w:tabs>
              <w:spacing w:line="276" w:lineRule="auto"/>
              <w:rPr>
                <w:rFonts w:ascii="Arial" w:hAnsi="Arial" w:cs="Arial"/>
                <w:sz w:val="20"/>
                <w:szCs w:val="20"/>
              </w:rPr>
            </w:pPr>
          </w:p>
        </w:tc>
        <w:tc>
          <w:tcPr>
            <w:tcW w:w="720" w:type="dxa"/>
          </w:tcPr>
          <w:p w14:paraId="255A463D" w14:textId="77777777" w:rsidR="00AB1365" w:rsidRPr="00E67845" w:rsidRDefault="00AB1365" w:rsidP="0083042F">
            <w:pPr>
              <w:tabs>
                <w:tab w:val="left" w:pos="0"/>
              </w:tabs>
              <w:spacing w:line="276" w:lineRule="auto"/>
              <w:rPr>
                <w:rFonts w:ascii="Arial" w:hAnsi="Arial" w:cs="Arial"/>
                <w:sz w:val="20"/>
                <w:szCs w:val="20"/>
              </w:rPr>
            </w:pPr>
          </w:p>
        </w:tc>
        <w:tc>
          <w:tcPr>
            <w:tcW w:w="1350" w:type="dxa"/>
          </w:tcPr>
          <w:p w14:paraId="1345500E" w14:textId="77777777" w:rsidR="00AB1365" w:rsidRPr="00E67845" w:rsidRDefault="00AB1365" w:rsidP="0083042F">
            <w:pPr>
              <w:tabs>
                <w:tab w:val="left" w:pos="0"/>
              </w:tabs>
              <w:spacing w:line="276" w:lineRule="auto"/>
              <w:rPr>
                <w:rFonts w:ascii="Arial" w:hAnsi="Arial" w:cs="Arial"/>
                <w:sz w:val="20"/>
                <w:szCs w:val="20"/>
              </w:rPr>
            </w:pPr>
          </w:p>
        </w:tc>
        <w:tc>
          <w:tcPr>
            <w:tcW w:w="720" w:type="dxa"/>
          </w:tcPr>
          <w:p w14:paraId="651CDDE9" w14:textId="77777777" w:rsidR="00AB1365" w:rsidRPr="00E67845" w:rsidRDefault="00AB1365" w:rsidP="0083042F">
            <w:pPr>
              <w:tabs>
                <w:tab w:val="left" w:pos="0"/>
              </w:tabs>
              <w:spacing w:line="276" w:lineRule="auto"/>
              <w:rPr>
                <w:rFonts w:ascii="Arial" w:hAnsi="Arial" w:cs="Arial"/>
                <w:sz w:val="20"/>
                <w:szCs w:val="20"/>
              </w:rPr>
            </w:pPr>
          </w:p>
        </w:tc>
        <w:tc>
          <w:tcPr>
            <w:tcW w:w="990" w:type="dxa"/>
          </w:tcPr>
          <w:p w14:paraId="1F7A0FA9" w14:textId="77777777" w:rsidR="00AB1365" w:rsidRPr="00E67845" w:rsidRDefault="00AB1365" w:rsidP="0083042F">
            <w:pPr>
              <w:tabs>
                <w:tab w:val="left" w:pos="0"/>
              </w:tabs>
              <w:spacing w:line="276" w:lineRule="auto"/>
              <w:rPr>
                <w:rFonts w:ascii="Arial" w:hAnsi="Arial" w:cs="Arial"/>
                <w:sz w:val="20"/>
                <w:szCs w:val="20"/>
              </w:rPr>
            </w:pPr>
          </w:p>
        </w:tc>
        <w:tc>
          <w:tcPr>
            <w:tcW w:w="900" w:type="dxa"/>
          </w:tcPr>
          <w:p w14:paraId="28B77BF8" w14:textId="77777777" w:rsidR="00AB1365" w:rsidRPr="00E67845" w:rsidRDefault="00AB1365" w:rsidP="0083042F">
            <w:pPr>
              <w:tabs>
                <w:tab w:val="left" w:pos="0"/>
              </w:tabs>
              <w:spacing w:line="276" w:lineRule="auto"/>
              <w:rPr>
                <w:rFonts w:ascii="Arial" w:hAnsi="Arial" w:cs="Arial"/>
                <w:sz w:val="20"/>
                <w:szCs w:val="20"/>
              </w:rPr>
            </w:pPr>
          </w:p>
        </w:tc>
        <w:tc>
          <w:tcPr>
            <w:tcW w:w="896" w:type="dxa"/>
          </w:tcPr>
          <w:p w14:paraId="221BAE11" w14:textId="77777777" w:rsidR="00AB1365" w:rsidRPr="00E67845" w:rsidRDefault="00AB1365" w:rsidP="0083042F">
            <w:pPr>
              <w:tabs>
                <w:tab w:val="left" w:pos="0"/>
              </w:tabs>
              <w:spacing w:line="276" w:lineRule="auto"/>
              <w:rPr>
                <w:rFonts w:ascii="Arial" w:hAnsi="Arial" w:cs="Arial"/>
                <w:sz w:val="20"/>
                <w:szCs w:val="20"/>
              </w:rPr>
            </w:pPr>
          </w:p>
        </w:tc>
        <w:tc>
          <w:tcPr>
            <w:tcW w:w="1174" w:type="dxa"/>
          </w:tcPr>
          <w:p w14:paraId="1AF174E8" w14:textId="77777777" w:rsidR="00AB1365" w:rsidRPr="00E67845" w:rsidRDefault="00AB1365" w:rsidP="0083042F">
            <w:pPr>
              <w:tabs>
                <w:tab w:val="left" w:pos="0"/>
              </w:tabs>
              <w:spacing w:line="276" w:lineRule="auto"/>
              <w:rPr>
                <w:rFonts w:ascii="Arial" w:hAnsi="Arial" w:cs="Arial"/>
                <w:sz w:val="20"/>
                <w:szCs w:val="20"/>
              </w:rPr>
            </w:pPr>
          </w:p>
        </w:tc>
      </w:tr>
      <w:tr w:rsidR="00AB1365" w:rsidRPr="00E67845" w14:paraId="0657762A" w14:textId="77777777" w:rsidTr="00AB1365">
        <w:trPr>
          <w:trHeight w:val="212"/>
        </w:trPr>
        <w:tc>
          <w:tcPr>
            <w:tcW w:w="1350" w:type="dxa"/>
          </w:tcPr>
          <w:p w14:paraId="7D1F1516"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Low x low</w:t>
            </w:r>
          </w:p>
        </w:tc>
        <w:tc>
          <w:tcPr>
            <w:tcW w:w="270" w:type="dxa"/>
          </w:tcPr>
          <w:p w14:paraId="307553B9" w14:textId="77777777" w:rsidR="00AB1365" w:rsidRPr="00E67845" w:rsidRDefault="00AB1365" w:rsidP="0083042F">
            <w:pPr>
              <w:tabs>
                <w:tab w:val="left" w:pos="0"/>
              </w:tabs>
              <w:spacing w:line="276" w:lineRule="auto"/>
              <w:rPr>
                <w:rFonts w:ascii="Arial" w:hAnsi="Arial" w:cs="Arial"/>
                <w:sz w:val="20"/>
                <w:szCs w:val="20"/>
              </w:rPr>
            </w:pPr>
          </w:p>
        </w:tc>
        <w:tc>
          <w:tcPr>
            <w:tcW w:w="630" w:type="dxa"/>
          </w:tcPr>
          <w:p w14:paraId="2C78DDD6" w14:textId="1531BEE7" w:rsidR="00AB1365" w:rsidRPr="00E67845" w:rsidRDefault="00AB1365" w:rsidP="0083042F">
            <w:pPr>
              <w:tabs>
                <w:tab w:val="left" w:pos="0"/>
              </w:tabs>
              <w:spacing w:line="276" w:lineRule="auto"/>
              <w:rPr>
                <w:rFonts w:ascii="Arial" w:hAnsi="Arial" w:cs="Arial"/>
                <w:sz w:val="20"/>
                <w:szCs w:val="20"/>
              </w:rPr>
            </w:pPr>
          </w:p>
        </w:tc>
        <w:tc>
          <w:tcPr>
            <w:tcW w:w="720" w:type="dxa"/>
          </w:tcPr>
          <w:p w14:paraId="33E32380" w14:textId="77777777" w:rsidR="00AB1365" w:rsidRPr="00E67845" w:rsidRDefault="00AB1365" w:rsidP="0083042F">
            <w:pPr>
              <w:tabs>
                <w:tab w:val="left" w:pos="0"/>
              </w:tabs>
              <w:spacing w:line="276" w:lineRule="auto"/>
              <w:rPr>
                <w:rFonts w:ascii="Arial" w:hAnsi="Arial" w:cs="Arial"/>
                <w:sz w:val="20"/>
                <w:szCs w:val="20"/>
              </w:rPr>
            </w:pPr>
          </w:p>
        </w:tc>
        <w:tc>
          <w:tcPr>
            <w:tcW w:w="1350" w:type="dxa"/>
          </w:tcPr>
          <w:p w14:paraId="2BD5A74A"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3.507</w:t>
            </w:r>
          </w:p>
        </w:tc>
        <w:tc>
          <w:tcPr>
            <w:tcW w:w="720" w:type="dxa"/>
          </w:tcPr>
          <w:p w14:paraId="3E7F87CB"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1.688</w:t>
            </w:r>
          </w:p>
        </w:tc>
        <w:tc>
          <w:tcPr>
            <w:tcW w:w="990" w:type="dxa"/>
          </w:tcPr>
          <w:p w14:paraId="3D893C48"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1.013</w:t>
            </w:r>
            <w:r w:rsidRPr="00E67845">
              <w:rPr>
                <w:rFonts w:ascii="Arial" w:hAnsi="Arial" w:cs="Arial"/>
                <w:b/>
                <w:sz w:val="20"/>
                <w:szCs w:val="20"/>
                <w:vertAlign w:val="superscript"/>
              </w:rPr>
              <w:t xml:space="preserve"> b</w:t>
            </w:r>
          </w:p>
        </w:tc>
        <w:tc>
          <w:tcPr>
            <w:tcW w:w="900" w:type="dxa"/>
          </w:tcPr>
          <w:p w14:paraId="54DA5F36"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1.723</w:t>
            </w:r>
            <w:r w:rsidRPr="00E67845">
              <w:rPr>
                <w:rFonts w:ascii="Arial" w:hAnsi="Arial" w:cs="Arial"/>
                <w:b/>
                <w:sz w:val="20"/>
                <w:szCs w:val="20"/>
                <w:vertAlign w:val="superscript"/>
              </w:rPr>
              <w:t xml:space="preserve"> a</w:t>
            </w:r>
          </w:p>
        </w:tc>
        <w:tc>
          <w:tcPr>
            <w:tcW w:w="896" w:type="dxa"/>
          </w:tcPr>
          <w:p w14:paraId="58837847"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0.783</w:t>
            </w:r>
            <w:r w:rsidRPr="00E67845">
              <w:rPr>
                <w:rFonts w:ascii="Arial" w:hAnsi="Arial" w:cs="Arial"/>
                <w:b/>
                <w:sz w:val="20"/>
                <w:szCs w:val="20"/>
                <w:vertAlign w:val="superscript"/>
              </w:rPr>
              <w:t xml:space="preserve"> a</w:t>
            </w:r>
          </w:p>
        </w:tc>
        <w:tc>
          <w:tcPr>
            <w:tcW w:w="1174" w:type="dxa"/>
          </w:tcPr>
          <w:p w14:paraId="46AA1794"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1.997</w:t>
            </w:r>
            <w:r w:rsidRPr="00E67845">
              <w:rPr>
                <w:rFonts w:ascii="Arial" w:hAnsi="Arial" w:cs="Arial"/>
                <w:b/>
                <w:sz w:val="20"/>
                <w:szCs w:val="20"/>
                <w:vertAlign w:val="superscript"/>
              </w:rPr>
              <w:t xml:space="preserve"> a</w:t>
            </w:r>
          </w:p>
        </w:tc>
      </w:tr>
      <w:tr w:rsidR="00AB1365" w:rsidRPr="00E67845" w14:paraId="39759C04" w14:textId="77777777" w:rsidTr="00AB1365">
        <w:trPr>
          <w:trHeight w:val="292"/>
        </w:trPr>
        <w:tc>
          <w:tcPr>
            <w:tcW w:w="1350" w:type="dxa"/>
          </w:tcPr>
          <w:p w14:paraId="645CE439"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Low x high</w:t>
            </w:r>
          </w:p>
        </w:tc>
        <w:tc>
          <w:tcPr>
            <w:tcW w:w="270" w:type="dxa"/>
          </w:tcPr>
          <w:p w14:paraId="155C7789" w14:textId="77777777" w:rsidR="00AB1365" w:rsidRPr="00E67845" w:rsidRDefault="00AB1365" w:rsidP="0083042F">
            <w:pPr>
              <w:tabs>
                <w:tab w:val="left" w:pos="0"/>
              </w:tabs>
              <w:spacing w:line="276" w:lineRule="auto"/>
              <w:rPr>
                <w:rFonts w:ascii="Arial" w:hAnsi="Arial" w:cs="Arial"/>
                <w:sz w:val="20"/>
                <w:szCs w:val="20"/>
              </w:rPr>
            </w:pPr>
          </w:p>
        </w:tc>
        <w:tc>
          <w:tcPr>
            <w:tcW w:w="630" w:type="dxa"/>
          </w:tcPr>
          <w:p w14:paraId="5AAC5D09" w14:textId="2019B5B4" w:rsidR="00AB1365" w:rsidRPr="00E67845" w:rsidRDefault="00AB1365" w:rsidP="0083042F">
            <w:pPr>
              <w:tabs>
                <w:tab w:val="left" w:pos="0"/>
              </w:tabs>
              <w:spacing w:line="276" w:lineRule="auto"/>
              <w:rPr>
                <w:rFonts w:ascii="Arial" w:hAnsi="Arial" w:cs="Arial"/>
                <w:sz w:val="20"/>
                <w:szCs w:val="20"/>
              </w:rPr>
            </w:pPr>
          </w:p>
        </w:tc>
        <w:tc>
          <w:tcPr>
            <w:tcW w:w="720" w:type="dxa"/>
          </w:tcPr>
          <w:p w14:paraId="217A058D" w14:textId="77777777" w:rsidR="00AB1365" w:rsidRPr="00E67845" w:rsidRDefault="00AB1365" w:rsidP="0083042F">
            <w:pPr>
              <w:tabs>
                <w:tab w:val="left" w:pos="0"/>
              </w:tabs>
              <w:spacing w:line="276" w:lineRule="auto"/>
              <w:rPr>
                <w:rFonts w:ascii="Arial" w:hAnsi="Arial" w:cs="Arial"/>
                <w:sz w:val="20"/>
                <w:szCs w:val="20"/>
              </w:rPr>
            </w:pPr>
          </w:p>
        </w:tc>
        <w:tc>
          <w:tcPr>
            <w:tcW w:w="1350" w:type="dxa"/>
          </w:tcPr>
          <w:p w14:paraId="6133BF8C"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3.532</w:t>
            </w:r>
          </w:p>
        </w:tc>
        <w:tc>
          <w:tcPr>
            <w:tcW w:w="720" w:type="dxa"/>
          </w:tcPr>
          <w:p w14:paraId="19484916"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1.516</w:t>
            </w:r>
          </w:p>
        </w:tc>
        <w:tc>
          <w:tcPr>
            <w:tcW w:w="990" w:type="dxa"/>
          </w:tcPr>
          <w:p w14:paraId="052881B3"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1.362</w:t>
            </w:r>
            <w:r w:rsidRPr="00E67845">
              <w:rPr>
                <w:rFonts w:ascii="Arial" w:hAnsi="Arial" w:cs="Arial"/>
                <w:b/>
                <w:sz w:val="20"/>
                <w:szCs w:val="20"/>
                <w:vertAlign w:val="superscript"/>
              </w:rPr>
              <w:t xml:space="preserve"> ab</w:t>
            </w:r>
          </w:p>
        </w:tc>
        <w:tc>
          <w:tcPr>
            <w:tcW w:w="900" w:type="dxa"/>
          </w:tcPr>
          <w:p w14:paraId="7E04660C"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1.383</w:t>
            </w:r>
            <w:r w:rsidRPr="00E67845">
              <w:rPr>
                <w:rFonts w:ascii="Arial" w:hAnsi="Arial" w:cs="Arial"/>
                <w:b/>
                <w:sz w:val="20"/>
                <w:szCs w:val="20"/>
                <w:vertAlign w:val="superscript"/>
              </w:rPr>
              <w:t xml:space="preserve"> ab</w:t>
            </w:r>
          </w:p>
        </w:tc>
        <w:tc>
          <w:tcPr>
            <w:tcW w:w="896" w:type="dxa"/>
          </w:tcPr>
          <w:p w14:paraId="09CBD924"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0.628</w:t>
            </w:r>
            <w:r w:rsidRPr="00E67845">
              <w:rPr>
                <w:rFonts w:ascii="Arial" w:hAnsi="Arial" w:cs="Arial"/>
                <w:b/>
                <w:sz w:val="20"/>
                <w:szCs w:val="20"/>
                <w:vertAlign w:val="superscript"/>
              </w:rPr>
              <w:t xml:space="preserve"> ab</w:t>
            </w:r>
          </w:p>
        </w:tc>
        <w:tc>
          <w:tcPr>
            <w:tcW w:w="1174" w:type="dxa"/>
          </w:tcPr>
          <w:p w14:paraId="6C55FA70"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2.320</w:t>
            </w:r>
            <w:r w:rsidRPr="00E67845">
              <w:rPr>
                <w:rFonts w:ascii="Arial" w:hAnsi="Arial" w:cs="Arial"/>
                <w:b/>
                <w:sz w:val="20"/>
                <w:szCs w:val="20"/>
                <w:vertAlign w:val="superscript"/>
              </w:rPr>
              <w:t xml:space="preserve"> a</w:t>
            </w:r>
          </w:p>
        </w:tc>
      </w:tr>
      <w:tr w:rsidR="00AB1365" w:rsidRPr="00E67845" w14:paraId="33C03F9D" w14:textId="77777777" w:rsidTr="00AB1365">
        <w:trPr>
          <w:trHeight w:val="416"/>
        </w:trPr>
        <w:tc>
          <w:tcPr>
            <w:tcW w:w="1350" w:type="dxa"/>
          </w:tcPr>
          <w:p w14:paraId="6FEF0CB5"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High x low</w:t>
            </w:r>
          </w:p>
        </w:tc>
        <w:tc>
          <w:tcPr>
            <w:tcW w:w="270" w:type="dxa"/>
          </w:tcPr>
          <w:p w14:paraId="38A11213" w14:textId="77777777" w:rsidR="00AB1365" w:rsidRPr="00E67845" w:rsidRDefault="00AB1365" w:rsidP="0083042F">
            <w:pPr>
              <w:tabs>
                <w:tab w:val="left" w:pos="0"/>
              </w:tabs>
              <w:spacing w:line="276" w:lineRule="auto"/>
              <w:rPr>
                <w:rFonts w:ascii="Arial" w:hAnsi="Arial" w:cs="Arial"/>
                <w:sz w:val="20"/>
                <w:szCs w:val="20"/>
              </w:rPr>
            </w:pPr>
          </w:p>
        </w:tc>
        <w:tc>
          <w:tcPr>
            <w:tcW w:w="630" w:type="dxa"/>
          </w:tcPr>
          <w:p w14:paraId="40C771FE" w14:textId="17627EA4" w:rsidR="00AB1365" w:rsidRPr="00E67845" w:rsidRDefault="00AB1365" w:rsidP="0083042F">
            <w:pPr>
              <w:tabs>
                <w:tab w:val="left" w:pos="0"/>
              </w:tabs>
              <w:spacing w:line="276" w:lineRule="auto"/>
              <w:rPr>
                <w:rFonts w:ascii="Arial" w:hAnsi="Arial" w:cs="Arial"/>
                <w:sz w:val="20"/>
                <w:szCs w:val="20"/>
              </w:rPr>
            </w:pPr>
          </w:p>
        </w:tc>
        <w:tc>
          <w:tcPr>
            <w:tcW w:w="720" w:type="dxa"/>
          </w:tcPr>
          <w:p w14:paraId="3E6CE907" w14:textId="77777777" w:rsidR="00AB1365" w:rsidRPr="00E67845" w:rsidRDefault="00AB1365" w:rsidP="0083042F">
            <w:pPr>
              <w:tabs>
                <w:tab w:val="left" w:pos="0"/>
              </w:tabs>
              <w:spacing w:line="276" w:lineRule="auto"/>
              <w:rPr>
                <w:rFonts w:ascii="Arial" w:hAnsi="Arial" w:cs="Arial"/>
                <w:sz w:val="20"/>
                <w:szCs w:val="20"/>
              </w:rPr>
            </w:pPr>
          </w:p>
        </w:tc>
        <w:tc>
          <w:tcPr>
            <w:tcW w:w="1350" w:type="dxa"/>
          </w:tcPr>
          <w:p w14:paraId="73347D84"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3.516</w:t>
            </w:r>
          </w:p>
        </w:tc>
        <w:tc>
          <w:tcPr>
            <w:tcW w:w="720" w:type="dxa"/>
          </w:tcPr>
          <w:p w14:paraId="3FC03833"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1.308</w:t>
            </w:r>
          </w:p>
        </w:tc>
        <w:tc>
          <w:tcPr>
            <w:tcW w:w="990" w:type="dxa"/>
          </w:tcPr>
          <w:p w14:paraId="4C38D11F"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1.702</w:t>
            </w:r>
            <w:r w:rsidRPr="00E67845">
              <w:rPr>
                <w:rFonts w:ascii="Arial" w:hAnsi="Arial" w:cs="Arial"/>
                <w:b/>
                <w:sz w:val="20"/>
                <w:szCs w:val="20"/>
                <w:vertAlign w:val="superscript"/>
              </w:rPr>
              <w:t xml:space="preserve"> a</w:t>
            </w:r>
          </w:p>
        </w:tc>
        <w:tc>
          <w:tcPr>
            <w:tcW w:w="900" w:type="dxa"/>
          </w:tcPr>
          <w:p w14:paraId="3ABB6EE0"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1.112</w:t>
            </w:r>
            <w:r w:rsidRPr="00E67845">
              <w:rPr>
                <w:rFonts w:ascii="Arial" w:hAnsi="Arial" w:cs="Arial"/>
                <w:b/>
                <w:sz w:val="20"/>
                <w:szCs w:val="20"/>
                <w:vertAlign w:val="superscript"/>
              </w:rPr>
              <w:t xml:space="preserve"> b</w:t>
            </w:r>
          </w:p>
        </w:tc>
        <w:tc>
          <w:tcPr>
            <w:tcW w:w="896" w:type="dxa"/>
          </w:tcPr>
          <w:p w14:paraId="43994E55"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0.505</w:t>
            </w:r>
            <w:r w:rsidRPr="00E67845">
              <w:rPr>
                <w:rFonts w:ascii="Arial" w:hAnsi="Arial" w:cs="Arial"/>
                <w:b/>
                <w:sz w:val="20"/>
                <w:szCs w:val="20"/>
                <w:vertAlign w:val="superscript"/>
              </w:rPr>
              <w:t xml:space="preserve"> b</w:t>
            </w:r>
          </w:p>
        </w:tc>
        <w:tc>
          <w:tcPr>
            <w:tcW w:w="1174" w:type="dxa"/>
          </w:tcPr>
          <w:p w14:paraId="6B5EED3D"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2.701</w:t>
            </w:r>
            <w:r w:rsidRPr="00E67845">
              <w:rPr>
                <w:rFonts w:ascii="Arial" w:hAnsi="Arial" w:cs="Arial"/>
                <w:b/>
                <w:sz w:val="20"/>
                <w:szCs w:val="20"/>
                <w:vertAlign w:val="superscript"/>
              </w:rPr>
              <w:t xml:space="preserve"> a</w:t>
            </w:r>
          </w:p>
        </w:tc>
      </w:tr>
      <w:tr w:rsidR="00AB1365" w:rsidRPr="00E67845" w14:paraId="36D3F7B7" w14:textId="77777777" w:rsidTr="00AB1365">
        <w:trPr>
          <w:trHeight w:val="416"/>
        </w:trPr>
        <w:tc>
          <w:tcPr>
            <w:tcW w:w="1350" w:type="dxa"/>
          </w:tcPr>
          <w:p w14:paraId="715526A6"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High x high</w:t>
            </w:r>
          </w:p>
        </w:tc>
        <w:tc>
          <w:tcPr>
            <w:tcW w:w="270" w:type="dxa"/>
          </w:tcPr>
          <w:p w14:paraId="12CAD98B" w14:textId="77777777" w:rsidR="00AB1365" w:rsidRPr="00E67845" w:rsidRDefault="00AB1365" w:rsidP="0083042F">
            <w:pPr>
              <w:tabs>
                <w:tab w:val="left" w:pos="0"/>
              </w:tabs>
              <w:spacing w:line="276" w:lineRule="auto"/>
              <w:rPr>
                <w:rFonts w:ascii="Arial" w:hAnsi="Arial" w:cs="Arial"/>
                <w:sz w:val="20"/>
                <w:szCs w:val="20"/>
              </w:rPr>
            </w:pPr>
          </w:p>
        </w:tc>
        <w:tc>
          <w:tcPr>
            <w:tcW w:w="630" w:type="dxa"/>
          </w:tcPr>
          <w:p w14:paraId="6AB8AC7B" w14:textId="163F3B19" w:rsidR="00AB1365" w:rsidRPr="00E67845" w:rsidRDefault="00AB1365" w:rsidP="0083042F">
            <w:pPr>
              <w:tabs>
                <w:tab w:val="left" w:pos="0"/>
              </w:tabs>
              <w:spacing w:line="276" w:lineRule="auto"/>
              <w:rPr>
                <w:rFonts w:ascii="Arial" w:hAnsi="Arial" w:cs="Arial"/>
                <w:sz w:val="20"/>
                <w:szCs w:val="20"/>
              </w:rPr>
            </w:pPr>
          </w:p>
        </w:tc>
        <w:tc>
          <w:tcPr>
            <w:tcW w:w="720" w:type="dxa"/>
          </w:tcPr>
          <w:p w14:paraId="49BDE664" w14:textId="77777777" w:rsidR="00AB1365" w:rsidRPr="00E67845" w:rsidRDefault="00AB1365" w:rsidP="0083042F">
            <w:pPr>
              <w:tabs>
                <w:tab w:val="left" w:pos="0"/>
              </w:tabs>
              <w:spacing w:line="276" w:lineRule="auto"/>
              <w:rPr>
                <w:rFonts w:ascii="Arial" w:hAnsi="Arial" w:cs="Arial"/>
                <w:sz w:val="20"/>
                <w:szCs w:val="20"/>
              </w:rPr>
            </w:pPr>
          </w:p>
        </w:tc>
        <w:tc>
          <w:tcPr>
            <w:tcW w:w="1350" w:type="dxa"/>
          </w:tcPr>
          <w:p w14:paraId="153C5FE6"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3.548</w:t>
            </w:r>
          </w:p>
        </w:tc>
        <w:tc>
          <w:tcPr>
            <w:tcW w:w="720" w:type="dxa"/>
          </w:tcPr>
          <w:p w14:paraId="4837BEAA"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1.700</w:t>
            </w:r>
          </w:p>
        </w:tc>
        <w:tc>
          <w:tcPr>
            <w:tcW w:w="990" w:type="dxa"/>
          </w:tcPr>
          <w:p w14:paraId="1D9A5DDF"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1.094</w:t>
            </w:r>
            <w:r w:rsidRPr="00E67845">
              <w:rPr>
                <w:rFonts w:ascii="Arial" w:hAnsi="Arial" w:cs="Arial"/>
                <w:b/>
                <w:sz w:val="20"/>
                <w:szCs w:val="20"/>
                <w:vertAlign w:val="superscript"/>
              </w:rPr>
              <w:t xml:space="preserve"> ab</w:t>
            </w:r>
          </w:p>
        </w:tc>
        <w:tc>
          <w:tcPr>
            <w:tcW w:w="900" w:type="dxa"/>
          </w:tcPr>
          <w:p w14:paraId="460FECE2"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1.556</w:t>
            </w:r>
            <w:r w:rsidRPr="00E67845">
              <w:rPr>
                <w:rFonts w:ascii="Arial" w:hAnsi="Arial" w:cs="Arial"/>
                <w:b/>
                <w:sz w:val="20"/>
                <w:szCs w:val="20"/>
                <w:vertAlign w:val="superscript"/>
              </w:rPr>
              <w:t xml:space="preserve"> a</w:t>
            </w:r>
          </w:p>
        </w:tc>
        <w:tc>
          <w:tcPr>
            <w:tcW w:w="896" w:type="dxa"/>
          </w:tcPr>
          <w:p w14:paraId="6BFF6EC5"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0.707</w:t>
            </w:r>
            <w:r w:rsidRPr="00E67845">
              <w:rPr>
                <w:rFonts w:ascii="Arial" w:hAnsi="Arial" w:cs="Arial"/>
                <w:b/>
                <w:sz w:val="20"/>
                <w:szCs w:val="20"/>
                <w:vertAlign w:val="superscript"/>
              </w:rPr>
              <w:t xml:space="preserve"> a</w:t>
            </w:r>
          </w:p>
        </w:tc>
        <w:tc>
          <w:tcPr>
            <w:tcW w:w="1174" w:type="dxa"/>
          </w:tcPr>
          <w:p w14:paraId="41495F25"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1.810</w:t>
            </w:r>
            <w:r w:rsidRPr="00E67845">
              <w:rPr>
                <w:rFonts w:ascii="Arial" w:hAnsi="Arial" w:cs="Arial"/>
                <w:b/>
                <w:sz w:val="20"/>
                <w:szCs w:val="20"/>
                <w:vertAlign w:val="superscript"/>
              </w:rPr>
              <w:t xml:space="preserve"> a</w:t>
            </w:r>
          </w:p>
        </w:tc>
      </w:tr>
      <w:tr w:rsidR="00AB1365" w:rsidRPr="00E67845" w14:paraId="48F7BA5E" w14:textId="77777777" w:rsidTr="00AB1365">
        <w:trPr>
          <w:trHeight w:val="416"/>
        </w:trPr>
        <w:tc>
          <w:tcPr>
            <w:tcW w:w="1350" w:type="dxa"/>
          </w:tcPr>
          <w:p w14:paraId="7CD3092F"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b/>
                <w:sz w:val="20"/>
                <w:szCs w:val="20"/>
              </w:rPr>
              <w:t>SEM</w:t>
            </w:r>
          </w:p>
        </w:tc>
        <w:tc>
          <w:tcPr>
            <w:tcW w:w="270" w:type="dxa"/>
          </w:tcPr>
          <w:p w14:paraId="5CE8F6D9" w14:textId="77777777" w:rsidR="00AB1365" w:rsidRPr="00E67845" w:rsidRDefault="00AB1365" w:rsidP="0083042F">
            <w:pPr>
              <w:tabs>
                <w:tab w:val="left" w:pos="0"/>
              </w:tabs>
              <w:spacing w:line="276" w:lineRule="auto"/>
              <w:rPr>
                <w:rFonts w:ascii="Arial" w:hAnsi="Arial" w:cs="Arial"/>
                <w:sz w:val="20"/>
                <w:szCs w:val="20"/>
              </w:rPr>
            </w:pPr>
          </w:p>
        </w:tc>
        <w:tc>
          <w:tcPr>
            <w:tcW w:w="630" w:type="dxa"/>
          </w:tcPr>
          <w:p w14:paraId="47144AE2" w14:textId="0B086A76" w:rsidR="00AB1365" w:rsidRPr="00E67845" w:rsidRDefault="00AB1365" w:rsidP="0083042F">
            <w:pPr>
              <w:tabs>
                <w:tab w:val="left" w:pos="0"/>
              </w:tabs>
              <w:spacing w:line="276" w:lineRule="auto"/>
              <w:rPr>
                <w:rFonts w:ascii="Arial" w:hAnsi="Arial" w:cs="Arial"/>
                <w:sz w:val="20"/>
                <w:szCs w:val="20"/>
              </w:rPr>
            </w:pPr>
          </w:p>
        </w:tc>
        <w:tc>
          <w:tcPr>
            <w:tcW w:w="720" w:type="dxa"/>
          </w:tcPr>
          <w:p w14:paraId="70898ED9" w14:textId="77777777" w:rsidR="00AB1365" w:rsidRPr="00E67845" w:rsidRDefault="00AB1365" w:rsidP="0083042F">
            <w:pPr>
              <w:tabs>
                <w:tab w:val="left" w:pos="0"/>
              </w:tabs>
              <w:spacing w:line="276" w:lineRule="auto"/>
              <w:rPr>
                <w:rFonts w:ascii="Arial" w:hAnsi="Arial" w:cs="Arial"/>
                <w:sz w:val="20"/>
                <w:szCs w:val="20"/>
              </w:rPr>
            </w:pPr>
          </w:p>
        </w:tc>
        <w:tc>
          <w:tcPr>
            <w:tcW w:w="1350" w:type="dxa"/>
          </w:tcPr>
          <w:p w14:paraId="683A175C"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0.035</w:t>
            </w:r>
          </w:p>
        </w:tc>
        <w:tc>
          <w:tcPr>
            <w:tcW w:w="720" w:type="dxa"/>
          </w:tcPr>
          <w:p w14:paraId="179F206E"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0.092</w:t>
            </w:r>
          </w:p>
        </w:tc>
        <w:tc>
          <w:tcPr>
            <w:tcW w:w="990" w:type="dxa"/>
          </w:tcPr>
          <w:p w14:paraId="4EABE70A"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0.100</w:t>
            </w:r>
          </w:p>
        </w:tc>
        <w:tc>
          <w:tcPr>
            <w:tcW w:w="900" w:type="dxa"/>
          </w:tcPr>
          <w:p w14:paraId="33CB449F"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0.063</w:t>
            </w:r>
          </w:p>
        </w:tc>
        <w:tc>
          <w:tcPr>
            <w:tcW w:w="896" w:type="dxa"/>
          </w:tcPr>
          <w:p w14:paraId="1814675F"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0.063</w:t>
            </w:r>
          </w:p>
        </w:tc>
        <w:tc>
          <w:tcPr>
            <w:tcW w:w="1174" w:type="dxa"/>
          </w:tcPr>
          <w:p w14:paraId="61CE78A8" w14:textId="77777777" w:rsidR="00AB1365" w:rsidRPr="00E67845" w:rsidRDefault="00AB1365" w:rsidP="0083042F">
            <w:pPr>
              <w:tabs>
                <w:tab w:val="left" w:pos="0"/>
              </w:tabs>
              <w:spacing w:line="276" w:lineRule="auto"/>
              <w:rPr>
                <w:rFonts w:ascii="Arial" w:hAnsi="Arial" w:cs="Arial"/>
                <w:sz w:val="20"/>
                <w:szCs w:val="20"/>
              </w:rPr>
            </w:pPr>
            <w:r w:rsidRPr="00E67845">
              <w:rPr>
                <w:rFonts w:ascii="Arial" w:hAnsi="Arial" w:cs="Arial"/>
                <w:sz w:val="20"/>
                <w:szCs w:val="20"/>
              </w:rPr>
              <w:t>0.091</w:t>
            </w:r>
          </w:p>
        </w:tc>
      </w:tr>
      <w:tr w:rsidR="00AB1365" w:rsidRPr="00E67845" w14:paraId="411A7ADC" w14:textId="77777777" w:rsidTr="00AB1365">
        <w:trPr>
          <w:trHeight w:val="394"/>
        </w:trPr>
        <w:tc>
          <w:tcPr>
            <w:tcW w:w="1350" w:type="dxa"/>
          </w:tcPr>
          <w:p w14:paraId="62B59338" w14:textId="77777777" w:rsidR="00AB1365" w:rsidRPr="00E67845" w:rsidRDefault="00AB1365" w:rsidP="0083042F">
            <w:pPr>
              <w:tabs>
                <w:tab w:val="left" w:pos="0"/>
              </w:tabs>
              <w:rPr>
                <w:rFonts w:ascii="Arial" w:hAnsi="Arial" w:cs="Arial"/>
                <w:b/>
                <w:sz w:val="20"/>
                <w:szCs w:val="20"/>
              </w:rPr>
            </w:pPr>
            <w:r w:rsidRPr="00E67845">
              <w:rPr>
                <w:rFonts w:ascii="Arial" w:hAnsi="Arial" w:cs="Arial"/>
                <w:b/>
                <w:sz w:val="20"/>
                <w:szCs w:val="20"/>
              </w:rPr>
              <w:t>P- value</w:t>
            </w:r>
          </w:p>
        </w:tc>
        <w:tc>
          <w:tcPr>
            <w:tcW w:w="270" w:type="dxa"/>
          </w:tcPr>
          <w:p w14:paraId="34DCF8F6" w14:textId="77777777" w:rsidR="00AB1365" w:rsidRPr="00E67845" w:rsidRDefault="00AB1365" w:rsidP="0083042F">
            <w:pPr>
              <w:tabs>
                <w:tab w:val="left" w:pos="0"/>
              </w:tabs>
              <w:rPr>
                <w:rFonts w:ascii="Arial" w:hAnsi="Arial" w:cs="Arial"/>
                <w:sz w:val="20"/>
                <w:szCs w:val="20"/>
              </w:rPr>
            </w:pPr>
          </w:p>
        </w:tc>
        <w:tc>
          <w:tcPr>
            <w:tcW w:w="630" w:type="dxa"/>
          </w:tcPr>
          <w:p w14:paraId="6ADDBAD6" w14:textId="7052D5B2" w:rsidR="00AB1365" w:rsidRPr="00E67845" w:rsidRDefault="00AB1365" w:rsidP="0083042F">
            <w:pPr>
              <w:tabs>
                <w:tab w:val="left" w:pos="0"/>
              </w:tabs>
              <w:rPr>
                <w:rFonts w:ascii="Arial" w:hAnsi="Arial" w:cs="Arial"/>
                <w:sz w:val="20"/>
                <w:szCs w:val="20"/>
              </w:rPr>
            </w:pPr>
          </w:p>
        </w:tc>
        <w:tc>
          <w:tcPr>
            <w:tcW w:w="720" w:type="dxa"/>
          </w:tcPr>
          <w:p w14:paraId="5755885F" w14:textId="77777777" w:rsidR="00AB1365" w:rsidRPr="00E67845" w:rsidRDefault="00AB1365" w:rsidP="0083042F">
            <w:pPr>
              <w:tabs>
                <w:tab w:val="left" w:pos="0"/>
              </w:tabs>
              <w:rPr>
                <w:rFonts w:ascii="Arial" w:hAnsi="Arial" w:cs="Arial"/>
                <w:sz w:val="20"/>
                <w:szCs w:val="20"/>
              </w:rPr>
            </w:pPr>
          </w:p>
        </w:tc>
        <w:tc>
          <w:tcPr>
            <w:tcW w:w="1350" w:type="dxa"/>
          </w:tcPr>
          <w:p w14:paraId="075D7C42" w14:textId="77777777" w:rsidR="00AB1365" w:rsidRPr="00E67845" w:rsidRDefault="00AB1365" w:rsidP="0083042F">
            <w:pPr>
              <w:tabs>
                <w:tab w:val="left" w:pos="0"/>
              </w:tabs>
              <w:rPr>
                <w:rFonts w:ascii="Arial" w:hAnsi="Arial" w:cs="Arial"/>
                <w:sz w:val="20"/>
                <w:szCs w:val="20"/>
              </w:rPr>
            </w:pPr>
          </w:p>
        </w:tc>
        <w:tc>
          <w:tcPr>
            <w:tcW w:w="720" w:type="dxa"/>
          </w:tcPr>
          <w:p w14:paraId="287497FD" w14:textId="77777777" w:rsidR="00AB1365" w:rsidRPr="00E67845" w:rsidRDefault="00AB1365" w:rsidP="0083042F">
            <w:pPr>
              <w:tabs>
                <w:tab w:val="left" w:pos="0"/>
              </w:tabs>
              <w:rPr>
                <w:rFonts w:ascii="Arial" w:hAnsi="Arial" w:cs="Arial"/>
                <w:sz w:val="20"/>
                <w:szCs w:val="20"/>
              </w:rPr>
            </w:pPr>
          </w:p>
        </w:tc>
        <w:tc>
          <w:tcPr>
            <w:tcW w:w="990" w:type="dxa"/>
          </w:tcPr>
          <w:p w14:paraId="1BF79E9A" w14:textId="77777777" w:rsidR="00AB1365" w:rsidRPr="00E67845" w:rsidRDefault="00AB1365" w:rsidP="0083042F">
            <w:pPr>
              <w:tabs>
                <w:tab w:val="left" w:pos="0"/>
              </w:tabs>
              <w:rPr>
                <w:rFonts w:ascii="Arial" w:hAnsi="Arial" w:cs="Arial"/>
                <w:sz w:val="20"/>
                <w:szCs w:val="20"/>
              </w:rPr>
            </w:pPr>
          </w:p>
        </w:tc>
        <w:tc>
          <w:tcPr>
            <w:tcW w:w="900" w:type="dxa"/>
          </w:tcPr>
          <w:p w14:paraId="058C3DAF" w14:textId="77777777" w:rsidR="00AB1365" w:rsidRPr="00E67845" w:rsidRDefault="00AB1365" w:rsidP="0083042F">
            <w:pPr>
              <w:tabs>
                <w:tab w:val="left" w:pos="0"/>
              </w:tabs>
              <w:rPr>
                <w:rFonts w:ascii="Arial" w:hAnsi="Arial" w:cs="Arial"/>
                <w:sz w:val="20"/>
                <w:szCs w:val="20"/>
              </w:rPr>
            </w:pPr>
          </w:p>
        </w:tc>
        <w:tc>
          <w:tcPr>
            <w:tcW w:w="896" w:type="dxa"/>
          </w:tcPr>
          <w:p w14:paraId="70271DD7" w14:textId="77777777" w:rsidR="00AB1365" w:rsidRPr="00E67845" w:rsidRDefault="00AB1365" w:rsidP="0083042F">
            <w:pPr>
              <w:tabs>
                <w:tab w:val="left" w:pos="0"/>
              </w:tabs>
              <w:rPr>
                <w:rFonts w:ascii="Arial" w:hAnsi="Arial" w:cs="Arial"/>
                <w:sz w:val="20"/>
                <w:szCs w:val="20"/>
              </w:rPr>
            </w:pPr>
          </w:p>
        </w:tc>
        <w:tc>
          <w:tcPr>
            <w:tcW w:w="1174" w:type="dxa"/>
          </w:tcPr>
          <w:p w14:paraId="27B0B4F2" w14:textId="77777777" w:rsidR="00AB1365" w:rsidRPr="00E67845" w:rsidRDefault="00AB1365" w:rsidP="0083042F">
            <w:pPr>
              <w:tabs>
                <w:tab w:val="left" w:pos="0"/>
              </w:tabs>
              <w:rPr>
                <w:rFonts w:ascii="Arial" w:hAnsi="Arial" w:cs="Arial"/>
                <w:sz w:val="20"/>
                <w:szCs w:val="20"/>
              </w:rPr>
            </w:pPr>
          </w:p>
        </w:tc>
      </w:tr>
      <w:tr w:rsidR="00AB1365" w:rsidRPr="00E67845" w14:paraId="24D0B995" w14:textId="77777777" w:rsidTr="00AB1365">
        <w:trPr>
          <w:trHeight w:val="260"/>
        </w:trPr>
        <w:tc>
          <w:tcPr>
            <w:tcW w:w="1350" w:type="dxa"/>
          </w:tcPr>
          <w:p w14:paraId="2FE826AF"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Fat</w:t>
            </w:r>
          </w:p>
        </w:tc>
        <w:tc>
          <w:tcPr>
            <w:tcW w:w="270" w:type="dxa"/>
          </w:tcPr>
          <w:p w14:paraId="0A85EEB0" w14:textId="77777777" w:rsidR="00AB1365" w:rsidRPr="00E67845" w:rsidRDefault="00AB1365" w:rsidP="0083042F">
            <w:pPr>
              <w:tabs>
                <w:tab w:val="left" w:pos="0"/>
              </w:tabs>
              <w:rPr>
                <w:rFonts w:ascii="Arial" w:hAnsi="Arial" w:cs="Arial"/>
                <w:sz w:val="20"/>
                <w:szCs w:val="20"/>
              </w:rPr>
            </w:pPr>
          </w:p>
        </w:tc>
        <w:tc>
          <w:tcPr>
            <w:tcW w:w="630" w:type="dxa"/>
          </w:tcPr>
          <w:p w14:paraId="7820DC77" w14:textId="1C47D368" w:rsidR="00AB1365" w:rsidRPr="00E67845" w:rsidRDefault="00AB1365" w:rsidP="0083042F">
            <w:pPr>
              <w:tabs>
                <w:tab w:val="left" w:pos="0"/>
              </w:tabs>
              <w:rPr>
                <w:rFonts w:ascii="Arial" w:hAnsi="Arial" w:cs="Arial"/>
                <w:sz w:val="20"/>
                <w:szCs w:val="20"/>
              </w:rPr>
            </w:pPr>
          </w:p>
        </w:tc>
        <w:tc>
          <w:tcPr>
            <w:tcW w:w="720" w:type="dxa"/>
          </w:tcPr>
          <w:p w14:paraId="1FB6B9B8" w14:textId="77777777" w:rsidR="00AB1365" w:rsidRPr="00E67845" w:rsidRDefault="00AB1365" w:rsidP="0083042F">
            <w:pPr>
              <w:tabs>
                <w:tab w:val="left" w:pos="0"/>
              </w:tabs>
              <w:rPr>
                <w:rFonts w:ascii="Arial" w:hAnsi="Arial" w:cs="Arial"/>
                <w:sz w:val="20"/>
                <w:szCs w:val="20"/>
              </w:rPr>
            </w:pPr>
          </w:p>
        </w:tc>
        <w:tc>
          <w:tcPr>
            <w:tcW w:w="1350" w:type="dxa"/>
          </w:tcPr>
          <w:p w14:paraId="3FFF7E51"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0.824</w:t>
            </w:r>
          </w:p>
        </w:tc>
        <w:tc>
          <w:tcPr>
            <w:tcW w:w="720" w:type="dxa"/>
          </w:tcPr>
          <w:p w14:paraId="479DC54A"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0.465</w:t>
            </w:r>
          </w:p>
        </w:tc>
        <w:tc>
          <w:tcPr>
            <w:tcW w:w="990" w:type="dxa"/>
          </w:tcPr>
          <w:p w14:paraId="0AA675E3"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0.172</w:t>
            </w:r>
          </w:p>
        </w:tc>
        <w:tc>
          <w:tcPr>
            <w:tcW w:w="900" w:type="dxa"/>
          </w:tcPr>
          <w:p w14:paraId="2F053C50"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0.034</w:t>
            </w:r>
          </w:p>
        </w:tc>
        <w:tc>
          <w:tcPr>
            <w:tcW w:w="896" w:type="dxa"/>
          </w:tcPr>
          <w:p w14:paraId="76E7A166"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0.035</w:t>
            </w:r>
          </w:p>
        </w:tc>
        <w:tc>
          <w:tcPr>
            <w:tcW w:w="1174" w:type="dxa"/>
          </w:tcPr>
          <w:p w14:paraId="2F27CC2D"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0.774</w:t>
            </w:r>
          </w:p>
        </w:tc>
      </w:tr>
      <w:tr w:rsidR="00AB1365" w:rsidRPr="00E67845" w14:paraId="2F4777E4" w14:textId="77777777" w:rsidTr="00AB1365">
        <w:trPr>
          <w:trHeight w:val="278"/>
        </w:trPr>
        <w:tc>
          <w:tcPr>
            <w:tcW w:w="1350" w:type="dxa"/>
          </w:tcPr>
          <w:p w14:paraId="766C5DCB"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Fibre</w:t>
            </w:r>
          </w:p>
        </w:tc>
        <w:tc>
          <w:tcPr>
            <w:tcW w:w="270" w:type="dxa"/>
          </w:tcPr>
          <w:p w14:paraId="7AD63AFD" w14:textId="77777777" w:rsidR="00AB1365" w:rsidRPr="00E67845" w:rsidRDefault="00AB1365" w:rsidP="0083042F">
            <w:pPr>
              <w:tabs>
                <w:tab w:val="left" w:pos="0"/>
              </w:tabs>
              <w:rPr>
                <w:rFonts w:ascii="Arial" w:hAnsi="Arial" w:cs="Arial"/>
                <w:sz w:val="20"/>
                <w:szCs w:val="20"/>
              </w:rPr>
            </w:pPr>
          </w:p>
        </w:tc>
        <w:tc>
          <w:tcPr>
            <w:tcW w:w="630" w:type="dxa"/>
          </w:tcPr>
          <w:p w14:paraId="36573EB1" w14:textId="4F22885D" w:rsidR="00AB1365" w:rsidRPr="00E67845" w:rsidRDefault="00AB1365" w:rsidP="0083042F">
            <w:pPr>
              <w:tabs>
                <w:tab w:val="left" w:pos="0"/>
              </w:tabs>
              <w:rPr>
                <w:rFonts w:ascii="Arial" w:hAnsi="Arial" w:cs="Arial"/>
                <w:sz w:val="20"/>
                <w:szCs w:val="20"/>
              </w:rPr>
            </w:pPr>
          </w:p>
        </w:tc>
        <w:tc>
          <w:tcPr>
            <w:tcW w:w="720" w:type="dxa"/>
          </w:tcPr>
          <w:p w14:paraId="4C0CCF36" w14:textId="77777777" w:rsidR="00AB1365" w:rsidRPr="00E67845" w:rsidRDefault="00AB1365" w:rsidP="0083042F">
            <w:pPr>
              <w:tabs>
                <w:tab w:val="left" w:pos="0"/>
              </w:tabs>
              <w:rPr>
                <w:rFonts w:ascii="Arial" w:hAnsi="Arial" w:cs="Arial"/>
                <w:sz w:val="20"/>
                <w:szCs w:val="20"/>
              </w:rPr>
            </w:pPr>
          </w:p>
        </w:tc>
        <w:tc>
          <w:tcPr>
            <w:tcW w:w="1350" w:type="dxa"/>
          </w:tcPr>
          <w:p w14:paraId="22762C53"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0.924</w:t>
            </w:r>
          </w:p>
        </w:tc>
        <w:tc>
          <w:tcPr>
            <w:tcW w:w="720" w:type="dxa"/>
          </w:tcPr>
          <w:p w14:paraId="2A8F4099"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0.428</w:t>
            </w:r>
          </w:p>
        </w:tc>
        <w:tc>
          <w:tcPr>
            <w:tcW w:w="990" w:type="dxa"/>
          </w:tcPr>
          <w:p w14:paraId="54ADFC41"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0.489</w:t>
            </w:r>
          </w:p>
        </w:tc>
        <w:tc>
          <w:tcPr>
            <w:tcW w:w="900" w:type="dxa"/>
          </w:tcPr>
          <w:p w14:paraId="31B33F2D"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0.385</w:t>
            </w:r>
          </w:p>
        </w:tc>
        <w:tc>
          <w:tcPr>
            <w:tcW w:w="896" w:type="dxa"/>
          </w:tcPr>
          <w:p w14:paraId="448B7AF6"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0.385</w:t>
            </w:r>
          </w:p>
        </w:tc>
        <w:tc>
          <w:tcPr>
            <w:tcW w:w="1174" w:type="dxa"/>
          </w:tcPr>
          <w:p w14:paraId="35F91280"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0.207</w:t>
            </w:r>
          </w:p>
        </w:tc>
      </w:tr>
      <w:tr w:rsidR="00AB1365" w:rsidRPr="00E67845" w14:paraId="31031107" w14:textId="77777777" w:rsidTr="00AB1365">
        <w:trPr>
          <w:trHeight w:val="284"/>
        </w:trPr>
        <w:tc>
          <w:tcPr>
            <w:tcW w:w="1350" w:type="dxa"/>
          </w:tcPr>
          <w:p w14:paraId="63CF32ED"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Fat x fibre</w:t>
            </w:r>
          </w:p>
        </w:tc>
        <w:tc>
          <w:tcPr>
            <w:tcW w:w="270" w:type="dxa"/>
          </w:tcPr>
          <w:p w14:paraId="696657E8" w14:textId="77777777" w:rsidR="00AB1365" w:rsidRPr="00E67845" w:rsidRDefault="00AB1365" w:rsidP="0083042F">
            <w:pPr>
              <w:tabs>
                <w:tab w:val="left" w:pos="0"/>
              </w:tabs>
              <w:rPr>
                <w:rFonts w:ascii="Arial" w:hAnsi="Arial" w:cs="Arial"/>
                <w:sz w:val="20"/>
                <w:szCs w:val="20"/>
              </w:rPr>
            </w:pPr>
          </w:p>
        </w:tc>
        <w:tc>
          <w:tcPr>
            <w:tcW w:w="630" w:type="dxa"/>
          </w:tcPr>
          <w:p w14:paraId="1EE1AAC8" w14:textId="07A1E8A3" w:rsidR="00AB1365" w:rsidRPr="00E67845" w:rsidRDefault="00AB1365" w:rsidP="0083042F">
            <w:pPr>
              <w:tabs>
                <w:tab w:val="left" w:pos="0"/>
              </w:tabs>
              <w:rPr>
                <w:rFonts w:ascii="Arial" w:hAnsi="Arial" w:cs="Arial"/>
                <w:sz w:val="20"/>
                <w:szCs w:val="20"/>
              </w:rPr>
            </w:pPr>
          </w:p>
        </w:tc>
        <w:tc>
          <w:tcPr>
            <w:tcW w:w="720" w:type="dxa"/>
          </w:tcPr>
          <w:p w14:paraId="526177B9" w14:textId="77777777" w:rsidR="00AB1365" w:rsidRPr="00E67845" w:rsidRDefault="00AB1365" w:rsidP="0083042F">
            <w:pPr>
              <w:tabs>
                <w:tab w:val="left" w:pos="0"/>
              </w:tabs>
              <w:rPr>
                <w:rFonts w:ascii="Arial" w:hAnsi="Arial" w:cs="Arial"/>
                <w:sz w:val="20"/>
                <w:szCs w:val="20"/>
              </w:rPr>
            </w:pPr>
          </w:p>
        </w:tc>
        <w:tc>
          <w:tcPr>
            <w:tcW w:w="1350" w:type="dxa"/>
          </w:tcPr>
          <w:p w14:paraId="003ACF79"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0.977</w:t>
            </w:r>
          </w:p>
        </w:tc>
        <w:tc>
          <w:tcPr>
            <w:tcW w:w="720" w:type="dxa"/>
          </w:tcPr>
          <w:p w14:paraId="6B361192"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0.080</w:t>
            </w:r>
          </w:p>
        </w:tc>
        <w:tc>
          <w:tcPr>
            <w:tcW w:w="990" w:type="dxa"/>
          </w:tcPr>
          <w:p w14:paraId="144D0C39"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0.006</w:t>
            </w:r>
          </w:p>
        </w:tc>
        <w:tc>
          <w:tcPr>
            <w:tcW w:w="900" w:type="dxa"/>
          </w:tcPr>
          <w:p w14:paraId="6ADAA412"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0.002</w:t>
            </w:r>
          </w:p>
        </w:tc>
        <w:tc>
          <w:tcPr>
            <w:tcW w:w="896" w:type="dxa"/>
          </w:tcPr>
          <w:p w14:paraId="60D53DAC"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0.002</w:t>
            </w:r>
          </w:p>
        </w:tc>
        <w:tc>
          <w:tcPr>
            <w:tcW w:w="1174" w:type="dxa"/>
          </w:tcPr>
          <w:p w14:paraId="6FABE87E" w14:textId="77777777" w:rsidR="00AB1365" w:rsidRPr="00E67845" w:rsidRDefault="00AB1365" w:rsidP="0083042F">
            <w:pPr>
              <w:tabs>
                <w:tab w:val="left" w:pos="0"/>
              </w:tabs>
              <w:rPr>
                <w:rFonts w:ascii="Arial" w:hAnsi="Arial" w:cs="Arial"/>
                <w:sz w:val="20"/>
                <w:szCs w:val="20"/>
              </w:rPr>
            </w:pPr>
            <w:r w:rsidRPr="00E67845">
              <w:rPr>
                <w:rFonts w:ascii="Arial" w:hAnsi="Arial" w:cs="Arial"/>
                <w:sz w:val="20"/>
                <w:szCs w:val="20"/>
              </w:rPr>
              <w:t>0.017</w:t>
            </w:r>
          </w:p>
        </w:tc>
      </w:tr>
    </w:tbl>
    <w:p w14:paraId="5DB0F8B5" w14:textId="77777777" w:rsidR="00A162D3" w:rsidRPr="00A162D3" w:rsidRDefault="00A162D3" w:rsidP="00AB1365">
      <w:pPr>
        <w:tabs>
          <w:tab w:val="left" w:pos="0"/>
        </w:tabs>
        <w:spacing w:after="0" w:line="240" w:lineRule="auto"/>
        <w:ind w:left="720"/>
        <w:rPr>
          <w:rFonts w:ascii="Arial" w:hAnsi="Arial" w:cs="Arial"/>
          <w:i/>
          <w:sz w:val="18"/>
          <w:szCs w:val="20"/>
        </w:rPr>
      </w:pPr>
      <w:r w:rsidRPr="00A162D3">
        <w:rPr>
          <w:rFonts w:ascii="Arial" w:hAnsi="Arial" w:cs="Arial"/>
          <w:i/>
          <w:sz w:val="18"/>
          <w:szCs w:val="20"/>
        </w:rPr>
        <w:t>Means bearing different superscripts (</w:t>
      </w:r>
      <w:r w:rsidRPr="00A162D3">
        <w:rPr>
          <w:rFonts w:ascii="Arial" w:hAnsi="Arial" w:cs="Arial"/>
          <w:b/>
          <w:i/>
          <w:sz w:val="18"/>
          <w:szCs w:val="20"/>
          <w:vertAlign w:val="superscript"/>
        </w:rPr>
        <w:t>abc</w:t>
      </w:r>
      <w:r w:rsidRPr="00A162D3">
        <w:rPr>
          <w:rFonts w:ascii="Arial" w:hAnsi="Arial" w:cs="Arial"/>
          <w:i/>
          <w:sz w:val="18"/>
          <w:szCs w:val="20"/>
        </w:rPr>
        <w:t>) in the same column are significantly different (P &lt; 0.05).</w:t>
      </w:r>
    </w:p>
    <w:p w14:paraId="69421650" w14:textId="4677CB07" w:rsidR="00A162D3" w:rsidRPr="00E67845" w:rsidRDefault="00A162D3" w:rsidP="00AB1365">
      <w:pPr>
        <w:tabs>
          <w:tab w:val="left" w:pos="0"/>
        </w:tabs>
        <w:spacing w:after="0" w:line="240" w:lineRule="auto"/>
        <w:ind w:left="720"/>
        <w:rPr>
          <w:rFonts w:ascii="Arial" w:hAnsi="Arial" w:cs="Arial"/>
          <w:sz w:val="20"/>
          <w:szCs w:val="20"/>
        </w:rPr>
      </w:pPr>
      <w:r w:rsidRPr="00A162D3">
        <w:rPr>
          <w:rFonts w:ascii="Arial" w:hAnsi="Arial" w:cs="Arial"/>
          <w:b/>
          <w:i/>
          <w:sz w:val="18"/>
          <w:szCs w:val="20"/>
        </w:rPr>
        <w:t>HDL</w:t>
      </w:r>
      <w:r w:rsidRPr="00A162D3">
        <w:rPr>
          <w:rFonts w:ascii="Arial" w:hAnsi="Arial" w:cs="Arial"/>
          <w:i/>
          <w:sz w:val="18"/>
          <w:szCs w:val="20"/>
        </w:rPr>
        <w:t xml:space="preserve">: High-density lipoprotein, </w:t>
      </w:r>
      <w:r w:rsidRPr="00A162D3">
        <w:rPr>
          <w:rFonts w:ascii="Arial" w:hAnsi="Arial" w:cs="Arial"/>
          <w:b/>
          <w:i/>
          <w:sz w:val="18"/>
          <w:szCs w:val="20"/>
        </w:rPr>
        <w:t>LDL</w:t>
      </w:r>
      <w:r w:rsidRPr="00A162D3">
        <w:rPr>
          <w:rFonts w:ascii="Arial" w:hAnsi="Arial" w:cs="Arial"/>
          <w:i/>
          <w:sz w:val="18"/>
          <w:szCs w:val="20"/>
        </w:rPr>
        <w:t xml:space="preserve">: Low-density lipoprotein, </w:t>
      </w:r>
      <w:r w:rsidRPr="00A162D3">
        <w:rPr>
          <w:rFonts w:ascii="Arial" w:hAnsi="Arial" w:cs="Arial"/>
          <w:b/>
          <w:i/>
          <w:sz w:val="18"/>
          <w:szCs w:val="20"/>
        </w:rPr>
        <w:t>TGA</w:t>
      </w:r>
      <w:r w:rsidRPr="00A162D3">
        <w:rPr>
          <w:rFonts w:ascii="Arial" w:hAnsi="Arial" w:cs="Arial"/>
          <w:i/>
          <w:sz w:val="18"/>
          <w:szCs w:val="20"/>
        </w:rPr>
        <w:t xml:space="preserve">: Triglyceride, </w:t>
      </w:r>
      <w:r w:rsidRPr="00A162D3">
        <w:rPr>
          <w:rFonts w:ascii="Arial" w:hAnsi="Arial" w:cs="Arial"/>
          <w:b/>
          <w:i/>
          <w:sz w:val="18"/>
          <w:szCs w:val="20"/>
        </w:rPr>
        <w:t>VLDL</w:t>
      </w:r>
      <w:r w:rsidRPr="00A162D3">
        <w:rPr>
          <w:rFonts w:ascii="Arial" w:hAnsi="Arial" w:cs="Arial"/>
          <w:i/>
          <w:sz w:val="18"/>
          <w:szCs w:val="20"/>
        </w:rPr>
        <w:t>: Very low-density lipoprotein.</w:t>
      </w:r>
    </w:p>
    <w:p w14:paraId="275EDDBF" w14:textId="77777777" w:rsidR="00A162D3" w:rsidRPr="00E67845" w:rsidRDefault="00A162D3" w:rsidP="0083042F">
      <w:pPr>
        <w:tabs>
          <w:tab w:val="left" w:pos="0"/>
        </w:tabs>
        <w:spacing w:line="240" w:lineRule="auto"/>
        <w:rPr>
          <w:rFonts w:ascii="Arial" w:hAnsi="Arial" w:cs="Arial"/>
          <w:sz w:val="20"/>
          <w:szCs w:val="20"/>
        </w:rPr>
      </w:pPr>
    </w:p>
    <w:p w14:paraId="7D6DA453" w14:textId="77777777" w:rsidR="00A162D3" w:rsidRPr="00E67845" w:rsidRDefault="00A162D3" w:rsidP="0083042F">
      <w:pPr>
        <w:tabs>
          <w:tab w:val="left" w:pos="0"/>
        </w:tabs>
        <w:rPr>
          <w:rFonts w:ascii="Arial" w:hAnsi="Arial" w:cs="Arial"/>
          <w:sz w:val="20"/>
          <w:szCs w:val="20"/>
        </w:rPr>
      </w:pPr>
    </w:p>
    <w:p w14:paraId="49B2BF23" w14:textId="77777777" w:rsidR="00A162D3" w:rsidRDefault="00A162D3" w:rsidP="0083042F">
      <w:pPr>
        <w:tabs>
          <w:tab w:val="left" w:pos="0"/>
        </w:tabs>
        <w:spacing w:before="240" w:line="480" w:lineRule="auto"/>
        <w:ind w:left="-567"/>
        <w:jc w:val="both"/>
        <w:rPr>
          <w:rFonts w:ascii="Arial" w:hAnsi="Arial" w:cs="Arial"/>
          <w:sz w:val="20"/>
          <w:szCs w:val="20"/>
        </w:rPr>
      </w:pPr>
    </w:p>
    <w:p w14:paraId="2C7FD513" w14:textId="31317CA3" w:rsidR="00C74F6C" w:rsidRPr="007F123F" w:rsidRDefault="000D34CA" w:rsidP="00AB1365">
      <w:pPr>
        <w:tabs>
          <w:tab w:val="left" w:pos="0"/>
        </w:tabs>
        <w:spacing w:before="240" w:line="480" w:lineRule="auto"/>
        <w:jc w:val="both"/>
        <w:rPr>
          <w:rFonts w:ascii="Arial" w:hAnsi="Arial" w:cs="Arial"/>
          <w:sz w:val="20"/>
          <w:szCs w:val="20"/>
        </w:rPr>
      </w:pPr>
      <w:r w:rsidRPr="007F123F">
        <w:rPr>
          <w:rFonts w:ascii="Arial" w:hAnsi="Arial" w:cs="Arial"/>
          <w:sz w:val="20"/>
          <w:szCs w:val="20"/>
        </w:rPr>
        <w:lastRenderedPageBreak/>
        <w:t xml:space="preserve">The lipid profile analysis showed that high levels of coconut oil in the diet led to a reduction in triglycerides (TGA) and very low-density lipoprotein (VLDL) levels in Albino rats, aligning with previous studies of </w:t>
      </w:r>
      <w:r w:rsidRPr="007F123F">
        <w:rPr>
          <w:rFonts w:ascii="Arial" w:hAnsi="Arial" w:cs="Arial"/>
          <w:sz w:val="20"/>
          <w:szCs w:val="20"/>
        </w:rPr>
        <w:fldChar w:fldCharType="begin" w:fldLock="1"/>
      </w:r>
      <w:r w:rsidR="0095535F" w:rsidRPr="007F123F">
        <w:rPr>
          <w:rFonts w:ascii="Arial" w:hAnsi="Arial" w:cs="Arial"/>
          <w:sz w:val="20"/>
          <w:szCs w:val="20"/>
        </w:rPr>
        <w:instrText>ADDIN CSL_CITATION {"citationItems":[{"id":"ITEM-1","itemData":{"DOI":"10.1016/J.JNUTBIO.2023.109272","ISSN":"18734847","PMID":"36681309","abstract":"This study was designed to evaluate the long-term effects of Fructose (20%) feeding in rats, simulating metabolic syndrome (MetS), and the effects of coconut oil (C.O.) supplementation when administered in a MetS context. MetS is a cluster of systemic conditions that represent an increased chance of developing cardiovascular diseases and type 2 diabetes in the future. C.O. has been the target of media speculation, and recent studies report inconsistent results. C.O. improved glucose homeostasis and reduced fat accumulation in Fructose-fed rats while decreasing the levels of triglycerides (TGs) in the liver. C.O. supplementation also increased TGs levels and fructosamine in serum during MetS, possibly due to white adipose tissue breakdown and high fructose feeding. Pro-inflammatory cytokines IL-1β and TNF-α were also increased in rats treated with Fructose and C.O. Oxidative stress marker nitrotyrosine is increased in fructose-fed animals, and C.O. treatment did not prevent this damage. No significant changes were observed in lipoperoxidation marker 4-Hydroxynonenal; however, fructose feeding increased total conjugated dienes and caused conjugated dienes to switch their conformation from cis-trans to trans-trans, which was not prevented by C.O. treatment. Potential benefits of C.O. have been reported with inconsistent results, and indeed we observed some benefits of C.O. supplementation in aiding weight loss, fat accumulation, and improving glucose homeostasis. Nonetheless, we also demonstrated that long-term C.O. supplementation could present some problematic effects with higher risk for individuals suffering MetS, including increased TGs and fructosamine levels and conformational changes in dienes.","author":[{"dropping-particle":"","family":"Gomes","given":"Henrique Mautone","non-dropping-particle":"","parse-names":false,"suffix":""},{"dropping-particle":"","family":"Silveira","given":"Alexandre K.","non-dropping-particle":"","parse-names":false,"suffix":""},{"dropping-particle":"","family":"Gasparotto","given":"Juciano","non-dropping-particle":"","parse-names":false,"suffix":""},{"dropping-particle":"","family":"Bortolin","given":"Rafael Calixto","non-dropping-particle":"","parse-names":false,"suffix":""},{"dropping-particle":"","family":"Terra","given":"Silvia R.","non-dropping-particle":"","parse-names":false,"suffix":""},{"dropping-particle":"","family":"Brum","given":"Pedro O.","non-dropping-particle":"","parse-names":false,"suffix":""},{"dropping-particle":"","family":"Gelain","given":"Daniel P.","non-dropping-particle":"","parse-names":false,"suffix":""},{"dropping-particle":"","family":"Fonseca Moreira","given":"José C.","non-dropping-particle":"","parse-names":false,"suffix":""}],"container-title":"Journal of Nutritional Biochemistry","id":"ITEM-1","issued":{"date-parts":[["2023","4","1"]]},"publisher":"Elsevier Inc.","title":"Effects of coconut oil long-term supplementation in Wistar rats during metabolic syndrome - regulation of metabolic conditions involving glucose homeostasis, inflammatory signals, and oxidative stress","type":"article-journal","volume":"114"},"uris":["http://www.mendeley.com/documents/?uuid=9a97c0cd-08cd-3e83-93f3-b9095cc2955a"]}],"mendeley":{"formattedCitation":"(Gomes et al., 2023)","manualFormatting":"Gomes et al. (2023)","plainTextFormattedCitation":"(Gomes et al., 2023)","previouslyFormattedCitation":"(Gomes et al., 2023)"},"properties":{"noteIndex":0},"schema":"https://github.com/citation-style-language/schema/raw/master/csl-citation.json"}</w:instrText>
      </w:r>
      <w:r w:rsidRPr="007F123F">
        <w:rPr>
          <w:rFonts w:ascii="Arial" w:hAnsi="Arial" w:cs="Arial"/>
          <w:sz w:val="20"/>
          <w:szCs w:val="20"/>
        </w:rPr>
        <w:fldChar w:fldCharType="separate"/>
      </w:r>
      <w:r w:rsidR="0095535F" w:rsidRPr="007F123F">
        <w:rPr>
          <w:rFonts w:ascii="Arial" w:hAnsi="Arial" w:cs="Arial"/>
          <w:noProof/>
          <w:sz w:val="20"/>
          <w:szCs w:val="20"/>
        </w:rPr>
        <w:t>(</w:t>
      </w:r>
      <w:r w:rsidR="00763E5F" w:rsidRPr="007F123F">
        <w:rPr>
          <w:rFonts w:ascii="Arial" w:hAnsi="Arial" w:cs="Arial"/>
          <w:noProof/>
          <w:sz w:val="20"/>
          <w:szCs w:val="20"/>
        </w:rPr>
        <w:t>2</w:t>
      </w:r>
      <w:r w:rsidR="00EA6927">
        <w:rPr>
          <w:rFonts w:ascii="Arial" w:hAnsi="Arial" w:cs="Arial"/>
          <w:noProof/>
          <w:sz w:val="20"/>
          <w:szCs w:val="20"/>
        </w:rPr>
        <w:t>2</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who recorded increased levels of TGA and VLDL respectively. This reduction is significant as elevated TGA and VLDL levels are associated with cardiovascular risk and obesity. By improving lipid metabolism, coconut oil could mitigate the risk of cardiovascular diseases and pancreatitis.</w:t>
      </w:r>
    </w:p>
    <w:p w14:paraId="539FE0B3" w14:textId="3B3C62C2" w:rsidR="00046952" w:rsidRPr="007F123F" w:rsidRDefault="000D34CA" w:rsidP="00AB1365">
      <w:pPr>
        <w:tabs>
          <w:tab w:val="left" w:pos="0"/>
        </w:tabs>
        <w:spacing w:before="240" w:line="480" w:lineRule="auto"/>
        <w:jc w:val="both"/>
        <w:rPr>
          <w:rFonts w:ascii="Arial" w:hAnsi="Arial" w:cs="Arial"/>
          <w:sz w:val="20"/>
          <w:szCs w:val="20"/>
        </w:rPr>
      </w:pPr>
      <w:r w:rsidRPr="007F123F">
        <w:rPr>
          <w:rFonts w:ascii="Arial" w:hAnsi="Arial" w:cs="Arial"/>
          <w:sz w:val="20"/>
          <w:szCs w:val="20"/>
        </w:rPr>
        <w:t>Earlier research</w:t>
      </w:r>
      <w:r w:rsidR="0095535F" w:rsidRPr="007F123F">
        <w:rPr>
          <w:rFonts w:ascii="Arial" w:hAnsi="Arial" w:cs="Arial"/>
          <w:sz w:val="20"/>
          <w:szCs w:val="20"/>
        </w:rPr>
        <w:t xml:space="preserve"> works</w:t>
      </w:r>
      <w:r w:rsidRPr="007F123F">
        <w:rPr>
          <w:rFonts w:ascii="Arial" w:hAnsi="Arial" w:cs="Arial"/>
          <w:sz w:val="20"/>
          <w:szCs w:val="20"/>
        </w:rPr>
        <w:t xml:space="preserve"> </w:t>
      </w:r>
      <w:r w:rsidRPr="007F123F">
        <w:rPr>
          <w:rFonts w:ascii="Arial" w:hAnsi="Arial" w:cs="Arial"/>
          <w:sz w:val="20"/>
          <w:szCs w:val="20"/>
        </w:rPr>
        <w:fldChar w:fldCharType="begin" w:fldLock="1"/>
      </w:r>
      <w:r w:rsidR="004351D2" w:rsidRPr="007F123F">
        <w:rPr>
          <w:rFonts w:ascii="Arial" w:hAnsi="Arial" w:cs="Arial"/>
          <w:sz w:val="20"/>
          <w:szCs w:val="20"/>
        </w:rPr>
        <w:instrText>ADDIN CSL_CITATION {"citationItems":[{"id":"ITEM-1","itemData":{"DOI":"10.51847/rbipc8oiwy","author":[{"dropping-particle":"","family":"Oghenemaro","given":"Enwa Felix","non-dropping-particle":"","parse-names":false,"suffix":""},{"dropping-particle":"","family":"Johnson","given":"Jemikalajah Daniel","non-dropping-particle":"","parse-names":false,"suffix":""},{"dropping-particle":"","family":"Collins","given":"Adjekuko","non-dropping-particle":"","parse-names":false,"suffix":""},{"dropping-particle":"","family":"Micheal","given":"Oghenejobo","non-dropping-particle":"","parse-names":false,"suffix":""},{"dropping-particle":"","family":"Aruoriwoghene","given":"Aviye Hosanna","non-dropping-particle":"","parse-names":false,"suffix":""}],"container-title":"Pharmacophore","id":"ITEM-1","issue":"5","issued":{"date-parts":[["2022","11","8"]]},"page":"8-13","publisher":"Polaris","title":"The Effect of Fresh Coconut Oil on Gastrointestinal Tract Microbiome, Heamatological /Biochemical indices of Wistar Rats","type":"article-journal","volume":"13"},"uris":["http://www.mendeley.com/documents/?uuid=dc3f3aff-87ad-334c-b0b0-080b1363df1c"]},{"id":"ITEM-2","itemData":{"DOI":"10.51791/NJAP.V45I2.535","abstract":"This study was conducted to determine the effect of coconut oil inclusion on thesupplementary feed intake, weight gain, haematology and serum biochemistry of grazing cattle. Twenty-five (25) White Fulani cattle weighing 138±2.21 kg were randomly allotted to five treatment groups of coconut oil administration (0 g/day, 50 g/day, 100 g/day, 150 g/day and 200 g/day) in a completely randomised design. The animals were grazed for 84 days and supplemented with concentrate throughout the experimental period. Data on feed intake, weight gain and blood profile of cattle were analysed using one-way analysis of variance. Results obtained showed that coconut oil did not affect (P&gt;0.05) the supplementary concentrate intake of grazing cattle. Lower (P&lt;0.05) weight gain was observed with animals fed coconut oil at 50 g/day (9.64 kg) but increased to 17.64 kg with 150 g/day. Packed cell volume, haemoglobin and white blood cells were not affected (P&gt;0.05) by coconut oil. Thehighest (P&lt;0.05) red blood cell (6.91×10 /L) and platelet counts (67.00×10 /L) wererecorded at 150 g/day coconut oil. Total cholesterol, HDL and LDL values were increased (P&lt;0.05) with increasing levels of coconut oil. Values obtained for HDL (166.00 mg/dL to 145.15 mg/dL) and LDL (135.00 mg/dL to 88.40 mg/dL) decreased when the level of oil was increased from 150g/day to 200g/day. Administering coconut oil up to 150 g/day is recommended as it increases the body weight gain of cattle and maintain the normal PCV and haemoglobin concentration of the animals","author":[{"dropping-particle":"","family":"Adelusi","given":"O. O.","non-dropping-particle":"","parse-names":false,"suffix":""},{"dropping-particle":"","family":"Oni","given":"A. O.","non-dropping-particle":"","parse-names":false,"suffix":""},{"dropping-particle":"","family":"Aderinboye","given":"R. Y.","non-dropping-particle":"","parse-names":false,"suffix":""},{"dropping-particle":"","family":"Arigbede","given":"O. M.","non-dropping-particle":"","parse-names":false,"suffix":""},{"dropping-particle":"","family":"Onwuka","given":"C. F. I.","non-dropping-particle":"","parse-names":false,"suffix":""}],"container-title":"Nigerian Journal of Animal Production","id":"ITEM-2","issue":"2","issued":{"date-parts":[["2020","12","25"]]},"page":"316-324","publisher":"Nigerian Society for Animal Production (NSAP)","title":"Effects of coconut oil on the weight and blood status of grazing cattle fed concentrate as supplementary feed","type":"article-journal","volume":"45"},"uris":["http://www.mendeley.com/documents/?uuid=0f47431b-5caa-3111-9e76-0f708f43e3a3"]},{"id":"ITEM-3","itemData":{"abstract":"This study was conducted to investigate the effects of dietary coconut oil as a medium-chain fatty acid (MCFA) source on performance, carcass composition and serum lipids in male broilers. A total of 540, one-day-old, male Arbor Acres broilers were randomly allotted to 1 of 5 treatments with each treatment being applied to 6 replicates of 18 chicks. The basal diet (i.e., R0) was based on corn and soybean meal and was supplemented with 1.5% soybean oil during the starter phase (d 0 to 21) and 3.0% soybean oil during the grower phase (d 22 to 42). Four experimental diets were formulated by replacing 25%, 50%, 75%, or 100% of the soybean oil with coconut oil (i.e., R25, R50, R75, and R100). Soybean oil and coconut oil were used as sources of long-chain fatty acid and MCFA, respectively. The feeding trial showed that dietary coconut oil had no effect on weight gain, feed intake or feed conversion. On d 42, serum levels of total cholesterol, low-density lipoprotein cholesterol, and low-density lipoprotein/high-density lipoprotein cholesterol were linearly decreased as the coconut oil level increased (p&lt;0.01). Lipoprotein lipase, hepatic lipase, and total lipase activities were linearly increased as the coconut oil level increased (p&lt;0.01). Abdominal fat weight/eviscerated weight (p = 0.05), intermuscular fat width (p&lt;0.01) and subcutaneous fat thickness (p&lt;0.01) showed a significant quadratic relationship, with the lowest value at R75. These results indicated that replacement of 75% of the soybean oil in diets with coconut oil is the optimum level to reduce fat deposition and favorably affect lipid profiles without impairing performance in broilers. (Key Words: Broiler, Medium-chain Fatty Acid, Growth Performance, Carcass Composition, Serum Lipid) INTRODUCTION","author":[{"dropping-particle":"","family":"Wang","given":"Jianhong","non-dropping-particle":"","parse-names":false,"suffix":""},{"dropping-particle":"","family":"Wang","given":"Xiaoxiao","non-dropping-particle":"","parse-names":false,"suffix":""},{"dropping-particle":"","family":"Li","given":"Juntao","non-dropping-particle":"","parse-names":false,"suffix":""},{"dropping-particle":"","family":"Chen","given":"Yiqiang","non-dropping-particle":"","parse-names":false,"suffix":""},{"dropping-particle":"","family":"Yang","given":"Wenjun","non-dropping-particle":"","parse-names":false,"suffix":""},{"dropping-particle":"","family":"Zhang","given":"Liying","non-dropping-particle":"","parse-names":false,"suffix":""}],"container-title":"Asian Australas. J. Anim. Sci.","id":"ITEM-3","issue":"2","issued":{"date-parts":[["2015"]]},"page":"223-230","title":"Effects of dietary coconut oil as MCFA &amp; lipid profile in Broilers","type":"article-journal","volume":"28"},"uris":["http://www.mendeley.com/documents/?uuid=174df75d-0c90-48ff-990c-f5d51a50caf9"]}],"mendeley":{"formattedCitation":"(Adelusi et al., 2020; Oghenemaro et al., 2022; Wang et al., 2015)","manualFormatting":"(Oghenemaro et al., 2022; Adelusi et al., 2020; Wang et al., 2015)","plainTextFormattedCitation":"(Adelusi et al., 2020; Oghenemaro et al., 2022; Wang et al., 2015)","previouslyFormattedCitation":"(Adelusi et al., 2020; Oghenemaro et al., 2022; Wang et al., 2015)"},"properties":{"noteIndex":0},"schema":"https://github.com/citation-style-language/schema/raw/master/csl-citation.json"}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EA6927">
        <w:rPr>
          <w:rFonts w:ascii="Arial" w:hAnsi="Arial" w:cs="Arial"/>
          <w:noProof/>
          <w:sz w:val="20"/>
          <w:szCs w:val="20"/>
        </w:rPr>
        <w:t>17, 18 &amp; 3</w:t>
      </w:r>
      <w:r w:rsidR="00763E5F" w:rsidRPr="007F123F">
        <w:rPr>
          <w:rFonts w:ascii="Arial" w:hAnsi="Arial" w:cs="Arial"/>
          <w:noProof/>
          <w:sz w:val="20"/>
          <w:szCs w:val="20"/>
        </w:rPr>
        <w:t>5)</w:t>
      </w:r>
      <w:r w:rsidRPr="007F123F">
        <w:rPr>
          <w:rFonts w:ascii="Arial" w:hAnsi="Arial" w:cs="Arial"/>
          <w:sz w:val="20"/>
          <w:szCs w:val="20"/>
        </w:rPr>
        <w:fldChar w:fldCharType="end"/>
      </w:r>
      <w:r w:rsidRPr="007F123F">
        <w:rPr>
          <w:rFonts w:ascii="Arial" w:hAnsi="Arial" w:cs="Arial"/>
          <w:sz w:val="20"/>
          <w:szCs w:val="20"/>
        </w:rPr>
        <w:t xml:space="preserve">  has reported conflicting effects of coconut oil on lipid parameters such as HDL, LDL, and total cholesterol. Other earlier research </w:t>
      </w:r>
      <w:r w:rsidR="00B6590D" w:rsidRPr="007F123F">
        <w:rPr>
          <w:rFonts w:ascii="Arial" w:hAnsi="Arial" w:cs="Arial"/>
          <w:sz w:val="20"/>
          <w:szCs w:val="20"/>
        </w:rPr>
        <w:t>works</w:t>
      </w:r>
      <w:r w:rsidRPr="007F123F">
        <w:rPr>
          <w:rFonts w:ascii="Arial" w:hAnsi="Arial" w:cs="Arial"/>
          <w:sz w:val="20"/>
          <w:szCs w:val="20"/>
        </w:rPr>
        <w:t xml:space="preserve"> </w:t>
      </w:r>
      <w:r w:rsidRPr="007F123F">
        <w:rPr>
          <w:rFonts w:ascii="Arial" w:hAnsi="Arial" w:cs="Arial"/>
          <w:sz w:val="20"/>
          <w:szCs w:val="20"/>
        </w:rPr>
        <w:fldChar w:fldCharType="begin" w:fldLock="1"/>
      </w:r>
      <w:r w:rsidR="0095535F" w:rsidRPr="007F123F">
        <w:rPr>
          <w:rFonts w:ascii="Arial" w:hAnsi="Arial" w:cs="Arial"/>
          <w:sz w:val="20"/>
          <w:szCs w:val="20"/>
        </w:rPr>
        <w:instrText>ADDIN CSL_CITATION {"citationItems":[{"id":"ITEM-1","itemData":{"DOI":"10.1007/s13668-018-0230-5","ISSN":"21613311","PMID":"29974400","abstract":"Purpose of Review: Sales and consumption of coconut oil have been on the raise due to effective marketing strategies. Coconut oil is stated to offer various benefits including weight loss, improvement in immunity, heart health support, and memory enhancement. Also, it is often portrayed as an excellent source of medium chain triglycerides (MCTs). Here, we review the evidence behind the clinical utility of coconut oil consumption. Recent Findings: Several studies consistently showed consumption of coconut oil increases low-density lipoprotein cholesterol (LDL-C) and thereby could increase adverse cardiovascular health. Even though coconut oil has relatively high MCT concentration, the clinical benefits of commercial MCT oils cannot be generalized to coconut oil. Summary: Until the long-term effects of coconut oil on cardiovascular health are clearly established, coconut oil should be considered as a saturated fat and its consumption should not exceed the USDA’s daily recommendation (less than 10% of total calorie intake).","author":[{"dropping-particle":"","family":"Sankararaman","given":"Senthilkumar","non-dropping-particle":"","parse-names":false,"suffix":""},{"dropping-particle":"","family":"Sferra","given":"Thomas J.","non-dropping-particle":"","parse-names":false,"suffix":""}],"container-title":"Current Nutrition Reports","id":"ITEM-1","issue":"3","issued":{"date-parts":[["2018","9","1"]]},"page":"107-115","publisher":"Curr Nutr Rep","title":"Are We Going Nuts on Coconut Oil?","type":"article-journal","volume":"7"},"uris":["http://www.mendeley.com/documents/?uuid=cca4b985-527e-3d20-ab14-d556c65b532c"]},{"id":"ITEM-2","itemData":{"DOI":"10.1161/CIRCULATIONAHA.119.043052","ISSN":"15244539","PMID":"31928080","abstract":"Background: Coconut oil is high in saturated fat and may, therefore, raise serum cholesterol concentrations, but beneficial effects on other cardiovascular risk factors have also been suggested. Therefore, we conducted a systematic review of the effect of coconut oil consumption on blood lipids and other cardiovascular risk factors compared with other cooking oils using data from clinical trials. Methods: We searched PubMed, SCOPUS, Cochrane Registry, and Web of Science through June 2019. We selected trials that compared the effects of coconut oil consumption with other fats that lasted at least 2 weeks. Two reviewers independently screened articles, extracted data, and assessed the study quality according to the PRISMA guidelines (Preferred Reporting Items for Systematic Reviews and Meta-Analyses). The main outcomes included low-density lipoprotein cholesterol (LDL-cholesterol), high-density lipoprotein cholesterol (HDL-cholesterol), total cholesterol, triglycerides, measures of body fatness, markers of inflammation, and glycemia. Data were pooled using random-effects meta-analysis. Results: 16 articles were included in the meta-analysis. Results were available from all trials on blood lipids, 8 trials on body weight, 5 trials on percentage body fat, 4 trials on waist circumference, 4 trials on fasting plasma glucose, and 5 trials on C-reactive protein. Coconut oil consumption significantly increased LDL-cholesterol by 10.47 mg/dL (95% CI: 3.01, 17.94; I2 = 84%, N=16) and HDL-cholesterol by 4.00 mg/dL (95% CI: 2.26, 5.73; I2 = 72%, N=16) as compared with nontropical vegetable oils. These effects remained significant after excluding nonrandomized trials, or trials of poor quality (Jadad score &lt;3). Coconut oil consumption did not significantly affect markers of glycemia, inflammation, and adiposity as compared with nontropical vegetable oils. Conclusions: Coconut oil consumption results in significantly higher LDL-cholesterol than nontropical vegetable oils. This should inform choices about coconut oil consumption.","author":[{"dropping-particle":"","family":"Neelakantan","given":"Nithya","non-dropping-particle":"","parse-names":false,"suffix":""},{"dropping-particle":"","family":"Seah","given":"Jowy Yi Hoong","non-dropping-particle":"","parse-names":false,"suffix":""},{"dropping-particle":"","family":"Dam","given":"Rob M.","non-dropping-particle":"Van","parse-names":false,"suffix":""}],"container-title":"Circulation","id":"ITEM-2","issued":{"date-parts":[["2020","3","10"]]},"page":"803-814","publisher":"Lippincott Williams and Wilkins","title":"The Effect of Coconut Oil Consumption on Cardiovascular Risk Factors: A Systematic Review and Meta-Analysis of Clinical Trials","type":"article-journal"},"uris":["http://www.mendeley.com/documents/?uuid=8500ed14-57e9-3631-9a91-0e5f13cc1127"]},{"id":"ITEM-3","itemData":{"author":[{"dropping-particle":"","family":"Hewlings","given":"Susan","non-dropping-particle":"","parse-names":false,"suffix":""}],"container-title":"Journal","id":"ITEM-3","issued":{"date-parts":[["2020"]]},"title":"Coconuts and Health : Di ff erent Chain Lengths of Saturated Fats Require Di ff erent Consideration","type":"article-journal"},"uris":["http://www.mendeley.com/documents/?uuid=325bcd86-5efc-44d0-829a-ef36b69ce1c6"]}],"mendeley":{"formattedCitation":"(Hewlings, 2020; Neelakantan et al., 2020; Sankararaman &amp; Sferra, 2018)","manualFormatting":"(Hewlings, 2020; Sankararaman &amp; Sferra, 2018)","plainTextFormattedCitation":"(Hewlings, 2020; Neelakantan et al., 2020; Sankararaman &amp; Sferra, 2018)","previouslyFormattedCitation":"(Hewlings, 2020; Neelakantan et al., 2020; Sankararaman &amp; Sferra, 2018)"},"properties":{"noteIndex":0},"schema":"https://github.com/citation-style-language/schema/raw/master/csl-citation.json"}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EA6927">
        <w:rPr>
          <w:rFonts w:ascii="Arial" w:hAnsi="Arial" w:cs="Arial"/>
          <w:noProof/>
          <w:sz w:val="20"/>
          <w:szCs w:val="20"/>
        </w:rPr>
        <w:t>33, &amp; 38)</w:t>
      </w:r>
      <w:r w:rsidR="00763E5F" w:rsidRPr="007F123F">
        <w:rPr>
          <w:rFonts w:ascii="Arial" w:hAnsi="Arial" w:cs="Arial"/>
          <w:noProof/>
          <w:sz w:val="20"/>
          <w:szCs w:val="20"/>
        </w:rPr>
        <w:t xml:space="preserve"> </w:t>
      </w:r>
      <w:r w:rsidRPr="007F123F">
        <w:rPr>
          <w:rFonts w:ascii="Arial" w:hAnsi="Arial" w:cs="Arial"/>
          <w:sz w:val="20"/>
          <w:szCs w:val="20"/>
        </w:rPr>
        <w:fldChar w:fldCharType="end"/>
      </w:r>
      <w:r w:rsidRPr="007F123F">
        <w:rPr>
          <w:rFonts w:ascii="Arial" w:hAnsi="Arial" w:cs="Arial"/>
          <w:sz w:val="20"/>
          <w:szCs w:val="20"/>
        </w:rPr>
        <w:t xml:space="preserve"> reported that coconut oil may increase LDL cholesterol levels, thereby, increasing the risk of heart disease.  </w:t>
      </w:r>
    </w:p>
    <w:p w14:paraId="4E54F93D" w14:textId="0F6501C6" w:rsidR="00C74F6C" w:rsidRPr="007F123F" w:rsidRDefault="000D34CA" w:rsidP="00AB1365">
      <w:pPr>
        <w:tabs>
          <w:tab w:val="left" w:pos="0"/>
        </w:tabs>
        <w:spacing w:before="240" w:line="480" w:lineRule="auto"/>
        <w:jc w:val="both"/>
        <w:rPr>
          <w:rFonts w:ascii="Arial" w:hAnsi="Arial" w:cs="Arial"/>
          <w:sz w:val="20"/>
          <w:szCs w:val="20"/>
        </w:rPr>
      </w:pPr>
      <w:r w:rsidRPr="007F123F">
        <w:rPr>
          <w:rFonts w:ascii="Arial" w:hAnsi="Arial" w:cs="Arial"/>
          <w:sz w:val="20"/>
          <w:szCs w:val="20"/>
        </w:rPr>
        <w:t xml:space="preserve">In </w:t>
      </w:r>
      <w:r w:rsidR="0023592C" w:rsidRPr="007F123F">
        <w:rPr>
          <w:rFonts w:ascii="Arial" w:hAnsi="Arial" w:cs="Arial"/>
          <w:sz w:val="20"/>
          <w:szCs w:val="20"/>
        </w:rPr>
        <w:t xml:space="preserve">the present </w:t>
      </w:r>
      <w:r w:rsidRPr="007F123F">
        <w:rPr>
          <w:rFonts w:ascii="Arial" w:hAnsi="Arial" w:cs="Arial"/>
          <w:sz w:val="20"/>
          <w:szCs w:val="20"/>
        </w:rPr>
        <w:t xml:space="preserve">study, a high level of coconut oil caused a slight decrease in HDL levels and slightly increased LDL levels. However, the changes in HDL and LDL levels were not significant. The results of coconut oil on the HDL, LDL and total cholesterol of the Albino rats in this study relate to that of </w:t>
      </w:r>
      <w:r w:rsidRPr="007F123F">
        <w:rPr>
          <w:rFonts w:ascii="Arial" w:hAnsi="Arial" w:cs="Arial"/>
          <w:sz w:val="20"/>
          <w:szCs w:val="20"/>
        </w:rPr>
        <w:fldChar w:fldCharType="begin" w:fldLock="1"/>
      </w:r>
      <w:r w:rsidR="0095535F" w:rsidRPr="007F123F">
        <w:rPr>
          <w:rFonts w:ascii="Arial" w:hAnsi="Arial" w:cs="Arial"/>
          <w:sz w:val="20"/>
          <w:szCs w:val="20"/>
        </w:rPr>
        <w:instrText>ADDIN CSL_CITATION {"citationItems":[{"id":"ITEM-1","itemData":{"DOI":"10.1016/j.jff.2018.07.036","ISSN":"17564646","abstract":"The recommended amount of intake of virgin coconut oil (VCO) for health benefits has not been defined. This study aims to evaluate the effects of partial dietary substitution of lipid source by VCO in the health of Wistar rats. The animals were divided as: G1, 100% of soybean oil; G2, 10.4% of VCO; G3, 50% of VCO; and G4, 95% of VCO. Weight and body measurements were not affected by substitution, as well as morphometry of adipocytes, food intake and hepatic expression of PPAR-α and CPT-1 genes. VCO consumption affected the serum lipid profile in a dose-dependent way, just like the tissue incorporation of saturated fatty acids, the inflammation in adipose tissue, and the antioxidant and antimicrobial effects. Since, it was not possible to establish the best dose of VCO to be consumed, the current recommendations for the consumption of satured fatty acids should be followed.","author":[{"dropping-particle":"","family":"Moura e Dias","given":"Mariana","non-dropping-particle":"de","parse-names":false,"suffix":""},{"dropping-particle":"","family":"Pais Siqueira","given":"Nathane","non-dropping-particle":"","parse-names":false,"suffix":""},{"dropping-particle":"","family":"Lopes da Conceição","given":"Lisiane","non-dropping-particle":"","parse-names":false,"suffix":""},{"dropping-particle":"","family":"Aparecida dos Reis","given":"Sandra","non-dropping-particle":"","parse-names":false,"suffix":""},{"dropping-particle":"","family":"Xavier Valente","given":"Flávia","non-dropping-particle":"","parse-names":false,"suffix":""},{"dropping-particle":"","family":"Maciel dos Santos Dias","given":"Manoela","non-dropping-particle":"","parse-names":false,"suffix":""},{"dropping-particle":"","family":"Oliveira Barbosa Rosa","given":"Carla","non-dropping-p</w:instrText>
      </w:r>
      <w:r w:rsidR="0095535F" w:rsidRPr="007F123F">
        <w:rPr>
          <w:rFonts w:ascii="Arial" w:hAnsi="Arial" w:cs="Arial"/>
          <w:sz w:val="20"/>
          <w:szCs w:val="20"/>
          <w:lang w:val="nl-NL"/>
        </w:rPr>
        <w:instrText>article":"de","parse-names":false,"suffix":""},{"dropping-particle":"","family":"Oliveira de Paula","given":"Sérgio","non-dropping-particle":"","parse-names":false,"suffix":""},{"dropping-particle":"","family":"Matta","given":"Sérgio Luís Pinto","non-dropping-particle":"da","parse-names":false,"suffix":""},{"dropping-particle":"","family":"Licursi de Oliveira","given":"Leandro","non-dropping-particle":"","parse-names":false,"suffix":""},{"dropping-particle":"","family":"Bressan","given":"Josefina","non-dropping-particle":"","parse-names":false,"suffix":""},{"dropping-particle":"","family":"Gouveia Peluzio","given":"Maria do Carmo","non-dropping-particle":"","parse-names":false,"suffix":""}],"container-title":"Journal of Functional Foods","id":"ITEM-1","issued":{"date-parts":[["2018","9","1"]]},"page":"472-480","publisher":"Elsevier","title":"Consumption of virgin coconut oil in Wistar rats increases saturated fatty acids in the liver and adipose tissue, as well as adipose tissue inflammation","type":"article-journal","volume":"48"},"uris":["http://www.mendeley.com/documents/?uuid=60a12610-95eb-32e6-88c9-4e62f2c466ca"]}],"mendeley":{"formattedCitation":"(de Moura e Dias et al., 2018)","manualFormatting":"De Moura e Dias et al. (2018)","plainTextFormattedCitation":"(de Moura e Dias et al., 2018)","previouslyFormattedCitation":"(de Moura e Dias et al., 2018)"},"properties":{"noteIndex":0},"schema":"https://github.com/citation-style-language/schema/raw/master/csl-citation.json"}</w:instrText>
      </w:r>
      <w:r w:rsidRPr="007F123F">
        <w:rPr>
          <w:rFonts w:ascii="Arial" w:hAnsi="Arial" w:cs="Arial"/>
          <w:sz w:val="20"/>
          <w:szCs w:val="20"/>
        </w:rPr>
        <w:fldChar w:fldCharType="separate"/>
      </w:r>
      <w:r w:rsidR="0095535F" w:rsidRPr="007F123F">
        <w:rPr>
          <w:rFonts w:ascii="Arial" w:hAnsi="Arial" w:cs="Arial"/>
          <w:noProof/>
          <w:sz w:val="20"/>
          <w:szCs w:val="20"/>
          <w:lang w:val="nl-NL"/>
        </w:rPr>
        <w:t>(</w:t>
      </w:r>
      <w:r w:rsidR="00795263">
        <w:rPr>
          <w:rFonts w:ascii="Arial" w:hAnsi="Arial" w:cs="Arial"/>
          <w:noProof/>
          <w:sz w:val="20"/>
          <w:szCs w:val="20"/>
          <w:lang w:val="nl-NL"/>
        </w:rPr>
        <w:t>24</w:t>
      </w:r>
      <w:r w:rsidR="00763E5F" w:rsidRPr="007F123F">
        <w:rPr>
          <w:rFonts w:ascii="Arial" w:hAnsi="Arial" w:cs="Arial"/>
          <w:noProof/>
          <w:sz w:val="20"/>
          <w:szCs w:val="20"/>
          <w:lang w:val="nl-NL"/>
        </w:rPr>
        <w:t>)</w:t>
      </w:r>
      <w:r w:rsidRPr="007F123F">
        <w:rPr>
          <w:rFonts w:ascii="Arial" w:hAnsi="Arial" w:cs="Arial"/>
          <w:sz w:val="20"/>
          <w:szCs w:val="20"/>
        </w:rPr>
        <w:fldChar w:fldCharType="end"/>
      </w:r>
      <w:r w:rsidRPr="007F123F">
        <w:rPr>
          <w:rFonts w:ascii="Arial" w:hAnsi="Arial" w:cs="Arial"/>
          <w:sz w:val="20"/>
          <w:szCs w:val="20"/>
          <w:lang w:val="nl-NL"/>
        </w:rPr>
        <w:t xml:space="preserve">. </w:t>
      </w:r>
      <w:r w:rsidRPr="007F123F">
        <w:rPr>
          <w:rFonts w:ascii="Arial" w:hAnsi="Arial" w:cs="Arial"/>
          <w:sz w:val="20"/>
          <w:szCs w:val="20"/>
        </w:rPr>
        <w:fldChar w:fldCharType="begin" w:fldLock="1"/>
      </w:r>
      <w:r w:rsidR="00B6590D" w:rsidRPr="007F123F">
        <w:rPr>
          <w:rFonts w:ascii="Arial" w:hAnsi="Arial" w:cs="Arial"/>
          <w:sz w:val="20"/>
          <w:szCs w:val="20"/>
          <w:lang w:val="nl-NL"/>
        </w:rPr>
        <w:instrText>ADDIN CSL_CITATION {"citationItems":[{"id":"ITEM-1","itemData":{"DOI":"10.51847/rbipc8oiwy","author":[{"dropping-particle":"","family":"Oghenemaro","given":"Enwa Felix","non-dropping-particle":"","parse-names":false,"suffix":""},{"dropping-particle":"","family":"Johnson","given":"Jemikalajah Daniel","non-dropping-particle":"","parse-names":false,"suffix":""},{"dropping-particle":"","family":"Collins","given":"Adjekuko","non-dropping-particle":"","parse-names":false,"suffix":""},{"dropping-particle":"","family":"Micheal","given":"Oghenejobo","non-dropping-particle":"","parse-names":false,"suffix":""},{"dropping-particle":"","family":"Aruoriwoghene","given":"Aviye Hosanna","non-dropping-particle":"","parse-names":false,"suffix":""}],"container-title":"Pharmacophore","id":"ITEM-1","issue":"5","issued":{"date-parts":[["2022","11","8"]]},"page":"8-13","publisher":"Polaris","title":"The Effect of Fresh Coconut Oil on Gastrointestinal Tract Microbiome, Heamatological /Biochemical indices of Wistar Rats","type":"article-journal","volume":"13"},"uris":["http://www.mendeley.com/documents/?uuid=dc3f3aff-87ad-334c-b0b0-080b1363df1c"]}],"mendeley":{"formattedCitation":"(Oghenemaro et al., 2022)","manualFormatting":"Oghenemaro et al. (2022)","plainTextFormattedCitation":"(Oghenemaro et al., 2022)","previouslyFormattedCitation":"(Oghenemaro et al., 2022)"},"properties":{"noteIndex":0},"schema":"https://github.com/citation-style-language/schema/raw/master/csl-citation.json"}</w:instrText>
      </w:r>
      <w:r w:rsidRPr="007F123F">
        <w:rPr>
          <w:rFonts w:ascii="Arial" w:hAnsi="Arial" w:cs="Arial"/>
          <w:sz w:val="20"/>
          <w:szCs w:val="20"/>
        </w:rPr>
        <w:fldChar w:fldCharType="separate"/>
      </w:r>
      <w:r w:rsidR="00B6590D" w:rsidRPr="007F123F">
        <w:rPr>
          <w:rFonts w:ascii="Arial" w:hAnsi="Arial" w:cs="Arial"/>
          <w:noProof/>
          <w:sz w:val="20"/>
          <w:szCs w:val="20"/>
          <w:lang w:val="nl-NL"/>
        </w:rPr>
        <w:t>(</w:t>
      </w:r>
      <w:r w:rsidR="00795263">
        <w:rPr>
          <w:rFonts w:ascii="Arial" w:hAnsi="Arial" w:cs="Arial"/>
          <w:noProof/>
          <w:sz w:val="20"/>
          <w:szCs w:val="20"/>
          <w:lang w:val="nl-NL"/>
        </w:rPr>
        <w:t>35</w:t>
      </w:r>
      <w:r w:rsidR="00763E5F" w:rsidRPr="007F123F">
        <w:rPr>
          <w:rFonts w:ascii="Arial" w:hAnsi="Arial" w:cs="Arial"/>
          <w:noProof/>
          <w:sz w:val="20"/>
          <w:szCs w:val="20"/>
          <w:lang w:val="nl-NL"/>
        </w:rPr>
        <w:t>)</w:t>
      </w:r>
      <w:r w:rsidRPr="007F123F">
        <w:rPr>
          <w:rFonts w:ascii="Arial" w:hAnsi="Arial" w:cs="Arial"/>
          <w:sz w:val="20"/>
          <w:szCs w:val="20"/>
        </w:rPr>
        <w:fldChar w:fldCharType="end"/>
      </w:r>
      <w:r w:rsidRPr="007F123F">
        <w:rPr>
          <w:rFonts w:ascii="Arial" w:hAnsi="Arial" w:cs="Arial"/>
          <w:sz w:val="20"/>
          <w:szCs w:val="20"/>
          <w:lang w:val="nl-NL"/>
        </w:rPr>
        <w:t xml:space="preserve"> also reported a decrease in HDL, LDL and total cholesterol in Wistar rats that were fed with 0.5 ml/kg daily as compared to the control. </w:t>
      </w:r>
      <w:r w:rsidRPr="007F123F">
        <w:rPr>
          <w:rFonts w:ascii="Arial" w:hAnsi="Arial" w:cs="Arial"/>
          <w:sz w:val="20"/>
          <w:szCs w:val="20"/>
        </w:rPr>
        <w:t>The impact of coconut oil on lipid parameters may vary depending on factors like dosage and duration of consumption.</w:t>
      </w:r>
    </w:p>
    <w:p w14:paraId="294318E8" w14:textId="65762A8E" w:rsidR="00C74F6C" w:rsidRPr="007F123F" w:rsidRDefault="000D34CA" w:rsidP="00AB1365">
      <w:pPr>
        <w:tabs>
          <w:tab w:val="left" w:pos="0"/>
        </w:tabs>
        <w:spacing w:before="240" w:line="480" w:lineRule="auto"/>
        <w:jc w:val="both"/>
        <w:rPr>
          <w:rFonts w:ascii="Arial" w:hAnsi="Arial" w:cs="Arial"/>
          <w:sz w:val="20"/>
          <w:szCs w:val="20"/>
        </w:rPr>
      </w:pPr>
      <w:r w:rsidRPr="007F123F">
        <w:rPr>
          <w:rFonts w:ascii="Arial" w:hAnsi="Arial" w:cs="Arial"/>
          <w:sz w:val="20"/>
          <w:szCs w:val="20"/>
        </w:rPr>
        <w:t xml:space="preserve">Fibre as a main effect did not affect any of the parameters measured in the lipid profile similar to the report of </w:t>
      </w:r>
      <w:r w:rsidR="00130D26">
        <w:rPr>
          <w:rFonts w:ascii="Arial" w:hAnsi="Arial" w:cs="Arial"/>
          <w:sz w:val="20"/>
          <w:szCs w:val="20"/>
        </w:rPr>
        <w:t>(39)</w:t>
      </w:r>
      <w:r w:rsidRPr="007F123F">
        <w:rPr>
          <w:rFonts w:ascii="Arial" w:hAnsi="Arial" w:cs="Arial"/>
          <w:sz w:val="20"/>
          <w:szCs w:val="20"/>
        </w:rPr>
        <w:t xml:space="preserve"> who reported that except for a decrease in total cholesterol, dietary fibre had no significant effect on the other lipid profile parameters. This indicates that for the duration of this study, the fibre levels in the diets did not significantly affect the lipid profiles of the Albino rats. The effect of corncob fibre contradicts that of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{"citationItems":[{"id":"ITEM-1","itemData":{"DOI":"10.4314/tjas.v21i1.","ISSN":"1119-4308","abstract":"The effects of feeding graded levels of cellulase and pectinase hydrolyzed corncob based diets on growth performance, serum and haematological parameters of growing broiler chickens over a period of 8 weeks was investigated. Four dietary treatments were formulated such that diets 1, 2, 3 and 4 contained 0, 5, 10 and 15% cellulase and pectinase hydrolyzed corncobs respectively. Diet 1 served as the control. One hundred and eighty one day-old chicks with an average initial weight of 60g ±0.63 were randomly distributed into four treatment groups in three replicates. Each replicate had fifteen birds. Crushed corncobs were pretreated with NaOH to remove the lignin contents and later subjected to hydrolysis using locally prepared cellulase and pectinase solution for the degradation of the non-starch polysaccharides (NSPs) in a plastic drum for five days. Chemical and fibre compositions of corncobs, enzyme treated corncobs and diets were determined. The sample was periodically stirred / turned for 30 minutes on 3 hourly basis at room temperature (25°C) for five days for hydrolysis to take place. Data were collected on growth indices, digestibility, carcass components, organ proportions and some haematological and serum parameters. An average weekly feed intake of 571.45g ± 15.22 was recorded for the control group, while an average feed consumption of 567.69g ± 14.06, 548.54g ±13.10 and 535.74g ± 13.24 were recorded for enzymes treated groups respectively. The results showed that high levels of lignins, cellulose, hemicellulose and pentosans contained in corncobs were degraded into smaller monomers (glucose and other disaccharides). Broilers fed the control diet (T1) had significantly (P&amp;lt;0.05) reduced performance indices when compared to that of the broilers (P&amp;gt;0.05) fed enzyme treated corncob diets (T2, T3 and T4). Enzyme treated corncob diets significantly (P&amp;lt;0.05) increased packed cell volume, haemoglobin concentration, red blood cell count, white blood cell count, serum protein, aspartate amino transaminase, alanine amino transaminase, and lowered albumin and blood cholesterol levels of the birds when compared to the control diet. This study suggests that enzyme treated corncob inclusion at the levels of 5 to 15 % improved broiler growth performance and lowered blood cholesterol levels.Keywords: Broiler chickens, Growth, Hydrolyzed Corncob, Serum and haematological indices","author":[{"dropping-particle":"","family":"Tsado","given":"D","non-dropping-particle":"","parse-names":false,"suffix":""},{"dropping-particle":"","family":"Ayanwale","given":"B.A.","non-dropping-particle":"","parse-names":false,"suffix":""},{"dropping-particle":"","family":"Ijaiya","given":"A.T.","non-dropping-particle":"","parse-names":false,"suffix":""},{"dropping-particle":"","family":"Egwim","given":"E.C.","non-dropping-particle":"","parse-names":false,"suffix":""}],"container-title":"Nigerian Journal of Animal Science","id":"ITEM-1","issue":"1","issued":{"date-parts":[["2019","2","14"]]},"page":"181-193","title":"Effects of feeding graded levels of hydrolyzed corncob based diets on growth performance, serum and haematological indices of broiler chickens under a single phase feeding regime","type":"article-journal","volume":"21"},"uris":["http://www.mendeley.com/documents/?uuid=1a637354-69b9-3ae2-9117-723b3552761f"]}],"mendeley":{"formattedCitation":"(Tsado et al., 2019)","plainTextFormattedCitation":"(Tsado et al., 2019)","previouslyFormattedCitation":"(Tsado et al., 2019)"},"properties":{"noteIndex":0},"schema":"https://github.com/citation-style-language/schema/raw/master/csl-citation.json"}</w:instrText>
      </w:r>
      <w:r w:rsidRPr="007F123F">
        <w:rPr>
          <w:rFonts w:ascii="Arial" w:hAnsi="Arial" w:cs="Arial"/>
          <w:sz w:val="20"/>
          <w:szCs w:val="20"/>
        </w:rPr>
        <w:fldChar w:fldCharType="separate"/>
      </w:r>
      <w:r w:rsidR="00130D26">
        <w:rPr>
          <w:rFonts w:ascii="Arial" w:hAnsi="Arial" w:cs="Arial"/>
          <w:noProof/>
          <w:sz w:val="20"/>
          <w:szCs w:val="20"/>
        </w:rPr>
        <w:t>(21</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possibly because they used a hydrolyzed corncob fibre. They reported that the inclusion of 5% - 15% of corncob fibre in the diet of broilers improved their lipid profile by lowering cholesterol levels. Soluble dietary fibre such as gum and pectin </w:t>
      </w:r>
      <w:r w:rsidR="00FB3D6E">
        <w:rPr>
          <w:rFonts w:ascii="Arial" w:hAnsi="Arial" w:cs="Arial"/>
          <w:sz w:val="20"/>
          <w:szCs w:val="20"/>
        </w:rPr>
        <w:t>binds</w:t>
      </w:r>
      <w:r w:rsidRPr="007F123F">
        <w:rPr>
          <w:rFonts w:ascii="Arial" w:hAnsi="Arial" w:cs="Arial"/>
          <w:sz w:val="20"/>
          <w:szCs w:val="20"/>
        </w:rPr>
        <w:t xml:space="preserve"> to cholesterol in bile to excrete excess cholesterol, thus reducing the cholesterol in the body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URL":"https://www.medicalnewstoday.com/articles/does-soluble-fat-bind-cholesterol","accessed":{"date-parts":[["2023","7","20"]]},"author":[{"dropping-particle":"","family":"Rose-Francis","given":"Kim","non-dropping-particle":"","parse-names":false,"suffix":""}],"container-title":"Medical News Today","id":"ITEM-1","issued":{"date-parts":[["2022"]]},"title":"Soluble fiber and cholesterol: Binding, levels, and more","type":"webpage"},"uris":["http://www.mendeley.com/documents/?uuid=f788c465-2448-3a95-b301-59c70551d317"]}],"mendeley":{"formattedCitation":"(Rose-Francis, 2022)","plainTextFormattedCitation":"(Rose-Francis, 2022)","previouslyFormattedCitation":"(Rose-Francis, 2022)"},"properties":{"noteIndex":0},"schema":"https://github.com/citation-style-language/schema/raw/master/csl-citation.json"}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692F6A">
        <w:rPr>
          <w:rFonts w:ascii="Arial" w:hAnsi="Arial" w:cs="Arial"/>
          <w:noProof/>
          <w:sz w:val="20"/>
          <w:szCs w:val="20"/>
        </w:rPr>
        <w:t>4</w:t>
      </w:r>
      <w:r w:rsidR="00763E5F" w:rsidRPr="007F123F">
        <w:rPr>
          <w:rFonts w:ascii="Arial" w:hAnsi="Arial" w:cs="Arial"/>
          <w:noProof/>
          <w:sz w:val="20"/>
          <w:szCs w:val="20"/>
        </w:rPr>
        <w:t>0)</w:t>
      </w:r>
      <w:r w:rsidRPr="007F123F">
        <w:rPr>
          <w:rFonts w:ascii="Arial" w:hAnsi="Arial" w:cs="Arial"/>
          <w:sz w:val="20"/>
          <w:szCs w:val="20"/>
        </w:rPr>
        <w:fldChar w:fldCharType="end"/>
      </w:r>
      <w:r w:rsidRPr="007F123F">
        <w:rPr>
          <w:rFonts w:ascii="Arial" w:hAnsi="Arial" w:cs="Arial"/>
          <w:sz w:val="20"/>
          <w:szCs w:val="20"/>
        </w:rPr>
        <w:t xml:space="preserve">. Since the fibre of corn cob is mostly insoluble it could not form a gel-like substance to bind with the coconut oil to moderate the cholesterol levels in the blood. Hence, this might be attributed to the high insoluble fibre content of the corn cob. </w:t>
      </w:r>
    </w:p>
    <w:p w14:paraId="3E5F23CB" w14:textId="55DDE63E" w:rsidR="000D34CA" w:rsidRPr="007F123F" w:rsidRDefault="00B6590D" w:rsidP="00214D7D">
      <w:pPr>
        <w:tabs>
          <w:tab w:val="left" w:pos="0"/>
        </w:tabs>
        <w:spacing w:before="240" w:line="480" w:lineRule="auto"/>
        <w:jc w:val="both"/>
        <w:rPr>
          <w:rFonts w:ascii="Arial" w:hAnsi="Arial" w:cs="Arial"/>
          <w:sz w:val="20"/>
          <w:szCs w:val="20"/>
        </w:rPr>
      </w:pPr>
      <w:r w:rsidRPr="007F123F">
        <w:rPr>
          <w:rFonts w:ascii="Arial" w:hAnsi="Arial" w:cs="Arial"/>
          <w:sz w:val="20"/>
          <w:szCs w:val="20"/>
        </w:rPr>
        <w:t>T</w:t>
      </w:r>
      <w:r w:rsidR="000D34CA" w:rsidRPr="007F123F">
        <w:rPr>
          <w:rFonts w:ascii="Arial" w:hAnsi="Arial" w:cs="Arial"/>
          <w:sz w:val="20"/>
          <w:szCs w:val="20"/>
        </w:rPr>
        <w:t xml:space="preserve">he interaction between fat and fibre influenced TGA, VLDL, LDL, and coronary risk levels. High fat levels decreased TGA and VLDL levels when fibre levels were low, but increased LDL levels and coronary risk in </w:t>
      </w:r>
      <w:r w:rsidR="000D34CA" w:rsidRPr="007F123F">
        <w:rPr>
          <w:rFonts w:ascii="Arial" w:hAnsi="Arial" w:cs="Arial"/>
          <w:sz w:val="20"/>
          <w:szCs w:val="20"/>
        </w:rPr>
        <w:lastRenderedPageBreak/>
        <w:t>the absence of high fibre. This suggests that dietary fibre may mitigate the adverse effects of coconut oil on lipid parameters, particularly in reducing LDL levels and coronary risk thereby improving cardiovascular health.</w:t>
      </w:r>
      <w:r w:rsidR="007F123F">
        <w:rPr>
          <w:rFonts w:ascii="Arial" w:hAnsi="Arial" w:cs="Arial"/>
          <w:sz w:val="20"/>
          <w:szCs w:val="20"/>
        </w:rPr>
        <w:t xml:space="preserve"> </w:t>
      </w:r>
      <w:r w:rsidR="000D34CA" w:rsidRPr="007F123F">
        <w:rPr>
          <w:rFonts w:ascii="Arial" w:hAnsi="Arial" w:cs="Arial"/>
          <w:sz w:val="20"/>
          <w:szCs w:val="20"/>
        </w:rPr>
        <w:t>The inclusion of high levels of dietary fibre, especially from corncob, appears to counteract some of the adverse effects of coconut oil on lipid parameters, thereby potentially improving cardiovascular health in Albino rats. However, further research is needed to fully understand the mechanisms underlying these interactions and their implications for human health.</w:t>
      </w:r>
    </w:p>
    <w:p w14:paraId="62ED0101" w14:textId="245097A6" w:rsidR="000D34CA" w:rsidRPr="007F123F" w:rsidRDefault="00B702FE" w:rsidP="004162EE">
      <w:pPr>
        <w:pStyle w:val="Heading3"/>
      </w:pPr>
      <w:r>
        <w:t xml:space="preserve">3.6.2 </w:t>
      </w:r>
      <w:r w:rsidR="000D34CA" w:rsidRPr="007F123F">
        <w:t>Liver Function Test</w:t>
      </w:r>
    </w:p>
    <w:p w14:paraId="5DC1E95B" w14:textId="014B74D0" w:rsidR="009978E9" w:rsidRDefault="009978E9" w:rsidP="00214D7D">
      <w:pPr>
        <w:tabs>
          <w:tab w:val="left" w:pos="0"/>
        </w:tabs>
        <w:spacing w:line="480" w:lineRule="auto"/>
        <w:jc w:val="both"/>
        <w:rPr>
          <w:rFonts w:ascii="Arial" w:hAnsi="Arial" w:cs="Arial"/>
          <w:sz w:val="20"/>
          <w:szCs w:val="20"/>
        </w:rPr>
      </w:pPr>
      <w:r>
        <w:rPr>
          <w:rFonts w:ascii="Arial" w:hAnsi="Arial" w:cs="Arial"/>
          <w:sz w:val="20"/>
          <w:szCs w:val="20"/>
        </w:rPr>
        <w:t xml:space="preserve">The data shown in </w:t>
      </w:r>
      <w:r w:rsidR="00214D7D">
        <w:rPr>
          <w:rFonts w:ascii="Arial" w:hAnsi="Arial" w:cs="Arial"/>
          <w:sz w:val="20"/>
          <w:szCs w:val="20"/>
        </w:rPr>
        <w:t>T</w:t>
      </w:r>
      <w:r>
        <w:rPr>
          <w:rFonts w:ascii="Arial" w:hAnsi="Arial" w:cs="Arial"/>
          <w:sz w:val="20"/>
          <w:szCs w:val="20"/>
        </w:rPr>
        <w:t>able 8 indicates that high fibre as a main effect increased the levels of ALP (</w:t>
      </w:r>
      <w:r w:rsidRPr="0091112C">
        <w:rPr>
          <w:rFonts w:ascii="Arial" w:hAnsi="Arial" w:cs="Arial"/>
          <w:i/>
          <w:sz w:val="20"/>
          <w:szCs w:val="20"/>
        </w:rPr>
        <w:t>P</w:t>
      </w:r>
      <w:r>
        <w:rPr>
          <w:rFonts w:ascii="Arial" w:hAnsi="Arial" w:cs="Arial"/>
          <w:sz w:val="20"/>
          <w:szCs w:val="20"/>
        </w:rPr>
        <w:t xml:space="preserve"> &lt; .05) and total bilirubin (</w:t>
      </w:r>
      <w:r w:rsidRPr="0091112C">
        <w:rPr>
          <w:rFonts w:ascii="Arial" w:hAnsi="Arial" w:cs="Arial"/>
          <w:i/>
          <w:sz w:val="20"/>
          <w:szCs w:val="20"/>
        </w:rPr>
        <w:t>P</w:t>
      </w:r>
      <w:r>
        <w:rPr>
          <w:rFonts w:ascii="Arial" w:hAnsi="Arial" w:cs="Arial"/>
          <w:sz w:val="20"/>
          <w:szCs w:val="20"/>
        </w:rPr>
        <w:t xml:space="preserve"> = .05). Fibre as a main effect nor its interaction with fat did no</w:t>
      </w:r>
      <w:r w:rsidR="00214D7D">
        <w:rPr>
          <w:rFonts w:ascii="Arial" w:hAnsi="Arial" w:cs="Arial"/>
          <w:sz w:val="20"/>
          <w:szCs w:val="20"/>
        </w:rPr>
        <w:t>t</w:t>
      </w:r>
      <w:r>
        <w:rPr>
          <w:rFonts w:ascii="Arial" w:hAnsi="Arial" w:cs="Arial"/>
          <w:sz w:val="20"/>
          <w:szCs w:val="20"/>
        </w:rPr>
        <w:t xml:space="preserve"> affect any of </w:t>
      </w:r>
      <w:r w:rsidR="00FB3D6E">
        <w:rPr>
          <w:rFonts w:ascii="Arial" w:hAnsi="Arial" w:cs="Arial"/>
          <w:sz w:val="20"/>
          <w:szCs w:val="20"/>
        </w:rPr>
        <w:t xml:space="preserve">the </w:t>
      </w:r>
      <w:r>
        <w:rPr>
          <w:rFonts w:ascii="Arial" w:hAnsi="Arial" w:cs="Arial"/>
          <w:sz w:val="20"/>
          <w:szCs w:val="20"/>
        </w:rPr>
        <w:t>parameters observed in the liver function test (</w:t>
      </w:r>
      <w:r w:rsidRPr="0091112C">
        <w:rPr>
          <w:rFonts w:ascii="Arial" w:hAnsi="Arial" w:cs="Arial"/>
          <w:i/>
          <w:sz w:val="20"/>
          <w:szCs w:val="20"/>
        </w:rPr>
        <w:t>P</w:t>
      </w:r>
      <w:r w:rsidR="0091112C">
        <w:rPr>
          <w:rFonts w:ascii="Arial" w:hAnsi="Arial" w:cs="Arial"/>
          <w:i/>
          <w:sz w:val="20"/>
          <w:szCs w:val="20"/>
        </w:rPr>
        <w:t xml:space="preserve"> </w:t>
      </w:r>
      <w:r>
        <w:rPr>
          <w:rFonts w:ascii="Arial" w:hAnsi="Arial" w:cs="Arial"/>
          <w:sz w:val="20"/>
          <w:szCs w:val="20"/>
        </w:rPr>
        <w:t>&gt; .05).</w:t>
      </w:r>
    </w:p>
    <w:p w14:paraId="394C7089" w14:textId="5E486235" w:rsidR="000D34CA" w:rsidRPr="007F123F" w:rsidRDefault="000D34CA" w:rsidP="00214D7D">
      <w:pPr>
        <w:tabs>
          <w:tab w:val="left" w:pos="0"/>
        </w:tabs>
        <w:spacing w:line="480" w:lineRule="auto"/>
        <w:jc w:val="both"/>
        <w:rPr>
          <w:rFonts w:ascii="Arial" w:hAnsi="Arial" w:cs="Arial"/>
          <w:sz w:val="20"/>
          <w:szCs w:val="20"/>
        </w:rPr>
      </w:pPr>
      <w:r w:rsidRPr="007F123F">
        <w:rPr>
          <w:rFonts w:ascii="Arial" w:hAnsi="Arial" w:cs="Arial"/>
          <w:sz w:val="20"/>
          <w:szCs w:val="20"/>
        </w:rPr>
        <w:t>High fibre increased the levels of alkaline phosphatase (ALP), and total bilirubin</w:t>
      </w:r>
      <w:r w:rsidR="00E50BF7" w:rsidRPr="007F123F">
        <w:rPr>
          <w:rFonts w:ascii="Arial" w:hAnsi="Arial" w:cs="Arial"/>
          <w:sz w:val="20"/>
          <w:szCs w:val="20"/>
        </w:rPr>
        <w:t xml:space="preserve"> </w:t>
      </w:r>
      <w:r w:rsidRPr="007F123F">
        <w:rPr>
          <w:rFonts w:ascii="Arial" w:hAnsi="Arial" w:cs="Arial"/>
          <w:sz w:val="20"/>
          <w:szCs w:val="20"/>
        </w:rPr>
        <w:t xml:space="preserve">levels </w:t>
      </w:r>
      <w:r w:rsidR="00FB1AFF" w:rsidRPr="007F123F">
        <w:rPr>
          <w:rFonts w:ascii="Arial" w:hAnsi="Arial" w:cs="Arial"/>
          <w:sz w:val="20"/>
          <w:szCs w:val="20"/>
        </w:rPr>
        <w:t xml:space="preserve">compared to low fibre diets. </w:t>
      </w:r>
      <w:commentRangeStart w:id="25"/>
      <w:r w:rsidRPr="007F123F">
        <w:rPr>
          <w:rFonts w:ascii="Arial" w:hAnsi="Arial" w:cs="Arial"/>
          <w:sz w:val="20"/>
          <w:szCs w:val="20"/>
        </w:rPr>
        <w:t xml:space="preserve">The rise in bilirubin levels, particularly indirect bilirubin, may signify an increased breakdown of red blood cells or liver dysfunction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URL":"https://eclinpath.com/chemistry/liver/cholestasis/bilirubin/bilirubin-hemolytic-anemia/","accessed":{"date-parts":[["2023","7","21"]]},"author":[{"dropping-particle":"","family":"Cornell","given":"University","non-dropping-particle":"","parse-names":false,"suffix":""}],"container-title":"eClinpath","id":"ITEM-1","issued":{"date-parts":[["2020"]]},"title":"Bilirubin in a hemolytic anemia | eClinpath","type":"webpage"},"uris":["http://www.mendeley.com/documents/?uuid=e78de853-06a6-3bc2-b351-227f8380a81c"]}],"mendeley":{"formattedCitation":"(Cornell, 2020)","plainTextFormattedCitation":"(Cornell, 2020)","previouslyFormattedCitation":"(Cornell, 2020)"},"properties":{"noteIndex":0},"schema":"https://github.com/citation-style-language/schema/raw/master/csl-citation.json"}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692F6A">
        <w:rPr>
          <w:rFonts w:ascii="Arial" w:hAnsi="Arial" w:cs="Arial"/>
          <w:noProof/>
          <w:sz w:val="20"/>
          <w:szCs w:val="20"/>
        </w:rPr>
        <w:t>41</w:t>
      </w:r>
      <w:r w:rsidR="00763E5F" w:rsidRPr="007F123F">
        <w:rPr>
          <w:rFonts w:ascii="Arial" w:hAnsi="Arial" w:cs="Arial"/>
          <w:noProof/>
          <w:sz w:val="20"/>
          <w:szCs w:val="20"/>
        </w:rPr>
        <w:t>)</w:t>
      </w:r>
      <w:r w:rsidRPr="007F123F">
        <w:rPr>
          <w:rFonts w:ascii="Arial" w:hAnsi="Arial" w:cs="Arial"/>
          <w:sz w:val="20"/>
          <w:szCs w:val="20"/>
        </w:rPr>
        <w:fldChar w:fldCharType="end"/>
      </w:r>
      <w:commentRangeEnd w:id="25"/>
      <w:r w:rsidR="0008031F">
        <w:rPr>
          <w:rStyle w:val="CommentReference"/>
        </w:rPr>
        <w:commentReference w:id="25"/>
      </w:r>
      <w:r w:rsidRPr="007F123F">
        <w:rPr>
          <w:rFonts w:ascii="Arial" w:hAnsi="Arial" w:cs="Arial"/>
          <w:sz w:val="20"/>
          <w:szCs w:val="20"/>
        </w:rPr>
        <w:t>.</w:t>
      </w:r>
    </w:p>
    <w:p w14:paraId="518BC10D" w14:textId="41900D17" w:rsidR="00C74F6C" w:rsidRPr="007F123F" w:rsidRDefault="000D34CA" w:rsidP="00214D7D">
      <w:pPr>
        <w:tabs>
          <w:tab w:val="left" w:pos="0"/>
        </w:tabs>
        <w:spacing w:before="240" w:line="480" w:lineRule="auto"/>
        <w:jc w:val="both"/>
        <w:rPr>
          <w:rFonts w:ascii="Arial" w:hAnsi="Arial" w:cs="Arial"/>
          <w:sz w:val="20"/>
          <w:szCs w:val="20"/>
        </w:rPr>
      </w:pPr>
      <w:r w:rsidRPr="007F123F">
        <w:rPr>
          <w:rFonts w:ascii="Arial" w:hAnsi="Arial" w:cs="Arial"/>
          <w:sz w:val="20"/>
          <w:szCs w:val="20"/>
        </w:rPr>
        <w:t xml:space="preserve">However, high-fibre intake decreases albumin levels compared to low-fibre diets which </w:t>
      </w:r>
      <w:r w:rsidR="00FB3D6E">
        <w:rPr>
          <w:rFonts w:ascii="Arial" w:hAnsi="Arial" w:cs="Arial"/>
          <w:sz w:val="20"/>
          <w:szCs w:val="20"/>
        </w:rPr>
        <w:t>aligns</w:t>
      </w:r>
      <w:r w:rsidRPr="007F123F">
        <w:rPr>
          <w:rFonts w:ascii="Arial" w:hAnsi="Arial" w:cs="Arial"/>
          <w:sz w:val="20"/>
          <w:szCs w:val="20"/>
        </w:rPr>
        <w:t xml:space="preserve"> with the report of </w:t>
      </w:r>
      <w:r w:rsidR="006D5F10">
        <w:rPr>
          <w:rFonts w:ascii="Arial" w:hAnsi="Arial" w:cs="Arial"/>
          <w:sz w:val="20"/>
          <w:szCs w:val="20"/>
        </w:rPr>
        <w:t>(</w:t>
      </w:r>
      <w:r w:rsidRPr="007F123F">
        <w:rPr>
          <w:rFonts w:ascii="Arial" w:hAnsi="Arial" w:cs="Arial"/>
          <w:sz w:val="20"/>
          <w:szCs w:val="20"/>
        </w:rPr>
        <w:fldChar w:fldCharType="begin" w:fldLock="1"/>
      </w:r>
      <w:r w:rsidR="002E637B" w:rsidRPr="007F123F">
        <w:rPr>
          <w:rFonts w:ascii="Arial" w:hAnsi="Arial" w:cs="Arial"/>
          <w:sz w:val="20"/>
          <w:szCs w:val="20"/>
        </w:rPr>
        <w:instrText>ADDIN CSL_CITATION {"citationItems":[{"id":"ITEM-1","itemData":{"DOI":"10.51791/NJAP.V45I2.535","abstract":"This study was conducted to determine the effect of coconut oil inclusion on thesupplementary feed intake, weight gain, haematology and serum biochemistry of grazing cattle. Twenty-five (25) White Fulani cattle weighing 138±2.21 kg were randomly allotted to five treatment groups of coconut oil administration (0 g/day, 50 g/day, 100 g/day, 150 g/day and 200 g/day) in a completely randomised design. The animals were grazed for 84 days and supplemented with concentrate throughout the experimental period. Data on feed intake, weight gain and blood profile of cattle were analysed using one-way analysis of variance. Results obtained showed that coconut oil did not affect (P&gt;0.05) the supplementary concentrate intake of grazing cattle. Lower (P&lt;0.05) weight gain was observed with animals fed coconut oil at 50 g/day (9.64 kg) but increased to 17.64 kg with 150 g/day. Packed cell volume, haemoglobin and white blood cells were not affected (P&gt;0.05) by coconut oil. Thehighest (P&lt;0.05) red blood cell (6.91×10 /L) and platelet counts (67.00×10 /L) wererecorded at 150 g/day coconut oil. Total cholesterol, HDL and LDL values were increased (P&lt;0.05) with increasing levels of coconut oil. Values obtained for HDL (166.00 mg/dL to 145.15 mg/dL) and LDL (135.00 mg/dL to 88.40 mg/dL) decreased when the level of oil was increased from 150g/day to 200g/day. Administering coconut oil up to 150 g/day is recommended as it increases the body weight gain of cattle and maintain the normal PCV and haemoglobin concentration of the animals","author":[{"dropping-particle":"","family":"Adelusi","given":"O. O.","non-dropping-particle":"","parse-names":false,"suffix":""},{"dropping-particle":"","family":"Oni","given":"A. O.","non-dropping-particle":"","parse-names":false,"suffix":""},{"dropping-particle":"","family":"Aderinboye","given":"R. Y.","non-dropping-particle":"","parse-names":false,"suffix":""},{"dropping-particle":"","family":"Arigbede","given":"O. M.","non-dropping-particle":"","parse-names":false,"suffix":""},{"dropping-particle":"","family":"Onwuka","given":"C. F. I.","non-dropping-particle":"","parse-names":false,"suffix":""}],"container-title":"Nigerian Journal of Animal Production","id":"ITEM-1","issue":"2","issued":{"date-parts":[["2020","12","25"]]},"page":"316-324","publisher":"Nigerian Society for Animal Production (NSAP)","title":"Effects of coconut oil on the weight and blood status of grazing cattle fed concentrate as supplementary feed","type":"article-journal","volume":"45"},"uris":["http://www.mendeley.com/documents/?uuid=0f47431b-5caa-3111-9e76-0f708f43e3a3"]}],"mendeley":{"formattedCitation":"(Adelusi et al., 2020)","manualFormatting":"Adelusi et al. (2020)","plainTextFormattedCitation":"(Adelusi et al., 2020)","previouslyFormattedCitation":"(Adelusi et al., 2020)"},"properties":{"noteIndex":0},"schema":"https://github.com/citation-style-language/schema/raw/master/csl-citation.json"}</w:instrText>
      </w:r>
      <w:r w:rsidRPr="007F123F">
        <w:rPr>
          <w:rFonts w:ascii="Arial" w:hAnsi="Arial" w:cs="Arial"/>
          <w:sz w:val="20"/>
          <w:szCs w:val="20"/>
        </w:rPr>
        <w:fldChar w:fldCharType="separate"/>
      </w:r>
      <w:r w:rsidR="006D5F10">
        <w:rPr>
          <w:rFonts w:ascii="Arial" w:hAnsi="Arial" w:cs="Arial"/>
          <w:noProof/>
          <w:sz w:val="20"/>
          <w:szCs w:val="20"/>
        </w:rPr>
        <w:t>17</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This result could indicate reduced protein absorption or metabolism, liver or kidney dysfunction, malnutrition, or other health conditions affecting albumin synthesis or metabolism. </w:t>
      </w:r>
    </w:p>
    <w:p w14:paraId="645BD67E" w14:textId="47EFB901" w:rsidR="000D34CA" w:rsidRDefault="000D34CA" w:rsidP="00214D7D">
      <w:pPr>
        <w:tabs>
          <w:tab w:val="left" w:pos="0"/>
        </w:tabs>
        <w:spacing w:before="240" w:line="480" w:lineRule="auto"/>
        <w:jc w:val="both"/>
        <w:rPr>
          <w:rFonts w:ascii="Arial" w:hAnsi="Arial" w:cs="Arial"/>
          <w:sz w:val="20"/>
          <w:szCs w:val="20"/>
        </w:rPr>
      </w:pPr>
      <w:r w:rsidRPr="007F123F">
        <w:rPr>
          <w:rFonts w:ascii="Arial" w:hAnsi="Arial" w:cs="Arial"/>
          <w:sz w:val="20"/>
          <w:szCs w:val="20"/>
        </w:rPr>
        <w:t xml:space="preserve">Fibre did not significantly affect other liver function parameters such as ALT, AST, total protein, globulin, and direct bilirubin. This result varies with that of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{"citationItems":[{"id":"ITEM-1","itemData":{"DOI":"10.51791/NJAP.V45I2.535","abstract":"This study was conducted to determine the effect of coconut oil inclusion on thesupplementary feed intake, weight gain, haematology and serum biochemistry of grazing cattle. Twenty-five (25) White Fulani cattle weighing 138±2.21 kg were randomly allotted to five treatment groups of coconut oil administration (0 g/day, 50 g/day, 100 g/day, 150 g/day and 200 g/day) in a completely randomised design. The animals were grazed for 84 days and supplemented with concentrate throughout the experimental period. Data on feed intake, weight gain and blood profile of cattle were analysed using one-way analysis of variance. Results obtained showed that coconut oil did not affect (P&gt;0.05) the supplementary concentrate intake of grazing cattle. Lower (P&lt;0.05) weight gain was observed with animals fed coconut oil at 50 g/day (9.64 kg) but increased to 17.64 kg with 150 g/day. Packed cell volume, haemoglobin and white blood cells were not affected (P&gt;0.05) by coconut oil. Thehighest (P&lt;0.05) red blood cell (6.91×10 /L) and platelet counts (67.00×10 /L) wererecorded at 150 g/day coconut oil. Total cholesterol, HDL and LDL values were increased (P&lt;0.05) with increasing levels of coconut oil. Values obtained for HDL (166.00 mg/dL to 145.15 mg/dL) and LDL (135.00 mg/dL to 88.40 mg/dL) decreased when the level of oil was increased from 150g/day to 200g/day. Administering coconut oil up to 150 g/day is recommended as it increases the body weight gain of cattle and maintain the normal PCV and haemoglobin concentration of the animals","author":[{"dropping-particle":"","family":"Adelusi","given":"O. O.","non-dropping-particle":"","parse-names":false,"suffix":""},{"dropping-particle":"","family":"Oni","given":"A. O.","non-dropping-particle":"","parse-names":false,"suffix":""},{"dropping-particle":"","family":"Aderinboye","given":"R. Y.","non-dropping-particle":"","parse-names":false,"suffix":""},{"dropping-particle":"","family":"Arigbede","given":"O. M.","non-dropping-particle":"","parse-names":false,"suffix":""},{"dropping-particle":"","family":"Onwuka","given":"C. F. I.","non-dropping-particle":"","parse-names":false,"suffix":""}],"container-title":"Nigerian Journal of Animal Production","id":"ITEM-1","issue":"2","issued":{"date-parts":[["2020","12","25"]]},"page":"316-324","publisher":"Nigerian Society for Animal Production (NSAP)","title":"Effects of coconut oil on the weight and blood status of grazing cattle fed concentrate as supplementary feed","type":"article-journal","volume":"45"},"uris":["http://www.mendeley.com/documents/?uuid=0f47431b-5caa-3111-9e76-0f708f43e3a3"]}],"mendeley":{"formattedCitation":"(Adelusi et al., 2020)","plainTextFormattedCitation":"(Adelusi et al., 2020)","previouslyFormattedCitation":"(Adelusi et al., 2020)"},"properties":{"noteIndex":0},"schema":"https://github.com/citation-style-language/schema/raw/master/csl-citation.json"}</w:instrText>
      </w:r>
      <w:r w:rsidRPr="007F123F">
        <w:rPr>
          <w:rFonts w:ascii="Arial" w:hAnsi="Arial" w:cs="Arial"/>
          <w:sz w:val="20"/>
          <w:szCs w:val="20"/>
        </w:rPr>
        <w:fldChar w:fldCharType="separate"/>
      </w:r>
      <w:r w:rsidR="002E637B" w:rsidRPr="007F123F">
        <w:rPr>
          <w:rFonts w:ascii="Arial" w:hAnsi="Arial" w:cs="Arial"/>
          <w:noProof/>
          <w:sz w:val="20"/>
          <w:szCs w:val="20"/>
        </w:rPr>
        <w:t>(</w:t>
      </w:r>
      <w:r w:rsidR="006D5F10">
        <w:rPr>
          <w:rFonts w:ascii="Arial" w:hAnsi="Arial" w:cs="Arial"/>
          <w:noProof/>
          <w:sz w:val="20"/>
          <w:szCs w:val="20"/>
        </w:rPr>
        <w:t>17</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who submitted that hydrolyzed corn cob increased total protein, AST and ALT in broilers. Similarly, fat as a main effect or its interaction with fibre significantly affect</w:t>
      </w:r>
      <w:r w:rsidR="002E637B" w:rsidRPr="007F123F">
        <w:rPr>
          <w:rFonts w:ascii="Arial" w:hAnsi="Arial" w:cs="Arial"/>
          <w:sz w:val="20"/>
          <w:szCs w:val="20"/>
        </w:rPr>
        <w:t>ed none of</w:t>
      </w:r>
      <w:r w:rsidRPr="007F123F">
        <w:rPr>
          <w:rFonts w:ascii="Arial" w:hAnsi="Arial" w:cs="Arial"/>
          <w:sz w:val="20"/>
          <w:szCs w:val="20"/>
        </w:rPr>
        <w:t xml:space="preserve"> </w:t>
      </w:r>
      <w:r w:rsidR="002E637B" w:rsidRPr="007F123F">
        <w:rPr>
          <w:rFonts w:ascii="Arial" w:hAnsi="Arial" w:cs="Arial"/>
          <w:sz w:val="20"/>
          <w:szCs w:val="20"/>
        </w:rPr>
        <w:t>the</w:t>
      </w:r>
      <w:r w:rsidRPr="007F123F">
        <w:rPr>
          <w:rFonts w:ascii="Arial" w:hAnsi="Arial" w:cs="Arial"/>
          <w:sz w:val="20"/>
          <w:szCs w:val="20"/>
        </w:rPr>
        <w:t xml:space="preserve"> liver function parameters. This suggests that the different levels of fat and fibre in the diet did not have a significant synergistic or contrasting effect on liver function parameters in this experimental study.</w:t>
      </w:r>
    </w:p>
    <w:p w14:paraId="125055B7" w14:textId="77777777" w:rsidR="00943D47" w:rsidRDefault="00943D47" w:rsidP="0083042F">
      <w:pPr>
        <w:tabs>
          <w:tab w:val="left" w:pos="0"/>
        </w:tabs>
        <w:spacing w:before="240" w:line="480" w:lineRule="auto"/>
        <w:ind w:left="-567"/>
        <w:jc w:val="both"/>
        <w:rPr>
          <w:rFonts w:ascii="Arial" w:hAnsi="Arial" w:cs="Arial"/>
          <w:sz w:val="20"/>
          <w:szCs w:val="20"/>
        </w:rPr>
      </w:pPr>
    </w:p>
    <w:p w14:paraId="276BC459" w14:textId="77777777" w:rsidR="00943D47" w:rsidRDefault="00943D47" w:rsidP="0083042F">
      <w:pPr>
        <w:tabs>
          <w:tab w:val="left" w:pos="0"/>
        </w:tabs>
        <w:spacing w:before="240" w:line="480" w:lineRule="auto"/>
        <w:ind w:left="-567"/>
        <w:jc w:val="both"/>
        <w:rPr>
          <w:rFonts w:ascii="Arial" w:hAnsi="Arial" w:cs="Arial"/>
          <w:sz w:val="20"/>
          <w:szCs w:val="20"/>
        </w:rPr>
        <w:sectPr w:rsidR="00943D47" w:rsidSect="00214D7D">
          <w:pgSz w:w="12240" w:h="15840"/>
          <w:pgMar w:top="1440" w:right="1440" w:bottom="1440" w:left="1440" w:header="720" w:footer="720" w:gutter="0"/>
          <w:cols w:space="720"/>
          <w:docGrid w:linePitch="360"/>
        </w:sectPr>
      </w:pPr>
    </w:p>
    <w:p w14:paraId="1852035D" w14:textId="77777777" w:rsidR="00943D47" w:rsidRPr="00705183" w:rsidRDefault="00943D47" w:rsidP="0083042F">
      <w:pPr>
        <w:tabs>
          <w:tab w:val="left" w:pos="0"/>
        </w:tabs>
        <w:spacing w:line="240" w:lineRule="auto"/>
        <w:rPr>
          <w:rFonts w:ascii="Arial" w:hAnsi="Arial" w:cs="Arial"/>
          <w:sz w:val="20"/>
          <w:szCs w:val="20"/>
        </w:rPr>
      </w:pPr>
      <w:r w:rsidRPr="00705183">
        <w:rPr>
          <w:rFonts w:ascii="Arial" w:hAnsi="Arial" w:cs="Arial"/>
          <w:sz w:val="20"/>
          <w:szCs w:val="20"/>
        </w:rPr>
        <w:lastRenderedPageBreak/>
        <w:t>T</w:t>
      </w:r>
      <w:r w:rsidRPr="00705183">
        <w:rPr>
          <w:rFonts w:ascii="Arial" w:hAnsi="Arial" w:cs="Arial"/>
          <w:b/>
          <w:sz w:val="20"/>
          <w:szCs w:val="20"/>
        </w:rPr>
        <w:t xml:space="preserve">able 8. Effects of two dietary fat and fibre levels on the Liver function test of </w:t>
      </w:r>
      <w:r w:rsidRPr="00705183">
        <w:rPr>
          <w:rFonts w:ascii="Arial" w:hAnsi="Arial" w:cs="Arial"/>
          <w:sz w:val="20"/>
          <w:szCs w:val="20"/>
        </w:rPr>
        <w:t>Albino</w:t>
      </w:r>
      <w:r w:rsidRPr="00705183">
        <w:rPr>
          <w:rFonts w:ascii="Arial" w:hAnsi="Arial" w:cs="Arial"/>
          <w:b/>
          <w:sz w:val="20"/>
          <w:szCs w:val="20"/>
        </w:rPr>
        <w:t xml:space="preserve"> rats at d 56.</w:t>
      </w:r>
    </w:p>
    <w:tbl>
      <w:tblPr>
        <w:tblStyle w:val="TableGrid"/>
        <w:tblW w:w="14014" w:type="dxa"/>
        <w:tblInd w:w="-27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3"/>
        <w:gridCol w:w="992"/>
        <w:gridCol w:w="992"/>
        <w:gridCol w:w="993"/>
        <w:gridCol w:w="992"/>
        <w:gridCol w:w="992"/>
        <w:gridCol w:w="851"/>
        <w:gridCol w:w="1134"/>
        <w:gridCol w:w="992"/>
        <w:gridCol w:w="992"/>
        <w:gridCol w:w="992"/>
        <w:gridCol w:w="993"/>
        <w:gridCol w:w="1406"/>
      </w:tblGrid>
      <w:tr w:rsidR="00943D47" w:rsidRPr="00705183" w14:paraId="7C18FABA" w14:textId="77777777" w:rsidTr="00DC67EC">
        <w:trPr>
          <w:trHeight w:val="409"/>
        </w:trPr>
        <w:tc>
          <w:tcPr>
            <w:tcW w:w="1693" w:type="dxa"/>
            <w:tcBorders>
              <w:top w:val="single" w:sz="4" w:space="0" w:color="auto"/>
              <w:bottom w:val="nil"/>
            </w:tcBorders>
          </w:tcPr>
          <w:p w14:paraId="1D57D11E" w14:textId="77777777" w:rsidR="00943D47" w:rsidRPr="00705183" w:rsidRDefault="00943D47" w:rsidP="0083042F">
            <w:pPr>
              <w:tabs>
                <w:tab w:val="left" w:pos="0"/>
              </w:tabs>
              <w:rPr>
                <w:rFonts w:ascii="Arial" w:hAnsi="Arial" w:cs="Arial"/>
                <w:b/>
                <w:sz w:val="20"/>
                <w:szCs w:val="20"/>
              </w:rPr>
            </w:pPr>
            <w:r w:rsidRPr="00705183">
              <w:rPr>
                <w:rFonts w:ascii="Arial" w:hAnsi="Arial" w:cs="Arial"/>
                <w:b/>
                <w:sz w:val="20"/>
                <w:szCs w:val="20"/>
              </w:rPr>
              <w:t>Effects</w:t>
            </w:r>
          </w:p>
        </w:tc>
        <w:tc>
          <w:tcPr>
            <w:tcW w:w="992" w:type="dxa"/>
            <w:tcBorders>
              <w:top w:val="single" w:sz="4" w:space="0" w:color="auto"/>
              <w:bottom w:val="nil"/>
            </w:tcBorders>
          </w:tcPr>
          <w:p w14:paraId="4CFE2691" w14:textId="77777777" w:rsidR="00943D47" w:rsidRPr="00705183" w:rsidRDefault="00943D47" w:rsidP="0083042F">
            <w:pPr>
              <w:tabs>
                <w:tab w:val="left" w:pos="0"/>
              </w:tabs>
              <w:rPr>
                <w:rFonts w:ascii="Arial" w:hAnsi="Arial" w:cs="Arial"/>
                <w:sz w:val="20"/>
                <w:szCs w:val="20"/>
              </w:rPr>
            </w:pPr>
            <w:r w:rsidRPr="00705183">
              <w:rPr>
                <w:rFonts w:ascii="Arial" w:hAnsi="Arial" w:cs="Arial"/>
                <w:b/>
                <w:sz w:val="20"/>
                <w:szCs w:val="20"/>
              </w:rPr>
              <w:t>Fat</w:t>
            </w:r>
          </w:p>
        </w:tc>
        <w:tc>
          <w:tcPr>
            <w:tcW w:w="992" w:type="dxa"/>
            <w:tcBorders>
              <w:top w:val="single" w:sz="4" w:space="0" w:color="auto"/>
              <w:bottom w:val="nil"/>
            </w:tcBorders>
          </w:tcPr>
          <w:p w14:paraId="4D1A6B22" w14:textId="77777777" w:rsidR="00943D47" w:rsidRPr="00705183" w:rsidRDefault="00943D47" w:rsidP="0083042F">
            <w:pPr>
              <w:tabs>
                <w:tab w:val="left" w:pos="0"/>
              </w:tabs>
              <w:rPr>
                <w:rFonts w:ascii="Arial" w:hAnsi="Arial" w:cs="Arial"/>
                <w:sz w:val="20"/>
                <w:szCs w:val="20"/>
              </w:rPr>
            </w:pPr>
            <w:r w:rsidRPr="00705183">
              <w:rPr>
                <w:rFonts w:ascii="Arial" w:hAnsi="Arial" w:cs="Arial"/>
                <w:b/>
                <w:sz w:val="20"/>
                <w:szCs w:val="20"/>
              </w:rPr>
              <w:t>Fibre</w:t>
            </w:r>
          </w:p>
        </w:tc>
        <w:tc>
          <w:tcPr>
            <w:tcW w:w="993" w:type="dxa"/>
            <w:tcBorders>
              <w:top w:val="single" w:sz="4" w:space="0" w:color="auto"/>
              <w:bottom w:val="nil"/>
            </w:tcBorders>
            <w:vAlign w:val="bottom"/>
          </w:tcPr>
          <w:p w14:paraId="098CC4C2" w14:textId="77777777" w:rsidR="00943D47" w:rsidRPr="00705183" w:rsidRDefault="00943D47" w:rsidP="0083042F">
            <w:pPr>
              <w:tabs>
                <w:tab w:val="left" w:pos="0"/>
              </w:tabs>
              <w:rPr>
                <w:rFonts w:ascii="Arial" w:hAnsi="Arial" w:cs="Arial"/>
                <w:b/>
                <w:bCs/>
                <w:sz w:val="20"/>
                <w:szCs w:val="20"/>
              </w:rPr>
            </w:pPr>
            <w:r w:rsidRPr="00705183">
              <w:rPr>
                <w:rFonts w:ascii="Arial" w:hAnsi="Arial" w:cs="Arial"/>
                <w:b/>
                <w:bCs/>
                <w:sz w:val="20"/>
                <w:szCs w:val="20"/>
              </w:rPr>
              <w:t>ALT (IU/L)</w:t>
            </w:r>
          </w:p>
        </w:tc>
        <w:tc>
          <w:tcPr>
            <w:tcW w:w="992" w:type="dxa"/>
            <w:tcBorders>
              <w:top w:val="single" w:sz="4" w:space="0" w:color="auto"/>
              <w:bottom w:val="nil"/>
            </w:tcBorders>
            <w:vAlign w:val="bottom"/>
          </w:tcPr>
          <w:p w14:paraId="7864EBF0" w14:textId="77777777" w:rsidR="00943D47" w:rsidRPr="00705183" w:rsidRDefault="00943D47" w:rsidP="0083042F">
            <w:pPr>
              <w:tabs>
                <w:tab w:val="left" w:pos="0"/>
              </w:tabs>
              <w:rPr>
                <w:rFonts w:ascii="Arial" w:hAnsi="Arial" w:cs="Arial"/>
                <w:b/>
                <w:bCs/>
                <w:sz w:val="20"/>
                <w:szCs w:val="20"/>
              </w:rPr>
            </w:pPr>
            <w:r w:rsidRPr="00705183">
              <w:rPr>
                <w:rFonts w:ascii="Arial" w:hAnsi="Arial" w:cs="Arial"/>
                <w:b/>
                <w:bCs/>
                <w:sz w:val="20"/>
                <w:szCs w:val="20"/>
              </w:rPr>
              <w:t>AST (IU/L)</w:t>
            </w:r>
          </w:p>
        </w:tc>
        <w:tc>
          <w:tcPr>
            <w:tcW w:w="992" w:type="dxa"/>
            <w:tcBorders>
              <w:top w:val="single" w:sz="4" w:space="0" w:color="auto"/>
              <w:bottom w:val="nil"/>
            </w:tcBorders>
            <w:vAlign w:val="bottom"/>
          </w:tcPr>
          <w:p w14:paraId="52BC4F7F" w14:textId="77777777" w:rsidR="00943D47" w:rsidRPr="00705183" w:rsidRDefault="00943D47" w:rsidP="0083042F">
            <w:pPr>
              <w:tabs>
                <w:tab w:val="left" w:pos="0"/>
              </w:tabs>
              <w:rPr>
                <w:rFonts w:ascii="Arial" w:hAnsi="Arial" w:cs="Arial"/>
                <w:b/>
                <w:bCs/>
                <w:sz w:val="20"/>
                <w:szCs w:val="20"/>
              </w:rPr>
            </w:pPr>
            <w:r w:rsidRPr="00705183">
              <w:rPr>
                <w:rFonts w:ascii="Arial" w:hAnsi="Arial" w:cs="Arial"/>
                <w:b/>
                <w:bCs/>
                <w:sz w:val="20"/>
                <w:szCs w:val="20"/>
              </w:rPr>
              <w:t>ALP (IU/L)</w:t>
            </w:r>
          </w:p>
        </w:tc>
        <w:tc>
          <w:tcPr>
            <w:tcW w:w="851" w:type="dxa"/>
            <w:tcBorders>
              <w:top w:val="single" w:sz="4" w:space="0" w:color="auto"/>
              <w:bottom w:val="nil"/>
            </w:tcBorders>
            <w:vAlign w:val="bottom"/>
          </w:tcPr>
          <w:p w14:paraId="1D4297FA" w14:textId="77777777" w:rsidR="00943D47" w:rsidRPr="00705183" w:rsidRDefault="00943D47" w:rsidP="0083042F">
            <w:pPr>
              <w:tabs>
                <w:tab w:val="left" w:pos="0"/>
              </w:tabs>
              <w:rPr>
                <w:rFonts w:ascii="Arial" w:hAnsi="Arial" w:cs="Arial"/>
                <w:b/>
                <w:bCs/>
                <w:sz w:val="20"/>
                <w:szCs w:val="20"/>
              </w:rPr>
            </w:pPr>
            <w:r w:rsidRPr="00705183">
              <w:rPr>
                <w:rFonts w:ascii="Arial" w:hAnsi="Arial" w:cs="Arial"/>
                <w:b/>
                <w:bCs/>
                <w:sz w:val="20"/>
                <w:szCs w:val="20"/>
              </w:rPr>
              <w:t>GGT (IU/L)</w:t>
            </w:r>
          </w:p>
        </w:tc>
        <w:tc>
          <w:tcPr>
            <w:tcW w:w="1134" w:type="dxa"/>
            <w:tcBorders>
              <w:top w:val="single" w:sz="4" w:space="0" w:color="auto"/>
              <w:bottom w:val="nil"/>
            </w:tcBorders>
            <w:vAlign w:val="bottom"/>
          </w:tcPr>
          <w:p w14:paraId="1ECD0752" w14:textId="77777777" w:rsidR="00943D47" w:rsidRPr="00705183" w:rsidRDefault="00943D47" w:rsidP="0083042F">
            <w:pPr>
              <w:tabs>
                <w:tab w:val="left" w:pos="0"/>
              </w:tabs>
              <w:rPr>
                <w:rFonts w:ascii="Arial" w:hAnsi="Arial" w:cs="Arial"/>
                <w:b/>
                <w:bCs/>
                <w:sz w:val="20"/>
                <w:szCs w:val="20"/>
              </w:rPr>
            </w:pPr>
            <w:r w:rsidRPr="00705183">
              <w:rPr>
                <w:rFonts w:ascii="Arial" w:hAnsi="Arial" w:cs="Arial"/>
                <w:b/>
                <w:bCs/>
                <w:sz w:val="20"/>
                <w:szCs w:val="20"/>
              </w:rPr>
              <w:t>T. PRO (g/L)</w:t>
            </w:r>
          </w:p>
        </w:tc>
        <w:tc>
          <w:tcPr>
            <w:tcW w:w="992" w:type="dxa"/>
            <w:tcBorders>
              <w:top w:val="single" w:sz="4" w:space="0" w:color="auto"/>
              <w:bottom w:val="nil"/>
            </w:tcBorders>
            <w:vAlign w:val="bottom"/>
          </w:tcPr>
          <w:p w14:paraId="3A9EA2CA" w14:textId="77777777" w:rsidR="00943D47" w:rsidRPr="00705183" w:rsidRDefault="00943D47" w:rsidP="0083042F">
            <w:pPr>
              <w:tabs>
                <w:tab w:val="left" w:pos="0"/>
              </w:tabs>
              <w:rPr>
                <w:rFonts w:ascii="Arial" w:hAnsi="Arial" w:cs="Arial"/>
                <w:b/>
                <w:bCs/>
                <w:sz w:val="20"/>
                <w:szCs w:val="20"/>
              </w:rPr>
            </w:pPr>
            <w:r w:rsidRPr="00705183">
              <w:rPr>
                <w:rFonts w:ascii="Arial" w:hAnsi="Arial" w:cs="Arial"/>
                <w:b/>
                <w:bCs/>
                <w:sz w:val="20"/>
                <w:szCs w:val="20"/>
              </w:rPr>
              <w:t>ALBU. (g/L)</w:t>
            </w:r>
          </w:p>
        </w:tc>
        <w:tc>
          <w:tcPr>
            <w:tcW w:w="992" w:type="dxa"/>
            <w:tcBorders>
              <w:top w:val="single" w:sz="4" w:space="0" w:color="auto"/>
              <w:bottom w:val="nil"/>
            </w:tcBorders>
            <w:vAlign w:val="bottom"/>
          </w:tcPr>
          <w:p w14:paraId="72D7FC97" w14:textId="77777777" w:rsidR="00943D47" w:rsidRPr="00705183" w:rsidRDefault="00943D47" w:rsidP="0083042F">
            <w:pPr>
              <w:tabs>
                <w:tab w:val="left" w:pos="0"/>
              </w:tabs>
              <w:rPr>
                <w:rFonts w:ascii="Arial" w:hAnsi="Arial" w:cs="Arial"/>
                <w:b/>
                <w:bCs/>
                <w:sz w:val="20"/>
                <w:szCs w:val="20"/>
              </w:rPr>
            </w:pPr>
            <w:r w:rsidRPr="00705183">
              <w:rPr>
                <w:rFonts w:ascii="Arial" w:hAnsi="Arial" w:cs="Arial"/>
                <w:b/>
                <w:bCs/>
                <w:sz w:val="20"/>
                <w:szCs w:val="20"/>
              </w:rPr>
              <w:t>GLOB (g/L)</w:t>
            </w:r>
          </w:p>
        </w:tc>
        <w:tc>
          <w:tcPr>
            <w:tcW w:w="992" w:type="dxa"/>
            <w:tcBorders>
              <w:top w:val="single" w:sz="4" w:space="0" w:color="auto"/>
              <w:bottom w:val="nil"/>
            </w:tcBorders>
            <w:vAlign w:val="bottom"/>
          </w:tcPr>
          <w:p w14:paraId="63022B8F" w14:textId="77777777" w:rsidR="00943D47" w:rsidRPr="00705183" w:rsidRDefault="00943D47" w:rsidP="0083042F">
            <w:pPr>
              <w:tabs>
                <w:tab w:val="left" w:pos="0"/>
              </w:tabs>
              <w:rPr>
                <w:rFonts w:ascii="Arial" w:hAnsi="Arial" w:cs="Arial"/>
                <w:b/>
                <w:sz w:val="20"/>
                <w:szCs w:val="20"/>
              </w:rPr>
            </w:pPr>
            <w:r w:rsidRPr="00705183">
              <w:rPr>
                <w:rFonts w:ascii="Arial" w:hAnsi="Arial" w:cs="Arial"/>
                <w:b/>
                <w:sz w:val="20"/>
                <w:szCs w:val="20"/>
              </w:rPr>
              <w:t>T.BIL (umol/L)</w:t>
            </w:r>
          </w:p>
        </w:tc>
        <w:tc>
          <w:tcPr>
            <w:tcW w:w="993" w:type="dxa"/>
            <w:tcBorders>
              <w:top w:val="single" w:sz="4" w:space="0" w:color="auto"/>
              <w:bottom w:val="nil"/>
            </w:tcBorders>
            <w:vAlign w:val="bottom"/>
          </w:tcPr>
          <w:p w14:paraId="654DECC8" w14:textId="77777777" w:rsidR="00943D47" w:rsidRPr="00705183" w:rsidRDefault="00943D47" w:rsidP="0083042F">
            <w:pPr>
              <w:tabs>
                <w:tab w:val="left" w:pos="0"/>
              </w:tabs>
              <w:rPr>
                <w:rFonts w:ascii="Arial" w:hAnsi="Arial" w:cs="Arial"/>
                <w:b/>
                <w:bCs/>
                <w:sz w:val="20"/>
                <w:szCs w:val="20"/>
              </w:rPr>
            </w:pPr>
            <w:r w:rsidRPr="00705183">
              <w:rPr>
                <w:rFonts w:ascii="Arial" w:hAnsi="Arial" w:cs="Arial"/>
                <w:b/>
                <w:bCs/>
                <w:sz w:val="20"/>
                <w:szCs w:val="20"/>
              </w:rPr>
              <w:t xml:space="preserve">D.BIL </w:t>
            </w:r>
            <w:r w:rsidRPr="00705183">
              <w:rPr>
                <w:rFonts w:ascii="Arial" w:hAnsi="Arial" w:cs="Arial"/>
                <w:b/>
                <w:sz w:val="20"/>
                <w:szCs w:val="20"/>
              </w:rPr>
              <w:t>(umol/L)</w:t>
            </w:r>
          </w:p>
        </w:tc>
        <w:tc>
          <w:tcPr>
            <w:tcW w:w="1406" w:type="dxa"/>
            <w:tcBorders>
              <w:top w:val="single" w:sz="4" w:space="0" w:color="auto"/>
              <w:bottom w:val="nil"/>
            </w:tcBorders>
            <w:vAlign w:val="bottom"/>
          </w:tcPr>
          <w:p w14:paraId="79819AB5" w14:textId="77777777" w:rsidR="00943D47" w:rsidRPr="00705183" w:rsidRDefault="00943D47" w:rsidP="0083042F">
            <w:pPr>
              <w:tabs>
                <w:tab w:val="left" w:pos="0"/>
              </w:tabs>
              <w:rPr>
                <w:rFonts w:ascii="Arial" w:hAnsi="Arial" w:cs="Arial"/>
                <w:b/>
                <w:bCs/>
                <w:sz w:val="20"/>
                <w:szCs w:val="20"/>
              </w:rPr>
            </w:pPr>
            <w:r w:rsidRPr="00705183">
              <w:rPr>
                <w:rFonts w:ascii="Arial" w:hAnsi="Arial" w:cs="Arial"/>
                <w:b/>
                <w:bCs/>
                <w:sz w:val="20"/>
                <w:szCs w:val="20"/>
              </w:rPr>
              <w:t xml:space="preserve">IND.BIL </w:t>
            </w:r>
            <w:r w:rsidRPr="00705183">
              <w:rPr>
                <w:rFonts w:ascii="Arial" w:hAnsi="Arial" w:cs="Arial"/>
                <w:b/>
                <w:sz w:val="20"/>
                <w:szCs w:val="20"/>
              </w:rPr>
              <w:t>(umol/L)</w:t>
            </w:r>
          </w:p>
        </w:tc>
      </w:tr>
      <w:tr w:rsidR="00943D47" w:rsidRPr="00705183" w14:paraId="644672C4" w14:textId="77777777" w:rsidTr="00DC67EC">
        <w:trPr>
          <w:trHeight w:val="378"/>
        </w:trPr>
        <w:tc>
          <w:tcPr>
            <w:tcW w:w="1693" w:type="dxa"/>
            <w:tcBorders>
              <w:top w:val="single" w:sz="4" w:space="0" w:color="auto"/>
            </w:tcBorders>
          </w:tcPr>
          <w:p w14:paraId="65579DD7" w14:textId="77777777" w:rsidR="00943D47" w:rsidRPr="00705183" w:rsidRDefault="00943D47" w:rsidP="0083042F">
            <w:pPr>
              <w:tabs>
                <w:tab w:val="left" w:pos="0"/>
              </w:tabs>
              <w:rPr>
                <w:rFonts w:ascii="Arial" w:hAnsi="Arial" w:cs="Arial"/>
                <w:sz w:val="20"/>
                <w:szCs w:val="20"/>
              </w:rPr>
            </w:pPr>
          </w:p>
        </w:tc>
        <w:tc>
          <w:tcPr>
            <w:tcW w:w="992" w:type="dxa"/>
            <w:tcBorders>
              <w:top w:val="single" w:sz="4" w:space="0" w:color="auto"/>
            </w:tcBorders>
          </w:tcPr>
          <w:p w14:paraId="6D4F2D13"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Low</w:t>
            </w:r>
          </w:p>
        </w:tc>
        <w:tc>
          <w:tcPr>
            <w:tcW w:w="992" w:type="dxa"/>
            <w:tcBorders>
              <w:top w:val="single" w:sz="4" w:space="0" w:color="auto"/>
            </w:tcBorders>
          </w:tcPr>
          <w:p w14:paraId="1181284B" w14:textId="77777777" w:rsidR="00943D47" w:rsidRPr="00705183" w:rsidRDefault="00943D47" w:rsidP="0083042F">
            <w:pPr>
              <w:tabs>
                <w:tab w:val="left" w:pos="0"/>
              </w:tabs>
              <w:rPr>
                <w:rFonts w:ascii="Arial" w:hAnsi="Arial" w:cs="Arial"/>
                <w:sz w:val="20"/>
                <w:szCs w:val="20"/>
              </w:rPr>
            </w:pPr>
          </w:p>
        </w:tc>
        <w:tc>
          <w:tcPr>
            <w:tcW w:w="993" w:type="dxa"/>
            <w:tcBorders>
              <w:top w:val="single" w:sz="4" w:space="0" w:color="auto"/>
            </w:tcBorders>
          </w:tcPr>
          <w:p w14:paraId="22F3786D"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34.94</w:t>
            </w:r>
          </w:p>
        </w:tc>
        <w:tc>
          <w:tcPr>
            <w:tcW w:w="992" w:type="dxa"/>
            <w:tcBorders>
              <w:top w:val="single" w:sz="4" w:space="0" w:color="auto"/>
            </w:tcBorders>
          </w:tcPr>
          <w:p w14:paraId="715FA365"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252.6</w:t>
            </w:r>
          </w:p>
        </w:tc>
        <w:tc>
          <w:tcPr>
            <w:tcW w:w="992" w:type="dxa"/>
            <w:tcBorders>
              <w:top w:val="single" w:sz="4" w:space="0" w:color="auto"/>
            </w:tcBorders>
          </w:tcPr>
          <w:p w14:paraId="7D0C4390"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470.9</w:t>
            </w:r>
          </w:p>
        </w:tc>
        <w:tc>
          <w:tcPr>
            <w:tcW w:w="851" w:type="dxa"/>
            <w:tcBorders>
              <w:top w:val="single" w:sz="4" w:space="0" w:color="auto"/>
            </w:tcBorders>
          </w:tcPr>
          <w:p w14:paraId="5A88DE7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7.109</w:t>
            </w:r>
          </w:p>
        </w:tc>
        <w:tc>
          <w:tcPr>
            <w:tcW w:w="1134" w:type="dxa"/>
            <w:tcBorders>
              <w:top w:val="single" w:sz="4" w:space="0" w:color="auto"/>
            </w:tcBorders>
          </w:tcPr>
          <w:p w14:paraId="4FCBCF34"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75.80</w:t>
            </w:r>
          </w:p>
        </w:tc>
        <w:tc>
          <w:tcPr>
            <w:tcW w:w="992" w:type="dxa"/>
            <w:tcBorders>
              <w:top w:val="single" w:sz="4" w:space="0" w:color="auto"/>
            </w:tcBorders>
          </w:tcPr>
          <w:p w14:paraId="58D8D269"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24.88</w:t>
            </w:r>
          </w:p>
        </w:tc>
        <w:tc>
          <w:tcPr>
            <w:tcW w:w="992" w:type="dxa"/>
            <w:tcBorders>
              <w:top w:val="single" w:sz="4" w:space="0" w:color="auto"/>
            </w:tcBorders>
          </w:tcPr>
          <w:p w14:paraId="110CDBC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53.77</w:t>
            </w:r>
          </w:p>
        </w:tc>
        <w:tc>
          <w:tcPr>
            <w:tcW w:w="992" w:type="dxa"/>
            <w:tcBorders>
              <w:top w:val="single" w:sz="4" w:space="0" w:color="auto"/>
            </w:tcBorders>
          </w:tcPr>
          <w:p w14:paraId="35589F76"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17.94</w:t>
            </w:r>
          </w:p>
        </w:tc>
        <w:tc>
          <w:tcPr>
            <w:tcW w:w="993" w:type="dxa"/>
            <w:tcBorders>
              <w:top w:val="single" w:sz="4" w:space="0" w:color="auto"/>
            </w:tcBorders>
          </w:tcPr>
          <w:p w14:paraId="23EA4BDC"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9.079</w:t>
            </w:r>
          </w:p>
        </w:tc>
        <w:tc>
          <w:tcPr>
            <w:tcW w:w="1406" w:type="dxa"/>
            <w:tcBorders>
              <w:top w:val="single" w:sz="4" w:space="0" w:color="auto"/>
            </w:tcBorders>
          </w:tcPr>
          <w:p w14:paraId="6E6CF02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8.291</w:t>
            </w:r>
          </w:p>
        </w:tc>
      </w:tr>
      <w:tr w:rsidR="00943D47" w:rsidRPr="00705183" w14:paraId="37907D36" w14:textId="77777777" w:rsidTr="00DC67EC">
        <w:trPr>
          <w:trHeight w:val="402"/>
        </w:trPr>
        <w:tc>
          <w:tcPr>
            <w:tcW w:w="1693" w:type="dxa"/>
          </w:tcPr>
          <w:p w14:paraId="7DADBE9D" w14:textId="77777777" w:rsidR="00943D47" w:rsidRPr="00705183" w:rsidRDefault="00943D47" w:rsidP="0083042F">
            <w:pPr>
              <w:tabs>
                <w:tab w:val="left" w:pos="0"/>
              </w:tabs>
              <w:rPr>
                <w:rFonts w:ascii="Arial" w:hAnsi="Arial" w:cs="Arial"/>
                <w:sz w:val="20"/>
                <w:szCs w:val="20"/>
              </w:rPr>
            </w:pPr>
          </w:p>
        </w:tc>
        <w:tc>
          <w:tcPr>
            <w:tcW w:w="992" w:type="dxa"/>
          </w:tcPr>
          <w:p w14:paraId="0D767F14"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High</w:t>
            </w:r>
          </w:p>
        </w:tc>
        <w:tc>
          <w:tcPr>
            <w:tcW w:w="992" w:type="dxa"/>
          </w:tcPr>
          <w:p w14:paraId="15F5E76D" w14:textId="77777777" w:rsidR="00943D47" w:rsidRPr="00705183" w:rsidRDefault="00943D47" w:rsidP="0083042F">
            <w:pPr>
              <w:tabs>
                <w:tab w:val="left" w:pos="0"/>
              </w:tabs>
              <w:rPr>
                <w:rFonts w:ascii="Arial" w:hAnsi="Arial" w:cs="Arial"/>
                <w:sz w:val="20"/>
                <w:szCs w:val="20"/>
              </w:rPr>
            </w:pPr>
          </w:p>
        </w:tc>
        <w:tc>
          <w:tcPr>
            <w:tcW w:w="993" w:type="dxa"/>
          </w:tcPr>
          <w:p w14:paraId="15BC0D2D"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27.59</w:t>
            </w:r>
          </w:p>
        </w:tc>
        <w:tc>
          <w:tcPr>
            <w:tcW w:w="992" w:type="dxa"/>
          </w:tcPr>
          <w:p w14:paraId="6A52433F"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223.9</w:t>
            </w:r>
          </w:p>
        </w:tc>
        <w:tc>
          <w:tcPr>
            <w:tcW w:w="992" w:type="dxa"/>
          </w:tcPr>
          <w:p w14:paraId="70EAC829"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362.8</w:t>
            </w:r>
          </w:p>
        </w:tc>
        <w:tc>
          <w:tcPr>
            <w:tcW w:w="851" w:type="dxa"/>
          </w:tcPr>
          <w:p w14:paraId="7A0DCBE5"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3.595</w:t>
            </w:r>
          </w:p>
        </w:tc>
        <w:tc>
          <w:tcPr>
            <w:tcW w:w="1134" w:type="dxa"/>
          </w:tcPr>
          <w:p w14:paraId="7E540BE5"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73.63</w:t>
            </w:r>
          </w:p>
        </w:tc>
        <w:tc>
          <w:tcPr>
            <w:tcW w:w="992" w:type="dxa"/>
          </w:tcPr>
          <w:p w14:paraId="79594C32"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23.91</w:t>
            </w:r>
          </w:p>
        </w:tc>
        <w:tc>
          <w:tcPr>
            <w:tcW w:w="992" w:type="dxa"/>
          </w:tcPr>
          <w:p w14:paraId="71CD0BAD"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49.24</w:t>
            </w:r>
          </w:p>
        </w:tc>
        <w:tc>
          <w:tcPr>
            <w:tcW w:w="992" w:type="dxa"/>
          </w:tcPr>
          <w:p w14:paraId="6245F33E"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18.63</w:t>
            </w:r>
          </w:p>
        </w:tc>
        <w:tc>
          <w:tcPr>
            <w:tcW w:w="993" w:type="dxa"/>
          </w:tcPr>
          <w:p w14:paraId="3091740E"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8.312</w:t>
            </w:r>
          </w:p>
        </w:tc>
        <w:tc>
          <w:tcPr>
            <w:tcW w:w="1406" w:type="dxa"/>
          </w:tcPr>
          <w:p w14:paraId="571E1174"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9.354</w:t>
            </w:r>
          </w:p>
        </w:tc>
      </w:tr>
      <w:tr w:rsidR="00943D47" w:rsidRPr="00705183" w14:paraId="078D133A" w14:textId="77777777" w:rsidTr="00DC67EC">
        <w:trPr>
          <w:trHeight w:val="378"/>
        </w:trPr>
        <w:tc>
          <w:tcPr>
            <w:tcW w:w="1693" w:type="dxa"/>
          </w:tcPr>
          <w:p w14:paraId="3D2053F0" w14:textId="77777777" w:rsidR="00943D47" w:rsidRPr="00705183" w:rsidRDefault="00943D47" w:rsidP="0083042F">
            <w:pPr>
              <w:tabs>
                <w:tab w:val="left" w:pos="0"/>
              </w:tabs>
              <w:rPr>
                <w:rFonts w:ascii="Arial" w:hAnsi="Arial" w:cs="Arial"/>
                <w:b/>
                <w:sz w:val="20"/>
                <w:szCs w:val="20"/>
              </w:rPr>
            </w:pPr>
            <w:r w:rsidRPr="00705183">
              <w:rPr>
                <w:rFonts w:ascii="Arial" w:hAnsi="Arial" w:cs="Arial"/>
                <w:b/>
                <w:sz w:val="20"/>
                <w:szCs w:val="20"/>
              </w:rPr>
              <w:t>SEM</w:t>
            </w:r>
          </w:p>
        </w:tc>
        <w:tc>
          <w:tcPr>
            <w:tcW w:w="992" w:type="dxa"/>
          </w:tcPr>
          <w:p w14:paraId="1C40F76E" w14:textId="77777777" w:rsidR="00943D47" w:rsidRPr="00705183" w:rsidRDefault="00943D47" w:rsidP="0083042F">
            <w:pPr>
              <w:tabs>
                <w:tab w:val="left" w:pos="0"/>
              </w:tabs>
              <w:rPr>
                <w:rFonts w:ascii="Arial" w:hAnsi="Arial" w:cs="Arial"/>
                <w:sz w:val="20"/>
                <w:szCs w:val="20"/>
              </w:rPr>
            </w:pPr>
          </w:p>
        </w:tc>
        <w:tc>
          <w:tcPr>
            <w:tcW w:w="992" w:type="dxa"/>
          </w:tcPr>
          <w:p w14:paraId="0360F741" w14:textId="77777777" w:rsidR="00943D47" w:rsidRPr="00705183" w:rsidRDefault="00943D47" w:rsidP="0083042F">
            <w:pPr>
              <w:tabs>
                <w:tab w:val="left" w:pos="0"/>
              </w:tabs>
              <w:rPr>
                <w:rFonts w:ascii="Arial" w:hAnsi="Arial" w:cs="Arial"/>
                <w:sz w:val="20"/>
                <w:szCs w:val="20"/>
              </w:rPr>
            </w:pPr>
          </w:p>
        </w:tc>
        <w:tc>
          <w:tcPr>
            <w:tcW w:w="993" w:type="dxa"/>
          </w:tcPr>
          <w:p w14:paraId="39FA263F"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0.251</w:t>
            </w:r>
          </w:p>
        </w:tc>
        <w:tc>
          <w:tcPr>
            <w:tcW w:w="992" w:type="dxa"/>
          </w:tcPr>
          <w:p w14:paraId="4C9A0A1D"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0.052</w:t>
            </w:r>
          </w:p>
        </w:tc>
        <w:tc>
          <w:tcPr>
            <w:tcW w:w="992" w:type="dxa"/>
          </w:tcPr>
          <w:p w14:paraId="4C82E276"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0.144</w:t>
            </w:r>
          </w:p>
        </w:tc>
        <w:tc>
          <w:tcPr>
            <w:tcW w:w="851" w:type="dxa"/>
          </w:tcPr>
          <w:p w14:paraId="5436A03C"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0.267</w:t>
            </w:r>
          </w:p>
        </w:tc>
        <w:tc>
          <w:tcPr>
            <w:tcW w:w="1134" w:type="dxa"/>
          </w:tcPr>
          <w:p w14:paraId="4EADEFB1"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0.060</w:t>
            </w:r>
          </w:p>
        </w:tc>
        <w:tc>
          <w:tcPr>
            <w:tcW w:w="992" w:type="dxa"/>
          </w:tcPr>
          <w:p w14:paraId="01D14799"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0.045</w:t>
            </w:r>
          </w:p>
        </w:tc>
        <w:tc>
          <w:tcPr>
            <w:tcW w:w="992" w:type="dxa"/>
          </w:tcPr>
          <w:p w14:paraId="54B47A71"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0.089</w:t>
            </w:r>
          </w:p>
        </w:tc>
        <w:tc>
          <w:tcPr>
            <w:tcW w:w="992" w:type="dxa"/>
          </w:tcPr>
          <w:p w14:paraId="2ACA344B"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0.104</w:t>
            </w:r>
          </w:p>
        </w:tc>
        <w:tc>
          <w:tcPr>
            <w:tcW w:w="993" w:type="dxa"/>
          </w:tcPr>
          <w:p w14:paraId="2A44F9A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0.112</w:t>
            </w:r>
          </w:p>
        </w:tc>
        <w:tc>
          <w:tcPr>
            <w:tcW w:w="1406" w:type="dxa"/>
          </w:tcPr>
          <w:p w14:paraId="332AAF1F"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0.206</w:t>
            </w:r>
          </w:p>
        </w:tc>
      </w:tr>
      <w:tr w:rsidR="00943D47" w:rsidRPr="00705183" w14:paraId="3D2F4335" w14:textId="77777777" w:rsidTr="00DC67EC">
        <w:trPr>
          <w:trHeight w:val="402"/>
        </w:trPr>
        <w:tc>
          <w:tcPr>
            <w:tcW w:w="1693" w:type="dxa"/>
          </w:tcPr>
          <w:p w14:paraId="4A275F2D" w14:textId="77777777" w:rsidR="00943D47" w:rsidRPr="00705183" w:rsidRDefault="00943D47" w:rsidP="0083042F">
            <w:pPr>
              <w:tabs>
                <w:tab w:val="left" w:pos="0"/>
              </w:tabs>
              <w:rPr>
                <w:rFonts w:ascii="Arial" w:hAnsi="Arial" w:cs="Arial"/>
                <w:sz w:val="20"/>
                <w:szCs w:val="20"/>
              </w:rPr>
            </w:pPr>
          </w:p>
        </w:tc>
        <w:tc>
          <w:tcPr>
            <w:tcW w:w="992" w:type="dxa"/>
          </w:tcPr>
          <w:p w14:paraId="637B29A5" w14:textId="77777777" w:rsidR="00943D47" w:rsidRPr="00705183" w:rsidRDefault="00943D47" w:rsidP="0083042F">
            <w:pPr>
              <w:tabs>
                <w:tab w:val="left" w:pos="0"/>
              </w:tabs>
              <w:rPr>
                <w:rFonts w:ascii="Arial" w:hAnsi="Arial" w:cs="Arial"/>
                <w:sz w:val="20"/>
                <w:szCs w:val="20"/>
              </w:rPr>
            </w:pPr>
          </w:p>
        </w:tc>
        <w:tc>
          <w:tcPr>
            <w:tcW w:w="992" w:type="dxa"/>
          </w:tcPr>
          <w:p w14:paraId="06F99927"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Low</w:t>
            </w:r>
          </w:p>
        </w:tc>
        <w:tc>
          <w:tcPr>
            <w:tcW w:w="993" w:type="dxa"/>
          </w:tcPr>
          <w:p w14:paraId="30752A76"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29.52</w:t>
            </w:r>
          </w:p>
        </w:tc>
        <w:tc>
          <w:tcPr>
            <w:tcW w:w="992" w:type="dxa"/>
          </w:tcPr>
          <w:p w14:paraId="19EABAAD"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226.8</w:t>
            </w:r>
          </w:p>
        </w:tc>
        <w:tc>
          <w:tcPr>
            <w:tcW w:w="992" w:type="dxa"/>
          </w:tcPr>
          <w:p w14:paraId="5D082F1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314.7</w:t>
            </w:r>
            <w:r w:rsidRPr="00705183">
              <w:rPr>
                <w:rFonts w:ascii="Arial" w:hAnsi="Arial" w:cs="Arial"/>
                <w:b/>
                <w:sz w:val="20"/>
                <w:szCs w:val="20"/>
                <w:vertAlign w:val="superscript"/>
              </w:rPr>
              <w:t>b</w:t>
            </w:r>
          </w:p>
        </w:tc>
        <w:tc>
          <w:tcPr>
            <w:tcW w:w="851" w:type="dxa"/>
          </w:tcPr>
          <w:p w14:paraId="1E03D163"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3.689</w:t>
            </w:r>
          </w:p>
        </w:tc>
        <w:tc>
          <w:tcPr>
            <w:tcW w:w="1134" w:type="dxa"/>
          </w:tcPr>
          <w:p w14:paraId="13848DBF"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77.84</w:t>
            </w:r>
          </w:p>
        </w:tc>
        <w:tc>
          <w:tcPr>
            <w:tcW w:w="992" w:type="dxa"/>
          </w:tcPr>
          <w:p w14:paraId="5F3E9680"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26.21</w:t>
            </w:r>
          </w:p>
        </w:tc>
        <w:tc>
          <w:tcPr>
            <w:tcW w:w="992" w:type="dxa"/>
          </w:tcPr>
          <w:p w14:paraId="7F209C97"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54.05</w:t>
            </w:r>
          </w:p>
        </w:tc>
        <w:tc>
          <w:tcPr>
            <w:tcW w:w="992" w:type="dxa"/>
          </w:tcPr>
          <w:p w14:paraId="212442DF"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15.43</w:t>
            </w:r>
          </w:p>
        </w:tc>
        <w:tc>
          <w:tcPr>
            <w:tcW w:w="993" w:type="dxa"/>
          </w:tcPr>
          <w:p w14:paraId="07261BC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8.322</w:t>
            </w:r>
          </w:p>
        </w:tc>
        <w:tc>
          <w:tcPr>
            <w:tcW w:w="1406" w:type="dxa"/>
          </w:tcPr>
          <w:p w14:paraId="5C04BF64"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6.536</w:t>
            </w:r>
          </w:p>
        </w:tc>
      </w:tr>
      <w:tr w:rsidR="00943D47" w:rsidRPr="00705183" w14:paraId="37936C7F" w14:textId="77777777" w:rsidTr="00DC67EC">
        <w:trPr>
          <w:trHeight w:val="378"/>
        </w:trPr>
        <w:tc>
          <w:tcPr>
            <w:tcW w:w="1693" w:type="dxa"/>
          </w:tcPr>
          <w:p w14:paraId="593226F6" w14:textId="77777777" w:rsidR="00943D47" w:rsidRPr="00705183" w:rsidRDefault="00943D47" w:rsidP="0083042F">
            <w:pPr>
              <w:tabs>
                <w:tab w:val="left" w:pos="0"/>
              </w:tabs>
              <w:rPr>
                <w:rFonts w:ascii="Arial" w:hAnsi="Arial" w:cs="Arial"/>
                <w:sz w:val="20"/>
                <w:szCs w:val="20"/>
              </w:rPr>
            </w:pPr>
          </w:p>
        </w:tc>
        <w:tc>
          <w:tcPr>
            <w:tcW w:w="992" w:type="dxa"/>
          </w:tcPr>
          <w:p w14:paraId="740D9BFB" w14:textId="77777777" w:rsidR="00943D47" w:rsidRPr="00705183" w:rsidRDefault="00943D47" w:rsidP="0083042F">
            <w:pPr>
              <w:tabs>
                <w:tab w:val="left" w:pos="0"/>
              </w:tabs>
              <w:rPr>
                <w:rFonts w:ascii="Arial" w:hAnsi="Arial" w:cs="Arial"/>
                <w:sz w:val="20"/>
                <w:szCs w:val="20"/>
              </w:rPr>
            </w:pPr>
          </w:p>
        </w:tc>
        <w:tc>
          <w:tcPr>
            <w:tcW w:w="992" w:type="dxa"/>
          </w:tcPr>
          <w:p w14:paraId="4925EC9C"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High</w:t>
            </w:r>
          </w:p>
        </w:tc>
        <w:tc>
          <w:tcPr>
            <w:tcW w:w="993" w:type="dxa"/>
          </w:tcPr>
          <w:p w14:paraId="4EF30366"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32.67</w:t>
            </w:r>
          </w:p>
        </w:tc>
        <w:tc>
          <w:tcPr>
            <w:tcW w:w="992" w:type="dxa"/>
          </w:tcPr>
          <w:p w14:paraId="5BD63B04"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249.4</w:t>
            </w:r>
          </w:p>
        </w:tc>
        <w:tc>
          <w:tcPr>
            <w:tcW w:w="992" w:type="dxa"/>
          </w:tcPr>
          <w:p w14:paraId="44A2F5EC"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542.8</w:t>
            </w:r>
            <w:r w:rsidRPr="00705183">
              <w:rPr>
                <w:rFonts w:ascii="Arial" w:hAnsi="Arial" w:cs="Arial"/>
                <w:b/>
                <w:sz w:val="20"/>
                <w:szCs w:val="20"/>
                <w:vertAlign w:val="superscript"/>
              </w:rPr>
              <w:t xml:space="preserve"> a</w:t>
            </w:r>
          </w:p>
        </w:tc>
        <w:tc>
          <w:tcPr>
            <w:tcW w:w="851" w:type="dxa"/>
          </w:tcPr>
          <w:p w14:paraId="3AC14709"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6.928</w:t>
            </w:r>
          </w:p>
        </w:tc>
        <w:tc>
          <w:tcPr>
            <w:tcW w:w="1134" w:type="dxa"/>
          </w:tcPr>
          <w:p w14:paraId="23CEF81E"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71.70</w:t>
            </w:r>
          </w:p>
        </w:tc>
        <w:tc>
          <w:tcPr>
            <w:tcW w:w="992" w:type="dxa"/>
          </w:tcPr>
          <w:p w14:paraId="56115430"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22.69</w:t>
            </w:r>
          </w:p>
        </w:tc>
        <w:tc>
          <w:tcPr>
            <w:tcW w:w="992" w:type="dxa"/>
          </w:tcPr>
          <w:p w14:paraId="71D7A59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48.98</w:t>
            </w:r>
          </w:p>
        </w:tc>
        <w:tc>
          <w:tcPr>
            <w:tcW w:w="992" w:type="dxa"/>
          </w:tcPr>
          <w:p w14:paraId="78F901EC"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21.65</w:t>
            </w:r>
          </w:p>
        </w:tc>
        <w:tc>
          <w:tcPr>
            <w:tcW w:w="993" w:type="dxa"/>
          </w:tcPr>
          <w:p w14:paraId="03CBBA0B"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9.068</w:t>
            </w:r>
          </w:p>
        </w:tc>
        <w:tc>
          <w:tcPr>
            <w:tcW w:w="1406" w:type="dxa"/>
          </w:tcPr>
          <w:p w14:paraId="39ACDC7D"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11.87</w:t>
            </w:r>
          </w:p>
        </w:tc>
      </w:tr>
      <w:tr w:rsidR="00943D47" w:rsidRPr="00705183" w14:paraId="0257692D" w14:textId="77777777" w:rsidTr="00DC67EC">
        <w:trPr>
          <w:trHeight w:val="402"/>
        </w:trPr>
        <w:tc>
          <w:tcPr>
            <w:tcW w:w="1693" w:type="dxa"/>
          </w:tcPr>
          <w:p w14:paraId="2DB609BF" w14:textId="77777777" w:rsidR="00943D47" w:rsidRPr="00705183" w:rsidRDefault="00943D47" w:rsidP="0083042F">
            <w:pPr>
              <w:tabs>
                <w:tab w:val="left" w:pos="0"/>
              </w:tabs>
              <w:rPr>
                <w:rFonts w:ascii="Arial" w:hAnsi="Arial" w:cs="Arial"/>
                <w:b/>
                <w:sz w:val="20"/>
                <w:szCs w:val="20"/>
              </w:rPr>
            </w:pPr>
            <w:r w:rsidRPr="00705183">
              <w:rPr>
                <w:rFonts w:ascii="Arial" w:hAnsi="Arial" w:cs="Arial"/>
                <w:b/>
                <w:sz w:val="20"/>
                <w:szCs w:val="20"/>
              </w:rPr>
              <w:t>SEM</w:t>
            </w:r>
          </w:p>
        </w:tc>
        <w:tc>
          <w:tcPr>
            <w:tcW w:w="992" w:type="dxa"/>
          </w:tcPr>
          <w:p w14:paraId="3BA0B469" w14:textId="77777777" w:rsidR="00943D47" w:rsidRPr="00705183" w:rsidRDefault="00943D47" w:rsidP="0083042F">
            <w:pPr>
              <w:tabs>
                <w:tab w:val="left" w:pos="0"/>
              </w:tabs>
              <w:rPr>
                <w:rFonts w:ascii="Arial" w:hAnsi="Arial" w:cs="Arial"/>
                <w:sz w:val="20"/>
                <w:szCs w:val="20"/>
              </w:rPr>
            </w:pPr>
          </w:p>
        </w:tc>
        <w:tc>
          <w:tcPr>
            <w:tcW w:w="992" w:type="dxa"/>
          </w:tcPr>
          <w:p w14:paraId="1F35F9B0" w14:textId="77777777" w:rsidR="00943D47" w:rsidRPr="00705183" w:rsidRDefault="00943D47" w:rsidP="0083042F">
            <w:pPr>
              <w:tabs>
                <w:tab w:val="left" w:pos="0"/>
              </w:tabs>
              <w:rPr>
                <w:rFonts w:ascii="Arial" w:hAnsi="Arial" w:cs="Arial"/>
                <w:sz w:val="20"/>
                <w:szCs w:val="20"/>
              </w:rPr>
            </w:pPr>
          </w:p>
        </w:tc>
        <w:tc>
          <w:tcPr>
            <w:tcW w:w="993" w:type="dxa"/>
          </w:tcPr>
          <w:p w14:paraId="74B88ABC"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0.251</w:t>
            </w:r>
          </w:p>
        </w:tc>
        <w:tc>
          <w:tcPr>
            <w:tcW w:w="992" w:type="dxa"/>
          </w:tcPr>
          <w:p w14:paraId="66AF382B"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0.052</w:t>
            </w:r>
          </w:p>
        </w:tc>
        <w:tc>
          <w:tcPr>
            <w:tcW w:w="992" w:type="dxa"/>
          </w:tcPr>
          <w:p w14:paraId="6B0ABCC9"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0.144</w:t>
            </w:r>
          </w:p>
        </w:tc>
        <w:tc>
          <w:tcPr>
            <w:tcW w:w="851" w:type="dxa"/>
          </w:tcPr>
          <w:p w14:paraId="15F94BD4"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0.267</w:t>
            </w:r>
          </w:p>
        </w:tc>
        <w:tc>
          <w:tcPr>
            <w:tcW w:w="1134" w:type="dxa"/>
          </w:tcPr>
          <w:p w14:paraId="17DED192"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0.06</w:t>
            </w:r>
          </w:p>
        </w:tc>
        <w:tc>
          <w:tcPr>
            <w:tcW w:w="992" w:type="dxa"/>
          </w:tcPr>
          <w:p w14:paraId="5A1A8170"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0.045</w:t>
            </w:r>
          </w:p>
        </w:tc>
        <w:tc>
          <w:tcPr>
            <w:tcW w:w="992" w:type="dxa"/>
          </w:tcPr>
          <w:p w14:paraId="45E496C1"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0.089</w:t>
            </w:r>
          </w:p>
        </w:tc>
        <w:tc>
          <w:tcPr>
            <w:tcW w:w="992" w:type="dxa"/>
          </w:tcPr>
          <w:p w14:paraId="6D78479F"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0.104</w:t>
            </w:r>
          </w:p>
        </w:tc>
        <w:tc>
          <w:tcPr>
            <w:tcW w:w="993" w:type="dxa"/>
          </w:tcPr>
          <w:p w14:paraId="3A6092F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0.112</w:t>
            </w:r>
          </w:p>
        </w:tc>
        <w:tc>
          <w:tcPr>
            <w:tcW w:w="1406" w:type="dxa"/>
          </w:tcPr>
          <w:p w14:paraId="25F3502C"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0.206</w:t>
            </w:r>
          </w:p>
        </w:tc>
      </w:tr>
      <w:tr w:rsidR="00943D47" w:rsidRPr="00705183" w14:paraId="67FEFCA6" w14:textId="77777777" w:rsidTr="00DC67EC">
        <w:trPr>
          <w:trHeight w:val="378"/>
        </w:trPr>
        <w:tc>
          <w:tcPr>
            <w:tcW w:w="1693" w:type="dxa"/>
          </w:tcPr>
          <w:p w14:paraId="6E6A97DF" w14:textId="77777777" w:rsidR="00943D47" w:rsidRPr="00705183" w:rsidRDefault="00943D47" w:rsidP="0083042F">
            <w:pPr>
              <w:tabs>
                <w:tab w:val="left" w:pos="0"/>
              </w:tabs>
              <w:rPr>
                <w:rFonts w:ascii="Arial" w:hAnsi="Arial" w:cs="Arial"/>
                <w:b/>
                <w:sz w:val="20"/>
                <w:szCs w:val="20"/>
              </w:rPr>
            </w:pPr>
            <w:r w:rsidRPr="00705183">
              <w:rPr>
                <w:rFonts w:ascii="Arial" w:hAnsi="Arial" w:cs="Arial"/>
                <w:b/>
                <w:sz w:val="20"/>
                <w:szCs w:val="20"/>
              </w:rPr>
              <w:t>Interactions</w:t>
            </w:r>
          </w:p>
        </w:tc>
        <w:tc>
          <w:tcPr>
            <w:tcW w:w="992" w:type="dxa"/>
          </w:tcPr>
          <w:p w14:paraId="0A512C85" w14:textId="77777777" w:rsidR="00943D47" w:rsidRPr="00705183" w:rsidRDefault="00943D47" w:rsidP="0083042F">
            <w:pPr>
              <w:tabs>
                <w:tab w:val="left" w:pos="0"/>
              </w:tabs>
              <w:rPr>
                <w:rFonts w:ascii="Arial" w:hAnsi="Arial" w:cs="Arial"/>
                <w:sz w:val="20"/>
                <w:szCs w:val="20"/>
              </w:rPr>
            </w:pPr>
          </w:p>
        </w:tc>
        <w:tc>
          <w:tcPr>
            <w:tcW w:w="992" w:type="dxa"/>
          </w:tcPr>
          <w:p w14:paraId="6725A116" w14:textId="77777777" w:rsidR="00943D47" w:rsidRPr="00705183" w:rsidRDefault="00943D47" w:rsidP="0083042F">
            <w:pPr>
              <w:tabs>
                <w:tab w:val="left" w:pos="0"/>
              </w:tabs>
              <w:rPr>
                <w:rFonts w:ascii="Arial" w:hAnsi="Arial" w:cs="Arial"/>
                <w:sz w:val="20"/>
                <w:szCs w:val="20"/>
              </w:rPr>
            </w:pPr>
          </w:p>
        </w:tc>
        <w:tc>
          <w:tcPr>
            <w:tcW w:w="993" w:type="dxa"/>
          </w:tcPr>
          <w:p w14:paraId="29A1C0BB" w14:textId="77777777" w:rsidR="00943D47" w:rsidRPr="00705183" w:rsidRDefault="00943D47" w:rsidP="0083042F">
            <w:pPr>
              <w:tabs>
                <w:tab w:val="left" w:pos="0"/>
              </w:tabs>
              <w:rPr>
                <w:rFonts w:ascii="Arial" w:hAnsi="Arial" w:cs="Arial"/>
                <w:sz w:val="20"/>
                <w:szCs w:val="20"/>
              </w:rPr>
            </w:pPr>
          </w:p>
        </w:tc>
        <w:tc>
          <w:tcPr>
            <w:tcW w:w="992" w:type="dxa"/>
          </w:tcPr>
          <w:p w14:paraId="3D6B8373" w14:textId="77777777" w:rsidR="00943D47" w:rsidRPr="00705183" w:rsidRDefault="00943D47" w:rsidP="0083042F">
            <w:pPr>
              <w:tabs>
                <w:tab w:val="left" w:pos="0"/>
              </w:tabs>
              <w:rPr>
                <w:rFonts w:ascii="Arial" w:hAnsi="Arial" w:cs="Arial"/>
                <w:sz w:val="20"/>
                <w:szCs w:val="20"/>
              </w:rPr>
            </w:pPr>
          </w:p>
        </w:tc>
        <w:tc>
          <w:tcPr>
            <w:tcW w:w="992" w:type="dxa"/>
          </w:tcPr>
          <w:p w14:paraId="609EB17C" w14:textId="77777777" w:rsidR="00943D47" w:rsidRPr="00705183" w:rsidRDefault="00943D47" w:rsidP="0083042F">
            <w:pPr>
              <w:tabs>
                <w:tab w:val="left" w:pos="0"/>
              </w:tabs>
              <w:rPr>
                <w:rFonts w:ascii="Arial" w:hAnsi="Arial" w:cs="Arial"/>
                <w:sz w:val="20"/>
                <w:szCs w:val="20"/>
              </w:rPr>
            </w:pPr>
          </w:p>
        </w:tc>
        <w:tc>
          <w:tcPr>
            <w:tcW w:w="851" w:type="dxa"/>
          </w:tcPr>
          <w:p w14:paraId="430BD2AA" w14:textId="77777777" w:rsidR="00943D47" w:rsidRPr="00705183" w:rsidRDefault="00943D47" w:rsidP="0083042F">
            <w:pPr>
              <w:tabs>
                <w:tab w:val="left" w:pos="0"/>
              </w:tabs>
              <w:rPr>
                <w:rFonts w:ascii="Arial" w:hAnsi="Arial" w:cs="Arial"/>
                <w:sz w:val="20"/>
                <w:szCs w:val="20"/>
              </w:rPr>
            </w:pPr>
          </w:p>
        </w:tc>
        <w:tc>
          <w:tcPr>
            <w:tcW w:w="1134" w:type="dxa"/>
          </w:tcPr>
          <w:p w14:paraId="379D9DD3" w14:textId="77777777" w:rsidR="00943D47" w:rsidRPr="00705183" w:rsidRDefault="00943D47" w:rsidP="0083042F">
            <w:pPr>
              <w:tabs>
                <w:tab w:val="left" w:pos="0"/>
              </w:tabs>
              <w:rPr>
                <w:rFonts w:ascii="Arial" w:hAnsi="Arial" w:cs="Arial"/>
                <w:sz w:val="20"/>
                <w:szCs w:val="20"/>
              </w:rPr>
            </w:pPr>
          </w:p>
        </w:tc>
        <w:tc>
          <w:tcPr>
            <w:tcW w:w="992" w:type="dxa"/>
          </w:tcPr>
          <w:p w14:paraId="34BC67DE" w14:textId="77777777" w:rsidR="00943D47" w:rsidRPr="00705183" w:rsidRDefault="00943D47" w:rsidP="0083042F">
            <w:pPr>
              <w:tabs>
                <w:tab w:val="left" w:pos="0"/>
              </w:tabs>
              <w:rPr>
                <w:rFonts w:ascii="Arial" w:hAnsi="Arial" w:cs="Arial"/>
                <w:sz w:val="20"/>
                <w:szCs w:val="20"/>
              </w:rPr>
            </w:pPr>
          </w:p>
        </w:tc>
        <w:tc>
          <w:tcPr>
            <w:tcW w:w="992" w:type="dxa"/>
          </w:tcPr>
          <w:p w14:paraId="3AE97CAD" w14:textId="77777777" w:rsidR="00943D47" w:rsidRPr="00705183" w:rsidRDefault="00943D47" w:rsidP="0083042F">
            <w:pPr>
              <w:tabs>
                <w:tab w:val="left" w:pos="0"/>
              </w:tabs>
              <w:rPr>
                <w:rFonts w:ascii="Arial" w:hAnsi="Arial" w:cs="Arial"/>
                <w:sz w:val="20"/>
                <w:szCs w:val="20"/>
              </w:rPr>
            </w:pPr>
          </w:p>
        </w:tc>
        <w:tc>
          <w:tcPr>
            <w:tcW w:w="992" w:type="dxa"/>
          </w:tcPr>
          <w:p w14:paraId="2A60C833" w14:textId="77777777" w:rsidR="00943D47" w:rsidRPr="00705183" w:rsidRDefault="00943D47" w:rsidP="0083042F">
            <w:pPr>
              <w:tabs>
                <w:tab w:val="left" w:pos="0"/>
              </w:tabs>
              <w:rPr>
                <w:rFonts w:ascii="Arial" w:hAnsi="Arial" w:cs="Arial"/>
                <w:sz w:val="20"/>
                <w:szCs w:val="20"/>
              </w:rPr>
            </w:pPr>
          </w:p>
        </w:tc>
        <w:tc>
          <w:tcPr>
            <w:tcW w:w="993" w:type="dxa"/>
          </w:tcPr>
          <w:p w14:paraId="5DED0DB7" w14:textId="77777777" w:rsidR="00943D47" w:rsidRPr="00705183" w:rsidRDefault="00943D47" w:rsidP="0083042F">
            <w:pPr>
              <w:tabs>
                <w:tab w:val="left" w:pos="0"/>
              </w:tabs>
              <w:rPr>
                <w:rFonts w:ascii="Arial" w:hAnsi="Arial" w:cs="Arial"/>
                <w:sz w:val="20"/>
                <w:szCs w:val="20"/>
              </w:rPr>
            </w:pPr>
          </w:p>
        </w:tc>
        <w:tc>
          <w:tcPr>
            <w:tcW w:w="1406" w:type="dxa"/>
          </w:tcPr>
          <w:p w14:paraId="6A34005E" w14:textId="77777777" w:rsidR="00943D47" w:rsidRPr="00705183" w:rsidRDefault="00943D47" w:rsidP="0083042F">
            <w:pPr>
              <w:tabs>
                <w:tab w:val="left" w:pos="0"/>
              </w:tabs>
              <w:rPr>
                <w:rFonts w:ascii="Arial" w:hAnsi="Arial" w:cs="Arial"/>
                <w:sz w:val="20"/>
                <w:szCs w:val="20"/>
              </w:rPr>
            </w:pPr>
          </w:p>
        </w:tc>
      </w:tr>
      <w:tr w:rsidR="00943D47" w:rsidRPr="00705183" w14:paraId="67FE8B18" w14:textId="77777777" w:rsidTr="00DC67EC">
        <w:trPr>
          <w:trHeight w:val="402"/>
        </w:trPr>
        <w:tc>
          <w:tcPr>
            <w:tcW w:w="1693" w:type="dxa"/>
          </w:tcPr>
          <w:p w14:paraId="3C2F58B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Low x low</w:t>
            </w:r>
          </w:p>
        </w:tc>
        <w:tc>
          <w:tcPr>
            <w:tcW w:w="992" w:type="dxa"/>
          </w:tcPr>
          <w:p w14:paraId="7F6BAB09" w14:textId="77777777" w:rsidR="00943D47" w:rsidRPr="00705183" w:rsidRDefault="00943D47" w:rsidP="0083042F">
            <w:pPr>
              <w:tabs>
                <w:tab w:val="left" w:pos="0"/>
              </w:tabs>
              <w:rPr>
                <w:rFonts w:ascii="Arial" w:hAnsi="Arial" w:cs="Arial"/>
                <w:sz w:val="20"/>
                <w:szCs w:val="20"/>
              </w:rPr>
            </w:pPr>
          </w:p>
        </w:tc>
        <w:tc>
          <w:tcPr>
            <w:tcW w:w="992" w:type="dxa"/>
          </w:tcPr>
          <w:p w14:paraId="608D85CF" w14:textId="77777777" w:rsidR="00943D47" w:rsidRPr="00705183" w:rsidRDefault="00943D47" w:rsidP="0083042F">
            <w:pPr>
              <w:tabs>
                <w:tab w:val="left" w:pos="0"/>
              </w:tabs>
              <w:rPr>
                <w:rFonts w:ascii="Arial" w:hAnsi="Arial" w:cs="Arial"/>
                <w:sz w:val="20"/>
                <w:szCs w:val="20"/>
              </w:rPr>
            </w:pPr>
          </w:p>
        </w:tc>
        <w:tc>
          <w:tcPr>
            <w:tcW w:w="993" w:type="dxa"/>
          </w:tcPr>
          <w:p w14:paraId="305334AF"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32.35</w:t>
            </w:r>
          </w:p>
        </w:tc>
        <w:tc>
          <w:tcPr>
            <w:tcW w:w="992" w:type="dxa"/>
          </w:tcPr>
          <w:p w14:paraId="0318F94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237.5</w:t>
            </w:r>
          </w:p>
        </w:tc>
        <w:tc>
          <w:tcPr>
            <w:tcW w:w="992" w:type="dxa"/>
          </w:tcPr>
          <w:p w14:paraId="70204BF2"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350.4</w:t>
            </w:r>
          </w:p>
        </w:tc>
        <w:tc>
          <w:tcPr>
            <w:tcW w:w="851" w:type="dxa"/>
          </w:tcPr>
          <w:p w14:paraId="220E685F"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5.518</w:t>
            </w:r>
          </w:p>
        </w:tc>
        <w:tc>
          <w:tcPr>
            <w:tcW w:w="1134" w:type="dxa"/>
          </w:tcPr>
          <w:p w14:paraId="1DC6CCD2"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78.65</w:t>
            </w:r>
          </w:p>
        </w:tc>
        <w:tc>
          <w:tcPr>
            <w:tcW w:w="992" w:type="dxa"/>
          </w:tcPr>
          <w:p w14:paraId="6EAC52A0"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26.15</w:t>
            </w:r>
          </w:p>
        </w:tc>
        <w:tc>
          <w:tcPr>
            <w:tcW w:w="992" w:type="dxa"/>
          </w:tcPr>
          <w:p w14:paraId="63EAC91F"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58.57</w:t>
            </w:r>
          </w:p>
        </w:tc>
        <w:tc>
          <w:tcPr>
            <w:tcW w:w="992" w:type="dxa"/>
          </w:tcPr>
          <w:p w14:paraId="413293FC"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15.31</w:t>
            </w:r>
          </w:p>
        </w:tc>
        <w:tc>
          <w:tcPr>
            <w:tcW w:w="993" w:type="dxa"/>
          </w:tcPr>
          <w:p w14:paraId="4C640FB3"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7.644</w:t>
            </w:r>
          </w:p>
        </w:tc>
        <w:tc>
          <w:tcPr>
            <w:tcW w:w="1406" w:type="dxa"/>
          </w:tcPr>
          <w:p w14:paraId="35BB281C"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6.745</w:t>
            </w:r>
          </w:p>
        </w:tc>
      </w:tr>
      <w:tr w:rsidR="00943D47" w:rsidRPr="00705183" w14:paraId="3BBF2D73" w14:textId="77777777" w:rsidTr="00DC67EC">
        <w:trPr>
          <w:trHeight w:val="378"/>
        </w:trPr>
        <w:tc>
          <w:tcPr>
            <w:tcW w:w="1693" w:type="dxa"/>
          </w:tcPr>
          <w:p w14:paraId="2B2AF827"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Low x high</w:t>
            </w:r>
          </w:p>
        </w:tc>
        <w:tc>
          <w:tcPr>
            <w:tcW w:w="992" w:type="dxa"/>
          </w:tcPr>
          <w:p w14:paraId="2A7EC13E" w14:textId="77777777" w:rsidR="00943D47" w:rsidRPr="00705183" w:rsidRDefault="00943D47" w:rsidP="0083042F">
            <w:pPr>
              <w:tabs>
                <w:tab w:val="left" w:pos="0"/>
              </w:tabs>
              <w:rPr>
                <w:rFonts w:ascii="Arial" w:hAnsi="Arial" w:cs="Arial"/>
                <w:sz w:val="20"/>
                <w:szCs w:val="20"/>
              </w:rPr>
            </w:pPr>
          </w:p>
        </w:tc>
        <w:tc>
          <w:tcPr>
            <w:tcW w:w="992" w:type="dxa"/>
          </w:tcPr>
          <w:p w14:paraId="5BC82F87" w14:textId="77777777" w:rsidR="00943D47" w:rsidRPr="00705183" w:rsidRDefault="00943D47" w:rsidP="0083042F">
            <w:pPr>
              <w:tabs>
                <w:tab w:val="left" w:pos="0"/>
              </w:tabs>
              <w:rPr>
                <w:rFonts w:ascii="Arial" w:hAnsi="Arial" w:cs="Arial"/>
                <w:sz w:val="20"/>
                <w:szCs w:val="20"/>
              </w:rPr>
            </w:pPr>
          </w:p>
        </w:tc>
        <w:tc>
          <w:tcPr>
            <w:tcW w:w="993" w:type="dxa"/>
          </w:tcPr>
          <w:p w14:paraId="29D43D3D"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37.74</w:t>
            </w:r>
          </w:p>
        </w:tc>
        <w:tc>
          <w:tcPr>
            <w:tcW w:w="992" w:type="dxa"/>
          </w:tcPr>
          <w:p w14:paraId="4E3E15E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268.7</w:t>
            </w:r>
          </w:p>
        </w:tc>
        <w:tc>
          <w:tcPr>
            <w:tcW w:w="992" w:type="dxa"/>
          </w:tcPr>
          <w:p w14:paraId="3EDB9A29"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632.7</w:t>
            </w:r>
          </w:p>
        </w:tc>
        <w:tc>
          <w:tcPr>
            <w:tcW w:w="851" w:type="dxa"/>
          </w:tcPr>
          <w:p w14:paraId="09B5DCCE"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9.158</w:t>
            </w:r>
          </w:p>
        </w:tc>
        <w:tc>
          <w:tcPr>
            <w:tcW w:w="1134" w:type="dxa"/>
          </w:tcPr>
          <w:p w14:paraId="20E4905F"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73.05</w:t>
            </w:r>
          </w:p>
        </w:tc>
        <w:tc>
          <w:tcPr>
            <w:tcW w:w="992" w:type="dxa"/>
          </w:tcPr>
          <w:p w14:paraId="7B835590"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23.66</w:t>
            </w:r>
          </w:p>
        </w:tc>
        <w:tc>
          <w:tcPr>
            <w:tcW w:w="992" w:type="dxa"/>
          </w:tcPr>
          <w:p w14:paraId="78767955"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49.36</w:t>
            </w:r>
          </w:p>
        </w:tc>
        <w:tc>
          <w:tcPr>
            <w:tcW w:w="992" w:type="dxa"/>
          </w:tcPr>
          <w:p w14:paraId="7419B42D"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21.02</w:t>
            </w:r>
          </w:p>
        </w:tc>
        <w:tc>
          <w:tcPr>
            <w:tcW w:w="993" w:type="dxa"/>
          </w:tcPr>
          <w:p w14:paraId="19221DC2"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10.78</w:t>
            </w:r>
          </w:p>
        </w:tc>
        <w:tc>
          <w:tcPr>
            <w:tcW w:w="1406" w:type="dxa"/>
          </w:tcPr>
          <w:p w14:paraId="4CDC553F"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10.19</w:t>
            </w:r>
          </w:p>
        </w:tc>
      </w:tr>
      <w:tr w:rsidR="00943D47" w:rsidRPr="00705183" w14:paraId="6C8D9FC1" w14:textId="77777777" w:rsidTr="00DC67EC">
        <w:trPr>
          <w:trHeight w:val="402"/>
        </w:trPr>
        <w:tc>
          <w:tcPr>
            <w:tcW w:w="1693" w:type="dxa"/>
          </w:tcPr>
          <w:p w14:paraId="303F6D45"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High x low</w:t>
            </w:r>
          </w:p>
        </w:tc>
        <w:tc>
          <w:tcPr>
            <w:tcW w:w="992" w:type="dxa"/>
          </w:tcPr>
          <w:p w14:paraId="0C4FB767" w14:textId="77777777" w:rsidR="00943D47" w:rsidRPr="00705183" w:rsidRDefault="00943D47" w:rsidP="0083042F">
            <w:pPr>
              <w:tabs>
                <w:tab w:val="left" w:pos="0"/>
              </w:tabs>
              <w:rPr>
                <w:rFonts w:ascii="Arial" w:hAnsi="Arial" w:cs="Arial"/>
                <w:sz w:val="20"/>
                <w:szCs w:val="20"/>
              </w:rPr>
            </w:pPr>
          </w:p>
        </w:tc>
        <w:tc>
          <w:tcPr>
            <w:tcW w:w="992" w:type="dxa"/>
          </w:tcPr>
          <w:p w14:paraId="693B9AE5" w14:textId="77777777" w:rsidR="00943D47" w:rsidRPr="00705183" w:rsidRDefault="00943D47" w:rsidP="0083042F">
            <w:pPr>
              <w:tabs>
                <w:tab w:val="left" w:pos="0"/>
              </w:tabs>
              <w:rPr>
                <w:rFonts w:ascii="Arial" w:hAnsi="Arial" w:cs="Arial"/>
                <w:sz w:val="20"/>
                <w:szCs w:val="20"/>
              </w:rPr>
            </w:pPr>
          </w:p>
        </w:tc>
        <w:tc>
          <w:tcPr>
            <w:tcW w:w="993" w:type="dxa"/>
          </w:tcPr>
          <w:p w14:paraId="2EB2310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26.94</w:t>
            </w:r>
          </w:p>
        </w:tc>
        <w:tc>
          <w:tcPr>
            <w:tcW w:w="992" w:type="dxa"/>
          </w:tcPr>
          <w:p w14:paraId="05100B0D"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216.5</w:t>
            </w:r>
          </w:p>
        </w:tc>
        <w:tc>
          <w:tcPr>
            <w:tcW w:w="992" w:type="dxa"/>
          </w:tcPr>
          <w:p w14:paraId="5384B0F6"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282.6</w:t>
            </w:r>
          </w:p>
        </w:tc>
        <w:tc>
          <w:tcPr>
            <w:tcW w:w="851" w:type="dxa"/>
          </w:tcPr>
          <w:p w14:paraId="2485B2E6"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2.466</w:t>
            </w:r>
          </w:p>
        </w:tc>
        <w:tc>
          <w:tcPr>
            <w:tcW w:w="1134" w:type="dxa"/>
          </w:tcPr>
          <w:p w14:paraId="382CD9C0"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77.04</w:t>
            </w:r>
          </w:p>
        </w:tc>
        <w:tc>
          <w:tcPr>
            <w:tcW w:w="992" w:type="dxa"/>
          </w:tcPr>
          <w:p w14:paraId="2BAA7D6F"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26.27</w:t>
            </w:r>
          </w:p>
        </w:tc>
        <w:tc>
          <w:tcPr>
            <w:tcW w:w="992" w:type="dxa"/>
          </w:tcPr>
          <w:p w14:paraId="469AC744"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49.88</w:t>
            </w:r>
          </w:p>
        </w:tc>
        <w:tc>
          <w:tcPr>
            <w:tcW w:w="992" w:type="dxa"/>
          </w:tcPr>
          <w:p w14:paraId="3ADB6188"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15.55</w:t>
            </w:r>
          </w:p>
        </w:tc>
        <w:tc>
          <w:tcPr>
            <w:tcW w:w="993" w:type="dxa"/>
          </w:tcPr>
          <w:p w14:paraId="0D39727B"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9.060</w:t>
            </w:r>
          </w:p>
        </w:tc>
        <w:tc>
          <w:tcPr>
            <w:tcW w:w="1406" w:type="dxa"/>
          </w:tcPr>
          <w:p w14:paraId="6FE98484"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6.332</w:t>
            </w:r>
          </w:p>
        </w:tc>
      </w:tr>
      <w:tr w:rsidR="00943D47" w:rsidRPr="00705183" w14:paraId="773626E6" w14:textId="77777777" w:rsidTr="00DC67EC">
        <w:trPr>
          <w:trHeight w:val="407"/>
        </w:trPr>
        <w:tc>
          <w:tcPr>
            <w:tcW w:w="1693" w:type="dxa"/>
          </w:tcPr>
          <w:p w14:paraId="1036AD39"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High x high</w:t>
            </w:r>
          </w:p>
        </w:tc>
        <w:tc>
          <w:tcPr>
            <w:tcW w:w="992" w:type="dxa"/>
          </w:tcPr>
          <w:p w14:paraId="1CA00BCC" w14:textId="77777777" w:rsidR="00943D47" w:rsidRPr="00705183" w:rsidRDefault="00943D47" w:rsidP="0083042F">
            <w:pPr>
              <w:tabs>
                <w:tab w:val="left" w:pos="0"/>
              </w:tabs>
              <w:rPr>
                <w:rFonts w:ascii="Arial" w:hAnsi="Arial" w:cs="Arial"/>
                <w:sz w:val="20"/>
                <w:szCs w:val="20"/>
              </w:rPr>
            </w:pPr>
          </w:p>
        </w:tc>
        <w:tc>
          <w:tcPr>
            <w:tcW w:w="992" w:type="dxa"/>
          </w:tcPr>
          <w:p w14:paraId="42F14B67" w14:textId="77777777" w:rsidR="00943D47" w:rsidRPr="00705183" w:rsidRDefault="00943D47" w:rsidP="0083042F">
            <w:pPr>
              <w:tabs>
                <w:tab w:val="left" w:pos="0"/>
              </w:tabs>
              <w:rPr>
                <w:rFonts w:ascii="Arial" w:hAnsi="Arial" w:cs="Arial"/>
                <w:sz w:val="20"/>
                <w:szCs w:val="20"/>
              </w:rPr>
            </w:pPr>
          </w:p>
        </w:tc>
        <w:tc>
          <w:tcPr>
            <w:tcW w:w="993" w:type="dxa"/>
          </w:tcPr>
          <w:p w14:paraId="3DE69465"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28.26</w:t>
            </w:r>
          </w:p>
        </w:tc>
        <w:tc>
          <w:tcPr>
            <w:tcW w:w="992" w:type="dxa"/>
          </w:tcPr>
          <w:p w14:paraId="51D7C8B2"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231.4</w:t>
            </w:r>
          </w:p>
        </w:tc>
        <w:tc>
          <w:tcPr>
            <w:tcW w:w="992" w:type="dxa"/>
          </w:tcPr>
          <w:p w14:paraId="5E3B44FB"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465.7</w:t>
            </w:r>
          </w:p>
        </w:tc>
        <w:tc>
          <w:tcPr>
            <w:tcW w:w="851" w:type="dxa"/>
          </w:tcPr>
          <w:p w14:paraId="22D235BD"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5.241</w:t>
            </w:r>
          </w:p>
        </w:tc>
        <w:tc>
          <w:tcPr>
            <w:tcW w:w="1134" w:type="dxa"/>
          </w:tcPr>
          <w:p w14:paraId="7564645B"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70.38</w:t>
            </w:r>
          </w:p>
        </w:tc>
        <w:tc>
          <w:tcPr>
            <w:tcW w:w="992" w:type="dxa"/>
          </w:tcPr>
          <w:p w14:paraId="276AE8F4"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21.76</w:t>
            </w:r>
          </w:p>
        </w:tc>
        <w:tc>
          <w:tcPr>
            <w:tcW w:w="992" w:type="dxa"/>
          </w:tcPr>
          <w:p w14:paraId="4B778FB6"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48.61</w:t>
            </w:r>
          </w:p>
        </w:tc>
        <w:tc>
          <w:tcPr>
            <w:tcW w:w="992" w:type="dxa"/>
          </w:tcPr>
          <w:p w14:paraId="44D1265D"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22.31</w:t>
            </w:r>
          </w:p>
        </w:tc>
        <w:tc>
          <w:tcPr>
            <w:tcW w:w="993" w:type="dxa"/>
          </w:tcPr>
          <w:p w14:paraId="26B9912F"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7.626</w:t>
            </w:r>
          </w:p>
        </w:tc>
        <w:tc>
          <w:tcPr>
            <w:tcW w:w="1406" w:type="dxa"/>
          </w:tcPr>
          <w:p w14:paraId="380371EB"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13.82</w:t>
            </w:r>
          </w:p>
        </w:tc>
      </w:tr>
      <w:tr w:rsidR="00943D47" w:rsidRPr="00705183" w14:paraId="247EC982" w14:textId="77777777" w:rsidTr="00DC67EC">
        <w:trPr>
          <w:trHeight w:val="402"/>
        </w:trPr>
        <w:tc>
          <w:tcPr>
            <w:tcW w:w="1693" w:type="dxa"/>
          </w:tcPr>
          <w:p w14:paraId="737F4049" w14:textId="77777777" w:rsidR="00943D47" w:rsidRPr="00705183" w:rsidRDefault="00943D47" w:rsidP="0083042F">
            <w:pPr>
              <w:tabs>
                <w:tab w:val="left" w:pos="0"/>
              </w:tabs>
              <w:rPr>
                <w:rFonts w:ascii="Arial" w:hAnsi="Arial" w:cs="Arial"/>
                <w:sz w:val="20"/>
                <w:szCs w:val="20"/>
              </w:rPr>
            </w:pPr>
            <w:r w:rsidRPr="00705183">
              <w:rPr>
                <w:rFonts w:ascii="Arial" w:hAnsi="Arial" w:cs="Arial"/>
                <w:b/>
                <w:sz w:val="20"/>
                <w:szCs w:val="20"/>
              </w:rPr>
              <w:t>SEM</w:t>
            </w:r>
          </w:p>
        </w:tc>
        <w:tc>
          <w:tcPr>
            <w:tcW w:w="992" w:type="dxa"/>
          </w:tcPr>
          <w:p w14:paraId="73D21EBC" w14:textId="77777777" w:rsidR="00943D47" w:rsidRPr="00705183" w:rsidRDefault="00943D47" w:rsidP="0083042F">
            <w:pPr>
              <w:tabs>
                <w:tab w:val="left" w:pos="0"/>
              </w:tabs>
              <w:rPr>
                <w:rFonts w:ascii="Arial" w:hAnsi="Arial" w:cs="Arial"/>
                <w:sz w:val="20"/>
                <w:szCs w:val="20"/>
              </w:rPr>
            </w:pPr>
          </w:p>
        </w:tc>
        <w:tc>
          <w:tcPr>
            <w:tcW w:w="992" w:type="dxa"/>
          </w:tcPr>
          <w:p w14:paraId="5EF219FE" w14:textId="77777777" w:rsidR="00943D47" w:rsidRPr="00705183" w:rsidRDefault="00943D47" w:rsidP="0083042F">
            <w:pPr>
              <w:tabs>
                <w:tab w:val="left" w:pos="0"/>
              </w:tabs>
              <w:rPr>
                <w:rFonts w:ascii="Arial" w:hAnsi="Arial" w:cs="Arial"/>
                <w:sz w:val="20"/>
                <w:szCs w:val="20"/>
              </w:rPr>
            </w:pPr>
          </w:p>
        </w:tc>
        <w:tc>
          <w:tcPr>
            <w:tcW w:w="993" w:type="dxa"/>
          </w:tcPr>
          <w:p w14:paraId="08DBFD51"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0.355</w:t>
            </w:r>
          </w:p>
        </w:tc>
        <w:tc>
          <w:tcPr>
            <w:tcW w:w="992" w:type="dxa"/>
          </w:tcPr>
          <w:p w14:paraId="7A91D04F"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0.073</w:t>
            </w:r>
          </w:p>
        </w:tc>
        <w:tc>
          <w:tcPr>
            <w:tcW w:w="992" w:type="dxa"/>
          </w:tcPr>
          <w:p w14:paraId="46F15644"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0.204</w:t>
            </w:r>
          </w:p>
        </w:tc>
        <w:tc>
          <w:tcPr>
            <w:tcW w:w="851" w:type="dxa"/>
          </w:tcPr>
          <w:p w14:paraId="33875A60"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0.378</w:t>
            </w:r>
          </w:p>
        </w:tc>
        <w:tc>
          <w:tcPr>
            <w:tcW w:w="1134" w:type="dxa"/>
          </w:tcPr>
          <w:p w14:paraId="6AA2EF63"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0.084</w:t>
            </w:r>
          </w:p>
        </w:tc>
        <w:tc>
          <w:tcPr>
            <w:tcW w:w="992" w:type="dxa"/>
          </w:tcPr>
          <w:p w14:paraId="07C692FE"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0.064</w:t>
            </w:r>
          </w:p>
        </w:tc>
        <w:tc>
          <w:tcPr>
            <w:tcW w:w="992" w:type="dxa"/>
          </w:tcPr>
          <w:p w14:paraId="6801CE92"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0.126</w:t>
            </w:r>
          </w:p>
        </w:tc>
        <w:tc>
          <w:tcPr>
            <w:tcW w:w="992" w:type="dxa"/>
          </w:tcPr>
          <w:p w14:paraId="285EAF00"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0.147</w:t>
            </w:r>
          </w:p>
        </w:tc>
        <w:tc>
          <w:tcPr>
            <w:tcW w:w="993" w:type="dxa"/>
          </w:tcPr>
          <w:p w14:paraId="536C656C"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0.158</w:t>
            </w:r>
          </w:p>
        </w:tc>
        <w:tc>
          <w:tcPr>
            <w:tcW w:w="1406" w:type="dxa"/>
          </w:tcPr>
          <w:p w14:paraId="007BB296"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0.291</w:t>
            </w:r>
          </w:p>
        </w:tc>
      </w:tr>
      <w:tr w:rsidR="00943D47" w:rsidRPr="00705183" w14:paraId="7AC22B52" w14:textId="77777777" w:rsidTr="00DC67EC">
        <w:trPr>
          <w:trHeight w:val="378"/>
        </w:trPr>
        <w:tc>
          <w:tcPr>
            <w:tcW w:w="1693" w:type="dxa"/>
          </w:tcPr>
          <w:p w14:paraId="2F054FBA" w14:textId="77777777" w:rsidR="00943D47" w:rsidRPr="00705183" w:rsidRDefault="00943D47" w:rsidP="0083042F">
            <w:pPr>
              <w:tabs>
                <w:tab w:val="left" w:pos="0"/>
              </w:tabs>
              <w:rPr>
                <w:rFonts w:ascii="Arial" w:hAnsi="Arial" w:cs="Arial"/>
                <w:b/>
                <w:sz w:val="20"/>
                <w:szCs w:val="20"/>
              </w:rPr>
            </w:pPr>
            <w:r w:rsidRPr="00705183">
              <w:rPr>
                <w:rFonts w:ascii="Arial" w:hAnsi="Arial" w:cs="Arial"/>
                <w:b/>
                <w:sz w:val="20"/>
                <w:szCs w:val="20"/>
              </w:rPr>
              <w:t>P- value</w:t>
            </w:r>
          </w:p>
        </w:tc>
        <w:tc>
          <w:tcPr>
            <w:tcW w:w="992" w:type="dxa"/>
          </w:tcPr>
          <w:p w14:paraId="79D06D31" w14:textId="77777777" w:rsidR="00943D47" w:rsidRPr="00705183" w:rsidRDefault="00943D47" w:rsidP="0083042F">
            <w:pPr>
              <w:tabs>
                <w:tab w:val="left" w:pos="0"/>
              </w:tabs>
              <w:rPr>
                <w:rFonts w:ascii="Arial" w:hAnsi="Arial" w:cs="Arial"/>
                <w:sz w:val="20"/>
                <w:szCs w:val="20"/>
              </w:rPr>
            </w:pPr>
          </w:p>
        </w:tc>
        <w:tc>
          <w:tcPr>
            <w:tcW w:w="992" w:type="dxa"/>
          </w:tcPr>
          <w:p w14:paraId="4BF9F875" w14:textId="77777777" w:rsidR="00943D47" w:rsidRPr="00705183" w:rsidRDefault="00943D47" w:rsidP="0083042F">
            <w:pPr>
              <w:tabs>
                <w:tab w:val="left" w:pos="0"/>
              </w:tabs>
              <w:rPr>
                <w:rFonts w:ascii="Arial" w:hAnsi="Arial" w:cs="Arial"/>
                <w:sz w:val="20"/>
                <w:szCs w:val="20"/>
              </w:rPr>
            </w:pPr>
          </w:p>
        </w:tc>
        <w:tc>
          <w:tcPr>
            <w:tcW w:w="993" w:type="dxa"/>
          </w:tcPr>
          <w:p w14:paraId="4FBD8847" w14:textId="77777777" w:rsidR="00943D47" w:rsidRPr="00705183" w:rsidRDefault="00943D47" w:rsidP="0083042F">
            <w:pPr>
              <w:tabs>
                <w:tab w:val="left" w:pos="0"/>
              </w:tabs>
              <w:rPr>
                <w:rFonts w:ascii="Arial" w:hAnsi="Arial" w:cs="Arial"/>
                <w:sz w:val="20"/>
                <w:szCs w:val="20"/>
              </w:rPr>
            </w:pPr>
          </w:p>
        </w:tc>
        <w:tc>
          <w:tcPr>
            <w:tcW w:w="992" w:type="dxa"/>
          </w:tcPr>
          <w:p w14:paraId="3521FB96" w14:textId="77777777" w:rsidR="00943D47" w:rsidRPr="00705183" w:rsidRDefault="00943D47" w:rsidP="0083042F">
            <w:pPr>
              <w:tabs>
                <w:tab w:val="left" w:pos="0"/>
              </w:tabs>
              <w:rPr>
                <w:rFonts w:ascii="Arial" w:hAnsi="Arial" w:cs="Arial"/>
                <w:sz w:val="20"/>
                <w:szCs w:val="20"/>
              </w:rPr>
            </w:pPr>
          </w:p>
        </w:tc>
        <w:tc>
          <w:tcPr>
            <w:tcW w:w="992" w:type="dxa"/>
          </w:tcPr>
          <w:p w14:paraId="73BD83A1" w14:textId="77777777" w:rsidR="00943D47" w:rsidRPr="00705183" w:rsidRDefault="00943D47" w:rsidP="0083042F">
            <w:pPr>
              <w:tabs>
                <w:tab w:val="left" w:pos="0"/>
              </w:tabs>
              <w:rPr>
                <w:rFonts w:ascii="Arial" w:hAnsi="Arial" w:cs="Arial"/>
                <w:sz w:val="20"/>
                <w:szCs w:val="20"/>
              </w:rPr>
            </w:pPr>
          </w:p>
        </w:tc>
        <w:tc>
          <w:tcPr>
            <w:tcW w:w="851" w:type="dxa"/>
          </w:tcPr>
          <w:p w14:paraId="486FA509" w14:textId="77777777" w:rsidR="00943D47" w:rsidRPr="00705183" w:rsidRDefault="00943D47" w:rsidP="0083042F">
            <w:pPr>
              <w:tabs>
                <w:tab w:val="left" w:pos="0"/>
              </w:tabs>
              <w:rPr>
                <w:rFonts w:ascii="Arial" w:hAnsi="Arial" w:cs="Arial"/>
                <w:sz w:val="20"/>
                <w:szCs w:val="20"/>
              </w:rPr>
            </w:pPr>
          </w:p>
        </w:tc>
        <w:tc>
          <w:tcPr>
            <w:tcW w:w="1134" w:type="dxa"/>
          </w:tcPr>
          <w:p w14:paraId="7E1B1352" w14:textId="77777777" w:rsidR="00943D47" w:rsidRPr="00705183" w:rsidRDefault="00943D47" w:rsidP="0083042F">
            <w:pPr>
              <w:tabs>
                <w:tab w:val="left" w:pos="0"/>
              </w:tabs>
              <w:rPr>
                <w:rFonts w:ascii="Arial" w:hAnsi="Arial" w:cs="Arial"/>
                <w:sz w:val="20"/>
                <w:szCs w:val="20"/>
              </w:rPr>
            </w:pPr>
          </w:p>
        </w:tc>
        <w:tc>
          <w:tcPr>
            <w:tcW w:w="992" w:type="dxa"/>
          </w:tcPr>
          <w:p w14:paraId="6FC134CF" w14:textId="77777777" w:rsidR="00943D47" w:rsidRPr="00705183" w:rsidRDefault="00943D47" w:rsidP="0083042F">
            <w:pPr>
              <w:tabs>
                <w:tab w:val="left" w:pos="0"/>
              </w:tabs>
              <w:rPr>
                <w:rFonts w:ascii="Arial" w:hAnsi="Arial" w:cs="Arial"/>
                <w:sz w:val="20"/>
                <w:szCs w:val="20"/>
              </w:rPr>
            </w:pPr>
          </w:p>
        </w:tc>
        <w:tc>
          <w:tcPr>
            <w:tcW w:w="992" w:type="dxa"/>
          </w:tcPr>
          <w:p w14:paraId="6213EB7F" w14:textId="77777777" w:rsidR="00943D47" w:rsidRPr="00705183" w:rsidRDefault="00943D47" w:rsidP="0083042F">
            <w:pPr>
              <w:tabs>
                <w:tab w:val="left" w:pos="0"/>
              </w:tabs>
              <w:rPr>
                <w:rFonts w:ascii="Arial" w:hAnsi="Arial" w:cs="Arial"/>
                <w:sz w:val="20"/>
                <w:szCs w:val="20"/>
              </w:rPr>
            </w:pPr>
          </w:p>
        </w:tc>
        <w:tc>
          <w:tcPr>
            <w:tcW w:w="992" w:type="dxa"/>
          </w:tcPr>
          <w:p w14:paraId="313E628B" w14:textId="77777777" w:rsidR="00943D47" w:rsidRPr="00705183" w:rsidRDefault="00943D47" w:rsidP="0083042F">
            <w:pPr>
              <w:tabs>
                <w:tab w:val="left" w:pos="0"/>
              </w:tabs>
              <w:rPr>
                <w:rFonts w:ascii="Arial" w:hAnsi="Arial" w:cs="Arial"/>
                <w:sz w:val="20"/>
                <w:szCs w:val="20"/>
              </w:rPr>
            </w:pPr>
          </w:p>
        </w:tc>
        <w:tc>
          <w:tcPr>
            <w:tcW w:w="993" w:type="dxa"/>
          </w:tcPr>
          <w:p w14:paraId="41574E8E" w14:textId="77777777" w:rsidR="00943D47" w:rsidRPr="00705183" w:rsidRDefault="00943D47" w:rsidP="0083042F">
            <w:pPr>
              <w:tabs>
                <w:tab w:val="left" w:pos="0"/>
              </w:tabs>
              <w:rPr>
                <w:rFonts w:ascii="Arial" w:hAnsi="Arial" w:cs="Arial"/>
                <w:sz w:val="20"/>
                <w:szCs w:val="20"/>
              </w:rPr>
            </w:pPr>
          </w:p>
        </w:tc>
        <w:tc>
          <w:tcPr>
            <w:tcW w:w="1406" w:type="dxa"/>
          </w:tcPr>
          <w:p w14:paraId="4D6D722E" w14:textId="77777777" w:rsidR="00943D47" w:rsidRPr="00705183" w:rsidRDefault="00943D47" w:rsidP="0083042F">
            <w:pPr>
              <w:tabs>
                <w:tab w:val="left" w:pos="0"/>
              </w:tabs>
              <w:rPr>
                <w:rFonts w:ascii="Arial" w:hAnsi="Arial" w:cs="Arial"/>
                <w:sz w:val="20"/>
                <w:szCs w:val="20"/>
              </w:rPr>
            </w:pPr>
          </w:p>
        </w:tc>
      </w:tr>
      <w:tr w:rsidR="00943D47" w:rsidRPr="00705183" w14:paraId="220F6232" w14:textId="77777777" w:rsidTr="00DC67EC">
        <w:trPr>
          <w:trHeight w:val="402"/>
        </w:trPr>
        <w:tc>
          <w:tcPr>
            <w:tcW w:w="1693" w:type="dxa"/>
          </w:tcPr>
          <w:p w14:paraId="0604D61D"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Fat</w:t>
            </w:r>
          </w:p>
        </w:tc>
        <w:tc>
          <w:tcPr>
            <w:tcW w:w="992" w:type="dxa"/>
          </w:tcPr>
          <w:p w14:paraId="0296CA9D" w14:textId="77777777" w:rsidR="00943D47" w:rsidRPr="00705183" w:rsidRDefault="00943D47" w:rsidP="0083042F">
            <w:pPr>
              <w:tabs>
                <w:tab w:val="left" w:pos="0"/>
              </w:tabs>
              <w:rPr>
                <w:rFonts w:ascii="Arial" w:hAnsi="Arial" w:cs="Arial"/>
                <w:sz w:val="20"/>
                <w:szCs w:val="20"/>
              </w:rPr>
            </w:pPr>
          </w:p>
        </w:tc>
        <w:tc>
          <w:tcPr>
            <w:tcW w:w="992" w:type="dxa"/>
          </w:tcPr>
          <w:p w14:paraId="6DE7A5B9" w14:textId="77777777" w:rsidR="00943D47" w:rsidRPr="00705183" w:rsidRDefault="00943D47" w:rsidP="0083042F">
            <w:pPr>
              <w:tabs>
                <w:tab w:val="left" w:pos="0"/>
              </w:tabs>
              <w:rPr>
                <w:rFonts w:ascii="Arial" w:hAnsi="Arial" w:cs="Arial"/>
                <w:sz w:val="20"/>
                <w:szCs w:val="20"/>
              </w:rPr>
            </w:pPr>
          </w:p>
        </w:tc>
        <w:tc>
          <w:tcPr>
            <w:tcW w:w="993" w:type="dxa"/>
          </w:tcPr>
          <w:p w14:paraId="6ACDAF5B"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0.525</w:t>
            </w:r>
          </w:p>
        </w:tc>
        <w:tc>
          <w:tcPr>
            <w:tcW w:w="992" w:type="dxa"/>
          </w:tcPr>
          <w:p w14:paraId="6FCD1E48"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0.137</w:t>
            </w:r>
          </w:p>
        </w:tc>
        <w:tc>
          <w:tcPr>
            <w:tcW w:w="992" w:type="dxa"/>
          </w:tcPr>
          <w:p w14:paraId="2B0FA379"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0.237</w:t>
            </w:r>
          </w:p>
        </w:tc>
        <w:tc>
          <w:tcPr>
            <w:tcW w:w="851" w:type="dxa"/>
          </w:tcPr>
          <w:p w14:paraId="11FF216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0.109</w:t>
            </w:r>
          </w:p>
        </w:tc>
        <w:tc>
          <w:tcPr>
            <w:tcW w:w="1134" w:type="dxa"/>
          </w:tcPr>
          <w:p w14:paraId="03B1ABC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0.740</w:t>
            </w:r>
          </w:p>
        </w:tc>
        <w:tc>
          <w:tcPr>
            <w:tcW w:w="992" w:type="dxa"/>
          </w:tcPr>
          <w:p w14:paraId="52181469"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0.550</w:t>
            </w:r>
          </w:p>
        </w:tc>
        <w:tc>
          <w:tcPr>
            <w:tcW w:w="992" w:type="dxa"/>
          </w:tcPr>
          <w:p w14:paraId="00D3EA8C"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0.506</w:t>
            </w:r>
          </w:p>
        </w:tc>
        <w:tc>
          <w:tcPr>
            <w:tcW w:w="992" w:type="dxa"/>
          </w:tcPr>
          <w:p w14:paraId="5CD9ADA3"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0.804</w:t>
            </w:r>
          </w:p>
        </w:tc>
        <w:tc>
          <w:tcPr>
            <w:tcW w:w="993" w:type="dxa"/>
          </w:tcPr>
          <w:p w14:paraId="25E72993"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0.591</w:t>
            </w:r>
          </w:p>
        </w:tc>
        <w:tc>
          <w:tcPr>
            <w:tcW w:w="1406" w:type="dxa"/>
          </w:tcPr>
          <w:p w14:paraId="3032A5CC"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0.689</w:t>
            </w:r>
          </w:p>
        </w:tc>
      </w:tr>
      <w:tr w:rsidR="00943D47" w:rsidRPr="00705183" w14:paraId="191D7F7D" w14:textId="77777777" w:rsidTr="00DC67EC">
        <w:trPr>
          <w:trHeight w:val="378"/>
        </w:trPr>
        <w:tc>
          <w:tcPr>
            <w:tcW w:w="1693" w:type="dxa"/>
          </w:tcPr>
          <w:p w14:paraId="4336DEE6"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Fibre</w:t>
            </w:r>
          </w:p>
        </w:tc>
        <w:tc>
          <w:tcPr>
            <w:tcW w:w="992" w:type="dxa"/>
          </w:tcPr>
          <w:p w14:paraId="2B11E304" w14:textId="77777777" w:rsidR="00943D47" w:rsidRPr="00705183" w:rsidRDefault="00943D47" w:rsidP="0083042F">
            <w:pPr>
              <w:tabs>
                <w:tab w:val="left" w:pos="0"/>
              </w:tabs>
              <w:rPr>
                <w:rFonts w:ascii="Arial" w:hAnsi="Arial" w:cs="Arial"/>
                <w:sz w:val="20"/>
                <w:szCs w:val="20"/>
              </w:rPr>
            </w:pPr>
          </w:p>
        </w:tc>
        <w:tc>
          <w:tcPr>
            <w:tcW w:w="992" w:type="dxa"/>
          </w:tcPr>
          <w:p w14:paraId="683ED28A" w14:textId="77777777" w:rsidR="00943D47" w:rsidRPr="00705183" w:rsidRDefault="00943D47" w:rsidP="0083042F">
            <w:pPr>
              <w:tabs>
                <w:tab w:val="left" w:pos="0"/>
              </w:tabs>
              <w:rPr>
                <w:rFonts w:ascii="Arial" w:hAnsi="Arial" w:cs="Arial"/>
                <w:sz w:val="20"/>
                <w:szCs w:val="20"/>
              </w:rPr>
            </w:pPr>
          </w:p>
        </w:tc>
        <w:tc>
          <w:tcPr>
            <w:tcW w:w="993" w:type="dxa"/>
          </w:tcPr>
          <w:p w14:paraId="4D1FD9E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0.783</w:t>
            </w:r>
          </w:p>
        </w:tc>
        <w:tc>
          <w:tcPr>
            <w:tcW w:w="992" w:type="dxa"/>
          </w:tcPr>
          <w:p w14:paraId="59F7C16B"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0.230</w:t>
            </w:r>
          </w:p>
        </w:tc>
        <w:tc>
          <w:tcPr>
            <w:tcW w:w="992" w:type="dxa"/>
          </w:tcPr>
          <w:p w14:paraId="10C416CB"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0.028</w:t>
            </w:r>
          </w:p>
        </w:tc>
        <w:tc>
          <w:tcPr>
            <w:tcW w:w="851" w:type="dxa"/>
          </w:tcPr>
          <w:p w14:paraId="4DAB12F5"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0.134</w:t>
            </w:r>
          </w:p>
        </w:tc>
        <w:tc>
          <w:tcPr>
            <w:tcW w:w="1134" w:type="dxa"/>
          </w:tcPr>
          <w:p w14:paraId="37031719"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0.358</w:t>
            </w:r>
          </w:p>
        </w:tc>
        <w:tc>
          <w:tcPr>
            <w:tcW w:w="992" w:type="dxa"/>
          </w:tcPr>
          <w:p w14:paraId="0C99E89C"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0.053</w:t>
            </w:r>
          </w:p>
        </w:tc>
        <w:tc>
          <w:tcPr>
            <w:tcW w:w="992" w:type="dxa"/>
          </w:tcPr>
          <w:p w14:paraId="077D69F0"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0.458</w:t>
            </w:r>
          </w:p>
        </w:tc>
        <w:tc>
          <w:tcPr>
            <w:tcW w:w="992" w:type="dxa"/>
          </w:tcPr>
          <w:p w14:paraId="7155D7AE"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0.050</w:t>
            </w:r>
          </w:p>
        </w:tc>
        <w:tc>
          <w:tcPr>
            <w:tcW w:w="993" w:type="dxa"/>
          </w:tcPr>
          <w:p w14:paraId="05401098"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0.601</w:t>
            </w:r>
          </w:p>
        </w:tc>
        <w:tc>
          <w:tcPr>
            <w:tcW w:w="1406" w:type="dxa"/>
          </w:tcPr>
          <w:p w14:paraId="05C95DBB"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0.074</w:t>
            </w:r>
          </w:p>
        </w:tc>
      </w:tr>
      <w:tr w:rsidR="00943D47" w:rsidRPr="00705183" w14:paraId="682F9E84" w14:textId="77777777" w:rsidTr="00DC67EC">
        <w:trPr>
          <w:trHeight w:val="402"/>
        </w:trPr>
        <w:tc>
          <w:tcPr>
            <w:tcW w:w="1693" w:type="dxa"/>
          </w:tcPr>
          <w:p w14:paraId="1BB0ACDD"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Fat x fibre</w:t>
            </w:r>
          </w:p>
        </w:tc>
        <w:tc>
          <w:tcPr>
            <w:tcW w:w="992" w:type="dxa"/>
          </w:tcPr>
          <w:p w14:paraId="63E45494" w14:textId="77777777" w:rsidR="00943D47" w:rsidRPr="00705183" w:rsidRDefault="00943D47" w:rsidP="0083042F">
            <w:pPr>
              <w:tabs>
                <w:tab w:val="left" w:pos="0"/>
              </w:tabs>
              <w:rPr>
                <w:rFonts w:ascii="Arial" w:hAnsi="Arial" w:cs="Arial"/>
                <w:sz w:val="20"/>
                <w:szCs w:val="20"/>
              </w:rPr>
            </w:pPr>
          </w:p>
        </w:tc>
        <w:tc>
          <w:tcPr>
            <w:tcW w:w="992" w:type="dxa"/>
          </w:tcPr>
          <w:p w14:paraId="498D97BE" w14:textId="77777777" w:rsidR="00943D47" w:rsidRPr="00705183" w:rsidRDefault="00943D47" w:rsidP="0083042F">
            <w:pPr>
              <w:tabs>
                <w:tab w:val="left" w:pos="0"/>
              </w:tabs>
              <w:rPr>
                <w:rFonts w:ascii="Arial" w:hAnsi="Arial" w:cs="Arial"/>
                <w:sz w:val="20"/>
                <w:szCs w:val="20"/>
              </w:rPr>
            </w:pPr>
          </w:p>
        </w:tc>
        <w:tc>
          <w:tcPr>
            <w:tcW w:w="993" w:type="dxa"/>
          </w:tcPr>
          <w:p w14:paraId="58033607"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0.855</w:t>
            </w:r>
          </w:p>
        </w:tc>
        <w:tc>
          <w:tcPr>
            <w:tcW w:w="992" w:type="dxa"/>
          </w:tcPr>
          <w:p w14:paraId="0E3C9ADD"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0.708</w:t>
            </w:r>
          </w:p>
        </w:tc>
        <w:tc>
          <w:tcPr>
            <w:tcW w:w="992" w:type="dxa"/>
          </w:tcPr>
          <w:p w14:paraId="460DCE7A"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0.828</w:t>
            </w:r>
          </w:p>
        </w:tc>
        <w:tc>
          <w:tcPr>
            <w:tcW w:w="851" w:type="dxa"/>
          </w:tcPr>
          <w:p w14:paraId="1AB6EF05"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0.752</w:t>
            </w:r>
          </w:p>
        </w:tc>
        <w:tc>
          <w:tcPr>
            <w:tcW w:w="1134" w:type="dxa"/>
          </w:tcPr>
          <w:p w14:paraId="76FC5E57"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0.924</w:t>
            </w:r>
          </w:p>
        </w:tc>
        <w:tc>
          <w:tcPr>
            <w:tcW w:w="992" w:type="dxa"/>
          </w:tcPr>
          <w:p w14:paraId="4ABC3367"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0.508</w:t>
            </w:r>
          </w:p>
        </w:tc>
        <w:tc>
          <w:tcPr>
            <w:tcW w:w="992" w:type="dxa"/>
          </w:tcPr>
          <w:p w14:paraId="310CE3BD"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0.581</w:t>
            </w:r>
          </w:p>
        </w:tc>
        <w:tc>
          <w:tcPr>
            <w:tcW w:w="992" w:type="dxa"/>
          </w:tcPr>
          <w:p w14:paraId="5689A406"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0.886</w:t>
            </w:r>
          </w:p>
        </w:tc>
        <w:tc>
          <w:tcPr>
            <w:tcW w:w="993" w:type="dxa"/>
          </w:tcPr>
          <w:p w14:paraId="79665643"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0.141</w:t>
            </w:r>
          </w:p>
        </w:tc>
        <w:tc>
          <w:tcPr>
            <w:tcW w:w="1406" w:type="dxa"/>
          </w:tcPr>
          <w:p w14:paraId="6608519B" w14:textId="77777777" w:rsidR="00943D47" w:rsidRPr="00705183" w:rsidRDefault="00943D47" w:rsidP="0083042F">
            <w:pPr>
              <w:tabs>
                <w:tab w:val="left" w:pos="0"/>
              </w:tabs>
              <w:rPr>
                <w:rFonts w:ascii="Arial" w:hAnsi="Arial" w:cs="Arial"/>
                <w:sz w:val="20"/>
                <w:szCs w:val="20"/>
              </w:rPr>
            </w:pPr>
            <w:r w:rsidRPr="00705183">
              <w:rPr>
                <w:rFonts w:ascii="Arial" w:hAnsi="Arial" w:cs="Arial"/>
                <w:sz w:val="20"/>
                <w:szCs w:val="20"/>
              </w:rPr>
              <w:t>0.545</w:t>
            </w:r>
          </w:p>
        </w:tc>
      </w:tr>
    </w:tbl>
    <w:p w14:paraId="05E12DC9" w14:textId="77777777" w:rsidR="00943D47" w:rsidRPr="00705183" w:rsidRDefault="00943D47" w:rsidP="0083042F">
      <w:pPr>
        <w:tabs>
          <w:tab w:val="left" w:pos="0"/>
        </w:tabs>
        <w:spacing w:after="0" w:line="240" w:lineRule="auto"/>
        <w:rPr>
          <w:rFonts w:ascii="Arial" w:hAnsi="Arial" w:cs="Arial"/>
          <w:sz w:val="20"/>
          <w:szCs w:val="20"/>
        </w:rPr>
      </w:pPr>
      <w:r w:rsidRPr="00705183">
        <w:rPr>
          <w:rFonts w:ascii="Arial" w:hAnsi="Arial" w:cs="Arial"/>
          <w:sz w:val="18"/>
          <w:szCs w:val="20"/>
        </w:rPr>
        <w:t>Means bearing different superscripts (</w:t>
      </w:r>
      <w:r w:rsidRPr="00705183">
        <w:rPr>
          <w:rFonts w:ascii="Arial" w:hAnsi="Arial" w:cs="Arial"/>
          <w:b/>
          <w:sz w:val="18"/>
          <w:szCs w:val="20"/>
          <w:vertAlign w:val="superscript"/>
        </w:rPr>
        <w:t>ab</w:t>
      </w:r>
      <w:r w:rsidRPr="00705183">
        <w:rPr>
          <w:rFonts w:ascii="Arial" w:hAnsi="Arial" w:cs="Arial"/>
          <w:sz w:val="18"/>
          <w:szCs w:val="20"/>
        </w:rPr>
        <w:t>) in the same column are significantly different (P &lt; 0.05)</w:t>
      </w:r>
      <w:r>
        <w:rPr>
          <w:rFonts w:ascii="Arial" w:hAnsi="Arial" w:cs="Arial"/>
          <w:sz w:val="18"/>
          <w:szCs w:val="20"/>
        </w:rPr>
        <w:t xml:space="preserve">.  </w:t>
      </w:r>
      <w:r w:rsidRPr="00705183">
        <w:rPr>
          <w:rFonts w:ascii="Arial" w:hAnsi="Arial" w:cs="Arial"/>
          <w:b/>
          <w:sz w:val="18"/>
          <w:szCs w:val="20"/>
        </w:rPr>
        <w:t>ALT</w:t>
      </w:r>
      <w:r w:rsidRPr="00705183">
        <w:rPr>
          <w:rFonts w:ascii="Arial" w:hAnsi="Arial" w:cs="Arial"/>
          <w:sz w:val="18"/>
          <w:szCs w:val="20"/>
        </w:rPr>
        <w:t xml:space="preserve">: Alanine transaminase, </w:t>
      </w:r>
      <w:r w:rsidRPr="00705183">
        <w:rPr>
          <w:rFonts w:ascii="Arial" w:hAnsi="Arial" w:cs="Arial"/>
          <w:b/>
          <w:sz w:val="18"/>
          <w:szCs w:val="20"/>
        </w:rPr>
        <w:t>AST</w:t>
      </w:r>
      <w:r w:rsidRPr="00705183">
        <w:rPr>
          <w:rFonts w:ascii="Arial" w:hAnsi="Arial" w:cs="Arial"/>
          <w:sz w:val="18"/>
          <w:szCs w:val="20"/>
        </w:rPr>
        <w:t xml:space="preserve">: Aspartate aminotransferase, </w:t>
      </w:r>
      <w:r w:rsidRPr="00705183">
        <w:rPr>
          <w:rFonts w:ascii="Arial" w:hAnsi="Arial" w:cs="Arial"/>
          <w:b/>
          <w:sz w:val="18"/>
          <w:szCs w:val="20"/>
        </w:rPr>
        <w:t>ALP</w:t>
      </w:r>
      <w:r w:rsidRPr="00705183">
        <w:rPr>
          <w:rFonts w:ascii="Arial" w:hAnsi="Arial" w:cs="Arial"/>
          <w:sz w:val="18"/>
          <w:szCs w:val="20"/>
        </w:rPr>
        <w:t xml:space="preserve">: Alkaline phosphate, </w:t>
      </w:r>
      <w:r w:rsidRPr="00705183">
        <w:rPr>
          <w:rFonts w:ascii="Arial" w:hAnsi="Arial" w:cs="Arial"/>
          <w:b/>
          <w:sz w:val="18"/>
          <w:szCs w:val="20"/>
        </w:rPr>
        <w:t>GGT</w:t>
      </w:r>
      <w:r w:rsidRPr="00705183">
        <w:rPr>
          <w:rFonts w:ascii="Arial" w:hAnsi="Arial" w:cs="Arial"/>
          <w:sz w:val="18"/>
          <w:szCs w:val="20"/>
        </w:rPr>
        <w:t xml:space="preserve">: Gamma-glutamyl transferase, </w:t>
      </w:r>
      <w:r w:rsidRPr="00705183">
        <w:rPr>
          <w:rFonts w:ascii="Arial" w:hAnsi="Arial" w:cs="Arial"/>
          <w:b/>
          <w:sz w:val="18"/>
          <w:szCs w:val="20"/>
        </w:rPr>
        <w:t>T.</w:t>
      </w:r>
      <w:r w:rsidRPr="00705183">
        <w:rPr>
          <w:rFonts w:ascii="Arial" w:hAnsi="Arial" w:cs="Arial"/>
          <w:sz w:val="18"/>
          <w:szCs w:val="20"/>
        </w:rPr>
        <w:t xml:space="preserve"> </w:t>
      </w:r>
      <w:r w:rsidRPr="00705183">
        <w:rPr>
          <w:rFonts w:ascii="Arial" w:hAnsi="Arial" w:cs="Arial"/>
          <w:b/>
          <w:sz w:val="18"/>
          <w:szCs w:val="20"/>
        </w:rPr>
        <w:t>PRO</w:t>
      </w:r>
      <w:r w:rsidRPr="00705183">
        <w:rPr>
          <w:rFonts w:ascii="Arial" w:hAnsi="Arial" w:cs="Arial"/>
          <w:sz w:val="18"/>
          <w:szCs w:val="20"/>
        </w:rPr>
        <w:t xml:space="preserve">: Total Protein, </w:t>
      </w:r>
      <w:r w:rsidRPr="00705183">
        <w:rPr>
          <w:rFonts w:ascii="Arial" w:hAnsi="Arial" w:cs="Arial"/>
          <w:b/>
          <w:sz w:val="18"/>
          <w:szCs w:val="20"/>
        </w:rPr>
        <w:t>ALBU</w:t>
      </w:r>
      <w:r w:rsidRPr="00705183">
        <w:rPr>
          <w:rFonts w:ascii="Arial" w:hAnsi="Arial" w:cs="Arial"/>
          <w:sz w:val="18"/>
          <w:szCs w:val="20"/>
        </w:rPr>
        <w:t xml:space="preserve">: Albumin, </w:t>
      </w:r>
      <w:r w:rsidRPr="00705183">
        <w:rPr>
          <w:rFonts w:ascii="Arial" w:hAnsi="Arial" w:cs="Arial"/>
          <w:b/>
          <w:sz w:val="18"/>
          <w:szCs w:val="20"/>
        </w:rPr>
        <w:t>GLOB</w:t>
      </w:r>
      <w:r w:rsidRPr="00705183">
        <w:rPr>
          <w:rFonts w:ascii="Arial" w:hAnsi="Arial" w:cs="Arial"/>
          <w:sz w:val="18"/>
          <w:szCs w:val="20"/>
        </w:rPr>
        <w:t xml:space="preserve">: Globulin, </w:t>
      </w:r>
      <w:r w:rsidRPr="00705183">
        <w:rPr>
          <w:rFonts w:ascii="Arial" w:hAnsi="Arial" w:cs="Arial"/>
          <w:b/>
          <w:sz w:val="18"/>
          <w:szCs w:val="20"/>
        </w:rPr>
        <w:t>T. Bil</w:t>
      </w:r>
      <w:r w:rsidRPr="00705183">
        <w:rPr>
          <w:rFonts w:ascii="Arial" w:hAnsi="Arial" w:cs="Arial"/>
          <w:sz w:val="18"/>
          <w:szCs w:val="20"/>
        </w:rPr>
        <w:t xml:space="preserve">: Total Bilirubin, </w:t>
      </w:r>
      <w:r w:rsidRPr="00705183">
        <w:rPr>
          <w:rFonts w:ascii="Arial" w:hAnsi="Arial" w:cs="Arial"/>
          <w:b/>
          <w:sz w:val="18"/>
          <w:szCs w:val="20"/>
        </w:rPr>
        <w:t>D. BIL</w:t>
      </w:r>
      <w:r w:rsidRPr="00705183">
        <w:rPr>
          <w:rFonts w:ascii="Arial" w:hAnsi="Arial" w:cs="Arial"/>
          <w:sz w:val="18"/>
          <w:szCs w:val="20"/>
        </w:rPr>
        <w:t xml:space="preserve">: Direct Bilirubin, </w:t>
      </w:r>
      <w:r w:rsidRPr="00705183">
        <w:rPr>
          <w:rFonts w:ascii="Arial" w:hAnsi="Arial" w:cs="Arial"/>
          <w:b/>
          <w:sz w:val="18"/>
          <w:szCs w:val="20"/>
        </w:rPr>
        <w:t>IND. Bil</w:t>
      </w:r>
      <w:r w:rsidRPr="00705183">
        <w:rPr>
          <w:rFonts w:ascii="Arial" w:hAnsi="Arial" w:cs="Arial"/>
          <w:sz w:val="18"/>
          <w:szCs w:val="20"/>
        </w:rPr>
        <w:t>: Indirect Bilirubin</w:t>
      </w:r>
      <w:r w:rsidRPr="00705183">
        <w:rPr>
          <w:rFonts w:ascii="Arial" w:hAnsi="Arial" w:cs="Arial"/>
          <w:sz w:val="20"/>
          <w:szCs w:val="20"/>
        </w:rPr>
        <w:t>.</w:t>
      </w:r>
    </w:p>
    <w:p w14:paraId="082FA8CF" w14:textId="77777777" w:rsidR="00943D47" w:rsidRDefault="00943D47" w:rsidP="0083042F">
      <w:pPr>
        <w:tabs>
          <w:tab w:val="left" w:pos="0"/>
        </w:tabs>
        <w:spacing w:before="240" w:line="480" w:lineRule="auto"/>
        <w:ind w:left="-567"/>
        <w:jc w:val="both"/>
        <w:rPr>
          <w:rFonts w:ascii="Arial" w:hAnsi="Arial" w:cs="Arial"/>
          <w:sz w:val="20"/>
          <w:szCs w:val="20"/>
        </w:rPr>
        <w:sectPr w:rsidR="00943D47" w:rsidSect="00943D47">
          <w:pgSz w:w="15840" w:h="12240" w:orient="landscape"/>
          <w:pgMar w:top="1710" w:right="1440" w:bottom="1440" w:left="1440" w:header="720" w:footer="720" w:gutter="0"/>
          <w:cols w:space="720"/>
          <w:docGrid w:linePitch="360"/>
        </w:sectPr>
      </w:pPr>
    </w:p>
    <w:p w14:paraId="383B5AF5" w14:textId="581D495C" w:rsidR="00603BAF" w:rsidRDefault="00603BAF" w:rsidP="00214D7D">
      <w:pPr>
        <w:pStyle w:val="Heading2"/>
        <w:spacing w:before="0"/>
      </w:pPr>
      <w:bookmarkStart w:id="26" w:name="_Toc153348042"/>
      <w:r>
        <w:lastRenderedPageBreak/>
        <w:t xml:space="preserve">3.7 </w:t>
      </w:r>
      <w:r w:rsidR="000D34CA" w:rsidRPr="007F123F">
        <w:t>Histological Examination</w:t>
      </w:r>
      <w:bookmarkEnd w:id="26"/>
    </w:p>
    <w:p w14:paraId="6FC55F59" w14:textId="27181F01" w:rsidR="000D34CA" w:rsidRPr="007F123F" w:rsidRDefault="00603BAF" w:rsidP="004162EE">
      <w:pPr>
        <w:pStyle w:val="Heading3"/>
      </w:pPr>
      <w:r>
        <w:t xml:space="preserve">3.7.1 </w:t>
      </w:r>
      <w:r w:rsidR="000D34CA" w:rsidRPr="007F123F">
        <w:t>Heart</w:t>
      </w:r>
    </w:p>
    <w:p w14:paraId="5FC02B55" w14:textId="523ED75D" w:rsidR="00603BAF" w:rsidRPr="00914886" w:rsidRDefault="00603BAF" w:rsidP="0083042F">
      <w:pPr>
        <w:tabs>
          <w:tab w:val="left" w:pos="0"/>
        </w:tabs>
        <w:spacing w:line="360" w:lineRule="auto"/>
        <w:rPr>
          <w:rFonts w:ascii="Arial" w:hAnsi="Arial" w:cs="Arial"/>
          <w:sz w:val="20"/>
          <w:szCs w:val="20"/>
        </w:rPr>
      </w:pPr>
      <w:r w:rsidRPr="00914886">
        <w:rPr>
          <w:rFonts w:ascii="Arial" w:hAnsi="Arial" w:cs="Arial"/>
          <w:sz w:val="20"/>
          <w:szCs w:val="20"/>
        </w:rPr>
        <w:t>Figure 1: Histological micrograph of Heart tissues (H &amp;</w:t>
      </w:r>
      <w:r w:rsidR="00214D7D">
        <w:rPr>
          <w:rFonts w:ascii="Arial" w:hAnsi="Arial" w:cs="Arial"/>
          <w:sz w:val="20"/>
          <w:szCs w:val="20"/>
        </w:rPr>
        <w:t xml:space="preserve"> </w:t>
      </w:r>
      <w:r w:rsidRPr="00914886">
        <w:rPr>
          <w:rFonts w:ascii="Arial" w:hAnsi="Arial" w:cs="Arial"/>
          <w:sz w:val="20"/>
          <w:szCs w:val="20"/>
        </w:rPr>
        <w:t>E stained)</w:t>
      </w:r>
    </w:p>
    <w:p w14:paraId="6A4B497F" w14:textId="0EE7B99D" w:rsidR="00603BAF" w:rsidRPr="00914886" w:rsidRDefault="00603BAF" w:rsidP="0083042F">
      <w:pPr>
        <w:tabs>
          <w:tab w:val="left" w:pos="0"/>
        </w:tabs>
        <w:spacing w:after="200" w:line="276" w:lineRule="auto"/>
        <w:rPr>
          <w:rFonts w:ascii="Arial" w:hAnsi="Arial" w:cs="Arial"/>
          <w:sz w:val="20"/>
          <w:szCs w:val="20"/>
        </w:rPr>
      </w:pPr>
    </w:p>
    <w:p w14:paraId="636A3198" w14:textId="130F0B08" w:rsidR="00603BAF" w:rsidRDefault="00603BAF" w:rsidP="00214D7D">
      <w:pPr>
        <w:tabs>
          <w:tab w:val="left" w:pos="0"/>
        </w:tabs>
        <w:spacing w:line="480" w:lineRule="auto"/>
        <w:rPr>
          <w:rFonts w:cs="Times New Roman"/>
        </w:rPr>
      </w:pPr>
      <w:r w:rsidRPr="00603BAF">
        <w:rPr>
          <w:rFonts w:ascii="Arial" w:hAnsi="Arial" w:cs="Arial"/>
          <w:sz w:val="20"/>
          <w:szCs w:val="20"/>
        </w:rPr>
        <w:t xml:space="preserve">As shown in </w:t>
      </w:r>
      <w:r>
        <w:rPr>
          <w:rFonts w:ascii="Arial" w:hAnsi="Arial" w:cs="Arial"/>
          <w:sz w:val="20"/>
          <w:szCs w:val="20"/>
        </w:rPr>
        <w:t xml:space="preserve">Figure </w:t>
      </w:r>
      <w:r w:rsidRPr="00603BAF">
        <w:rPr>
          <w:rFonts w:ascii="Arial" w:hAnsi="Arial" w:cs="Arial"/>
          <w:sz w:val="20"/>
          <w:szCs w:val="20"/>
        </w:rPr>
        <w:t xml:space="preserve">1 above, T1 shows normal histology of the heart of Albino rats. T 1 depicts well-distinct branched cardiac muscles with striations (Thin arrows, →), it also has elongated cardiomyocytes bearing centrally placed oval-shaped nuclei typical of a normal heart </w:t>
      </w:r>
      <w:r w:rsidR="00411E3D">
        <w:rPr>
          <w:rFonts w:ascii="Arial" w:hAnsi="Arial" w:cs="Arial"/>
          <w:sz w:val="20"/>
          <w:szCs w:val="20"/>
        </w:rPr>
        <w:t>architecture. T 2</w:t>
      </w:r>
      <w:r w:rsidRPr="00603BAF">
        <w:rPr>
          <w:rFonts w:ascii="Arial" w:hAnsi="Arial" w:cs="Arial"/>
          <w:sz w:val="20"/>
          <w:szCs w:val="20"/>
        </w:rPr>
        <w:t xml:space="preserve"> also shows a normal heart architecture with branched and striated cardiomyocytes (Thin arrows, →) and regularly shaped nuclei in cardiomyocytes. The </w:t>
      </w:r>
      <w:r w:rsidR="00411E3D">
        <w:rPr>
          <w:rFonts w:ascii="Arial" w:hAnsi="Arial" w:cs="Arial"/>
          <w:sz w:val="20"/>
          <w:szCs w:val="20"/>
        </w:rPr>
        <w:t xml:space="preserve">histological micrograph in T 3 </w:t>
      </w:r>
      <w:r w:rsidRPr="00603BAF">
        <w:rPr>
          <w:rFonts w:ascii="Arial" w:hAnsi="Arial" w:cs="Arial"/>
          <w:sz w:val="20"/>
          <w:szCs w:val="20"/>
        </w:rPr>
        <w:t>depicts unclear branching and striations of cardiac muscles (Thin arrows, →) and small oval or vacuolated pale structures (Circles,</w:t>
      </w:r>
      <w:r w:rsidR="00411E3D">
        <w:rPr>
          <w:rFonts w:ascii="Arial" w:hAnsi="Arial" w:cs="Arial"/>
          <w:sz w:val="20"/>
          <w:szCs w:val="20"/>
        </w:rPr>
        <w:t xml:space="preserve"> ο) in the cardiomyocytes. T 4 </w:t>
      </w:r>
      <w:r w:rsidRPr="00603BAF">
        <w:rPr>
          <w:rFonts w:ascii="Arial" w:hAnsi="Arial" w:cs="Arial"/>
          <w:sz w:val="20"/>
          <w:szCs w:val="20"/>
        </w:rPr>
        <w:t>on the other hand shows comparably moderate distinct striations and few oval and vacuolated (Circles, ο) structures in cardiomyocytes. The nuclei are well-distinct and regularly shaped</w:t>
      </w:r>
      <w:r>
        <w:rPr>
          <w:rFonts w:cs="Times New Roman"/>
        </w:rPr>
        <w:t>.</w:t>
      </w:r>
    </w:p>
    <w:p w14:paraId="01E7DC03" w14:textId="4DB43618" w:rsidR="000D34CA" w:rsidRPr="007F123F" w:rsidRDefault="000D34CA" w:rsidP="00214D7D">
      <w:pPr>
        <w:tabs>
          <w:tab w:val="left" w:pos="0"/>
        </w:tabs>
        <w:spacing w:line="480" w:lineRule="auto"/>
        <w:jc w:val="both"/>
        <w:rPr>
          <w:rFonts w:ascii="Arial" w:hAnsi="Arial" w:cs="Arial"/>
          <w:sz w:val="20"/>
          <w:szCs w:val="20"/>
        </w:rPr>
      </w:pPr>
      <w:r w:rsidRPr="007F123F">
        <w:rPr>
          <w:rFonts w:ascii="Arial" w:hAnsi="Arial" w:cs="Arial"/>
          <w:sz w:val="20"/>
          <w:szCs w:val="20"/>
        </w:rPr>
        <w:t>The histological micrograph of the Albino rats in treatment 1 (T1) sh</w:t>
      </w:r>
      <w:r w:rsidR="00E50BF7" w:rsidRPr="007F123F">
        <w:rPr>
          <w:rFonts w:ascii="Arial" w:hAnsi="Arial" w:cs="Arial"/>
          <w:sz w:val="20"/>
          <w:szCs w:val="20"/>
        </w:rPr>
        <w:t xml:space="preserve">owed a normal and healthy heart. </w:t>
      </w:r>
      <w:r w:rsidRPr="007F123F">
        <w:rPr>
          <w:rFonts w:ascii="Arial" w:hAnsi="Arial" w:cs="Arial"/>
          <w:sz w:val="20"/>
          <w:szCs w:val="20"/>
        </w:rPr>
        <w:t xml:space="preserve">This indicates that low levels of dietary fat and fibre in the diet did not have any recognizable adverse effect on heart function and health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DOI":"10.1136/bmj.322.7289.804/a","ISSN":"14685833","PMID":"31971737","author":[{"dropping-particle":"","family":"Bhandari","given":"Priyanka","non-dropping-particle":"","parse-names":false,"suffix":""},{"dropping-particle":"","family":"Sapra","given":"Amit","non-dropping-particle":"","parse-names":false,"suffix":""}],"container-title":"BMJ","id":"ITEM-1","issue":"7289","issued":{"date-parts":[["2023","2","6"]]},"page":"804","publisher":"StatPearls Publishing","title":"Low Fat Diet","type":"article-journal","volume":"322"},"uris":["http://www.mendeley.com/documents/?uuid=551bfec9-b8e0-3d92-8c4a-b9b6438e9e38"]}],"mendeley":{"formattedCitation":"(Bhandari &amp; Sapra, 2023)","plainTextFormattedCitation":"(Bhandari &amp; Sapra, 2023)","previouslyFormattedCitation":"(Bhandari &amp; Sapra, 2023)"},"properties":{"noteIndex":0},"schema":"https://github.com/citation-style-language/schema/raw/master/csl-citation.json"}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411E3D">
        <w:rPr>
          <w:rFonts w:ascii="Arial" w:hAnsi="Arial" w:cs="Arial"/>
          <w:noProof/>
          <w:sz w:val="20"/>
          <w:szCs w:val="20"/>
        </w:rPr>
        <w:t>42</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w:t>
      </w:r>
    </w:p>
    <w:p w14:paraId="04BA2A19" w14:textId="692F30F5" w:rsidR="00C74F6C" w:rsidRPr="007F123F" w:rsidRDefault="000D34CA" w:rsidP="00214D7D">
      <w:pPr>
        <w:tabs>
          <w:tab w:val="left" w:pos="0"/>
        </w:tabs>
        <w:spacing w:before="240" w:line="480" w:lineRule="auto"/>
        <w:jc w:val="both"/>
        <w:rPr>
          <w:rFonts w:ascii="Arial" w:hAnsi="Arial" w:cs="Arial"/>
          <w:sz w:val="20"/>
          <w:szCs w:val="20"/>
        </w:rPr>
      </w:pPr>
      <w:r w:rsidRPr="007F123F">
        <w:rPr>
          <w:rFonts w:ascii="Arial" w:hAnsi="Arial" w:cs="Arial"/>
          <w:sz w:val="20"/>
          <w:szCs w:val="20"/>
        </w:rPr>
        <w:t xml:space="preserve">Comparatively, that of the Albino rats in treatment 2 (T2) showed a normal and healthy heart architecture. Indicating that increasing the fibre content in the diet of the Albino rats in this study did not have a significant adverse effect on the histology and health of the heart. The high level of dietary fibre in the diet might have even improved the health of the heart as increasing the amount of dietary fibre has been associated with improved cardiovascular health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{"citationItems":[{"id":"ITEM-1","itemData":{"DOI":"10.1017/S0029665119000673","ISSN":"14752719","PMID":"31266545","abstract":"Dietary fibre comprises many different, mainly plant-based, compounds that are not fully digested in the human gut. Insoluble fibres include cellulose, hemi-celluloses and lignin and soluble fibres include pectins, β-glucan and hydro-colloids. In the UK, the daily recommended amount has increased to 30 g but only 13 % of men and 4 % of women meet this recommendation. Currently the mean intake for adults is 21 g for men and 17 g for women. There is a wealth of epidemiological evidence based on systematic reviews of trials and cohorts to support the higher fibre recommendation. This includes evidence of reductions in the risk for CVD (both heart disease and stroke) and lower risk of type 2 diabetes, lower blood pressure, lower LDL-cholesterol, as well as some cancers. Beneficial effects of fibre operate via a diverse range of mechanisms throughout the digestive system including the mouth, stomach and small and large intestine; some of which are still not completely understood. The updated recommendation for fibre is a long way from a typical British diet and requires several daily portions of fruit and vegetables and wholegrain foods. Improving dietary fibre intakes will require a variety of actions and policies from stakeholders; however, there is currently more of a focus on reducing sugar than increasing fibre. In order to increase the number of adults meeting the fibre recommendation, social marketing and labelling of high-fibre foods are warranted as well as reformulation and wider availability of wholegrain versions of popular foods.","author":[{"dropping-particle":"","family":"Evans","given":"Charlotte Elizabeth Louise","non-dropping-particle":"","parse-names":false,"suffix":""}],"container-title":"Proceedings of the Nutrition Society","id":"ITEM-1","issue":"1","issued":{"date-parts":[["2020"]]},"page":"61-67","title":"Dietary fibre and cardiovascular health: A review of current evidence and policy","type":"article-journal","volume":"79"},"uris":["http://www.mendeley.com/documents/?uuid=edeceaed-f618-4698-836e-dfbb961e211d"]}],"mendeley":{"formattedCitation":"(Evans, 2020)","plainTextFormattedCitation":"(Evans, 2020)","previouslyFormattedCitation":"(Evans, 2020)"},"properties":{"noteIndex":0},"schema":"https://github.com/citation-style-language/schema/raw/master/csl-citation.json"}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6B5F32">
        <w:rPr>
          <w:rFonts w:ascii="Arial" w:hAnsi="Arial" w:cs="Arial"/>
          <w:noProof/>
          <w:sz w:val="20"/>
          <w:szCs w:val="20"/>
        </w:rPr>
        <w:t>43</w:t>
      </w:r>
      <w:r w:rsidR="00763E5F" w:rsidRPr="007F123F">
        <w:rPr>
          <w:rFonts w:ascii="Arial" w:hAnsi="Arial" w:cs="Arial"/>
          <w:noProof/>
          <w:sz w:val="20"/>
          <w:szCs w:val="20"/>
        </w:rPr>
        <w:t>)</w:t>
      </w:r>
      <w:r w:rsidRPr="007F123F">
        <w:rPr>
          <w:rFonts w:ascii="Arial" w:hAnsi="Arial" w:cs="Arial"/>
          <w:sz w:val="20"/>
          <w:szCs w:val="20"/>
        </w:rPr>
        <w:fldChar w:fldCharType="end"/>
      </w:r>
      <w:r w:rsidR="00E50BF7" w:rsidRPr="007F123F">
        <w:rPr>
          <w:rFonts w:ascii="Arial" w:hAnsi="Arial" w:cs="Arial"/>
          <w:sz w:val="20"/>
          <w:szCs w:val="20"/>
        </w:rPr>
        <w:t>.</w:t>
      </w:r>
    </w:p>
    <w:p w14:paraId="06E8C194" w14:textId="4E530F3C" w:rsidR="00C74F6C" w:rsidRPr="007F123F" w:rsidRDefault="000D34CA" w:rsidP="00214D7D">
      <w:pPr>
        <w:tabs>
          <w:tab w:val="left" w:pos="0"/>
        </w:tabs>
        <w:spacing w:before="240" w:line="480" w:lineRule="auto"/>
        <w:jc w:val="both"/>
        <w:rPr>
          <w:rFonts w:ascii="Arial" w:hAnsi="Arial" w:cs="Arial"/>
          <w:sz w:val="20"/>
          <w:szCs w:val="20"/>
        </w:rPr>
      </w:pPr>
      <w:r w:rsidRPr="007F123F">
        <w:rPr>
          <w:rFonts w:ascii="Arial" w:hAnsi="Arial" w:cs="Arial"/>
          <w:sz w:val="20"/>
          <w:szCs w:val="20"/>
        </w:rPr>
        <w:t>The histological micrograph of Albino rats in treatment 3 (T3) revealed relatively unclear branching a</w:t>
      </w:r>
      <w:r w:rsidR="00E50BF7" w:rsidRPr="007F123F">
        <w:rPr>
          <w:rFonts w:ascii="Arial" w:hAnsi="Arial" w:cs="Arial"/>
          <w:sz w:val="20"/>
          <w:szCs w:val="20"/>
        </w:rPr>
        <w:t>nd striations of cardiomyocytes</w:t>
      </w:r>
      <w:r w:rsidRPr="007F123F">
        <w:rPr>
          <w:rFonts w:ascii="Arial" w:hAnsi="Arial" w:cs="Arial"/>
          <w:sz w:val="20"/>
          <w:szCs w:val="20"/>
        </w:rPr>
        <w:t xml:space="preserve"> and some oval vacuolated pale structures that closely resemble fat accumulation. The unclear or disrupted striations in cardiac muscle tissue could indicate damage or degeneration of the muscle fibres. The old age of the Albino rats coupled with the increased fat deposition could likely result in the unclear branching and striations observed in the heart tissues of T3. In older </w:t>
      </w:r>
      <w:r w:rsidRPr="007F123F">
        <w:rPr>
          <w:rFonts w:ascii="Arial" w:hAnsi="Arial" w:cs="Arial"/>
          <w:sz w:val="20"/>
          <w:szCs w:val="20"/>
        </w:rPr>
        <w:lastRenderedPageBreak/>
        <w:t xml:space="preserve">individuals, changes in the cardiac muscle structure can occur naturally, leading to alterations in striation patterns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URL":"https://medlineplus.gov/ency/article/004006.htm","accessed":{"date-parts":[["2023","9","21"]]},"author":[{"dropping-particle":"","family":"MedlinePlus","given":"","non-dropping-particle":"","parse-names":false,"suffix":""}],"container-title":"American Accreditation HealthCare Commission","id":"ITEM-1","issued":{"date-parts":[["2020"]]},"title":"Aging changes in the heart and blood vessels: MedlinePlus Medical Encyclopedia","type":"webpage"},"uris":["http://www.mendeley.com/documents/?uuid=35c8b14d-24b6-33d2-ac2f-6a4f11bd62c3"]}],"mendeley":{"formattedCitation":"(MedlinePlus, 2020)","plainTextFormattedCitation":"(MedlinePlus, 2020)","previouslyFormattedCitation":"(MedlinePlus, 2020)"},"properties":{"noteIndex":0},"schema":"https://github.com/citation-style-language/schema/raw/master/csl-citation.json"}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6B5F32">
        <w:rPr>
          <w:rFonts w:ascii="Arial" w:hAnsi="Arial" w:cs="Arial"/>
          <w:noProof/>
          <w:sz w:val="20"/>
          <w:szCs w:val="20"/>
        </w:rPr>
        <w:t>44</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The oval vacuolated pale structures could be attributed to fat deposition and accumulation in the heart, cellular inclusions or vacuoles containing various substances such as abnormal proteins or metabolic by-products. </w:t>
      </w:r>
    </w:p>
    <w:p w14:paraId="5B8EB1F4" w14:textId="00D90CF1" w:rsidR="007943CE" w:rsidRDefault="000D34CA" w:rsidP="00214D7D">
      <w:pPr>
        <w:tabs>
          <w:tab w:val="left" w:pos="0"/>
        </w:tabs>
        <w:spacing w:before="240" w:line="480" w:lineRule="auto"/>
        <w:jc w:val="both"/>
        <w:rPr>
          <w:rFonts w:ascii="Arial" w:hAnsi="Arial" w:cs="Arial"/>
          <w:sz w:val="20"/>
          <w:szCs w:val="20"/>
        </w:rPr>
      </w:pPr>
      <w:r w:rsidRPr="007F123F">
        <w:rPr>
          <w:rFonts w:ascii="Arial" w:hAnsi="Arial" w:cs="Arial"/>
          <w:sz w:val="20"/>
          <w:szCs w:val="20"/>
        </w:rPr>
        <w:t>Comparatively, the histology of the heart of Albino rats in treatment 4 (T4) showed</w:t>
      </w:r>
      <w:r w:rsidR="003005C4" w:rsidRPr="007F123F">
        <w:rPr>
          <w:rFonts w:ascii="Arial" w:hAnsi="Arial" w:cs="Arial"/>
          <w:sz w:val="20"/>
          <w:szCs w:val="20"/>
        </w:rPr>
        <w:t xml:space="preserve"> moderately distinct striations, </w:t>
      </w:r>
      <w:r w:rsidRPr="007F123F">
        <w:rPr>
          <w:rFonts w:ascii="Arial" w:hAnsi="Arial" w:cs="Arial"/>
          <w:sz w:val="20"/>
          <w:szCs w:val="20"/>
        </w:rPr>
        <w:t>branching of cardiac muscles and relatively few smaller oval vacuolated structures. This indicates that the increased level of dietary fibre might have mitigated some of the adverse effects on the heart caused by the high level of fat as seen in the histology of the heart of Albino rats in T3. This could be attributed to the health benefits and protection dietary fibre notably provides against cardiovascular</w:t>
      </w:r>
      <w:r w:rsidR="00AE4364" w:rsidRPr="007F123F">
        <w:rPr>
          <w:rFonts w:ascii="Arial" w:hAnsi="Arial" w:cs="Arial"/>
          <w:sz w:val="20"/>
          <w:szCs w:val="20"/>
        </w:rPr>
        <w:t xml:space="preserve"> diseases</w:t>
      </w:r>
      <w:r w:rsidRPr="007F123F">
        <w:rPr>
          <w:rFonts w:ascii="Arial" w:hAnsi="Arial" w:cs="Arial"/>
          <w:sz w:val="20"/>
          <w:szCs w:val="20"/>
        </w:rPr>
        <w:t xml:space="preserve">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{"citationItems":[{"id":"ITEM-1","itemData":{"URL":"https://www.health.harvard.edu/heart-health/high-fiber-diet-protects-against-cardiovascular-problems","accessed":{"date-parts":[["2023","9","21"]]},"author":[{"dropping-particle":"","family":"Havard Health Publishing","given":"","non-dropping-particle":"","parse-names":false,"suffix":""}],"id":"ITEM-1","issued":{"date-parts":[["2019"]]},"title":"High-fiber diet protects against cardiovascular problems - Harvard Health","type":"webpage"},"uris":["http://www.mendeley.com/documents/?uuid=10b10389-cbd9-35d5-87ce-431ea930e01f"]}],"mendeley":{"formattedCitation":"(Havard Health Publishing, 2019)","manualFormatting":"(McRae, 2017)","plainTextFormattedCitation":"(Havard Health Publishing, 2019)","previouslyFormattedCitation":"(Havard Health Publishing, 2019)"},"properties":{"noteIndex":0},"schema":"https://github.com/citation-style-language/schema/raw/master/csl-citation.json"}</w:instrText>
      </w:r>
      <w:r w:rsidRPr="007F123F">
        <w:rPr>
          <w:rFonts w:ascii="Arial" w:hAnsi="Arial" w:cs="Arial"/>
          <w:sz w:val="20"/>
          <w:szCs w:val="20"/>
        </w:rPr>
        <w:fldChar w:fldCharType="separate"/>
      </w:r>
      <w:r w:rsidRPr="007F123F">
        <w:rPr>
          <w:rFonts w:ascii="Arial" w:hAnsi="Arial" w:cs="Arial"/>
          <w:noProof/>
          <w:sz w:val="20"/>
          <w:szCs w:val="20"/>
        </w:rPr>
        <w:fldChar w:fldCharType="begin" w:fldLock="1"/>
      </w:r>
      <w:r w:rsidR="00336615" w:rsidRPr="007F123F">
        <w:rPr>
          <w:rFonts w:ascii="Arial" w:hAnsi="Arial" w:cs="Arial"/>
          <w:noProof/>
          <w:sz w:val="20"/>
          <w:szCs w:val="20"/>
        </w:rPr>
        <w:instrText>ADDIN CSL_CITATION {"citationItems":[{"id":"ITEM-1","itemData":{"DOI":"10.1016/J.JCM.2017.05.005","ISSN":"15563707","PMID":"29276461","abstract":"Objective The purpose of this study was to review previously published meta-analyses on the effectiveness of dietary fiber on cardiovascular disease. Methods An umbrella review of all published meta-analyses was performed. A PubMed search from January 1, 1980, to January 31, 2017, was conducted using the following search strategy: (fiber OR glucan OR psyllium OR fructans) AND (meta-analysis OR systematic review). Only English-language publications that provided quantitative statistical analysis on cardiovascular disease, lipid concentrations, or blood pressure were retrieved. Results Thirty-one meta-analyses were retrieved for inclusion in this umbrella review, and all meta-analyses comparing highest versus lowest dietary fiber intake reported statistically significant reductions in the relative risk (RR) of cardiovascular disease mortality (RR = 0.77-0.83), as well as the incidences of cardiovascular disease (RR = 0.72-0.91), coronary heart disease (RR = 0.76-0.93), and stroke (RR = 0.83-0.93). Meta-analyses on supplementation studies using β-glucan or psyllium fibers also reported statistically significant reductions in both total serum and low-density lipoprotein cholesterol concentrations. Conclusion This review suggests that individuals consuming the highest amounts of dietary fiber intake can significantly reduce their incidence and mortality from cardiovascular disease. Mechanistically, these beneficial effects may be due to dietary fibers’ actions on reducing total serum and low-density lipoprotein cholesterol concentrations between 9.3 to 14.7 mg/dL and 10.8 to 13.5 mg/dL, respectively.","author":[{"dropping-particle":"","family":"McRae","given":"Marc P.","non-dropping-particle":"","parse-names":false,"suffix":""}],"container-title":"Journal of Chiropractic Medicine","id":"ITEM-1","issue":"4","issued":{"date-parts":[["2017","12","1"]]},"page":"289","publisher":"Elsevier","title":"Dietary Fiber Is Beneficial for the Prevention of Cardiovascular Disease: An Umbrella Review of Meta-analyses","type":"article-journal","volume":"16"},"uris":["http://www.mendeley.com/documents/?uuid=e115b582-45d3-3adb-b54e-fc071649183c"]}],"mendeley":{"formattedCitation":"(McRae, 2017)","plainTextFormattedCitation":"(McRae, 2017)","previouslyFormattedCitation":"(McRae, 2017)"},"properties":{"noteIndex":0},"schema":"https://github.com/citation-style-language/schema/raw/master/csl-citation.json"}</w:instrText>
      </w:r>
      <w:r w:rsidRPr="007F123F">
        <w:rPr>
          <w:rFonts w:ascii="Arial" w:hAnsi="Arial" w:cs="Arial"/>
          <w:noProof/>
          <w:sz w:val="20"/>
          <w:szCs w:val="20"/>
        </w:rPr>
        <w:fldChar w:fldCharType="separate"/>
      </w:r>
      <w:r w:rsidR="00763E5F" w:rsidRPr="007F123F">
        <w:rPr>
          <w:rFonts w:ascii="Arial" w:hAnsi="Arial" w:cs="Arial"/>
          <w:noProof/>
          <w:sz w:val="20"/>
          <w:szCs w:val="20"/>
        </w:rPr>
        <w:t>(</w:t>
      </w:r>
      <w:r w:rsidR="006B5F32">
        <w:rPr>
          <w:rFonts w:ascii="Arial" w:hAnsi="Arial" w:cs="Arial"/>
          <w:noProof/>
          <w:sz w:val="20"/>
          <w:szCs w:val="20"/>
        </w:rPr>
        <w:t>45</w:t>
      </w:r>
      <w:r w:rsidR="00763E5F" w:rsidRPr="007F123F">
        <w:rPr>
          <w:rFonts w:ascii="Arial" w:hAnsi="Arial" w:cs="Arial"/>
          <w:noProof/>
          <w:sz w:val="20"/>
          <w:szCs w:val="20"/>
        </w:rPr>
        <w:t>)</w:t>
      </w:r>
      <w:r w:rsidRPr="007F123F">
        <w:rPr>
          <w:rFonts w:ascii="Arial" w:hAnsi="Arial" w:cs="Arial"/>
          <w:noProof/>
          <w:sz w:val="20"/>
          <w:szCs w:val="20"/>
        </w:rPr>
        <w:fldChar w:fldCharType="end"/>
      </w:r>
      <w:r w:rsidRPr="007F123F">
        <w:rPr>
          <w:rFonts w:ascii="Arial" w:hAnsi="Arial" w:cs="Arial"/>
          <w:sz w:val="20"/>
          <w:szCs w:val="20"/>
        </w:rPr>
        <w:fldChar w:fldCharType="end"/>
      </w:r>
      <w:r w:rsidRPr="007F123F">
        <w:rPr>
          <w:rFonts w:ascii="Arial" w:hAnsi="Arial" w:cs="Arial"/>
          <w:sz w:val="20"/>
          <w:szCs w:val="20"/>
        </w:rPr>
        <w:t>.</w:t>
      </w:r>
    </w:p>
    <w:p w14:paraId="22F14205" w14:textId="2877181A" w:rsidR="000D34CA" w:rsidRPr="007F123F" w:rsidRDefault="00603BAF" w:rsidP="004162EE">
      <w:pPr>
        <w:pStyle w:val="Heading3"/>
      </w:pPr>
      <w:r>
        <w:t xml:space="preserve">3.7.2 </w:t>
      </w:r>
      <w:r w:rsidR="000D34CA" w:rsidRPr="007F123F">
        <w:t>Liver</w:t>
      </w:r>
    </w:p>
    <w:p w14:paraId="56114BB9" w14:textId="77777777" w:rsidR="00054405" w:rsidRPr="00ED4A15" w:rsidRDefault="00054405" w:rsidP="0083042F">
      <w:pPr>
        <w:tabs>
          <w:tab w:val="left" w:pos="0"/>
        </w:tabs>
        <w:spacing w:line="360" w:lineRule="auto"/>
        <w:rPr>
          <w:rFonts w:ascii="Arial" w:hAnsi="Arial" w:cs="Arial"/>
          <w:sz w:val="20"/>
          <w:szCs w:val="20"/>
        </w:rPr>
      </w:pPr>
      <w:r w:rsidRPr="00ED4A15">
        <w:rPr>
          <w:rFonts w:ascii="Arial" w:hAnsi="Arial" w:cs="Arial"/>
          <w:sz w:val="20"/>
          <w:szCs w:val="20"/>
        </w:rPr>
        <w:t>Figure 2: Histological micrograph of Liver tissues (H &amp; E stained).</w:t>
      </w:r>
    </w:p>
    <w:p w14:paraId="7092CED2" w14:textId="6AC887EF" w:rsidR="00054405" w:rsidRPr="00ED4A15" w:rsidRDefault="00054405" w:rsidP="0083042F">
      <w:pPr>
        <w:tabs>
          <w:tab w:val="left" w:pos="0"/>
        </w:tabs>
        <w:spacing w:line="360" w:lineRule="auto"/>
        <w:rPr>
          <w:rFonts w:ascii="Arial" w:hAnsi="Arial" w:cs="Arial"/>
          <w:sz w:val="20"/>
          <w:szCs w:val="20"/>
        </w:rPr>
      </w:pPr>
    </w:p>
    <w:p w14:paraId="0391539B" w14:textId="77777777" w:rsidR="00054405" w:rsidRPr="00ED4A15" w:rsidRDefault="00054405" w:rsidP="0083042F">
      <w:pPr>
        <w:tabs>
          <w:tab w:val="left" w:pos="0"/>
        </w:tabs>
        <w:spacing w:before="240" w:line="480" w:lineRule="auto"/>
        <w:jc w:val="both"/>
        <w:rPr>
          <w:rFonts w:ascii="Arial" w:hAnsi="Arial" w:cs="Arial"/>
          <w:sz w:val="20"/>
          <w:szCs w:val="20"/>
        </w:rPr>
      </w:pPr>
      <w:r w:rsidRPr="00ED4A15">
        <w:rPr>
          <w:rFonts w:ascii="Arial" w:hAnsi="Arial" w:cs="Arial"/>
          <w:sz w:val="20"/>
          <w:szCs w:val="20"/>
        </w:rPr>
        <w:t xml:space="preserve">As shown in Figure 2 above, T 1 shows normal liver histology indicative of the relatively large oval central vein (C V) surrounded by a thin layer of hepatocytes. The presence of normal and regularly shaped oval nuclei (thin arrows, →). It also has a distinct normal portal tract architecture (P T) and normal sinusoids (pale spaces, thick arrow </w:t>
      </w:r>
      <w:r w:rsidRPr="00ED4A15">
        <w:rPr>
          <w:rFonts w:ascii="Segoe UI Symbol" w:hAnsi="Segoe UI Symbol" w:cs="Segoe UI Symbol"/>
          <w:sz w:val="20"/>
          <w:szCs w:val="20"/>
        </w:rPr>
        <w:t>➡</w:t>
      </w:r>
      <w:r w:rsidRPr="00ED4A15">
        <w:rPr>
          <w:rFonts w:ascii="Arial" w:hAnsi="Arial" w:cs="Arial"/>
          <w:sz w:val="20"/>
          <w:szCs w:val="20"/>
        </w:rPr>
        <w:t xml:space="preserve">). T 2 also displays a normal liver architecture with a relatively smaller central vein (C V) with distinct regularly oval-shaped nuclei (thin arrows, →). It also has normal sinusoids (pale spaces, thick arrows </w:t>
      </w:r>
      <w:r w:rsidRPr="00ED4A15">
        <w:rPr>
          <w:rFonts w:ascii="Segoe UI Symbol" w:hAnsi="Segoe UI Symbol" w:cs="Segoe UI Symbol"/>
          <w:sz w:val="20"/>
          <w:szCs w:val="20"/>
        </w:rPr>
        <w:t>➡</w:t>
      </w:r>
      <w:r w:rsidRPr="00ED4A15">
        <w:rPr>
          <w:rFonts w:ascii="Arial" w:hAnsi="Arial" w:cs="Arial"/>
          <w:sz w:val="20"/>
          <w:szCs w:val="20"/>
        </w:rPr>
        <w:t xml:space="preserve">). T 3 has a comparatively normal central vein (C V), a portal tract (P T), and moderately large nuclei (thin arrows, →). It also has some clear oval vacuolated structures (circle ο) and comparably large sinusoids and pale spaces (thick arrow </w:t>
      </w:r>
      <w:r w:rsidRPr="00ED4A15">
        <w:rPr>
          <w:rFonts w:ascii="Segoe UI Symbol" w:hAnsi="Segoe UI Symbol" w:cs="Segoe UI Symbol"/>
          <w:sz w:val="20"/>
          <w:szCs w:val="20"/>
        </w:rPr>
        <w:t>➡</w:t>
      </w:r>
      <w:r w:rsidRPr="00ED4A15">
        <w:rPr>
          <w:rFonts w:ascii="Arial" w:hAnsi="Arial" w:cs="Arial"/>
          <w:sz w:val="20"/>
          <w:szCs w:val="20"/>
        </w:rPr>
        <w:t xml:space="preserve">). T 4 on the other hand has a relatively larger central vein (C V), a portal tract (P T), few clear oval vacuolated structures (circle ο) and relatively moderate sinusoids (pale spaces (thick arrow </w:t>
      </w:r>
      <w:r w:rsidRPr="00ED4A15">
        <w:rPr>
          <w:rFonts w:ascii="Segoe UI Symbol" w:hAnsi="Segoe UI Symbol" w:cs="Segoe UI Symbol"/>
          <w:sz w:val="20"/>
          <w:szCs w:val="20"/>
        </w:rPr>
        <w:t>➡</w:t>
      </w:r>
      <w:r w:rsidRPr="00ED4A15">
        <w:rPr>
          <w:rFonts w:ascii="Arial" w:hAnsi="Arial" w:cs="Arial"/>
          <w:sz w:val="20"/>
          <w:szCs w:val="20"/>
        </w:rPr>
        <w:t xml:space="preserve">).  </w:t>
      </w:r>
    </w:p>
    <w:p w14:paraId="0A92C1D3" w14:textId="304997B9" w:rsidR="00C74F6C" w:rsidRPr="007F123F" w:rsidRDefault="000D34CA" w:rsidP="00214D7D">
      <w:pPr>
        <w:tabs>
          <w:tab w:val="left" w:pos="0"/>
        </w:tabs>
        <w:spacing w:line="480" w:lineRule="auto"/>
        <w:jc w:val="both"/>
        <w:rPr>
          <w:rFonts w:ascii="Arial" w:hAnsi="Arial" w:cs="Arial"/>
          <w:sz w:val="20"/>
          <w:szCs w:val="20"/>
        </w:rPr>
      </w:pPr>
      <w:r w:rsidRPr="007F123F">
        <w:rPr>
          <w:rFonts w:ascii="Arial" w:hAnsi="Arial" w:cs="Arial"/>
          <w:sz w:val="20"/>
          <w:szCs w:val="20"/>
        </w:rPr>
        <w:t xml:space="preserve">The histological micrograph of the liver of Albino rats in treatment 1 (T1) revealed normal and healthy liver histology very similar to that of the control group in the research study of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{"citationItems":[{"id":"ITEM-1","itemData":{"DOI":"10.1016/j.toxlet.2011.10.023","ISSN":"03784274","PMID":"22093918","abstract":"Acetaminophen (APAP) is a widely used analgesic and antipyretic drug, but at high dose it leads to undesirable side effects, such as hepatotoxicity and nephrotoxicity. The present study demonstrates the comparative hepatoprotective and nephroprotective activity of hesperidin (HD), a naturally occurring bioflavonoid against APAP induced toxicity. APAP induces hepatotoxicity and nephrotoxicity as was evident by abnormal deviation in the levels of antioxidant enzymes. Moreover, APAP induced renal damage by inducing apoptotic death and inflammation in renal tubular cells, manifested by an increase in the expression of caspase-3, caspase-9, NFkB, iNOS, Kim-1 and decrease in Bcl-2 expression. These results were further supported by the histopathological examination of kidney. All these features of APAP toxicity were reversed by the co-administration of HD. Therefore, our study favors the view that HD may be a useful modulator in alleviating APAP induced oxidative stress and toxicity. © 2011 Elsevier Ireland Ltd.","author":[{"dropping-particle":"","family":"Ahmad","given":"Shiekh Tanveer","non-dropping-particle":"","parse-names":false,"suffix":""},{"dropping-particle":"","family":"Arjumand","given":"Wani","non-dropping-particle":"","parse-names":false,"suffix":""},{"dropping-particle":"","family":"Nafees","given":"Sana","non-dropping-particle":"","parse-names":false,"suffix":""},{"dropping-particle":"","family":"Seth","given":"Amlesh","non-dropping-particle":"","parse-names":false,"suffix":""},{"dropping-particle":"","family":"Ali","given":"Nemat","non-dropping-particle":"","parse-names":false,"suffix":""},{"dropping-particle":"","family":"Rashid","given":"Summya","non-dropping-particle":"","parse-names":false,"suffix":""},{"dropping-particle":"","family":"Sultana","given":"Sarwat","non-dropping-particle":"","parse-names":false,"suffix":""}],"container-title":"Toxicology Letters","id":"ITEM-1","issue":"2","issued":{"date-parts":[["2012"]]},"page":"149-161","publisher":"Elsevier Ireland Ltd","title":"Hesperidin alleviates acetaminophen induced toxicity in wistar rats by abrogation of oxidative stress, apoptosis and inflammation","type":"article-journal","volume":"208"},"uris":["http://www.mendeley.com/documents/?uuid=9bf3281c-eece-4a6b-b3fc-bfef85d7d395"]}],"mendeley":{"formattedCitation":"(Ahmad et al., 2012)","plainTextFormattedCitation":"(Ahmad et al., 2012)","previouslyFormattedCitation":"(Ahmad et al., 2012)"},"properties":{"noteIndex":0},"schema":"https://github.com/citation-style-language/schema/raw/master/csl-citation.json"}</w:instrText>
      </w:r>
      <w:r w:rsidRPr="007F123F">
        <w:rPr>
          <w:rFonts w:ascii="Arial" w:hAnsi="Arial" w:cs="Arial"/>
          <w:sz w:val="20"/>
          <w:szCs w:val="20"/>
        </w:rPr>
        <w:fldChar w:fldCharType="separate"/>
      </w:r>
      <w:r w:rsidR="00AE4364" w:rsidRPr="007F123F">
        <w:rPr>
          <w:rFonts w:ascii="Arial" w:hAnsi="Arial" w:cs="Arial"/>
          <w:noProof/>
          <w:sz w:val="20"/>
          <w:szCs w:val="20"/>
        </w:rPr>
        <w:t>(</w:t>
      </w:r>
      <w:r w:rsidR="006C35E5">
        <w:rPr>
          <w:rFonts w:ascii="Arial" w:hAnsi="Arial" w:cs="Arial"/>
          <w:noProof/>
          <w:sz w:val="20"/>
          <w:szCs w:val="20"/>
        </w:rPr>
        <w:t>46</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This indicates that the low </w:t>
      </w:r>
      <w:r w:rsidRPr="007F123F">
        <w:rPr>
          <w:rFonts w:ascii="Arial" w:hAnsi="Arial" w:cs="Arial"/>
          <w:sz w:val="20"/>
          <w:szCs w:val="20"/>
        </w:rPr>
        <w:lastRenderedPageBreak/>
        <w:t xml:space="preserve">levels of fat and fibre in the treatment diet did not have any recognizable adverse effect on the histology and function of the liver. </w:t>
      </w:r>
    </w:p>
    <w:p w14:paraId="57B866CA" w14:textId="3302F87B" w:rsidR="00C74F6C" w:rsidRPr="007F123F" w:rsidRDefault="000D34CA" w:rsidP="00214D7D">
      <w:pPr>
        <w:tabs>
          <w:tab w:val="left" w:pos="0"/>
        </w:tabs>
        <w:spacing w:before="240" w:line="480" w:lineRule="auto"/>
        <w:jc w:val="both"/>
        <w:rPr>
          <w:rFonts w:ascii="Arial" w:hAnsi="Arial" w:cs="Arial"/>
          <w:sz w:val="20"/>
          <w:szCs w:val="20"/>
        </w:rPr>
      </w:pPr>
      <w:r w:rsidRPr="007F123F">
        <w:rPr>
          <w:rFonts w:ascii="Arial" w:hAnsi="Arial" w:cs="Arial"/>
          <w:sz w:val="20"/>
          <w:szCs w:val="20"/>
        </w:rPr>
        <w:t xml:space="preserve">A relatively small central vein in the liver histology of T2 indicates that there is no significant dilation or enlargement of the central vein, which is a typical feature of a healthy liver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URL":"https://www.kenhub.com/en/library/anatomy/liver-histology","accessed":{"date-parts":[["2023","12","1"]]},"author":[{"dropping-particle":"","family":"Rad","given":"Adrian","non-dropping-particle":"","parse-names":false,"suffix":""}],"container-title":"Kenhub","id":"ITEM-1","issued":{"date-parts":[["2021"]]},"title":"Liver Histology: Structure, Cells and Characteristics","type":"webpage"},"uris":["http://www.mendeley.com/documents/?uuid=07014fa6-7829-33e0-9eb5-eb057c000ac0"]}],"mendeley":{"formattedCitation":"(Rad, 2021)","plainTextFormattedCitation":"(Rad, 2021)","previouslyFormattedCitation":"(Rad, 2021)"},"properties":{"noteIndex":0},"schema":"https://github.com/citation-style-language/schema/raw/master/csl-citation.json"}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6C35E5">
        <w:rPr>
          <w:rFonts w:ascii="Arial" w:hAnsi="Arial" w:cs="Arial"/>
          <w:noProof/>
          <w:sz w:val="20"/>
          <w:szCs w:val="20"/>
        </w:rPr>
        <w:t>47</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It also suggests a well-regulated blood flow within the liver. The distinct and regularly oval-shaped nuclei in the hepatocytes indicate that they were healthy and well-preserved to maintain their normal morphology. The presence of very few pale spaces</w:t>
      </w:r>
      <w:r w:rsidR="003005C4" w:rsidRPr="007F123F">
        <w:rPr>
          <w:rFonts w:ascii="Arial" w:hAnsi="Arial" w:cs="Arial"/>
          <w:sz w:val="20"/>
          <w:szCs w:val="20"/>
        </w:rPr>
        <w:t xml:space="preserve"> (sinusoids)</w:t>
      </w:r>
      <w:r w:rsidRPr="007F123F">
        <w:rPr>
          <w:rFonts w:ascii="Arial" w:hAnsi="Arial" w:cs="Arial"/>
          <w:sz w:val="20"/>
          <w:szCs w:val="20"/>
        </w:rPr>
        <w:t xml:space="preserve"> suggests no significant accumulation of fat or abnormal substances</w:t>
      </w:r>
      <w:r w:rsidR="00794149" w:rsidRPr="007F123F">
        <w:rPr>
          <w:rFonts w:ascii="Arial" w:hAnsi="Arial" w:cs="Arial"/>
          <w:sz w:val="20"/>
          <w:szCs w:val="20"/>
        </w:rPr>
        <w:t>,</w:t>
      </w:r>
      <w:r w:rsidR="003005C4" w:rsidRPr="007F123F">
        <w:rPr>
          <w:rFonts w:ascii="Arial" w:hAnsi="Arial" w:cs="Arial"/>
          <w:sz w:val="20"/>
          <w:szCs w:val="20"/>
        </w:rPr>
        <w:t xml:space="preserve"> suggesting a well-maintained blood supply </w:t>
      </w:r>
      <w:r w:rsidR="003005C4" w:rsidRPr="007F123F">
        <w:rPr>
          <w:rFonts w:ascii="Arial" w:hAnsi="Arial" w:cs="Arial"/>
          <w:sz w:val="20"/>
          <w:szCs w:val="20"/>
        </w:rPr>
        <w:fldChar w:fldCharType="begin" w:fldLock="1"/>
      </w:r>
      <w:r w:rsidR="003005C4" w:rsidRPr="007F123F">
        <w:rPr>
          <w:rFonts w:ascii="Arial" w:hAnsi="Arial" w:cs="Arial"/>
          <w:sz w:val="20"/>
          <w:szCs w:val="20"/>
        </w:rPr>
        <w:instrText>ADDIN CSL_CITATION {"citationItems":[{"id":"ITEM-1","itemData":{"URL":"https://www.kenhub.com/en/library/anatomy/liver-histology","accessed":{"date-parts":[["2023","12","1"]]},"author":[{"dropping-particle":"","family":"Rad","given":"Adrian","non-dropping-particle":"","parse-names":false,"suffix":""}],"container-title":"Kenhub","id":"ITEM-1","issued":{"date-parts":[["2021"]]},"title":"Liver Histology: Structure, Cells and Characteristics","type":"webpage"},"uris":["http://www.mendeley.com/documents/?uuid=07014fa6-7829-33e0-9eb5-eb057c000ac0"]}],"mendeley":{"formattedCitation":"(Rad, 2021)","plainTextFormattedCitation":"(Rad, 2021)","previouslyFormattedCitation":"(Rad, 2021)"},"properties":{"noteIndex":0},"schema":"https://github.com/citation-style-language/schema/raw/master/csl-citation.json"}</w:instrText>
      </w:r>
      <w:r w:rsidR="003005C4" w:rsidRPr="007F123F">
        <w:rPr>
          <w:rFonts w:ascii="Arial" w:hAnsi="Arial" w:cs="Arial"/>
          <w:sz w:val="20"/>
          <w:szCs w:val="20"/>
        </w:rPr>
        <w:fldChar w:fldCharType="separate"/>
      </w:r>
      <w:r w:rsidR="003005C4" w:rsidRPr="007F123F">
        <w:rPr>
          <w:rFonts w:ascii="Arial" w:hAnsi="Arial" w:cs="Arial"/>
          <w:noProof/>
          <w:sz w:val="20"/>
          <w:szCs w:val="20"/>
        </w:rPr>
        <w:t>(</w:t>
      </w:r>
      <w:r w:rsidR="006C35E5">
        <w:rPr>
          <w:rFonts w:ascii="Arial" w:hAnsi="Arial" w:cs="Arial"/>
          <w:noProof/>
          <w:sz w:val="20"/>
          <w:szCs w:val="20"/>
        </w:rPr>
        <w:t>47</w:t>
      </w:r>
      <w:r w:rsidR="003005C4" w:rsidRPr="007F123F">
        <w:rPr>
          <w:rFonts w:ascii="Arial" w:hAnsi="Arial" w:cs="Arial"/>
          <w:noProof/>
          <w:sz w:val="20"/>
          <w:szCs w:val="20"/>
        </w:rPr>
        <w:t>)</w:t>
      </w:r>
      <w:r w:rsidR="003005C4" w:rsidRPr="007F123F">
        <w:rPr>
          <w:rFonts w:ascii="Arial" w:hAnsi="Arial" w:cs="Arial"/>
          <w:sz w:val="20"/>
          <w:szCs w:val="20"/>
        </w:rPr>
        <w:fldChar w:fldCharType="end"/>
      </w:r>
      <w:r w:rsidRPr="007F123F">
        <w:rPr>
          <w:rFonts w:ascii="Arial" w:hAnsi="Arial" w:cs="Arial"/>
          <w:sz w:val="20"/>
          <w:szCs w:val="20"/>
        </w:rPr>
        <w:t xml:space="preserve">. Increased fibre </w:t>
      </w:r>
      <w:r w:rsidR="003005C4" w:rsidRPr="007F123F">
        <w:rPr>
          <w:rFonts w:ascii="Arial" w:hAnsi="Arial" w:cs="Arial"/>
          <w:sz w:val="20"/>
          <w:szCs w:val="20"/>
        </w:rPr>
        <w:t>intake</w:t>
      </w:r>
      <w:r w:rsidRPr="007F123F">
        <w:rPr>
          <w:rFonts w:ascii="Arial" w:hAnsi="Arial" w:cs="Arial"/>
          <w:sz w:val="20"/>
          <w:szCs w:val="20"/>
        </w:rPr>
        <w:t xml:space="preserve"> </w:t>
      </w:r>
      <w:r w:rsidR="00FB3D6E">
        <w:rPr>
          <w:rFonts w:ascii="Arial" w:hAnsi="Arial" w:cs="Arial"/>
          <w:sz w:val="20"/>
          <w:szCs w:val="20"/>
        </w:rPr>
        <w:t>improves</w:t>
      </w:r>
      <w:r w:rsidRPr="007F123F">
        <w:rPr>
          <w:rFonts w:ascii="Arial" w:hAnsi="Arial" w:cs="Arial"/>
          <w:sz w:val="20"/>
          <w:szCs w:val="20"/>
        </w:rPr>
        <w:t xml:space="preserve"> liver health by eliminating toxins and reducing the </w:t>
      </w:r>
      <w:r w:rsidR="003005C4" w:rsidRPr="007F123F">
        <w:rPr>
          <w:rFonts w:ascii="Arial" w:hAnsi="Arial" w:cs="Arial"/>
          <w:sz w:val="20"/>
          <w:szCs w:val="20"/>
        </w:rPr>
        <w:t xml:space="preserve">workload of the liver and kidney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{"citationItems":[{"id":"ITEM-1","itemData":{"DOI":"10.3390/NU12103209","ISSN":"20726643","PMID":"33096647","abstract":"Background: Dietary fibre consists of non-digestible forms of carbohydrate, usually as polysaccharides that originate from plant-based foods. Over recent decades, our diet within Westernised societies has changed radically from that of our hominid ancestors, with implications for our co-evolved gut microbiota. This includes increased ingestion of ultra-processed foods that are typically impoverished of dietary fibre, and associated reduction in the intake of fibre-replete plant-based foods. Over recent decades, there has been a transformation in our understanding of the health benefits of dietary fibre. Objective: To explore the current medical literature on the health benefits of dietary fibre, with a focus on overall metabolic health. Data Sources: We performed a narrative review, based on relevant articles written in English from a PubMed search, using the terms ‘dietary fibre and metabolic health’. Results: In the Western world, our diets are impoverished of fibre. Dietary fibre intake associates with overall metabolic health (through key pathways that include insulin sensitivity) and a variety of other pathologies that include cardiovascular disease, colonic health, gut motility and risk for colorectal carcinoma. Dietary fibre intake also correlates with mortality. The gut microflora functions as an important mediator of the beneficial effects of dietary fibre, including the regulation of appetite, metabolic processes and chronic inflammatory pathways. Conclusions: Multiple factors contribute to our fibre-impoverished modern diet. Given the plethora of scientific evidence that corroborate the multiple and varied health benefits of dietary fibre, and the risks associated with a diet that lacks fibre, the optimization of fibre within our diets represents an important public health strategy to improve both metabolic and overall health. If implemented successfully, this strategy would likely result in substantial future health benefits for the population.","author":[{"dropping-particle":"","family":"Barber","given":"Thomas M.","non-dropping-particle":"","parse-names":false,"suffix":""},{"dropping-particle":"","family":"Kabisch","given":"Stefan","non-dropping-particle":"","parse-names":false,"suffix":""},{"dropping-particle":"","family":"Pfeiffer","given":"Andreas F.H.","non-dropping-particle":"","parse-names":false,"suffix":""},{"dropping-particle":"","family":"Weickert","given":"Martin O.","non-dropping-particle":"","parse-names":false,"suffix":""}],"container-title":"Nutrients","id":"ITEM-1","issue":"10","issued":{"date-parts":[["2020","10","1"]]},"page":"1-17","publisher":"MDPI AG","title":"The health benefits of dietary fibre","type":"article-journal","volume":"12"},"uris":["http://www.mendeley.com/documents/?uuid=6e1ee1a7-3d7e-3726-9fdb-f4d4995a7ef6"]}],"mendeley":{"formattedCitation":"(Barber et al., 2020)","plainTextFormattedCitation":"(Barber et al., 2020)","previouslyFormattedCitation":"(Barber et al., 2020)"},"properties":{"noteIndex":0},"schema":"https://github.com/citation-style-language/schema/raw/master/csl-citation.json"}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6C35E5">
        <w:rPr>
          <w:rFonts w:ascii="Arial" w:hAnsi="Arial" w:cs="Arial"/>
          <w:noProof/>
          <w:sz w:val="20"/>
          <w:szCs w:val="20"/>
        </w:rPr>
        <w:t>48</w:t>
      </w:r>
      <w:r w:rsidR="00763E5F" w:rsidRPr="007F123F">
        <w:rPr>
          <w:rFonts w:ascii="Arial" w:hAnsi="Arial" w:cs="Arial"/>
          <w:noProof/>
          <w:sz w:val="20"/>
          <w:szCs w:val="20"/>
        </w:rPr>
        <w:t>)</w:t>
      </w:r>
      <w:r w:rsidRPr="007F123F">
        <w:rPr>
          <w:rFonts w:ascii="Arial" w:hAnsi="Arial" w:cs="Arial"/>
          <w:sz w:val="20"/>
          <w:szCs w:val="20"/>
        </w:rPr>
        <w:fldChar w:fldCharType="end"/>
      </w:r>
      <w:r w:rsidR="003005C4" w:rsidRPr="007F123F">
        <w:rPr>
          <w:rFonts w:ascii="Arial" w:hAnsi="Arial" w:cs="Arial"/>
          <w:sz w:val="20"/>
          <w:szCs w:val="20"/>
        </w:rPr>
        <w:t>.</w:t>
      </w:r>
      <w:r w:rsidR="002E637B" w:rsidRPr="007F123F">
        <w:rPr>
          <w:rFonts w:ascii="Arial" w:hAnsi="Arial" w:cs="Arial"/>
          <w:sz w:val="20"/>
          <w:szCs w:val="20"/>
        </w:rPr>
        <w:t xml:space="preserve"> </w:t>
      </w:r>
    </w:p>
    <w:p w14:paraId="0DCBD0F0" w14:textId="5AA77F98" w:rsidR="00C74F6C" w:rsidRPr="007F123F" w:rsidRDefault="000D34CA" w:rsidP="00214D7D">
      <w:pPr>
        <w:tabs>
          <w:tab w:val="left" w:pos="0"/>
        </w:tabs>
        <w:spacing w:before="240" w:line="480" w:lineRule="auto"/>
        <w:jc w:val="both"/>
        <w:rPr>
          <w:rFonts w:ascii="Arial" w:hAnsi="Arial" w:cs="Arial"/>
          <w:sz w:val="20"/>
          <w:szCs w:val="20"/>
        </w:rPr>
      </w:pPr>
      <w:r w:rsidRPr="007F123F">
        <w:rPr>
          <w:rFonts w:ascii="Arial" w:hAnsi="Arial" w:cs="Arial"/>
          <w:sz w:val="20"/>
          <w:szCs w:val="20"/>
        </w:rPr>
        <w:t>A dilated sinusoid might indicate an increase in blood flow, inflammation or congestion. This could be a result of the higher level of fat in that diet, which could have led to the accumulation and storage of excess fat in the liver cells.</w:t>
      </w:r>
    </w:p>
    <w:p w14:paraId="53FF0FE9" w14:textId="5B3D21AF" w:rsidR="00C74F6C" w:rsidRPr="007F123F" w:rsidRDefault="000D34CA" w:rsidP="00214D7D">
      <w:pPr>
        <w:tabs>
          <w:tab w:val="left" w:pos="0"/>
        </w:tabs>
        <w:spacing w:before="240" w:line="480" w:lineRule="auto"/>
        <w:jc w:val="both"/>
        <w:rPr>
          <w:rFonts w:ascii="Arial" w:hAnsi="Arial" w:cs="Arial"/>
          <w:sz w:val="20"/>
          <w:szCs w:val="20"/>
        </w:rPr>
      </w:pPr>
      <w:r w:rsidRPr="007F123F">
        <w:rPr>
          <w:rFonts w:ascii="Arial" w:hAnsi="Arial" w:cs="Arial"/>
          <w:sz w:val="20"/>
          <w:szCs w:val="20"/>
        </w:rPr>
        <w:t xml:space="preserve">Comparably the histology of the liver of Albino rats in treatment 4 (T4) </w:t>
      </w:r>
      <w:r w:rsidR="008875B0">
        <w:rPr>
          <w:rFonts w:ascii="Arial" w:hAnsi="Arial" w:cs="Arial"/>
          <w:sz w:val="20"/>
          <w:szCs w:val="20"/>
        </w:rPr>
        <w:t>revealed</w:t>
      </w:r>
      <w:r w:rsidRPr="007F123F">
        <w:rPr>
          <w:rFonts w:ascii="Arial" w:hAnsi="Arial" w:cs="Arial"/>
          <w:sz w:val="20"/>
          <w:szCs w:val="20"/>
        </w:rPr>
        <w:t xml:space="preserve"> a relatively large central vein (CV) </w:t>
      </w:r>
      <w:r w:rsidR="00B24D79" w:rsidRPr="007F123F">
        <w:rPr>
          <w:rFonts w:ascii="Arial" w:hAnsi="Arial" w:cs="Arial"/>
          <w:sz w:val="20"/>
          <w:szCs w:val="20"/>
        </w:rPr>
        <w:t>which indicates a</w:t>
      </w:r>
      <w:r w:rsidR="00822E74" w:rsidRPr="007F123F">
        <w:rPr>
          <w:rFonts w:ascii="Arial" w:hAnsi="Arial" w:cs="Arial"/>
          <w:sz w:val="20"/>
          <w:szCs w:val="20"/>
        </w:rPr>
        <w:t>n increased metabolic activity</w:t>
      </w:r>
      <w:r w:rsidR="00554AD0">
        <w:rPr>
          <w:rFonts w:ascii="Arial" w:hAnsi="Arial" w:cs="Arial"/>
          <w:sz w:val="20"/>
          <w:szCs w:val="20"/>
        </w:rPr>
        <w:t xml:space="preserve"> </w:t>
      </w:r>
      <w:r w:rsidR="00B24D79" w:rsidRPr="007F123F">
        <w:rPr>
          <w:rFonts w:ascii="Arial" w:hAnsi="Arial" w:cs="Arial"/>
          <w:sz w:val="20"/>
          <w:szCs w:val="20"/>
        </w:rPr>
        <w:t>or</w:t>
      </w:r>
      <w:r w:rsidRPr="007F123F">
        <w:rPr>
          <w:rFonts w:ascii="Arial" w:hAnsi="Arial" w:cs="Arial"/>
          <w:sz w:val="20"/>
          <w:szCs w:val="20"/>
        </w:rPr>
        <w:t xml:space="preserve"> CV </w:t>
      </w:r>
      <w:r w:rsidR="00822E74" w:rsidRPr="007F123F">
        <w:rPr>
          <w:rFonts w:ascii="Arial" w:hAnsi="Arial" w:cs="Arial"/>
          <w:sz w:val="20"/>
          <w:szCs w:val="20"/>
        </w:rPr>
        <w:t>which is</w:t>
      </w:r>
      <w:r w:rsidR="0089478F" w:rsidRPr="007F123F">
        <w:rPr>
          <w:rFonts w:ascii="Arial" w:hAnsi="Arial" w:cs="Arial"/>
          <w:sz w:val="20"/>
          <w:szCs w:val="20"/>
        </w:rPr>
        <w:t xml:space="preserve"> not shrunken or</w:t>
      </w:r>
      <w:r w:rsidRPr="007F123F">
        <w:rPr>
          <w:rFonts w:ascii="Arial" w:hAnsi="Arial" w:cs="Arial"/>
          <w:sz w:val="20"/>
          <w:szCs w:val="20"/>
        </w:rPr>
        <w:t xml:space="preserve"> congested </w:t>
      </w:r>
      <w:r w:rsidR="00822E74" w:rsidRPr="007F123F">
        <w:rPr>
          <w:rFonts w:ascii="Arial" w:hAnsi="Arial" w:cs="Arial"/>
          <w:sz w:val="20"/>
          <w:szCs w:val="20"/>
        </w:rPr>
        <w:t>to ensure</w:t>
      </w:r>
      <w:r w:rsidR="0089478F" w:rsidRPr="007F123F">
        <w:rPr>
          <w:rFonts w:ascii="Arial" w:hAnsi="Arial" w:cs="Arial"/>
          <w:sz w:val="20"/>
          <w:szCs w:val="20"/>
        </w:rPr>
        <w:t xml:space="preserve"> a well-maintained </w:t>
      </w:r>
      <w:r w:rsidRPr="007F123F">
        <w:rPr>
          <w:rFonts w:ascii="Arial" w:hAnsi="Arial" w:cs="Arial"/>
          <w:sz w:val="20"/>
          <w:szCs w:val="20"/>
        </w:rPr>
        <w:t xml:space="preserve">blood flow within the </w:t>
      </w:r>
      <w:r w:rsidR="00822E74" w:rsidRPr="007F123F">
        <w:rPr>
          <w:rFonts w:ascii="Arial" w:hAnsi="Arial" w:cs="Arial"/>
          <w:sz w:val="20"/>
          <w:szCs w:val="20"/>
        </w:rPr>
        <w:t>hepatic vasculature</w:t>
      </w:r>
      <w:r w:rsidRPr="007F123F">
        <w:rPr>
          <w:rFonts w:ascii="Arial" w:hAnsi="Arial" w:cs="Arial"/>
          <w:sz w:val="20"/>
          <w:szCs w:val="20"/>
        </w:rPr>
        <w:t>. The observed regular portal tract architecture in T4 suggests that the anatomical structures responsible for exchanging nutrients, metabolites, and waste products between the liver and the bloodstream are intact and functioning normally. The presence of few clear vacuolated structures in T4, compared to T3, indicates a lower accumulation of lipid droplets or fat within the hepatocytes. This observation suggests there is less risk or occurrence of hepatic steatosis (fatty liver) in T4 than in T3.</w:t>
      </w:r>
    </w:p>
    <w:p w14:paraId="7F57AFAC" w14:textId="4EA6B266" w:rsidR="000D34CA" w:rsidRPr="007F123F" w:rsidRDefault="000D34CA" w:rsidP="00214D7D">
      <w:pPr>
        <w:tabs>
          <w:tab w:val="left" w:pos="0"/>
        </w:tabs>
        <w:spacing w:before="240" w:line="480" w:lineRule="auto"/>
        <w:jc w:val="both"/>
        <w:rPr>
          <w:rFonts w:ascii="Arial" w:hAnsi="Arial" w:cs="Arial"/>
          <w:sz w:val="20"/>
          <w:szCs w:val="20"/>
        </w:rPr>
      </w:pPr>
      <w:r w:rsidRPr="007F123F">
        <w:rPr>
          <w:rFonts w:ascii="Arial" w:hAnsi="Arial" w:cs="Arial"/>
          <w:sz w:val="20"/>
          <w:szCs w:val="20"/>
        </w:rPr>
        <w:t xml:space="preserve">Few clear vacuolated structures and pale spaces were observed in T4 compared to that of T3 suggesting that the increased level of fibre in the diet might have reduced the fat accumulation seen in T3. The high-fat diet's impact in this study did not significantly affect the liver compared to the findings of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{"citationItems":[{"id":"ITEM-1","itemData":{"DOI":"10.1186/1743-7075-8-65/FIGURES/4","ISSN":"17437075","abstract":"Background: Trans-fatty acids (TFA) are known as a risk factor for coronary artery diseases, insulin resistance and obesity accompanied by systemic inflammation, the features of metabolic syndrome. Little is known about the effects on the liver induced by lipids and also few studies are focused on the effect of foods rich in TFAs on hepatic functions and oxidative stress. This study investigates whether high-fat diets with different TFA levels induce oxidative stress and liver dysfunction in rats. Methods. Male Wistar rats were divided randomly into four groups (n = 12/group): C receiving standard-chow; Experimental groups that were fed high-fat diet included 20% fresh soybean oil diet (FSO), 20% oxidized soybean oil diet (OSO) and 20% margarine diet (MG). Each group was kept on the treatment for 4 weeks. Results: A liver damage was observed in rats fed with high-fat diet via increase of liver lipid peroxidation and decreased hepatic antioxidant enzyme activities (superoxide dismutase, catalase and glutathione peroxidase). The intake of oxidized oil led to higher levels of lipid peroxidation and a lower concentration of plasma antioxidants in comparison to rats fed with FSO. The higher inflammatory response in the liver was induced by MG diet. Liver histopathology from OSO and MG groups showed respectively moderate to severe cytoplasm vacuolation, hypatocyte hypertrophy, hepatocyte ballooning, and necroinflammation. Conclusion: It seems that a strong relationship exists between the consumption of TFA in the oxidized oils and lipid peroxidation and non alcoholic fatty liver disease (NAFLD). The extent of the peroxidative events in liver was also different depending on the fat source suggesting that feeding margarine with higher TFA levels may represent a direct source of oxidative stress for the organism. The present study provides evidence for a direct effect of TFA on NAFLD. © 2011 Dhibi et al; licensee BioMed Central Ltd.","author":[{"dropping-particle":"","family":"Dhibi","given":"Madiha","non-dropping-particle":"","parse-names":false,"suffix":""},{"dropping-particle":"","family":"Brahmi","given":"Faten","non-dropping-particle":"","parse-names":false,"suffix":""},{"dropping-particle":"","family":"Mnari","given":"Amira","non-dropping-particle":"","parse-names":false,"suffix":""},{"dropping-particle":"","family":"Houas","given":"Zohra","non-dropping-particle":"","parse-names":false,"suffix":""},{"dropping-particle":"","family":"Chargui","given":"Issam","non-dropping-particle":"","parse-names":false,"suffix":""},{"dropping-particle":"","family":"Bchir","given":"Linda","non-dropping-particle":"","parse-names":false,"suffix":""},{"dropping-particle":"","family":"Gazzah","given":"Noureddine","non-dropping-particle":"","parse-names":false,"suffix":""},{"dropping-particle":"","family":"Alsaif","given":"Mohammed A.","non-dropping-particle":"","parse-names":false,"suffix":""},{"dropping-particle":"","family":"Hammami","given":"Mohamed","non-dropping-particle":"","parse-names":false,"suffix":""}],"container-title":"Nutrition and Metabolism","id":"ITEM-1","issue":"1","issued":{"date-parts":[["2011","9","23"]]},"page":"1-12","publisher":"BioMed Central","title":"The intake of high fat diet with different trans fatty acid levels differentially induces oxidative stress and non alcoholic fatty liver disease (NAFLD) in rats","type":"article-journal","volume":"8"},"uris":["http://www.mendeley.com/documents/?uuid=995360a7-c953-3095-8746-172b4e7309f0"]}],"mendeley":{"formattedCitation":"(Dhibi et al., 2011)","plainTextFormattedCitation":"(Dhibi et al., 2011)","previouslyFormattedCitation":"(Dhibi et al., 2011)"},"properties":{"noteIndex":0},"schema":"https://github.com/citation-style-language/schema/raw/master/csl-citation.json"}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6C35E5">
        <w:rPr>
          <w:rFonts w:ascii="Arial" w:hAnsi="Arial" w:cs="Arial"/>
          <w:noProof/>
          <w:sz w:val="20"/>
          <w:szCs w:val="20"/>
        </w:rPr>
        <w:t>50</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This disparity could be attributed to the notably higher fat percentage (20 %) and the type of fat used (trans-fatty acids) in contrast to the 3.04 % - 6.16 % proportions of coconut oil used in this study.</w:t>
      </w:r>
    </w:p>
    <w:p w14:paraId="61FB67C5" w14:textId="758D64E1" w:rsidR="000D34CA" w:rsidRPr="007F123F" w:rsidRDefault="00603BAF" w:rsidP="004162EE">
      <w:pPr>
        <w:pStyle w:val="Heading3"/>
      </w:pPr>
      <w:r>
        <w:lastRenderedPageBreak/>
        <w:t>3.7.</w:t>
      </w:r>
      <w:r w:rsidR="00054405">
        <w:t>3</w:t>
      </w:r>
      <w:r>
        <w:t xml:space="preserve"> </w:t>
      </w:r>
      <w:r w:rsidR="000D34CA" w:rsidRPr="007F123F">
        <w:t>Kidney</w:t>
      </w:r>
    </w:p>
    <w:p w14:paraId="23A56392" w14:textId="77777777" w:rsidR="00214D7D" w:rsidRPr="00EC3662" w:rsidRDefault="00214D7D" w:rsidP="00214D7D">
      <w:pPr>
        <w:tabs>
          <w:tab w:val="left" w:pos="0"/>
        </w:tabs>
        <w:spacing w:line="360" w:lineRule="auto"/>
        <w:rPr>
          <w:rFonts w:ascii="Arial" w:hAnsi="Arial" w:cs="Arial"/>
          <w:sz w:val="20"/>
          <w:szCs w:val="20"/>
        </w:rPr>
      </w:pPr>
      <w:r w:rsidRPr="00EC3662">
        <w:rPr>
          <w:rFonts w:ascii="Arial" w:hAnsi="Arial" w:cs="Arial"/>
          <w:sz w:val="20"/>
          <w:szCs w:val="20"/>
        </w:rPr>
        <w:t>Figure 3: Histological micrograph of Kidney tissues (H &amp; E stained)</w:t>
      </w:r>
    </w:p>
    <w:p w14:paraId="42A14138" w14:textId="2A13DC1A" w:rsidR="00214D7D" w:rsidRDefault="00214D7D" w:rsidP="00214D7D">
      <w:pPr>
        <w:tabs>
          <w:tab w:val="left" w:pos="0"/>
        </w:tabs>
        <w:spacing w:line="480" w:lineRule="auto"/>
        <w:jc w:val="both"/>
        <w:rPr>
          <w:rFonts w:ascii="Arial" w:hAnsi="Arial" w:cs="Arial"/>
          <w:sz w:val="20"/>
          <w:szCs w:val="20"/>
        </w:rPr>
      </w:pPr>
      <w:bookmarkStart w:id="27" w:name="_GoBack"/>
      <w:bookmarkEnd w:id="27"/>
    </w:p>
    <w:p w14:paraId="0F306012" w14:textId="13F694A0" w:rsidR="00217D44" w:rsidRDefault="00217D44" w:rsidP="00214D7D">
      <w:pPr>
        <w:tabs>
          <w:tab w:val="left" w:pos="0"/>
        </w:tabs>
        <w:spacing w:line="480" w:lineRule="auto"/>
        <w:jc w:val="both"/>
        <w:rPr>
          <w:rFonts w:ascii="Arial" w:hAnsi="Arial" w:cs="Arial"/>
          <w:sz w:val="20"/>
          <w:szCs w:val="20"/>
        </w:rPr>
      </w:pPr>
      <w:r w:rsidRPr="00EC3662">
        <w:rPr>
          <w:rFonts w:ascii="Arial" w:hAnsi="Arial" w:cs="Arial"/>
          <w:sz w:val="20"/>
          <w:szCs w:val="20"/>
        </w:rPr>
        <w:t xml:space="preserve">As shown in Figure 3 </w:t>
      </w:r>
      <w:r>
        <w:rPr>
          <w:rFonts w:ascii="Arial" w:hAnsi="Arial" w:cs="Arial"/>
          <w:sz w:val="20"/>
          <w:szCs w:val="20"/>
        </w:rPr>
        <w:t>below</w:t>
      </w:r>
      <w:r w:rsidRPr="00EC3662">
        <w:rPr>
          <w:rFonts w:ascii="Arial" w:hAnsi="Arial" w:cs="Arial"/>
          <w:sz w:val="20"/>
          <w:szCs w:val="20"/>
        </w:rPr>
        <w:t>, T 1 depicts normal kidney histology and architecture indicative of the normal renal corpuscles with glomeruli (G) that perfectly fit in the Bowman’s capsules with a little Bowman’s space (thin arrows, →). T 2 shows a moderately normal kidney physiology. It depicts a moderately large Bowman’s space (thin arrows, →) and some oval vacuolated pale spaces with a central one resembling an empty Bowman’s capsule. T 3 on the other hand has relatively larger Bowman’s spaces (thin arrows, →), some deformed glomeruli (∆) and numerous oval, vacuolated pale structures (circle ο) with which some appearing as empty Bowman’s capsules. T 4 displays Glomeruli (G) that perfectly fit in Bowman’s capsule with very little Bowman’s space (thin arrows, →)</w:t>
      </w:r>
      <w:r>
        <w:rPr>
          <w:rFonts w:ascii="Arial" w:hAnsi="Arial" w:cs="Arial"/>
          <w:sz w:val="20"/>
          <w:szCs w:val="20"/>
        </w:rPr>
        <w:t>. I</w:t>
      </w:r>
      <w:r w:rsidRPr="00EC3662">
        <w:rPr>
          <w:rFonts w:ascii="Arial" w:hAnsi="Arial" w:cs="Arial"/>
          <w:sz w:val="20"/>
          <w:szCs w:val="20"/>
        </w:rPr>
        <w:t xml:space="preserve">t </w:t>
      </w:r>
      <w:r>
        <w:rPr>
          <w:rFonts w:ascii="Arial" w:hAnsi="Arial" w:cs="Arial"/>
          <w:sz w:val="20"/>
          <w:szCs w:val="20"/>
        </w:rPr>
        <w:t xml:space="preserve">also </w:t>
      </w:r>
      <w:r w:rsidRPr="00EC3662">
        <w:rPr>
          <w:rFonts w:ascii="Arial" w:hAnsi="Arial" w:cs="Arial"/>
          <w:sz w:val="20"/>
          <w:szCs w:val="20"/>
        </w:rPr>
        <w:t>has relatively small numerous oval vacuolated pale structures (circle ο).</w:t>
      </w:r>
    </w:p>
    <w:p w14:paraId="04C8EE60" w14:textId="0C1E837C" w:rsidR="000D34CA" w:rsidRPr="007F123F" w:rsidRDefault="000D34CA" w:rsidP="000A05A2">
      <w:pPr>
        <w:tabs>
          <w:tab w:val="left" w:pos="0"/>
        </w:tabs>
        <w:spacing w:line="480" w:lineRule="auto"/>
        <w:jc w:val="both"/>
        <w:rPr>
          <w:rFonts w:ascii="Arial" w:hAnsi="Arial" w:cs="Arial"/>
          <w:sz w:val="20"/>
          <w:szCs w:val="20"/>
        </w:rPr>
      </w:pPr>
      <w:r w:rsidRPr="007F123F">
        <w:rPr>
          <w:rFonts w:ascii="Arial" w:hAnsi="Arial" w:cs="Arial"/>
          <w:sz w:val="20"/>
          <w:szCs w:val="20"/>
        </w:rPr>
        <w:t xml:space="preserve">The histological micrograph of the kidneys of T1 depicted a normal and healthy kidney architecture in which the glomeruli (G) perfectly fit within the Bowman's capsule with a little Bowman's space indicating a healthy and well-preserved </w:t>
      </w:r>
      <w:r w:rsidR="00B24D79" w:rsidRPr="007F123F">
        <w:rPr>
          <w:rFonts w:ascii="Arial" w:hAnsi="Arial" w:cs="Arial"/>
          <w:sz w:val="20"/>
          <w:szCs w:val="20"/>
        </w:rPr>
        <w:t>kidney</w:t>
      </w:r>
      <w:r w:rsidRPr="007F123F">
        <w:rPr>
          <w:rFonts w:ascii="Arial" w:hAnsi="Arial" w:cs="Arial"/>
          <w:sz w:val="20"/>
          <w:szCs w:val="20"/>
        </w:rPr>
        <w:t xml:space="preserve">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{"citationItems":[{"id":"ITEM-1","itemData":{"DOI":"10.1016/j.toxlet.2011.10.023","ISSN":"03784274","PMID":"22093918","abstract":"Acetaminophen (APAP) is a widely used analgesic and antipyretic drug, but at high dose it leads to undesirable side effects, such as hepatotoxicity and nephrotoxicity. The present study demonstrates the comparative hepatoprotective and nephroprotective activity of hesperidin (HD), a naturally occurring bioflavonoid against APAP induced toxicity. APAP induces hepatotoxicity and nephrotoxicity as was evident by abnormal deviation in the levels of antioxidant enzymes. Moreover, APAP induced renal damage by inducing apoptotic death and inflammation in renal tubular cells, manifested by an increase in the expression of caspase-3, caspase-9, NFkB, iNOS, Kim-1 and decrease in Bcl-2 expression. These results were further supported by the histopathological examination of kidney. All these features of APAP toxicity were reversed by the co-administration of HD. Therefore, our study favors the view that HD may be a useful modulator in alleviating APAP induced oxidative stress and toxicity. © 2011 Elsevier Ireland Ltd.","author":[{"dropping-particle":"","family":"Ahmad","given":"Shiekh Tanveer","non-dropping-particle":"","parse-names":false,"suffix":""},{"dropping-particle":"","family":"Arjumand","given":"Wani","non-dropping-particle":"","parse-names":false,"suffix":""},{"dropping-particle":"","family":"Nafees","given":"Sana","non-dropping-particle":"","parse-names":false,"suffix":""},{"dropping-particle":"","family":"Seth","given":"Amlesh","non-dropping-particle":"","parse-names":false,"suffix":""},{"dropping-particle":"","family":"Ali","given":"Nemat","non-dropping-particle":"","parse-names":false,"suffix":""},{"dropping-particle":"","family":"Rashid","given":"Summya","non-dropping-particle":"","parse-names":false,"suffix":""},{"dropping-particle":"","family":"Sultana","given":"Sarwat","non-dropping-particle":"","parse-names":false,"suffix":""}],"container-title":"Toxicology Letters","id":"ITEM-1","issue":"2","issued":{"date-parts":[["2012"]]},"page":"149-161","publisher":"Elsevier Ireland Ltd","title":"Hesperidin alleviates acetaminophen induced toxicity in wistar rats by abrogation of oxidative stress, apoptosis and inflammation","type":"article-journal","volume":"208"},"uris":["http://www.mendeley.com/documents/?uuid=9bf3281c-eece-4a6b-b3fc-bfef85d7d395"]}],"mendeley":{"formattedCitation":"(Ahmad et al., 2012)","plainTextFormattedCitation":"(Ahmad et al., 2012)","previouslyFormattedCitation":"(Ahmad et al., 2012)"},"properties":{"noteIndex":0},"schema":"https://github.com/citation-style-language/schema/raw/master/csl-citation.json"}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F722A7">
        <w:rPr>
          <w:rFonts w:ascii="Arial" w:hAnsi="Arial" w:cs="Arial"/>
          <w:noProof/>
          <w:sz w:val="20"/>
          <w:szCs w:val="20"/>
        </w:rPr>
        <w:t>46</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xml:space="preserve">. This indicates that the low levels of dietary fibre and fat in this study did not have any considerable adverse effect on the histology and health of the kidneys. The glomeruli fitting perfectly within Bowman's capsule suggests that the filtration process in the kidneys is functioning normally </w:t>
      </w:r>
      <w:r w:rsidRPr="007F123F">
        <w:rPr>
          <w:rFonts w:ascii="Arial" w:hAnsi="Arial" w:cs="Arial"/>
          <w:sz w:val="20"/>
          <w:szCs w:val="20"/>
        </w:rPr>
        <w:fldChar w:fldCharType="begin" w:fldLock="1"/>
      </w:r>
      <w:r w:rsidR="00336615" w:rsidRPr="007F123F">
        <w:rPr>
          <w:rFonts w:ascii="Arial" w:hAnsi="Arial" w:cs="Arial"/>
          <w:sz w:val="20"/>
          <w:szCs w:val="20"/>
        </w:rPr>
        <w:instrText>ADDIN CSL_CITATION {"citationItems":[{"id":"ITEM-1","itemData":{"PMID":"32119431","abstract":"The kidneys have several essential homeostatic functions. These functions include waste removal (NH3), fluid/electrolyte balance, metabolic blood acid-base balance, as well as producing/modifying hormones for blood pressure, calcium/potassium homeostasis, and red blood cell production. The renal corpuscle (filtration unit, which comprises the glomerulus and the surrounding glomerular or Bowman’s capsule) and tubules (reabsorption and excretion) of the kidney perform the majority of these kidney functions. The primary function of the kidney, filtering blood, is in part due to its unique blood flow, with high perfusion autoregulation of flow across the glomerular capillaries over a range of pressures.  The kidneys receive a high proportion of blood, about 20% of cardiac output, thus enabling the filtration of large volumes of blood. Blood flow autoregulates across the filtration capillaries (glomeruli) due to the unique arrangement of blood vessels. The glomerulus, in contrast to the majority of other capillary beds, sits between two arterioles; receiving blood supply from the upstream afferent arteriole, and blood exiting downstream via the efferent arterioles (E for exit). This arrangement allows for precise control of glomerular flow within the glomerulus, and filtration, rate via autoregulatory changes of the diameters of these resistance arterioles (vasodilation/ vasoconstriction).   The primary function of the kidney is to filter blood and form urine. The histological structures of the filtering units of the kidney (renal corpuscles) are crucial for this function. The renal corpuscles are located only in the kidney cortex, with about 1 million per kidney with variation due to race. This unique filtration barrier contains three histological structures: the capillary endothelium of the glomeruli, specialized cells called podocytes, and the fused basement membranes of both of these cells (FIG 1). This filtration barrier allows for the filtration of small molecules such as water, ions, creatinine and glucose, and small proteins (less than 90 kDa). This structure must prevent the filtration of large proteins present in the blood, such as albumin and immunoglobulins.   Any aberrance of this filtration barrier leads to pathological conditions. Indeed, about 90% of end-stage kidney disease is due to glomerular diseases.[1] The primary concern is that once damaged; the kidneys have a limited ability to undergo repair. Indeed, most forms of glomerular disease…","author":[{"dropping-particle":"V.","family":"Murray","given":"Ian","non-dropping-particle":"","parse-names":false,"suffix":""},{"dropping-particle":"","family":"Paolini","given":"Michael A.","non-dropping-particle":"","parse-names":false,"suffix":""}],"container-title":"StatPearls","id":"ITEM-1","issued":{"date-parts":[["2023","4","17"]]},"publisher":"StatPearls Publishing","title":"Histology, Kidney and Glomerulus","type":"article-journal"},"uris":["http://www.mendeley.com/documents/?uuid=024d7743-4adf-3aed-b742-eceb9c815c95"]}],"mendeley":{"formattedCitation":"(Murray &amp; Paolini, 2023)","plainTextFormattedCitation":"(Murray &amp; Paolini, 2023)","previouslyFormattedCitation":"(Murray &amp; Paolini, 2023)"},"properties":{"noteIndex":0},"schema":"https://github.com/citation-style-language/schema/raw/master/csl-citation.json"}</w:instrText>
      </w:r>
      <w:r w:rsidRPr="007F123F">
        <w:rPr>
          <w:rFonts w:ascii="Arial" w:hAnsi="Arial" w:cs="Arial"/>
          <w:sz w:val="20"/>
          <w:szCs w:val="20"/>
        </w:rPr>
        <w:fldChar w:fldCharType="separate"/>
      </w:r>
      <w:r w:rsidR="00763E5F" w:rsidRPr="007F123F">
        <w:rPr>
          <w:rFonts w:ascii="Arial" w:hAnsi="Arial" w:cs="Arial"/>
          <w:noProof/>
          <w:sz w:val="20"/>
          <w:szCs w:val="20"/>
        </w:rPr>
        <w:t>(</w:t>
      </w:r>
      <w:r w:rsidR="00F722A7">
        <w:rPr>
          <w:rFonts w:ascii="Arial" w:hAnsi="Arial" w:cs="Arial"/>
          <w:noProof/>
          <w:sz w:val="20"/>
          <w:szCs w:val="20"/>
        </w:rPr>
        <w:t>51</w:t>
      </w:r>
      <w:r w:rsidR="00763E5F" w:rsidRPr="007F123F">
        <w:rPr>
          <w:rFonts w:ascii="Arial" w:hAnsi="Arial" w:cs="Arial"/>
          <w:noProof/>
          <w:sz w:val="20"/>
          <w:szCs w:val="20"/>
        </w:rPr>
        <w:t>)</w:t>
      </w:r>
      <w:r w:rsidRPr="007F123F">
        <w:rPr>
          <w:rFonts w:ascii="Arial" w:hAnsi="Arial" w:cs="Arial"/>
          <w:sz w:val="20"/>
          <w:szCs w:val="20"/>
        </w:rPr>
        <w:fldChar w:fldCharType="end"/>
      </w:r>
      <w:r w:rsidRPr="007F123F">
        <w:rPr>
          <w:rFonts w:ascii="Arial" w:hAnsi="Arial" w:cs="Arial"/>
          <w:sz w:val="20"/>
          <w:szCs w:val="20"/>
        </w:rPr>
        <w:t>. It also implies efficient filtration without leakage which ensures that essential substances, like nutrients and proteins, are retained in the bloodstream while waste product</w:t>
      </w:r>
      <w:r w:rsidR="00217D44">
        <w:rPr>
          <w:rFonts w:ascii="Arial" w:hAnsi="Arial" w:cs="Arial"/>
          <w:sz w:val="20"/>
          <w:szCs w:val="20"/>
        </w:rPr>
        <w:t xml:space="preserve">s are filtered out effectively. </w:t>
      </w:r>
      <w:r w:rsidRPr="007F123F">
        <w:rPr>
          <w:rFonts w:ascii="Arial" w:hAnsi="Arial" w:cs="Arial"/>
          <w:sz w:val="20"/>
          <w:szCs w:val="20"/>
        </w:rPr>
        <w:t xml:space="preserve">The observation of normal renal corpuscles, which consist of the glomerulus and Bowman's capsule, indicates that the structural integrity of </w:t>
      </w:r>
      <w:r w:rsidR="005175BD" w:rsidRPr="007F123F">
        <w:rPr>
          <w:rFonts w:ascii="Arial" w:hAnsi="Arial" w:cs="Arial"/>
          <w:sz w:val="20"/>
          <w:szCs w:val="20"/>
        </w:rPr>
        <w:t>these components is maintained.</w:t>
      </w:r>
      <w:r w:rsidRPr="007F123F">
        <w:rPr>
          <w:rFonts w:ascii="Arial" w:hAnsi="Arial" w:cs="Arial"/>
          <w:sz w:val="20"/>
          <w:szCs w:val="20"/>
        </w:rPr>
        <w:t xml:space="preserve"> The presence of a little Bowman's space suggests that there is minimal accumulation of fluid or filtrate within the capsule. This is consist</w:t>
      </w:r>
      <w:r w:rsidR="00076946" w:rsidRPr="007F123F">
        <w:rPr>
          <w:rFonts w:ascii="Arial" w:hAnsi="Arial" w:cs="Arial"/>
          <w:sz w:val="20"/>
          <w:szCs w:val="20"/>
        </w:rPr>
        <w:t>ent with normal kidney function</w:t>
      </w:r>
      <w:r w:rsidRPr="007F123F">
        <w:rPr>
          <w:rFonts w:ascii="Arial" w:hAnsi="Arial" w:cs="Arial"/>
          <w:sz w:val="20"/>
          <w:szCs w:val="20"/>
        </w:rPr>
        <w:t xml:space="preserve"> as excess fluid accumulation can signify kidney dysfunction.</w:t>
      </w:r>
    </w:p>
    <w:p w14:paraId="003D8CFF" w14:textId="084BF668" w:rsidR="00C74F6C" w:rsidRPr="007A5C0A" w:rsidRDefault="000D34CA" w:rsidP="000A05A2">
      <w:pPr>
        <w:tabs>
          <w:tab w:val="left" w:pos="0"/>
        </w:tabs>
        <w:spacing w:before="240" w:line="480" w:lineRule="auto"/>
        <w:jc w:val="both"/>
        <w:rPr>
          <w:rFonts w:ascii="Arial" w:hAnsi="Arial" w:cs="Arial"/>
          <w:sz w:val="20"/>
        </w:rPr>
      </w:pPr>
      <w:r w:rsidRPr="007A5C0A">
        <w:rPr>
          <w:rFonts w:ascii="Arial" w:hAnsi="Arial" w:cs="Arial"/>
          <w:sz w:val="20"/>
        </w:rPr>
        <w:t xml:space="preserve">The presence of moderately large Bowman's spaces in the histology of the kidney of </w:t>
      </w:r>
      <w:r w:rsidRPr="007A5C0A">
        <w:rPr>
          <w:rFonts w:ascii="Arial" w:hAnsi="Arial" w:cs="Arial"/>
          <w:sz w:val="20"/>
          <w:szCs w:val="24"/>
        </w:rPr>
        <w:t>Albino</w:t>
      </w:r>
      <w:r w:rsidRPr="007A5C0A">
        <w:rPr>
          <w:rFonts w:ascii="Arial" w:hAnsi="Arial" w:cs="Arial"/>
          <w:sz w:val="20"/>
        </w:rPr>
        <w:t xml:space="preserve"> rats in T2 might suggest a relatively moderate fluid or filtrate accumulation in the Bowman’s capsule or a normal increase in the Bowman’s space of T2</w:t>
      </w:r>
      <w:r w:rsidR="00076946" w:rsidRPr="007A5C0A">
        <w:rPr>
          <w:rFonts w:ascii="Arial" w:hAnsi="Arial" w:cs="Arial"/>
          <w:sz w:val="20"/>
        </w:rPr>
        <w:t xml:space="preserve">. </w:t>
      </w:r>
      <w:r w:rsidRPr="007A5C0A">
        <w:rPr>
          <w:rFonts w:ascii="Arial" w:hAnsi="Arial" w:cs="Arial"/>
          <w:sz w:val="20"/>
        </w:rPr>
        <w:t xml:space="preserve">The oval vacuolated structures could suggest the presence of accumulated </w:t>
      </w:r>
      <w:r w:rsidRPr="007A5C0A">
        <w:rPr>
          <w:rFonts w:ascii="Arial" w:hAnsi="Arial" w:cs="Arial"/>
          <w:sz w:val="20"/>
        </w:rPr>
        <w:lastRenderedPageBreak/>
        <w:t xml:space="preserve">fluid or material. The structure resembling an empty Bowman's capsule could be an anatomical variation, possibly a developmental anomaly or an artefact in the histological preparation. </w:t>
      </w:r>
    </w:p>
    <w:p w14:paraId="4D5E79B9" w14:textId="6896A0E7" w:rsidR="00C74F6C" w:rsidRPr="007A5C0A" w:rsidRDefault="000D34CA" w:rsidP="000A05A2">
      <w:pPr>
        <w:tabs>
          <w:tab w:val="left" w:pos="0"/>
        </w:tabs>
        <w:spacing w:before="240" w:line="480" w:lineRule="auto"/>
        <w:jc w:val="both"/>
        <w:rPr>
          <w:rFonts w:ascii="Arial" w:hAnsi="Arial" w:cs="Arial"/>
          <w:sz w:val="20"/>
        </w:rPr>
      </w:pPr>
      <w:r w:rsidRPr="007A5C0A">
        <w:rPr>
          <w:rFonts w:ascii="Arial" w:hAnsi="Arial" w:cs="Arial"/>
          <w:sz w:val="20"/>
        </w:rPr>
        <w:t xml:space="preserve">The relatively larger Bowman’s space as observed in T3 could either indicate that the amount of fluid or filtrate in the Bowman’s capsule is higher compared to the other treatment groups or that the leakage of filtrates is relatively higher. Although the Bowman’s space was relatively larger it was not wide enough to impose or imply a pathological effect </w:t>
      </w:r>
      <w:r w:rsidRPr="007A5C0A">
        <w:rPr>
          <w:rFonts w:ascii="Arial" w:hAnsi="Arial" w:cs="Arial"/>
          <w:sz w:val="20"/>
        </w:rPr>
        <w:fldChar w:fldCharType="begin" w:fldLock="1"/>
      </w:r>
      <w:r w:rsidR="00336615" w:rsidRPr="007A5C0A">
        <w:rPr>
          <w:rFonts w:ascii="Arial" w:hAnsi="Arial" w:cs="Arial"/>
          <w:sz w:val="20"/>
        </w:rPr>
        <w:instrText>ADDIN CSL_CITATION {"citationItems":[{"id":"ITEM-1","itemData":{"PMID":"32119431","abstract":"The kidneys have several essential homeostatic functions. These functions include waste removal (NH3), fluid/electrolyte balance, metabolic blood acid-base balance, as well as producing/modifying hormones for blood pressure, calcium/potassium homeostasis, and red blood cell production. The renal corpuscle (filtration unit, which comprises the glomerulus and the surrounding glomerular or Bowman’s capsule) and tubules (reabsorption and excretion) of the kidney perform the majority of these kidney functions. The primary function of the kidney, filtering blood, is in part due to its unique blood flow, with high perfusion autoregulation of flow across the glomerular capillaries over a range of pressures.  The kidneys receive a high proportion of blood, about 20% of cardiac output, thus enabling the filtration of large volumes of blood. Blood flow autoregulates across the filtration capillaries (glomeruli) due to the unique arrangement of blood vessels. The glomerulus, in contrast to the majority of other capillary beds, sits between two arterioles; receiving blood supply from the upstream afferent arteriole, and blood exiting downstream via the efferent arterioles (E for exit). This arrangement allows for precise control of glomerular flow within the glomerulus, and filtration, rate via autoregulatory changes of the diameters of these resistance arterioles (vasodilation/ vasoconstriction).   The primary function of the kidney is to filter blood and form urine. The histological structures of the filtering units of the kidney (renal corpuscles) are crucial for this function. The renal corpuscles are located only in the kidney cortex, with about 1 million per kidney with variation due to race. This unique filtration barrier contains three histological structures: the capillary endothelium of the glomeruli, specialized cells called podocytes, and the fused basement membranes of both of these cells (FIG 1). This filtration barrier allows for the filtration of small molecules such as water, ions, creatinine and glucose, and small proteins (less than 90 kDa). This structure must prevent the filtration of large proteins present in the blood, such as albumin and immunoglobulins.   Any aberrance of this filtration barrier leads to pathological conditions. Indeed, about 90% of end-stage kidney disease is due to glomerular diseases.[1] The primary concern is that once damaged; the kidneys have a limited ability to undergo repair. Indeed, most forms of glomerular disease…","author":[{"dropping-particle":"V.","family":"Murray","given":"Ian","non-dropping-particle":"","parse-names":false,"suffix":""},{"dropping-particle":"","family":"Paolini","given":"Michael A.","non-dropping-particle":"","parse-names":false,"suffix":""}],"container-title":"StatPearls","id":"ITEM-1","issued":{"date-parts":[["2023","4","17"]]},"publisher":"StatPearls Publishing","title":"Histology, Kidney and Glomerulus","type":"article-journal"},"uris":["http://www.mendeley.com/documents/?uuid=024d7743-4adf-3aed-b742-eceb9c815c95"]}],"mendeley":{"formattedCitation":"(Murray &amp; Paolini, 2023)","plainTextFormattedCitation":"(Murray &amp; Paolini, 2023)","previouslyFormattedCitation":"(Murray &amp; Paolini, 2023)"},"properties":{"noteIndex":0},"schema":"https://github.com/citation-style-language/schema/raw/master/csl-citation.json"}</w:instrText>
      </w:r>
      <w:r w:rsidRPr="007A5C0A">
        <w:rPr>
          <w:rFonts w:ascii="Arial" w:hAnsi="Arial" w:cs="Arial"/>
          <w:sz w:val="20"/>
        </w:rPr>
        <w:fldChar w:fldCharType="separate"/>
      </w:r>
      <w:r w:rsidR="00F722A7">
        <w:rPr>
          <w:rFonts w:ascii="Arial" w:hAnsi="Arial" w:cs="Arial"/>
          <w:noProof/>
          <w:sz w:val="20"/>
        </w:rPr>
        <w:t>(51</w:t>
      </w:r>
      <w:r w:rsidR="00763E5F" w:rsidRPr="007A5C0A">
        <w:rPr>
          <w:rFonts w:ascii="Arial" w:hAnsi="Arial" w:cs="Arial"/>
          <w:noProof/>
          <w:sz w:val="20"/>
        </w:rPr>
        <w:t>)</w:t>
      </w:r>
      <w:r w:rsidRPr="007A5C0A">
        <w:rPr>
          <w:rFonts w:ascii="Arial" w:hAnsi="Arial" w:cs="Arial"/>
          <w:sz w:val="20"/>
        </w:rPr>
        <w:fldChar w:fldCharType="end"/>
      </w:r>
      <w:r w:rsidRPr="007A5C0A">
        <w:rPr>
          <w:rFonts w:ascii="Arial" w:hAnsi="Arial" w:cs="Arial"/>
          <w:sz w:val="20"/>
        </w:rPr>
        <w:t>. The large pale spaces could also suggest fat accumulation as a result of the increased level of fat in the diet.</w:t>
      </w:r>
    </w:p>
    <w:p w14:paraId="410D67AF" w14:textId="190CDF75" w:rsidR="00C74F6C" w:rsidRPr="007A5C0A" w:rsidRDefault="000D34CA" w:rsidP="000A05A2">
      <w:pPr>
        <w:tabs>
          <w:tab w:val="left" w:pos="0"/>
        </w:tabs>
        <w:spacing w:before="240" w:line="480" w:lineRule="auto"/>
        <w:jc w:val="both"/>
        <w:rPr>
          <w:rFonts w:ascii="Arial" w:hAnsi="Arial" w:cs="Arial"/>
          <w:sz w:val="20"/>
        </w:rPr>
      </w:pPr>
      <w:r w:rsidRPr="007A5C0A">
        <w:rPr>
          <w:rFonts w:ascii="Arial" w:hAnsi="Arial" w:cs="Arial"/>
          <w:sz w:val="20"/>
        </w:rPr>
        <w:t xml:space="preserve">Comparably, the histology of the kidneys of </w:t>
      </w:r>
      <w:r w:rsidRPr="007A5C0A">
        <w:rPr>
          <w:rFonts w:ascii="Arial" w:hAnsi="Arial" w:cs="Arial"/>
          <w:sz w:val="20"/>
          <w:szCs w:val="24"/>
        </w:rPr>
        <w:t>Albino</w:t>
      </w:r>
      <w:r w:rsidRPr="007A5C0A">
        <w:rPr>
          <w:rFonts w:ascii="Arial" w:hAnsi="Arial" w:cs="Arial"/>
          <w:sz w:val="20"/>
        </w:rPr>
        <w:t xml:space="preserve"> rats in T4 revealed perfectly fitted glomeruli in Bowman’s capsules with very little Bowman’s space. A relatively small oval vacuolated pale structures compared to that of T3. This indicates an improved kidney histology and health which could be attributed to the </w:t>
      </w:r>
      <w:r w:rsidR="00B24D79" w:rsidRPr="007A5C0A">
        <w:rPr>
          <w:rFonts w:ascii="Arial" w:hAnsi="Arial" w:cs="Arial"/>
          <w:sz w:val="20"/>
        </w:rPr>
        <w:t>increased</w:t>
      </w:r>
      <w:r w:rsidRPr="007A5C0A">
        <w:rPr>
          <w:rFonts w:ascii="Arial" w:hAnsi="Arial" w:cs="Arial"/>
          <w:sz w:val="20"/>
        </w:rPr>
        <w:t xml:space="preserve"> dietary fibre in</w:t>
      </w:r>
      <w:r w:rsidR="00C967F8" w:rsidRPr="007A5C0A">
        <w:rPr>
          <w:rFonts w:ascii="Arial" w:hAnsi="Arial" w:cs="Arial"/>
          <w:sz w:val="20"/>
        </w:rPr>
        <w:t xml:space="preserve"> the diet.</w:t>
      </w:r>
      <w:r w:rsidRPr="007A5C0A">
        <w:rPr>
          <w:rFonts w:ascii="Arial" w:hAnsi="Arial" w:cs="Arial"/>
          <w:sz w:val="20"/>
        </w:rPr>
        <w:t xml:space="preserve">  The high level of fibre might have mitigated some of the effects of the high fat by red</w:t>
      </w:r>
      <w:r w:rsidR="00B24D79" w:rsidRPr="007A5C0A">
        <w:rPr>
          <w:rFonts w:ascii="Arial" w:hAnsi="Arial" w:cs="Arial"/>
          <w:sz w:val="20"/>
        </w:rPr>
        <w:t xml:space="preserve">ucing the risk of inflammation, </w:t>
      </w:r>
      <w:r w:rsidR="00485C9B">
        <w:rPr>
          <w:rFonts w:ascii="Arial" w:hAnsi="Arial" w:cs="Arial"/>
          <w:sz w:val="20"/>
        </w:rPr>
        <w:t xml:space="preserve">and </w:t>
      </w:r>
      <w:r w:rsidRPr="007A5C0A">
        <w:rPr>
          <w:rFonts w:ascii="Arial" w:hAnsi="Arial" w:cs="Arial"/>
          <w:sz w:val="20"/>
        </w:rPr>
        <w:t>fat accumulation and detoxifying the kidney</w:t>
      </w:r>
      <w:r w:rsidR="00822FCA" w:rsidRPr="007A5C0A">
        <w:rPr>
          <w:rFonts w:ascii="Arial" w:hAnsi="Arial" w:cs="Arial"/>
          <w:sz w:val="20"/>
        </w:rPr>
        <w:t xml:space="preserve"> </w:t>
      </w:r>
      <w:r w:rsidRPr="007A5C0A">
        <w:rPr>
          <w:rFonts w:ascii="Arial" w:hAnsi="Arial" w:cs="Arial"/>
          <w:sz w:val="20"/>
        </w:rPr>
        <w:fldChar w:fldCharType="begin" w:fldLock="1"/>
      </w:r>
      <w:r w:rsidR="00336615" w:rsidRPr="007A5C0A">
        <w:rPr>
          <w:rFonts w:ascii="Arial" w:hAnsi="Arial" w:cs="Arial"/>
          <w:sz w:val="20"/>
        </w:rPr>
        <w:instrText>ADDIN CSL_CITATION {"citationItems":[{"id":"ITEM-1","itemData":{"DOI":"10.3945/AN.116.013219","ISSN":"2156-5376","PMID":"28140328","abstract":"Increased dietary fiber (DF) intake elicits a wide range of physiologic effects, not just locally in the gut, but systemically. DFs can greatly alter the gut milieu by affecting the gut microbiome, which in turn influences the gut barrier, gastrointestinal immune and endocrine responses, and nitrogen cycling and microbial metabolism. These gut-associated changes can then alter the physiology and biochemistry of the body's other main nutrient management and detoxification organs, the liver and kidneys. The molecular mechanisms by which DF alters the physiology of the gut, liver, and kidneys is likely through gut-localized events (i.e., bacterial nitrogen metabolism, microbe-microbe, and microbe-host cell interactions) coupled with specific factors that emanate from the gut in response to DF, which signal to or affect the physiology of the liver and kidneys. The latter may include microbe-derived xenometabolites, peptides, or bioactive food components made available by gut microbes, inflammation signals, and gut hormones. The intent of this review is to summarize how DF alters the gut milieu to specifically affect intestinal, liver, and kidney functions and to discuss the potential local and systemic signaling networks that are involved.","author":[{"dropping-particle":"","family":"Kieffer","given":"Dorothy A.","non-dropping-particle":"","parse-names":false,"suffix":""},{"dropping-particle":"","family":"Martin","given":"Roy J.","non-dropping-particle":"","parse-names":false,"suffix":""},{"dropping-particle":"","family":"Adams","given":"Sean H.","non-dropping-particle":"","parse-names":false,"suffix":""}],"container-title":"Advances in nutrition (Bethesda, Md.)","id":"ITEM-1","issue":"6","issued":{"date-parts":[["2016"]]},"page":"1111-1121","publisher":"Adv Nutr","title":"Impact of Dietary Fibers on Nutrient Management and Detoxification Organs: Gut, Liver, and Kidneys","type":"article-journal","volume":"7"},"uris":["http://www.mendeley.com/documents/?uuid=f06ac23f-2622-304c-953c-dcc39d97b07b"]}],"mendeley":{"formattedCitation":"(Kieffer et al., 2016)","plainTextFormattedCitation":"(Kieffer et al., 2016)","previouslyFormattedCitation":"(Kieffer et al., 2016)"},"properties":{"noteIndex":0},"schema":"https://github.com/citation-style-language/schema/raw/master/csl-citation.json"}</w:instrText>
      </w:r>
      <w:r w:rsidRPr="007A5C0A">
        <w:rPr>
          <w:rFonts w:ascii="Arial" w:hAnsi="Arial" w:cs="Arial"/>
          <w:sz w:val="20"/>
        </w:rPr>
        <w:fldChar w:fldCharType="separate"/>
      </w:r>
      <w:r w:rsidR="00763E5F" w:rsidRPr="007A5C0A">
        <w:rPr>
          <w:rFonts w:ascii="Arial" w:hAnsi="Arial" w:cs="Arial"/>
          <w:noProof/>
          <w:sz w:val="20"/>
        </w:rPr>
        <w:t>(</w:t>
      </w:r>
      <w:r w:rsidR="00F722A7">
        <w:rPr>
          <w:rFonts w:ascii="Arial" w:hAnsi="Arial" w:cs="Arial"/>
          <w:noProof/>
          <w:sz w:val="20"/>
        </w:rPr>
        <w:t>14</w:t>
      </w:r>
      <w:r w:rsidR="00763E5F" w:rsidRPr="007A5C0A">
        <w:rPr>
          <w:rFonts w:ascii="Arial" w:hAnsi="Arial" w:cs="Arial"/>
          <w:noProof/>
          <w:sz w:val="20"/>
        </w:rPr>
        <w:t>)</w:t>
      </w:r>
      <w:r w:rsidRPr="007A5C0A">
        <w:rPr>
          <w:rFonts w:ascii="Arial" w:hAnsi="Arial" w:cs="Arial"/>
          <w:sz w:val="20"/>
        </w:rPr>
        <w:fldChar w:fldCharType="end"/>
      </w:r>
      <w:r w:rsidRPr="007A5C0A">
        <w:rPr>
          <w:rFonts w:ascii="Arial" w:hAnsi="Arial" w:cs="Arial"/>
          <w:sz w:val="20"/>
        </w:rPr>
        <w:t xml:space="preserve">. The result of this study contradicts that of </w:t>
      </w:r>
      <w:r w:rsidRPr="007A5C0A">
        <w:rPr>
          <w:rFonts w:ascii="Arial" w:hAnsi="Arial" w:cs="Arial"/>
          <w:sz w:val="20"/>
        </w:rPr>
        <w:fldChar w:fldCharType="begin" w:fldLock="1"/>
      </w:r>
      <w:r w:rsidR="009C0B2C" w:rsidRPr="007A5C0A">
        <w:rPr>
          <w:rFonts w:ascii="Arial" w:hAnsi="Arial" w:cs="Arial"/>
          <w:sz w:val="20"/>
        </w:rPr>
        <w:instrText>ADDIN CSL_CITATION {"citationItems":[{"id":"ITEM-1","itemData":{"DOI":"10.2147/DMSO.S211253","ISSN":"11787007","PMID":"31564943","abstract":"Introduction: This study aimed to investigate changes in renal function and the AGERAGE axis in the kidney of a non-genetic animal model of metabolic syndrome (MetS) induced by high-fat diet (HFD). Additionally, we evaluated the protective effect of pyridoxamine (PM), a vitamin B6 analog with anti-AGE effects, in the context of diet-related renal endothelial dysfunction. Methodology: In Wistar rats, the MetS animal model was induced by 20 or 28 weeks of HFD feeding. When indicated, a subgroup of animals was treated daily with PM (60 mg/kg) for 2 months. Tissue perfusion in renal microcirculation was examined by laser speckle contrast imaging. Oxidative stress was analyzed by thiobarbituric acid reactive species and the inflammatory markers by ELISA (TNF-α and IL-1β). Reverse transcription polymerase chain reaction was used to analyze eNOs, IL-6, vascular cell adhesion molecule (VCAM), NADPH oxidase subunit 47 (N47), catalase, and receptor for AGE (RAGE) gene expression. Results: Wistar rats fed a HFD showed negligible alteration in renal function, decrease in catalase mRNA transcripts and catalase enzyme activity compared to control (CTL) animals. Increased levels of IL-1β were observed in the kidney of MetS-induced rats. HFD-fed rats exhibited kidney endothelial dysfunction, with no significant differences in basal microvascular blood flow. PM significantly improved kidney vasorelaxation in HFD-fed rats. eNOS, VCAM, and RAGE gene expression and AGE content were not altered in kidneys of HFDinduced MetS rats in comparison to CTLs. Conclusions: Our findings suggest that HFD-induced microvascular dysfunction precedes the decline in renal function, and could be related to antioxidant machinery defects and inflammation activation in the kidney. PM showed a vasoprotective effect, and thus, could be an important contributory factor in ameliorating diet-induced renal damage.","author":[{"dropping-particle":"","family":"Silvares","given":"Raquel Rangel","non-dropping-particle":"","parse-names":false,"suffix":""},{"dropping-particle":"","family":"Silva Pereira","given":"Evelyn Nunes Goulart","non-dropping-particle":"da","parse-names":false,"suffix":""},{"dropping-particle":"","family":"Flores","given":"Edgar Eduardo Ilaquita","non-dropping-particle":"","parse-names":false,"suffix":""},{"dropping-particle":"","family":"Rodrigues","given":"Karine Lino","non-dropping-particle":"","parse-names":false,"suffix":""},{"dropping-particle":"","family":"Silva","given":"Adriana Ribeiro","non-dropping-particle":"","parse-names":false,"suffix":""},{"dropping-particle":"","family":"Gonçalves-de-Albuquerque","given":"Cassiano Felipe","non-dropping-particle":"","parse-names":false,"suffix":""},{"dropping-particle":"","family":"Daliry","given":"Anissa","non-dropping-particle":"","parse-names":false,"suffix":""}],"container-title":"Diabetes, Metabolic Syndrome and Obesity: Targets and Therapy","id":"ITEM-1","issued":{"date-parts":[["2019"]]},"page":"1773","publisher":"Dove Press","title":"High-fat diet-induced kidney alterations in rats with metabolic syndrome: endothelial dysfunction and decreased antioxidant defense","type":"article-journal","volume":"12"},"uris":["http://www.mendeley.com/documents/?uuid=b575bef7-4e76-38fc-8d24-a71b02acf541"]}],"mendeley":{"formattedCitation":"(Silvares et al., 2019)","manualFormatting":"Silvares et al. (2019)","plainTextFormattedCitation":"(Silvares et al., 2019)","previouslyFormattedCitation":"(Silvares et al., 2019)"},"properties":{"noteIndex":0},"schema":"https://github.com/citation-style-language/schema/raw/master/csl-citation.json"}</w:instrText>
      </w:r>
      <w:r w:rsidRPr="007A5C0A">
        <w:rPr>
          <w:rFonts w:ascii="Arial" w:hAnsi="Arial" w:cs="Arial"/>
          <w:sz w:val="20"/>
        </w:rPr>
        <w:fldChar w:fldCharType="separate"/>
      </w:r>
      <w:r w:rsidR="009C0B2C" w:rsidRPr="007A5C0A">
        <w:rPr>
          <w:rFonts w:ascii="Arial" w:hAnsi="Arial" w:cs="Arial"/>
          <w:noProof/>
          <w:sz w:val="20"/>
        </w:rPr>
        <w:t>(</w:t>
      </w:r>
      <w:r w:rsidR="00F722A7">
        <w:rPr>
          <w:rFonts w:ascii="Arial" w:hAnsi="Arial" w:cs="Arial"/>
          <w:noProof/>
          <w:sz w:val="20"/>
        </w:rPr>
        <w:t>5</w:t>
      </w:r>
      <w:r w:rsidR="00763E5F" w:rsidRPr="007A5C0A">
        <w:rPr>
          <w:rFonts w:ascii="Arial" w:hAnsi="Arial" w:cs="Arial"/>
          <w:noProof/>
          <w:sz w:val="20"/>
        </w:rPr>
        <w:t>2)</w:t>
      </w:r>
      <w:r w:rsidRPr="007A5C0A">
        <w:rPr>
          <w:rFonts w:ascii="Arial" w:hAnsi="Arial" w:cs="Arial"/>
          <w:sz w:val="20"/>
        </w:rPr>
        <w:fldChar w:fldCharType="end"/>
      </w:r>
      <w:r w:rsidRPr="007A5C0A">
        <w:rPr>
          <w:rFonts w:ascii="Arial" w:hAnsi="Arial" w:cs="Arial"/>
          <w:sz w:val="20"/>
        </w:rPr>
        <w:t xml:space="preserve"> </w:t>
      </w:r>
      <w:r w:rsidR="009C0B2C" w:rsidRPr="007A5C0A">
        <w:rPr>
          <w:rFonts w:ascii="Arial" w:hAnsi="Arial" w:cs="Arial"/>
          <w:sz w:val="20"/>
        </w:rPr>
        <w:t>w</w:t>
      </w:r>
      <w:r w:rsidRPr="007A5C0A">
        <w:rPr>
          <w:rFonts w:ascii="Arial" w:hAnsi="Arial" w:cs="Arial"/>
          <w:sz w:val="20"/>
        </w:rPr>
        <w:t xml:space="preserve">ho reported that their high-fat </w:t>
      </w:r>
      <w:r w:rsidR="00485C9B">
        <w:rPr>
          <w:rFonts w:ascii="Arial" w:hAnsi="Arial" w:cs="Arial"/>
          <w:sz w:val="20"/>
        </w:rPr>
        <w:t>diet-induced</w:t>
      </w:r>
      <w:r w:rsidRPr="007A5C0A">
        <w:rPr>
          <w:rFonts w:ascii="Arial" w:hAnsi="Arial" w:cs="Arial"/>
          <w:sz w:val="20"/>
        </w:rPr>
        <w:t xml:space="preserve"> microvascular dysfunction that preceded a decline in renal function. The adverse effect of the</w:t>
      </w:r>
      <w:r w:rsidR="009C0B2C" w:rsidRPr="007A5C0A">
        <w:rPr>
          <w:rFonts w:ascii="Arial" w:hAnsi="Arial" w:cs="Arial"/>
          <w:sz w:val="20"/>
        </w:rPr>
        <w:t>ir</w:t>
      </w:r>
      <w:r w:rsidRPr="007A5C0A">
        <w:rPr>
          <w:rFonts w:ascii="Arial" w:hAnsi="Arial" w:cs="Arial"/>
          <w:sz w:val="20"/>
        </w:rPr>
        <w:t xml:space="preserve"> high-fat diet (36 % lard, 56 % carbohydrate and 14% protein) could be attributed to the type of fat and its relatively higher level of inclusion coupled with the longer time of administration (20 weeks. </w:t>
      </w:r>
    </w:p>
    <w:p w14:paraId="004536BA" w14:textId="2A4234DD" w:rsidR="000D34CA" w:rsidRPr="007A5C0A" w:rsidRDefault="000D34CA" w:rsidP="000A05A2">
      <w:pPr>
        <w:tabs>
          <w:tab w:val="left" w:pos="0"/>
        </w:tabs>
        <w:spacing w:before="240" w:line="480" w:lineRule="auto"/>
        <w:jc w:val="both"/>
        <w:rPr>
          <w:rFonts w:ascii="Arial" w:hAnsi="Arial" w:cs="Arial"/>
          <w:sz w:val="20"/>
        </w:rPr>
      </w:pPr>
      <w:r w:rsidRPr="007A5C0A">
        <w:rPr>
          <w:rFonts w:ascii="Arial" w:hAnsi="Arial" w:cs="Arial"/>
          <w:sz w:val="20"/>
        </w:rPr>
        <w:t xml:space="preserve">There was little to no considerable adverse effect on the histology of the heart, liver and kidney and this could be attributed to the relatively lower levels of dietary fat (3 % - 6 %)  used in this study and the source (coconut oil) coupled with the ameliorative and health benefits of dietary fibre </w:t>
      </w:r>
      <w:r w:rsidR="00B24D79" w:rsidRPr="007A5C0A">
        <w:rPr>
          <w:rFonts w:ascii="Arial" w:hAnsi="Arial" w:cs="Arial"/>
          <w:sz w:val="20"/>
        </w:rPr>
        <w:t>(</w:t>
      </w:r>
      <w:r w:rsidRPr="007A5C0A">
        <w:rPr>
          <w:rFonts w:ascii="Arial" w:hAnsi="Arial" w:cs="Arial"/>
          <w:sz w:val="20"/>
        </w:rPr>
        <w:fldChar w:fldCharType="begin" w:fldLock="1"/>
      </w:r>
      <w:r w:rsidR="00822FCA" w:rsidRPr="007A5C0A">
        <w:rPr>
          <w:rFonts w:ascii="Arial" w:hAnsi="Arial" w:cs="Arial"/>
          <w:sz w:val="20"/>
        </w:rPr>
        <w:instrText>ADDIN CSL_CITATION {"citationItems":[{"id":"ITEM-1","itemData":{"DOI":"10.3390/NU14132641","ISSN":"20726643","PMID":"35807822","abstract":"Throughout history, malnutrition and deficiency diseases have been a problem for our planet’s population. A balanced diet significantly influences everyone’s health, and fiber intake appears to play a more important role than previously thought. The natural dietary fibers are a category of carbohydrates in the constitution of plants that are not completely digested in the human intestine. High-fiber foods, such as fruits, vegetables and whole grains, have consistently been highly beneficial to health and effectively reduced the risk of disease. Although the mode of action of dietary fiber in the consumer body is not fully understood, nutritionists and health professionals unanimously recognize the therapeutic benefits. This paper presents the fiber consumption in different countries, the metabolism of fiber and the range of health benefits associated with fiber intake. In addition, the influence of fiber intake on the intestinal microbiome, metabolic diseases (obesity and diabetes), neurological aspects, cardiovascular diseases, autoimmune diseases and cancer prevention are discussed. Finally, dietary restrictions and excess fiber are addressed, which can cause episodes of diarrhea and dehydration and increase the likelihood of bloating and flatulence or even bowel obstruction. However, extensive studies are needed regarding the composition and required amount of fiber in relation to the metabolism of saprotrophic microorganisms from the enteral level and the benefits of the various pathologies with which they can be correlated.","author":[{"dropping-particle":"","family":"Ioniță-Mîndrican","given":"Corina Bianca","non-dropping-particle":"","parse-names":false,"suffix":""},{"dropping-particle":"","family":"Ziani","given":"Khaled","non-dropping-particle":"","parse-names":false,"suffix":""},{"dropping-particle":"","family":"Mititelu","given":"Magdalena","non-dropping-particle":"","parse-names":false,"suffix":""},{"dropping-particle":"","family":"Oprea","given":"Eliza","non-dropping-particle":"","parse-names":false,"suffix":""},{"dropping-particle":"","family":"Neacșu","given":"Sorinel Marius","non-dropping-particle":"","parse-names":false,"suffix":""},{"dropping-particle":"","family":"Moroșan","given":"Elena","non-dropping-particle":"","parse-names":false,"suffix":""},{"dropping-particle":"","family":"Dumitrescu","given":"Denisa Elena","non-dropping-particle":"","parse-names":false,"suffix":""},{"dropping-particle":"","family":"Roșca","given":"Adrian Cosmin","non-dropping-particle":"","parse-names":false,"suffix":""},{"dropping-particle":"","family":"Drăgănescu","given":"Doina","non-dropping-particle":"","parse-names":false,"suffix":""},{"dropping-particle":"","family":"Negrei","given":"Carolina","non-dropping-particle":"","parse-names":false,"suffix":""}],"container-title":"Nutrients","id":"ITEM-1","issue":"13","issued":{"date-parts":[["2022","7","1"]]},"publisher":"Multidisciplinary Digital Publishing Institute  (MDPI)","title":"Therapeutic Benefits and Dietary Restrictions of Fiber Intake: A State of the Art Review","type":"article-journal","volume":"14"},"uris":["http://www.mendeley.com/documents/?uuid=411bbf72-8a48-31d1-8b2a-c1fba8b7051f"]},{"id":"ITEM-2","itemData":{"DOI":"10.3390/NU12103209","ISSN":"20726643","PMID":"33096647","abstract":"Background: Dietary fibre consists of non-digestible forms of carbohydrate, usually as polysaccharides that originate from plant-based foods. Over recent decades, our diet within Westernised societies has changed radically from that of our hominid ancestors, with implications for our co-evolved gut microbiota. This includes increased ingestion of ultra-processed foods that are typically impoverished of dietary fibre, and associated reduction in the intake of fibre-replete plant-based foods. Over recent decades, there has been a transformation in our understanding of the health benefits of dietary fibre. Objective: To explore the current medical literature on the health benefits of dietary fibre, with a focus on overall metabolic health. Data Sources: We performed a narrative review, based on relevant articles written in English from a PubMed search, using the terms ‘dietary fibre and metabolic health’. Results: In the Western world, our diets are impoverished of fibre. Dietary fibre intake associates with overall metabolic health (through key pathways that include insulin sensitivity) and a variety of other pathologies that include cardiovascular disease, colonic health, gut motility and risk for colorectal carcinoma. Dietary fibre intake also correlates with mortality. The gut microflora functions as an important mediator of the beneficial effects of dietary fibre, including the regulation of appetite, metabolic processes and chronic inflammatory pathways. Conclusions: Multiple factors contribute to our fibre-impoverished modern diet. Given the plethora of scientific evidence that corroborate the multiple and varied health benefits of dietary fibre, and the risks associated with a diet that lacks fibre, the optimization of fibre within our diets represents an important public health strategy to improve both metabolic and overall health. If implemented successfully, this strategy would likely result in substantial future health benefits for the population.","author":[{"dropping-particle":"","family":"Barber","given":"Thomas M.","non-dropping-particle":"","parse-names":false,"suffix":""},{"dropping-particle":"","family":"Kabisch","given":"Stefan","non-dropping-particle":"","parse-names":false,"suffix":""},{"dropping-particle":"","family":"Pfeiffer","given":"Andreas F.H.","non-dropping-particle":"","parse-names":false,"suffix":""},{"dropping-particle":"","family":"Weickert","given":"Martin O.","non-dropping-particle":"","parse-names":false,"suffix":""}],"container-title":"Nutrients","id":"ITEM-2","issue":"10","issued":{"date-parts":[["2020","10","1"]]},"page":"1-17","publisher":"MDPI AG","title":"The health benefits of dietary fibre","type":"article-journal","volume":"12"},"uris":["http://www.mendeley.com/documents/?uuid=6e1ee1a7-3d7e-3726-9fdb-f4d4995a7ef6"]},{"id":"ITEM-3","itemData":{"DOI":"10.1096/FJ.202101750R","ISSN":"1530-6860","PMID":"35344215","abstract":"Dietary fiber promotes a healthy gut microbiome and shows promise in attenuating the unfavorable microbial changes resulting from a high-fat/sucrose (HFS) diet. High-fiber diets consisting of oligofructose alone (HFS/O) or in combination with β-glucan (HFS/OB), resistant starch (HFS/OR), or β-glucan and resistant starch (HFS/OBR) were fed to diet-induced obese rats for 8 weeks to determine if these fibers could attenuate the obese phenotype. Only the HFS/O group displayed a decrease in body weight and body fat, but all fiber interventions improved insulin sensitivity and cognitive function. The HFS/O diet was the least effective at improving cognitive function and only the HFS/OB group showed improvements in glucose tolerance, thus highlighting the differential effects of fiber types. Hippocampal cytokines (IL-6, IL-10) were more pronounced in the HFS/OB group which coincided with the most time spend in the open arms of the elevated plus maze. All fiber groups showed an increase in beneficial Bifidobacterium and Lactobacillus abundance while the HFS group showed higher abundance of Clostridium. Fecal microbiota transplant from fiber-treated rats into germ-free mice did not alter body composition in the mice but did result in a higher abundance of Bacteroides in the HFS/O and HFS/OB groups compared to HFS. The HFS/OB recipient mice also had higher insulin sensitivity compared to the other groups. This study highlights the influence of dietary fiber type on metabolic and cognitive outcomes suggesting that the type of supplementation (single or combined fibers) could be tailored to specific targeted outcomes.","author":[{"dropping-particle":"","family":"Noye Tuplin","given":"Erin W.","non-dropping-particle":"","parse-names":false,"suffix":""},{"dropping-particle":"","family":"Alukic","given":"Erna","non-dropping-particle":"","parse-names":false,"suffix":""},{"dropping-particle":"","family":"Lowry","given":"Dana E.","non-dropping-particle":"","parse-names":false,"suffix":""},{"dropping-particle":"","family":"Chleilat","given":"Faye","non-dropping-particle":"","parse-names":false,"suffix":""},{"dropping-particle":"","family":"Wang","given":"Weilan","non-dropping-particle":"","parse-names":false,"suffix":""},{"dropping-particle":"","family":"Cho","given":"Nicole A.","non-dropping-particle":"","parse-names":false,"suffix":""},{"dropping-particle":"","family":"Sampsell","given":"Kara","non-dropping-particle":"","parse-names":false,"suffix":""},{"dropping-particle":"","family":"Sales","given":"Kate M.","non-dropping-particle":"","parse-names":false,"suffix":""},{"dropping-particle":"","family":"Mayengbam","given":"Shyamchand","non-dropping-particle":"","parse-names":false,"suffix":""},{"dropping-particle":"","family":"McCoy","given":"Kathy D.","non-dropping-particle":"","parse-names":false,"suffix":""},{"dropping-particle":"","family":"Reimer","given":"Raylene A.","non-dropping-particle":"","parse-names":false,"suffix":""}],"container-title":"FASEB journal : official publication of the Federation of American Societies for Experimental Biology","id":"ITEM-3","issue":"5","issued":{"date-parts":[["2022","5","1"]]},"publisher":"FASEB J","title":"Dietary fiber combinations to mitigate the metabolic, microbial, and cognitive imbalances resulting from diet-induced obesity in rats","type":"article-journal","volume":"36"},"uris":["http://www.mendeley.com/documents/?uuid=06b2b704-5beb-365e-89e9-037ba8d1a8c3"]}],"mendeley":{"formattedCitation":"(Barber et al., 2020; Ioniță-Mîndrican et al., 2022; Noye Tuplin et al., 2022)","manualFormatting":"(Barber et al., 2020; Ioniță-Mîndrican et al., 2022)","plainTextFormattedCitation":"(Barber et al., 2020; Ioniță-Mîndrican et al., 2022; Noye Tuplin et al., 2022)","previouslyFormattedCitation":"(Barber et al., 2020; Ioniță-Mîndrican et al., 2022; Noye Tuplin et al., 2022)"},"properties":{"noteIndex":0},"schema":"https://github.com/citation-style-language/schema/raw/master/csl-citation.json"}</w:instrText>
      </w:r>
      <w:r w:rsidRPr="007A5C0A">
        <w:rPr>
          <w:rFonts w:ascii="Arial" w:hAnsi="Arial" w:cs="Arial"/>
          <w:sz w:val="20"/>
        </w:rPr>
        <w:fldChar w:fldCharType="separate"/>
      </w:r>
      <w:r w:rsidR="00F722A7">
        <w:rPr>
          <w:rFonts w:ascii="Arial" w:hAnsi="Arial" w:cs="Arial"/>
          <w:noProof/>
          <w:sz w:val="20"/>
        </w:rPr>
        <w:t>12 &amp; 48</w:t>
      </w:r>
      <w:r w:rsidR="00763E5F" w:rsidRPr="007A5C0A">
        <w:rPr>
          <w:rFonts w:ascii="Arial" w:hAnsi="Arial" w:cs="Arial"/>
          <w:noProof/>
          <w:sz w:val="20"/>
        </w:rPr>
        <w:t>)</w:t>
      </w:r>
      <w:r w:rsidRPr="007A5C0A">
        <w:rPr>
          <w:rFonts w:ascii="Arial" w:hAnsi="Arial" w:cs="Arial"/>
          <w:sz w:val="20"/>
        </w:rPr>
        <w:fldChar w:fldCharType="end"/>
      </w:r>
      <w:r w:rsidRPr="007A5C0A">
        <w:rPr>
          <w:rFonts w:ascii="Arial" w:hAnsi="Arial" w:cs="Arial"/>
          <w:sz w:val="20"/>
        </w:rPr>
        <w:t>.</w:t>
      </w:r>
    </w:p>
    <w:p w14:paraId="7A512A60" w14:textId="3A609B6C" w:rsidR="000D34CA" w:rsidRPr="009E33CA" w:rsidRDefault="00554AD0" w:rsidP="00A444EB">
      <w:pPr>
        <w:pStyle w:val="Heading1"/>
      </w:pPr>
      <w:bookmarkStart w:id="28" w:name="_Toc153348045"/>
      <w:r w:rsidRPr="009E33CA">
        <w:t>CONCL</w:t>
      </w:r>
      <w:r w:rsidRPr="0002254F">
        <w:rPr>
          <w:rStyle w:val="Heading1Char"/>
        </w:rPr>
        <w:t>U</w:t>
      </w:r>
      <w:r w:rsidRPr="009E33CA">
        <w:t>SION</w:t>
      </w:r>
      <w:bookmarkEnd w:id="28"/>
    </w:p>
    <w:p w14:paraId="16D3968C" w14:textId="3EEFA8AF" w:rsidR="000D34CA" w:rsidRPr="009E33CA" w:rsidRDefault="0023592C" w:rsidP="000A05A2">
      <w:pPr>
        <w:tabs>
          <w:tab w:val="left" w:pos="0"/>
        </w:tabs>
        <w:spacing w:line="480" w:lineRule="auto"/>
        <w:jc w:val="both"/>
        <w:rPr>
          <w:rFonts w:ascii="Arial" w:hAnsi="Arial" w:cs="Arial"/>
        </w:rPr>
      </w:pPr>
      <w:r w:rsidRPr="00554AD0">
        <w:rPr>
          <w:rFonts w:ascii="Arial" w:hAnsi="Arial" w:cs="Arial"/>
          <w:sz w:val="20"/>
        </w:rPr>
        <w:t xml:space="preserve">The observation </w:t>
      </w:r>
      <w:r w:rsidR="001C256E" w:rsidRPr="00554AD0">
        <w:rPr>
          <w:rFonts w:ascii="Arial" w:hAnsi="Arial" w:cs="Arial"/>
          <w:sz w:val="20"/>
        </w:rPr>
        <w:t xml:space="preserve">of the present study </w:t>
      </w:r>
      <w:r w:rsidR="00485C9B">
        <w:rPr>
          <w:rFonts w:ascii="Arial" w:hAnsi="Arial" w:cs="Arial"/>
          <w:sz w:val="20"/>
        </w:rPr>
        <w:t>suggests</w:t>
      </w:r>
      <w:r w:rsidR="001C256E" w:rsidRPr="00554AD0">
        <w:rPr>
          <w:rFonts w:ascii="Arial" w:hAnsi="Arial" w:cs="Arial"/>
          <w:sz w:val="20"/>
        </w:rPr>
        <w:t xml:space="preserve"> that </w:t>
      </w:r>
      <w:r w:rsidR="000D34CA" w:rsidRPr="00554AD0">
        <w:rPr>
          <w:rFonts w:ascii="Arial" w:hAnsi="Arial" w:cs="Arial"/>
          <w:sz w:val="20"/>
        </w:rPr>
        <w:t xml:space="preserve">dietary fat </w:t>
      </w:r>
      <w:r w:rsidR="001C256E" w:rsidRPr="00554AD0">
        <w:rPr>
          <w:rFonts w:ascii="Arial" w:hAnsi="Arial" w:cs="Arial"/>
          <w:sz w:val="20"/>
        </w:rPr>
        <w:t>and</w:t>
      </w:r>
      <w:r w:rsidR="000D34CA" w:rsidRPr="00554AD0">
        <w:rPr>
          <w:rFonts w:ascii="Arial" w:hAnsi="Arial" w:cs="Arial"/>
          <w:sz w:val="20"/>
        </w:rPr>
        <w:t xml:space="preserve"> fibre </w:t>
      </w:r>
      <w:r w:rsidR="001C256E" w:rsidRPr="00554AD0">
        <w:rPr>
          <w:rFonts w:ascii="Arial" w:hAnsi="Arial" w:cs="Arial"/>
          <w:sz w:val="20"/>
        </w:rPr>
        <w:t>may have little influence on food</w:t>
      </w:r>
      <w:r w:rsidR="000D34CA" w:rsidRPr="00554AD0">
        <w:rPr>
          <w:rFonts w:ascii="Arial" w:hAnsi="Arial" w:cs="Arial"/>
          <w:sz w:val="20"/>
        </w:rPr>
        <w:t xml:space="preserve"> intake</w:t>
      </w:r>
      <w:r w:rsidRPr="00554AD0">
        <w:rPr>
          <w:rFonts w:ascii="Arial" w:hAnsi="Arial" w:cs="Arial"/>
          <w:sz w:val="20"/>
        </w:rPr>
        <w:t xml:space="preserve"> and blood glucose</w:t>
      </w:r>
      <w:r w:rsidR="001C256E" w:rsidRPr="00554AD0">
        <w:rPr>
          <w:rFonts w:ascii="Arial" w:hAnsi="Arial" w:cs="Arial"/>
          <w:sz w:val="20"/>
        </w:rPr>
        <w:t xml:space="preserve"> </w:t>
      </w:r>
      <w:r w:rsidR="00485C9B">
        <w:rPr>
          <w:rFonts w:ascii="Arial" w:hAnsi="Arial" w:cs="Arial"/>
          <w:sz w:val="20"/>
        </w:rPr>
        <w:t>levels</w:t>
      </w:r>
      <w:r w:rsidR="001C256E" w:rsidRPr="00554AD0">
        <w:rPr>
          <w:rFonts w:ascii="Arial" w:hAnsi="Arial" w:cs="Arial"/>
          <w:sz w:val="20"/>
        </w:rPr>
        <w:t xml:space="preserve"> </w:t>
      </w:r>
      <w:commentRangeStart w:id="29"/>
      <w:r w:rsidR="001C256E" w:rsidRPr="00554AD0">
        <w:rPr>
          <w:rFonts w:ascii="Arial" w:hAnsi="Arial" w:cs="Arial"/>
          <w:sz w:val="20"/>
        </w:rPr>
        <w:t>in humans</w:t>
      </w:r>
      <w:commentRangeEnd w:id="29"/>
      <w:r w:rsidR="00B05E68">
        <w:rPr>
          <w:rStyle w:val="CommentReference"/>
        </w:rPr>
        <w:commentReference w:id="29"/>
      </w:r>
      <w:r w:rsidR="001C256E" w:rsidRPr="00554AD0">
        <w:rPr>
          <w:rFonts w:ascii="Arial" w:hAnsi="Arial" w:cs="Arial"/>
          <w:sz w:val="20"/>
        </w:rPr>
        <w:t>. However, body weight may be influence</w:t>
      </w:r>
      <w:r w:rsidR="00485C9B">
        <w:rPr>
          <w:rFonts w:ascii="Arial" w:hAnsi="Arial" w:cs="Arial"/>
          <w:sz w:val="20"/>
        </w:rPr>
        <w:t xml:space="preserve">d by </w:t>
      </w:r>
      <w:r w:rsidR="001C256E" w:rsidRPr="00554AD0">
        <w:rPr>
          <w:rFonts w:ascii="Arial" w:hAnsi="Arial" w:cs="Arial"/>
          <w:sz w:val="20"/>
        </w:rPr>
        <w:t>high intake of fat.</w:t>
      </w:r>
      <w:r w:rsidR="000D34CA" w:rsidRPr="00554AD0">
        <w:rPr>
          <w:rFonts w:ascii="Arial" w:hAnsi="Arial" w:cs="Arial"/>
          <w:sz w:val="20"/>
        </w:rPr>
        <w:t xml:space="preserve"> </w:t>
      </w:r>
      <w:r w:rsidR="001C256E" w:rsidRPr="00554AD0">
        <w:rPr>
          <w:rFonts w:ascii="Arial" w:hAnsi="Arial" w:cs="Arial"/>
          <w:sz w:val="20"/>
        </w:rPr>
        <w:t>A h</w:t>
      </w:r>
      <w:r w:rsidR="000D34CA" w:rsidRPr="00554AD0">
        <w:rPr>
          <w:rFonts w:ascii="Arial" w:hAnsi="Arial" w:cs="Arial"/>
          <w:sz w:val="20"/>
        </w:rPr>
        <w:t xml:space="preserve">igh </w:t>
      </w:r>
      <w:r w:rsidR="001C256E" w:rsidRPr="00554AD0">
        <w:rPr>
          <w:rFonts w:ascii="Arial" w:hAnsi="Arial" w:cs="Arial"/>
          <w:sz w:val="20"/>
        </w:rPr>
        <w:t xml:space="preserve">dietary </w:t>
      </w:r>
      <w:r w:rsidR="000D34CA" w:rsidRPr="00554AD0">
        <w:rPr>
          <w:rFonts w:ascii="Arial" w:hAnsi="Arial" w:cs="Arial"/>
          <w:sz w:val="20"/>
        </w:rPr>
        <w:t xml:space="preserve">fibre intake </w:t>
      </w:r>
      <w:r w:rsidR="001C256E" w:rsidRPr="00554AD0">
        <w:rPr>
          <w:rFonts w:ascii="Arial" w:hAnsi="Arial" w:cs="Arial"/>
          <w:sz w:val="20"/>
        </w:rPr>
        <w:t xml:space="preserve">may </w:t>
      </w:r>
      <w:r w:rsidR="000D34CA" w:rsidRPr="00554AD0">
        <w:rPr>
          <w:rFonts w:ascii="Arial" w:hAnsi="Arial" w:cs="Arial"/>
          <w:sz w:val="20"/>
        </w:rPr>
        <w:t>improve kidney, heart and liver weight</w:t>
      </w:r>
      <w:r w:rsidR="001C256E" w:rsidRPr="00554AD0">
        <w:rPr>
          <w:rFonts w:ascii="Arial" w:hAnsi="Arial" w:cs="Arial"/>
          <w:sz w:val="20"/>
        </w:rPr>
        <w:t xml:space="preserve">s and </w:t>
      </w:r>
      <w:r w:rsidR="000D34CA" w:rsidRPr="00554AD0">
        <w:rPr>
          <w:rFonts w:ascii="Arial" w:hAnsi="Arial" w:cs="Arial"/>
          <w:sz w:val="20"/>
        </w:rPr>
        <w:t xml:space="preserve">cardiovascular health </w:t>
      </w:r>
      <w:r w:rsidR="001C256E" w:rsidRPr="00554AD0">
        <w:rPr>
          <w:rFonts w:ascii="Arial" w:hAnsi="Arial" w:cs="Arial"/>
          <w:sz w:val="20"/>
        </w:rPr>
        <w:t xml:space="preserve">in humans </w:t>
      </w:r>
      <w:r w:rsidR="000D34CA" w:rsidRPr="00554AD0">
        <w:rPr>
          <w:rFonts w:ascii="Arial" w:hAnsi="Arial" w:cs="Arial"/>
          <w:sz w:val="20"/>
        </w:rPr>
        <w:t xml:space="preserve">by reducing LDL levels and coronary risk, </w:t>
      </w:r>
      <w:r w:rsidR="001C256E" w:rsidRPr="00554AD0">
        <w:rPr>
          <w:rFonts w:ascii="Arial" w:hAnsi="Arial" w:cs="Arial"/>
          <w:sz w:val="20"/>
        </w:rPr>
        <w:t>increasing</w:t>
      </w:r>
      <w:r w:rsidR="000D34CA" w:rsidRPr="00554AD0">
        <w:rPr>
          <w:rFonts w:ascii="Arial" w:hAnsi="Arial" w:cs="Arial"/>
          <w:sz w:val="20"/>
        </w:rPr>
        <w:t xml:space="preserve"> dietary fibre</w:t>
      </w:r>
      <w:r w:rsidR="001C256E" w:rsidRPr="00554AD0">
        <w:rPr>
          <w:rFonts w:ascii="Arial" w:hAnsi="Arial" w:cs="Arial"/>
          <w:sz w:val="20"/>
        </w:rPr>
        <w:t xml:space="preserve"> might</w:t>
      </w:r>
      <w:r w:rsidR="000D34CA" w:rsidRPr="00554AD0">
        <w:rPr>
          <w:rFonts w:ascii="Arial" w:hAnsi="Arial" w:cs="Arial"/>
          <w:sz w:val="20"/>
        </w:rPr>
        <w:t xml:space="preserve"> mitigate the adverse effects of high fat on </w:t>
      </w:r>
      <w:r w:rsidR="001C256E" w:rsidRPr="00554AD0">
        <w:rPr>
          <w:rFonts w:ascii="Arial" w:hAnsi="Arial" w:cs="Arial"/>
          <w:sz w:val="20"/>
        </w:rPr>
        <w:t xml:space="preserve">the </w:t>
      </w:r>
      <w:r w:rsidR="000D34CA" w:rsidRPr="00554AD0">
        <w:rPr>
          <w:rFonts w:ascii="Arial" w:hAnsi="Arial" w:cs="Arial"/>
          <w:sz w:val="20"/>
        </w:rPr>
        <w:t>heart, liver, and kidney health</w:t>
      </w:r>
      <w:r w:rsidR="001C256E" w:rsidRPr="00554AD0">
        <w:rPr>
          <w:rFonts w:ascii="Arial" w:hAnsi="Arial" w:cs="Arial"/>
          <w:sz w:val="20"/>
        </w:rPr>
        <w:t xml:space="preserve"> somewhat supporting the hypothesis of the present study that intake of high dietary fibre might reduce the adverse effect of high saturated fat intake.</w:t>
      </w:r>
      <w:r w:rsidR="000D34CA" w:rsidRPr="00554AD0">
        <w:rPr>
          <w:rFonts w:ascii="Arial" w:hAnsi="Arial" w:cs="Arial"/>
          <w:sz w:val="20"/>
        </w:rPr>
        <w:t xml:space="preserve"> </w:t>
      </w:r>
    </w:p>
    <w:p w14:paraId="35D12519" w14:textId="77777777" w:rsidR="00E1286F" w:rsidRPr="0048763D" w:rsidRDefault="00E1286F" w:rsidP="00A444EB">
      <w:pPr>
        <w:pStyle w:val="Heading1"/>
      </w:pPr>
      <w:bookmarkStart w:id="30" w:name="_Toc153348022"/>
      <w:r w:rsidRPr="0048763D">
        <w:lastRenderedPageBreak/>
        <w:t>ETHICAL APPROVAL AND CONSIDERATIONS</w:t>
      </w:r>
    </w:p>
    <w:p w14:paraId="3388FFBB" w14:textId="77777777" w:rsidR="00E1286F" w:rsidRPr="0048763D" w:rsidRDefault="00E1286F" w:rsidP="000A05A2">
      <w:pPr>
        <w:tabs>
          <w:tab w:val="left" w:pos="0"/>
        </w:tabs>
        <w:spacing w:line="480" w:lineRule="auto"/>
        <w:jc w:val="both"/>
        <w:rPr>
          <w:rFonts w:ascii="Arial" w:hAnsi="Arial" w:cs="Arial"/>
          <w:sz w:val="20"/>
        </w:rPr>
      </w:pPr>
      <w:r w:rsidRPr="0048763D">
        <w:rPr>
          <w:rFonts w:ascii="Arial" w:hAnsi="Arial" w:cs="Arial"/>
          <w:sz w:val="20"/>
        </w:rPr>
        <w:t>Ethical clearance for this study was obtained from the University for Development</w:t>
      </w:r>
      <w:r w:rsidRPr="0048763D">
        <w:rPr>
          <w:rFonts w:ascii="Arial" w:hAnsi="Arial" w:cs="Arial"/>
          <w:sz w:val="20"/>
          <w:u w:val="single"/>
        </w:rPr>
        <w:t xml:space="preserve"> </w:t>
      </w:r>
      <w:r w:rsidRPr="0048763D">
        <w:rPr>
          <w:rFonts w:ascii="Arial" w:hAnsi="Arial" w:cs="Arial"/>
          <w:sz w:val="20"/>
        </w:rPr>
        <w:t>Studies Institutional Review Board (UDSIRB) with the approval reference number UDS/RB/187/23. The study protocol and procedures complied with the ethical standards outlined by the UDSIRB.</w:t>
      </w:r>
    </w:p>
    <w:p w14:paraId="7C83384F" w14:textId="77777777" w:rsidR="006868CB" w:rsidRDefault="006868CB" w:rsidP="0083042F">
      <w:pPr>
        <w:tabs>
          <w:tab w:val="left" w:pos="0"/>
        </w:tabs>
        <w:spacing w:line="480" w:lineRule="auto"/>
        <w:ind w:left="-567"/>
        <w:jc w:val="both"/>
      </w:pPr>
    </w:p>
    <w:p w14:paraId="40EF83A4" w14:textId="77777777" w:rsidR="006868CB" w:rsidRPr="009E33CA" w:rsidRDefault="006868CB" w:rsidP="006868CB">
      <w:pPr>
        <w:pStyle w:val="Heading1"/>
        <w:rPr>
          <w:noProof/>
        </w:rPr>
      </w:pPr>
      <w:r>
        <w:rPr>
          <w:noProof/>
        </w:rPr>
        <w:t>ABBREVIATIONS</w:t>
      </w:r>
    </w:p>
    <w:p w14:paraId="3F9A0EC2" w14:textId="77777777" w:rsidR="006868CB" w:rsidRPr="009E33CA" w:rsidRDefault="006868CB" w:rsidP="006868CB">
      <w:pPr>
        <w:widowControl w:val="0"/>
        <w:tabs>
          <w:tab w:val="left" w:pos="0"/>
        </w:tabs>
        <w:autoSpaceDE w:val="0"/>
        <w:autoSpaceDN w:val="0"/>
        <w:adjustRightInd w:val="0"/>
        <w:spacing w:line="240" w:lineRule="auto"/>
        <w:ind w:left="-142" w:hanging="425"/>
        <w:jc w:val="both"/>
        <w:rPr>
          <w:rFonts w:ascii="Arial" w:hAnsi="Arial" w:cs="Arial"/>
          <w:noProof/>
          <w:szCs w:val="24"/>
        </w:rPr>
      </w:pPr>
    </w:p>
    <w:p w14:paraId="1434FCB3" w14:textId="77777777" w:rsidR="006868CB" w:rsidRPr="0020651E" w:rsidRDefault="006868CB" w:rsidP="006868CB">
      <w:pPr>
        <w:rPr>
          <w:rFonts w:ascii="Arial" w:hAnsi="Arial" w:cs="Arial"/>
          <w:sz w:val="20"/>
        </w:rPr>
      </w:pPr>
      <w:r w:rsidRPr="0020651E">
        <w:rPr>
          <w:rFonts w:ascii="Arial" w:hAnsi="Arial" w:cs="Arial"/>
          <w:b/>
          <w:sz w:val="20"/>
        </w:rPr>
        <w:t>Abbreviations</w:t>
      </w:r>
      <w:r w:rsidRPr="0020651E">
        <w:rPr>
          <w:rFonts w:ascii="Arial" w:hAnsi="Arial" w:cs="Arial"/>
          <w:b/>
          <w:sz w:val="20"/>
        </w:rPr>
        <w:tab/>
      </w:r>
      <w:r w:rsidRPr="0020651E">
        <w:rPr>
          <w:rFonts w:ascii="Arial" w:hAnsi="Arial" w:cs="Arial"/>
          <w:b/>
          <w:sz w:val="20"/>
        </w:rPr>
        <w:tab/>
      </w:r>
      <w:r w:rsidRPr="0020651E">
        <w:rPr>
          <w:rFonts w:ascii="Arial" w:hAnsi="Arial" w:cs="Arial"/>
          <w:b/>
          <w:sz w:val="20"/>
        </w:rPr>
        <w:tab/>
      </w:r>
      <w:r w:rsidRPr="0020651E">
        <w:rPr>
          <w:rFonts w:ascii="Arial" w:hAnsi="Arial" w:cs="Arial"/>
          <w:b/>
          <w:sz w:val="20"/>
        </w:rPr>
        <w:tab/>
        <w:t>Meaning</w:t>
      </w:r>
      <w:r w:rsidRPr="0020651E">
        <w:rPr>
          <w:rFonts w:ascii="Arial" w:hAnsi="Arial" w:cs="Arial"/>
          <w:sz w:val="20"/>
        </w:rPr>
        <w:tab/>
      </w:r>
      <w:r w:rsidRPr="0020651E">
        <w:rPr>
          <w:rFonts w:ascii="Arial" w:hAnsi="Arial" w:cs="Arial"/>
          <w:sz w:val="20"/>
        </w:rPr>
        <w:tab/>
      </w:r>
      <w:r w:rsidRPr="0020651E">
        <w:rPr>
          <w:rFonts w:ascii="Arial" w:hAnsi="Arial" w:cs="Arial"/>
          <w:sz w:val="20"/>
        </w:rPr>
        <w:tab/>
      </w:r>
      <w:r w:rsidRPr="0020651E">
        <w:rPr>
          <w:rFonts w:ascii="Arial" w:hAnsi="Arial" w:cs="Arial"/>
          <w:sz w:val="20"/>
        </w:rPr>
        <w:tab/>
      </w:r>
      <w:r w:rsidRPr="0020651E">
        <w:rPr>
          <w:rFonts w:ascii="Arial" w:hAnsi="Arial" w:cs="Arial"/>
          <w:sz w:val="20"/>
        </w:rPr>
        <w:tab/>
      </w:r>
      <w:r w:rsidRPr="0020651E">
        <w:rPr>
          <w:rFonts w:ascii="Arial" w:hAnsi="Arial" w:cs="Arial"/>
          <w:sz w:val="20"/>
        </w:rPr>
        <w:tab/>
      </w:r>
      <w:r w:rsidRPr="0020651E">
        <w:rPr>
          <w:rFonts w:ascii="Arial" w:hAnsi="Arial" w:cs="Arial"/>
          <w:sz w:val="20"/>
        </w:rPr>
        <w:tab/>
        <w:t xml:space="preserve">                    </w:t>
      </w:r>
      <w:r w:rsidRPr="0020651E">
        <w:rPr>
          <w:rFonts w:ascii="Arial" w:hAnsi="Arial" w:cs="Arial"/>
          <w:sz w:val="20"/>
        </w:rPr>
        <w:tab/>
      </w:r>
    </w:p>
    <w:p w14:paraId="4FCF18CC" w14:textId="77777777" w:rsidR="006868CB" w:rsidRPr="0020651E" w:rsidRDefault="006868CB" w:rsidP="006868CB">
      <w:pPr>
        <w:spacing w:line="480" w:lineRule="auto"/>
        <w:rPr>
          <w:rFonts w:ascii="Arial" w:hAnsi="Arial" w:cs="Arial"/>
          <w:bCs/>
          <w:sz w:val="20"/>
          <w:lang w:val="nl-NL"/>
        </w:rPr>
      </w:pPr>
      <w:r w:rsidRPr="0020651E">
        <w:rPr>
          <w:rFonts w:ascii="Arial" w:hAnsi="Arial" w:cs="Arial"/>
          <w:bCs/>
          <w:sz w:val="20"/>
          <w:lang w:val="nl-NL"/>
        </w:rPr>
        <w:t xml:space="preserve">ALBU. </w:t>
      </w:r>
      <w:r w:rsidRPr="0020651E">
        <w:rPr>
          <w:rFonts w:ascii="Arial" w:hAnsi="Arial" w:cs="Arial"/>
          <w:bCs/>
          <w:sz w:val="20"/>
          <w:lang w:val="nl-NL"/>
        </w:rPr>
        <w:tab/>
      </w:r>
      <w:r w:rsidRPr="0020651E">
        <w:rPr>
          <w:rFonts w:ascii="Arial" w:hAnsi="Arial" w:cs="Arial"/>
          <w:bCs/>
          <w:sz w:val="20"/>
          <w:lang w:val="nl-NL"/>
        </w:rPr>
        <w:tab/>
      </w:r>
      <w:r w:rsidRPr="0020651E">
        <w:rPr>
          <w:rFonts w:ascii="Arial" w:hAnsi="Arial" w:cs="Arial"/>
          <w:bCs/>
          <w:sz w:val="20"/>
          <w:lang w:val="nl-NL"/>
        </w:rPr>
        <w:tab/>
      </w:r>
      <w:r w:rsidRPr="0020651E">
        <w:rPr>
          <w:rFonts w:ascii="Arial" w:hAnsi="Arial" w:cs="Arial"/>
          <w:bCs/>
          <w:sz w:val="20"/>
          <w:lang w:val="nl-NL"/>
        </w:rPr>
        <w:tab/>
      </w:r>
      <w:r w:rsidRPr="0020651E">
        <w:rPr>
          <w:rFonts w:ascii="Arial" w:hAnsi="Arial" w:cs="Arial"/>
          <w:bCs/>
          <w:sz w:val="20"/>
          <w:lang w:val="nl-NL"/>
        </w:rPr>
        <w:tab/>
        <w:t>Albumin</w:t>
      </w:r>
    </w:p>
    <w:p w14:paraId="56F725AC" w14:textId="77777777" w:rsidR="006868CB" w:rsidRPr="0020651E" w:rsidRDefault="006868CB" w:rsidP="006868CB">
      <w:pPr>
        <w:spacing w:line="480" w:lineRule="auto"/>
        <w:rPr>
          <w:rFonts w:ascii="Arial" w:hAnsi="Arial" w:cs="Arial"/>
          <w:bCs/>
          <w:sz w:val="20"/>
          <w:lang w:val="nl-NL"/>
        </w:rPr>
      </w:pPr>
      <w:r w:rsidRPr="0020651E">
        <w:rPr>
          <w:rFonts w:ascii="Arial" w:hAnsi="Arial" w:cs="Arial"/>
          <w:bCs/>
          <w:sz w:val="20"/>
          <w:lang w:val="nl-NL"/>
        </w:rPr>
        <w:t xml:space="preserve">CV </w:t>
      </w:r>
      <w:r>
        <w:rPr>
          <w:rFonts w:ascii="Arial" w:hAnsi="Arial" w:cs="Arial"/>
          <w:bCs/>
          <w:sz w:val="20"/>
          <w:lang w:val="nl-NL"/>
        </w:rPr>
        <w:tab/>
      </w:r>
      <w:r>
        <w:rPr>
          <w:rFonts w:ascii="Arial" w:hAnsi="Arial" w:cs="Arial"/>
          <w:bCs/>
          <w:sz w:val="20"/>
          <w:lang w:val="nl-NL"/>
        </w:rPr>
        <w:tab/>
      </w:r>
      <w:r>
        <w:rPr>
          <w:rFonts w:ascii="Arial" w:hAnsi="Arial" w:cs="Arial"/>
          <w:bCs/>
          <w:sz w:val="20"/>
          <w:lang w:val="nl-NL"/>
        </w:rPr>
        <w:tab/>
      </w:r>
      <w:r>
        <w:rPr>
          <w:rFonts w:ascii="Arial" w:hAnsi="Arial" w:cs="Arial"/>
          <w:bCs/>
          <w:sz w:val="20"/>
          <w:lang w:val="nl-NL"/>
        </w:rPr>
        <w:tab/>
      </w:r>
      <w:r>
        <w:rPr>
          <w:rFonts w:ascii="Arial" w:hAnsi="Arial" w:cs="Arial"/>
          <w:bCs/>
          <w:sz w:val="20"/>
          <w:lang w:val="nl-NL"/>
        </w:rPr>
        <w:tab/>
      </w:r>
      <w:r w:rsidRPr="0020651E">
        <w:rPr>
          <w:rFonts w:ascii="Arial" w:hAnsi="Arial" w:cs="Arial"/>
          <w:bCs/>
          <w:sz w:val="20"/>
          <w:lang w:val="nl-NL"/>
        </w:rPr>
        <w:t>Central vein</w:t>
      </w:r>
    </w:p>
    <w:p w14:paraId="626D0FF9" w14:textId="77777777" w:rsidR="006868CB" w:rsidRPr="0020651E" w:rsidRDefault="006868CB" w:rsidP="006868CB">
      <w:pPr>
        <w:spacing w:line="480" w:lineRule="auto"/>
        <w:rPr>
          <w:rFonts w:ascii="Arial" w:hAnsi="Arial" w:cs="Arial"/>
          <w:bCs/>
          <w:sz w:val="20"/>
          <w:lang w:val="nl-NL"/>
        </w:rPr>
      </w:pPr>
      <w:r w:rsidRPr="0020651E">
        <w:rPr>
          <w:rFonts w:ascii="Arial" w:hAnsi="Arial" w:cs="Arial"/>
          <w:bCs/>
          <w:sz w:val="20"/>
          <w:lang w:val="nl-NL"/>
        </w:rPr>
        <w:t xml:space="preserve">G </w:t>
      </w:r>
      <w:r>
        <w:rPr>
          <w:rFonts w:ascii="Arial" w:hAnsi="Arial" w:cs="Arial"/>
          <w:bCs/>
          <w:sz w:val="20"/>
          <w:lang w:val="nl-NL"/>
        </w:rPr>
        <w:tab/>
      </w:r>
      <w:r>
        <w:rPr>
          <w:rFonts w:ascii="Arial" w:hAnsi="Arial" w:cs="Arial"/>
          <w:bCs/>
          <w:sz w:val="20"/>
          <w:lang w:val="nl-NL"/>
        </w:rPr>
        <w:tab/>
      </w:r>
      <w:r>
        <w:rPr>
          <w:rFonts w:ascii="Arial" w:hAnsi="Arial" w:cs="Arial"/>
          <w:bCs/>
          <w:sz w:val="20"/>
          <w:lang w:val="nl-NL"/>
        </w:rPr>
        <w:tab/>
      </w:r>
      <w:r>
        <w:rPr>
          <w:rFonts w:ascii="Arial" w:hAnsi="Arial" w:cs="Arial"/>
          <w:bCs/>
          <w:sz w:val="20"/>
          <w:lang w:val="nl-NL"/>
        </w:rPr>
        <w:tab/>
      </w:r>
      <w:r>
        <w:rPr>
          <w:rFonts w:ascii="Arial" w:hAnsi="Arial" w:cs="Arial"/>
          <w:bCs/>
          <w:sz w:val="20"/>
          <w:lang w:val="nl-NL"/>
        </w:rPr>
        <w:tab/>
      </w:r>
      <w:r w:rsidRPr="0020651E">
        <w:rPr>
          <w:rFonts w:ascii="Arial" w:hAnsi="Arial" w:cs="Arial"/>
          <w:bCs/>
          <w:sz w:val="20"/>
          <w:lang w:val="nl-NL"/>
        </w:rPr>
        <w:t>Glomerulus</w:t>
      </w:r>
    </w:p>
    <w:p w14:paraId="0D0AB128"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GLOB. </w:t>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t>Globulin</w:t>
      </w:r>
    </w:p>
    <w:p w14:paraId="6E3AFC02"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H&amp;E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20651E">
        <w:rPr>
          <w:rFonts w:ascii="Arial" w:hAnsi="Arial" w:cs="Arial"/>
          <w:bCs/>
          <w:sz w:val="20"/>
        </w:rPr>
        <w:t>Haematoxylin and Eosin</w:t>
      </w:r>
    </w:p>
    <w:p w14:paraId="67E2C692"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HDL    </w:t>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t>High-density lipoprotein</w:t>
      </w:r>
    </w:p>
    <w:p w14:paraId="01E8B3F9"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HFa-HFb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20651E">
        <w:rPr>
          <w:rFonts w:ascii="Arial" w:hAnsi="Arial" w:cs="Arial"/>
          <w:bCs/>
          <w:sz w:val="20"/>
        </w:rPr>
        <w:t xml:space="preserve">High fat &amp; </w:t>
      </w:r>
      <w:r>
        <w:rPr>
          <w:rFonts w:ascii="Arial" w:hAnsi="Arial" w:cs="Arial"/>
          <w:bCs/>
          <w:sz w:val="20"/>
        </w:rPr>
        <w:t>H</w:t>
      </w:r>
      <w:r w:rsidRPr="0020651E">
        <w:rPr>
          <w:rFonts w:ascii="Arial" w:hAnsi="Arial" w:cs="Arial"/>
          <w:bCs/>
          <w:sz w:val="20"/>
        </w:rPr>
        <w:t>igh fibre diet</w:t>
      </w:r>
    </w:p>
    <w:p w14:paraId="574CFE45"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HFa-LFb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20651E">
        <w:rPr>
          <w:rFonts w:ascii="Arial" w:hAnsi="Arial" w:cs="Arial"/>
          <w:bCs/>
          <w:sz w:val="20"/>
        </w:rPr>
        <w:t>High fat &amp; Low fibre diet</w:t>
      </w:r>
    </w:p>
    <w:p w14:paraId="3FC37A5B"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IND. BIL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20651E">
        <w:rPr>
          <w:rFonts w:ascii="Arial" w:hAnsi="Arial" w:cs="Arial"/>
          <w:bCs/>
          <w:sz w:val="20"/>
        </w:rPr>
        <w:t>Indirect Bilirubin</w:t>
      </w:r>
    </w:p>
    <w:p w14:paraId="4939C502"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LDL </w:t>
      </w:r>
      <w:r w:rsidRPr="0020651E">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20651E">
        <w:rPr>
          <w:rFonts w:ascii="Arial" w:hAnsi="Arial" w:cs="Arial"/>
          <w:bCs/>
          <w:sz w:val="20"/>
        </w:rPr>
        <w:t>Low-density lipoprotein</w:t>
      </w:r>
    </w:p>
    <w:p w14:paraId="4847B04C"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LFa-HFb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20651E">
        <w:rPr>
          <w:rFonts w:ascii="Arial" w:hAnsi="Arial" w:cs="Arial"/>
          <w:bCs/>
          <w:sz w:val="20"/>
        </w:rPr>
        <w:t xml:space="preserve">Low fat &amp; High fibre diet </w:t>
      </w:r>
    </w:p>
    <w:p w14:paraId="014333E5"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LFa-LFb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20651E">
        <w:rPr>
          <w:rFonts w:ascii="Arial" w:hAnsi="Arial" w:cs="Arial"/>
          <w:bCs/>
          <w:sz w:val="20"/>
        </w:rPr>
        <w:t xml:space="preserve">Low fat &amp; Low fibre diet </w:t>
      </w:r>
    </w:p>
    <w:p w14:paraId="0A2A9B55"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MID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20651E">
        <w:rPr>
          <w:rFonts w:ascii="Arial" w:hAnsi="Arial" w:cs="Arial"/>
          <w:bCs/>
          <w:sz w:val="20"/>
        </w:rPr>
        <w:t>Minimum inhibitory dilution</w:t>
      </w:r>
    </w:p>
    <w:p w14:paraId="1F95B5C4"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NAFLD </w:t>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t>Non-Alcoholic Fatty Liver disease</w:t>
      </w:r>
    </w:p>
    <w:p w14:paraId="4D6AF3C9"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lastRenderedPageBreak/>
        <w:t xml:space="preserve">PT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20651E">
        <w:rPr>
          <w:rFonts w:ascii="Arial" w:hAnsi="Arial" w:cs="Arial"/>
          <w:bCs/>
          <w:sz w:val="20"/>
        </w:rPr>
        <w:t>Portal Tract</w:t>
      </w:r>
    </w:p>
    <w:p w14:paraId="1B174478"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T. Cholesterol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20651E">
        <w:rPr>
          <w:rFonts w:ascii="Arial" w:hAnsi="Arial" w:cs="Arial"/>
          <w:bCs/>
          <w:sz w:val="20"/>
        </w:rPr>
        <w:t xml:space="preserve">Total cholesterol </w:t>
      </w:r>
    </w:p>
    <w:p w14:paraId="66AA74AD"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T. Pro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20651E">
        <w:rPr>
          <w:rFonts w:ascii="Arial" w:hAnsi="Arial" w:cs="Arial"/>
          <w:bCs/>
          <w:sz w:val="20"/>
        </w:rPr>
        <w:t>Total protein</w:t>
      </w:r>
    </w:p>
    <w:p w14:paraId="344AFCD2"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T.BIL </w:t>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t>Total Bilirubin</w:t>
      </w:r>
    </w:p>
    <w:p w14:paraId="3BD1D450"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T2DM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20651E">
        <w:rPr>
          <w:rFonts w:ascii="Arial" w:hAnsi="Arial" w:cs="Arial"/>
          <w:bCs/>
          <w:sz w:val="20"/>
        </w:rPr>
        <w:t>Type 2 Diabetes Mellitus</w:t>
      </w:r>
    </w:p>
    <w:p w14:paraId="7BCADA99"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TGA    </w:t>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t>Triglycerides</w:t>
      </w:r>
    </w:p>
    <w:p w14:paraId="3031221C"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VLDL </w:t>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t>Very low-density lipoprotein</w:t>
      </w:r>
    </w:p>
    <w:p w14:paraId="67F64FD4" w14:textId="77777777" w:rsidR="006868CB" w:rsidRPr="0020651E" w:rsidRDefault="006868CB" w:rsidP="006868CB">
      <w:pPr>
        <w:spacing w:line="480" w:lineRule="auto"/>
        <w:rPr>
          <w:rFonts w:ascii="Arial" w:hAnsi="Arial" w:cs="Arial"/>
          <w:bCs/>
          <w:sz w:val="20"/>
        </w:rPr>
      </w:pPr>
      <w:r w:rsidRPr="0020651E">
        <w:rPr>
          <w:rFonts w:ascii="Arial" w:hAnsi="Arial" w:cs="Arial"/>
          <w:bCs/>
          <w:sz w:val="20"/>
        </w:rPr>
        <w:t xml:space="preserve">w/BW % </w:t>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r>
      <w:r w:rsidRPr="0020651E">
        <w:rPr>
          <w:rFonts w:ascii="Arial" w:hAnsi="Arial" w:cs="Arial"/>
          <w:bCs/>
          <w:sz w:val="20"/>
        </w:rPr>
        <w:tab/>
        <w:t xml:space="preserve">organ weight per body weight expressed as a </w:t>
      </w:r>
    </w:p>
    <w:p w14:paraId="6F61790A" w14:textId="77777777" w:rsidR="006868CB" w:rsidRDefault="006868CB" w:rsidP="006868CB">
      <w:pPr>
        <w:spacing w:line="480" w:lineRule="auto"/>
        <w:ind w:left="2880" w:firstLine="720"/>
        <w:rPr>
          <w:bCs/>
        </w:rPr>
      </w:pPr>
      <w:r>
        <w:rPr>
          <w:bCs/>
        </w:rPr>
        <w:t>percentage (relative organ weight)</w:t>
      </w:r>
    </w:p>
    <w:p w14:paraId="1026F0C6" w14:textId="77777777" w:rsidR="006868CB" w:rsidRPr="009E33CA" w:rsidRDefault="006868CB" w:rsidP="0083042F">
      <w:pPr>
        <w:tabs>
          <w:tab w:val="left" w:pos="0"/>
        </w:tabs>
        <w:spacing w:line="480" w:lineRule="auto"/>
        <w:ind w:left="-567"/>
        <w:jc w:val="both"/>
      </w:pPr>
    </w:p>
    <w:p w14:paraId="0D5526D0" w14:textId="69180529" w:rsidR="00E1286F" w:rsidRPr="009E33CA" w:rsidRDefault="00215AEE" w:rsidP="00D53A52">
      <w:pPr>
        <w:pStyle w:val="Heading1"/>
      </w:pPr>
      <w:r w:rsidRPr="009E33CA">
        <w:br w:type="page"/>
      </w:r>
      <w:bookmarkEnd w:id="13"/>
      <w:bookmarkEnd w:id="30"/>
      <w:r w:rsidR="00D53A52" w:rsidRPr="009E33CA">
        <w:lastRenderedPageBreak/>
        <w:t xml:space="preserve"> </w:t>
      </w:r>
    </w:p>
    <w:sectPr w:rsidR="00E1286F" w:rsidRPr="009E33CA" w:rsidSect="00214D7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Microsoft" w:date="2025-04-19T11:30:00Z" w:initials="M">
    <w:p w14:paraId="2898A48A" w14:textId="6B5DB2DD" w:rsidR="000B7BA9" w:rsidRDefault="000B7BA9">
      <w:pPr>
        <w:pStyle w:val="CommentText"/>
      </w:pPr>
      <w:r>
        <w:rPr>
          <w:rStyle w:val="CommentReference"/>
        </w:rPr>
        <w:annotationRef/>
      </w:r>
      <w:r>
        <w:t>Vs..? or And…?</w:t>
      </w:r>
    </w:p>
  </w:comment>
  <w:comment w:id="8" w:author="Microsoft" w:date="2025-04-19T11:31:00Z" w:initials="M">
    <w:p w14:paraId="04A3B3D0" w14:textId="07CCF612" w:rsidR="000B7BA9" w:rsidRDefault="000B7BA9">
      <w:pPr>
        <w:pStyle w:val="CommentText"/>
      </w:pPr>
      <w:r>
        <w:rPr>
          <w:rStyle w:val="CommentReference"/>
        </w:rPr>
        <w:annotationRef/>
      </w:r>
      <w:r>
        <w:t>??</w:t>
      </w:r>
    </w:p>
  </w:comment>
  <w:comment w:id="10" w:author="Microsoft" w:date="2025-04-18T19:34:00Z" w:initials="M">
    <w:p w14:paraId="0B5820C8" w14:textId="6A29A6D1" w:rsidR="00486FDC" w:rsidRDefault="00486FDC">
      <w:pPr>
        <w:pStyle w:val="CommentText"/>
      </w:pPr>
      <w:r>
        <w:rPr>
          <w:rStyle w:val="CommentReference"/>
        </w:rPr>
        <w:annotationRef/>
      </w:r>
      <w:r>
        <w:t>Keep bracket, instead of semicolon</w:t>
      </w:r>
    </w:p>
  </w:comment>
  <w:comment w:id="16" w:author="Microsoft" w:date="2025-04-19T10:52:00Z" w:initials="M">
    <w:p w14:paraId="56C11AF8" w14:textId="492AECB1" w:rsidR="00486FDC" w:rsidRDefault="00486FDC">
      <w:pPr>
        <w:pStyle w:val="CommentText"/>
      </w:pPr>
      <w:r>
        <w:rPr>
          <w:rStyle w:val="CommentReference"/>
        </w:rPr>
        <w:annotationRef/>
      </w:r>
      <w:r>
        <w:t>This is not your study..? revise entire paragraph</w:t>
      </w:r>
    </w:p>
  </w:comment>
  <w:comment w:id="17" w:author="Microsoft" w:date="2025-04-18T20:19:00Z" w:initials="M">
    <w:p w14:paraId="3EC6A79D" w14:textId="4435036A" w:rsidR="00486FDC" w:rsidRDefault="00486FDC">
      <w:pPr>
        <w:pStyle w:val="CommentText"/>
      </w:pPr>
      <w:r>
        <w:rPr>
          <w:rStyle w:val="CommentReference"/>
        </w:rPr>
        <w:annotationRef/>
      </w:r>
      <w:r>
        <w:t>The study period</w:t>
      </w:r>
    </w:p>
  </w:comment>
  <w:comment w:id="19" w:author="Microsoft" w:date="2025-04-18T20:23:00Z" w:initials="M">
    <w:p w14:paraId="40D0E268" w14:textId="51AD8298" w:rsidR="00486FDC" w:rsidRDefault="00486FDC">
      <w:pPr>
        <w:pStyle w:val="CommentText"/>
      </w:pPr>
      <w:r>
        <w:rPr>
          <w:rStyle w:val="CommentReference"/>
        </w:rPr>
        <w:annotationRef/>
      </w:r>
      <w:r>
        <w:t>Make it clear.</w:t>
      </w:r>
    </w:p>
  </w:comment>
  <w:comment w:id="21" w:author="Microsoft" w:date="2025-04-18T20:29:00Z" w:initials="M">
    <w:p w14:paraId="656E98DD" w14:textId="2820004E" w:rsidR="00486FDC" w:rsidRDefault="00486FDC">
      <w:pPr>
        <w:pStyle w:val="CommentText"/>
      </w:pPr>
      <w:r>
        <w:rPr>
          <w:rStyle w:val="CommentReference"/>
        </w:rPr>
        <w:annotationRef/>
      </w:r>
      <w:r>
        <w:t>Appear to be there is a error</w:t>
      </w:r>
    </w:p>
  </w:comment>
  <w:comment w:id="24" w:author="Microsoft" w:date="2025-04-18T20:47:00Z" w:initials="M">
    <w:p w14:paraId="64B023E1" w14:textId="77777777" w:rsidR="00486FDC" w:rsidRDefault="00486FDC">
      <w:pPr>
        <w:pStyle w:val="CommentText"/>
      </w:pPr>
      <w:r>
        <w:rPr>
          <w:rStyle w:val="CommentReference"/>
        </w:rPr>
        <w:annotationRef/>
      </w:r>
      <w:r>
        <w:t>How did you estimate coronary risk</w:t>
      </w:r>
    </w:p>
    <w:p w14:paraId="6C8A7203" w14:textId="545D6832" w:rsidR="00486FDC" w:rsidRDefault="00486FDC">
      <w:pPr>
        <w:pStyle w:val="CommentText"/>
      </w:pPr>
    </w:p>
  </w:comment>
  <w:comment w:id="25" w:author="Microsoft" w:date="2025-04-19T12:35:00Z" w:initials="M">
    <w:p w14:paraId="021AC803" w14:textId="35A6FA6A" w:rsidR="0008031F" w:rsidRDefault="0008031F">
      <w:pPr>
        <w:pStyle w:val="CommentText"/>
      </w:pPr>
      <w:r>
        <w:rPr>
          <w:rStyle w:val="CommentReference"/>
        </w:rPr>
        <w:annotationRef/>
      </w:r>
      <w:r>
        <w:t>How high fibre is related to breakdown of RBC or liver dysfunction.</w:t>
      </w:r>
    </w:p>
  </w:comment>
  <w:comment w:id="29" w:author="Microsoft" w:date="2025-04-19T12:48:00Z" w:initials="M">
    <w:p w14:paraId="161BFE55" w14:textId="35109BC6" w:rsidR="00B05E68" w:rsidRDefault="00B05E68">
      <w:pPr>
        <w:pStyle w:val="CommentText"/>
      </w:pPr>
      <w:r>
        <w:rPr>
          <w:rStyle w:val="CommentReference"/>
        </w:rPr>
        <w:annotationRef/>
      </w:r>
      <w:r>
        <w:t>Humans or rat. The study should be concluded with the results in the sps of experiment. The final statement may include its relevance in humans.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98A48A" w15:done="0"/>
  <w15:commentEx w15:paraId="04A3B3D0" w15:done="0"/>
  <w15:commentEx w15:paraId="0B5820C8" w15:done="0"/>
  <w15:commentEx w15:paraId="56C11AF8" w15:done="0"/>
  <w15:commentEx w15:paraId="3EC6A79D" w15:done="0"/>
  <w15:commentEx w15:paraId="40D0E268" w15:done="0"/>
  <w15:commentEx w15:paraId="656E98DD" w15:done="0"/>
  <w15:commentEx w15:paraId="6C8A7203" w15:done="0"/>
  <w15:commentEx w15:paraId="021AC803" w15:done="0"/>
  <w15:commentEx w15:paraId="161BFE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946AD" w14:textId="77777777" w:rsidR="007C4940" w:rsidRDefault="007C4940">
      <w:pPr>
        <w:spacing w:after="0" w:line="240" w:lineRule="auto"/>
      </w:pPr>
      <w:r>
        <w:separator/>
      </w:r>
    </w:p>
  </w:endnote>
  <w:endnote w:type="continuationSeparator" w:id="0">
    <w:p w14:paraId="41EE33C8" w14:textId="77777777" w:rsidR="007C4940" w:rsidRDefault="007C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40C1C" w14:textId="77777777" w:rsidR="00486FDC" w:rsidRDefault="00486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213341"/>
      <w:docPartObj>
        <w:docPartGallery w:val="Page Numbers (Bottom of Page)"/>
        <w:docPartUnique/>
      </w:docPartObj>
    </w:sdtPr>
    <w:sdtEndPr>
      <w:rPr>
        <w:noProof/>
      </w:rPr>
    </w:sdtEndPr>
    <w:sdtContent>
      <w:p w14:paraId="001444E5" w14:textId="77777777" w:rsidR="00486FDC" w:rsidRDefault="00486FDC">
        <w:pPr>
          <w:pStyle w:val="Footer"/>
          <w:jc w:val="center"/>
        </w:pPr>
        <w:r>
          <w:fldChar w:fldCharType="begin"/>
        </w:r>
        <w:r>
          <w:instrText xml:space="preserve"> PAGE   \* MERGEFORMAT </w:instrText>
        </w:r>
        <w:r>
          <w:fldChar w:fldCharType="separate"/>
        </w:r>
        <w:r w:rsidR="009D4681">
          <w:rPr>
            <w:noProof/>
          </w:rPr>
          <w:t>21</w:t>
        </w:r>
        <w:r>
          <w:rPr>
            <w:noProof/>
          </w:rPr>
          <w:fldChar w:fldCharType="end"/>
        </w:r>
      </w:p>
    </w:sdtContent>
  </w:sdt>
  <w:p w14:paraId="24A3BD04" w14:textId="77777777" w:rsidR="00486FDC" w:rsidRDefault="00486F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6C358" w14:textId="77777777" w:rsidR="00486FDC" w:rsidRDefault="00486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70FE7" w14:textId="77777777" w:rsidR="007C4940" w:rsidRDefault="007C4940">
      <w:pPr>
        <w:spacing w:after="0" w:line="240" w:lineRule="auto"/>
      </w:pPr>
      <w:r>
        <w:separator/>
      </w:r>
    </w:p>
  </w:footnote>
  <w:footnote w:type="continuationSeparator" w:id="0">
    <w:p w14:paraId="30DDB892" w14:textId="77777777" w:rsidR="007C4940" w:rsidRDefault="007C4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B77FF" w14:textId="2E62651F" w:rsidR="00486FDC" w:rsidRDefault="007C4940">
    <w:pPr>
      <w:pStyle w:val="Header"/>
    </w:pPr>
    <w:r>
      <w:rPr>
        <w:noProof/>
      </w:rPr>
      <w:pict w14:anchorId="16F77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16915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B7203" w14:textId="35EB8605" w:rsidR="00486FDC" w:rsidRDefault="007C4940">
    <w:pPr>
      <w:pStyle w:val="Header"/>
    </w:pPr>
    <w:r>
      <w:rPr>
        <w:noProof/>
      </w:rPr>
      <w:pict w14:anchorId="7D5EB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16915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A3210" w14:textId="72F66F49" w:rsidR="00486FDC" w:rsidRDefault="007C4940">
    <w:pPr>
      <w:pStyle w:val="Header"/>
    </w:pPr>
    <w:r>
      <w:rPr>
        <w:noProof/>
      </w:rPr>
      <w:pict w14:anchorId="56937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16915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35654"/>
    <w:multiLevelType w:val="hybridMultilevel"/>
    <w:tmpl w:val="3C1C8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76DB5"/>
    <w:multiLevelType w:val="hybridMultilevel"/>
    <w:tmpl w:val="0D90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6376E"/>
    <w:multiLevelType w:val="hybridMultilevel"/>
    <w:tmpl w:val="84486876"/>
    <w:lvl w:ilvl="0" w:tplc="F0E40E04">
      <w:start w:val="1"/>
      <w:numFmt w:val="bullet"/>
      <w:lvlText w:val=""/>
      <w:lvlJc w:val="left"/>
      <w:pPr>
        <w:tabs>
          <w:tab w:val="num" w:pos="720"/>
        </w:tabs>
        <w:ind w:left="720" w:hanging="360"/>
      </w:pPr>
      <w:rPr>
        <w:rFonts w:ascii="Wingdings" w:hAnsi="Wingdings" w:hint="default"/>
      </w:rPr>
    </w:lvl>
    <w:lvl w:ilvl="1" w:tplc="152C8C4E" w:tentative="1">
      <w:start w:val="1"/>
      <w:numFmt w:val="bullet"/>
      <w:lvlText w:val=""/>
      <w:lvlJc w:val="left"/>
      <w:pPr>
        <w:tabs>
          <w:tab w:val="num" w:pos="1440"/>
        </w:tabs>
        <w:ind w:left="1440" w:hanging="360"/>
      </w:pPr>
      <w:rPr>
        <w:rFonts w:ascii="Wingdings" w:hAnsi="Wingdings" w:hint="default"/>
      </w:rPr>
    </w:lvl>
    <w:lvl w:ilvl="2" w:tplc="2368D608" w:tentative="1">
      <w:start w:val="1"/>
      <w:numFmt w:val="bullet"/>
      <w:lvlText w:val=""/>
      <w:lvlJc w:val="left"/>
      <w:pPr>
        <w:tabs>
          <w:tab w:val="num" w:pos="2160"/>
        </w:tabs>
        <w:ind w:left="2160" w:hanging="360"/>
      </w:pPr>
      <w:rPr>
        <w:rFonts w:ascii="Wingdings" w:hAnsi="Wingdings" w:hint="default"/>
      </w:rPr>
    </w:lvl>
    <w:lvl w:ilvl="3" w:tplc="A88816E0" w:tentative="1">
      <w:start w:val="1"/>
      <w:numFmt w:val="bullet"/>
      <w:lvlText w:val=""/>
      <w:lvlJc w:val="left"/>
      <w:pPr>
        <w:tabs>
          <w:tab w:val="num" w:pos="2880"/>
        </w:tabs>
        <w:ind w:left="2880" w:hanging="360"/>
      </w:pPr>
      <w:rPr>
        <w:rFonts w:ascii="Wingdings" w:hAnsi="Wingdings" w:hint="default"/>
      </w:rPr>
    </w:lvl>
    <w:lvl w:ilvl="4" w:tplc="E44608FE" w:tentative="1">
      <w:start w:val="1"/>
      <w:numFmt w:val="bullet"/>
      <w:lvlText w:val=""/>
      <w:lvlJc w:val="left"/>
      <w:pPr>
        <w:tabs>
          <w:tab w:val="num" w:pos="3600"/>
        </w:tabs>
        <w:ind w:left="3600" w:hanging="360"/>
      </w:pPr>
      <w:rPr>
        <w:rFonts w:ascii="Wingdings" w:hAnsi="Wingdings" w:hint="default"/>
      </w:rPr>
    </w:lvl>
    <w:lvl w:ilvl="5" w:tplc="643A82C4" w:tentative="1">
      <w:start w:val="1"/>
      <w:numFmt w:val="bullet"/>
      <w:lvlText w:val=""/>
      <w:lvlJc w:val="left"/>
      <w:pPr>
        <w:tabs>
          <w:tab w:val="num" w:pos="4320"/>
        </w:tabs>
        <w:ind w:left="4320" w:hanging="360"/>
      </w:pPr>
      <w:rPr>
        <w:rFonts w:ascii="Wingdings" w:hAnsi="Wingdings" w:hint="default"/>
      </w:rPr>
    </w:lvl>
    <w:lvl w:ilvl="6" w:tplc="2CA2A84E" w:tentative="1">
      <w:start w:val="1"/>
      <w:numFmt w:val="bullet"/>
      <w:lvlText w:val=""/>
      <w:lvlJc w:val="left"/>
      <w:pPr>
        <w:tabs>
          <w:tab w:val="num" w:pos="5040"/>
        </w:tabs>
        <w:ind w:left="5040" w:hanging="360"/>
      </w:pPr>
      <w:rPr>
        <w:rFonts w:ascii="Wingdings" w:hAnsi="Wingdings" w:hint="default"/>
      </w:rPr>
    </w:lvl>
    <w:lvl w:ilvl="7" w:tplc="3F921938" w:tentative="1">
      <w:start w:val="1"/>
      <w:numFmt w:val="bullet"/>
      <w:lvlText w:val=""/>
      <w:lvlJc w:val="left"/>
      <w:pPr>
        <w:tabs>
          <w:tab w:val="num" w:pos="5760"/>
        </w:tabs>
        <w:ind w:left="5760" w:hanging="360"/>
      </w:pPr>
      <w:rPr>
        <w:rFonts w:ascii="Wingdings" w:hAnsi="Wingdings" w:hint="default"/>
      </w:rPr>
    </w:lvl>
    <w:lvl w:ilvl="8" w:tplc="D2245442" w:tentative="1">
      <w:start w:val="1"/>
      <w:numFmt w:val="bullet"/>
      <w:lvlText w:val=""/>
      <w:lvlJc w:val="left"/>
      <w:pPr>
        <w:tabs>
          <w:tab w:val="num" w:pos="6480"/>
        </w:tabs>
        <w:ind w:left="6480" w:hanging="360"/>
      </w:pPr>
      <w:rPr>
        <w:rFonts w:ascii="Wingdings" w:hAnsi="Wingdings" w:hint="default"/>
      </w:rPr>
    </w:lvl>
  </w:abstractNum>
  <w:abstractNum w:abstractNumId="3">
    <w:nsid w:val="1A09139E"/>
    <w:multiLevelType w:val="hybridMultilevel"/>
    <w:tmpl w:val="7F126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962299"/>
    <w:multiLevelType w:val="hybridMultilevel"/>
    <w:tmpl w:val="DC4AA444"/>
    <w:lvl w:ilvl="0" w:tplc="F3CEE912">
      <w:start w:val="1"/>
      <w:numFmt w:val="decimal"/>
      <w:lvlText w:val="%1."/>
      <w:lvlJc w:val="left"/>
      <w:pPr>
        <w:tabs>
          <w:tab w:val="num" w:pos="720"/>
        </w:tabs>
        <w:ind w:left="720" w:hanging="360"/>
      </w:pPr>
      <w:rPr>
        <w:rFonts w:hint="default"/>
        <w:sz w:val="24"/>
        <w:szCs w:val="24"/>
      </w:rPr>
    </w:lvl>
    <w:lvl w:ilvl="1" w:tplc="B1F0DC76" w:tentative="1">
      <w:start w:val="1"/>
      <w:numFmt w:val="bullet"/>
      <w:lvlText w:val=""/>
      <w:lvlJc w:val="left"/>
      <w:pPr>
        <w:tabs>
          <w:tab w:val="num" w:pos="1440"/>
        </w:tabs>
        <w:ind w:left="1440" w:hanging="360"/>
      </w:pPr>
      <w:rPr>
        <w:rFonts w:ascii="Wingdings" w:hAnsi="Wingdings" w:hint="default"/>
      </w:rPr>
    </w:lvl>
    <w:lvl w:ilvl="2" w:tplc="2AD47F08" w:tentative="1">
      <w:start w:val="1"/>
      <w:numFmt w:val="bullet"/>
      <w:lvlText w:val=""/>
      <w:lvlJc w:val="left"/>
      <w:pPr>
        <w:tabs>
          <w:tab w:val="num" w:pos="2160"/>
        </w:tabs>
        <w:ind w:left="2160" w:hanging="360"/>
      </w:pPr>
      <w:rPr>
        <w:rFonts w:ascii="Wingdings" w:hAnsi="Wingdings" w:hint="default"/>
      </w:rPr>
    </w:lvl>
    <w:lvl w:ilvl="3" w:tplc="D75A3CAE" w:tentative="1">
      <w:start w:val="1"/>
      <w:numFmt w:val="bullet"/>
      <w:lvlText w:val=""/>
      <w:lvlJc w:val="left"/>
      <w:pPr>
        <w:tabs>
          <w:tab w:val="num" w:pos="2880"/>
        </w:tabs>
        <w:ind w:left="2880" w:hanging="360"/>
      </w:pPr>
      <w:rPr>
        <w:rFonts w:ascii="Wingdings" w:hAnsi="Wingdings" w:hint="default"/>
      </w:rPr>
    </w:lvl>
    <w:lvl w:ilvl="4" w:tplc="619C3AF8" w:tentative="1">
      <w:start w:val="1"/>
      <w:numFmt w:val="bullet"/>
      <w:lvlText w:val=""/>
      <w:lvlJc w:val="left"/>
      <w:pPr>
        <w:tabs>
          <w:tab w:val="num" w:pos="3600"/>
        </w:tabs>
        <w:ind w:left="3600" w:hanging="360"/>
      </w:pPr>
      <w:rPr>
        <w:rFonts w:ascii="Wingdings" w:hAnsi="Wingdings" w:hint="default"/>
      </w:rPr>
    </w:lvl>
    <w:lvl w:ilvl="5" w:tplc="CFDE1DA4" w:tentative="1">
      <w:start w:val="1"/>
      <w:numFmt w:val="bullet"/>
      <w:lvlText w:val=""/>
      <w:lvlJc w:val="left"/>
      <w:pPr>
        <w:tabs>
          <w:tab w:val="num" w:pos="4320"/>
        </w:tabs>
        <w:ind w:left="4320" w:hanging="360"/>
      </w:pPr>
      <w:rPr>
        <w:rFonts w:ascii="Wingdings" w:hAnsi="Wingdings" w:hint="default"/>
      </w:rPr>
    </w:lvl>
    <w:lvl w:ilvl="6" w:tplc="5F1AEB86" w:tentative="1">
      <w:start w:val="1"/>
      <w:numFmt w:val="bullet"/>
      <w:lvlText w:val=""/>
      <w:lvlJc w:val="left"/>
      <w:pPr>
        <w:tabs>
          <w:tab w:val="num" w:pos="5040"/>
        </w:tabs>
        <w:ind w:left="5040" w:hanging="360"/>
      </w:pPr>
      <w:rPr>
        <w:rFonts w:ascii="Wingdings" w:hAnsi="Wingdings" w:hint="default"/>
      </w:rPr>
    </w:lvl>
    <w:lvl w:ilvl="7" w:tplc="FA38EE96" w:tentative="1">
      <w:start w:val="1"/>
      <w:numFmt w:val="bullet"/>
      <w:lvlText w:val=""/>
      <w:lvlJc w:val="left"/>
      <w:pPr>
        <w:tabs>
          <w:tab w:val="num" w:pos="5760"/>
        </w:tabs>
        <w:ind w:left="5760" w:hanging="360"/>
      </w:pPr>
      <w:rPr>
        <w:rFonts w:ascii="Wingdings" w:hAnsi="Wingdings" w:hint="default"/>
      </w:rPr>
    </w:lvl>
    <w:lvl w:ilvl="8" w:tplc="7A0A4966" w:tentative="1">
      <w:start w:val="1"/>
      <w:numFmt w:val="bullet"/>
      <w:lvlText w:val=""/>
      <w:lvlJc w:val="left"/>
      <w:pPr>
        <w:tabs>
          <w:tab w:val="num" w:pos="6480"/>
        </w:tabs>
        <w:ind w:left="6480" w:hanging="360"/>
      </w:pPr>
      <w:rPr>
        <w:rFonts w:ascii="Wingdings" w:hAnsi="Wingdings" w:hint="default"/>
      </w:rPr>
    </w:lvl>
  </w:abstractNum>
  <w:abstractNum w:abstractNumId="5">
    <w:nsid w:val="5C5F68E4"/>
    <w:multiLevelType w:val="hybridMultilevel"/>
    <w:tmpl w:val="926E0C60"/>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Windows Live" w15:userId="b1500d940cd7a5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A2tDAzNje0sDA2NTBV0lEKTi0uzszPAykwrAUAbI/9ciwAAAA="/>
  </w:docVars>
  <w:rsids>
    <w:rsidRoot w:val="000D34CA"/>
    <w:rsid w:val="0000478E"/>
    <w:rsid w:val="000162A7"/>
    <w:rsid w:val="0002254F"/>
    <w:rsid w:val="00022DD3"/>
    <w:rsid w:val="00044A27"/>
    <w:rsid w:val="00046952"/>
    <w:rsid w:val="000543DF"/>
    <w:rsid w:val="00054405"/>
    <w:rsid w:val="000640A9"/>
    <w:rsid w:val="00076946"/>
    <w:rsid w:val="0008031F"/>
    <w:rsid w:val="000A05A2"/>
    <w:rsid w:val="000A33E3"/>
    <w:rsid w:val="000A3FB1"/>
    <w:rsid w:val="000B7BA9"/>
    <w:rsid w:val="000C0FFF"/>
    <w:rsid w:val="000D18E6"/>
    <w:rsid w:val="000D34CA"/>
    <w:rsid w:val="000E6EA2"/>
    <w:rsid w:val="000F2F79"/>
    <w:rsid w:val="00130D26"/>
    <w:rsid w:val="00142118"/>
    <w:rsid w:val="00145437"/>
    <w:rsid w:val="001554FB"/>
    <w:rsid w:val="00182D7A"/>
    <w:rsid w:val="001A0AEF"/>
    <w:rsid w:val="001C256E"/>
    <w:rsid w:val="002008B5"/>
    <w:rsid w:val="0020651E"/>
    <w:rsid w:val="00214D7D"/>
    <w:rsid w:val="00215AEE"/>
    <w:rsid w:val="00217D44"/>
    <w:rsid w:val="0022158D"/>
    <w:rsid w:val="0023334F"/>
    <w:rsid w:val="00234AE8"/>
    <w:rsid w:val="0023592C"/>
    <w:rsid w:val="00250A74"/>
    <w:rsid w:val="00257AD2"/>
    <w:rsid w:val="00265E18"/>
    <w:rsid w:val="00270FC9"/>
    <w:rsid w:val="00280EAE"/>
    <w:rsid w:val="0029017D"/>
    <w:rsid w:val="00297615"/>
    <w:rsid w:val="002A00BB"/>
    <w:rsid w:val="002C5918"/>
    <w:rsid w:val="002D0724"/>
    <w:rsid w:val="002D17BF"/>
    <w:rsid w:val="002D7C56"/>
    <w:rsid w:val="002E637B"/>
    <w:rsid w:val="002F4D3D"/>
    <w:rsid w:val="003005C4"/>
    <w:rsid w:val="00336615"/>
    <w:rsid w:val="00341A1F"/>
    <w:rsid w:val="00361345"/>
    <w:rsid w:val="00370BED"/>
    <w:rsid w:val="00380AC4"/>
    <w:rsid w:val="00386CDB"/>
    <w:rsid w:val="00396895"/>
    <w:rsid w:val="003B746A"/>
    <w:rsid w:val="003C416A"/>
    <w:rsid w:val="003D1481"/>
    <w:rsid w:val="00404261"/>
    <w:rsid w:val="00411E3D"/>
    <w:rsid w:val="004162EE"/>
    <w:rsid w:val="004351D2"/>
    <w:rsid w:val="004420E8"/>
    <w:rsid w:val="004436C2"/>
    <w:rsid w:val="00485C9B"/>
    <w:rsid w:val="00486FDC"/>
    <w:rsid w:val="0048731F"/>
    <w:rsid w:val="0048763D"/>
    <w:rsid w:val="00491A20"/>
    <w:rsid w:val="00492F60"/>
    <w:rsid w:val="004A376D"/>
    <w:rsid w:val="004A3E13"/>
    <w:rsid w:val="004C7AD0"/>
    <w:rsid w:val="005175BD"/>
    <w:rsid w:val="00524D15"/>
    <w:rsid w:val="00535518"/>
    <w:rsid w:val="00554AD0"/>
    <w:rsid w:val="005765E4"/>
    <w:rsid w:val="005843A9"/>
    <w:rsid w:val="00584C8C"/>
    <w:rsid w:val="005870B9"/>
    <w:rsid w:val="00590A6C"/>
    <w:rsid w:val="005A0739"/>
    <w:rsid w:val="005D36EF"/>
    <w:rsid w:val="005D397C"/>
    <w:rsid w:val="005F1519"/>
    <w:rsid w:val="005F53C8"/>
    <w:rsid w:val="00603BAF"/>
    <w:rsid w:val="00611405"/>
    <w:rsid w:val="00630013"/>
    <w:rsid w:val="006303BD"/>
    <w:rsid w:val="00631B22"/>
    <w:rsid w:val="00647DD9"/>
    <w:rsid w:val="006539C2"/>
    <w:rsid w:val="006868CB"/>
    <w:rsid w:val="00687F5C"/>
    <w:rsid w:val="00692F6A"/>
    <w:rsid w:val="006B458F"/>
    <w:rsid w:val="006B5F32"/>
    <w:rsid w:val="006C13A1"/>
    <w:rsid w:val="006C35E5"/>
    <w:rsid w:val="006C4EEB"/>
    <w:rsid w:val="006D5F10"/>
    <w:rsid w:val="00700F96"/>
    <w:rsid w:val="0070330A"/>
    <w:rsid w:val="007146FD"/>
    <w:rsid w:val="007378D8"/>
    <w:rsid w:val="0075243E"/>
    <w:rsid w:val="00755E87"/>
    <w:rsid w:val="00763E5F"/>
    <w:rsid w:val="0076785D"/>
    <w:rsid w:val="007705BA"/>
    <w:rsid w:val="00776297"/>
    <w:rsid w:val="00794149"/>
    <w:rsid w:val="007943CE"/>
    <w:rsid w:val="00795263"/>
    <w:rsid w:val="007A5C0A"/>
    <w:rsid w:val="007B07BE"/>
    <w:rsid w:val="007C4940"/>
    <w:rsid w:val="007D1D10"/>
    <w:rsid w:val="007F123F"/>
    <w:rsid w:val="00822E74"/>
    <w:rsid w:val="00822FCA"/>
    <w:rsid w:val="0082490D"/>
    <w:rsid w:val="008262E4"/>
    <w:rsid w:val="0083042F"/>
    <w:rsid w:val="00877683"/>
    <w:rsid w:val="00880B75"/>
    <w:rsid w:val="00883791"/>
    <w:rsid w:val="00886473"/>
    <w:rsid w:val="00887439"/>
    <w:rsid w:val="008875B0"/>
    <w:rsid w:val="008902ED"/>
    <w:rsid w:val="0089256C"/>
    <w:rsid w:val="0089478F"/>
    <w:rsid w:val="008963CC"/>
    <w:rsid w:val="008A7E49"/>
    <w:rsid w:val="0091112C"/>
    <w:rsid w:val="00932C7F"/>
    <w:rsid w:val="00932E35"/>
    <w:rsid w:val="00943D47"/>
    <w:rsid w:val="0094474A"/>
    <w:rsid w:val="0094715D"/>
    <w:rsid w:val="00951FE8"/>
    <w:rsid w:val="0095340B"/>
    <w:rsid w:val="0095535F"/>
    <w:rsid w:val="00955E77"/>
    <w:rsid w:val="00956F8C"/>
    <w:rsid w:val="00957859"/>
    <w:rsid w:val="00961AC6"/>
    <w:rsid w:val="009811F1"/>
    <w:rsid w:val="009978E9"/>
    <w:rsid w:val="009B02B5"/>
    <w:rsid w:val="009B27FE"/>
    <w:rsid w:val="009C0B2C"/>
    <w:rsid w:val="009D193A"/>
    <w:rsid w:val="009D4681"/>
    <w:rsid w:val="009E33CA"/>
    <w:rsid w:val="00A162D3"/>
    <w:rsid w:val="00A36E13"/>
    <w:rsid w:val="00A3793F"/>
    <w:rsid w:val="00A41ED7"/>
    <w:rsid w:val="00A444EB"/>
    <w:rsid w:val="00A720FB"/>
    <w:rsid w:val="00A81270"/>
    <w:rsid w:val="00A87CAC"/>
    <w:rsid w:val="00AB1365"/>
    <w:rsid w:val="00AB3993"/>
    <w:rsid w:val="00AC1F73"/>
    <w:rsid w:val="00AD65B3"/>
    <w:rsid w:val="00AD68B9"/>
    <w:rsid w:val="00AD7184"/>
    <w:rsid w:val="00AE1331"/>
    <w:rsid w:val="00AE2BA4"/>
    <w:rsid w:val="00AE4364"/>
    <w:rsid w:val="00AF71FA"/>
    <w:rsid w:val="00B04590"/>
    <w:rsid w:val="00B05E68"/>
    <w:rsid w:val="00B12E44"/>
    <w:rsid w:val="00B24D79"/>
    <w:rsid w:val="00B5179D"/>
    <w:rsid w:val="00B6590D"/>
    <w:rsid w:val="00B702FE"/>
    <w:rsid w:val="00B75031"/>
    <w:rsid w:val="00B90115"/>
    <w:rsid w:val="00B919A0"/>
    <w:rsid w:val="00BA742E"/>
    <w:rsid w:val="00BB415A"/>
    <w:rsid w:val="00BB4D28"/>
    <w:rsid w:val="00BE026A"/>
    <w:rsid w:val="00BF4338"/>
    <w:rsid w:val="00C00B9F"/>
    <w:rsid w:val="00C022AB"/>
    <w:rsid w:val="00C02B0C"/>
    <w:rsid w:val="00C14675"/>
    <w:rsid w:val="00C26B56"/>
    <w:rsid w:val="00C31700"/>
    <w:rsid w:val="00C503CF"/>
    <w:rsid w:val="00C57EBF"/>
    <w:rsid w:val="00C73FF9"/>
    <w:rsid w:val="00C74F6C"/>
    <w:rsid w:val="00C92179"/>
    <w:rsid w:val="00C967F8"/>
    <w:rsid w:val="00CA132F"/>
    <w:rsid w:val="00CB6940"/>
    <w:rsid w:val="00CC4F20"/>
    <w:rsid w:val="00CD5292"/>
    <w:rsid w:val="00CE12E7"/>
    <w:rsid w:val="00CE2F71"/>
    <w:rsid w:val="00CE4D0F"/>
    <w:rsid w:val="00D01B88"/>
    <w:rsid w:val="00D04E21"/>
    <w:rsid w:val="00D177D8"/>
    <w:rsid w:val="00D415EE"/>
    <w:rsid w:val="00D42CAE"/>
    <w:rsid w:val="00D454F6"/>
    <w:rsid w:val="00D53A52"/>
    <w:rsid w:val="00D812EB"/>
    <w:rsid w:val="00D823B2"/>
    <w:rsid w:val="00DA2F8B"/>
    <w:rsid w:val="00DA61B4"/>
    <w:rsid w:val="00DC67EC"/>
    <w:rsid w:val="00DC7466"/>
    <w:rsid w:val="00DD7AF9"/>
    <w:rsid w:val="00DE5D9D"/>
    <w:rsid w:val="00E1049D"/>
    <w:rsid w:val="00E11948"/>
    <w:rsid w:val="00E1286F"/>
    <w:rsid w:val="00E146FB"/>
    <w:rsid w:val="00E25F04"/>
    <w:rsid w:val="00E31BE8"/>
    <w:rsid w:val="00E35F82"/>
    <w:rsid w:val="00E50BF7"/>
    <w:rsid w:val="00E56A12"/>
    <w:rsid w:val="00E56D1B"/>
    <w:rsid w:val="00E67D3A"/>
    <w:rsid w:val="00E96110"/>
    <w:rsid w:val="00EA0202"/>
    <w:rsid w:val="00EA6927"/>
    <w:rsid w:val="00EB3949"/>
    <w:rsid w:val="00EB3CC2"/>
    <w:rsid w:val="00EC2C0B"/>
    <w:rsid w:val="00ED2C86"/>
    <w:rsid w:val="00ED5466"/>
    <w:rsid w:val="00EE7798"/>
    <w:rsid w:val="00F40BF4"/>
    <w:rsid w:val="00F41A70"/>
    <w:rsid w:val="00F430F3"/>
    <w:rsid w:val="00F548AB"/>
    <w:rsid w:val="00F67191"/>
    <w:rsid w:val="00F722A7"/>
    <w:rsid w:val="00F72782"/>
    <w:rsid w:val="00F74262"/>
    <w:rsid w:val="00F75F6C"/>
    <w:rsid w:val="00F76C03"/>
    <w:rsid w:val="00F81C0F"/>
    <w:rsid w:val="00FB1AFF"/>
    <w:rsid w:val="00FB3D6E"/>
    <w:rsid w:val="00FC26DB"/>
    <w:rsid w:val="00FD3591"/>
    <w:rsid w:val="00FD58A5"/>
    <w:rsid w:val="00FE480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AAF2CE"/>
  <w15:chartTrackingRefBased/>
  <w15:docId w15:val="{B930F268-A993-41D1-AF97-C24266DB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184"/>
    <w:rPr>
      <w:rFonts w:ascii="Times New Roman" w:hAnsi="Times New Roman"/>
      <w:sz w:val="24"/>
    </w:rPr>
  </w:style>
  <w:style w:type="paragraph" w:styleId="Heading1">
    <w:name w:val="heading 1"/>
    <w:basedOn w:val="Normal"/>
    <w:next w:val="Normal"/>
    <w:link w:val="Heading1Char"/>
    <w:autoRedefine/>
    <w:uiPriority w:val="9"/>
    <w:qFormat/>
    <w:rsid w:val="00A444EB"/>
    <w:pPr>
      <w:keepNext/>
      <w:keepLines/>
      <w:tabs>
        <w:tab w:val="left" w:pos="0"/>
      </w:tabs>
      <w:spacing w:before="240" w:after="0" w:line="480" w:lineRule="auto"/>
      <w:ind w:left="90"/>
      <w:outlineLvl w:val="0"/>
    </w:pPr>
    <w:rPr>
      <w:rFonts w:ascii="Arial" w:eastAsiaTheme="majorEastAsia" w:hAnsi="Arial" w:cs="Arial"/>
      <w:b/>
      <w:color w:val="000000" w:themeColor="text1"/>
      <w:sz w:val="22"/>
      <w:szCs w:val="32"/>
    </w:rPr>
  </w:style>
  <w:style w:type="paragraph" w:styleId="Heading2">
    <w:name w:val="heading 2"/>
    <w:basedOn w:val="Normal"/>
    <w:next w:val="Normal"/>
    <w:link w:val="Heading2Char"/>
    <w:autoRedefine/>
    <w:uiPriority w:val="9"/>
    <w:unhideWhenUsed/>
    <w:qFormat/>
    <w:rsid w:val="000D18E6"/>
    <w:pPr>
      <w:keepNext/>
      <w:keepLines/>
      <w:tabs>
        <w:tab w:val="left" w:pos="0"/>
      </w:tabs>
      <w:spacing w:before="40" w:after="0" w:line="480" w:lineRule="auto"/>
      <w:outlineLvl w:val="1"/>
    </w:pPr>
    <w:rPr>
      <w:rFonts w:ascii="Arial" w:eastAsiaTheme="majorEastAsia" w:hAnsi="Arial" w:cs="Arial"/>
      <w:b/>
      <w:color w:val="000000" w:themeColor="text1"/>
      <w:sz w:val="22"/>
      <w:szCs w:val="26"/>
    </w:rPr>
  </w:style>
  <w:style w:type="paragraph" w:styleId="Heading3">
    <w:name w:val="heading 3"/>
    <w:basedOn w:val="Normal"/>
    <w:next w:val="Normal"/>
    <w:link w:val="Heading3Char"/>
    <w:autoRedefine/>
    <w:uiPriority w:val="9"/>
    <w:unhideWhenUsed/>
    <w:qFormat/>
    <w:rsid w:val="004162EE"/>
    <w:pPr>
      <w:keepNext/>
      <w:keepLines/>
      <w:tabs>
        <w:tab w:val="left" w:pos="0"/>
      </w:tabs>
      <w:spacing w:before="240" w:after="0" w:line="480" w:lineRule="auto"/>
      <w:outlineLvl w:val="2"/>
    </w:pPr>
    <w:rPr>
      <w:rFonts w:ascii="Arial" w:eastAsiaTheme="majorEastAsia" w:hAnsi="Arial" w:cs="Arial"/>
      <w:b/>
      <w:iCs/>
      <w:sz w:val="20"/>
      <w:szCs w:val="20"/>
      <w:u w:val="single"/>
    </w:rPr>
  </w:style>
  <w:style w:type="paragraph" w:styleId="Heading4">
    <w:name w:val="heading 4"/>
    <w:basedOn w:val="Normal"/>
    <w:next w:val="Normal"/>
    <w:link w:val="Heading4Char"/>
    <w:autoRedefine/>
    <w:uiPriority w:val="9"/>
    <w:unhideWhenUsed/>
    <w:qFormat/>
    <w:rsid w:val="007943CE"/>
    <w:pPr>
      <w:keepNext/>
      <w:keepLines/>
      <w:spacing w:before="40" w:after="0" w:line="480" w:lineRule="auto"/>
      <w:ind w:left="-567"/>
      <w:jc w:val="both"/>
      <w:outlineLvl w:val="3"/>
    </w:pPr>
    <w:rPr>
      <w:rFonts w:eastAsiaTheme="majorEastAsia" w:cstheme="majorBidi"/>
      <w:b/>
      <w:i/>
      <w:iCs/>
      <w:color w:val="000000" w:themeColor="text1"/>
    </w:rPr>
  </w:style>
  <w:style w:type="paragraph" w:styleId="Heading5">
    <w:name w:val="heading 5"/>
    <w:basedOn w:val="Normal"/>
    <w:next w:val="Normal"/>
    <w:link w:val="Heading5Char"/>
    <w:autoRedefine/>
    <w:uiPriority w:val="9"/>
    <w:unhideWhenUsed/>
    <w:qFormat/>
    <w:rsid w:val="000D34CA"/>
    <w:pPr>
      <w:keepNext/>
      <w:keepLines/>
      <w:spacing w:before="40" w:after="0" w:line="480" w:lineRule="auto"/>
      <w:outlineLvl w:val="4"/>
    </w:pPr>
    <w:rPr>
      <w:rFonts w:eastAsiaTheme="majorEastAsia"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4EB"/>
    <w:rPr>
      <w:rFonts w:ascii="Arial" w:eastAsiaTheme="majorEastAsia" w:hAnsi="Arial" w:cs="Arial"/>
      <w:b/>
      <w:color w:val="000000" w:themeColor="text1"/>
      <w:szCs w:val="32"/>
    </w:rPr>
  </w:style>
  <w:style w:type="character" w:customStyle="1" w:styleId="Heading2Char">
    <w:name w:val="Heading 2 Char"/>
    <w:basedOn w:val="DefaultParagraphFont"/>
    <w:link w:val="Heading2"/>
    <w:uiPriority w:val="9"/>
    <w:rsid w:val="000D18E6"/>
    <w:rPr>
      <w:rFonts w:ascii="Arial" w:eastAsiaTheme="majorEastAsia" w:hAnsi="Arial" w:cs="Arial"/>
      <w:b/>
      <w:color w:val="000000" w:themeColor="text1"/>
      <w:szCs w:val="26"/>
    </w:rPr>
  </w:style>
  <w:style w:type="character" w:customStyle="1" w:styleId="Heading3Char">
    <w:name w:val="Heading 3 Char"/>
    <w:basedOn w:val="DefaultParagraphFont"/>
    <w:link w:val="Heading3"/>
    <w:uiPriority w:val="9"/>
    <w:rsid w:val="004162EE"/>
    <w:rPr>
      <w:rFonts w:ascii="Arial" w:eastAsiaTheme="majorEastAsia" w:hAnsi="Arial" w:cs="Arial"/>
      <w:b/>
      <w:iCs/>
      <w:sz w:val="20"/>
      <w:szCs w:val="20"/>
      <w:u w:val="single"/>
    </w:rPr>
  </w:style>
  <w:style w:type="character" w:customStyle="1" w:styleId="Heading4Char">
    <w:name w:val="Heading 4 Char"/>
    <w:basedOn w:val="DefaultParagraphFont"/>
    <w:link w:val="Heading4"/>
    <w:uiPriority w:val="9"/>
    <w:rsid w:val="007943CE"/>
    <w:rPr>
      <w:rFonts w:ascii="Times New Roman" w:eastAsiaTheme="majorEastAsia" w:hAnsi="Times New Roman" w:cstheme="majorBidi"/>
      <w:b/>
      <w:i/>
      <w:iCs/>
      <w:color w:val="000000" w:themeColor="text1"/>
      <w:sz w:val="24"/>
    </w:rPr>
  </w:style>
  <w:style w:type="character" w:customStyle="1" w:styleId="Heading5Char">
    <w:name w:val="Heading 5 Char"/>
    <w:basedOn w:val="DefaultParagraphFont"/>
    <w:link w:val="Heading5"/>
    <w:uiPriority w:val="9"/>
    <w:rsid w:val="000D34CA"/>
    <w:rPr>
      <w:rFonts w:ascii="Times New Roman" w:eastAsiaTheme="majorEastAsia" w:hAnsi="Times New Roman" w:cstheme="majorBidi"/>
      <w:b/>
      <w:i/>
      <w:color w:val="000000" w:themeColor="text1"/>
      <w:sz w:val="24"/>
    </w:rPr>
  </w:style>
  <w:style w:type="paragraph" w:styleId="NormalWeb">
    <w:name w:val="Normal (Web)"/>
    <w:basedOn w:val="Normal"/>
    <w:uiPriority w:val="99"/>
    <w:unhideWhenUsed/>
    <w:rsid w:val="000D34CA"/>
    <w:pPr>
      <w:spacing w:before="100" w:beforeAutospacing="1" w:after="100" w:afterAutospacing="1" w:line="240" w:lineRule="auto"/>
    </w:pPr>
    <w:rPr>
      <w:rFonts w:eastAsia="Times New Roman" w:cs="Times New Roman"/>
      <w:szCs w:val="24"/>
    </w:rPr>
  </w:style>
  <w:style w:type="paragraph" w:styleId="z-TopofForm">
    <w:name w:val="HTML Top of Form"/>
    <w:basedOn w:val="Normal"/>
    <w:next w:val="Normal"/>
    <w:link w:val="z-TopofFormChar"/>
    <w:hidden/>
    <w:uiPriority w:val="99"/>
    <w:semiHidden/>
    <w:unhideWhenUsed/>
    <w:rsid w:val="000D34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D34C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D34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D34CA"/>
    <w:rPr>
      <w:rFonts w:ascii="Arial" w:eastAsia="Times New Roman" w:hAnsi="Arial" w:cs="Arial"/>
      <w:vanish/>
      <w:sz w:val="16"/>
      <w:szCs w:val="16"/>
    </w:rPr>
  </w:style>
  <w:style w:type="character" w:styleId="Hyperlink">
    <w:name w:val="Hyperlink"/>
    <w:basedOn w:val="DefaultParagraphFont"/>
    <w:uiPriority w:val="99"/>
    <w:unhideWhenUsed/>
    <w:rsid w:val="000D34CA"/>
    <w:rPr>
      <w:color w:val="0563C1" w:themeColor="hyperlink"/>
      <w:u w:val="single"/>
    </w:rPr>
  </w:style>
  <w:style w:type="paragraph" w:styleId="ListParagraph">
    <w:name w:val="List Paragraph"/>
    <w:basedOn w:val="Normal"/>
    <w:uiPriority w:val="34"/>
    <w:qFormat/>
    <w:rsid w:val="000D34CA"/>
    <w:pPr>
      <w:ind w:left="720"/>
      <w:contextualSpacing/>
    </w:pPr>
  </w:style>
  <w:style w:type="character" w:styleId="Strong">
    <w:name w:val="Strong"/>
    <w:basedOn w:val="DefaultParagraphFont"/>
    <w:uiPriority w:val="22"/>
    <w:qFormat/>
    <w:rsid w:val="000D34CA"/>
    <w:rPr>
      <w:b/>
      <w:bCs/>
    </w:rPr>
  </w:style>
  <w:style w:type="table" w:styleId="TableGridLight">
    <w:name w:val="Grid Table Light"/>
    <w:basedOn w:val="TableNormal"/>
    <w:uiPriority w:val="40"/>
    <w:rsid w:val="000D34C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0D3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4CA"/>
    <w:rPr>
      <w:rFonts w:ascii="Times New Roman" w:hAnsi="Times New Roman"/>
      <w:sz w:val="24"/>
    </w:rPr>
  </w:style>
  <w:style w:type="paragraph" w:styleId="Footer">
    <w:name w:val="footer"/>
    <w:basedOn w:val="Normal"/>
    <w:link w:val="FooterChar"/>
    <w:uiPriority w:val="99"/>
    <w:unhideWhenUsed/>
    <w:rsid w:val="000D3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4CA"/>
    <w:rPr>
      <w:rFonts w:ascii="Times New Roman" w:hAnsi="Times New Roman"/>
      <w:sz w:val="24"/>
    </w:rPr>
  </w:style>
  <w:style w:type="paragraph" w:customStyle="1" w:styleId="TableContents">
    <w:name w:val="Table Contents"/>
    <w:basedOn w:val="Normal"/>
    <w:qFormat/>
    <w:rsid w:val="000D34CA"/>
    <w:pPr>
      <w:suppressLineNumbers/>
      <w:spacing w:after="0" w:line="240" w:lineRule="auto"/>
    </w:pPr>
    <w:rPr>
      <w:rFonts w:ascii="Liberation Serif" w:eastAsia="Noto Sans CJK SC Regular" w:hAnsi="Liberation Serif" w:cs="FreeSans"/>
      <w:szCs w:val="24"/>
      <w:lang w:eastAsia="zh-CN" w:bidi="hi-IN"/>
    </w:rPr>
  </w:style>
  <w:style w:type="table" w:styleId="TableGrid">
    <w:name w:val="Table Grid"/>
    <w:basedOn w:val="TableNormal"/>
    <w:uiPriority w:val="59"/>
    <w:rsid w:val="000D3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0D34C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
    <w:name w:val="Comment Text Char"/>
    <w:basedOn w:val="DefaultParagraphFont"/>
    <w:link w:val="CommentText"/>
    <w:uiPriority w:val="99"/>
    <w:semiHidden/>
    <w:rsid w:val="000D34CA"/>
    <w:rPr>
      <w:rFonts w:ascii="Times New Roman" w:hAnsi="Times New Roman"/>
      <w:sz w:val="20"/>
      <w:szCs w:val="20"/>
    </w:rPr>
  </w:style>
  <w:style w:type="paragraph" w:styleId="CommentText">
    <w:name w:val="annotation text"/>
    <w:basedOn w:val="Normal"/>
    <w:link w:val="CommentTextChar"/>
    <w:uiPriority w:val="99"/>
    <w:semiHidden/>
    <w:unhideWhenUsed/>
    <w:rsid w:val="000D34CA"/>
    <w:pPr>
      <w:spacing w:line="240" w:lineRule="auto"/>
    </w:pPr>
    <w:rPr>
      <w:sz w:val="20"/>
      <w:szCs w:val="20"/>
    </w:rPr>
  </w:style>
  <w:style w:type="character" w:customStyle="1" w:styleId="CommentTextChar1">
    <w:name w:val="Comment Text Char1"/>
    <w:basedOn w:val="DefaultParagraphFont"/>
    <w:uiPriority w:val="99"/>
    <w:semiHidden/>
    <w:rsid w:val="000D34CA"/>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0D34CA"/>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0D34CA"/>
    <w:rPr>
      <w:b/>
      <w:bCs/>
    </w:rPr>
  </w:style>
  <w:style w:type="character" w:customStyle="1" w:styleId="CommentSubjectChar1">
    <w:name w:val="Comment Subject Char1"/>
    <w:basedOn w:val="CommentTextChar1"/>
    <w:uiPriority w:val="99"/>
    <w:semiHidden/>
    <w:rsid w:val="000D34CA"/>
    <w:rPr>
      <w:rFonts w:ascii="Times New Roman" w:hAnsi="Times New Roman"/>
      <w:b/>
      <w:bCs/>
      <w:sz w:val="20"/>
      <w:szCs w:val="20"/>
    </w:rPr>
  </w:style>
  <w:style w:type="character" w:customStyle="1" w:styleId="BalloonTextChar">
    <w:name w:val="Balloon Text Char"/>
    <w:basedOn w:val="DefaultParagraphFont"/>
    <w:link w:val="BalloonText"/>
    <w:uiPriority w:val="99"/>
    <w:semiHidden/>
    <w:rsid w:val="000D34CA"/>
    <w:rPr>
      <w:rFonts w:ascii="Segoe UI" w:hAnsi="Segoe UI" w:cs="Segoe UI"/>
      <w:sz w:val="18"/>
      <w:szCs w:val="18"/>
    </w:rPr>
  </w:style>
  <w:style w:type="paragraph" w:styleId="BalloonText">
    <w:name w:val="Balloon Text"/>
    <w:basedOn w:val="Normal"/>
    <w:link w:val="BalloonTextChar"/>
    <w:uiPriority w:val="99"/>
    <w:semiHidden/>
    <w:unhideWhenUsed/>
    <w:rsid w:val="000D34CA"/>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0D34CA"/>
    <w:rPr>
      <w:rFonts w:ascii="Segoe UI" w:hAnsi="Segoe UI" w:cs="Segoe UI"/>
      <w:sz w:val="18"/>
      <w:szCs w:val="18"/>
    </w:rPr>
  </w:style>
  <w:style w:type="paragraph" w:styleId="TOCHeading">
    <w:name w:val="TOC Heading"/>
    <w:basedOn w:val="Heading1"/>
    <w:next w:val="Normal"/>
    <w:uiPriority w:val="39"/>
    <w:unhideWhenUsed/>
    <w:qFormat/>
    <w:rsid w:val="000D34CA"/>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D34CA"/>
    <w:pPr>
      <w:tabs>
        <w:tab w:val="right" w:leader="dot" w:pos="8630"/>
      </w:tabs>
      <w:spacing w:after="100"/>
    </w:pPr>
    <w:rPr>
      <w:b/>
      <w:noProof/>
    </w:rPr>
  </w:style>
  <w:style w:type="paragraph" w:styleId="TOC2">
    <w:name w:val="toc 2"/>
    <w:basedOn w:val="Normal"/>
    <w:next w:val="Normal"/>
    <w:autoRedefine/>
    <w:uiPriority w:val="39"/>
    <w:unhideWhenUsed/>
    <w:rsid w:val="000D34CA"/>
    <w:pPr>
      <w:spacing w:after="100"/>
      <w:ind w:left="240"/>
    </w:pPr>
  </w:style>
  <w:style w:type="paragraph" w:styleId="TOC3">
    <w:name w:val="toc 3"/>
    <w:basedOn w:val="Normal"/>
    <w:next w:val="Normal"/>
    <w:autoRedefine/>
    <w:uiPriority w:val="39"/>
    <w:unhideWhenUsed/>
    <w:rsid w:val="000D34CA"/>
    <w:pPr>
      <w:spacing w:after="100"/>
      <w:ind w:left="480"/>
    </w:pPr>
  </w:style>
  <w:style w:type="character" w:styleId="CommentReference">
    <w:name w:val="annotation reference"/>
    <w:basedOn w:val="DefaultParagraphFont"/>
    <w:uiPriority w:val="99"/>
    <w:semiHidden/>
    <w:unhideWhenUsed/>
    <w:rsid w:val="000D34CA"/>
    <w:rPr>
      <w:sz w:val="16"/>
      <w:szCs w:val="16"/>
    </w:rPr>
  </w:style>
  <w:style w:type="paragraph" w:styleId="EndnoteText">
    <w:name w:val="endnote text"/>
    <w:basedOn w:val="Normal"/>
    <w:link w:val="EndnoteTextChar"/>
    <w:uiPriority w:val="99"/>
    <w:semiHidden/>
    <w:unhideWhenUsed/>
    <w:rsid w:val="000D34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34CA"/>
    <w:rPr>
      <w:rFonts w:ascii="Times New Roman" w:hAnsi="Times New Roman"/>
      <w:sz w:val="20"/>
      <w:szCs w:val="20"/>
    </w:rPr>
  </w:style>
  <w:style w:type="character" w:styleId="EndnoteReference">
    <w:name w:val="endnote reference"/>
    <w:basedOn w:val="DefaultParagraphFont"/>
    <w:uiPriority w:val="99"/>
    <w:semiHidden/>
    <w:unhideWhenUsed/>
    <w:rsid w:val="000D34CA"/>
    <w:rPr>
      <w:vertAlign w:val="superscript"/>
    </w:rPr>
  </w:style>
  <w:style w:type="table" w:styleId="PlainTable4">
    <w:name w:val="Plain Table 4"/>
    <w:basedOn w:val="TableNormal"/>
    <w:uiPriority w:val="44"/>
    <w:rsid w:val="000D34C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0D34CA"/>
  </w:style>
  <w:style w:type="paragraph" w:styleId="Revision">
    <w:name w:val="Revision"/>
    <w:hidden/>
    <w:uiPriority w:val="99"/>
    <w:semiHidden/>
    <w:rsid w:val="0089256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5BB95-17D8-47E4-8DCE-903FD513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28</Pages>
  <Words>36418</Words>
  <Characters>207586</Characters>
  <Application>Microsoft Office Word</Application>
  <DocSecurity>0</DocSecurity>
  <Lines>1729</Lines>
  <Paragraphs>487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10</cp:revision>
  <cp:lastPrinted>2025-04-10T17:43:00Z</cp:lastPrinted>
  <dcterms:created xsi:type="dcterms:W3CDTF">2025-04-14T14:16:00Z</dcterms:created>
  <dcterms:modified xsi:type="dcterms:W3CDTF">2025-04-19T07:40:00Z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762cb813-0635-4b17-b854-ac892d20a30f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http://www.zotero.org/styles/apa</vt:lpwstr>
  </property>
  <property fmtid="{D5CDD505-2E9C-101B-9397-08002B2CF9AE}" pid="24" name="Mendeley Document_1">
    <vt:lpwstr>True</vt:lpwstr>
  </property>
  <property fmtid="{D5CDD505-2E9C-101B-9397-08002B2CF9AE}" pid="25" name="Mendeley Unique User Id_1">
    <vt:lpwstr>e5fb9a25-93d9-364f-a5ec-f71ac48aed59</vt:lpwstr>
  </property>
</Properties>
</file>