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20DEE" w14:paraId="690B952A" w14:textId="77777777" w:rsidTr="002643B3">
        <w:trPr>
          <w:trHeight w:val="290"/>
        </w:trPr>
        <w:tc>
          <w:tcPr>
            <w:tcW w:w="5000" w:type="pct"/>
            <w:gridSpan w:val="2"/>
            <w:tcBorders>
              <w:top w:val="nil"/>
              <w:left w:val="nil"/>
              <w:right w:val="nil"/>
            </w:tcBorders>
          </w:tcPr>
          <w:p w14:paraId="2A71C126" w14:textId="77777777" w:rsidR="00602F7D" w:rsidRPr="00420DEE" w:rsidRDefault="00602F7D" w:rsidP="00F2643C">
            <w:pPr>
              <w:pStyle w:val="Heading2"/>
              <w:jc w:val="left"/>
              <w:rPr>
                <w:rFonts w:ascii="Arial" w:hAnsi="Arial" w:cs="Arial"/>
                <w:b w:val="0"/>
                <w:bCs w:val="0"/>
                <w:lang w:val="en-GB"/>
              </w:rPr>
            </w:pPr>
          </w:p>
        </w:tc>
      </w:tr>
      <w:tr w:rsidR="0000007A" w:rsidRPr="00420DEE" w14:paraId="2016F68A" w14:textId="77777777" w:rsidTr="002643B3">
        <w:trPr>
          <w:trHeight w:val="290"/>
        </w:trPr>
        <w:tc>
          <w:tcPr>
            <w:tcW w:w="1234" w:type="pct"/>
          </w:tcPr>
          <w:p w14:paraId="7C664C3D" w14:textId="77777777" w:rsidR="0000007A" w:rsidRPr="00420DEE" w:rsidRDefault="0000007A" w:rsidP="00696CAD">
            <w:pPr>
              <w:pStyle w:val="BodyText"/>
              <w:ind w:left="90"/>
              <w:jc w:val="left"/>
              <w:rPr>
                <w:rFonts w:ascii="Arial" w:hAnsi="Arial" w:cs="Arial"/>
                <w:bCs/>
                <w:sz w:val="20"/>
                <w:szCs w:val="20"/>
                <w:lang w:val="en-GB"/>
              </w:rPr>
            </w:pPr>
            <w:r w:rsidRPr="00420DE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B87B425" w14:textId="77777777" w:rsidR="0000007A" w:rsidRPr="00420DEE" w:rsidRDefault="00E816A8" w:rsidP="00E65EB7">
            <w:pPr>
              <w:rPr>
                <w:rFonts w:ascii="Arial" w:hAnsi="Arial" w:cs="Arial"/>
                <w:b/>
                <w:bCs/>
                <w:color w:val="0000FF"/>
                <w:sz w:val="20"/>
                <w:szCs w:val="20"/>
              </w:rPr>
            </w:pPr>
            <w:hyperlink r:id="rId8" w:history="1">
              <w:r w:rsidRPr="00420DEE">
                <w:rPr>
                  <w:rStyle w:val="Hyperlink"/>
                  <w:rFonts w:ascii="Arial" w:hAnsi="Arial" w:cs="Arial"/>
                  <w:b/>
                  <w:bCs/>
                  <w:sz w:val="20"/>
                  <w:szCs w:val="20"/>
                </w:rPr>
                <w:t>Asian Research Journal of Arts &amp; Social Sciences</w:t>
              </w:r>
            </w:hyperlink>
            <w:r w:rsidRPr="00420DEE">
              <w:rPr>
                <w:rFonts w:ascii="Arial" w:hAnsi="Arial" w:cs="Arial"/>
                <w:b/>
                <w:bCs/>
                <w:color w:val="0000FF"/>
                <w:sz w:val="20"/>
                <w:szCs w:val="20"/>
              </w:rPr>
              <w:t xml:space="preserve"> </w:t>
            </w:r>
          </w:p>
        </w:tc>
      </w:tr>
      <w:tr w:rsidR="0000007A" w:rsidRPr="00420DEE" w14:paraId="408B0E5E" w14:textId="77777777" w:rsidTr="002643B3">
        <w:trPr>
          <w:trHeight w:val="290"/>
        </w:trPr>
        <w:tc>
          <w:tcPr>
            <w:tcW w:w="1234" w:type="pct"/>
          </w:tcPr>
          <w:p w14:paraId="2BFCD2CB" w14:textId="77777777" w:rsidR="0000007A" w:rsidRPr="00420DEE" w:rsidRDefault="0000007A" w:rsidP="00696CAD">
            <w:pPr>
              <w:pStyle w:val="BodyText"/>
              <w:ind w:left="90"/>
              <w:jc w:val="left"/>
              <w:rPr>
                <w:rFonts w:ascii="Arial" w:hAnsi="Arial" w:cs="Arial"/>
                <w:bCs/>
                <w:sz w:val="20"/>
                <w:szCs w:val="20"/>
                <w:lang w:val="en-GB"/>
              </w:rPr>
            </w:pPr>
            <w:r w:rsidRPr="00420DE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D2F743D" w14:textId="77777777" w:rsidR="0000007A" w:rsidRPr="00420DEE" w:rsidRDefault="00EF2D19" w:rsidP="00F3669D">
            <w:pPr>
              <w:pStyle w:val="NormalWeb"/>
              <w:spacing w:before="0" w:beforeAutospacing="0" w:after="0" w:afterAutospacing="0"/>
              <w:rPr>
                <w:rFonts w:ascii="Arial" w:hAnsi="Arial" w:cs="Arial"/>
                <w:b/>
                <w:bCs/>
                <w:sz w:val="20"/>
                <w:szCs w:val="20"/>
                <w:lang w:val="en-GB"/>
              </w:rPr>
            </w:pPr>
            <w:r w:rsidRPr="00420DEE">
              <w:rPr>
                <w:rFonts w:ascii="Arial" w:hAnsi="Arial" w:cs="Arial"/>
                <w:b/>
                <w:bCs/>
                <w:sz w:val="20"/>
                <w:szCs w:val="20"/>
                <w:lang w:val="en-GB"/>
              </w:rPr>
              <w:t>Ms_ARJASS_135998</w:t>
            </w:r>
          </w:p>
        </w:tc>
      </w:tr>
      <w:tr w:rsidR="0000007A" w:rsidRPr="00420DEE" w14:paraId="715AD079" w14:textId="77777777" w:rsidTr="002643B3">
        <w:trPr>
          <w:trHeight w:val="650"/>
        </w:trPr>
        <w:tc>
          <w:tcPr>
            <w:tcW w:w="1234" w:type="pct"/>
          </w:tcPr>
          <w:p w14:paraId="31B30D8E" w14:textId="77777777" w:rsidR="0000007A" w:rsidRPr="00420DEE" w:rsidRDefault="0000007A" w:rsidP="00696CAD">
            <w:pPr>
              <w:pStyle w:val="BodyText"/>
              <w:ind w:left="90"/>
              <w:jc w:val="left"/>
              <w:rPr>
                <w:rFonts w:ascii="Arial" w:hAnsi="Arial" w:cs="Arial"/>
                <w:bCs/>
                <w:sz w:val="20"/>
                <w:szCs w:val="20"/>
                <w:lang w:val="en-GB"/>
              </w:rPr>
            </w:pPr>
            <w:r w:rsidRPr="00420DE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D1BDF85" w14:textId="77777777" w:rsidR="0000007A" w:rsidRPr="00420DEE" w:rsidRDefault="00EF2D19" w:rsidP="00EF2D19">
            <w:pPr>
              <w:pStyle w:val="NormalWeb"/>
              <w:rPr>
                <w:rFonts w:ascii="Arial" w:hAnsi="Arial" w:cs="Arial"/>
                <w:b/>
                <w:sz w:val="20"/>
                <w:szCs w:val="20"/>
                <w:lang w:val="en-GB"/>
              </w:rPr>
            </w:pPr>
            <w:bookmarkStart w:id="0" w:name="_Hlk197523771"/>
            <w:r w:rsidRPr="00420DEE">
              <w:rPr>
                <w:rFonts w:ascii="Arial" w:hAnsi="Arial" w:cs="Arial"/>
                <w:b/>
                <w:sz w:val="20"/>
                <w:szCs w:val="20"/>
                <w:lang w:val="en-GB"/>
              </w:rPr>
              <w:t>The Bittersweet Struggles and Experiences of Filipino Gay Seafarers Onboard: A Phenomenological Study</w:t>
            </w:r>
            <w:bookmarkEnd w:id="0"/>
          </w:p>
        </w:tc>
      </w:tr>
      <w:tr w:rsidR="00CF0BBB" w:rsidRPr="00420DEE" w14:paraId="37CF91A6" w14:textId="77777777" w:rsidTr="002643B3">
        <w:trPr>
          <w:trHeight w:val="332"/>
        </w:trPr>
        <w:tc>
          <w:tcPr>
            <w:tcW w:w="1234" w:type="pct"/>
          </w:tcPr>
          <w:p w14:paraId="43FCA605" w14:textId="77777777" w:rsidR="00CF0BBB" w:rsidRPr="00420DEE" w:rsidRDefault="00CF0BBB" w:rsidP="00696CAD">
            <w:pPr>
              <w:pStyle w:val="BodyText"/>
              <w:ind w:left="90"/>
              <w:jc w:val="left"/>
              <w:rPr>
                <w:rFonts w:ascii="Arial" w:hAnsi="Arial" w:cs="Arial"/>
                <w:bCs/>
                <w:sz w:val="20"/>
                <w:szCs w:val="20"/>
                <w:lang w:val="en-GB"/>
              </w:rPr>
            </w:pPr>
            <w:r w:rsidRPr="00420DE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4E79F597" w14:textId="77777777" w:rsidR="00CF0BBB" w:rsidRPr="00420DEE" w:rsidRDefault="00EF2D19" w:rsidP="000450FC">
            <w:pPr>
              <w:pStyle w:val="NormalWeb"/>
              <w:spacing w:before="0" w:beforeAutospacing="0" w:after="0" w:afterAutospacing="0"/>
              <w:rPr>
                <w:rFonts w:ascii="Arial" w:hAnsi="Arial" w:cs="Arial"/>
                <w:b/>
                <w:sz w:val="20"/>
                <w:szCs w:val="20"/>
                <w:lang w:val="en-GB"/>
              </w:rPr>
            </w:pPr>
            <w:r w:rsidRPr="00420DEE">
              <w:rPr>
                <w:rFonts w:ascii="Arial" w:hAnsi="Arial" w:cs="Arial"/>
                <w:b/>
                <w:sz w:val="20"/>
                <w:szCs w:val="20"/>
                <w:lang w:val="en-GB"/>
              </w:rPr>
              <w:t>Original Research Article</w:t>
            </w:r>
          </w:p>
        </w:tc>
      </w:tr>
    </w:tbl>
    <w:p w14:paraId="50744798" w14:textId="77777777" w:rsidR="00594F2C" w:rsidRPr="00420DEE" w:rsidRDefault="00594F2C" w:rsidP="00594F2C">
      <w:pPr>
        <w:rPr>
          <w:rFonts w:ascii="Arial" w:hAnsi="Arial" w:cs="Arial"/>
          <w:sz w:val="20"/>
          <w:szCs w:val="20"/>
        </w:rPr>
      </w:pPr>
      <w:bookmarkStart w:id="1" w:name="_Hlk171324449"/>
      <w:bookmarkStart w:id="2" w:name="_Hlk170903434"/>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9262"/>
        <w:gridCol w:w="6322"/>
      </w:tblGrid>
      <w:tr w:rsidR="00594F2C" w:rsidRPr="00420DEE" w14:paraId="094EC462" w14:textId="77777777" w:rsidTr="00420DEE">
        <w:tc>
          <w:tcPr>
            <w:tcW w:w="5000" w:type="pct"/>
            <w:gridSpan w:val="3"/>
            <w:tcBorders>
              <w:top w:val="nil"/>
              <w:left w:val="nil"/>
              <w:right w:val="nil"/>
            </w:tcBorders>
            <w:noWrap/>
          </w:tcPr>
          <w:p w14:paraId="17EB817D" w14:textId="77777777" w:rsidR="00594F2C" w:rsidRPr="00420DEE" w:rsidRDefault="00594F2C">
            <w:pPr>
              <w:pStyle w:val="Heading2"/>
              <w:jc w:val="left"/>
              <w:rPr>
                <w:rFonts w:ascii="Arial" w:hAnsi="Arial" w:cs="Arial"/>
                <w:lang w:val="en-GB"/>
              </w:rPr>
            </w:pPr>
            <w:r w:rsidRPr="00420DEE">
              <w:rPr>
                <w:rFonts w:ascii="Arial" w:hAnsi="Arial" w:cs="Arial"/>
                <w:highlight w:val="yellow"/>
                <w:lang w:val="en-GB"/>
              </w:rPr>
              <w:t>PART  1:</w:t>
            </w:r>
            <w:r w:rsidRPr="00420DEE">
              <w:rPr>
                <w:rFonts w:ascii="Arial" w:hAnsi="Arial" w:cs="Arial"/>
                <w:lang w:val="en-GB"/>
              </w:rPr>
              <w:t xml:space="preserve"> Comments</w:t>
            </w:r>
          </w:p>
          <w:p w14:paraId="40D36822" w14:textId="77777777" w:rsidR="00594F2C" w:rsidRPr="00420DEE" w:rsidRDefault="00594F2C">
            <w:pPr>
              <w:rPr>
                <w:rFonts w:ascii="Arial" w:hAnsi="Arial" w:cs="Arial"/>
                <w:sz w:val="20"/>
                <w:szCs w:val="20"/>
                <w:lang w:val="en-GB"/>
              </w:rPr>
            </w:pPr>
          </w:p>
        </w:tc>
      </w:tr>
      <w:tr w:rsidR="00594F2C" w:rsidRPr="00420DEE" w14:paraId="3AAE6FF8" w14:textId="77777777" w:rsidTr="00420DEE">
        <w:tc>
          <w:tcPr>
            <w:tcW w:w="1268" w:type="pct"/>
            <w:noWrap/>
          </w:tcPr>
          <w:p w14:paraId="2DD0A9E3" w14:textId="77777777" w:rsidR="00594F2C" w:rsidRPr="00420DEE" w:rsidRDefault="00594F2C">
            <w:pPr>
              <w:pStyle w:val="Heading2"/>
              <w:jc w:val="left"/>
              <w:rPr>
                <w:rFonts w:ascii="Arial" w:hAnsi="Arial" w:cs="Arial"/>
                <w:lang w:val="en-GB"/>
              </w:rPr>
            </w:pPr>
          </w:p>
        </w:tc>
        <w:tc>
          <w:tcPr>
            <w:tcW w:w="2218" w:type="pct"/>
          </w:tcPr>
          <w:p w14:paraId="39122B7A" w14:textId="77777777" w:rsidR="00594F2C" w:rsidRPr="00420DEE" w:rsidRDefault="00594F2C">
            <w:pPr>
              <w:pStyle w:val="Heading2"/>
              <w:jc w:val="left"/>
              <w:rPr>
                <w:rFonts w:ascii="Arial" w:hAnsi="Arial" w:cs="Arial"/>
                <w:lang w:val="en-GB"/>
              </w:rPr>
            </w:pPr>
            <w:r w:rsidRPr="00420DEE">
              <w:rPr>
                <w:rFonts w:ascii="Arial" w:hAnsi="Arial" w:cs="Arial"/>
                <w:lang w:val="en-GB"/>
              </w:rPr>
              <w:t>Reviewer’s comment</w:t>
            </w:r>
          </w:p>
          <w:p w14:paraId="629671E2" w14:textId="3F65FADC" w:rsidR="000617BB" w:rsidRPr="00420DEE" w:rsidRDefault="000617BB" w:rsidP="000617BB">
            <w:pPr>
              <w:rPr>
                <w:rFonts w:ascii="Arial" w:hAnsi="Arial" w:cs="Arial"/>
                <w:b/>
                <w:bCs/>
                <w:sz w:val="20"/>
                <w:szCs w:val="20"/>
              </w:rPr>
            </w:pPr>
            <w:r w:rsidRPr="00420DEE">
              <w:rPr>
                <w:rFonts w:ascii="Arial" w:hAnsi="Arial" w:cs="Arial"/>
                <w:b/>
                <w:bCs/>
                <w:sz w:val="20"/>
                <w:szCs w:val="20"/>
                <w:highlight w:val="yellow"/>
              </w:rPr>
              <w:t>Artificial Intelligence (AI) generated or assisted review comments are strictly prohibited during peer review.</w:t>
            </w:r>
          </w:p>
        </w:tc>
        <w:tc>
          <w:tcPr>
            <w:tcW w:w="1514" w:type="pct"/>
          </w:tcPr>
          <w:p w14:paraId="36461C0A" w14:textId="4655AD80" w:rsidR="00594F2C" w:rsidRPr="00420DEE" w:rsidRDefault="0082108C" w:rsidP="00420DEE">
            <w:pPr>
              <w:spacing w:after="160" w:line="254" w:lineRule="auto"/>
              <w:rPr>
                <w:rFonts w:ascii="Arial" w:eastAsia="Calibri" w:hAnsi="Arial" w:cs="Arial"/>
                <w:kern w:val="2"/>
                <w:sz w:val="20"/>
                <w:szCs w:val="20"/>
                <w:lang w:val="en-IN"/>
              </w:rPr>
            </w:pPr>
            <w:r w:rsidRPr="00420DEE">
              <w:rPr>
                <w:rFonts w:ascii="Arial" w:eastAsia="Calibri" w:hAnsi="Arial" w:cs="Arial"/>
                <w:b/>
                <w:kern w:val="2"/>
                <w:sz w:val="20"/>
                <w:szCs w:val="20"/>
                <w:lang w:val="en-IN"/>
              </w:rPr>
              <w:t>Author’s Feedback</w:t>
            </w:r>
            <w:r w:rsidRPr="00420DEE">
              <w:rPr>
                <w:rFonts w:ascii="Arial" w:eastAsia="Calibri" w:hAnsi="Arial" w:cs="Arial"/>
                <w:kern w:val="2"/>
                <w:sz w:val="20"/>
                <w:szCs w:val="20"/>
                <w:lang w:val="en-IN"/>
              </w:rPr>
              <w:t xml:space="preserve"> (It is mandatory that authors should write his/her feedback here)</w:t>
            </w:r>
          </w:p>
        </w:tc>
      </w:tr>
      <w:tr w:rsidR="00594F2C" w:rsidRPr="00420DEE" w14:paraId="218B5FE1" w14:textId="77777777" w:rsidTr="00420DEE">
        <w:trPr>
          <w:trHeight w:val="1264"/>
        </w:trPr>
        <w:tc>
          <w:tcPr>
            <w:tcW w:w="1268" w:type="pct"/>
            <w:noWrap/>
          </w:tcPr>
          <w:p w14:paraId="510A49BF" w14:textId="77777777" w:rsidR="00594F2C" w:rsidRPr="00420DEE" w:rsidRDefault="00594F2C">
            <w:pPr>
              <w:ind w:left="360"/>
              <w:rPr>
                <w:rFonts w:ascii="Arial" w:hAnsi="Arial" w:cs="Arial"/>
                <w:b/>
                <w:bCs/>
                <w:sz w:val="20"/>
                <w:szCs w:val="20"/>
                <w:lang w:val="en-GB"/>
              </w:rPr>
            </w:pPr>
            <w:r w:rsidRPr="00420DE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BBF743" w14:textId="77777777" w:rsidR="00594F2C" w:rsidRPr="00420DEE" w:rsidRDefault="00594F2C">
            <w:pPr>
              <w:ind w:left="360"/>
              <w:rPr>
                <w:rFonts w:ascii="Arial" w:eastAsia="MS Mincho" w:hAnsi="Arial" w:cs="Arial"/>
                <w:b/>
                <w:bCs/>
                <w:sz w:val="20"/>
                <w:szCs w:val="20"/>
                <w:lang w:val="en-GB"/>
              </w:rPr>
            </w:pPr>
          </w:p>
        </w:tc>
        <w:tc>
          <w:tcPr>
            <w:tcW w:w="2218" w:type="pct"/>
          </w:tcPr>
          <w:p w14:paraId="500974C5" w14:textId="77777777" w:rsidR="00594F2C" w:rsidRPr="00420DEE" w:rsidRDefault="0044682B">
            <w:pPr>
              <w:pStyle w:val="ListParagraph"/>
              <w:ind w:left="0"/>
              <w:rPr>
                <w:rFonts w:ascii="Arial" w:hAnsi="Arial" w:cs="Arial"/>
                <w:b/>
                <w:bCs/>
                <w:sz w:val="20"/>
                <w:szCs w:val="20"/>
                <w:lang w:val="en-GB"/>
              </w:rPr>
            </w:pPr>
            <w:r w:rsidRPr="00420DEE">
              <w:rPr>
                <w:rFonts w:ascii="Arial" w:eastAsia="Calibri" w:hAnsi="Arial" w:cs="Arial"/>
                <w:sz w:val="20"/>
                <w:szCs w:val="20"/>
              </w:rPr>
              <w:t>This manuscript offers a significant contribution to the scientific community by illuminating the underexplored lived experiences of Filipino gay seafarers within the hypermasculine and heteronormative maritime industry. By adopting a phenomenological approach, the study reveals the psychological, emotional, and professional struggles faced by this marginalized group, enriching current discourses on gender inclusivity, occupational wellbeing, and diversity in global labor sectors. The findings provide critical insights for maritime policymakers, educators, and welfare institutions in fostering more inclusive and humane shipboard environments. Overall, this study bridges a crucial research gap in LGBTQ studies within traditionally conservative professions and highlights the need for systemic reform grounded in empathy and equity.</w:t>
            </w:r>
          </w:p>
        </w:tc>
        <w:tc>
          <w:tcPr>
            <w:tcW w:w="1514" w:type="pct"/>
          </w:tcPr>
          <w:p w14:paraId="15D18296" w14:textId="77777777" w:rsidR="00594F2C" w:rsidRPr="00420DEE" w:rsidRDefault="00594F2C">
            <w:pPr>
              <w:pStyle w:val="Heading2"/>
              <w:jc w:val="left"/>
              <w:rPr>
                <w:rFonts w:ascii="Arial" w:hAnsi="Arial" w:cs="Arial"/>
                <w:b w:val="0"/>
                <w:lang w:val="en-GB"/>
              </w:rPr>
            </w:pPr>
          </w:p>
        </w:tc>
      </w:tr>
      <w:tr w:rsidR="00594F2C" w:rsidRPr="00420DEE" w14:paraId="5F9358E0" w14:textId="77777777" w:rsidTr="00420DEE">
        <w:trPr>
          <w:trHeight w:val="1262"/>
        </w:trPr>
        <w:tc>
          <w:tcPr>
            <w:tcW w:w="1268" w:type="pct"/>
            <w:noWrap/>
          </w:tcPr>
          <w:p w14:paraId="7AE9F4BB" w14:textId="77777777" w:rsidR="00594F2C" w:rsidRPr="00420DEE" w:rsidRDefault="00594F2C">
            <w:pPr>
              <w:ind w:left="360"/>
              <w:rPr>
                <w:rFonts w:ascii="Arial" w:hAnsi="Arial" w:cs="Arial"/>
                <w:b/>
                <w:bCs/>
                <w:sz w:val="20"/>
                <w:szCs w:val="20"/>
                <w:lang w:val="en-GB"/>
              </w:rPr>
            </w:pPr>
            <w:r w:rsidRPr="00420DEE">
              <w:rPr>
                <w:rFonts w:ascii="Arial" w:hAnsi="Arial" w:cs="Arial"/>
                <w:b/>
                <w:bCs/>
                <w:sz w:val="20"/>
                <w:szCs w:val="20"/>
                <w:lang w:val="en-GB"/>
              </w:rPr>
              <w:t>Is the title of the article suitable?</w:t>
            </w:r>
          </w:p>
          <w:p w14:paraId="7C5E9A66" w14:textId="77777777" w:rsidR="00594F2C" w:rsidRPr="00420DEE" w:rsidRDefault="00594F2C">
            <w:pPr>
              <w:ind w:left="360"/>
              <w:rPr>
                <w:rFonts w:ascii="Arial" w:hAnsi="Arial" w:cs="Arial"/>
                <w:b/>
                <w:bCs/>
                <w:sz w:val="20"/>
                <w:szCs w:val="20"/>
                <w:lang w:val="en-GB"/>
              </w:rPr>
            </w:pPr>
            <w:r w:rsidRPr="00420DEE">
              <w:rPr>
                <w:rFonts w:ascii="Arial" w:hAnsi="Arial" w:cs="Arial"/>
                <w:b/>
                <w:bCs/>
                <w:sz w:val="20"/>
                <w:szCs w:val="20"/>
                <w:lang w:val="en-GB"/>
              </w:rPr>
              <w:t>(If not please suggest an alternative title)</w:t>
            </w:r>
          </w:p>
          <w:p w14:paraId="54562D9E" w14:textId="77777777" w:rsidR="00594F2C" w:rsidRPr="00420DEE" w:rsidRDefault="00594F2C">
            <w:pPr>
              <w:pStyle w:val="Heading2"/>
              <w:jc w:val="left"/>
              <w:rPr>
                <w:rFonts w:ascii="Arial" w:hAnsi="Arial" w:cs="Arial"/>
                <w:u w:val="single"/>
                <w:lang w:val="en-GB"/>
              </w:rPr>
            </w:pPr>
          </w:p>
        </w:tc>
        <w:tc>
          <w:tcPr>
            <w:tcW w:w="2218" w:type="pct"/>
          </w:tcPr>
          <w:p w14:paraId="0920FC44" w14:textId="77777777" w:rsidR="00594F2C" w:rsidRPr="00420DEE" w:rsidRDefault="0044682B" w:rsidP="0044682B">
            <w:pPr>
              <w:ind w:left="33"/>
              <w:rPr>
                <w:rFonts w:ascii="Arial" w:hAnsi="Arial" w:cs="Arial"/>
                <w:b/>
                <w:bCs/>
                <w:sz w:val="20"/>
                <w:szCs w:val="20"/>
                <w:lang w:val="en-GB"/>
              </w:rPr>
            </w:pPr>
            <w:r w:rsidRPr="00420DEE">
              <w:rPr>
                <w:rFonts w:ascii="Arial" w:eastAsia="Calibri" w:hAnsi="Arial" w:cs="Arial"/>
                <w:sz w:val="20"/>
                <w:szCs w:val="20"/>
              </w:rPr>
              <w:t xml:space="preserve">Yes, the title </w:t>
            </w:r>
            <w:r w:rsidRPr="00420DEE">
              <w:rPr>
                <w:rFonts w:ascii="Arial" w:eastAsia="Calibri" w:hAnsi="Arial" w:cs="Arial"/>
                <w:i/>
                <w:iCs/>
                <w:sz w:val="20"/>
                <w:szCs w:val="20"/>
              </w:rPr>
              <w:t>"The Bittersweet Struggles and Experiences of Filipino Gay Seafarers Onboard: A Phenomenological Study"</w:t>
            </w:r>
            <w:r w:rsidRPr="00420DEE">
              <w:rPr>
                <w:rFonts w:ascii="Arial" w:eastAsia="Calibri" w:hAnsi="Arial" w:cs="Arial"/>
                <w:sz w:val="20"/>
                <w:szCs w:val="20"/>
              </w:rPr>
              <w:t xml:space="preserve"> is suitable and effectively captures the essence of the research. It reflects both the emotional duality (“bittersweet struggles and experiences”) and the specific focus on Filipino gay seafarers working onboard, while also indicating the qualitative approach employed. The use of the word </w:t>
            </w:r>
            <w:r w:rsidRPr="00420DEE">
              <w:rPr>
                <w:rFonts w:ascii="Arial" w:eastAsia="Calibri" w:hAnsi="Arial" w:cs="Arial"/>
                <w:i/>
                <w:iCs/>
                <w:sz w:val="20"/>
                <w:szCs w:val="20"/>
              </w:rPr>
              <w:t>“phenomenological”</w:t>
            </w:r>
            <w:r w:rsidRPr="00420DEE">
              <w:rPr>
                <w:rFonts w:ascii="Arial" w:eastAsia="Calibri" w:hAnsi="Arial" w:cs="Arial"/>
                <w:sz w:val="20"/>
                <w:szCs w:val="20"/>
              </w:rPr>
              <w:t xml:space="preserve"> accurately signals the methodological framework, aligning readers' expectations with the in-depth, lived-experience analysis presented in the manuscript. Overall, the title is clear, evocative, and academically appropriate for the subject matter.</w:t>
            </w:r>
          </w:p>
        </w:tc>
        <w:tc>
          <w:tcPr>
            <w:tcW w:w="1514" w:type="pct"/>
          </w:tcPr>
          <w:p w14:paraId="517A6577" w14:textId="77777777" w:rsidR="00594F2C" w:rsidRPr="00420DEE" w:rsidRDefault="00594F2C">
            <w:pPr>
              <w:pStyle w:val="Heading2"/>
              <w:jc w:val="left"/>
              <w:rPr>
                <w:rFonts w:ascii="Arial" w:hAnsi="Arial" w:cs="Arial"/>
                <w:b w:val="0"/>
                <w:lang w:val="en-GB"/>
              </w:rPr>
            </w:pPr>
          </w:p>
        </w:tc>
      </w:tr>
      <w:tr w:rsidR="00594F2C" w:rsidRPr="00420DEE" w14:paraId="4B3C06A6" w14:textId="77777777" w:rsidTr="00420DEE">
        <w:trPr>
          <w:trHeight w:val="1262"/>
        </w:trPr>
        <w:tc>
          <w:tcPr>
            <w:tcW w:w="1268" w:type="pct"/>
            <w:noWrap/>
          </w:tcPr>
          <w:p w14:paraId="32C570A1" w14:textId="77777777" w:rsidR="00594F2C" w:rsidRPr="00420DEE" w:rsidRDefault="00594F2C">
            <w:pPr>
              <w:pStyle w:val="Heading2"/>
              <w:ind w:left="360"/>
              <w:jc w:val="left"/>
              <w:rPr>
                <w:rFonts w:ascii="Arial" w:hAnsi="Arial" w:cs="Arial"/>
                <w:lang w:val="en-GB"/>
              </w:rPr>
            </w:pPr>
            <w:r w:rsidRPr="00420DEE">
              <w:rPr>
                <w:rFonts w:ascii="Arial" w:hAnsi="Arial" w:cs="Arial"/>
                <w:lang w:val="en-GB"/>
              </w:rPr>
              <w:t>Is the abstract of the article comprehensive? Do you suggest the addition (or deletion) of some points in this section? Please write your suggestions here.</w:t>
            </w:r>
          </w:p>
          <w:p w14:paraId="5B7E8F80" w14:textId="77777777" w:rsidR="00594F2C" w:rsidRPr="00420DEE" w:rsidRDefault="00594F2C">
            <w:pPr>
              <w:pStyle w:val="Heading2"/>
              <w:jc w:val="left"/>
              <w:rPr>
                <w:rFonts w:ascii="Arial" w:hAnsi="Arial" w:cs="Arial"/>
                <w:u w:val="single"/>
                <w:lang w:val="en-GB"/>
              </w:rPr>
            </w:pPr>
          </w:p>
        </w:tc>
        <w:tc>
          <w:tcPr>
            <w:tcW w:w="2218" w:type="pct"/>
          </w:tcPr>
          <w:p w14:paraId="2154187D" w14:textId="77777777" w:rsidR="00594F2C" w:rsidRPr="00420DEE" w:rsidRDefault="0044682B" w:rsidP="0044682B">
            <w:pPr>
              <w:autoSpaceDE w:val="0"/>
              <w:autoSpaceDN w:val="0"/>
              <w:adjustRightInd w:val="0"/>
              <w:rPr>
                <w:rFonts w:ascii="Arial" w:eastAsia="Calibri" w:hAnsi="Arial" w:cs="Arial"/>
                <w:sz w:val="20"/>
                <w:szCs w:val="20"/>
              </w:rPr>
            </w:pPr>
            <w:r w:rsidRPr="00420DEE">
              <w:rPr>
                <w:rFonts w:ascii="Arial" w:eastAsia="Calibri" w:hAnsi="Arial" w:cs="Arial"/>
                <w:sz w:val="20"/>
                <w:szCs w:val="20"/>
              </w:rPr>
              <w:t>The abstract of the article is generally comprehensive and successfully outlines the study’s aim, methodology, key findings, and proposed recommendations. It provides a clear overview of the phenomenological approach used, the participant profile, and the four emergent themes, which are both relevant and compelling. The concluding statement regarding the development of a Social Diversity Program strengthens the practical value of the study. However, to further enhance clarity and scholarly impact, it is recommended to briefly mention the specific method of data analysis (</w:t>
            </w:r>
            <w:proofErr w:type="spellStart"/>
            <w:r w:rsidRPr="00420DEE">
              <w:rPr>
                <w:rFonts w:ascii="Arial" w:eastAsia="Calibri" w:hAnsi="Arial" w:cs="Arial"/>
                <w:sz w:val="20"/>
                <w:szCs w:val="20"/>
              </w:rPr>
              <w:t>Hycner’s</w:t>
            </w:r>
            <w:proofErr w:type="spellEnd"/>
            <w:r w:rsidRPr="00420DEE">
              <w:rPr>
                <w:rFonts w:ascii="Arial" w:eastAsia="Calibri" w:hAnsi="Arial" w:cs="Arial"/>
                <w:sz w:val="20"/>
                <w:szCs w:val="20"/>
              </w:rPr>
              <w:t xml:space="preserve"> Explication Process) and to indicate the geographical or institutional relevance of the proposed program (e.g., through MARINA or MHEIs) to emphasize policy implications. This minor refinement would give readers a fuller picture of the study’s scope and potential contributions without adding unnecessary length.</w:t>
            </w:r>
          </w:p>
        </w:tc>
        <w:tc>
          <w:tcPr>
            <w:tcW w:w="1514" w:type="pct"/>
          </w:tcPr>
          <w:p w14:paraId="323C37F9" w14:textId="77777777" w:rsidR="00594F2C" w:rsidRPr="00420DEE" w:rsidRDefault="00594F2C">
            <w:pPr>
              <w:pStyle w:val="Heading2"/>
              <w:jc w:val="left"/>
              <w:rPr>
                <w:rFonts w:ascii="Arial" w:hAnsi="Arial" w:cs="Arial"/>
                <w:b w:val="0"/>
                <w:lang w:val="en-GB"/>
              </w:rPr>
            </w:pPr>
          </w:p>
        </w:tc>
      </w:tr>
      <w:tr w:rsidR="00594F2C" w:rsidRPr="00420DEE" w14:paraId="29B84781" w14:textId="77777777" w:rsidTr="00420DEE">
        <w:trPr>
          <w:trHeight w:val="704"/>
        </w:trPr>
        <w:tc>
          <w:tcPr>
            <w:tcW w:w="1268" w:type="pct"/>
            <w:noWrap/>
          </w:tcPr>
          <w:p w14:paraId="58D7FB2D" w14:textId="77777777" w:rsidR="00594F2C" w:rsidRPr="00420DEE" w:rsidRDefault="00594F2C">
            <w:pPr>
              <w:pStyle w:val="Heading2"/>
              <w:ind w:left="360"/>
              <w:jc w:val="left"/>
              <w:rPr>
                <w:rFonts w:ascii="Arial" w:hAnsi="Arial" w:cs="Arial"/>
                <w:b w:val="0"/>
                <w:bCs w:val="0"/>
                <w:u w:val="single"/>
                <w:lang w:val="en-GB"/>
              </w:rPr>
            </w:pPr>
            <w:r w:rsidRPr="00420DEE">
              <w:rPr>
                <w:rFonts w:ascii="Arial" w:hAnsi="Arial" w:cs="Arial"/>
                <w:lang w:val="en-GB"/>
              </w:rPr>
              <w:t>Is the manuscript scientifically, correct? Please write here.</w:t>
            </w:r>
          </w:p>
        </w:tc>
        <w:tc>
          <w:tcPr>
            <w:tcW w:w="2218" w:type="pct"/>
          </w:tcPr>
          <w:p w14:paraId="70CBC443" w14:textId="77777777" w:rsidR="0044682B" w:rsidRPr="00420DEE" w:rsidRDefault="0044682B" w:rsidP="0044682B">
            <w:pPr>
              <w:autoSpaceDE w:val="0"/>
              <w:autoSpaceDN w:val="0"/>
              <w:adjustRightInd w:val="0"/>
              <w:rPr>
                <w:rFonts w:ascii="Arial" w:eastAsia="Calibri" w:hAnsi="Arial" w:cs="Arial"/>
                <w:sz w:val="20"/>
                <w:szCs w:val="20"/>
              </w:rPr>
            </w:pPr>
            <w:r w:rsidRPr="00420DEE">
              <w:rPr>
                <w:rFonts w:ascii="Arial" w:eastAsia="Calibri" w:hAnsi="Arial" w:cs="Arial"/>
                <w:sz w:val="20"/>
                <w:szCs w:val="20"/>
              </w:rPr>
              <w:t xml:space="preserve">the manuscript is scientifically sound and methodologically appropriate for a qualitative phenomenological study. The research follows established scholarly procedures including purposive and snowball sampling, ethical safeguards, and a well-defined data analysis framework grounded in </w:t>
            </w:r>
            <w:proofErr w:type="spellStart"/>
            <w:r w:rsidRPr="00420DEE">
              <w:rPr>
                <w:rFonts w:ascii="Arial" w:eastAsia="Calibri" w:hAnsi="Arial" w:cs="Arial"/>
                <w:sz w:val="20"/>
                <w:szCs w:val="20"/>
              </w:rPr>
              <w:t>Hycner’s</w:t>
            </w:r>
            <w:proofErr w:type="spellEnd"/>
            <w:r w:rsidRPr="00420DEE">
              <w:rPr>
                <w:rFonts w:ascii="Arial" w:eastAsia="Calibri" w:hAnsi="Arial" w:cs="Arial"/>
                <w:sz w:val="20"/>
                <w:szCs w:val="20"/>
              </w:rPr>
              <w:t xml:space="preserve"> Explication Process. The articulation of themes is supported by rich, direct participant narratives that reflect a rigorous and reflective engagement with the data. The conceptual framing and integration of relevant literature further reinforce the study’s academic robustness.</w:t>
            </w:r>
          </w:p>
          <w:p w14:paraId="54353327" w14:textId="77777777" w:rsidR="00594F2C" w:rsidRPr="00420DEE" w:rsidRDefault="0044682B" w:rsidP="0044682B">
            <w:pPr>
              <w:pStyle w:val="ListParagraph"/>
              <w:ind w:left="0"/>
              <w:rPr>
                <w:rFonts w:ascii="Arial" w:hAnsi="Arial" w:cs="Arial"/>
                <w:bCs/>
                <w:sz w:val="20"/>
                <w:szCs w:val="20"/>
                <w:lang w:val="en-GB"/>
              </w:rPr>
            </w:pPr>
            <w:r w:rsidRPr="00420DEE">
              <w:rPr>
                <w:rFonts w:ascii="Arial" w:eastAsia="Calibri" w:hAnsi="Arial" w:cs="Arial"/>
                <w:sz w:val="20"/>
                <w:szCs w:val="20"/>
              </w:rPr>
              <w:t>Nonetheless, to further strengthen the manuscript’s scientific rigor, it would be beneficial to more clearly define the study's epistemological stance and justify the choice of phenomenology in relation to other possible qualitative approaches. Additionally, including a brief discussion on the limitations of the study—such as sample size or generalizability—could enhance transparency and contextualize the findings more critically for the academic audience.</w:t>
            </w:r>
          </w:p>
        </w:tc>
        <w:tc>
          <w:tcPr>
            <w:tcW w:w="1514" w:type="pct"/>
          </w:tcPr>
          <w:p w14:paraId="17F83FE7" w14:textId="77777777" w:rsidR="00594F2C" w:rsidRPr="00420DEE" w:rsidRDefault="00594F2C">
            <w:pPr>
              <w:pStyle w:val="Heading2"/>
              <w:jc w:val="left"/>
              <w:rPr>
                <w:rFonts w:ascii="Arial" w:hAnsi="Arial" w:cs="Arial"/>
                <w:b w:val="0"/>
                <w:lang w:val="en-GB"/>
              </w:rPr>
            </w:pPr>
          </w:p>
        </w:tc>
      </w:tr>
      <w:tr w:rsidR="00594F2C" w:rsidRPr="00420DEE" w14:paraId="22E42786" w14:textId="77777777" w:rsidTr="00420DEE">
        <w:trPr>
          <w:trHeight w:val="703"/>
        </w:trPr>
        <w:tc>
          <w:tcPr>
            <w:tcW w:w="1268" w:type="pct"/>
            <w:noWrap/>
          </w:tcPr>
          <w:p w14:paraId="1D9BD763" w14:textId="77777777" w:rsidR="00594F2C" w:rsidRPr="00420DEE" w:rsidRDefault="00594F2C">
            <w:pPr>
              <w:ind w:left="360"/>
              <w:rPr>
                <w:rFonts w:ascii="Arial" w:hAnsi="Arial" w:cs="Arial"/>
                <w:b/>
                <w:bCs/>
                <w:sz w:val="20"/>
                <w:szCs w:val="20"/>
                <w:lang w:val="en-GB"/>
              </w:rPr>
            </w:pPr>
            <w:r w:rsidRPr="00420DEE">
              <w:rPr>
                <w:rFonts w:ascii="Arial" w:hAnsi="Arial" w:cs="Arial"/>
                <w:b/>
                <w:bCs/>
                <w:sz w:val="20"/>
                <w:szCs w:val="20"/>
                <w:lang w:val="en-GB"/>
              </w:rPr>
              <w:t>Are the references sufficient and recent? If you have suggestions of additional references, please mention them in the review form.</w:t>
            </w:r>
          </w:p>
        </w:tc>
        <w:tc>
          <w:tcPr>
            <w:tcW w:w="2218" w:type="pct"/>
          </w:tcPr>
          <w:p w14:paraId="7EA2BB4A" w14:textId="77777777" w:rsidR="0044682B" w:rsidRPr="00420DEE" w:rsidRDefault="0044682B" w:rsidP="0044682B">
            <w:pPr>
              <w:autoSpaceDE w:val="0"/>
              <w:autoSpaceDN w:val="0"/>
              <w:adjustRightInd w:val="0"/>
              <w:rPr>
                <w:rFonts w:ascii="Arial" w:eastAsia="Calibri" w:hAnsi="Arial" w:cs="Arial"/>
                <w:sz w:val="20"/>
                <w:szCs w:val="20"/>
              </w:rPr>
            </w:pPr>
            <w:r w:rsidRPr="00420DEE">
              <w:rPr>
                <w:rFonts w:ascii="Arial" w:eastAsia="Calibri" w:hAnsi="Arial" w:cs="Arial"/>
                <w:sz w:val="20"/>
                <w:szCs w:val="20"/>
              </w:rPr>
              <w:t>The references used in the manuscript are generally sufficient and relevant to the study’s objectives. The author has cited foundational works on phenomenology, stigma, masculinity, and LGBTQIA+ issues, as well as recent sources such as ISWAN (2023) and Brooks (2022) that reinforce the study’s timeliness and relevance. The inclusion of scholarly articles, institutional reports, and doctoral dissertations demonstrates an effort to provide a multidisciplinary perspective.</w:t>
            </w:r>
          </w:p>
          <w:p w14:paraId="43F80D47" w14:textId="77777777" w:rsidR="00594F2C" w:rsidRPr="00420DEE" w:rsidRDefault="0044682B" w:rsidP="0044682B">
            <w:pPr>
              <w:pStyle w:val="ListParagraph"/>
              <w:ind w:left="0"/>
              <w:rPr>
                <w:rFonts w:ascii="Arial" w:hAnsi="Arial" w:cs="Arial"/>
                <w:bCs/>
                <w:sz w:val="20"/>
                <w:szCs w:val="20"/>
                <w:lang w:val="en-GB"/>
              </w:rPr>
            </w:pPr>
            <w:r w:rsidRPr="00420DEE">
              <w:rPr>
                <w:rFonts w:ascii="Arial" w:eastAsia="Calibri" w:hAnsi="Arial" w:cs="Arial"/>
                <w:sz w:val="20"/>
                <w:szCs w:val="20"/>
              </w:rPr>
              <w:t xml:space="preserve">However, the reference list would benefit from the addition of a few more peer-reviewed journal articles from the last three to five years—particularly those focusing on gender inclusivity in maritime </w:t>
            </w:r>
            <w:r w:rsidRPr="00420DEE">
              <w:rPr>
                <w:rFonts w:ascii="Arial" w:eastAsia="Calibri" w:hAnsi="Arial" w:cs="Arial"/>
                <w:sz w:val="20"/>
                <w:szCs w:val="20"/>
              </w:rPr>
              <w:lastRenderedPageBreak/>
              <w:t xml:space="preserve">education or occupational mental health among LGBTQ professionals. Including recent empirical research published in journals such as </w:t>
            </w:r>
            <w:r w:rsidRPr="00420DEE">
              <w:rPr>
                <w:rFonts w:ascii="Arial" w:eastAsia="Calibri" w:hAnsi="Arial" w:cs="Arial"/>
                <w:i/>
                <w:iCs/>
                <w:sz w:val="20"/>
                <w:szCs w:val="20"/>
              </w:rPr>
              <w:t>Marine Policy</w:t>
            </w:r>
            <w:r w:rsidRPr="00420DEE">
              <w:rPr>
                <w:rFonts w:ascii="Arial" w:eastAsia="Calibri" w:hAnsi="Arial" w:cs="Arial"/>
                <w:sz w:val="20"/>
                <w:szCs w:val="20"/>
              </w:rPr>
              <w:t xml:space="preserve">, </w:t>
            </w:r>
            <w:r w:rsidRPr="00420DEE">
              <w:rPr>
                <w:rFonts w:ascii="Arial" w:eastAsia="Calibri" w:hAnsi="Arial" w:cs="Arial"/>
                <w:i/>
                <w:iCs/>
                <w:sz w:val="20"/>
                <w:szCs w:val="20"/>
              </w:rPr>
              <w:t>Journal of Homosexuality</w:t>
            </w:r>
            <w:r w:rsidRPr="00420DEE">
              <w:rPr>
                <w:rFonts w:ascii="Arial" w:eastAsia="Calibri" w:hAnsi="Arial" w:cs="Arial"/>
                <w:sz w:val="20"/>
                <w:szCs w:val="20"/>
              </w:rPr>
              <w:t xml:space="preserve">, or </w:t>
            </w:r>
            <w:r w:rsidRPr="00420DEE">
              <w:rPr>
                <w:rFonts w:ascii="Arial" w:eastAsia="Calibri" w:hAnsi="Arial" w:cs="Arial"/>
                <w:i/>
                <w:iCs/>
                <w:sz w:val="20"/>
                <w:szCs w:val="20"/>
              </w:rPr>
              <w:t>Gender, Work &amp; Organization</w:t>
            </w:r>
            <w:r w:rsidRPr="00420DEE">
              <w:rPr>
                <w:rFonts w:ascii="Arial" w:eastAsia="Calibri" w:hAnsi="Arial" w:cs="Arial"/>
                <w:sz w:val="20"/>
                <w:szCs w:val="20"/>
              </w:rPr>
              <w:t xml:space="preserve"> could further contextualize the findings and enhance the manuscript’s academic grounding.</w:t>
            </w:r>
          </w:p>
        </w:tc>
        <w:tc>
          <w:tcPr>
            <w:tcW w:w="1514" w:type="pct"/>
          </w:tcPr>
          <w:p w14:paraId="1E223F53" w14:textId="77777777" w:rsidR="00594F2C" w:rsidRPr="00420DEE" w:rsidRDefault="00594F2C">
            <w:pPr>
              <w:pStyle w:val="Heading2"/>
              <w:jc w:val="left"/>
              <w:rPr>
                <w:rFonts w:ascii="Arial" w:hAnsi="Arial" w:cs="Arial"/>
                <w:b w:val="0"/>
                <w:lang w:val="en-GB"/>
              </w:rPr>
            </w:pPr>
          </w:p>
        </w:tc>
      </w:tr>
      <w:tr w:rsidR="00594F2C" w:rsidRPr="00420DEE" w14:paraId="27B501DA" w14:textId="77777777" w:rsidTr="00420DEE">
        <w:trPr>
          <w:trHeight w:val="386"/>
        </w:trPr>
        <w:tc>
          <w:tcPr>
            <w:tcW w:w="1268" w:type="pct"/>
            <w:noWrap/>
          </w:tcPr>
          <w:p w14:paraId="25CD0763" w14:textId="77777777" w:rsidR="00594F2C" w:rsidRPr="00420DEE" w:rsidRDefault="00594F2C">
            <w:pPr>
              <w:pStyle w:val="Heading2"/>
              <w:ind w:left="360"/>
              <w:jc w:val="left"/>
              <w:rPr>
                <w:rFonts w:ascii="Arial" w:hAnsi="Arial" w:cs="Arial"/>
                <w:bCs w:val="0"/>
                <w:lang w:val="en-GB"/>
              </w:rPr>
            </w:pPr>
            <w:r w:rsidRPr="00420DEE">
              <w:rPr>
                <w:rFonts w:ascii="Arial" w:hAnsi="Arial" w:cs="Arial"/>
                <w:bCs w:val="0"/>
                <w:lang w:val="en-GB"/>
              </w:rPr>
              <w:t>Is the language/English quality of the article suitable for scholarly communications?</w:t>
            </w:r>
          </w:p>
          <w:p w14:paraId="45A13449" w14:textId="77777777" w:rsidR="00594F2C" w:rsidRPr="00420DEE" w:rsidRDefault="00594F2C">
            <w:pPr>
              <w:rPr>
                <w:rFonts w:ascii="Arial" w:hAnsi="Arial" w:cs="Arial"/>
                <w:sz w:val="20"/>
                <w:szCs w:val="20"/>
                <w:lang w:val="en-GB"/>
              </w:rPr>
            </w:pPr>
          </w:p>
        </w:tc>
        <w:tc>
          <w:tcPr>
            <w:tcW w:w="2218" w:type="pct"/>
          </w:tcPr>
          <w:p w14:paraId="545FADC2" w14:textId="77777777" w:rsidR="0044682B" w:rsidRPr="00420DEE" w:rsidRDefault="0044682B" w:rsidP="0044682B">
            <w:pPr>
              <w:autoSpaceDE w:val="0"/>
              <w:autoSpaceDN w:val="0"/>
              <w:adjustRightInd w:val="0"/>
              <w:rPr>
                <w:rFonts w:ascii="Arial" w:eastAsia="Calibri" w:hAnsi="Arial" w:cs="Arial"/>
                <w:sz w:val="20"/>
                <w:szCs w:val="20"/>
              </w:rPr>
            </w:pPr>
            <w:r w:rsidRPr="00420DEE">
              <w:rPr>
                <w:rFonts w:ascii="Arial" w:eastAsia="Calibri" w:hAnsi="Arial" w:cs="Arial"/>
                <w:sz w:val="20"/>
                <w:szCs w:val="20"/>
              </w:rPr>
              <w:t>The English language used in the manuscript is generally suitable for scholarly communication. The author effectively conveys complex emotional and psychological experiences with clarity and sensitivity, especially when presenting participants’ narratives. The structure and flow of the manuscript are coherent, and the thematic development is logically organized.</w:t>
            </w:r>
          </w:p>
          <w:p w14:paraId="7599D220" w14:textId="77777777" w:rsidR="00594F2C" w:rsidRPr="00420DEE" w:rsidRDefault="0044682B" w:rsidP="0044682B">
            <w:pPr>
              <w:rPr>
                <w:rFonts w:ascii="Arial" w:hAnsi="Arial" w:cs="Arial"/>
                <w:sz w:val="20"/>
                <w:szCs w:val="20"/>
                <w:lang w:val="en-GB"/>
              </w:rPr>
            </w:pPr>
            <w:r w:rsidRPr="00420DEE">
              <w:rPr>
                <w:rFonts w:ascii="Arial" w:eastAsia="Calibri" w:hAnsi="Arial" w:cs="Arial"/>
                <w:sz w:val="20"/>
                <w:szCs w:val="20"/>
              </w:rPr>
              <w:t>That said, there are areas that would benefit from minor grammatical revisions and refinement in phrasing to enhance precision and readability. Some sentences—particularly in the discussion sections—could be streamlined to avoid redundancy, and transitions between paragraphs may be slightly improved to maintain academic tone and flow. Overall, with light copy-editing, the manuscript meets the linguistic standards expected in international academic publishing.</w:t>
            </w:r>
          </w:p>
        </w:tc>
        <w:tc>
          <w:tcPr>
            <w:tcW w:w="1514" w:type="pct"/>
          </w:tcPr>
          <w:p w14:paraId="291F0FFC" w14:textId="77777777" w:rsidR="00594F2C" w:rsidRPr="00420DEE" w:rsidRDefault="00594F2C">
            <w:pPr>
              <w:rPr>
                <w:rFonts w:ascii="Arial" w:hAnsi="Arial" w:cs="Arial"/>
                <w:sz w:val="20"/>
                <w:szCs w:val="20"/>
                <w:lang w:val="en-GB"/>
              </w:rPr>
            </w:pPr>
          </w:p>
        </w:tc>
      </w:tr>
      <w:tr w:rsidR="00594F2C" w:rsidRPr="00420DEE" w14:paraId="00D020D0" w14:textId="77777777" w:rsidTr="00420DEE">
        <w:trPr>
          <w:trHeight w:val="96"/>
        </w:trPr>
        <w:tc>
          <w:tcPr>
            <w:tcW w:w="1268" w:type="pct"/>
            <w:noWrap/>
          </w:tcPr>
          <w:p w14:paraId="6614D0B9" w14:textId="77777777" w:rsidR="00594F2C" w:rsidRPr="00420DEE" w:rsidRDefault="00594F2C">
            <w:pPr>
              <w:pStyle w:val="Heading2"/>
              <w:jc w:val="left"/>
              <w:rPr>
                <w:rFonts w:ascii="Arial" w:hAnsi="Arial" w:cs="Arial"/>
                <w:b w:val="0"/>
                <w:bCs w:val="0"/>
                <w:lang w:val="en-GB"/>
              </w:rPr>
            </w:pPr>
            <w:r w:rsidRPr="00420DEE">
              <w:rPr>
                <w:rFonts w:ascii="Arial" w:hAnsi="Arial" w:cs="Arial"/>
                <w:bCs w:val="0"/>
                <w:u w:val="single"/>
                <w:lang w:val="en-GB"/>
              </w:rPr>
              <w:t>Optional/General</w:t>
            </w:r>
            <w:r w:rsidRPr="00420DEE">
              <w:rPr>
                <w:rFonts w:ascii="Arial" w:hAnsi="Arial" w:cs="Arial"/>
                <w:bCs w:val="0"/>
                <w:lang w:val="en-GB"/>
              </w:rPr>
              <w:t xml:space="preserve"> </w:t>
            </w:r>
            <w:r w:rsidRPr="00420DEE">
              <w:rPr>
                <w:rFonts w:ascii="Arial" w:hAnsi="Arial" w:cs="Arial"/>
                <w:b w:val="0"/>
                <w:bCs w:val="0"/>
                <w:lang w:val="en-GB"/>
              </w:rPr>
              <w:t>comments</w:t>
            </w:r>
          </w:p>
          <w:p w14:paraId="479842D1" w14:textId="77777777" w:rsidR="00594F2C" w:rsidRPr="00420DEE" w:rsidRDefault="00594F2C">
            <w:pPr>
              <w:pStyle w:val="Heading2"/>
              <w:jc w:val="left"/>
              <w:rPr>
                <w:rFonts w:ascii="Arial" w:hAnsi="Arial" w:cs="Arial"/>
                <w:b w:val="0"/>
                <w:lang w:val="en-GB"/>
              </w:rPr>
            </w:pPr>
          </w:p>
        </w:tc>
        <w:tc>
          <w:tcPr>
            <w:tcW w:w="2218" w:type="pct"/>
          </w:tcPr>
          <w:p w14:paraId="37481E33" w14:textId="77777777" w:rsidR="00594F2C" w:rsidRPr="00420DEE" w:rsidRDefault="00594F2C">
            <w:pPr>
              <w:pStyle w:val="NormalWeb"/>
              <w:spacing w:before="0" w:beforeAutospacing="0" w:after="0" w:afterAutospacing="0"/>
              <w:rPr>
                <w:rFonts w:ascii="Arial" w:hAnsi="Arial" w:cs="Arial"/>
                <w:b/>
                <w:sz w:val="20"/>
                <w:szCs w:val="20"/>
                <w:lang w:val="en-GB"/>
              </w:rPr>
            </w:pPr>
          </w:p>
        </w:tc>
        <w:tc>
          <w:tcPr>
            <w:tcW w:w="1514" w:type="pct"/>
          </w:tcPr>
          <w:p w14:paraId="64BB4EEF" w14:textId="77777777" w:rsidR="00594F2C" w:rsidRPr="00420DEE" w:rsidRDefault="00594F2C">
            <w:pPr>
              <w:rPr>
                <w:rFonts w:ascii="Arial" w:hAnsi="Arial" w:cs="Arial"/>
                <w:sz w:val="20"/>
                <w:szCs w:val="20"/>
                <w:lang w:val="en-GB"/>
              </w:rPr>
            </w:pPr>
          </w:p>
        </w:tc>
      </w:tr>
    </w:tbl>
    <w:p w14:paraId="71E9F4FF" w14:textId="77777777" w:rsidR="00594F2C" w:rsidRPr="00420DEE" w:rsidRDefault="00594F2C" w:rsidP="00594F2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1B3CC2" w:rsidRPr="00420DEE" w14:paraId="699A30D1" w14:textId="77777777" w:rsidTr="00420DE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768D286" w14:textId="77777777" w:rsidR="001B3CC2" w:rsidRPr="00420DEE" w:rsidRDefault="001B3CC2" w:rsidP="001B3CC2">
            <w:pPr>
              <w:rPr>
                <w:rFonts w:ascii="Arial" w:eastAsia="Arial Unicode MS" w:hAnsi="Arial" w:cs="Arial"/>
                <w:b/>
                <w:sz w:val="20"/>
                <w:szCs w:val="20"/>
                <w:u w:val="single"/>
                <w:lang w:val="en-GB"/>
              </w:rPr>
            </w:pPr>
            <w:bookmarkStart w:id="3" w:name="_Hlk156057704"/>
            <w:bookmarkStart w:id="4" w:name="_Hlk156057883"/>
            <w:r w:rsidRPr="00420DEE">
              <w:rPr>
                <w:rFonts w:ascii="Arial" w:eastAsia="Arial Unicode MS" w:hAnsi="Arial" w:cs="Arial"/>
                <w:b/>
                <w:sz w:val="20"/>
                <w:szCs w:val="20"/>
                <w:highlight w:val="yellow"/>
                <w:u w:val="single"/>
                <w:lang w:val="en-GB"/>
              </w:rPr>
              <w:t>PART  2:</w:t>
            </w:r>
            <w:r w:rsidRPr="00420DEE">
              <w:rPr>
                <w:rFonts w:ascii="Arial" w:eastAsia="Arial Unicode MS" w:hAnsi="Arial" w:cs="Arial"/>
                <w:b/>
                <w:sz w:val="20"/>
                <w:szCs w:val="20"/>
                <w:u w:val="single"/>
                <w:lang w:val="en-GB"/>
              </w:rPr>
              <w:t xml:space="preserve"> </w:t>
            </w:r>
          </w:p>
          <w:p w14:paraId="4B612A22" w14:textId="77777777" w:rsidR="001B3CC2" w:rsidRPr="00420DEE" w:rsidRDefault="001B3CC2" w:rsidP="001B3CC2">
            <w:pPr>
              <w:rPr>
                <w:rFonts w:ascii="Arial" w:eastAsia="Arial Unicode MS" w:hAnsi="Arial" w:cs="Arial"/>
                <w:b/>
                <w:sz w:val="20"/>
                <w:szCs w:val="20"/>
                <w:u w:val="single"/>
                <w:lang w:val="en-GB"/>
              </w:rPr>
            </w:pPr>
          </w:p>
        </w:tc>
      </w:tr>
      <w:tr w:rsidR="001B3CC2" w:rsidRPr="00420DEE" w14:paraId="0FC67F95" w14:textId="77777777" w:rsidTr="00420DEE">
        <w:tc>
          <w:tcPr>
            <w:tcW w:w="1615" w:type="pct"/>
            <w:shd w:val="clear" w:color="auto" w:fill="auto"/>
            <w:noWrap/>
            <w:tcMar>
              <w:top w:w="0" w:type="dxa"/>
              <w:left w:w="108" w:type="dxa"/>
              <w:bottom w:w="0" w:type="dxa"/>
              <w:right w:w="108" w:type="dxa"/>
            </w:tcMar>
            <w:vAlign w:val="center"/>
          </w:tcPr>
          <w:p w14:paraId="5B4FB34A" w14:textId="77777777" w:rsidR="001B3CC2" w:rsidRPr="00420DEE" w:rsidRDefault="001B3CC2" w:rsidP="001B3CC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B9E1745" w14:textId="77777777" w:rsidR="001B3CC2" w:rsidRPr="00420DEE" w:rsidRDefault="001B3CC2" w:rsidP="001B3CC2">
            <w:pPr>
              <w:keepNext/>
              <w:outlineLvl w:val="1"/>
              <w:rPr>
                <w:rFonts w:ascii="Arial" w:eastAsia="MS Mincho" w:hAnsi="Arial" w:cs="Arial"/>
                <w:b/>
                <w:bCs/>
                <w:sz w:val="20"/>
                <w:szCs w:val="20"/>
                <w:lang w:val="en-GB"/>
              </w:rPr>
            </w:pPr>
            <w:r w:rsidRPr="00420DEE">
              <w:rPr>
                <w:rFonts w:ascii="Arial" w:eastAsia="MS Mincho" w:hAnsi="Arial" w:cs="Arial"/>
                <w:b/>
                <w:bCs/>
                <w:sz w:val="20"/>
                <w:szCs w:val="20"/>
                <w:lang w:val="en-GB"/>
              </w:rPr>
              <w:t>Reviewer’s comment</w:t>
            </w:r>
          </w:p>
        </w:tc>
        <w:tc>
          <w:tcPr>
            <w:tcW w:w="1691" w:type="pct"/>
            <w:shd w:val="clear" w:color="auto" w:fill="auto"/>
          </w:tcPr>
          <w:p w14:paraId="1AEF6F6F" w14:textId="77777777" w:rsidR="001B3CC2" w:rsidRPr="00420DEE" w:rsidRDefault="001B3CC2" w:rsidP="001B3CC2">
            <w:pPr>
              <w:spacing w:after="160" w:line="252" w:lineRule="auto"/>
              <w:rPr>
                <w:rFonts w:ascii="Arial" w:eastAsia="Calibri" w:hAnsi="Arial" w:cs="Arial"/>
                <w:kern w:val="2"/>
                <w:sz w:val="20"/>
                <w:szCs w:val="20"/>
                <w:lang w:val="en-IN"/>
              </w:rPr>
            </w:pPr>
            <w:r w:rsidRPr="00420DEE">
              <w:rPr>
                <w:rFonts w:ascii="Arial" w:eastAsia="Calibri" w:hAnsi="Arial" w:cs="Arial"/>
                <w:b/>
                <w:kern w:val="2"/>
                <w:sz w:val="20"/>
                <w:szCs w:val="20"/>
                <w:lang w:val="en-IN"/>
              </w:rPr>
              <w:t>Author’s Feedback</w:t>
            </w:r>
            <w:r w:rsidRPr="00420DEE">
              <w:rPr>
                <w:rFonts w:ascii="Arial" w:eastAsia="Calibri" w:hAnsi="Arial" w:cs="Arial"/>
                <w:kern w:val="2"/>
                <w:sz w:val="20"/>
                <w:szCs w:val="20"/>
                <w:lang w:val="en-IN"/>
              </w:rPr>
              <w:t xml:space="preserve"> (It is mandatory that authors should write his/her feedback here)</w:t>
            </w:r>
          </w:p>
          <w:p w14:paraId="6E92C618" w14:textId="77777777" w:rsidR="001B3CC2" w:rsidRPr="00420DEE" w:rsidRDefault="001B3CC2" w:rsidP="001B3CC2">
            <w:pPr>
              <w:keepNext/>
              <w:outlineLvl w:val="1"/>
              <w:rPr>
                <w:rFonts w:ascii="Arial" w:eastAsia="MS Mincho" w:hAnsi="Arial" w:cs="Arial"/>
                <w:bCs/>
                <w:sz w:val="20"/>
                <w:szCs w:val="20"/>
                <w:lang w:val="en-GB"/>
              </w:rPr>
            </w:pPr>
          </w:p>
        </w:tc>
      </w:tr>
      <w:tr w:rsidR="001B3CC2" w:rsidRPr="00420DEE" w14:paraId="4F487395" w14:textId="77777777" w:rsidTr="00420DEE">
        <w:trPr>
          <w:trHeight w:val="890"/>
        </w:trPr>
        <w:tc>
          <w:tcPr>
            <w:tcW w:w="1615" w:type="pct"/>
            <w:shd w:val="clear" w:color="auto" w:fill="auto"/>
            <w:noWrap/>
            <w:tcMar>
              <w:top w:w="0" w:type="dxa"/>
              <w:left w:w="108" w:type="dxa"/>
              <w:bottom w:w="0" w:type="dxa"/>
              <w:right w:w="108" w:type="dxa"/>
            </w:tcMar>
            <w:vAlign w:val="center"/>
          </w:tcPr>
          <w:p w14:paraId="4D192A28" w14:textId="77777777" w:rsidR="001B3CC2" w:rsidRPr="00420DEE" w:rsidRDefault="001B3CC2" w:rsidP="001B3CC2">
            <w:pPr>
              <w:rPr>
                <w:rFonts w:ascii="Arial" w:eastAsia="Arial Unicode MS" w:hAnsi="Arial" w:cs="Arial"/>
                <w:b/>
                <w:sz w:val="20"/>
                <w:szCs w:val="20"/>
                <w:lang w:val="en-GB"/>
              </w:rPr>
            </w:pPr>
            <w:r w:rsidRPr="00420DEE">
              <w:rPr>
                <w:rFonts w:ascii="Arial" w:eastAsia="Arial Unicode MS" w:hAnsi="Arial" w:cs="Arial"/>
                <w:b/>
                <w:sz w:val="20"/>
                <w:szCs w:val="20"/>
                <w:lang w:val="en-GB"/>
              </w:rPr>
              <w:t xml:space="preserve">Are there ethical issues in this manuscript? </w:t>
            </w:r>
          </w:p>
          <w:p w14:paraId="59730EC1" w14:textId="77777777" w:rsidR="001B3CC2" w:rsidRPr="00420DEE" w:rsidRDefault="001B3CC2" w:rsidP="001B3CC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E09F43B" w14:textId="77777777" w:rsidR="001B3CC2" w:rsidRPr="00420DEE" w:rsidRDefault="001B3CC2" w:rsidP="001B3CC2">
            <w:pPr>
              <w:rPr>
                <w:rFonts w:ascii="Arial" w:eastAsia="Arial Unicode MS" w:hAnsi="Arial" w:cs="Arial"/>
                <w:i/>
                <w:iCs/>
                <w:sz w:val="20"/>
                <w:szCs w:val="20"/>
                <w:u w:val="single"/>
                <w:lang w:val="en-GB"/>
              </w:rPr>
            </w:pPr>
            <w:r w:rsidRPr="00420DEE">
              <w:rPr>
                <w:rFonts w:ascii="Arial" w:eastAsia="Arial Unicode MS" w:hAnsi="Arial" w:cs="Arial"/>
                <w:i/>
                <w:iCs/>
                <w:sz w:val="20"/>
                <w:szCs w:val="20"/>
                <w:u w:val="single"/>
                <w:lang w:val="en-GB"/>
              </w:rPr>
              <w:t xml:space="preserve">(If yes, </w:t>
            </w:r>
            <w:proofErr w:type="gramStart"/>
            <w:r w:rsidRPr="00420DEE">
              <w:rPr>
                <w:rFonts w:ascii="Arial" w:eastAsia="Arial Unicode MS" w:hAnsi="Arial" w:cs="Arial"/>
                <w:i/>
                <w:iCs/>
                <w:sz w:val="20"/>
                <w:szCs w:val="20"/>
                <w:u w:val="single"/>
                <w:lang w:val="en-GB"/>
              </w:rPr>
              <w:t>Kindly</w:t>
            </w:r>
            <w:proofErr w:type="gramEnd"/>
            <w:r w:rsidRPr="00420DEE">
              <w:rPr>
                <w:rFonts w:ascii="Arial" w:eastAsia="Arial Unicode MS" w:hAnsi="Arial" w:cs="Arial"/>
                <w:i/>
                <w:iCs/>
                <w:sz w:val="20"/>
                <w:szCs w:val="20"/>
                <w:u w:val="single"/>
                <w:lang w:val="en-GB"/>
              </w:rPr>
              <w:t xml:space="preserve"> please write down the ethical issues here in details)</w:t>
            </w:r>
          </w:p>
          <w:p w14:paraId="4EEB4769" w14:textId="77777777" w:rsidR="001B3CC2" w:rsidRPr="00420DEE" w:rsidRDefault="001B3CC2" w:rsidP="001B3CC2">
            <w:pPr>
              <w:rPr>
                <w:rFonts w:ascii="Arial" w:eastAsia="Arial Unicode MS" w:hAnsi="Arial" w:cs="Arial"/>
                <w:sz w:val="20"/>
                <w:szCs w:val="20"/>
                <w:lang w:val="en-GB"/>
              </w:rPr>
            </w:pPr>
          </w:p>
        </w:tc>
        <w:tc>
          <w:tcPr>
            <w:tcW w:w="1691" w:type="pct"/>
            <w:shd w:val="clear" w:color="auto" w:fill="auto"/>
            <w:vAlign w:val="center"/>
          </w:tcPr>
          <w:p w14:paraId="331F6807" w14:textId="77777777" w:rsidR="001B3CC2" w:rsidRPr="00420DEE" w:rsidRDefault="001B3CC2" w:rsidP="001B3CC2">
            <w:pPr>
              <w:rPr>
                <w:rFonts w:ascii="Arial" w:eastAsia="Arial Unicode MS" w:hAnsi="Arial" w:cs="Arial"/>
                <w:sz w:val="20"/>
                <w:szCs w:val="20"/>
                <w:lang w:val="en-GB"/>
              </w:rPr>
            </w:pPr>
          </w:p>
          <w:p w14:paraId="56E6A910" w14:textId="77777777" w:rsidR="001B3CC2" w:rsidRPr="00420DEE" w:rsidRDefault="001B3CC2" w:rsidP="001B3CC2">
            <w:pPr>
              <w:rPr>
                <w:rFonts w:ascii="Arial" w:eastAsia="Arial Unicode MS" w:hAnsi="Arial" w:cs="Arial"/>
                <w:sz w:val="20"/>
                <w:szCs w:val="20"/>
                <w:lang w:val="en-GB"/>
              </w:rPr>
            </w:pPr>
          </w:p>
          <w:p w14:paraId="69F0A074" w14:textId="77777777" w:rsidR="001B3CC2" w:rsidRPr="00420DEE" w:rsidRDefault="001B3CC2" w:rsidP="001B3CC2">
            <w:pPr>
              <w:rPr>
                <w:rFonts w:ascii="Arial" w:eastAsia="Arial Unicode MS" w:hAnsi="Arial" w:cs="Arial"/>
                <w:sz w:val="20"/>
                <w:szCs w:val="20"/>
                <w:lang w:val="en-GB"/>
              </w:rPr>
            </w:pPr>
          </w:p>
        </w:tc>
      </w:tr>
      <w:bookmarkEnd w:id="4"/>
    </w:tbl>
    <w:p w14:paraId="2986F51F" w14:textId="77777777" w:rsidR="001B3CC2" w:rsidRDefault="001B3CC2" w:rsidP="001B3CC2">
      <w:pPr>
        <w:rPr>
          <w:rFonts w:ascii="Arial" w:hAnsi="Arial" w:cs="Arial"/>
          <w:sz w:val="20"/>
          <w:szCs w:val="20"/>
        </w:rPr>
      </w:pPr>
    </w:p>
    <w:p w14:paraId="7C8F92F9" w14:textId="77777777" w:rsidR="003D361E" w:rsidRPr="00FF1CC5" w:rsidRDefault="003D361E" w:rsidP="003D361E">
      <w:pPr>
        <w:pStyle w:val="Affiliation"/>
        <w:spacing w:after="0" w:line="240" w:lineRule="auto"/>
        <w:jc w:val="left"/>
        <w:rPr>
          <w:rFonts w:ascii="Arial" w:hAnsi="Arial" w:cs="Arial"/>
          <w:b/>
          <w:u w:val="single"/>
        </w:rPr>
      </w:pPr>
      <w:r w:rsidRPr="00FF1CC5">
        <w:rPr>
          <w:rFonts w:ascii="Arial" w:hAnsi="Arial" w:cs="Arial"/>
          <w:b/>
          <w:u w:val="single"/>
        </w:rPr>
        <w:t>Reviewer details:</w:t>
      </w:r>
    </w:p>
    <w:p w14:paraId="1BDD1B04" w14:textId="77777777" w:rsidR="003D361E" w:rsidRDefault="003D361E" w:rsidP="003D361E">
      <w:pPr>
        <w:rPr>
          <w:rFonts w:ascii="Arial" w:hAnsi="Arial" w:cs="Arial"/>
          <w:b/>
          <w:bCs/>
          <w:color w:val="000000"/>
          <w:sz w:val="20"/>
          <w:szCs w:val="20"/>
        </w:rPr>
      </w:pPr>
    </w:p>
    <w:p w14:paraId="2B0644DB" w14:textId="6AF6DF30" w:rsidR="003D361E" w:rsidRDefault="003D361E" w:rsidP="003D361E">
      <w:proofErr w:type="spellStart"/>
      <w:r w:rsidRPr="00FF1CC5">
        <w:rPr>
          <w:rFonts w:ascii="Arial" w:hAnsi="Arial" w:cs="Arial"/>
          <w:b/>
          <w:bCs/>
          <w:color w:val="000000"/>
          <w:sz w:val="20"/>
          <w:szCs w:val="20"/>
        </w:rPr>
        <w:t>Budiawan</w:t>
      </w:r>
      <w:proofErr w:type="spellEnd"/>
      <w:r w:rsidRPr="00FF1CC5">
        <w:rPr>
          <w:rFonts w:ascii="Arial" w:hAnsi="Arial" w:cs="Arial"/>
          <w:b/>
          <w:bCs/>
          <w:sz w:val="20"/>
          <w:szCs w:val="20"/>
        </w:rPr>
        <w:t xml:space="preserve">, </w:t>
      </w:r>
      <w:r w:rsidRPr="00FF1CC5">
        <w:rPr>
          <w:rFonts w:ascii="Arial" w:hAnsi="Arial" w:cs="Arial"/>
          <w:b/>
          <w:bCs/>
          <w:color w:val="000000"/>
          <w:sz w:val="20"/>
          <w:szCs w:val="20"/>
        </w:rPr>
        <w:t xml:space="preserve">Universitas </w:t>
      </w:r>
      <w:proofErr w:type="spellStart"/>
      <w:r w:rsidRPr="00FF1CC5">
        <w:rPr>
          <w:rFonts w:ascii="Arial" w:hAnsi="Arial" w:cs="Arial"/>
          <w:b/>
          <w:bCs/>
          <w:color w:val="000000"/>
          <w:sz w:val="20"/>
          <w:szCs w:val="20"/>
        </w:rPr>
        <w:t>Teknologi</w:t>
      </w:r>
      <w:proofErr w:type="spellEnd"/>
      <w:r w:rsidRPr="00FF1CC5">
        <w:rPr>
          <w:rFonts w:ascii="Arial" w:hAnsi="Arial" w:cs="Arial"/>
          <w:b/>
          <w:bCs/>
          <w:color w:val="000000"/>
          <w:sz w:val="20"/>
          <w:szCs w:val="20"/>
        </w:rPr>
        <w:t xml:space="preserve"> Sulawesi</w:t>
      </w:r>
      <w:r w:rsidRPr="00FF1CC5">
        <w:rPr>
          <w:rFonts w:ascii="Arial" w:hAnsi="Arial" w:cs="Arial"/>
          <w:b/>
          <w:bCs/>
          <w:sz w:val="20"/>
          <w:szCs w:val="20"/>
        </w:rPr>
        <w:t xml:space="preserve">, </w:t>
      </w:r>
      <w:r w:rsidRPr="00FF1CC5">
        <w:rPr>
          <w:rFonts w:ascii="Arial" w:hAnsi="Arial" w:cs="Arial"/>
          <w:b/>
          <w:bCs/>
          <w:color w:val="000000"/>
          <w:sz w:val="20"/>
          <w:szCs w:val="20"/>
        </w:rPr>
        <w:t>Indonesia</w:t>
      </w:r>
    </w:p>
    <w:p w14:paraId="0E91D8C9" w14:textId="77777777" w:rsidR="003D361E" w:rsidRPr="00420DEE" w:rsidRDefault="003D361E" w:rsidP="001B3CC2">
      <w:pPr>
        <w:rPr>
          <w:rFonts w:ascii="Arial" w:hAnsi="Arial" w:cs="Arial"/>
          <w:sz w:val="20"/>
          <w:szCs w:val="20"/>
        </w:rPr>
      </w:pPr>
    </w:p>
    <w:p w14:paraId="39765F82" w14:textId="77777777" w:rsidR="001B3CC2" w:rsidRPr="00420DEE" w:rsidRDefault="001B3CC2" w:rsidP="001B3CC2">
      <w:pPr>
        <w:rPr>
          <w:rFonts w:ascii="Arial" w:hAnsi="Arial" w:cs="Arial"/>
          <w:sz w:val="20"/>
          <w:szCs w:val="20"/>
        </w:rPr>
      </w:pPr>
    </w:p>
    <w:p w14:paraId="0D3ACF61" w14:textId="77777777" w:rsidR="001B3CC2" w:rsidRPr="00420DEE" w:rsidRDefault="001B3CC2" w:rsidP="001B3CC2">
      <w:pPr>
        <w:rPr>
          <w:rFonts w:ascii="Arial" w:hAnsi="Arial" w:cs="Arial"/>
          <w:bCs/>
          <w:sz w:val="20"/>
          <w:szCs w:val="20"/>
          <w:u w:val="single"/>
          <w:lang w:val="en-GB"/>
        </w:rPr>
      </w:pPr>
    </w:p>
    <w:bookmarkEnd w:id="3"/>
    <w:p w14:paraId="243264DA" w14:textId="77777777" w:rsidR="001B3CC2" w:rsidRPr="00420DEE" w:rsidRDefault="001B3CC2" w:rsidP="001B3CC2">
      <w:pPr>
        <w:rPr>
          <w:rFonts w:ascii="Arial" w:hAnsi="Arial" w:cs="Arial"/>
          <w:sz w:val="20"/>
          <w:szCs w:val="20"/>
        </w:rPr>
      </w:pPr>
    </w:p>
    <w:p w14:paraId="3C53C3E8" w14:textId="77777777" w:rsidR="00594F2C" w:rsidRPr="00420DEE" w:rsidRDefault="00594F2C" w:rsidP="00594F2C">
      <w:pPr>
        <w:pStyle w:val="BodyText"/>
        <w:rPr>
          <w:rFonts w:ascii="Arial" w:hAnsi="Arial" w:cs="Arial"/>
          <w:b/>
          <w:bCs/>
          <w:sz w:val="20"/>
          <w:szCs w:val="20"/>
          <w:u w:val="single"/>
          <w:lang w:val="en-GB"/>
        </w:rPr>
      </w:pPr>
    </w:p>
    <w:p w14:paraId="748F6469" w14:textId="77777777" w:rsidR="00594F2C" w:rsidRPr="00420DEE" w:rsidRDefault="00594F2C" w:rsidP="00594F2C">
      <w:pPr>
        <w:pStyle w:val="BodyText"/>
        <w:rPr>
          <w:rFonts w:ascii="Arial" w:hAnsi="Arial" w:cs="Arial"/>
          <w:b/>
          <w:bCs/>
          <w:sz w:val="20"/>
          <w:szCs w:val="20"/>
          <w:u w:val="single"/>
          <w:lang w:val="en-GB"/>
        </w:rPr>
      </w:pPr>
    </w:p>
    <w:p w14:paraId="3C0BF4C6" w14:textId="77777777" w:rsidR="00594F2C" w:rsidRPr="00420DEE" w:rsidRDefault="00594F2C" w:rsidP="00594F2C">
      <w:pPr>
        <w:pStyle w:val="BodyText"/>
        <w:rPr>
          <w:rFonts w:ascii="Arial" w:hAnsi="Arial" w:cs="Arial"/>
          <w:b/>
          <w:bCs/>
          <w:sz w:val="20"/>
          <w:szCs w:val="20"/>
          <w:u w:val="single"/>
          <w:lang w:val="en-GB"/>
        </w:rPr>
      </w:pPr>
    </w:p>
    <w:bookmarkEnd w:id="1"/>
    <w:bookmarkEnd w:id="2"/>
    <w:p w14:paraId="31BA27AC" w14:textId="77777777" w:rsidR="00594F2C" w:rsidRPr="00420DEE" w:rsidRDefault="00594F2C" w:rsidP="00594F2C">
      <w:pPr>
        <w:pStyle w:val="BodyText"/>
        <w:rPr>
          <w:rFonts w:ascii="Arial" w:hAnsi="Arial" w:cs="Arial"/>
          <w:b/>
          <w:bCs/>
          <w:sz w:val="20"/>
          <w:szCs w:val="20"/>
          <w:u w:val="single"/>
          <w:lang w:val="en-GB"/>
        </w:rPr>
      </w:pPr>
    </w:p>
    <w:sectPr w:rsidR="00594F2C" w:rsidRPr="00420DEE"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30C8" w14:textId="77777777" w:rsidR="006027C4" w:rsidRPr="0000007A" w:rsidRDefault="006027C4" w:rsidP="0099583E">
      <w:r>
        <w:separator/>
      </w:r>
    </w:p>
  </w:endnote>
  <w:endnote w:type="continuationSeparator" w:id="0">
    <w:p w14:paraId="2C481E6A" w14:textId="77777777" w:rsidR="006027C4" w:rsidRPr="0000007A" w:rsidRDefault="006027C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A0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8864" w14:textId="77777777" w:rsidR="006027C4" w:rsidRPr="0000007A" w:rsidRDefault="006027C4" w:rsidP="0099583E">
      <w:r>
        <w:separator/>
      </w:r>
    </w:p>
  </w:footnote>
  <w:footnote w:type="continuationSeparator" w:id="0">
    <w:p w14:paraId="6931AF5E" w14:textId="77777777" w:rsidR="006027C4" w:rsidRPr="0000007A" w:rsidRDefault="006027C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D68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DDBC93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9578633">
    <w:abstractNumId w:val="4"/>
  </w:num>
  <w:num w:numId="2" w16cid:durableId="1343967763">
    <w:abstractNumId w:val="8"/>
  </w:num>
  <w:num w:numId="3" w16cid:durableId="1586958909">
    <w:abstractNumId w:val="7"/>
  </w:num>
  <w:num w:numId="4" w16cid:durableId="1870139653">
    <w:abstractNumId w:val="9"/>
  </w:num>
  <w:num w:numId="5" w16cid:durableId="417212565">
    <w:abstractNumId w:val="6"/>
  </w:num>
  <w:num w:numId="6" w16cid:durableId="541669991">
    <w:abstractNumId w:val="0"/>
  </w:num>
  <w:num w:numId="7" w16cid:durableId="990403085">
    <w:abstractNumId w:val="3"/>
  </w:num>
  <w:num w:numId="8" w16cid:durableId="1949307813">
    <w:abstractNumId w:val="11"/>
  </w:num>
  <w:num w:numId="9" w16cid:durableId="1409305874">
    <w:abstractNumId w:val="10"/>
  </w:num>
  <w:num w:numId="10" w16cid:durableId="2037003698">
    <w:abstractNumId w:val="2"/>
  </w:num>
  <w:num w:numId="11" w16cid:durableId="897325330">
    <w:abstractNumId w:val="1"/>
  </w:num>
  <w:num w:numId="12" w16cid:durableId="1932084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430A"/>
    <w:rsid w:val="0002598E"/>
    <w:rsid w:val="00037D52"/>
    <w:rsid w:val="00043292"/>
    <w:rsid w:val="000450FC"/>
    <w:rsid w:val="00056CB0"/>
    <w:rsid w:val="000577C2"/>
    <w:rsid w:val="000617BB"/>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1225"/>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B3CC2"/>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C2799"/>
    <w:rsid w:val="003D361E"/>
    <w:rsid w:val="003E746A"/>
    <w:rsid w:val="003F6709"/>
    <w:rsid w:val="004129B7"/>
    <w:rsid w:val="00420DEE"/>
    <w:rsid w:val="0042465A"/>
    <w:rsid w:val="004356CC"/>
    <w:rsid w:val="00435B36"/>
    <w:rsid w:val="00442B24"/>
    <w:rsid w:val="0044444D"/>
    <w:rsid w:val="0044519B"/>
    <w:rsid w:val="00445B35"/>
    <w:rsid w:val="00446659"/>
    <w:rsid w:val="0044682B"/>
    <w:rsid w:val="00457AB1"/>
    <w:rsid w:val="00457BC0"/>
    <w:rsid w:val="00462996"/>
    <w:rsid w:val="004674B4"/>
    <w:rsid w:val="004728F2"/>
    <w:rsid w:val="00484C52"/>
    <w:rsid w:val="00495F52"/>
    <w:rsid w:val="004B4CAD"/>
    <w:rsid w:val="004B4FDC"/>
    <w:rsid w:val="004C3DF1"/>
    <w:rsid w:val="004D2E36"/>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4F2C"/>
    <w:rsid w:val="005A5BE0"/>
    <w:rsid w:val="005B12E0"/>
    <w:rsid w:val="005C25A0"/>
    <w:rsid w:val="005D230D"/>
    <w:rsid w:val="005F3724"/>
    <w:rsid w:val="006027C4"/>
    <w:rsid w:val="00602F7D"/>
    <w:rsid w:val="00605952"/>
    <w:rsid w:val="00620677"/>
    <w:rsid w:val="00624032"/>
    <w:rsid w:val="00630B2C"/>
    <w:rsid w:val="00645A56"/>
    <w:rsid w:val="006532DF"/>
    <w:rsid w:val="0065579D"/>
    <w:rsid w:val="00663792"/>
    <w:rsid w:val="0067046C"/>
    <w:rsid w:val="00676845"/>
    <w:rsid w:val="00677072"/>
    <w:rsid w:val="00680547"/>
    <w:rsid w:val="0068446F"/>
    <w:rsid w:val="0069428E"/>
    <w:rsid w:val="00696CAD"/>
    <w:rsid w:val="006A5E0B"/>
    <w:rsid w:val="006A79C4"/>
    <w:rsid w:val="006C3797"/>
    <w:rsid w:val="006E7D6E"/>
    <w:rsid w:val="006F6F2F"/>
    <w:rsid w:val="00701186"/>
    <w:rsid w:val="00707BE1"/>
    <w:rsid w:val="00716F3D"/>
    <w:rsid w:val="007238EB"/>
    <w:rsid w:val="0072577A"/>
    <w:rsid w:val="0072789A"/>
    <w:rsid w:val="007317C3"/>
    <w:rsid w:val="00734756"/>
    <w:rsid w:val="0073538B"/>
    <w:rsid w:val="00741BD0"/>
    <w:rsid w:val="007426E6"/>
    <w:rsid w:val="00746370"/>
    <w:rsid w:val="00766889"/>
    <w:rsid w:val="00766A0D"/>
    <w:rsid w:val="00767F8C"/>
    <w:rsid w:val="00772D0B"/>
    <w:rsid w:val="00780B67"/>
    <w:rsid w:val="007B1099"/>
    <w:rsid w:val="007B6E18"/>
    <w:rsid w:val="007D0246"/>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E519D"/>
    <w:rsid w:val="008F36E4"/>
    <w:rsid w:val="009203D8"/>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0BA2"/>
    <w:rsid w:val="00AD1DDA"/>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699A"/>
    <w:rsid w:val="00C70DFC"/>
    <w:rsid w:val="00C82466"/>
    <w:rsid w:val="00C84097"/>
    <w:rsid w:val="00C869DD"/>
    <w:rsid w:val="00CB429B"/>
    <w:rsid w:val="00CC2753"/>
    <w:rsid w:val="00CD093E"/>
    <w:rsid w:val="00CD1556"/>
    <w:rsid w:val="00CD1FD7"/>
    <w:rsid w:val="00CE199A"/>
    <w:rsid w:val="00CE5AC7"/>
    <w:rsid w:val="00CF0BBB"/>
    <w:rsid w:val="00CF6467"/>
    <w:rsid w:val="00D1283A"/>
    <w:rsid w:val="00D17979"/>
    <w:rsid w:val="00D2075F"/>
    <w:rsid w:val="00D3257B"/>
    <w:rsid w:val="00D40416"/>
    <w:rsid w:val="00D45CF7"/>
    <w:rsid w:val="00D4782A"/>
    <w:rsid w:val="00D73FCF"/>
    <w:rsid w:val="00D7603E"/>
    <w:rsid w:val="00D8579C"/>
    <w:rsid w:val="00D90124"/>
    <w:rsid w:val="00D9392F"/>
    <w:rsid w:val="00DA41F5"/>
    <w:rsid w:val="00DB5B54"/>
    <w:rsid w:val="00DB7E1B"/>
    <w:rsid w:val="00DC1D81"/>
    <w:rsid w:val="00E451EA"/>
    <w:rsid w:val="00E46DEE"/>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F2D19"/>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9C9D"/>
  <w15:chartTrackingRefBased/>
  <w15:docId w15:val="{093B20F9-AFEB-4C4B-B563-A7754584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F2"/>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6699A"/>
    <w:rPr>
      <w:color w:val="605E5C"/>
      <w:shd w:val="clear" w:color="auto" w:fill="E1DFDD"/>
    </w:rPr>
  </w:style>
  <w:style w:type="paragraph" w:customStyle="1" w:styleId="Affiliation">
    <w:name w:val="Affiliation"/>
    <w:basedOn w:val="Normal"/>
    <w:rsid w:val="003D361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9046-2269-4BA0-96D3-FC5262D2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1070</cp:lastModifiedBy>
  <cp:revision>7</cp:revision>
  <dcterms:created xsi:type="dcterms:W3CDTF">2025-05-12T06:33:00Z</dcterms:created>
  <dcterms:modified xsi:type="dcterms:W3CDTF">2025-05-16T09:51:00Z</dcterms:modified>
</cp:coreProperties>
</file>