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52E4B" w14:textId="77777777" w:rsidR="00790908" w:rsidRPr="00AA1EF7" w:rsidRDefault="00790908" w:rsidP="00AA1EF7">
      <w:pPr>
        <w:spacing w:line="360" w:lineRule="auto"/>
        <w:jc w:val="both"/>
        <w:rPr>
          <w:rFonts w:ascii="Times New Roman" w:hAnsi="Times New Roman" w:cs="Times New Roman"/>
          <w:b/>
          <w:color w:val="000000" w:themeColor="text1"/>
        </w:rPr>
      </w:pPr>
      <w:bookmarkStart w:id="0" w:name="_Hlk171194819"/>
      <w:bookmarkEnd w:id="0"/>
      <w:r w:rsidRPr="00AA1EF7">
        <w:rPr>
          <w:rFonts w:ascii="Times New Roman" w:hAnsi="Times New Roman" w:cs="Times New Roman"/>
          <w:b/>
          <w:color w:val="000000" w:themeColor="text1"/>
        </w:rPr>
        <w:t>EFFECT OF CONTINUOUS EXPOSURE UN</w:t>
      </w:r>
      <w:r w:rsidR="0076329C" w:rsidRPr="00AA1EF7">
        <w:rPr>
          <w:rFonts w:ascii="Times New Roman" w:hAnsi="Times New Roman" w:cs="Times New Roman"/>
          <w:b/>
          <w:color w:val="000000" w:themeColor="text1"/>
        </w:rPr>
        <w:t>DER HIGH VOLTAGE OVERHEAD POWER</w:t>
      </w:r>
      <w:r w:rsidRPr="00AA1EF7">
        <w:rPr>
          <w:rFonts w:ascii="Times New Roman" w:hAnsi="Times New Roman" w:cs="Times New Roman"/>
          <w:b/>
          <w:color w:val="000000" w:themeColor="text1"/>
        </w:rPr>
        <w:t xml:space="preserve">LINE ON THYROID FUNCTION </w:t>
      </w:r>
    </w:p>
    <w:p w14:paraId="1CE4DB81"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ABSTRACT</w:t>
      </w:r>
    </w:p>
    <w:p w14:paraId="12C5B6D0" w14:textId="77777777" w:rsidR="00A152B4" w:rsidRPr="00AA1EF7" w:rsidRDefault="00D3326F" w:rsidP="00AA1EF7">
      <w:pPr>
        <w:spacing w:line="360" w:lineRule="auto"/>
        <w:jc w:val="both"/>
        <w:rPr>
          <w:rFonts w:ascii="Times New Roman" w:hAnsi="Times New Roman" w:cs="Times New Roman"/>
          <w:color w:val="000000" w:themeColor="text1"/>
        </w:rPr>
      </w:pPr>
      <w:bookmarkStart w:id="1" w:name="_Hlk171066033"/>
      <w:r w:rsidRPr="00AA1EF7">
        <w:rPr>
          <w:rFonts w:ascii="Times New Roman" w:hAnsi="Times New Roman" w:cs="Times New Roman"/>
          <w:color w:val="000000" w:themeColor="text1"/>
        </w:rPr>
        <w:t xml:space="preserve">Thyroid hormones are </w:t>
      </w:r>
      <w:r w:rsidR="00A152B4" w:rsidRPr="00AA1EF7">
        <w:rPr>
          <w:rFonts w:ascii="Times New Roman" w:hAnsi="Times New Roman" w:cs="Times New Roman"/>
          <w:color w:val="000000" w:themeColor="text1"/>
        </w:rPr>
        <w:t>essential for regulating metabolism, growth, and development. Exposure to electromagnetic fields (EMF) generated</w:t>
      </w:r>
      <w:r w:rsidRPr="00AA1EF7">
        <w:rPr>
          <w:rFonts w:ascii="Times New Roman" w:hAnsi="Times New Roman" w:cs="Times New Roman"/>
          <w:color w:val="000000" w:themeColor="text1"/>
        </w:rPr>
        <w:t xml:space="preserve"> by high voltage overhead power</w:t>
      </w:r>
      <w:r w:rsidR="00A152B4" w:rsidRPr="00AA1EF7">
        <w:rPr>
          <w:rFonts w:ascii="Times New Roman" w:hAnsi="Times New Roman" w:cs="Times New Roman"/>
          <w:color w:val="000000" w:themeColor="text1"/>
        </w:rPr>
        <w:t>lines has been suggested to influence thyroid function by inducing oxidative stress and altering hormon</w:t>
      </w:r>
      <w:r w:rsidRPr="00AA1EF7">
        <w:rPr>
          <w:rFonts w:ascii="Times New Roman" w:hAnsi="Times New Roman" w:cs="Times New Roman"/>
          <w:color w:val="000000" w:themeColor="text1"/>
        </w:rPr>
        <w:t>al pathways. This study explored</w:t>
      </w:r>
      <w:r w:rsidR="00A152B4" w:rsidRPr="00AA1EF7">
        <w:rPr>
          <w:rFonts w:ascii="Times New Roman" w:hAnsi="Times New Roman" w:cs="Times New Roman"/>
          <w:color w:val="000000" w:themeColor="text1"/>
        </w:rPr>
        <w:t xml:space="preserve"> the impact of continuous EMF exposure on thyroid function, focusing on the levels of thyroid-stimulat</w:t>
      </w:r>
      <w:r w:rsidR="00B4746D" w:rsidRPr="00AA1EF7">
        <w:rPr>
          <w:rFonts w:ascii="Times New Roman" w:hAnsi="Times New Roman" w:cs="Times New Roman"/>
          <w:color w:val="000000" w:themeColor="text1"/>
        </w:rPr>
        <w:t>ing hormone (TSH) and free T4 (f</w:t>
      </w:r>
      <w:r w:rsidR="00A152B4" w:rsidRPr="00AA1EF7">
        <w:rPr>
          <w:rFonts w:ascii="Times New Roman" w:hAnsi="Times New Roman" w:cs="Times New Roman"/>
          <w:color w:val="000000" w:themeColor="text1"/>
        </w:rPr>
        <w:t>T4).</w:t>
      </w:r>
      <w:r w:rsidRPr="00AA1EF7">
        <w:rPr>
          <w:rFonts w:ascii="Times New Roman" w:hAnsi="Times New Roman" w:cs="Times New Roman"/>
          <w:color w:val="000000" w:themeColor="text1"/>
        </w:rPr>
        <w:t xml:space="preserve"> Eighty (80) participants comprised of fifty (50) exposed individuals (test group) residing within 500 meters of the powerlines and control group from low-EMF areas were randomly recruited. Participants were aged between 18-65years and were aged matched. </w:t>
      </w:r>
      <w:r w:rsidR="00B4746D" w:rsidRPr="00AA1EF7">
        <w:rPr>
          <w:rFonts w:ascii="Times New Roman" w:eastAsia="Times New Roman" w:hAnsi="Times New Roman" w:cs="Times New Roman"/>
          <w:color w:val="000000" w:themeColor="text1"/>
        </w:rPr>
        <w:t xml:space="preserve">Five millilitre (5 ml) of fasting venous blood samples were collected into plain containers </w:t>
      </w:r>
      <w:r w:rsidR="00B4746D" w:rsidRPr="00AA1EF7">
        <w:rPr>
          <w:rFonts w:ascii="Times New Roman" w:hAnsi="Times New Roman" w:cs="Times New Roman"/>
          <w:color w:val="000000" w:themeColor="text1"/>
        </w:rPr>
        <w:t>for the determination of TSH and f</w:t>
      </w:r>
      <w:r w:rsidR="00A152B4" w:rsidRPr="00AA1EF7">
        <w:rPr>
          <w:rFonts w:ascii="Times New Roman" w:hAnsi="Times New Roman" w:cs="Times New Roman"/>
          <w:color w:val="000000" w:themeColor="text1"/>
        </w:rPr>
        <w:t>T4 levels using the Enzyme-Linked Immunosorbent Assay (ELISA) met</w:t>
      </w:r>
      <w:r w:rsidRPr="00AA1EF7">
        <w:rPr>
          <w:rFonts w:ascii="Times New Roman" w:hAnsi="Times New Roman" w:cs="Times New Roman"/>
          <w:color w:val="000000" w:themeColor="text1"/>
        </w:rPr>
        <w:t>hod. Comparative analysis between two and more groups was done using independent sample t-test and one-way analysis of variance. Statistical significance was assumed at p&lt;0.05. The results showed</w:t>
      </w:r>
      <w:r w:rsidR="00A152B4" w:rsidRPr="00AA1EF7">
        <w:rPr>
          <w:rFonts w:ascii="Times New Roman" w:hAnsi="Times New Roman" w:cs="Times New Roman"/>
          <w:color w:val="000000" w:themeColor="text1"/>
        </w:rPr>
        <w:t xml:space="preserve"> no statistically significant difference in the </w:t>
      </w:r>
      <w:r w:rsidRPr="00AA1EF7">
        <w:rPr>
          <w:rFonts w:ascii="Times New Roman" w:hAnsi="Times New Roman" w:cs="Times New Roman"/>
          <w:color w:val="000000" w:themeColor="text1"/>
        </w:rPr>
        <w:t>mean serum levels of TSH and f</w:t>
      </w:r>
      <w:r w:rsidR="00A152B4" w:rsidRPr="00AA1EF7">
        <w:rPr>
          <w:rFonts w:ascii="Times New Roman" w:hAnsi="Times New Roman" w:cs="Times New Roman"/>
          <w:color w:val="000000" w:themeColor="text1"/>
        </w:rPr>
        <w:t>T4 between the exposed and unexposed groups (p &gt; 0.05). Howe</w:t>
      </w:r>
      <w:r w:rsidRPr="00AA1EF7">
        <w:rPr>
          <w:rFonts w:ascii="Times New Roman" w:hAnsi="Times New Roman" w:cs="Times New Roman"/>
          <w:color w:val="000000" w:themeColor="text1"/>
        </w:rPr>
        <w:t>ver, a significant increase in f</w:t>
      </w:r>
      <w:r w:rsidR="00B4746D" w:rsidRPr="00AA1EF7">
        <w:rPr>
          <w:rFonts w:ascii="Times New Roman" w:hAnsi="Times New Roman" w:cs="Times New Roman"/>
          <w:color w:val="000000" w:themeColor="text1"/>
        </w:rPr>
        <w:t>T4 levels (p=0.042</w:t>
      </w:r>
      <w:r w:rsidR="00A152B4" w:rsidRPr="00AA1EF7">
        <w:rPr>
          <w:rFonts w:ascii="Times New Roman" w:hAnsi="Times New Roman" w:cs="Times New Roman"/>
          <w:color w:val="000000" w:themeColor="text1"/>
        </w:rPr>
        <w:t>) was observed in individuals with prolonged EMF exposure (6-10 years) compared to those with less than one year of exposure. Continuous exposure to EMF from high voltage overhead power lines does not significantly alter TSH levels but may increase FT4 levels with prolonged exposure. Further studies with larger sample sizes and longer follow-up periods are needed to fully understand the health implications of chronic EMF exposure on thyroid function and overall health.</w:t>
      </w:r>
    </w:p>
    <w:bookmarkEnd w:id="1"/>
    <w:p w14:paraId="4602FFF6" w14:textId="77777777" w:rsidR="00F74E47" w:rsidRPr="00AA1EF7" w:rsidRDefault="00F74E47"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 xml:space="preserve">KEY WORDS: </w:t>
      </w:r>
      <w:r w:rsidR="0006788B" w:rsidRPr="00AA1EF7">
        <w:rPr>
          <w:rFonts w:ascii="Times New Roman" w:hAnsi="Times New Roman" w:cs="Times New Roman"/>
          <w:color w:val="000000" w:themeColor="text1"/>
        </w:rPr>
        <w:t>Electromagnetic fields (EMF), High voltage overhead powerlines, Thyroid function, thyroid-stimulating hormone (TSH), free T4 (fT4), Duration of exposure.</w:t>
      </w:r>
    </w:p>
    <w:p w14:paraId="7C225542" w14:textId="77777777" w:rsidR="00790908" w:rsidRPr="00AA1EF7" w:rsidRDefault="00790908"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INTRODUCTION</w:t>
      </w:r>
    </w:p>
    <w:p w14:paraId="4C2DBD76"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The thyroid hormone is crucial for regulating several bodily functions, including development and metabolism (</w:t>
      </w:r>
      <w:r w:rsidR="00DD055F" w:rsidRPr="00AA1EF7">
        <w:rPr>
          <w:rFonts w:ascii="Times New Roman" w:hAnsi="Times New Roman" w:cs="Times New Roman"/>
          <w:color w:val="000000" w:themeColor="text1"/>
        </w:rPr>
        <w:t xml:space="preserve">Shahid </w:t>
      </w:r>
      <w:r w:rsidR="00DD055F" w:rsidRPr="00AA1EF7">
        <w:rPr>
          <w:rFonts w:ascii="Times New Roman" w:hAnsi="Times New Roman" w:cs="Times New Roman"/>
          <w:i/>
          <w:color w:val="000000" w:themeColor="text1"/>
        </w:rPr>
        <w:t>et al</w:t>
      </w:r>
      <w:r w:rsidR="00DD055F" w:rsidRPr="00AA1EF7">
        <w:rPr>
          <w:rFonts w:ascii="Times New Roman" w:hAnsi="Times New Roman" w:cs="Times New Roman"/>
          <w:color w:val="000000" w:themeColor="text1"/>
        </w:rPr>
        <w:t>., 2023</w:t>
      </w:r>
      <w:r w:rsidR="00FE550A" w:rsidRPr="00AA1EF7">
        <w:rPr>
          <w:rFonts w:ascii="Times New Roman" w:hAnsi="Times New Roman" w:cs="Times New Roman"/>
          <w:color w:val="000000" w:themeColor="text1"/>
        </w:rPr>
        <w:t xml:space="preserve">; Marino </w:t>
      </w:r>
      <w:r w:rsidR="00FE550A" w:rsidRPr="00AA1EF7">
        <w:rPr>
          <w:rFonts w:ascii="Times New Roman" w:hAnsi="Times New Roman" w:cs="Times New Roman"/>
          <w:i/>
          <w:color w:val="000000" w:themeColor="text1"/>
        </w:rPr>
        <w:t>et al</w:t>
      </w:r>
      <w:r w:rsidR="00FE550A" w:rsidRPr="00AA1EF7">
        <w:rPr>
          <w:rFonts w:ascii="Times New Roman" w:hAnsi="Times New Roman" w:cs="Times New Roman"/>
          <w:color w:val="000000" w:themeColor="text1"/>
        </w:rPr>
        <w:t>., 2025</w:t>
      </w:r>
      <w:r w:rsidRPr="00AA1EF7">
        <w:rPr>
          <w:rFonts w:ascii="Times New Roman" w:hAnsi="Times New Roman" w:cs="Times New Roman"/>
          <w:color w:val="000000" w:themeColor="text1"/>
        </w:rPr>
        <w:t>). It is regulated by a self-regulatory process that involves the thyroid gland, anterior pituitary gland and hypothalamus (</w:t>
      </w:r>
      <w:r w:rsidR="00FE550A" w:rsidRPr="00AA1EF7">
        <w:rPr>
          <w:rFonts w:ascii="Times New Roman" w:hAnsi="Times New Roman" w:cs="Times New Roman"/>
          <w:color w:val="000000" w:themeColor="text1"/>
        </w:rPr>
        <w:t xml:space="preserve">Jing and Zhang, 2022; </w:t>
      </w:r>
      <w:r w:rsidR="002A2D1C" w:rsidRPr="00AA1EF7">
        <w:rPr>
          <w:rFonts w:ascii="Times New Roman" w:hAnsi="Times New Roman" w:cs="Times New Roman"/>
          <w:color w:val="000000" w:themeColor="text1"/>
        </w:rPr>
        <w:t xml:space="preserve">Brown </w:t>
      </w:r>
      <w:r w:rsidR="002A2D1C" w:rsidRPr="00AA1EF7">
        <w:rPr>
          <w:rFonts w:ascii="Times New Roman" w:hAnsi="Times New Roman" w:cs="Times New Roman"/>
          <w:i/>
          <w:color w:val="000000" w:themeColor="text1"/>
        </w:rPr>
        <w:t>et al</w:t>
      </w:r>
      <w:r w:rsidR="002A2D1C" w:rsidRPr="00AA1EF7">
        <w:rPr>
          <w:rFonts w:ascii="Times New Roman" w:hAnsi="Times New Roman" w:cs="Times New Roman"/>
          <w:color w:val="000000" w:themeColor="text1"/>
        </w:rPr>
        <w:t>., 2023</w:t>
      </w:r>
      <w:r w:rsidRPr="00AA1EF7">
        <w:rPr>
          <w:rFonts w:ascii="Times New Roman" w:hAnsi="Times New Roman" w:cs="Times New Roman"/>
          <w:color w:val="000000" w:themeColor="text1"/>
        </w:rPr>
        <w:t xml:space="preserve">). Energy usage and body weight are known to be linked to thyroid hormone </w:t>
      </w:r>
      <w:r w:rsidRPr="00AA1EF7">
        <w:rPr>
          <w:rFonts w:ascii="Times New Roman" w:hAnsi="Times New Roman" w:cs="Times New Roman"/>
          <w:color w:val="000000" w:themeColor="text1"/>
        </w:rPr>
        <w:lastRenderedPageBreak/>
        <w:t xml:space="preserve">levels (Iwen </w:t>
      </w:r>
      <w:r w:rsidRPr="00AA1EF7">
        <w:rPr>
          <w:rFonts w:ascii="Times New Roman" w:hAnsi="Times New Roman" w:cs="Times New Roman"/>
          <w:i/>
          <w:color w:val="000000" w:themeColor="text1"/>
        </w:rPr>
        <w:t xml:space="preserve">et al., </w:t>
      </w:r>
      <w:r w:rsidR="00D312ED" w:rsidRPr="00AA1EF7">
        <w:rPr>
          <w:rFonts w:ascii="Times New Roman" w:hAnsi="Times New Roman" w:cs="Times New Roman"/>
          <w:color w:val="000000" w:themeColor="text1"/>
        </w:rPr>
        <w:t>2018</w:t>
      </w:r>
      <w:r w:rsidRPr="00AA1EF7">
        <w:rPr>
          <w:rFonts w:ascii="Times New Roman" w:hAnsi="Times New Roman" w:cs="Times New Roman"/>
          <w:color w:val="000000" w:themeColor="text1"/>
        </w:rPr>
        <w:t>). The two primary hormones that the thyroid gland produces are thyroxine (T4) a</w:t>
      </w:r>
      <w:r w:rsidR="00FE550A" w:rsidRPr="00AA1EF7">
        <w:rPr>
          <w:rFonts w:ascii="Times New Roman" w:hAnsi="Times New Roman" w:cs="Times New Roman"/>
          <w:color w:val="000000" w:themeColor="text1"/>
        </w:rPr>
        <w:t>nd triiodothyronine (T3). T</w:t>
      </w:r>
      <w:r w:rsidRPr="00AA1EF7">
        <w:rPr>
          <w:rFonts w:ascii="Times New Roman" w:hAnsi="Times New Roman" w:cs="Times New Roman"/>
          <w:color w:val="000000" w:themeColor="text1"/>
        </w:rPr>
        <w:t>hese hormones work in concert with the anterior pituitary glands thyroid-stimulating hormone (TSH) and the brain's thyrotropin-releasing hormone (TRH) to regulate feedback mechanisms and ensure homeostasis</w:t>
      </w:r>
      <w:r w:rsidR="00FE550A" w:rsidRPr="00AA1EF7">
        <w:rPr>
          <w:rFonts w:ascii="Times New Roman" w:hAnsi="Times New Roman" w:cs="Times New Roman"/>
          <w:color w:val="000000" w:themeColor="text1"/>
        </w:rPr>
        <w:t xml:space="preserve"> (Jing and Zhang, 2022; Shahid </w:t>
      </w:r>
      <w:r w:rsidR="00FE550A" w:rsidRPr="00AA1EF7">
        <w:rPr>
          <w:rFonts w:ascii="Times New Roman" w:hAnsi="Times New Roman" w:cs="Times New Roman"/>
          <w:i/>
          <w:iCs/>
          <w:color w:val="000000" w:themeColor="text1"/>
        </w:rPr>
        <w:t xml:space="preserve">et al., </w:t>
      </w:r>
      <w:r w:rsidR="00FE550A" w:rsidRPr="00AA1EF7">
        <w:rPr>
          <w:rFonts w:ascii="Times New Roman" w:hAnsi="Times New Roman" w:cs="Times New Roman"/>
          <w:color w:val="000000" w:themeColor="text1"/>
        </w:rPr>
        <w:t>2023)</w:t>
      </w:r>
      <w:r w:rsidRPr="00AA1EF7">
        <w:rPr>
          <w:rFonts w:ascii="Times New Roman" w:hAnsi="Times New Roman" w:cs="Times New Roman"/>
          <w:color w:val="000000" w:themeColor="text1"/>
        </w:rPr>
        <w:t>.</w:t>
      </w:r>
    </w:p>
    <w:p w14:paraId="11CA34B5" w14:textId="77777777" w:rsidR="00790908" w:rsidRPr="00AA1EF7" w:rsidRDefault="00790908" w:rsidP="00AA1EF7">
      <w:pPr>
        <w:spacing w:line="360" w:lineRule="auto"/>
        <w:jc w:val="both"/>
        <w:rPr>
          <w:rFonts w:ascii="Times New Roman" w:hAnsi="Times New Roman" w:cs="Times New Roman"/>
          <w:color w:val="000000" w:themeColor="text1"/>
        </w:rPr>
      </w:pPr>
      <w:commentRangeStart w:id="2"/>
      <w:r w:rsidRPr="00AA1EF7">
        <w:rPr>
          <w:rFonts w:ascii="Times New Roman" w:hAnsi="Times New Roman" w:cs="Times New Roman"/>
          <w:color w:val="000000" w:themeColor="text1"/>
        </w:rPr>
        <w:t>Thyroid function tests (TFTs) constitute a series of blood analysis designed to assess thyroid gland function. The thyroid gland is a butterfly-shaped organ, located in the lower neck responsible for synthesizing hormones that exert a profound influence on numerous physiological processes, encompassing metabolism, car</w:t>
      </w:r>
      <w:r w:rsidR="00E162EE" w:rsidRPr="00AA1EF7">
        <w:rPr>
          <w:rFonts w:ascii="Times New Roman" w:hAnsi="Times New Roman" w:cs="Times New Roman"/>
          <w:color w:val="000000" w:themeColor="text1"/>
        </w:rPr>
        <w:t>diac rate, mood, and digestion (</w:t>
      </w:r>
      <w:r w:rsidR="002A2D1C" w:rsidRPr="00AA1EF7">
        <w:rPr>
          <w:rFonts w:ascii="Times New Roman" w:eastAsia="Times New Roman" w:hAnsi="Times New Roman" w:cs="Times New Roman"/>
          <w:color w:val="000000" w:themeColor="text1"/>
        </w:rPr>
        <w:t xml:space="preserve">Allen and </w:t>
      </w:r>
      <w:proofErr w:type="spellStart"/>
      <w:r w:rsidR="002A2D1C" w:rsidRPr="00AA1EF7">
        <w:rPr>
          <w:rFonts w:ascii="Times New Roman" w:eastAsia="Times New Roman" w:hAnsi="Times New Roman" w:cs="Times New Roman"/>
          <w:color w:val="000000" w:themeColor="text1"/>
        </w:rPr>
        <w:t>Fingeret</w:t>
      </w:r>
      <w:proofErr w:type="spellEnd"/>
      <w:r w:rsidR="002A2D1C" w:rsidRPr="00AA1EF7">
        <w:rPr>
          <w:rFonts w:ascii="Times New Roman" w:eastAsia="Times New Roman" w:hAnsi="Times New Roman" w:cs="Times New Roman"/>
          <w:color w:val="000000" w:themeColor="text1"/>
        </w:rPr>
        <w:t>, 2023</w:t>
      </w:r>
      <w:r w:rsidRPr="00AA1EF7">
        <w:rPr>
          <w:rFonts w:ascii="Times New Roman" w:hAnsi="Times New Roman" w:cs="Times New Roman"/>
          <w:color w:val="000000" w:themeColor="text1"/>
        </w:rPr>
        <w:t>). TFTs are instrumental in the diagnosis of prevalent thyroid disorders and the subsequent monitoring of implemented treatment regimens.</w:t>
      </w:r>
    </w:p>
    <w:p w14:paraId="1554B941"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Typically, TFTs evaluate the concentrations of three critical hormones: thyroid-stimulating hormone (TSH), thyroxine (T4), and triiodothyronine (T3). The pituitary gland secretes TSH, which functions as a regulatory signal for the thyroid gland, stimulating the production of T4, the principal thyroid hormone. A majority of circulating T4 exists in an inactive form, requiring conversion within bodily tissues into the more metabolically active T3. T3 directly modulates a wide range of cellular functions throughout the body (</w:t>
      </w:r>
      <w:proofErr w:type="spellStart"/>
      <w:r w:rsidRPr="00AA1EF7">
        <w:rPr>
          <w:rFonts w:ascii="Times New Roman" w:eastAsia="Times New Roman" w:hAnsi="Times New Roman" w:cs="Times New Roman"/>
          <w:color w:val="000000" w:themeColor="text1"/>
          <w:kern w:val="0"/>
          <w:lang w:eastAsia="en-GB"/>
          <w14:ligatures w14:val="none"/>
        </w:rPr>
        <w:t>Mullur</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2014</w:t>
      </w:r>
      <w:r w:rsidR="00D312ED" w:rsidRPr="00AA1EF7">
        <w:rPr>
          <w:rFonts w:ascii="Times New Roman" w:eastAsia="Times New Roman" w:hAnsi="Times New Roman" w:cs="Times New Roman"/>
          <w:color w:val="000000" w:themeColor="text1"/>
          <w:kern w:val="0"/>
          <w:lang w:eastAsia="en-GB"/>
          <w14:ligatures w14:val="none"/>
        </w:rPr>
        <w:t xml:space="preserve">; </w:t>
      </w:r>
      <w:proofErr w:type="spellStart"/>
      <w:r w:rsidR="00D312ED" w:rsidRPr="00AA1EF7">
        <w:rPr>
          <w:rFonts w:ascii="Times New Roman" w:hAnsi="Times New Roman" w:cs="Times New Roman"/>
          <w:color w:val="000000" w:themeColor="text1"/>
        </w:rPr>
        <w:t>Pirahanchi</w:t>
      </w:r>
      <w:proofErr w:type="spellEnd"/>
      <w:r w:rsidR="00D312ED" w:rsidRPr="00AA1EF7">
        <w:rPr>
          <w:rFonts w:ascii="Times New Roman" w:hAnsi="Times New Roman" w:cs="Times New Roman"/>
          <w:color w:val="000000" w:themeColor="text1"/>
        </w:rPr>
        <w:t xml:space="preserve"> </w:t>
      </w:r>
      <w:r w:rsidR="00D312ED" w:rsidRPr="00AA1EF7">
        <w:rPr>
          <w:rFonts w:ascii="Times New Roman" w:hAnsi="Times New Roman" w:cs="Times New Roman"/>
          <w:i/>
          <w:color w:val="000000" w:themeColor="text1"/>
        </w:rPr>
        <w:t>et al</w:t>
      </w:r>
      <w:r w:rsidR="00D312ED" w:rsidRPr="00AA1EF7">
        <w:rPr>
          <w:rFonts w:ascii="Times New Roman" w:hAnsi="Times New Roman" w:cs="Times New Roman"/>
          <w:color w:val="000000" w:themeColor="text1"/>
        </w:rPr>
        <w:t>., 2023</w:t>
      </w:r>
      <w:r w:rsidRPr="00AA1EF7">
        <w:rPr>
          <w:rFonts w:ascii="Times New Roman" w:hAnsi="Times New Roman" w:cs="Times New Roman"/>
          <w:color w:val="000000" w:themeColor="text1"/>
        </w:rPr>
        <w:t>).</w:t>
      </w:r>
    </w:p>
    <w:p w14:paraId="6E53C09C"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By quantifying TSH, T4, and T3 levels, TFTs can unveil imbalances in thyroid hormone production. An elevated TSH level in conjunction with a depressed T4 level signifies an underactive thyroid, or hypothyroidism. Conversely, a low TSH level with an elevated T4 level suggests an overactive thyroid, or hyperthyroidism (</w:t>
      </w:r>
      <w:proofErr w:type="spellStart"/>
      <w:r w:rsidR="00D8367D" w:rsidRPr="00AA1EF7">
        <w:rPr>
          <w:rFonts w:ascii="Times New Roman" w:eastAsia="Times New Roman" w:hAnsi="Times New Roman" w:cs="Times New Roman"/>
          <w:color w:val="000000" w:themeColor="text1"/>
        </w:rPr>
        <w:t>Edatharayil</w:t>
      </w:r>
      <w:proofErr w:type="spellEnd"/>
      <w:r w:rsidR="00D8367D" w:rsidRPr="00AA1EF7">
        <w:rPr>
          <w:rFonts w:ascii="Times New Roman" w:eastAsia="Times New Roman" w:hAnsi="Times New Roman" w:cs="Times New Roman"/>
          <w:color w:val="000000" w:themeColor="text1"/>
        </w:rPr>
        <w:t xml:space="preserve"> and Nitin,</w:t>
      </w:r>
      <w:r w:rsidR="00D8367D" w:rsidRPr="00AA1EF7">
        <w:rPr>
          <w:rFonts w:ascii="Times New Roman" w:hAnsi="Times New Roman" w:cs="Times New Roman"/>
          <w:color w:val="000000" w:themeColor="text1"/>
        </w:rPr>
        <w:t xml:space="preserve"> </w:t>
      </w:r>
      <w:r w:rsidRPr="00AA1EF7">
        <w:rPr>
          <w:rFonts w:ascii="Times New Roman" w:hAnsi="Times New Roman" w:cs="Times New Roman"/>
          <w:color w:val="000000" w:themeColor="text1"/>
        </w:rPr>
        <w:t>2018). It is imperative to acknowledge that for an accurate diagnosis, TFT results must be interpreted in tandem with a patient's clinical presentation and reported symptoms.</w:t>
      </w:r>
    </w:p>
    <w:p w14:paraId="1E112440" w14:textId="77777777" w:rsidR="00790908" w:rsidRPr="00AA1EF7" w:rsidRDefault="00790908"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TFTs serve as a cornerstone in the diagnostic evaluation of a spectrum of thyroid disorders. Additionally, they are employed to monitor the efficacy of therapeutic interventions for thyroid dysfunction. In patients receiving treatment to regulate an overactive or underactive thyroid, TFTs are performed periodically to ensure the medication is producing the desired effects and that hormone levels are maintained within the targeted range.</w:t>
      </w:r>
    </w:p>
    <w:p w14:paraId="12A85D3B" w14:textId="77777777" w:rsidR="00790908" w:rsidRPr="00AA1EF7" w:rsidRDefault="00352775"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hAnsi="Times New Roman" w:cs="Times New Roman"/>
          <w:color w:val="000000" w:themeColor="text1"/>
        </w:rPr>
        <w:lastRenderedPageBreak/>
        <w:t>Thyroid disorders affect two hundred million people globally, with women particularly vulnerable (</w:t>
      </w:r>
      <w:proofErr w:type="spellStart"/>
      <w:r w:rsidRPr="00AA1EF7">
        <w:rPr>
          <w:rFonts w:ascii="Times New Roman" w:eastAsia="Times New Roman" w:hAnsi="Times New Roman" w:cs="Times New Roman"/>
          <w:color w:val="000000" w:themeColor="text1"/>
        </w:rPr>
        <w:t>Keestra</w:t>
      </w:r>
      <w:proofErr w:type="spellEnd"/>
      <w:r w:rsidRPr="00AA1EF7">
        <w:rPr>
          <w:rFonts w:ascii="Times New Roman" w:eastAsia="Times New Roman" w:hAnsi="Times New Roman" w:cs="Times New Roman"/>
          <w:color w:val="000000" w:themeColor="text1"/>
        </w:rPr>
        <w:t xml:space="preserve"> </w:t>
      </w:r>
      <w:r w:rsidRPr="00AA1EF7">
        <w:rPr>
          <w:rFonts w:ascii="Times New Roman" w:eastAsia="Times New Roman" w:hAnsi="Times New Roman" w:cs="Times New Roman"/>
          <w:i/>
          <w:color w:val="000000" w:themeColor="text1"/>
        </w:rPr>
        <w:t>et al</w:t>
      </w:r>
      <w:r w:rsidRPr="00AA1EF7">
        <w:rPr>
          <w:rFonts w:ascii="Times New Roman" w:eastAsia="Times New Roman" w:hAnsi="Times New Roman" w:cs="Times New Roman"/>
          <w:color w:val="000000" w:themeColor="text1"/>
        </w:rPr>
        <w:t>., 2020</w:t>
      </w:r>
      <w:r w:rsidRPr="00AA1EF7">
        <w:rPr>
          <w:rFonts w:ascii="Times New Roman" w:hAnsi="Times New Roman" w:cs="Times New Roman"/>
          <w:color w:val="000000" w:themeColor="text1"/>
        </w:rPr>
        <w:t>)</w:t>
      </w:r>
      <w:r w:rsidR="00790908" w:rsidRPr="00AA1EF7">
        <w:rPr>
          <w:rFonts w:ascii="Times New Roman" w:hAnsi="Times New Roman" w:cs="Times New Roman"/>
          <w:color w:val="000000" w:themeColor="text1"/>
        </w:rPr>
        <w:t xml:space="preserve">. Thyroid nodules are present in 12% of the general population worldwide, with an increased frequency in the elderly. By the age of sixty, at least 50% of people have one thyroid nodule, of which 90–95% are benign. </w:t>
      </w:r>
      <w:r w:rsidR="00790908" w:rsidRPr="00AA1EF7">
        <w:rPr>
          <w:rFonts w:ascii="Times New Roman" w:eastAsia="Times New Roman" w:hAnsi="Times New Roman" w:cs="Times New Roman"/>
          <w:color w:val="000000" w:themeColor="text1"/>
          <w:kern w:val="0"/>
          <w:lang w:eastAsia="en-GB"/>
          <w14:ligatures w14:val="none"/>
        </w:rPr>
        <w:t xml:space="preserve">(Ospina and </w:t>
      </w:r>
      <w:proofErr w:type="spellStart"/>
      <w:r w:rsidR="00790908" w:rsidRPr="00AA1EF7">
        <w:rPr>
          <w:rFonts w:ascii="Times New Roman" w:eastAsia="Times New Roman" w:hAnsi="Times New Roman" w:cs="Times New Roman"/>
          <w:color w:val="000000" w:themeColor="text1"/>
          <w:kern w:val="0"/>
          <w:lang w:eastAsia="en-GB"/>
          <w14:ligatures w14:val="none"/>
        </w:rPr>
        <w:t>Papaleontiou</w:t>
      </w:r>
      <w:proofErr w:type="spellEnd"/>
      <w:r w:rsidR="00790908" w:rsidRPr="00AA1EF7">
        <w:rPr>
          <w:rFonts w:ascii="Times New Roman" w:eastAsia="Times New Roman" w:hAnsi="Times New Roman" w:cs="Times New Roman"/>
          <w:color w:val="000000" w:themeColor="text1"/>
          <w:kern w:val="0"/>
          <w:lang w:eastAsia="en-GB"/>
          <w14:ligatures w14:val="none"/>
        </w:rPr>
        <w:t xml:space="preserve">, 2021). These conditions have been associated with various factors including iodine deficiency, selenium deficiency, and exposure to radiation, both ionizing and non-ionizing (Ferrari </w:t>
      </w:r>
      <w:r w:rsidR="00790908" w:rsidRPr="00AA1EF7">
        <w:rPr>
          <w:rFonts w:ascii="Times New Roman" w:eastAsia="Times New Roman" w:hAnsi="Times New Roman" w:cs="Times New Roman"/>
          <w:i/>
          <w:iCs/>
          <w:color w:val="000000" w:themeColor="text1"/>
          <w:kern w:val="0"/>
          <w:lang w:eastAsia="en-GB"/>
          <w14:ligatures w14:val="none"/>
        </w:rPr>
        <w:t>et al.,</w:t>
      </w:r>
      <w:r w:rsidR="00790908" w:rsidRPr="00AA1EF7">
        <w:rPr>
          <w:rFonts w:ascii="Times New Roman" w:eastAsia="Times New Roman" w:hAnsi="Times New Roman" w:cs="Times New Roman"/>
          <w:color w:val="000000" w:themeColor="text1"/>
          <w:kern w:val="0"/>
          <w:lang w:eastAsia="en-GB"/>
          <w14:ligatures w14:val="none"/>
        </w:rPr>
        <w:t>2017).</w:t>
      </w:r>
      <w:commentRangeEnd w:id="2"/>
      <w:r w:rsidR="00CB58FA">
        <w:rPr>
          <w:rStyle w:val="CommentReference"/>
        </w:rPr>
        <w:commentReference w:id="2"/>
      </w:r>
    </w:p>
    <w:p w14:paraId="600D59D4" w14:textId="77777777" w:rsidR="00790908" w:rsidRPr="00AA1EF7" w:rsidRDefault="00790908" w:rsidP="00AA1EF7">
      <w:pPr>
        <w:spacing w:line="360" w:lineRule="auto"/>
        <w:jc w:val="both"/>
        <w:rPr>
          <w:rFonts w:ascii="Times New Roman" w:hAnsi="Times New Roman" w:cs="Times New Roman"/>
          <w:color w:val="000000" w:themeColor="text1"/>
        </w:rPr>
      </w:pPr>
      <w:commentRangeStart w:id="3"/>
      <w:r w:rsidRPr="00AA1EF7">
        <w:rPr>
          <w:rFonts w:ascii="Times New Roman" w:hAnsi="Times New Roman" w:cs="Times New Roman"/>
          <w:color w:val="000000" w:themeColor="text1"/>
        </w:rPr>
        <w:t>Radiation is categorized into ionizing and non-ionizing. Ionizing radiation (i.e. X-ray or gamma-ray exposure) breaks molecular bonds due to its high frequency, whilst non-ionizing radiation (i.e. infrared, microwave, or radiofrequency waves, electromagnetic fields) damages cells by altering chemical reactions and inducing mechanisms related to heat and electricity. Owing to its frequent use, non-ionizing radiation is likely to cause thyroid abnormalities (</w:t>
      </w:r>
      <w:proofErr w:type="spellStart"/>
      <w:r w:rsidR="00352775" w:rsidRPr="00AA1EF7">
        <w:rPr>
          <w:rFonts w:ascii="Times New Roman" w:hAnsi="Times New Roman" w:cs="Times New Roman"/>
          <w:color w:val="000000" w:themeColor="text1"/>
        </w:rPr>
        <w:t>Alkayyali</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xml:space="preserve">., 2021; </w:t>
      </w:r>
      <w:r w:rsidR="00352775" w:rsidRPr="00AA1EF7">
        <w:rPr>
          <w:rFonts w:ascii="Times New Roman" w:hAnsi="Times New Roman" w:cs="Times New Roman"/>
          <w:color w:val="000000" w:themeColor="text1"/>
        </w:rPr>
        <w:t>El-</w:t>
      </w:r>
      <w:proofErr w:type="spellStart"/>
      <w:r w:rsidR="00352775" w:rsidRPr="00AA1EF7">
        <w:rPr>
          <w:rFonts w:ascii="Times New Roman" w:hAnsi="Times New Roman" w:cs="Times New Roman"/>
          <w:color w:val="000000" w:themeColor="text1"/>
        </w:rPr>
        <w:t>Benhawy</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xml:space="preserve">., 2022; </w:t>
      </w:r>
      <w:proofErr w:type="spellStart"/>
      <w:r w:rsidR="00352775" w:rsidRPr="00AA1EF7">
        <w:rPr>
          <w:rStyle w:val="article-title-and-info"/>
          <w:rFonts w:ascii="Times New Roman" w:hAnsi="Times New Roman" w:cs="Times New Roman"/>
          <w:color w:val="000000" w:themeColor="text1"/>
        </w:rPr>
        <w:t>Zufry</w:t>
      </w:r>
      <w:proofErr w:type="spellEnd"/>
      <w:r w:rsidR="00352775" w:rsidRPr="00AA1EF7">
        <w:rPr>
          <w:rFonts w:ascii="Times New Roman" w:eastAsia="Times New Roman" w:hAnsi="Times New Roman" w:cs="Times New Roman"/>
          <w:color w:val="000000" w:themeColor="text1"/>
          <w:kern w:val="0"/>
          <w:lang w:eastAsia="en-GB"/>
          <w14:ligatures w14:val="none"/>
        </w:rPr>
        <w:t xml:space="preserve"> </w:t>
      </w:r>
      <w:r w:rsidR="00352775" w:rsidRPr="00AA1EF7">
        <w:rPr>
          <w:rFonts w:ascii="Times New Roman" w:eastAsia="Times New Roman" w:hAnsi="Times New Roman" w:cs="Times New Roman"/>
          <w:i/>
          <w:color w:val="000000" w:themeColor="text1"/>
          <w:kern w:val="0"/>
          <w:lang w:eastAsia="en-GB"/>
          <w14:ligatures w14:val="none"/>
        </w:rPr>
        <w:t>et al</w:t>
      </w:r>
      <w:r w:rsidR="00352775" w:rsidRPr="00AA1EF7">
        <w:rPr>
          <w:rFonts w:ascii="Times New Roman" w:eastAsia="Times New Roman" w:hAnsi="Times New Roman" w:cs="Times New Roman"/>
          <w:color w:val="000000" w:themeColor="text1"/>
          <w:kern w:val="0"/>
          <w:lang w:eastAsia="en-GB"/>
          <w14:ligatures w14:val="none"/>
        </w:rPr>
        <w:t>., 2024)</w:t>
      </w:r>
      <w:r w:rsidRPr="00AA1EF7">
        <w:rPr>
          <w:rFonts w:ascii="Times New Roman" w:hAnsi="Times New Roman" w:cs="Times New Roman"/>
          <w:color w:val="000000" w:themeColor="text1"/>
        </w:rPr>
        <w:t>.</w:t>
      </w:r>
      <w:commentRangeEnd w:id="3"/>
      <w:r w:rsidR="00CB58FA">
        <w:rPr>
          <w:rStyle w:val="CommentReference"/>
        </w:rPr>
        <w:commentReference w:id="3"/>
      </w:r>
    </w:p>
    <w:p w14:paraId="7B3BF919"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Whenever electricity is generated, transmitted, or consumed, electromagnetic fields (EMF) are created. Electric fields are created by differences in voltage: the higher the voltage, the stronger will be the resultant field. Magnetic fields are created when electric current flows: the greater the current, the stronger the magnetic field. An electric field will exist even when there is no current flowing. If current does flow, the strength of the magnetic field will vary with power consumption, but the electric field strength will be constant (</w:t>
      </w:r>
      <w:proofErr w:type="spellStart"/>
      <w:r w:rsidR="00BB767E" w:rsidRPr="00AA1EF7">
        <w:rPr>
          <w:rFonts w:ascii="Times New Roman" w:eastAsia="Times New Roman" w:hAnsi="Times New Roman" w:cs="Times New Roman"/>
          <w:iCs/>
          <w:color w:val="000000" w:themeColor="text1"/>
          <w:kern w:val="0"/>
          <w:lang w:eastAsia="en-GB"/>
          <w14:ligatures w14:val="none"/>
        </w:rPr>
        <w:t>Ogunbanjo</w:t>
      </w:r>
      <w:proofErr w:type="spellEnd"/>
      <w:r w:rsidR="00BB767E" w:rsidRPr="00AA1EF7">
        <w:rPr>
          <w:rFonts w:ascii="Times New Roman" w:eastAsia="Times New Roman" w:hAnsi="Times New Roman" w:cs="Times New Roman"/>
          <w:iCs/>
          <w:color w:val="000000" w:themeColor="text1"/>
          <w:kern w:val="0"/>
          <w:lang w:eastAsia="en-GB"/>
          <w14:ligatures w14:val="none"/>
        </w:rPr>
        <w:t>,</w:t>
      </w:r>
      <w:r w:rsidR="00BB767E" w:rsidRPr="00AA1EF7">
        <w:rPr>
          <w:rFonts w:ascii="Times New Roman" w:eastAsia="Times New Roman" w:hAnsi="Times New Roman" w:cs="Times New Roman"/>
          <w:i/>
          <w:iCs/>
          <w:color w:val="000000" w:themeColor="text1"/>
          <w:kern w:val="0"/>
          <w:lang w:eastAsia="en-GB"/>
          <w14:ligatures w14:val="none"/>
        </w:rPr>
        <w:t xml:space="preserve"> </w:t>
      </w:r>
      <w:r w:rsidRPr="00AA1EF7">
        <w:rPr>
          <w:rFonts w:ascii="Times New Roman" w:eastAsia="Times New Roman" w:hAnsi="Times New Roman" w:cs="Times New Roman"/>
          <w:color w:val="000000" w:themeColor="text1"/>
          <w:kern w:val="0"/>
          <w:lang w:eastAsia="en-GB"/>
          <w14:ligatures w14:val="none"/>
        </w:rPr>
        <w:t>2024). The abundant use of high voltage transmission (HVT) lines has resulted in much concern being raised about the impact of EMF exposure from HVT lines on human health (</w:t>
      </w:r>
      <w:r w:rsidR="00BB767E" w:rsidRPr="00AA1EF7">
        <w:rPr>
          <w:rFonts w:ascii="Times New Roman" w:hAnsi="Times New Roman" w:cs="Times New Roman"/>
          <w:color w:val="000000" w:themeColor="text1"/>
        </w:rPr>
        <w:t xml:space="preserve">Miller and Green, </w:t>
      </w:r>
      <w:r w:rsidRPr="00AA1EF7">
        <w:rPr>
          <w:rFonts w:ascii="Times New Roman" w:hAnsi="Times New Roman" w:cs="Times New Roman"/>
          <w:color w:val="000000" w:themeColor="text1"/>
          <w:shd w:val="clear" w:color="auto" w:fill="FFFFFF"/>
        </w:rPr>
        <w:t>2010</w:t>
      </w:r>
      <w:r w:rsidRPr="00AA1EF7">
        <w:rPr>
          <w:rFonts w:ascii="Times New Roman" w:eastAsia="Times New Roman" w:hAnsi="Times New Roman" w:cs="Times New Roman"/>
          <w:color w:val="000000" w:themeColor="text1"/>
          <w:kern w:val="0"/>
          <w:lang w:eastAsia="en-GB"/>
          <w14:ligatures w14:val="none"/>
        </w:rPr>
        <w:t>). Over the last thirty years, the possible relationship between EMF exposure from HVT lines and childhood cancer has been a constant topic of interest since first reported (</w:t>
      </w:r>
      <w:r w:rsidRPr="00AA1EF7">
        <w:rPr>
          <w:rFonts w:ascii="Times New Roman" w:hAnsi="Times New Roman" w:cs="Times New Roman"/>
          <w:color w:val="000000" w:themeColor="text1"/>
          <w:shd w:val="clear" w:color="auto" w:fill="FFFFFF"/>
        </w:rPr>
        <w:t xml:space="preserve">Wertheimer </w:t>
      </w:r>
      <w:r w:rsidRPr="00AA1EF7">
        <w:rPr>
          <w:rFonts w:ascii="Times New Roman" w:hAnsi="Times New Roman" w:cs="Times New Roman"/>
          <w:i/>
          <w:iCs/>
          <w:color w:val="000000" w:themeColor="text1"/>
          <w:shd w:val="clear" w:color="auto" w:fill="FFFFFF"/>
        </w:rPr>
        <w:t xml:space="preserve">et al., </w:t>
      </w:r>
      <w:r w:rsidRPr="00AA1EF7">
        <w:rPr>
          <w:rFonts w:ascii="Times New Roman" w:hAnsi="Times New Roman" w:cs="Times New Roman"/>
          <w:color w:val="000000" w:themeColor="text1"/>
          <w:shd w:val="clear" w:color="auto" w:fill="FFFFFF"/>
        </w:rPr>
        <w:t>1979</w:t>
      </w:r>
      <w:r w:rsidR="00864ADA" w:rsidRPr="00AA1EF7">
        <w:rPr>
          <w:rFonts w:ascii="Times New Roman" w:hAnsi="Times New Roman" w:cs="Times New Roman"/>
          <w:color w:val="000000" w:themeColor="text1"/>
          <w:shd w:val="clear" w:color="auto" w:fill="FFFFFF"/>
        </w:rPr>
        <w:t xml:space="preserve">; </w:t>
      </w:r>
      <w:proofErr w:type="spellStart"/>
      <w:r w:rsidR="00864ADA" w:rsidRPr="00AA1EF7">
        <w:rPr>
          <w:rStyle w:val="text"/>
          <w:rFonts w:ascii="Times New Roman" w:hAnsi="Times New Roman" w:cs="Times New Roman"/>
          <w:color w:val="000000" w:themeColor="text1"/>
        </w:rPr>
        <w:t>Malavolti</w:t>
      </w:r>
      <w:proofErr w:type="spellEnd"/>
      <w:r w:rsidR="00864ADA" w:rsidRPr="00AA1EF7">
        <w:rPr>
          <w:rStyle w:val="text"/>
          <w:rFonts w:ascii="Times New Roman" w:hAnsi="Times New Roman" w:cs="Times New Roman"/>
          <w:color w:val="000000" w:themeColor="text1"/>
        </w:rPr>
        <w:t xml:space="preserve"> </w:t>
      </w:r>
      <w:r w:rsidR="00864ADA" w:rsidRPr="00AA1EF7">
        <w:rPr>
          <w:rStyle w:val="text"/>
          <w:rFonts w:ascii="Times New Roman" w:hAnsi="Times New Roman" w:cs="Times New Roman"/>
          <w:i/>
          <w:color w:val="000000" w:themeColor="text1"/>
        </w:rPr>
        <w:t>et al</w:t>
      </w:r>
      <w:r w:rsidR="00864ADA" w:rsidRPr="00AA1EF7">
        <w:rPr>
          <w:rStyle w:val="text"/>
          <w:rFonts w:ascii="Times New Roman" w:hAnsi="Times New Roman" w:cs="Times New Roman"/>
          <w:color w:val="000000" w:themeColor="text1"/>
        </w:rPr>
        <w:t>., 2024</w:t>
      </w:r>
      <w:r w:rsidRPr="00AA1EF7">
        <w:rPr>
          <w:rFonts w:ascii="Times New Roman" w:eastAsia="Times New Roman" w:hAnsi="Times New Roman" w:cs="Times New Roman"/>
          <w:color w:val="000000" w:themeColor="text1"/>
          <w:kern w:val="0"/>
          <w:lang w:eastAsia="en-GB"/>
          <w14:ligatures w14:val="none"/>
        </w:rPr>
        <w:t>).</w:t>
      </w:r>
    </w:p>
    <w:p w14:paraId="46D0212D"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EMF is considered a potential endocrine disruptor, capable of interfering with the hormonal functions at multiple levels. Non-ionizing EMF can affect thyroid hormone transporters, alter genomic and non-genomic actions, and disrupt the interaction between thyroid hormones and their receptors (Mughal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2018</w:t>
      </w:r>
      <w:r w:rsidR="00CE385B" w:rsidRPr="00AA1EF7">
        <w:rPr>
          <w:rFonts w:ascii="Times New Roman" w:eastAsia="Times New Roman" w:hAnsi="Times New Roman" w:cs="Times New Roman"/>
          <w:color w:val="000000" w:themeColor="text1"/>
          <w:kern w:val="0"/>
          <w:lang w:eastAsia="en-GB"/>
          <w14:ligatures w14:val="none"/>
        </w:rPr>
        <w:t xml:space="preserve">; </w:t>
      </w:r>
      <w:proofErr w:type="spellStart"/>
      <w:r w:rsidR="00CE385B" w:rsidRPr="00AA1EF7">
        <w:rPr>
          <w:rStyle w:val="article-title-and-info"/>
          <w:rFonts w:ascii="Times New Roman" w:hAnsi="Times New Roman" w:cs="Times New Roman"/>
          <w:color w:val="000000" w:themeColor="text1"/>
        </w:rPr>
        <w:t>Zufry</w:t>
      </w:r>
      <w:proofErr w:type="spellEnd"/>
      <w:r w:rsidR="00CE385B" w:rsidRPr="00AA1EF7">
        <w:rPr>
          <w:rStyle w:val="article-title-and-info"/>
          <w:rFonts w:ascii="Times New Roman" w:hAnsi="Times New Roman" w:cs="Times New Roman"/>
          <w:color w:val="000000" w:themeColor="text1"/>
        </w:rPr>
        <w:t xml:space="preserve"> </w:t>
      </w:r>
      <w:r w:rsidR="00CE385B" w:rsidRPr="00AA1EF7">
        <w:rPr>
          <w:rStyle w:val="article-title-and-info"/>
          <w:rFonts w:ascii="Times New Roman" w:hAnsi="Times New Roman" w:cs="Times New Roman"/>
          <w:i/>
          <w:color w:val="000000" w:themeColor="text1"/>
        </w:rPr>
        <w:t>et al</w:t>
      </w:r>
      <w:r w:rsidR="00CE385B" w:rsidRPr="00AA1EF7">
        <w:rPr>
          <w:rStyle w:val="article-title-and-info"/>
          <w:rFonts w:ascii="Times New Roman" w:hAnsi="Times New Roman" w:cs="Times New Roman"/>
          <w:color w:val="000000" w:themeColor="text1"/>
        </w:rPr>
        <w:t>., 2024</w:t>
      </w:r>
      <w:r w:rsidRPr="00AA1EF7">
        <w:rPr>
          <w:rFonts w:ascii="Times New Roman" w:eastAsia="Times New Roman" w:hAnsi="Times New Roman" w:cs="Times New Roman"/>
          <w:color w:val="000000" w:themeColor="text1"/>
          <w:kern w:val="0"/>
          <w:lang w:eastAsia="en-GB"/>
          <w14:ligatures w14:val="none"/>
        </w:rPr>
        <w:t>). These disruptions can lead to a cascade of hormonal imbalances, affecting not only thyroid function but also other endocrine pathways.</w:t>
      </w:r>
    </w:p>
    <w:p w14:paraId="3995A72C" w14:textId="77777777" w:rsidR="00CE385B"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Observational studies have reported associations between EMF exposure and increased incidence of thyroid abnormalities. For instance, increased usage of cell phones has been correlated with higher rates of thyroid cancer in certain populations (</w:t>
      </w:r>
      <w:proofErr w:type="spellStart"/>
      <w:r w:rsidRPr="00AA1EF7">
        <w:rPr>
          <w:rFonts w:ascii="Times New Roman" w:eastAsia="Times New Roman" w:hAnsi="Times New Roman" w:cs="Times New Roman"/>
          <w:color w:val="000000" w:themeColor="text1"/>
          <w:kern w:val="0"/>
          <w:lang w:eastAsia="en-GB"/>
          <w14:ligatures w14:val="none"/>
        </w:rPr>
        <w:t>Zufry</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2024). Furthermore, workers in </w:t>
      </w:r>
      <w:r w:rsidRPr="00AA1EF7">
        <w:rPr>
          <w:rFonts w:ascii="Times New Roman" w:eastAsia="Times New Roman" w:hAnsi="Times New Roman" w:cs="Times New Roman"/>
          <w:color w:val="000000" w:themeColor="text1"/>
          <w:kern w:val="0"/>
          <w:lang w:eastAsia="en-GB"/>
          <w14:ligatures w14:val="none"/>
        </w:rPr>
        <w:lastRenderedPageBreak/>
        <w:t>environments with high EMF exposure, such as those near high-voltage electric transmission lines, might show significant alterations in thyroid hormone levels, there by suggesting a direct link between EMF exposure and thyroid dysfunction.</w:t>
      </w:r>
      <w:r w:rsidR="00CE385B"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color w:val="000000" w:themeColor="text1"/>
          <w:kern w:val="0"/>
          <w:lang w:eastAsia="en-GB"/>
          <w14:ligatures w14:val="none"/>
        </w:rPr>
        <w:t>Exposure to non-ionizing EMF can lead to various biochemical and physiological alterations in thyroid cells. EMF exposure affects iodine uptake in the thyroid gland, which is critical for the synthesis of thyroid hormones T3 and T4. Disruption in iodine uptake can consequently lead to thyroid dysfunctions, such as hypothyroidism or hyperthyroidism (</w:t>
      </w:r>
      <w:r w:rsidR="00CE385B" w:rsidRPr="00AA1EF7">
        <w:rPr>
          <w:rFonts w:ascii="Times New Roman" w:eastAsia="Times New Roman" w:hAnsi="Times New Roman" w:cs="Times New Roman"/>
          <w:color w:val="000000" w:themeColor="text1"/>
          <w:kern w:val="0"/>
          <w:lang w:eastAsia="en-GB"/>
          <w14:ligatures w14:val="none"/>
        </w:rPr>
        <w:t>Khudair</w:t>
      </w:r>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et al.,</w:t>
      </w:r>
      <w:r w:rsidR="00CE385B" w:rsidRPr="00AA1EF7">
        <w:rPr>
          <w:rFonts w:ascii="Times New Roman" w:eastAsia="Times New Roman" w:hAnsi="Times New Roman" w:cs="Times New Roman"/>
          <w:color w:val="000000" w:themeColor="text1"/>
          <w:kern w:val="0"/>
          <w:lang w:eastAsia="en-GB"/>
          <w14:ligatures w14:val="none"/>
        </w:rPr>
        <w:t>2025</w:t>
      </w:r>
      <w:r w:rsidRPr="00AA1EF7">
        <w:rPr>
          <w:rFonts w:ascii="Times New Roman" w:eastAsia="Times New Roman" w:hAnsi="Times New Roman" w:cs="Times New Roman"/>
          <w:color w:val="000000" w:themeColor="text1"/>
          <w:kern w:val="0"/>
          <w:lang w:eastAsia="en-GB"/>
          <w14:ligatures w14:val="none"/>
        </w:rPr>
        <w:t>).</w:t>
      </w:r>
      <w:r w:rsidR="00CE385B" w:rsidRPr="00AA1EF7">
        <w:rPr>
          <w:rFonts w:ascii="Times New Roman" w:eastAsia="Times New Roman" w:hAnsi="Times New Roman" w:cs="Times New Roman"/>
          <w:color w:val="000000" w:themeColor="text1"/>
          <w:kern w:val="0"/>
          <w:lang w:eastAsia="en-GB"/>
          <w14:ligatures w14:val="none"/>
        </w:rPr>
        <w:t xml:space="preserve"> </w:t>
      </w:r>
    </w:p>
    <w:p w14:paraId="3D3B0512"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One of the primary mechanisms through which EMF exerts its effects is the induction of reactive oxygen species (ROS). The increase in ROS due to EMF exposure can cause oxidative stress, leading to cellular damage and apoptosis in thyroid cells. Studies have demonstrated that EMF exposure can result in significant reductions in heat shock proteins (HSP-70 and HSP-90), which are involved in protecting cells from stress. The diminished levels of these proteins can slow down recovery processes and exacerbate cellular damage (</w:t>
      </w:r>
      <w:r w:rsidR="00B81BBA" w:rsidRPr="00AA1EF7">
        <w:rPr>
          <w:rFonts w:ascii="Times New Roman" w:hAnsi="Times New Roman" w:cs="Times New Roman"/>
          <w:color w:val="000000" w:themeColor="text1"/>
        </w:rPr>
        <w:t xml:space="preserve">Misa </w:t>
      </w:r>
      <w:proofErr w:type="spellStart"/>
      <w:r w:rsidR="00B81BBA" w:rsidRPr="00AA1EF7">
        <w:rPr>
          <w:rFonts w:ascii="Times New Roman" w:hAnsi="Times New Roman" w:cs="Times New Roman"/>
          <w:color w:val="000000" w:themeColor="text1"/>
        </w:rPr>
        <w:t>Agustiño</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2012)</w:t>
      </w:r>
    </w:p>
    <w:p w14:paraId="1C3E6553"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Additionally, EMF exposure has been shown to increase the temperature of the pituitary gland, which can disrupt the regulation of thyroid-stimulating hormone (TSH). This disruption can inhibit the conversion of T4 to the more active T3 hormone, leading to imbalances in thyroid hormone levels and contributing to condit</w:t>
      </w:r>
      <w:r w:rsidR="003A2FDF" w:rsidRPr="00AA1EF7">
        <w:rPr>
          <w:rFonts w:ascii="Times New Roman" w:eastAsia="Times New Roman" w:hAnsi="Times New Roman" w:cs="Times New Roman"/>
          <w:color w:val="000000" w:themeColor="text1"/>
          <w:kern w:val="0"/>
          <w:lang w:eastAsia="en-GB"/>
          <w14:ligatures w14:val="none"/>
        </w:rPr>
        <w:t>ions such as hypothyroidism (</w:t>
      </w:r>
      <w:proofErr w:type="spellStart"/>
      <w:r w:rsidR="003A2FDF" w:rsidRPr="00AA1EF7">
        <w:rPr>
          <w:rFonts w:ascii="Times New Roman" w:eastAsia="Times New Roman" w:hAnsi="Times New Roman" w:cs="Times New Roman"/>
          <w:color w:val="000000" w:themeColor="text1"/>
          <w:kern w:val="0"/>
          <w:lang w:eastAsia="en-GB"/>
          <w14:ligatures w14:val="none"/>
        </w:rPr>
        <w:t>Koy</w:t>
      </w:r>
      <w:r w:rsidRPr="00AA1EF7">
        <w:rPr>
          <w:rFonts w:ascii="Times New Roman" w:eastAsia="Times New Roman" w:hAnsi="Times New Roman" w:cs="Times New Roman"/>
          <w:color w:val="000000" w:themeColor="text1"/>
          <w:kern w:val="0"/>
          <w:lang w:eastAsia="en-GB"/>
          <w14:ligatures w14:val="none"/>
        </w:rPr>
        <w:t>u</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2005).</w:t>
      </w:r>
    </w:p>
    <w:p w14:paraId="20C1D634"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Experimental studies have also highlighted various morphological changes in the thyroid gland due to EMF exposure. These changes include increased apoptosis via caspase-dependent pathways, alterations in the follicular epithelium, and increased interfollicular tissue (</w:t>
      </w:r>
      <w:proofErr w:type="spellStart"/>
      <w:r w:rsidRPr="00AA1EF7">
        <w:rPr>
          <w:rFonts w:ascii="Times New Roman" w:eastAsia="Times New Roman" w:hAnsi="Times New Roman" w:cs="Times New Roman"/>
          <w:color w:val="000000" w:themeColor="text1"/>
          <w:kern w:val="0"/>
          <w:lang w:eastAsia="en-GB"/>
          <w14:ligatures w14:val="none"/>
        </w:rPr>
        <w:t>Eşmekaya</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2010). </w:t>
      </w:r>
    </w:p>
    <w:p w14:paraId="47435372" w14:textId="77777777" w:rsidR="00790908"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Histopathological examinations of EMF-exposed thyroid glands reveal significant changes, including a reduction in colloid volume and alterations in follicular structure. These structural changes can impair the gland's ability to produce and secrete thyroid hormones effectively, thereby disrupting overall thyroid function </w:t>
      </w:r>
      <w:r w:rsidR="00F4170E" w:rsidRPr="00AA1EF7">
        <w:rPr>
          <w:rFonts w:ascii="Times New Roman" w:eastAsia="Times New Roman" w:hAnsi="Times New Roman" w:cs="Times New Roman"/>
          <w:color w:val="000000" w:themeColor="text1"/>
          <w:kern w:val="0"/>
          <w:lang w:eastAsia="en-GB"/>
          <w14:ligatures w14:val="none"/>
        </w:rPr>
        <w:t>(</w:t>
      </w:r>
      <w:proofErr w:type="spellStart"/>
      <w:r w:rsidR="00F4170E" w:rsidRPr="00AA1EF7">
        <w:rPr>
          <w:rFonts w:ascii="Times New Roman" w:eastAsia="Times New Roman" w:hAnsi="Times New Roman" w:cs="Times New Roman"/>
          <w:color w:val="000000" w:themeColor="text1"/>
          <w:kern w:val="0"/>
          <w:lang w:eastAsia="en-GB"/>
          <w14:ligatures w14:val="none"/>
        </w:rPr>
        <w:t>Zufry</w:t>
      </w:r>
      <w:proofErr w:type="spellEnd"/>
      <w:r w:rsidR="00F4170E" w:rsidRPr="00AA1EF7">
        <w:rPr>
          <w:rFonts w:ascii="Times New Roman" w:eastAsia="Times New Roman" w:hAnsi="Times New Roman" w:cs="Times New Roman"/>
          <w:color w:val="000000" w:themeColor="text1"/>
          <w:kern w:val="0"/>
          <w:lang w:eastAsia="en-GB"/>
          <w14:ligatures w14:val="none"/>
        </w:rPr>
        <w:t xml:space="preserve"> </w:t>
      </w:r>
      <w:r w:rsidR="00F4170E" w:rsidRPr="00AA1EF7">
        <w:rPr>
          <w:rFonts w:ascii="Times New Roman" w:eastAsia="Times New Roman" w:hAnsi="Times New Roman" w:cs="Times New Roman"/>
          <w:i/>
          <w:color w:val="000000" w:themeColor="text1"/>
          <w:kern w:val="0"/>
          <w:lang w:eastAsia="en-GB"/>
          <w14:ligatures w14:val="none"/>
        </w:rPr>
        <w:t xml:space="preserve">et al., </w:t>
      </w:r>
      <w:r w:rsidR="00F4170E" w:rsidRPr="00AA1EF7">
        <w:rPr>
          <w:rFonts w:ascii="Times New Roman" w:eastAsia="Times New Roman" w:hAnsi="Times New Roman" w:cs="Times New Roman"/>
          <w:color w:val="000000" w:themeColor="text1"/>
          <w:kern w:val="0"/>
          <w:lang w:eastAsia="en-GB"/>
          <w14:ligatures w14:val="none"/>
        </w:rPr>
        <w:t>2024).</w:t>
      </w:r>
    </w:p>
    <w:p w14:paraId="7CE50BFC" w14:textId="77777777" w:rsidR="003A2DBA" w:rsidRPr="00AA1EF7" w:rsidRDefault="00790908"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hAnsi="Times New Roman" w:cs="Times New Roman"/>
          <w:color w:val="000000" w:themeColor="text1"/>
        </w:rPr>
        <w:t xml:space="preserve">The thyroid gland plays an important role in the growth process and metabolism; however, it has a high risk of being exposed to non-ionizing radiation (EMF) because of its superficial. The exposure may cause abnormalities in thyroid gland morphology and thyroid hormone functions </w:t>
      </w:r>
      <w:r w:rsidRPr="00AA1EF7">
        <w:rPr>
          <w:rFonts w:ascii="Times New Roman" w:eastAsia="Times New Roman" w:hAnsi="Times New Roman" w:cs="Times New Roman"/>
          <w:color w:val="000000" w:themeColor="text1"/>
          <w:kern w:val="0"/>
          <w:lang w:eastAsia="en-GB"/>
          <w14:ligatures w14:val="none"/>
        </w:rPr>
        <w:t xml:space="preserve">(Albi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2017). Abnormality of thyroid hormones are associated with some diseases. In </w:t>
      </w:r>
      <w:r w:rsidRPr="00AA1EF7">
        <w:rPr>
          <w:rFonts w:ascii="Times New Roman" w:eastAsia="Times New Roman" w:hAnsi="Times New Roman" w:cs="Times New Roman"/>
          <w:color w:val="000000" w:themeColor="text1"/>
          <w:kern w:val="0"/>
          <w:lang w:eastAsia="en-GB"/>
          <w14:ligatures w14:val="none"/>
        </w:rPr>
        <w:lastRenderedPageBreak/>
        <w:t xml:space="preserve">addition, it is also suspected to affect thyroid hormone actions, either the transporters or genomic and non-genomic actions, which in turn will disrupt the physiological response (Elsayed </w:t>
      </w:r>
      <w:r w:rsidRPr="00AA1EF7">
        <w:rPr>
          <w:rFonts w:ascii="Times New Roman" w:eastAsia="Times New Roman" w:hAnsi="Times New Roman" w:cs="Times New Roman"/>
          <w:i/>
          <w:iCs/>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2016).</w:t>
      </w:r>
      <w:r w:rsidR="003A2DBA" w:rsidRPr="00AA1EF7">
        <w:rPr>
          <w:rFonts w:ascii="Times New Roman" w:eastAsia="Times New Roman" w:hAnsi="Times New Roman" w:cs="Times New Roman"/>
          <w:color w:val="000000" w:themeColor="text1"/>
          <w:kern w:val="0"/>
          <w:lang w:eastAsia="en-GB"/>
          <w14:ligatures w14:val="none"/>
        </w:rPr>
        <w:t xml:space="preserve"> Therefore, this study evaluated the </w:t>
      </w:r>
      <w:r w:rsidR="003A2DBA" w:rsidRPr="00AA1EF7">
        <w:rPr>
          <w:rFonts w:ascii="Times New Roman" w:hAnsi="Times New Roman" w:cs="Times New Roman"/>
          <w:color w:val="000000" w:themeColor="text1"/>
        </w:rPr>
        <w:t>effect of continuous exposure under high voltage overhead power line on thyroid function</w:t>
      </w:r>
    </w:p>
    <w:p w14:paraId="7A09BF00" w14:textId="77777777" w:rsidR="003A2DBA" w:rsidRPr="00AA1EF7" w:rsidRDefault="003A2DBA" w:rsidP="00AA1EF7">
      <w:pPr>
        <w:spacing w:line="360" w:lineRule="auto"/>
        <w:jc w:val="both"/>
        <w:rPr>
          <w:rFonts w:ascii="Times New Roman" w:eastAsia="Times New Roman" w:hAnsi="Times New Roman" w:cs="Times New Roman"/>
          <w:color w:val="000000" w:themeColor="text1"/>
          <w:kern w:val="0"/>
          <w:lang w:eastAsia="en-GB"/>
          <w14:ligatures w14:val="none"/>
        </w:rPr>
      </w:pPr>
    </w:p>
    <w:p w14:paraId="62F157F6" w14:textId="77777777" w:rsidR="00F84FAF" w:rsidRPr="00AA1EF7" w:rsidRDefault="00F84FA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MATERIALS AND METHODS</w:t>
      </w:r>
    </w:p>
    <w:p w14:paraId="5FC86709" w14:textId="77777777" w:rsidR="00F84FAF" w:rsidRPr="00AA1EF7" w:rsidRDefault="00F84FAF" w:rsidP="00AA1EF7">
      <w:pPr>
        <w:pStyle w:val="Heading3"/>
        <w:spacing w:line="360" w:lineRule="auto"/>
        <w:jc w:val="both"/>
        <w:rPr>
          <w:rFonts w:cs="Times New Roman"/>
          <w:b/>
          <w:sz w:val="24"/>
          <w:szCs w:val="24"/>
        </w:rPr>
      </w:pPr>
      <w:r w:rsidRPr="00AA1EF7">
        <w:rPr>
          <w:rFonts w:cs="Times New Roman"/>
          <w:b/>
          <w:sz w:val="24"/>
          <w:szCs w:val="24"/>
        </w:rPr>
        <w:t xml:space="preserve">3.1 Study Design </w:t>
      </w:r>
    </w:p>
    <w:p w14:paraId="2625A8FA" w14:textId="77777777" w:rsidR="00085651" w:rsidRPr="00AA1EF7" w:rsidRDefault="00085651" w:rsidP="00AA1EF7">
      <w:pPr>
        <w:spacing w:line="360" w:lineRule="auto"/>
        <w:jc w:val="both"/>
        <w:rPr>
          <w:rFonts w:ascii="Times New Roman" w:hAnsi="Times New Roman" w:cs="Times New Roman"/>
          <w:b/>
          <w:color w:val="000000" w:themeColor="text1"/>
          <w:kern w:val="0"/>
          <w:lang w:val="en-US"/>
          <w14:ligatures w14:val="none"/>
        </w:rPr>
      </w:pPr>
      <w:r w:rsidRPr="00AA1EF7">
        <w:rPr>
          <w:rFonts w:ascii="Times New Roman" w:hAnsi="Times New Roman" w:cs="Times New Roman"/>
          <w:b/>
          <w:color w:val="000000" w:themeColor="text1"/>
        </w:rPr>
        <w:t>Study Design</w:t>
      </w:r>
    </w:p>
    <w:p w14:paraId="0DD03718" w14:textId="77777777" w:rsidR="00623089" w:rsidRPr="00AA1EF7" w:rsidRDefault="0008565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This Cross-sectional study was designed to investigate the effect of continuous exposure to high voltage overhead powerlines on the serum levels of thyroid hormones (</w:t>
      </w:r>
      <w:r w:rsidR="002D3820" w:rsidRPr="00AA1EF7">
        <w:rPr>
          <w:rFonts w:ascii="Times New Roman" w:hAnsi="Times New Roman" w:cs="Times New Roman"/>
          <w:color w:val="000000" w:themeColor="text1"/>
        </w:rPr>
        <w:t xml:space="preserve">Free </w:t>
      </w:r>
      <w:r w:rsidRPr="00AA1EF7">
        <w:rPr>
          <w:rFonts w:ascii="Times New Roman" w:hAnsi="Times New Roman" w:cs="Times New Roman"/>
          <w:color w:val="000000" w:themeColor="text1"/>
        </w:rPr>
        <w:t>thyroxine (</w:t>
      </w:r>
      <w:r w:rsidR="002D3820" w:rsidRPr="00AA1EF7">
        <w:rPr>
          <w:rFonts w:ascii="Times New Roman" w:hAnsi="Times New Roman" w:cs="Times New Roman"/>
          <w:color w:val="000000" w:themeColor="text1"/>
        </w:rPr>
        <w:t>f</w:t>
      </w:r>
      <w:r w:rsidRPr="00AA1EF7">
        <w:rPr>
          <w:rFonts w:ascii="Times New Roman" w:hAnsi="Times New Roman" w:cs="Times New Roman"/>
          <w:color w:val="000000" w:themeColor="text1"/>
        </w:rPr>
        <w:t xml:space="preserve">T4), thyroid stimulating hormone (TSH). </w:t>
      </w:r>
    </w:p>
    <w:p w14:paraId="07DE5702" w14:textId="77777777" w:rsidR="00F84FAF" w:rsidRPr="00AA1EF7" w:rsidRDefault="00F84FAF" w:rsidP="00AA1EF7">
      <w:pPr>
        <w:spacing w:line="360" w:lineRule="auto"/>
        <w:jc w:val="both"/>
        <w:rPr>
          <w:rFonts w:ascii="Times New Roman" w:hAnsi="Times New Roman" w:cs="Times New Roman"/>
          <w:color w:val="000000" w:themeColor="text1"/>
          <w:kern w:val="0"/>
          <w:lang w:val="en-US"/>
          <w14:ligatures w14:val="none"/>
        </w:rPr>
      </w:pPr>
      <w:r w:rsidRPr="00AA1EF7">
        <w:rPr>
          <w:rFonts w:ascii="Times New Roman" w:hAnsi="Times New Roman" w:cs="Times New Roman"/>
          <w:b/>
          <w:color w:val="000000" w:themeColor="text1"/>
        </w:rPr>
        <w:t xml:space="preserve">Study Area </w:t>
      </w:r>
    </w:p>
    <w:p w14:paraId="77BC9F8C"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The study area was </w:t>
      </w:r>
      <w:proofErr w:type="spellStart"/>
      <w:r w:rsidRPr="00AA1EF7">
        <w:rPr>
          <w:rFonts w:ascii="Times New Roman" w:hAnsi="Times New Roman" w:cs="Times New Roman"/>
          <w:color w:val="000000" w:themeColor="text1"/>
        </w:rPr>
        <w:t>Ugbor</w:t>
      </w:r>
      <w:proofErr w:type="spellEnd"/>
      <w:r w:rsidRPr="00AA1EF7">
        <w:rPr>
          <w:rFonts w:ascii="Times New Roman" w:hAnsi="Times New Roman" w:cs="Times New Roman"/>
          <w:color w:val="000000" w:themeColor="text1"/>
        </w:rPr>
        <w:t xml:space="preserve"> road, which is located at </w:t>
      </w:r>
      <w:proofErr w:type="spellStart"/>
      <w:r w:rsidRPr="00AA1EF7">
        <w:rPr>
          <w:rFonts w:ascii="Times New Roman" w:hAnsi="Times New Roman" w:cs="Times New Roman"/>
          <w:color w:val="000000" w:themeColor="text1"/>
        </w:rPr>
        <w:t>Oredo</w:t>
      </w:r>
      <w:proofErr w:type="spellEnd"/>
      <w:r w:rsidRPr="00AA1EF7">
        <w:rPr>
          <w:rFonts w:ascii="Times New Roman" w:hAnsi="Times New Roman" w:cs="Times New Roman"/>
          <w:color w:val="000000" w:themeColor="text1"/>
        </w:rPr>
        <w:t xml:space="preserve"> local government area of Edo State in south-south Nigeria. Its coordinate is 6° 16' 0" North, 5° 37' 0" East. The study included individuals who worked under the overhead powerline located at </w:t>
      </w:r>
      <w:proofErr w:type="spellStart"/>
      <w:r w:rsidRPr="00AA1EF7">
        <w:rPr>
          <w:rFonts w:ascii="Times New Roman" w:hAnsi="Times New Roman" w:cs="Times New Roman"/>
          <w:color w:val="000000" w:themeColor="text1"/>
        </w:rPr>
        <w:t>Ugbor</w:t>
      </w:r>
      <w:proofErr w:type="spellEnd"/>
      <w:r w:rsidRPr="00AA1EF7">
        <w:rPr>
          <w:rFonts w:ascii="Times New Roman" w:hAnsi="Times New Roman" w:cs="Times New Roman"/>
          <w:color w:val="000000" w:themeColor="text1"/>
        </w:rPr>
        <w:t xml:space="preserve"> road, Benin City, Edo State.</w:t>
      </w:r>
    </w:p>
    <w:p w14:paraId="1A41A410" w14:textId="77777777" w:rsidR="00F84FAF" w:rsidRPr="00AA1EF7" w:rsidRDefault="00623089" w:rsidP="00AA1EF7">
      <w:pPr>
        <w:pStyle w:val="Heading3"/>
        <w:spacing w:line="360" w:lineRule="auto"/>
        <w:jc w:val="both"/>
        <w:rPr>
          <w:rFonts w:cs="Times New Roman"/>
          <w:b/>
          <w:sz w:val="24"/>
          <w:szCs w:val="24"/>
        </w:rPr>
      </w:pPr>
      <w:r w:rsidRPr="00AA1EF7">
        <w:rPr>
          <w:rFonts w:cs="Times New Roman"/>
          <w:b/>
          <w:sz w:val="24"/>
          <w:szCs w:val="24"/>
        </w:rPr>
        <w:t>Study population and</w:t>
      </w:r>
      <w:r w:rsidR="00F84FAF" w:rsidRPr="00AA1EF7">
        <w:rPr>
          <w:rFonts w:cs="Times New Roman"/>
          <w:b/>
          <w:sz w:val="24"/>
          <w:szCs w:val="24"/>
        </w:rPr>
        <w:t xml:space="preserve"> Sample Size </w:t>
      </w:r>
    </w:p>
    <w:p w14:paraId="633FCA5C" w14:textId="77777777" w:rsidR="00A044D1" w:rsidRPr="00AA1EF7" w:rsidRDefault="00623089" w:rsidP="00AA1EF7">
      <w:pPr>
        <w:pStyle w:val="BodyText"/>
        <w:spacing w:before="212" w:line="360" w:lineRule="auto"/>
        <w:ind w:right="584"/>
        <w:rPr>
          <w:color w:val="000000" w:themeColor="text1"/>
        </w:rPr>
      </w:pPr>
      <w:r w:rsidRPr="00AA1EF7">
        <w:rPr>
          <w:color w:val="000000" w:themeColor="text1"/>
        </w:rPr>
        <w:t xml:space="preserve">Eighty (80) volunteers in total were selected at random for the study; the target population consisted of people between the ages of 18 and 65 who lived within a specific radius (e.g., 500 meters) of high voltage overhead powerlines; a control group of people who lived in areas with minimal exposure to electromagnetic fields was included for comparison; the subjects in the test group and the control group were of the same age. </w:t>
      </w:r>
    </w:p>
    <w:p w14:paraId="21430F61" w14:textId="77777777" w:rsidR="00F84FAF" w:rsidRPr="00AA1EF7" w:rsidRDefault="00F84FAF" w:rsidP="00AA1EF7">
      <w:pPr>
        <w:pStyle w:val="BodyText"/>
        <w:spacing w:before="212" w:line="360" w:lineRule="auto"/>
        <w:ind w:right="584"/>
        <w:rPr>
          <w:color w:val="000000" w:themeColor="text1"/>
        </w:rPr>
      </w:pPr>
      <w:r w:rsidRPr="00AA1EF7">
        <w:rPr>
          <w:b/>
          <w:color w:val="000000" w:themeColor="text1"/>
        </w:rPr>
        <w:t xml:space="preserve">Inclusion Criteria </w:t>
      </w:r>
    </w:p>
    <w:p w14:paraId="24B1BB8E"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fell within the ages of 18-60</w:t>
      </w:r>
      <w:r w:rsidR="00A044D1" w:rsidRPr="00AA1EF7">
        <w:rPr>
          <w:rFonts w:ascii="Times New Roman" w:hAnsi="Times New Roman" w:cs="Times New Roman"/>
          <w:color w:val="000000" w:themeColor="text1"/>
          <w:shd w:val="clear" w:color="auto" w:fill="FFFFFF"/>
        </w:rPr>
        <w:t xml:space="preserve"> years</w:t>
      </w:r>
      <w:r w:rsidRPr="00AA1EF7">
        <w:rPr>
          <w:rFonts w:ascii="Times New Roman" w:hAnsi="Times New Roman" w:cs="Times New Roman"/>
          <w:color w:val="000000" w:themeColor="text1"/>
          <w:shd w:val="clear" w:color="auto" w:fill="FFFFFF"/>
        </w:rPr>
        <w:t>.</w:t>
      </w:r>
    </w:p>
    <w:p w14:paraId="5174FCB8" w14:textId="77777777" w:rsidR="00F84FAF" w:rsidRPr="00AA1EF7" w:rsidRDefault="00A044D1"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Participants who</w:t>
      </w:r>
      <w:r w:rsidR="00F84FAF" w:rsidRPr="00AA1EF7">
        <w:rPr>
          <w:rFonts w:ascii="Times New Roman" w:hAnsi="Times New Roman" w:cs="Times New Roman"/>
          <w:color w:val="000000" w:themeColor="text1"/>
          <w:shd w:val="clear" w:color="auto" w:fill="FFFFFF"/>
        </w:rPr>
        <w:t xml:space="preserve"> provided informed consent to take part in the study.</w:t>
      </w:r>
    </w:p>
    <w:p w14:paraId="100FF949" w14:textId="77777777" w:rsidR="00F84FAF"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 who resided</w:t>
      </w:r>
      <w:r w:rsidRPr="00AA1EF7">
        <w:rPr>
          <w:rFonts w:ascii="Times New Roman" w:hAnsi="Times New Roman" w:cs="Times New Roman"/>
          <w:color w:val="000000" w:themeColor="text1"/>
          <w:shd w:val="clear" w:color="auto" w:fill="FFFFFF"/>
        </w:rPr>
        <w:t xml:space="preserve"> in the study area for at least one year.</w:t>
      </w:r>
    </w:p>
    <w:p w14:paraId="4FDB2236" w14:textId="77777777" w:rsidR="00A044D1" w:rsidRPr="00AA1EF7" w:rsidRDefault="00F84FAF" w:rsidP="00AA1EF7">
      <w:pPr>
        <w:pStyle w:val="ListParagraph"/>
        <w:numPr>
          <w:ilvl w:val="0"/>
          <w:numId w:val="2"/>
        </w:numPr>
        <w:spacing w:after="0" w:line="360" w:lineRule="auto"/>
        <w:jc w:val="both"/>
        <w:rPr>
          <w:rFonts w:ascii="Times New Roman" w:hAnsi="Times New Roman" w:cs="Times New Roman"/>
          <w:color w:val="000000" w:themeColor="text1"/>
          <w:shd w:val="clear" w:color="auto" w:fill="FFFFFF"/>
        </w:rPr>
      </w:pPr>
      <w:r w:rsidRPr="00AA1EF7">
        <w:rPr>
          <w:rFonts w:ascii="Times New Roman" w:hAnsi="Times New Roman" w:cs="Times New Roman"/>
          <w:color w:val="000000" w:themeColor="text1"/>
          <w:shd w:val="clear" w:color="auto" w:fill="FFFFFF"/>
        </w:rPr>
        <w:t>Participant</w:t>
      </w:r>
      <w:r w:rsidR="00A044D1" w:rsidRPr="00AA1EF7">
        <w:rPr>
          <w:rFonts w:ascii="Times New Roman" w:hAnsi="Times New Roman" w:cs="Times New Roman"/>
          <w:color w:val="000000" w:themeColor="text1"/>
          <w:shd w:val="clear" w:color="auto" w:fill="FFFFFF"/>
        </w:rPr>
        <w:t>s</w:t>
      </w:r>
      <w:r w:rsidRPr="00AA1EF7">
        <w:rPr>
          <w:rFonts w:ascii="Times New Roman" w:hAnsi="Times New Roman" w:cs="Times New Roman"/>
          <w:color w:val="000000" w:themeColor="text1"/>
          <w:shd w:val="clear" w:color="auto" w:fill="FFFFFF"/>
        </w:rPr>
        <w:t xml:space="preserve"> </w:t>
      </w:r>
      <w:r w:rsidR="00A044D1" w:rsidRPr="00AA1EF7">
        <w:rPr>
          <w:rFonts w:ascii="Times New Roman" w:hAnsi="Times New Roman" w:cs="Times New Roman"/>
          <w:color w:val="000000" w:themeColor="text1"/>
          <w:shd w:val="clear" w:color="auto" w:fill="FFFFFF"/>
        </w:rPr>
        <w:t xml:space="preserve">without </w:t>
      </w:r>
      <w:r w:rsidRPr="00AA1EF7">
        <w:rPr>
          <w:rFonts w:ascii="Times New Roman" w:hAnsi="Times New Roman" w:cs="Times New Roman"/>
          <w:color w:val="000000" w:themeColor="text1"/>
          <w:shd w:val="clear" w:color="auto" w:fill="FFFFFF"/>
        </w:rPr>
        <w:t xml:space="preserve">pre-existing </w:t>
      </w:r>
      <w:r w:rsidR="00A044D1" w:rsidRPr="00AA1EF7">
        <w:rPr>
          <w:rFonts w:ascii="Times New Roman" w:hAnsi="Times New Roman" w:cs="Times New Roman"/>
          <w:color w:val="000000" w:themeColor="text1"/>
          <w:shd w:val="clear" w:color="auto" w:fill="FFFFFF"/>
        </w:rPr>
        <w:t xml:space="preserve">metabolic </w:t>
      </w:r>
      <w:r w:rsidRPr="00AA1EF7">
        <w:rPr>
          <w:rFonts w:ascii="Times New Roman" w:hAnsi="Times New Roman" w:cs="Times New Roman"/>
          <w:color w:val="000000" w:themeColor="text1"/>
          <w:shd w:val="clear" w:color="auto" w:fill="FFFFFF"/>
        </w:rPr>
        <w:t>conditions</w:t>
      </w:r>
      <w:r w:rsidR="00A044D1" w:rsidRPr="00AA1EF7">
        <w:rPr>
          <w:rFonts w:ascii="Times New Roman" w:hAnsi="Times New Roman" w:cs="Times New Roman"/>
          <w:color w:val="000000" w:themeColor="text1"/>
          <w:shd w:val="clear" w:color="auto" w:fill="FFFFFF"/>
        </w:rPr>
        <w:t xml:space="preserve"> and not on drugs</w:t>
      </w:r>
      <w:r w:rsidRPr="00AA1EF7">
        <w:rPr>
          <w:rFonts w:ascii="Times New Roman" w:hAnsi="Times New Roman" w:cs="Times New Roman"/>
          <w:color w:val="000000" w:themeColor="text1"/>
          <w:shd w:val="clear" w:color="auto" w:fill="FFFFFF"/>
        </w:rPr>
        <w:t xml:space="preserve"> which could affect the parameters of analysis.</w:t>
      </w:r>
    </w:p>
    <w:p w14:paraId="24BC5067" w14:textId="77777777" w:rsidR="00F84FAF" w:rsidRPr="00AA1EF7" w:rsidRDefault="00F84FAF" w:rsidP="00AA1EF7">
      <w:pPr>
        <w:spacing w:after="0" w:line="360" w:lineRule="auto"/>
        <w:ind w:left="360"/>
        <w:jc w:val="both"/>
        <w:rPr>
          <w:rFonts w:ascii="Times New Roman" w:hAnsi="Times New Roman" w:cs="Times New Roman"/>
          <w:color w:val="000000" w:themeColor="text1"/>
          <w:shd w:val="clear" w:color="auto" w:fill="FFFFFF"/>
        </w:rPr>
      </w:pPr>
      <w:r w:rsidRPr="00AA1EF7">
        <w:rPr>
          <w:rFonts w:ascii="Times New Roman" w:hAnsi="Times New Roman" w:cs="Times New Roman"/>
          <w:b/>
          <w:color w:val="000000" w:themeColor="text1"/>
        </w:rPr>
        <w:lastRenderedPageBreak/>
        <w:t>Exclusion Criteria</w:t>
      </w:r>
    </w:p>
    <w:p w14:paraId="676550A3" w14:textId="77777777" w:rsidR="00F84FAF" w:rsidRPr="00AA1EF7" w:rsidRDefault="00F84FAF" w:rsidP="00AA1EF7">
      <w:pPr>
        <w:pStyle w:val="BodyText"/>
        <w:spacing w:before="210" w:line="360" w:lineRule="auto"/>
        <w:ind w:left="220" w:right="587"/>
        <w:rPr>
          <w:color w:val="000000" w:themeColor="text1"/>
        </w:rPr>
      </w:pPr>
      <w:r w:rsidRPr="00AA1EF7">
        <w:rPr>
          <w:color w:val="000000" w:themeColor="text1"/>
        </w:rPr>
        <w:t xml:space="preserve">Subjects who were below the age of 18 </w:t>
      </w:r>
      <w:r w:rsidR="0038447F" w:rsidRPr="00AA1EF7">
        <w:rPr>
          <w:color w:val="000000" w:themeColor="text1"/>
        </w:rPr>
        <w:t xml:space="preserve">or above 60 </w:t>
      </w:r>
      <w:r w:rsidRPr="00AA1EF7">
        <w:rPr>
          <w:color w:val="000000" w:themeColor="text1"/>
        </w:rPr>
        <w:t xml:space="preserve">years, Unwilling candidates, participants </w:t>
      </w:r>
      <w:r w:rsidR="0038447F" w:rsidRPr="00AA1EF7">
        <w:rPr>
          <w:color w:val="000000" w:themeColor="text1"/>
        </w:rPr>
        <w:t xml:space="preserve">with metabolic </w:t>
      </w:r>
      <w:r w:rsidRPr="00AA1EF7">
        <w:rPr>
          <w:color w:val="000000" w:themeColor="text1"/>
        </w:rPr>
        <w:t>health issues, cancer</w:t>
      </w:r>
      <w:r w:rsidRPr="00AA1EF7">
        <w:rPr>
          <w:color w:val="000000" w:themeColor="text1"/>
          <w:spacing w:val="1"/>
        </w:rPr>
        <w:t xml:space="preserve"> </w:t>
      </w:r>
      <w:r w:rsidRPr="00AA1EF7">
        <w:rPr>
          <w:color w:val="000000" w:themeColor="text1"/>
        </w:rPr>
        <w:t>patients, Individuals who do not reside in Benin,</w:t>
      </w:r>
      <w:r w:rsidRPr="00AA1EF7">
        <w:rPr>
          <w:color w:val="000000" w:themeColor="text1"/>
          <w:spacing w:val="-1"/>
        </w:rPr>
        <w:t xml:space="preserve"> </w:t>
      </w:r>
      <w:r w:rsidRPr="00AA1EF7">
        <w:rPr>
          <w:color w:val="000000" w:themeColor="text1"/>
        </w:rPr>
        <w:t>and sufferers of</w:t>
      </w:r>
      <w:r w:rsidRPr="00AA1EF7">
        <w:rPr>
          <w:color w:val="000000" w:themeColor="text1"/>
          <w:spacing w:val="1"/>
        </w:rPr>
        <w:t xml:space="preserve"> </w:t>
      </w:r>
      <w:r w:rsidRPr="00AA1EF7">
        <w:rPr>
          <w:color w:val="000000" w:themeColor="text1"/>
        </w:rPr>
        <w:t>other</w:t>
      </w:r>
      <w:r w:rsidRPr="00AA1EF7">
        <w:rPr>
          <w:color w:val="000000" w:themeColor="text1"/>
          <w:spacing w:val="-2"/>
        </w:rPr>
        <w:t xml:space="preserve"> </w:t>
      </w:r>
      <w:r w:rsidRPr="00AA1EF7">
        <w:rPr>
          <w:color w:val="000000" w:themeColor="text1"/>
        </w:rPr>
        <w:t>chronic systemic</w:t>
      </w:r>
      <w:r w:rsidRPr="00AA1EF7">
        <w:rPr>
          <w:color w:val="000000" w:themeColor="text1"/>
          <w:spacing w:val="1"/>
        </w:rPr>
        <w:t xml:space="preserve"> </w:t>
      </w:r>
      <w:r w:rsidRPr="00AA1EF7">
        <w:rPr>
          <w:color w:val="000000" w:themeColor="text1"/>
        </w:rPr>
        <w:t>conditions</w:t>
      </w:r>
      <w:r w:rsidRPr="00AA1EF7">
        <w:rPr>
          <w:color w:val="000000" w:themeColor="text1"/>
          <w:spacing w:val="-1"/>
        </w:rPr>
        <w:t xml:space="preserve"> </w:t>
      </w:r>
      <w:r w:rsidRPr="00AA1EF7">
        <w:rPr>
          <w:color w:val="000000" w:themeColor="text1"/>
        </w:rPr>
        <w:t>were</w:t>
      </w:r>
      <w:r w:rsidRPr="00AA1EF7">
        <w:rPr>
          <w:color w:val="000000" w:themeColor="text1"/>
          <w:spacing w:val="-2"/>
        </w:rPr>
        <w:t xml:space="preserve"> </w:t>
      </w:r>
      <w:r w:rsidRPr="00AA1EF7">
        <w:rPr>
          <w:color w:val="000000" w:themeColor="text1"/>
        </w:rPr>
        <w:t>excluded.</w:t>
      </w:r>
    </w:p>
    <w:p w14:paraId="34D37986" w14:textId="77777777" w:rsidR="00F84FAF" w:rsidRPr="00AA1EF7" w:rsidRDefault="00F84FAF" w:rsidP="00AA1EF7">
      <w:pPr>
        <w:pStyle w:val="Heading3"/>
        <w:spacing w:line="360" w:lineRule="auto"/>
        <w:jc w:val="both"/>
        <w:rPr>
          <w:rFonts w:cs="Times New Roman"/>
          <w:b/>
          <w:sz w:val="24"/>
          <w:szCs w:val="24"/>
        </w:rPr>
      </w:pPr>
      <w:r w:rsidRPr="00AA1EF7">
        <w:rPr>
          <w:rFonts w:cs="Times New Roman"/>
          <w:b/>
          <w:sz w:val="24"/>
          <w:szCs w:val="24"/>
        </w:rPr>
        <w:t>Ethical Cle</w:t>
      </w:r>
      <w:r w:rsidR="0038447F" w:rsidRPr="00AA1EF7">
        <w:rPr>
          <w:rFonts w:cs="Times New Roman"/>
          <w:b/>
          <w:sz w:val="24"/>
          <w:szCs w:val="24"/>
        </w:rPr>
        <w:t>a</w:t>
      </w:r>
      <w:r w:rsidRPr="00AA1EF7">
        <w:rPr>
          <w:rFonts w:cs="Times New Roman"/>
          <w:b/>
          <w:sz w:val="24"/>
          <w:szCs w:val="24"/>
        </w:rPr>
        <w:t xml:space="preserve">rance </w:t>
      </w:r>
    </w:p>
    <w:p w14:paraId="2FE9CA45" w14:textId="77777777" w:rsidR="0038447F" w:rsidRPr="00AA1EF7" w:rsidRDefault="00F84FAF"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Ethical</w:t>
      </w:r>
      <w:r w:rsidR="0038447F" w:rsidRPr="00AA1EF7">
        <w:rPr>
          <w:rFonts w:ascii="Times New Roman" w:hAnsi="Times New Roman" w:cs="Times New Roman"/>
          <w:color w:val="000000" w:themeColor="text1"/>
          <w:lang w:val="en-US"/>
        </w:rPr>
        <w:t xml:space="preserve"> approval was granted from Edo State Ministry of H</w:t>
      </w:r>
      <w:r w:rsidRPr="00AA1EF7">
        <w:rPr>
          <w:rFonts w:ascii="Times New Roman" w:hAnsi="Times New Roman" w:cs="Times New Roman"/>
          <w:color w:val="000000" w:themeColor="text1"/>
          <w:lang w:val="en-US"/>
        </w:rPr>
        <w:t xml:space="preserve">ealth Ethics Review Committee </w:t>
      </w:r>
      <w:r w:rsidR="0038447F" w:rsidRPr="00AA1EF7">
        <w:rPr>
          <w:rFonts w:ascii="Times New Roman" w:hAnsi="Times New Roman" w:cs="Times New Roman"/>
          <w:color w:val="000000" w:themeColor="text1"/>
          <w:lang w:val="en-US"/>
        </w:rPr>
        <w:t xml:space="preserve">(HA/737/24/D/0419270). </w:t>
      </w:r>
      <w:r w:rsidRPr="00AA1EF7">
        <w:rPr>
          <w:rFonts w:ascii="Times New Roman" w:hAnsi="Times New Roman" w:cs="Times New Roman"/>
          <w:color w:val="000000" w:themeColor="text1"/>
          <w:lang w:val="en-US"/>
        </w:rPr>
        <w:t xml:space="preserve">All objectives and guidelines were adhered to while conducting this research study. The nature and purpose of research was explained to each participant using an informed consent for literate participants and verbal explanation for illiterate participants. Only volunteers became part of this research, their participation was on their own free will. The participants were assured full confidentiality. </w:t>
      </w:r>
    </w:p>
    <w:p w14:paraId="37018292" w14:textId="77777777" w:rsidR="00C4548F" w:rsidRPr="00AA1EF7" w:rsidRDefault="00C4548F" w:rsidP="00AA1EF7">
      <w:pPr>
        <w:tabs>
          <w:tab w:val="left" w:pos="5405"/>
        </w:tabs>
        <w:spacing w:line="360" w:lineRule="auto"/>
        <w:jc w:val="both"/>
        <w:rPr>
          <w:rFonts w:ascii="Times New Roman" w:eastAsia="Times New Roman" w:hAnsi="Times New Roman" w:cs="Times New Roman"/>
          <w:b/>
          <w:bCs/>
          <w:color w:val="000000" w:themeColor="text1"/>
          <w:kern w:val="0"/>
          <w:lang w:val="en-US"/>
          <w14:ligatures w14:val="none"/>
        </w:rPr>
      </w:pPr>
      <w:r w:rsidRPr="00AA1EF7">
        <w:rPr>
          <w:rFonts w:ascii="Times New Roman" w:eastAsia="Times New Roman" w:hAnsi="Times New Roman" w:cs="Times New Roman"/>
          <w:b/>
          <w:bCs/>
          <w:color w:val="000000" w:themeColor="text1"/>
        </w:rPr>
        <w:t>Sample Collection and preparation</w:t>
      </w:r>
      <w:r w:rsidRPr="00AA1EF7">
        <w:rPr>
          <w:rFonts w:ascii="Times New Roman" w:eastAsia="Times New Roman" w:hAnsi="Times New Roman" w:cs="Times New Roman"/>
          <w:b/>
          <w:bCs/>
          <w:color w:val="000000" w:themeColor="text1"/>
        </w:rPr>
        <w:tab/>
      </w:r>
    </w:p>
    <w:p w14:paraId="4FFAFC25" w14:textId="77777777" w:rsidR="00C4548F" w:rsidRPr="00AA1EF7" w:rsidRDefault="00C4548F" w:rsidP="00AA1EF7">
      <w:pPr>
        <w:spacing w:line="360" w:lineRule="auto"/>
        <w:jc w:val="both"/>
        <w:rPr>
          <w:rFonts w:ascii="Times New Roman" w:hAnsi="Times New Roman" w:cs="Times New Roman"/>
          <w:color w:val="000000" w:themeColor="text1"/>
        </w:rPr>
      </w:pPr>
      <w:r w:rsidRPr="00AA1EF7">
        <w:rPr>
          <w:rFonts w:ascii="Times New Roman" w:eastAsia="Times New Roman" w:hAnsi="Times New Roman" w:cs="Times New Roman"/>
          <w:color w:val="000000" w:themeColor="text1"/>
        </w:rPr>
        <w:t xml:space="preserve">Five millilitre (5 ml) of fasting venous blood samples were collected into plain containers and were allowed to clot, then retracted and centrifuged for 5minutes at 4000rpm to separate the serum from the whole blood and the serum was transferred into another container. The </w:t>
      </w:r>
      <w:r w:rsidRPr="00AA1EF7">
        <w:rPr>
          <w:rFonts w:ascii="Times New Roman" w:hAnsi="Times New Roman" w:cs="Times New Roman"/>
          <w:color w:val="000000" w:themeColor="text1"/>
        </w:rPr>
        <w:t>levels of serum free thyroxine (fT4) and thyroid stimulating hormone (TSH) were determined.</w:t>
      </w:r>
      <w:r w:rsidR="00791849" w:rsidRPr="00AA1EF7">
        <w:rPr>
          <w:rFonts w:ascii="Times New Roman" w:hAnsi="Times New Roman" w:cs="Times New Roman"/>
          <w:color w:val="000000" w:themeColor="text1"/>
        </w:rPr>
        <w:t xml:space="preserve"> Samples were stored at </w:t>
      </w:r>
      <w:r w:rsidR="00791849" w:rsidRPr="00AA1EF7">
        <w:rPr>
          <w:rFonts w:ascii="Times New Roman" w:eastAsia="Garamond" w:hAnsi="Times New Roman" w:cs="Times New Roman"/>
          <w:color w:val="000000" w:themeColor="text1"/>
          <w:lang w:eastAsia="en-GB"/>
        </w:rPr>
        <w:t>–20 °C until analysed.</w:t>
      </w:r>
    </w:p>
    <w:p w14:paraId="6AA800DD" w14:textId="77777777" w:rsidR="00C4548F" w:rsidRPr="00AA1EF7" w:rsidRDefault="00C4548F" w:rsidP="00AA1EF7">
      <w:pPr>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Laboratory Methods</w:t>
      </w:r>
    </w:p>
    <w:p w14:paraId="4A360DEE" w14:textId="77777777" w:rsidR="00F84FAF" w:rsidRPr="00AA1EF7" w:rsidRDefault="003276C4" w:rsidP="00AA1EF7">
      <w:pPr>
        <w:pStyle w:val="BodyText"/>
        <w:spacing w:before="72" w:line="360" w:lineRule="auto"/>
        <w:ind w:right="574"/>
        <w:rPr>
          <w:b/>
          <w:color w:val="000000" w:themeColor="text1"/>
        </w:rPr>
      </w:pPr>
      <w:r w:rsidRPr="00AA1EF7">
        <w:rPr>
          <w:b/>
          <w:color w:val="000000" w:themeColor="text1"/>
        </w:rPr>
        <w:t xml:space="preserve">Quantitative </w:t>
      </w:r>
      <w:r w:rsidR="00791849" w:rsidRPr="00AA1EF7">
        <w:rPr>
          <w:b/>
          <w:color w:val="000000" w:themeColor="text1"/>
        </w:rPr>
        <w:t>Estimation of fT4 and TSH levels</w:t>
      </w:r>
    </w:p>
    <w:p w14:paraId="16C12FAA" w14:textId="77777777" w:rsidR="00791849" w:rsidRPr="00AA1EF7" w:rsidRDefault="00791849" w:rsidP="00AA1EF7">
      <w:pPr>
        <w:pStyle w:val="BodyText"/>
        <w:spacing w:before="72" w:line="360" w:lineRule="auto"/>
        <w:ind w:right="574"/>
        <w:rPr>
          <w:color w:val="000000" w:themeColor="text1"/>
        </w:rPr>
      </w:pPr>
      <w:r w:rsidRPr="00AA1EF7">
        <w:rPr>
          <w:color w:val="000000" w:themeColor="text1"/>
        </w:rPr>
        <w:t xml:space="preserve">Free thyroxine </w:t>
      </w:r>
      <w:r w:rsidR="003276C4" w:rsidRPr="00AA1EF7">
        <w:rPr>
          <w:color w:val="000000" w:themeColor="text1"/>
        </w:rPr>
        <w:t>(</w:t>
      </w:r>
      <w:r w:rsidR="0017610E" w:rsidRPr="00AA1EF7">
        <w:rPr>
          <w:color w:val="000000" w:themeColor="text1"/>
        </w:rPr>
        <w:t>Bios kit, USA</w:t>
      </w:r>
      <w:r w:rsidR="003276C4" w:rsidRPr="00AA1EF7">
        <w:rPr>
          <w:color w:val="000000" w:themeColor="text1"/>
        </w:rPr>
        <w:t xml:space="preserve">) </w:t>
      </w:r>
      <w:r w:rsidRPr="00AA1EF7">
        <w:rPr>
          <w:color w:val="000000" w:themeColor="text1"/>
        </w:rPr>
        <w:t>and thyroid stimulating hormone</w:t>
      </w:r>
      <w:r w:rsidR="003276C4" w:rsidRPr="00AA1EF7">
        <w:rPr>
          <w:color w:val="000000" w:themeColor="text1"/>
        </w:rPr>
        <w:t xml:space="preserve"> (PerkinElmer kit, Hayward California)</w:t>
      </w:r>
      <w:r w:rsidRPr="00AA1EF7">
        <w:rPr>
          <w:color w:val="000000" w:themeColor="text1"/>
        </w:rPr>
        <w:t xml:space="preserve"> levels were assayed using sandwich enzyme link</w:t>
      </w:r>
      <w:r w:rsidR="003276C4" w:rsidRPr="00AA1EF7">
        <w:rPr>
          <w:color w:val="000000" w:themeColor="text1"/>
        </w:rPr>
        <w:t>ed immunosorbent assay method</w:t>
      </w:r>
      <w:r w:rsidRPr="00AA1EF7">
        <w:rPr>
          <w:color w:val="000000" w:themeColor="text1"/>
        </w:rPr>
        <w:t>.</w:t>
      </w:r>
    </w:p>
    <w:p w14:paraId="0C4E5C2F" w14:textId="77777777" w:rsidR="00B444A8" w:rsidRPr="00AA1EF7" w:rsidRDefault="00B444A8" w:rsidP="00AA1EF7">
      <w:pPr>
        <w:pStyle w:val="Heading3"/>
        <w:spacing w:line="360" w:lineRule="auto"/>
        <w:jc w:val="both"/>
        <w:rPr>
          <w:rFonts w:cs="Times New Roman"/>
          <w:b/>
          <w:sz w:val="24"/>
          <w:szCs w:val="24"/>
        </w:rPr>
      </w:pPr>
      <w:r w:rsidRPr="00AA1EF7">
        <w:rPr>
          <w:rFonts w:cs="Times New Roman"/>
          <w:b/>
          <w:sz w:val="24"/>
          <w:szCs w:val="24"/>
        </w:rPr>
        <w:lastRenderedPageBreak/>
        <w:t>Statistical Analysis</w:t>
      </w:r>
    </w:p>
    <w:p w14:paraId="35333F3B" w14:textId="77777777" w:rsidR="00F84FAF" w:rsidRPr="00AA1EF7" w:rsidRDefault="00AB7023" w:rsidP="00AA1EF7">
      <w:pPr>
        <w:pStyle w:val="Heading3"/>
        <w:spacing w:line="360" w:lineRule="auto"/>
        <w:jc w:val="both"/>
        <w:rPr>
          <w:rFonts w:cs="Times New Roman"/>
          <w:b/>
          <w:sz w:val="24"/>
          <w:szCs w:val="24"/>
        </w:rPr>
      </w:pPr>
      <w:r w:rsidRPr="00AA1EF7">
        <w:rPr>
          <w:rFonts w:cs="Times New Roman"/>
          <w:sz w:val="24"/>
          <w:szCs w:val="24"/>
        </w:rPr>
        <w:t>D</w:t>
      </w:r>
      <w:r w:rsidR="00F84FAF" w:rsidRPr="00AA1EF7">
        <w:rPr>
          <w:rFonts w:cs="Times New Roman"/>
          <w:sz w:val="24"/>
          <w:szCs w:val="24"/>
        </w:rPr>
        <w:t xml:space="preserve">ata </w:t>
      </w:r>
      <w:r w:rsidRPr="00AA1EF7">
        <w:rPr>
          <w:rFonts w:cs="Times New Roman"/>
          <w:sz w:val="24"/>
          <w:szCs w:val="24"/>
        </w:rPr>
        <w:t xml:space="preserve">obtained </w:t>
      </w:r>
      <w:r w:rsidR="00F84FAF" w:rsidRPr="00AA1EF7">
        <w:rPr>
          <w:rFonts w:cs="Times New Roman"/>
          <w:sz w:val="24"/>
          <w:szCs w:val="24"/>
        </w:rPr>
        <w:t>were expressed as mean and standard error of mean for continuous. Comparative analysis between two and more groups was done using independent sample t-test and one-way analysis of variance. Stat</w:t>
      </w:r>
      <w:r w:rsidRPr="00AA1EF7">
        <w:rPr>
          <w:rFonts w:cs="Times New Roman"/>
          <w:sz w:val="24"/>
          <w:szCs w:val="24"/>
        </w:rPr>
        <w:t>istical significance was assumed at p&lt;</w:t>
      </w:r>
      <w:r w:rsidR="00F84FAF" w:rsidRPr="00AA1EF7">
        <w:rPr>
          <w:rFonts w:cs="Times New Roman"/>
          <w:sz w:val="24"/>
          <w:szCs w:val="24"/>
        </w:rPr>
        <w:t>0.05. All statistics were performed using SPSS for windows (IBM version 26.0)</w:t>
      </w:r>
    </w:p>
    <w:p w14:paraId="0A0D9134" w14:textId="77777777" w:rsidR="00F84FAF" w:rsidRPr="00AA1EF7" w:rsidRDefault="00BE1139" w:rsidP="00AA1EF7">
      <w:pPr>
        <w:autoSpaceDE w:val="0"/>
        <w:autoSpaceDN w:val="0"/>
        <w:adjustRightInd w:val="0"/>
        <w:spacing w:line="360" w:lineRule="auto"/>
        <w:jc w:val="both"/>
        <w:rPr>
          <w:rFonts w:ascii="Times New Roman" w:hAnsi="Times New Roman" w:cs="Times New Roman"/>
          <w:b/>
          <w:color w:val="000000" w:themeColor="text1"/>
        </w:rPr>
      </w:pPr>
      <w:r w:rsidRPr="00AA1EF7">
        <w:rPr>
          <w:rFonts w:ascii="Times New Roman" w:hAnsi="Times New Roman" w:cs="Times New Roman"/>
          <w:b/>
          <w:color w:val="000000" w:themeColor="text1"/>
        </w:rPr>
        <w:t>Results</w:t>
      </w:r>
    </w:p>
    <w:p w14:paraId="45883867"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1</w:t>
      </w:r>
      <w:r w:rsidR="00F84FAF" w:rsidRPr="00AA1EF7">
        <w:rPr>
          <w:rFonts w:ascii="Times New Roman" w:eastAsia="Calibri" w:hAnsi="Times New Roman" w:cs="Times New Roman"/>
          <w:color w:val="000000" w:themeColor="text1"/>
        </w:rPr>
        <w:t xml:space="preserve"> shows the levels of thyroid stimulating (TSH) and free thyroxine (FT4) among subjects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xml:space="preserve"> and the non-unexposed subjects. There </w:t>
      </w:r>
      <w:r w:rsidR="009D0862" w:rsidRPr="00AA1EF7">
        <w:rPr>
          <w:rFonts w:ascii="Times New Roman" w:eastAsia="Calibri" w:hAnsi="Times New Roman" w:cs="Times New Roman"/>
          <w:color w:val="000000" w:themeColor="text1"/>
        </w:rPr>
        <w:t>was</w:t>
      </w:r>
      <w:r w:rsidR="00F84FAF" w:rsidRPr="00AA1EF7">
        <w:rPr>
          <w:rFonts w:ascii="Times New Roman" w:eastAsia="Calibri" w:hAnsi="Times New Roman" w:cs="Times New Roman"/>
          <w:color w:val="000000" w:themeColor="text1"/>
        </w:rPr>
        <w:t xml:space="preserve"> no statistically significant difference in the levels of TSH and FT4 among exposed subjects and the control group (p&gt;0.05). </w:t>
      </w:r>
    </w:p>
    <w:p w14:paraId="15E8B052"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2</w:t>
      </w:r>
      <w:r w:rsidR="00F84FAF" w:rsidRPr="00AA1EF7">
        <w:rPr>
          <w:rFonts w:ascii="Times New Roman" w:eastAsia="Calibri" w:hAnsi="Times New Roman" w:cs="Times New Roman"/>
          <w:color w:val="000000" w:themeColor="text1"/>
        </w:rPr>
        <w:t xml:space="preserve"> shows the levels of thyroid stimulating (TSH) and free thyroxine (FT4) among gender of the overall study population. There was no </w:t>
      </w:r>
      <w:proofErr w:type="gramStart"/>
      <w:r w:rsidR="00F84FAF" w:rsidRPr="00AA1EF7">
        <w:rPr>
          <w:rFonts w:ascii="Times New Roman" w:eastAsia="Calibri" w:hAnsi="Times New Roman" w:cs="Times New Roman"/>
          <w:color w:val="000000" w:themeColor="text1"/>
        </w:rPr>
        <w:t>statistical</w:t>
      </w:r>
      <w:proofErr w:type="gramEnd"/>
      <w:r w:rsidR="00F84FAF" w:rsidRPr="00AA1EF7">
        <w:rPr>
          <w:rFonts w:ascii="Times New Roman" w:eastAsia="Calibri" w:hAnsi="Times New Roman" w:cs="Times New Roman"/>
          <w:color w:val="000000" w:themeColor="text1"/>
        </w:rPr>
        <w:t xml:space="preserve"> significant difference in the levels of TSH and FT4 among the different gender in overall study population among those exposed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1AC0F8A8"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3</w:t>
      </w:r>
      <w:r w:rsidR="00F84FAF" w:rsidRPr="00AA1EF7">
        <w:rPr>
          <w:rFonts w:ascii="Times New Roman" w:eastAsia="Calibri" w:hAnsi="Times New Roman" w:cs="Times New Roman"/>
          <w:color w:val="000000" w:themeColor="text1"/>
        </w:rPr>
        <w:t xml:space="preserve"> shows the levels of thyroid stimulating (TSH) and free thyroxine (FT4) based on the duration of exposure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FT4 was significantly increase</w:t>
      </w:r>
      <w:r w:rsidR="009D0862" w:rsidRPr="00AA1EF7">
        <w:rPr>
          <w:rFonts w:ascii="Times New Roman" w:eastAsia="Calibri" w:hAnsi="Times New Roman" w:cs="Times New Roman"/>
          <w:color w:val="000000" w:themeColor="text1"/>
        </w:rPr>
        <w:t>d</w:t>
      </w:r>
      <w:r w:rsidR="00F84FAF" w:rsidRPr="00AA1EF7">
        <w:rPr>
          <w:rFonts w:ascii="Times New Roman" w:eastAsia="Calibri" w:hAnsi="Times New Roman" w:cs="Times New Roman"/>
          <w:color w:val="000000" w:themeColor="text1"/>
        </w:rPr>
        <w:t xml:space="preserve"> (p&lt;0.05) during prolonged exposure of 6-10years compared with &lt;1year of exposure while TSH show no significant difference between of duration of exposure to </w:t>
      </w:r>
      <w:r w:rsidR="00F84FAF" w:rsidRPr="00AA1EF7">
        <w:rPr>
          <w:rFonts w:ascii="Times New Roman" w:hAnsi="Times New Roman" w:cs="Times New Roman"/>
          <w:color w:val="000000" w:themeColor="text1"/>
        </w:rPr>
        <w:t xml:space="preserve">High Voltage Overhead Power Line </w:t>
      </w:r>
      <w:r w:rsidR="00F84FAF" w:rsidRPr="00AA1EF7">
        <w:rPr>
          <w:rFonts w:ascii="Times New Roman" w:eastAsia="Calibri" w:hAnsi="Times New Roman" w:cs="Times New Roman"/>
          <w:color w:val="000000" w:themeColor="text1"/>
        </w:rPr>
        <w:t xml:space="preserve">(p&gt;0.05). </w:t>
      </w:r>
    </w:p>
    <w:p w14:paraId="781007B7" w14:textId="77777777" w:rsidR="00F84FAF"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b/>
          <w:color w:val="000000" w:themeColor="text1"/>
        </w:rPr>
        <w:t>Table 4</w:t>
      </w:r>
      <w:r w:rsidR="00F84FAF" w:rsidRPr="00AA1EF7">
        <w:rPr>
          <w:rFonts w:ascii="Times New Roman" w:eastAsia="Calibri" w:hAnsi="Times New Roman" w:cs="Times New Roman"/>
          <w:color w:val="000000" w:themeColor="text1"/>
        </w:rPr>
        <w:t xml:space="preserve"> shows the levels of thyroid stimulating (TSH) and free thyroxine (FT4) among gender exposed to </w:t>
      </w:r>
      <w:r w:rsidR="00F84FAF" w:rsidRPr="00AA1EF7">
        <w:rPr>
          <w:rFonts w:ascii="Times New Roman" w:hAnsi="Times New Roman" w:cs="Times New Roman"/>
          <w:color w:val="000000" w:themeColor="text1"/>
        </w:rPr>
        <w:t>High Voltage Overhead Power Line</w:t>
      </w:r>
      <w:r w:rsidR="00F84FAF" w:rsidRPr="00AA1EF7">
        <w:rPr>
          <w:rFonts w:ascii="Times New Roman" w:eastAsia="Calibri" w:hAnsi="Times New Roman" w:cs="Times New Roman"/>
          <w:color w:val="000000" w:themeColor="text1"/>
        </w:rPr>
        <w:t>. It was observed that the levels of TSH and FT4 w</w:t>
      </w:r>
      <w:r w:rsidR="009D0862" w:rsidRPr="00AA1EF7">
        <w:rPr>
          <w:rFonts w:ascii="Times New Roman" w:eastAsia="Calibri" w:hAnsi="Times New Roman" w:cs="Times New Roman"/>
          <w:color w:val="000000" w:themeColor="text1"/>
        </w:rPr>
        <w:t>ere not significantly different</w:t>
      </w:r>
      <w:r w:rsidR="00F84FAF" w:rsidRPr="00AA1EF7">
        <w:rPr>
          <w:rFonts w:ascii="Times New Roman" w:eastAsia="Calibri" w:hAnsi="Times New Roman" w:cs="Times New Roman"/>
          <w:color w:val="000000" w:themeColor="text1"/>
        </w:rPr>
        <w:t xml:space="preserve"> (p&gt;0.05) among gender. </w:t>
      </w:r>
    </w:p>
    <w:p w14:paraId="1A04EAA6" w14:textId="77777777" w:rsidR="00F84FAF" w:rsidRPr="00AA1EF7" w:rsidRDefault="00F84FAF" w:rsidP="00AA1EF7">
      <w:pPr>
        <w:autoSpaceDE w:val="0"/>
        <w:autoSpaceDN w:val="0"/>
        <w:adjustRightInd w:val="0"/>
        <w:spacing w:line="360" w:lineRule="auto"/>
        <w:jc w:val="both"/>
        <w:rPr>
          <w:rFonts w:ascii="Times New Roman" w:hAnsi="Times New Roman" w:cs="Times New Roman"/>
          <w:color w:val="000000" w:themeColor="text1"/>
        </w:rPr>
      </w:pPr>
    </w:p>
    <w:p w14:paraId="49AA9CD3"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314F1F2C"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436BB0A1"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1563DB92"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32EB23AA" w14:textId="77777777" w:rsidR="009D0862" w:rsidRPr="00AA1EF7" w:rsidRDefault="009D0862" w:rsidP="00AA1EF7">
      <w:pPr>
        <w:autoSpaceDE w:val="0"/>
        <w:autoSpaceDN w:val="0"/>
        <w:adjustRightInd w:val="0"/>
        <w:spacing w:line="360" w:lineRule="auto"/>
        <w:jc w:val="both"/>
        <w:rPr>
          <w:rFonts w:ascii="Times New Roman" w:hAnsi="Times New Roman" w:cs="Times New Roman"/>
          <w:color w:val="000000" w:themeColor="text1"/>
        </w:rPr>
      </w:pPr>
    </w:p>
    <w:p w14:paraId="01C4105F" w14:textId="77777777" w:rsidR="00F84FAF" w:rsidRPr="00AA1EF7" w:rsidRDefault="009D0862"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Table 1: Level of Thyroid Stimulating Hormone and Free Thyroxine Among </w:t>
      </w:r>
      <w:proofErr w:type="spellStart"/>
      <w:r w:rsidRPr="00AA1EF7">
        <w:rPr>
          <w:rFonts w:ascii="Times New Roman" w:eastAsia="Calibri" w:hAnsi="Times New Roman" w:cs="Times New Roman"/>
          <w:color w:val="000000" w:themeColor="text1"/>
        </w:rPr>
        <w:t>Overhigh</w:t>
      </w:r>
      <w:proofErr w:type="spellEnd"/>
      <w:r w:rsidRPr="00AA1EF7">
        <w:rPr>
          <w:rFonts w:ascii="Times New Roman" w:eastAsia="Calibri" w:hAnsi="Times New Roman" w:cs="Times New Roman"/>
          <w:color w:val="000000" w:themeColor="text1"/>
        </w:rPr>
        <w:t xml:space="preserve"> Tension Wire Exposed and Unexposed Subjects</w:t>
      </w:r>
    </w:p>
    <w:tbl>
      <w:tblPr>
        <w:tblStyle w:val="Style1"/>
        <w:tblW w:w="9909" w:type="dxa"/>
        <w:tblInd w:w="135" w:type="dxa"/>
        <w:tblLayout w:type="fixed"/>
        <w:tblLook w:val="04A0" w:firstRow="1" w:lastRow="0" w:firstColumn="1" w:lastColumn="0" w:noHBand="0" w:noVBand="1"/>
      </w:tblPr>
      <w:tblGrid>
        <w:gridCol w:w="1649"/>
        <w:gridCol w:w="2275"/>
        <w:gridCol w:w="947"/>
        <w:gridCol w:w="946"/>
        <w:gridCol w:w="1364"/>
        <w:gridCol w:w="1364"/>
        <w:gridCol w:w="1364"/>
      </w:tblGrid>
      <w:tr w:rsidR="00AA1EF7" w:rsidRPr="00AA1EF7" w14:paraId="419D9B73" w14:textId="77777777" w:rsidTr="00A15AF2">
        <w:trPr>
          <w:cnfStyle w:val="100000000000" w:firstRow="1" w:lastRow="0" w:firstColumn="0" w:lastColumn="0" w:oddVBand="0" w:evenVBand="0" w:oddHBand="0" w:evenHBand="0" w:firstRowFirstColumn="0" w:firstRowLastColumn="0" w:lastRowFirstColumn="0" w:lastRowLastColumn="0"/>
          <w:trHeight w:val="663"/>
        </w:trPr>
        <w:tc>
          <w:tcPr>
            <w:tcW w:w="1649" w:type="dxa"/>
            <w:tcBorders>
              <w:top w:val="single" w:sz="12" w:space="0" w:color="008000"/>
              <w:left w:val="nil"/>
              <w:bottom w:val="nil"/>
              <w:right w:val="nil"/>
            </w:tcBorders>
          </w:tcPr>
          <w:p w14:paraId="59B4B74B"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Parameters</w:t>
            </w:r>
          </w:p>
        </w:tc>
        <w:tc>
          <w:tcPr>
            <w:tcW w:w="2275" w:type="dxa"/>
            <w:tcBorders>
              <w:top w:val="single" w:sz="12" w:space="0" w:color="008000"/>
              <w:left w:val="nil"/>
              <w:bottom w:val="nil"/>
              <w:right w:val="nil"/>
            </w:tcBorders>
          </w:tcPr>
          <w:p w14:paraId="04E8AD9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Study Group</w:t>
            </w:r>
          </w:p>
        </w:tc>
        <w:tc>
          <w:tcPr>
            <w:tcW w:w="947" w:type="dxa"/>
            <w:tcBorders>
              <w:top w:val="single" w:sz="12" w:space="0" w:color="008000"/>
              <w:left w:val="nil"/>
              <w:bottom w:val="nil"/>
              <w:right w:val="nil"/>
            </w:tcBorders>
          </w:tcPr>
          <w:p w14:paraId="6D582F3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w:t>
            </w:r>
          </w:p>
        </w:tc>
        <w:tc>
          <w:tcPr>
            <w:tcW w:w="946" w:type="dxa"/>
            <w:tcBorders>
              <w:top w:val="single" w:sz="12" w:space="0" w:color="008000"/>
              <w:left w:val="nil"/>
              <w:bottom w:val="nil"/>
              <w:right w:val="nil"/>
            </w:tcBorders>
          </w:tcPr>
          <w:p w14:paraId="6B17C4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1364" w:type="dxa"/>
            <w:tcBorders>
              <w:top w:val="single" w:sz="12" w:space="0" w:color="008000"/>
              <w:left w:val="nil"/>
              <w:bottom w:val="nil"/>
              <w:right w:val="nil"/>
            </w:tcBorders>
          </w:tcPr>
          <w:p w14:paraId="09D33CF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 Mean</w:t>
            </w:r>
          </w:p>
        </w:tc>
        <w:tc>
          <w:tcPr>
            <w:tcW w:w="1364" w:type="dxa"/>
            <w:tcBorders>
              <w:top w:val="single" w:sz="12" w:space="0" w:color="008000"/>
              <w:left w:val="nil"/>
              <w:bottom w:val="nil"/>
              <w:right w:val="nil"/>
            </w:tcBorders>
          </w:tcPr>
          <w:p w14:paraId="07D63B4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T-value</w:t>
            </w:r>
          </w:p>
        </w:tc>
        <w:tc>
          <w:tcPr>
            <w:tcW w:w="1364" w:type="dxa"/>
            <w:tcBorders>
              <w:top w:val="single" w:sz="12" w:space="0" w:color="008000"/>
              <w:left w:val="nil"/>
              <w:bottom w:val="nil"/>
              <w:right w:val="nil"/>
            </w:tcBorders>
          </w:tcPr>
          <w:p w14:paraId="40ACD61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0956536C" w14:textId="77777777" w:rsidTr="00A15AF2">
        <w:trPr>
          <w:trHeight w:val="331"/>
        </w:trPr>
        <w:tc>
          <w:tcPr>
            <w:tcW w:w="1649" w:type="dxa"/>
            <w:vMerge w:val="restart"/>
            <w:tcBorders>
              <w:top w:val="nil"/>
              <w:left w:val="nil"/>
              <w:bottom w:val="nil"/>
              <w:right w:val="nil"/>
            </w:tcBorders>
          </w:tcPr>
          <w:p w14:paraId="566170F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proofErr w:type="gramStart"/>
            <w:r w:rsidRPr="00AA1EF7">
              <w:rPr>
                <w:rFonts w:ascii="Times New Roman" w:eastAsia="Calibri" w:hAnsi="Times New Roman" w:cs="Times New Roman"/>
                <w:color w:val="000000" w:themeColor="text1"/>
                <w:lang w:val="en-US"/>
              </w:rPr>
              <w:t>TSH(</w:t>
            </w:r>
            <w:proofErr w:type="gramEnd"/>
            <w:r w:rsidRPr="00AA1EF7">
              <w:rPr>
                <w:rFonts w:ascii="Times New Roman" w:eastAsia="Calibri" w:hAnsi="Times New Roman" w:cs="Times New Roman"/>
                <w:color w:val="000000" w:themeColor="text1"/>
                <w:lang w:val="en-US"/>
              </w:rPr>
              <w:t>µIU/ml</w:t>
            </w:r>
          </w:p>
        </w:tc>
        <w:tc>
          <w:tcPr>
            <w:tcW w:w="2275" w:type="dxa"/>
            <w:tcBorders>
              <w:top w:val="nil"/>
              <w:left w:val="nil"/>
              <w:bottom w:val="nil"/>
              <w:right w:val="nil"/>
            </w:tcBorders>
          </w:tcPr>
          <w:p w14:paraId="73381DBB"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4AD972E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1319544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1.66</w:t>
            </w:r>
          </w:p>
        </w:tc>
        <w:tc>
          <w:tcPr>
            <w:tcW w:w="1364" w:type="dxa"/>
            <w:tcBorders>
              <w:top w:val="nil"/>
              <w:left w:val="nil"/>
              <w:bottom w:val="nil"/>
              <w:right w:val="nil"/>
            </w:tcBorders>
          </w:tcPr>
          <w:p w14:paraId="4DC3955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364" w:type="dxa"/>
            <w:vMerge w:val="restart"/>
            <w:tcBorders>
              <w:top w:val="nil"/>
              <w:left w:val="nil"/>
              <w:bottom w:val="nil"/>
              <w:right w:val="nil"/>
            </w:tcBorders>
          </w:tcPr>
          <w:p w14:paraId="6344169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0.895</w:t>
            </w:r>
          </w:p>
        </w:tc>
        <w:tc>
          <w:tcPr>
            <w:tcW w:w="1364" w:type="dxa"/>
            <w:vMerge w:val="restart"/>
            <w:tcBorders>
              <w:top w:val="nil"/>
              <w:left w:val="nil"/>
              <w:bottom w:val="nil"/>
              <w:right w:val="nil"/>
            </w:tcBorders>
          </w:tcPr>
          <w:p w14:paraId="4624B5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0.373</w:t>
            </w:r>
          </w:p>
        </w:tc>
      </w:tr>
      <w:tr w:rsidR="00AA1EF7" w:rsidRPr="00AA1EF7" w14:paraId="3238CA1A" w14:textId="77777777" w:rsidTr="00A15AF2">
        <w:trPr>
          <w:trHeight w:val="331"/>
        </w:trPr>
        <w:tc>
          <w:tcPr>
            <w:tcW w:w="1649" w:type="dxa"/>
            <w:vMerge/>
            <w:tcBorders>
              <w:top w:val="nil"/>
              <w:left w:val="nil"/>
              <w:bottom w:val="nil"/>
              <w:right w:val="nil"/>
            </w:tcBorders>
            <w:vAlign w:val="center"/>
          </w:tcPr>
          <w:p w14:paraId="4FCAFE3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nil"/>
              <w:right w:val="nil"/>
            </w:tcBorders>
          </w:tcPr>
          <w:p w14:paraId="3988909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nil"/>
              <w:right w:val="nil"/>
            </w:tcBorders>
          </w:tcPr>
          <w:p w14:paraId="471F4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nil"/>
              <w:right w:val="nil"/>
            </w:tcBorders>
          </w:tcPr>
          <w:p w14:paraId="1520AD22"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1.45</w:t>
            </w:r>
          </w:p>
        </w:tc>
        <w:tc>
          <w:tcPr>
            <w:tcW w:w="1364" w:type="dxa"/>
            <w:tcBorders>
              <w:top w:val="nil"/>
              <w:left w:val="nil"/>
              <w:bottom w:val="nil"/>
              <w:right w:val="nil"/>
            </w:tcBorders>
          </w:tcPr>
          <w:p w14:paraId="219EBED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0.16</w:t>
            </w:r>
          </w:p>
        </w:tc>
        <w:tc>
          <w:tcPr>
            <w:tcW w:w="1364" w:type="dxa"/>
            <w:vMerge/>
            <w:tcBorders>
              <w:top w:val="nil"/>
              <w:left w:val="nil"/>
              <w:bottom w:val="nil"/>
              <w:right w:val="nil"/>
            </w:tcBorders>
            <w:vAlign w:val="center"/>
          </w:tcPr>
          <w:p w14:paraId="620B9DC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2B2036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CC67F3E" w14:textId="77777777" w:rsidTr="00A15AF2">
        <w:trPr>
          <w:trHeight w:val="331"/>
        </w:trPr>
        <w:tc>
          <w:tcPr>
            <w:tcW w:w="1649" w:type="dxa"/>
            <w:vMerge w:val="restart"/>
            <w:tcBorders>
              <w:top w:val="nil"/>
              <w:left w:val="nil"/>
              <w:bottom w:val="nil"/>
              <w:right w:val="nil"/>
            </w:tcBorders>
          </w:tcPr>
          <w:p w14:paraId="47AE18E4"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FT4(</w:t>
            </w:r>
            <w:proofErr w:type="spellStart"/>
            <w:r w:rsidRPr="00AA1EF7">
              <w:rPr>
                <w:rFonts w:ascii="Times New Roman" w:eastAsia="Calibri" w:hAnsi="Times New Roman" w:cs="Times New Roman"/>
                <w:color w:val="000000" w:themeColor="text1"/>
                <w:lang w:val="en-US"/>
              </w:rPr>
              <w:t>pmol</w:t>
            </w:r>
            <w:proofErr w:type="spellEnd"/>
            <w:r w:rsidRPr="00AA1EF7">
              <w:rPr>
                <w:rFonts w:ascii="Times New Roman" w:eastAsia="Calibri" w:hAnsi="Times New Roman" w:cs="Times New Roman"/>
                <w:color w:val="000000" w:themeColor="text1"/>
                <w:lang w:val="en-US"/>
              </w:rPr>
              <w:t>/L)</w:t>
            </w:r>
          </w:p>
        </w:tc>
        <w:tc>
          <w:tcPr>
            <w:tcW w:w="2275" w:type="dxa"/>
            <w:tcBorders>
              <w:top w:val="nil"/>
              <w:left w:val="nil"/>
              <w:bottom w:val="nil"/>
              <w:right w:val="nil"/>
            </w:tcBorders>
          </w:tcPr>
          <w:p w14:paraId="7CFDCDAC"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Exposed To EMF</w:t>
            </w:r>
          </w:p>
        </w:tc>
        <w:tc>
          <w:tcPr>
            <w:tcW w:w="947" w:type="dxa"/>
            <w:tcBorders>
              <w:top w:val="nil"/>
              <w:left w:val="nil"/>
              <w:bottom w:val="nil"/>
              <w:right w:val="nil"/>
            </w:tcBorders>
          </w:tcPr>
          <w:p w14:paraId="2FC8407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50</w:t>
            </w:r>
          </w:p>
        </w:tc>
        <w:tc>
          <w:tcPr>
            <w:tcW w:w="946" w:type="dxa"/>
            <w:tcBorders>
              <w:top w:val="nil"/>
              <w:left w:val="nil"/>
              <w:bottom w:val="nil"/>
              <w:right w:val="nil"/>
            </w:tcBorders>
          </w:tcPr>
          <w:p w14:paraId="305CD36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15.97</w:t>
            </w:r>
          </w:p>
        </w:tc>
        <w:tc>
          <w:tcPr>
            <w:tcW w:w="1364" w:type="dxa"/>
            <w:tcBorders>
              <w:top w:val="nil"/>
              <w:left w:val="nil"/>
              <w:bottom w:val="nil"/>
              <w:right w:val="nil"/>
            </w:tcBorders>
          </w:tcPr>
          <w:p w14:paraId="742680D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0.31</w:t>
            </w:r>
          </w:p>
        </w:tc>
        <w:tc>
          <w:tcPr>
            <w:tcW w:w="1364" w:type="dxa"/>
            <w:vMerge w:val="restart"/>
            <w:tcBorders>
              <w:top w:val="nil"/>
              <w:left w:val="nil"/>
              <w:bottom w:val="nil"/>
              <w:right w:val="nil"/>
            </w:tcBorders>
          </w:tcPr>
          <w:p w14:paraId="042985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1.549</w:t>
            </w:r>
          </w:p>
        </w:tc>
        <w:tc>
          <w:tcPr>
            <w:tcW w:w="1364" w:type="dxa"/>
            <w:vMerge w:val="restart"/>
            <w:tcBorders>
              <w:top w:val="nil"/>
              <w:left w:val="nil"/>
              <w:bottom w:val="nil"/>
              <w:right w:val="nil"/>
            </w:tcBorders>
          </w:tcPr>
          <w:p w14:paraId="4804D75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0.126</w:t>
            </w:r>
          </w:p>
        </w:tc>
      </w:tr>
      <w:tr w:rsidR="00AA1EF7" w:rsidRPr="00AA1EF7" w14:paraId="4BC1C8BE" w14:textId="77777777" w:rsidTr="00A15AF2">
        <w:trPr>
          <w:trHeight w:val="331"/>
        </w:trPr>
        <w:tc>
          <w:tcPr>
            <w:tcW w:w="1649" w:type="dxa"/>
            <w:vMerge/>
            <w:tcBorders>
              <w:top w:val="nil"/>
              <w:left w:val="nil"/>
              <w:bottom w:val="nil"/>
              <w:right w:val="nil"/>
            </w:tcBorders>
            <w:vAlign w:val="center"/>
          </w:tcPr>
          <w:p w14:paraId="660C6EC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2275" w:type="dxa"/>
            <w:tcBorders>
              <w:top w:val="nil"/>
              <w:left w:val="nil"/>
              <w:bottom w:val="single" w:sz="12" w:space="0" w:color="008000"/>
              <w:right w:val="nil"/>
            </w:tcBorders>
          </w:tcPr>
          <w:p w14:paraId="0602888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Unexposed To EMF</w:t>
            </w:r>
          </w:p>
        </w:tc>
        <w:tc>
          <w:tcPr>
            <w:tcW w:w="947" w:type="dxa"/>
            <w:tcBorders>
              <w:top w:val="nil"/>
              <w:left w:val="nil"/>
              <w:bottom w:val="single" w:sz="12" w:space="0" w:color="008000"/>
              <w:right w:val="nil"/>
            </w:tcBorders>
          </w:tcPr>
          <w:p w14:paraId="2A3BB04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30</w:t>
            </w:r>
          </w:p>
        </w:tc>
        <w:tc>
          <w:tcPr>
            <w:tcW w:w="946" w:type="dxa"/>
            <w:tcBorders>
              <w:top w:val="nil"/>
              <w:left w:val="nil"/>
              <w:bottom w:val="single" w:sz="12" w:space="0" w:color="008000"/>
              <w:right w:val="nil"/>
            </w:tcBorders>
          </w:tcPr>
          <w:p w14:paraId="4EE57CF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15.26</w:t>
            </w:r>
          </w:p>
        </w:tc>
        <w:tc>
          <w:tcPr>
            <w:tcW w:w="1364" w:type="dxa"/>
            <w:tcBorders>
              <w:top w:val="nil"/>
              <w:left w:val="nil"/>
              <w:bottom w:val="single" w:sz="12" w:space="0" w:color="008000"/>
              <w:right w:val="nil"/>
            </w:tcBorders>
          </w:tcPr>
          <w:p w14:paraId="54F7D0E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364" w:type="dxa"/>
            <w:vMerge/>
            <w:tcBorders>
              <w:top w:val="nil"/>
              <w:left w:val="nil"/>
              <w:bottom w:val="nil"/>
              <w:right w:val="nil"/>
            </w:tcBorders>
            <w:vAlign w:val="center"/>
          </w:tcPr>
          <w:p w14:paraId="4216A24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364" w:type="dxa"/>
            <w:vMerge/>
            <w:tcBorders>
              <w:top w:val="nil"/>
              <w:left w:val="nil"/>
              <w:bottom w:val="nil"/>
              <w:right w:val="nil"/>
            </w:tcBorders>
            <w:vAlign w:val="center"/>
          </w:tcPr>
          <w:p w14:paraId="795BA47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643EF491" w14:textId="77777777" w:rsidR="00F84FAF" w:rsidRPr="00AA1EF7" w:rsidRDefault="009D0862"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*Statistically significant at </w:t>
      </w:r>
      <w:r w:rsidR="00F84FAF" w:rsidRPr="00AA1EF7">
        <w:rPr>
          <w:rFonts w:ascii="Times New Roman" w:eastAsia="Calibri" w:hAnsi="Times New Roman" w:cs="Times New Roman"/>
          <w:color w:val="000000" w:themeColor="text1"/>
        </w:rPr>
        <w:t>P</w:t>
      </w:r>
      <w:r w:rsidRPr="00AA1EF7">
        <w:rPr>
          <w:rFonts w:ascii="Times New Roman" w:eastAsia="Calibri" w:hAnsi="Times New Roman" w:cs="Times New Roman"/>
          <w:color w:val="000000" w:themeColor="text1"/>
        </w:rPr>
        <w:t>&lt;0.05</w:t>
      </w:r>
      <w:r w:rsidR="00F84FAF" w:rsidRPr="00AA1EF7">
        <w:rPr>
          <w:rFonts w:ascii="Times New Roman" w:eastAsia="Calibri" w:hAnsi="Times New Roman" w:cs="Times New Roman"/>
          <w:color w:val="000000" w:themeColor="text1"/>
        </w:rPr>
        <w:t>, EMF- Electromagnetic wave gen</w:t>
      </w:r>
      <w:r w:rsidR="002E3950" w:rsidRPr="00AA1EF7">
        <w:rPr>
          <w:rFonts w:ascii="Times New Roman" w:eastAsia="Calibri" w:hAnsi="Times New Roman" w:cs="Times New Roman"/>
          <w:color w:val="000000" w:themeColor="text1"/>
        </w:rPr>
        <w:t xml:space="preserve">erated by overhead </w:t>
      </w:r>
      <w:proofErr w:type="gramStart"/>
      <w:r w:rsidR="002E3950" w:rsidRPr="00AA1EF7">
        <w:rPr>
          <w:rFonts w:ascii="Times New Roman" w:eastAsia="Calibri" w:hAnsi="Times New Roman" w:cs="Times New Roman"/>
          <w:color w:val="000000" w:themeColor="text1"/>
        </w:rPr>
        <w:t>high tension</w:t>
      </w:r>
      <w:proofErr w:type="gramEnd"/>
      <w:r w:rsidR="00F84FAF" w:rsidRPr="00AA1EF7">
        <w:rPr>
          <w:rFonts w:ascii="Times New Roman" w:eastAsia="Calibri" w:hAnsi="Times New Roman" w:cs="Times New Roman"/>
          <w:color w:val="000000" w:themeColor="text1"/>
        </w:rPr>
        <w:t xml:space="preserve"> electric </w:t>
      </w:r>
      <w:proofErr w:type="gramStart"/>
      <w:r w:rsidR="00F84FAF" w:rsidRPr="00AA1EF7">
        <w:rPr>
          <w:rFonts w:ascii="Times New Roman" w:eastAsia="Calibri" w:hAnsi="Times New Roman" w:cs="Times New Roman"/>
          <w:color w:val="000000" w:themeColor="text1"/>
        </w:rPr>
        <w:t xml:space="preserve">wire,   </w:t>
      </w:r>
      <w:proofErr w:type="gramEnd"/>
      <w:r w:rsidR="00F84FAF" w:rsidRPr="00AA1EF7">
        <w:rPr>
          <w:rFonts w:ascii="Times New Roman" w:eastAsia="Calibri" w:hAnsi="Times New Roman" w:cs="Times New Roman"/>
          <w:color w:val="000000" w:themeColor="text1"/>
        </w:rPr>
        <w:t>TSH-Thyroid stimulating hormone, FT4- Free thyroxin</w:t>
      </w:r>
      <w:r w:rsidRPr="00AA1EF7">
        <w:rPr>
          <w:rFonts w:ascii="Times New Roman" w:eastAsia="Calibri" w:hAnsi="Times New Roman" w:cs="Times New Roman"/>
          <w:color w:val="000000" w:themeColor="text1"/>
        </w:rPr>
        <w:t>e.</w:t>
      </w:r>
    </w:p>
    <w:p w14:paraId="5E394CD2"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5744EE94" w14:textId="77777777" w:rsidR="00F84FAF" w:rsidRPr="00AA1EF7" w:rsidRDefault="002E3950"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Table 2: Level of Thyroid Stimulating Hormone and Free Thyroxine Among Male and Female Study Group</w:t>
      </w:r>
    </w:p>
    <w:tbl>
      <w:tblPr>
        <w:tblStyle w:val="TableGrid"/>
        <w:tblW w:w="9900" w:type="dxa"/>
        <w:tblInd w:w="135" w:type="dxa"/>
        <w:tblLayout w:type="fixed"/>
        <w:tblLook w:val="04A0" w:firstRow="1" w:lastRow="0" w:firstColumn="1" w:lastColumn="0" w:noHBand="0" w:noVBand="1"/>
      </w:tblPr>
      <w:tblGrid>
        <w:gridCol w:w="1647"/>
        <w:gridCol w:w="2273"/>
        <w:gridCol w:w="946"/>
        <w:gridCol w:w="945"/>
        <w:gridCol w:w="1363"/>
        <w:gridCol w:w="1363"/>
        <w:gridCol w:w="1363"/>
      </w:tblGrid>
      <w:tr w:rsidR="00AA1EF7" w:rsidRPr="00AA1EF7" w14:paraId="53F6C1F7" w14:textId="77777777" w:rsidTr="00A15AF2">
        <w:trPr>
          <w:trHeight w:val="518"/>
        </w:trPr>
        <w:tc>
          <w:tcPr>
            <w:tcW w:w="1647" w:type="dxa"/>
            <w:tcBorders>
              <w:top w:val="single" w:sz="4" w:space="0" w:color="auto"/>
              <w:left w:val="single" w:sz="4" w:space="0" w:color="auto"/>
              <w:bottom w:val="single" w:sz="4" w:space="0" w:color="auto"/>
              <w:right w:val="single" w:sz="4" w:space="0" w:color="auto"/>
            </w:tcBorders>
          </w:tcPr>
          <w:p w14:paraId="0A8178E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Parameters</w:t>
            </w:r>
          </w:p>
        </w:tc>
        <w:tc>
          <w:tcPr>
            <w:tcW w:w="2273" w:type="dxa"/>
            <w:tcBorders>
              <w:top w:val="single" w:sz="4" w:space="0" w:color="auto"/>
              <w:left w:val="single" w:sz="4" w:space="0" w:color="auto"/>
              <w:bottom w:val="single" w:sz="4" w:space="0" w:color="auto"/>
              <w:right w:val="single" w:sz="4" w:space="0" w:color="auto"/>
            </w:tcBorders>
          </w:tcPr>
          <w:p w14:paraId="24075D21"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Study Group</w:t>
            </w:r>
          </w:p>
        </w:tc>
        <w:tc>
          <w:tcPr>
            <w:tcW w:w="946" w:type="dxa"/>
            <w:tcBorders>
              <w:top w:val="single" w:sz="4" w:space="0" w:color="auto"/>
              <w:left w:val="single" w:sz="4" w:space="0" w:color="auto"/>
              <w:bottom w:val="single" w:sz="4" w:space="0" w:color="auto"/>
              <w:right w:val="single" w:sz="4" w:space="0" w:color="auto"/>
            </w:tcBorders>
          </w:tcPr>
          <w:p w14:paraId="498C8B7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Number</w:t>
            </w:r>
          </w:p>
        </w:tc>
        <w:tc>
          <w:tcPr>
            <w:tcW w:w="945" w:type="dxa"/>
            <w:tcBorders>
              <w:top w:val="single" w:sz="4" w:space="0" w:color="auto"/>
              <w:left w:val="single" w:sz="4" w:space="0" w:color="auto"/>
              <w:bottom w:val="single" w:sz="4" w:space="0" w:color="auto"/>
              <w:right w:val="single" w:sz="4" w:space="0" w:color="auto"/>
            </w:tcBorders>
          </w:tcPr>
          <w:p w14:paraId="2FCF0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Mean</w:t>
            </w:r>
          </w:p>
        </w:tc>
        <w:tc>
          <w:tcPr>
            <w:tcW w:w="1363" w:type="dxa"/>
            <w:tcBorders>
              <w:top w:val="single" w:sz="4" w:space="0" w:color="auto"/>
              <w:left w:val="single" w:sz="4" w:space="0" w:color="auto"/>
              <w:bottom w:val="single" w:sz="4" w:space="0" w:color="auto"/>
              <w:right w:val="single" w:sz="4" w:space="0" w:color="auto"/>
            </w:tcBorders>
          </w:tcPr>
          <w:p w14:paraId="34E036F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Std. Error Mean</w:t>
            </w:r>
          </w:p>
        </w:tc>
        <w:tc>
          <w:tcPr>
            <w:tcW w:w="1363" w:type="dxa"/>
            <w:tcBorders>
              <w:top w:val="single" w:sz="4" w:space="0" w:color="auto"/>
              <w:left w:val="single" w:sz="4" w:space="0" w:color="auto"/>
              <w:bottom w:val="single" w:sz="4" w:space="0" w:color="auto"/>
              <w:right w:val="single" w:sz="4" w:space="0" w:color="auto"/>
            </w:tcBorders>
          </w:tcPr>
          <w:p w14:paraId="18AA9A6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T-value</w:t>
            </w:r>
          </w:p>
        </w:tc>
        <w:tc>
          <w:tcPr>
            <w:tcW w:w="1363" w:type="dxa"/>
            <w:tcBorders>
              <w:top w:val="single" w:sz="4" w:space="0" w:color="auto"/>
              <w:left w:val="single" w:sz="4" w:space="0" w:color="auto"/>
              <w:bottom w:val="single" w:sz="4" w:space="0" w:color="auto"/>
              <w:right w:val="single" w:sz="4" w:space="0" w:color="auto"/>
            </w:tcBorders>
          </w:tcPr>
          <w:p w14:paraId="63F1F2A6"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P-value</w:t>
            </w:r>
          </w:p>
        </w:tc>
      </w:tr>
      <w:tr w:rsidR="00AA1EF7" w:rsidRPr="00AA1EF7" w14:paraId="503329F8"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3C7BFDA4"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TSH (µIU/ml</w:t>
            </w:r>
          </w:p>
        </w:tc>
        <w:tc>
          <w:tcPr>
            <w:tcW w:w="2273" w:type="dxa"/>
            <w:tcBorders>
              <w:top w:val="single" w:sz="4" w:space="0" w:color="auto"/>
              <w:left w:val="single" w:sz="4" w:space="0" w:color="auto"/>
              <w:bottom w:val="single" w:sz="4" w:space="0" w:color="auto"/>
              <w:right w:val="single" w:sz="4" w:space="0" w:color="auto"/>
            </w:tcBorders>
          </w:tcPr>
          <w:p w14:paraId="7BBE5F68"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515F0906"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45EA08E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1.38</w:t>
            </w:r>
          </w:p>
        </w:tc>
        <w:tc>
          <w:tcPr>
            <w:tcW w:w="1363" w:type="dxa"/>
            <w:tcBorders>
              <w:top w:val="single" w:sz="4" w:space="0" w:color="auto"/>
              <w:left w:val="single" w:sz="4" w:space="0" w:color="auto"/>
              <w:bottom w:val="single" w:sz="4" w:space="0" w:color="auto"/>
              <w:right w:val="single" w:sz="4" w:space="0" w:color="auto"/>
            </w:tcBorders>
          </w:tcPr>
          <w:p w14:paraId="3E64DBC4"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0.13</w:t>
            </w:r>
          </w:p>
        </w:tc>
        <w:tc>
          <w:tcPr>
            <w:tcW w:w="1363" w:type="dxa"/>
            <w:vMerge w:val="restart"/>
            <w:tcBorders>
              <w:top w:val="nil"/>
              <w:left w:val="single" w:sz="4" w:space="0" w:color="auto"/>
              <w:bottom w:val="single" w:sz="4" w:space="0" w:color="auto"/>
              <w:right w:val="single" w:sz="4" w:space="0" w:color="auto"/>
            </w:tcBorders>
          </w:tcPr>
          <w:p w14:paraId="3E4FB11D"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-0.971</w:t>
            </w:r>
          </w:p>
        </w:tc>
        <w:tc>
          <w:tcPr>
            <w:tcW w:w="1363" w:type="dxa"/>
            <w:vMerge w:val="restart"/>
            <w:tcBorders>
              <w:top w:val="nil"/>
              <w:left w:val="single" w:sz="4" w:space="0" w:color="auto"/>
              <w:bottom w:val="single" w:sz="4" w:space="0" w:color="auto"/>
              <w:right w:val="single" w:sz="4" w:space="0" w:color="auto"/>
            </w:tcBorders>
          </w:tcPr>
          <w:p w14:paraId="124A87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0.335</w:t>
            </w:r>
          </w:p>
        </w:tc>
      </w:tr>
      <w:tr w:rsidR="00AA1EF7" w:rsidRPr="00AA1EF7" w14:paraId="6E666477"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5DDDDC4"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3B919DC4"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5C5E41D1"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270FD20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1.64</w:t>
            </w:r>
          </w:p>
        </w:tc>
        <w:tc>
          <w:tcPr>
            <w:tcW w:w="1363" w:type="dxa"/>
            <w:tcBorders>
              <w:top w:val="single" w:sz="4" w:space="0" w:color="auto"/>
              <w:left w:val="single" w:sz="4" w:space="0" w:color="auto"/>
              <w:bottom w:val="single" w:sz="4" w:space="0" w:color="auto"/>
              <w:right w:val="single" w:sz="4" w:space="0" w:color="auto"/>
            </w:tcBorders>
          </w:tcPr>
          <w:p w14:paraId="24FA48D7"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0.14</w:t>
            </w:r>
          </w:p>
        </w:tc>
        <w:tc>
          <w:tcPr>
            <w:tcW w:w="1363" w:type="dxa"/>
            <w:vMerge/>
            <w:tcBorders>
              <w:top w:val="nil"/>
              <w:left w:val="single" w:sz="4" w:space="0" w:color="auto"/>
              <w:bottom w:val="single" w:sz="4" w:space="0" w:color="auto"/>
              <w:right w:val="single" w:sz="4" w:space="0" w:color="auto"/>
            </w:tcBorders>
            <w:vAlign w:val="center"/>
          </w:tcPr>
          <w:p w14:paraId="30C92D35"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30D82093" w14:textId="77777777" w:rsidR="00F84FAF" w:rsidRPr="00AA1EF7" w:rsidRDefault="00F84FAF" w:rsidP="00AA1EF7">
            <w:pPr>
              <w:spacing w:line="360" w:lineRule="auto"/>
              <w:jc w:val="both"/>
              <w:rPr>
                <w:rFonts w:eastAsia="Calibri"/>
                <w:color w:val="000000" w:themeColor="text1"/>
                <w:kern w:val="0"/>
                <w:lang w:val="en-US"/>
              </w:rPr>
            </w:pPr>
          </w:p>
        </w:tc>
      </w:tr>
      <w:tr w:rsidR="00AA1EF7" w:rsidRPr="00AA1EF7" w14:paraId="45A15165" w14:textId="77777777" w:rsidTr="00A15AF2">
        <w:trPr>
          <w:trHeight w:val="313"/>
        </w:trPr>
        <w:tc>
          <w:tcPr>
            <w:tcW w:w="1647" w:type="dxa"/>
            <w:vMerge w:val="restart"/>
            <w:tcBorders>
              <w:top w:val="nil"/>
              <w:left w:val="single" w:sz="4" w:space="0" w:color="auto"/>
              <w:bottom w:val="single" w:sz="4" w:space="0" w:color="auto"/>
              <w:right w:val="single" w:sz="4" w:space="0" w:color="auto"/>
            </w:tcBorders>
          </w:tcPr>
          <w:p w14:paraId="69292ADB"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FT4 (</w:t>
            </w:r>
            <w:proofErr w:type="spellStart"/>
            <w:r w:rsidRPr="00AA1EF7">
              <w:rPr>
                <w:rFonts w:eastAsia="Calibri"/>
                <w:color w:val="000000" w:themeColor="text1"/>
                <w:kern w:val="0"/>
                <w:lang w:val="en-US"/>
              </w:rPr>
              <w:t>pmol</w:t>
            </w:r>
            <w:proofErr w:type="spellEnd"/>
            <w:r w:rsidRPr="00AA1EF7">
              <w:rPr>
                <w:rFonts w:eastAsia="Calibri"/>
                <w:color w:val="000000" w:themeColor="text1"/>
                <w:kern w:val="0"/>
                <w:lang w:val="en-US"/>
              </w:rPr>
              <w:t>/L)</w:t>
            </w:r>
          </w:p>
        </w:tc>
        <w:tc>
          <w:tcPr>
            <w:tcW w:w="2273" w:type="dxa"/>
            <w:tcBorders>
              <w:top w:val="single" w:sz="4" w:space="0" w:color="auto"/>
              <w:left w:val="single" w:sz="4" w:space="0" w:color="auto"/>
              <w:bottom w:val="single" w:sz="4" w:space="0" w:color="auto"/>
              <w:right w:val="single" w:sz="4" w:space="0" w:color="auto"/>
            </w:tcBorders>
          </w:tcPr>
          <w:p w14:paraId="6B5DF6B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FEMALE</w:t>
            </w:r>
          </w:p>
        </w:tc>
        <w:tc>
          <w:tcPr>
            <w:tcW w:w="946" w:type="dxa"/>
            <w:tcBorders>
              <w:top w:val="single" w:sz="4" w:space="0" w:color="auto"/>
              <w:left w:val="single" w:sz="4" w:space="0" w:color="auto"/>
              <w:bottom w:val="single" w:sz="4" w:space="0" w:color="auto"/>
              <w:right w:val="single" w:sz="4" w:space="0" w:color="auto"/>
            </w:tcBorders>
          </w:tcPr>
          <w:p w14:paraId="0ECDA3B2"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18</w:t>
            </w:r>
          </w:p>
        </w:tc>
        <w:tc>
          <w:tcPr>
            <w:tcW w:w="945" w:type="dxa"/>
            <w:tcBorders>
              <w:top w:val="single" w:sz="4" w:space="0" w:color="auto"/>
              <w:left w:val="single" w:sz="4" w:space="0" w:color="auto"/>
              <w:bottom w:val="single" w:sz="4" w:space="0" w:color="auto"/>
              <w:right w:val="single" w:sz="4" w:space="0" w:color="auto"/>
            </w:tcBorders>
          </w:tcPr>
          <w:p w14:paraId="020D8A8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14.92</w:t>
            </w:r>
          </w:p>
        </w:tc>
        <w:tc>
          <w:tcPr>
            <w:tcW w:w="1363" w:type="dxa"/>
            <w:tcBorders>
              <w:top w:val="single" w:sz="4" w:space="0" w:color="auto"/>
              <w:left w:val="single" w:sz="4" w:space="0" w:color="auto"/>
              <w:bottom w:val="single" w:sz="4" w:space="0" w:color="auto"/>
              <w:right w:val="single" w:sz="4" w:space="0" w:color="auto"/>
            </w:tcBorders>
          </w:tcPr>
          <w:p w14:paraId="5C89277A"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0.65</w:t>
            </w:r>
          </w:p>
        </w:tc>
        <w:tc>
          <w:tcPr>
            <w:tcW w:w="1363" w:type="dxa"/>
            <w:vMerge w:val="restart"/>
            <w:tcBorders>
              <w:top w:val="nil"/>
              <w:left w:val="single" w:sz="4" w:space="0" w:color="auto"/>
              <w:bottom w:val="single" w:sz="4" w:space="0" w:color="auto"/>
              <w:right w:val="single" w:sz="4" w:space="0" w:color="auto"/>
            </w:tcBorders>
          </w:tcPr>
          <w:p w14:paraId="14BC4E83"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-1.490</w:t>
            </w:r>
          </w:p>
        </w:tc>
        <w:tc>
          <w:tcPr>
            <w:tcW w:w="1363" w:type="dxa"/>
            <w:vMerge w:val="restart"/>
            <w:tcBorders>
              <w:top w:val="nil"/>
              <w:left w:val="single" w:sz="4" w:space="0" w:color="auto"/>
              <w:bottom w:val="single" w:sz="4" w:space="0" w:color="auto"/>
              <w:right w:val="single" w:sz="4" w:space="0" w:color="auto"/>
            </w:tcBorders>
          </w:tcPr>
          <w:p w14:paraId="171CC43F" w14:textId="77777777" w:rsidR="00F84FAF" w:rsidRPr="00AA1EF7" w:rsidRDefault="00F84FAF" w:rsidP="00AA1EF7">
            <w:pPr>
              <w:autoSpaceDE w:val="0"/>
              <w:autoSpaceDN w:val="0"/>
              <w:adjustRightInd w:val="0"/>
              <w:spacing w:line="360" w:lineRule="auto"/>
              <w:jc w:val="both"/>
              <w:rPr>
                <w:rFonts w:eastAsia="Calibri"/>
                <w:color w:val="000000" w:themeColor="text1"/>
                <w:kern w:val="0"/>
                <w:lang w:val="en-US"/>
              </w:rPr>
            </w:pPr>
            <w:r w:rsidRPr="00AA1EF7">
              <w:rPr>
                <w:rFonts w:eastAsia="Calibri"/>
                <w:color w:val="000000" w:themeColor="text1"/>
                <w:kern w:val="0"/>
                <w:lang w:val="en-US"/>
              </w:rPr>
              <w:t>0.151</w:t>
            </w:r>
          </w:p>
        </w:tc>
      </w:tr>
      <w:tr w:rsidR="00AA1EF7" w:rsidRPr="00AA1EF7" w14:paraId="6AEDBD9A" w14:textId="77777777" w:rsidTr="00A15AF2">
        <w:trPr>
          <w:trHeight w:val="322"/>
        </w:trPr>
        <w:tc>
          <w:tcPr>
            <w:tcW w:w="1647" w:type="dxa"/>
            <w:vMerge/>
            <w:tcBorders>
              <w:top w:val="nil"/>
              <w:left w:val="single" w:sz="4" w:space="0" w:color="auto"/>
              <w:bottom w:val="single" w:sz="4" w:space="0" w:color="auto"/>
              <w:right w:val="single" w:sz="4" w:space="0" w:color="auto"/>
            </w:tcBorders>
            <w:vAlign w:val="center"/>
          </w:tcPr>
          <w:p w14:paraId="58BC657C" w14:textId="77777777" w:rsidR="00F84FAF" w:rsidRPr="00AA1EF7" w:rsidRDefault="00F84FAF" w:rsidP="00AA1EF7">
            <w:pPr>
              <w:spacing w:line="360" w:lineRule="auto"/>
              <w:jc w:val="both"/>
              <w:rPr>
                <w:rFonts w:eastAsia="Calibri"/>
                <w:color w:val="000000" w:themeColor="text1"/>
                <w:kern w:val="0"/>
                <w:lang w:val="en-US"/>
              </w:rPr>
            </w:pPr>
          </w:p>
        </w:tc>
        <w:tc>
          <w:tcPr>
            <w:tcW w:w="2273" w:type="dxa"/>
            <w:tcBorders>
              <w:top w:val="single" w:sz="4" w:space="0" w:color="auto"/>
              <w:left w:val="single" w:sz="4" w:space="0" w:color="auto"/>
              <w:bottom w:val="single" w:sz="4" w:space="0" w:color="auto"/>
              <w:right w:val="single" w:sz="4" w:space="0" w:color="auto"/>
            </w:tcBorders>
          </w:tcPr>
          <w:p w14:paraId="4E8E1F10" w14:textId="77777777" w:rsidR="00F84FAF" w:rsidRPr="00AA1EF7" w:rsidRDefault="00F84FAF" w:rsidP="00AA1EF7">
            <w:pPr>
              <w:autoSpaceDE w:val="0"/>
              <w:autoSpaceDN w:val="0"/>
              <w:adjustRightInd w:val="0"/>
              <w:spacing w:line="360" w:lineRule="auto"/>
              <w:ind w:right="60"/>
              <w:jc w:val="both"/>
              <w:rPr>
                <w:rFonts w:eastAsia="Calibri"/>
                <w:color w:val="000000" w:themeColor="text1"/>
                <w:kern w:val="0"/>
                <w:lang w:val="en-US"/>
              </w:rPr>
            </w:pPr>
            <w:r w:rsidRPr="00AA1EF7">
              <w:rPr>
                <w:rFonts w:eastAsia="Calibri"/>
                <w:color w:val="000000" w:themeColor="text1"/>
                <w:kern w:val="0"/>
                <w:lang w:val="en-US"/>
              </w:rPr>
              <w:t>MALE</w:t>
            </w:r>
          </w:p>
        </w:tc>
        <w:tc>
          <w:tcPr>
            <w:tcW w:w="946" w:type="dxa"/>
            <w:tcBorders>
              <w:top w:val="single" w:sz="4" w:space="0" w:color="auto"/>
              <w:left w:val="single" w:sz="4" w:space="0" w:color="auto"/>
              <w:bottom w:val="single" w:sz="4" w:space="0" w:color="auto"/>
              <w:right w:val="single" w:sz="4" w:space="0" w:color="auto"/>
            </w:tcBorders>
          </w:tcPr>
          <w:p w14:paraId="3D4A7A8F"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62</w:t>
            </w:r>
          </w:p>
        </w:tc>
        <w:tc>
          <w:tcPr>
            <w:tcW w:w="945" w:type="dxa"/>
            <w:tcBorders>
              <w:top w:val="single" w:sz="4" w:space="0" w:color="auto"/>
              <w:left w:val="single" w:sz="4" w:space="0" w:color="auto"/>
              <w:bottom w:val="single" w:sz="4" w:space="0" w:color="auto"/>
              <w:right w:val="single" w:sz="4" w:space="0" w:color="auto"/>
            </w:tcBorders>
          </w:tcPr>
          <w:p w14:paraId="6D4CA04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15.94</w:t>
            </w:r>
          </w:p>
        </w:tc>
        <w:tc>
          <w:tcPr>
            <w:tcW w:w="1363" w:type="dxa"/>
            <w:tcBorders>
              <w:top w:val="single" w:sz="4" w:space="0" w:color="auto"/>
              <w:left w:val="single" w:sz="4" w:space="0" w:color="auto"/>
              <w:bottom w:val="single" w:sz="4" w:space="0" w:color="auto"/>
              <w:right w:val="single" w:sz="4" w:space="0" w:color="auto"/>
            </w:tcBorders>
          </w:tcPr>
          <w:p w14:paraId="2FAEC0CE" w14:textId="77777777" w:rsidR="00F84FAF" w:rsidRPr="00AA1EF7" w:rsidRDefault="00F84FAF" w:rsidP="00AA1EF7">
            <w:pPr>
              <w:autoSpaceDE w:val="0"/>
              <w:autoSpaceDN w:val="0"/>
              <w:adjustRightInd w:val="0"/>
              <w:spacing w:line="360" w:lineRule="auto"/>
              <w:ind w:left="60" w:right="60"/>
              <w:jc w:val="both"/>
              <w:rPr>
                <w:rFonts w:eastAsia="Calibri"/>
                <w:color w:val="000000" w:themeColor="text1"/>
                <w:kern w:val="0"/>
                <w:lang w:val="en-US"/>
              </w:rPr>
            </w:pPr>
            <w:r w:rsidRPr="00AA1EF7">
              <w:rPr>
                <w:rFonts w:eastAsia="Calibri"/>
                <w:color w:val="000000" w:themeColor="text1"/>
                <w:kern w:val="0"/>
                <w:lang w:val="en-US"/>
              </w:rPr>
              <w:t>0.25</w:t>
            </w:r>
          </w:p>
        </w:tc>
        <w:tc>
          <w:tcPr>
            <w:tcW w:w="1363" w:type="dxa"/>
            <w:vMerge/>
            <w:tcBorders>
              <w:top w:val="nil"/>
              <w:left w:val="single" w:sz="4" w:space="0" w:color="auto"/>
              <w:bottom w:val="single" w:sz="4" w:space="0" w:color="auto"/>
              <w:right w:val="single" w:sz="4" w:space="0" w:color="auto"/>
            </w:tcBorders>
            <w:vAlign w:val="center"/>
          </w:tcPr>
          <w:p w14:paraId="5E276B09" w14:textId="77777777" w:rsidR="00F84FAF" w:rsidRPr="00AA1EF7" w:rsidRDefault="00F84FAF" w:rsidP="00AA1EF7">
            <w:pPr>
              <w:spacing w:line="360" w:lineRule="auto"/>
              <w:jc w:val="both"/>
              <w:rPr>
                <w:rFonts w:eastAsia="Calibri"/>
                <w:color w:val="000000" w:themeColor="text1"/>
                <w:kern w:val="0"/>
                <w:lang w:val="en-US"/>
              </w:rPr>
            </w:pPr>
          </w:p>
        </w:tc>
        <w:tc>
          <w:tcPr>
            <w:tcW w:w="1363" w:type="dxa"/>
            <w:vMerge/>
            <w:tcBorders>
              <w:top w:val="nil"/>
              <w:left w:val="single" w:sz="4" w:space="0" w:color="auto"/>
              <w:bottom w:val="single" w:sz="4" w:space="0" w:color="auto"/>
              <w:right w:val="single" w:sz="4" w:space="0" w:color="auto"/>
            </w:tcBorders>
            <w:vAlign w:val="center"/>
          </w:tcPr>
          <w:p w14:paraId="29422E0F" w14:textId="77777777" w:rsidR="00F84FAF" w:rsidRPr="00AA1EF7" w:rsidRDefault="00F84FAF" w:rsidP="00AA1EF7">
            <w:pPr>
              <w:spacing w:line="360" w:lineRule="auto"/>
              <w:jc w:val="both"/>
              <w:rPr>
                <w:rFonts w:eastAsia="Calibri"/>
                <w:color w:val="000000" w:themeColor="text1"/>
                <w:kern w:val="0"/>
                <w:lang w:val="en-US"/>
              </w:rPr>
            </w:pPr>
          </w:p>
        </w:tc>
      </w:tr>
    </w:tbl>
    <w:p w14:paraId="3D8FBA13" w14:textId="77777777" w:rsidR="00F84FAF" w:rsidRPr="00AA1EF7"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p>
    <w:p w14:paraId="4DE251EE" w14:textId="77777777" w:rsidR="00F84FAF" w:rsidRPr="00AA1EF7" w:rsidRDefault="002E3950"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F84FAF" w:rsidRPr="00AA1EF7">
        <w:rPr>
          <w:rFonts w:ascii="Times New Roman" w:eastAsia="Calibri" w:hAnsi="Times New Roman" w:cs="Times New Roman"/>
          <w:color w:val="000000" w:themeColor="text1"/>
        </w:rPr>
        <w:t xml:space="preserve">, EMF- Electromagnetic wave generated by overhead </w:t>
      </w:r>
      <w:proofErr w:type="gramStart"/>
      <w:r w:rsidR="00F84FAF" w:rsidRPr="00AA1EF7">
        <w:rPr>
          <w:rFonts w:ascii="Times New Roman" w:eastAsia="Calibri" w:hAnsi="Times New Roman" w:cs="Times New Roman"/>
          <w:color w:val="000000" w:themeColor="text1"/>
        </w:rPr>
        <w:t xml:space="preserve">high </w:t>
      </w:r>
      <w:r w:rsidR="005F03B4" w:rsidRPr="00AA1EF7">
        <w:rPr>
          <w:rFonts w:ascii="Times New Roman" w:eastAsia="Calibri" w:hAnsi="Times New Roman" w:cs="Times New Roman"/>
          <w:color w:val="000000" w:themeColor="text1"/>
        </w:rPr>
        <w:t>tension</w:t>
      </w:r>
      <w:proofErr w:type="gramEnd"/>
      <w:r w:rsidR="005F03B4" w:rsidRPr="00AA1EF7">
        <w:rPr>
          <w:rFonts w:ascii="Times New Roman" w:eastAsia="Calibri" w:hAnsi="Times New Roman" w:cs="Times New Roman"/>
          <w:color w:val="000000" w:themeColor="text1"/>
        </w:rPr>
        <w:t xml:space="preserve"> electric</w:t>
      </w:r>
      <w:r w:rsidR="00F84FAF" w:rsidRPr="00AA1EF7">
        <w:rPr>
          <w:rFonts w:ascii="Times New Roman" w:eastAsia="Calibri" w:hAnsi="Times New Roman" w:cs="Times New Roman"/>
          <w:color w:val="000000" w:themeColor="text1"/>
        </w:rPr>
        <w:t xml:space="preserve"> </w:t>
      </w:r>
      <w:r w:rsidR="005F03B4" w:rsidRPr="00AA1EF7">
        <w:rPr>
          <w:rFonts w:ascii="Times New Roman" w:eastAsia="Calibri" w:hAnsi="Times New Roman" w:cs="Times New Roman"/>
          <w:color w:val="000000" w:themeColor="text1"/>
        </w:rPr>
        <w:t>wire, TSH</w:t>
      </w:r>
      <w:r w:rsidR="00F84FAF" w:rsidRPr="00AA1EF7">
        <w:rPr>
          <w:rFonts w:ascii="Times New Roman" w:eastAsia="Calibri" w:hAnsi="Times New Roman" w:cs="Times New Roman"/>
          <w:color w:val="000000" w:themeColor="text1"/>
        </w:rPr>
        <w:t>-Thyroid stimulating hormone, FT4- Free thyroxine</w:t>
      </w:r>
    </w:p>
    <w:p w14:paraId="7E6DE7EE"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596798CF"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765E2712" w14:textId="77777777" w:rsidR="00F84FAF" w:rsidRPr="00AA1EF7" w:rsidRDefault="00F84FAF" w:rsidP="00AA1EF7">
      <w:pPr>
        <w:spacing w:line="360" w:lineRule="auto"/>
        <w:jc w:val="both"/>
        <w:rPr>
          <w:rFonts w:ascii="Times New Roman" w:eastAsia="Calibri" w:hAnsi="Times New Roman" w:cs="Times New Roman"/>
          <w:color w:val="000000" w:themeColor="text1"/>
        </w:rPr>
      </w:pPr>
    </w:p>
    <w:p w14:paraId="150DD0A2" w14:textId="77777777" w:rsidR="00F84FAF" w:rsidRPr="00AA1EF7" w:rsidRDefault="00F84FAF"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w:t>
      </w:r>
      <w:r w:rsidR="00511A11" w:rsidRPr="00AA1EF7">
        <w:rPr>
          <w:rFonts w:ascii="Times New Roman" w:eastAsia="Calibri" w:hAnsi="Times New Roman" w:cs="Times New Roman"/>
          <w:color w:val="000000" w:themeColor="text1"/>
        </w:rPr>
        <w:t xml:space="preserve">3: </w:t>
      </w:r>
      <w:r w:rsidR="002D2145" w:rsidRPr="00AA1EF7">
        <w:rPr>
          <w:rFonts w:ascii="Times New Roman" w:eastAsia="Calibri" w:hAnsi="Times New Roman" w:cs="Times New Roman"/>
          <w:color w:val="000000" w:themeColor="text1"/>
        </w:rPr>
        <w:t>Level of Thyroid Stimulating Hormone and Free Thyroxine Among Duration of Exposure Exposed Subjects</w:t>
      </w:r>
    </w:p>
    <w:tbl>
      <w:tblPr>
        <w:tblStyle w:val="Style1"/>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240"/>
        <w:gridCol w:w="993"/>
        <w:gridCol w:w="909"/>
        <w:gridCol w:w="993"/>
        <w:gridCol w:w="1076"/>
        <w:gridCol w:w="1076"/>
        <w:gridCol w:w="1076"/>
        <w:gridCol w:w="917"/>
      </w:tblGrid>
      <w:tr w:rsidR="00AA1EF7" w:rsidRPr="00AA1EF7" w14:paraId="58C9CA73" w14:textId="77777777" w:rsidTr="00A15AF2">
        <w:trPr>
          <w:cnfStyle w:val="100000000000" w:firstRow="1" w:lastRow="0" w:firstColumn="0" w:lastColumn="0" w:oddVBand="0" w:evenVBand="0" w:oddHBand="0" w:evenHBand="0" w:firstRowFirstColumn="0" w:firstRowLastColumn="0" w:lastRowFirstColumn="0" w:lastRowLastColumn="0"/>
          <w:trHeight w:val="319"/>
        </w:trPr>
        <w:tc>
          <w:tcPr>
            <w:tcW w:w="2293" w:type="dxa"/>
            <w:gridSpan w:val="2"/>
            <w:vMerge w:val="restart"/>
          </w:tcPr>
          <w:p w14:paraId="4E098A54"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hAnsi="Times New Roman" w:cs="Times New Roman"/>
                <w:color w:val="000000" w:themeColor="text1"/>
                <w:lang w:val="en-US"/>
              </w:rPr>
              <w:lastRenderedPageBreak/>
              <w:t xml:space="preserve"> </w:t>
            </w:r>
            <w:r w:rsidRPr="00AA1EF7">
              <w:rPr>
                <w:rFonts w:ascii="Times New Roman" w:eastAsia="Calibri" w:hAnsi="Times New Roman" w:cs="Times New Roman"/>
                <w:color w:val="000000" w:themeColor="text1"/>
                <w:lang w:val="en-US"/>
              </w:rPr>
              <w:t xml:space="preserve">    Parameters</w:t>
            </w:r>
          </w:p>
        </w:tc>
        <w:tc>
          <w:tcPr>
            <w:tcW w:w="993" w:type="dxa"/>
            <w:vMerge w:val="restart"/>
          </w:tcPr>
          <w:p w14:paraId="5F0C8A3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Number</w:t>
            </w:r>
          </w:p>
        </w:tc>
        <w:tc>
          <w:tcPr>
            <w:tcW w:w="909" w:type="dxa"/>
            <w:vMerge w:val="restart"/>
          </w:tcPr>
          <w:p w14:paraId="7F1E2CD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Mean</w:t>
            </w:r>
          </w:p>
        </w:tc>
        <w:tc>
          <w:tcPr>
            <w:tcW w:w="993" w:type="dxa"/>
            <w:vMerge w:val="restart"/>
          </w:tcPr>
          <w:p w14:paraId="43AA8F3E"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Std. Error</w:t>
            </w:r>
          </w:p>
        </w:tc>
        <w:tc>
          <w:tcPr>
            <w:tcW w:w="2152" w:type="dxa"/>
            <w:gridSpan w:val="2"/>
          </w:tcPr>
          <w:p w14:paraId="0146094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Range</w:t>
            </w:r>
          </w:p>
        </w:tc>
        <w:tc>
          <w:tcPr>
            <w:tcW w:w="1993" w:type="dxa"/>
            <w:gridSpan w:val="2"/>
          </w:tcPr>
          <w:p w14:paraId="76DEB4C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Statistics</w:t>
            </w:r>
          </w:p>
        </w:tc>
      </w:tr>
      <w:tr w:rsidR="00AA1EF7" w:rsidRPr="00AA1EF7" w14:paraId="5B14B5CF" w14:textId="77777777" w:rsidTr="00A15AF2">
        <w:trPr>
          <w:trHeight w:val="348"/>
        </w:trPr>
        <w:tc>
          <w:tcPr>
            <w:tcW w:w="2293" w:type="dxa"/>
            <w:gridSpan w:val="2"/>
            <w:vMerge/>
            <w:vAlign w:val="center"/>
          </w:tcPr>
          <w:p w14:paraId="50687DE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53B32F3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09" w:type="dxa"/>
            <w:vMerge/>
            <w:vAlign w:val="center"/>
          </w:tcPr>
          <w:p w14:paraId="1C26DCB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93" w:type="dxa"/>
            <w:vMerge/>
            <w:vAlign w:val="center"/>
          </w:tcPr>
          <w:p w14:paraId="19EF52B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076" w:type="dxa"/>
          </w:tcPr>
          <w:p w14:paraId="0D4533B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Minimum</w:t>
            </w:r>
          </w:p>
        </w:tc>
        <w:tc>
          <w:tcPr>
            <w:tcW w:w="1076" w:type="dxa"/>
          </w:tcPr>
          <w:p w14:paraId="32DCAE6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Maximum</w:t>
            </w:r>
          </w:p>
        </w:tc>
        <w:tc>
          <w:tcPr>
            <w:tcW w:w="1076" w:type="dxa"/>
          </w:tcPr>
          <w:p w14:paraId="571C23A6"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F-value</w:t>
            </w:r>
          </w:p>
        </w:tc>
        <w:tc>
          <w:tcPr>
            <w:tcW w:w="917" w:type="dxa"/>
          </w:tcPr>
          <w:p w14:paraId="6D907CE8" w14:textId="77777777" w:rsidR="00F84FAF" w:rsidRPr="00AA1EF7" w:rsidRDefault="00F84FAF" w:rsidP="00AA1EF7">
            <w:pPr>
              <w:autoSpaceDE w:val="0"/>
              <w:autoSpaceDN w:val="0"/>
              <w:adjustRightInd w:val="0"/>
              <w:spacing w:line="360" w:lineRule="auto"/>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P-value</w:t>
            </w:r>
          </w:p>
        </w:tc>
      </w:tr>
      <w:tr w:rsidR="00AA1EF7" w:rsidRPr="00AA1EF7" w14:paraId="301E063F" w14:textId="77777777" w:rsidTr="00A15AF2">
        <w:trPr>
          <w:trHeight w:val="319"/>
        </w:trPr>
        <w:tc>
          <w:tcPr>
            <w:tcW w:w="1053" w:type="dxa"/>
            <w:vMerge w:val="restart"/>
          </w:tcPr>
          <w:p w14:paraId="448FA4D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TSH</w:t>
            </w:r>
          </w:p>
          <w:p w14:paraId="55B36907"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(µIU/ml</w:t>
            </w:r>
          </w:p>
        </w:tc>
        <w:tc>
          <w:tcPr>
            <w:tcW w:w="1240" w:type="dxa"/>
          </w:tcPr>
          <w:p w14:paraId="5ED10FBA"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155538C7"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016FD47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r w:rsidRPr="00AA1EF7">
              <w:rPr>
                <w:rFonts w:ascii="Times New Roman" w:eastAsia="Calibri" w:hAnsi="Times New Roman" w:cs="Times New Roman"/>
                <w:color w:val="000000" w:themeColor="text1"/>
                <w:vertAlign w:val="superscript"/>
                <w:lang w:val="en-US"/>
              </w:rPr>
              <w:t>a</w:t>
            </w:r>
          </w:p>
        </w:tc>
        <w:tc>
          <w:tcPr>
            <w:tcW w:w="993" w:type="dxa"/>
          </w:tcPr>
          <w:p w14:paraId="3A37304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076" w:type="dxa"/>
          </w:tcPr>
          <w:p w14:paraId="7243D31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0.73</w:t>
            </w:r>
          </w:p>
        </w:tc>
        <w:tc>
          <w:tcPr>
            <w:tcW w:w="1076" w:type="dxa"/>
          </w:tcPr>
          <w:p w14:paraId="2F06AA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2.33</w:t>
            </w:r>
          </w:p>
        </w:tc>
        <w:tc>
          <w:tcPr>
            <w:tcW w:w="1076" w:type="dxa"/>
            <w:vMerge w:val="restart"/>
          </w:tcPr>
          <w:p w14:paraId="2DD21A1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0.347</w:t>
            </w:r>
          </w:p>
        </w:tc>
        <w:tc>
          <w:tcPr>
            <w:tcW w:w="917" w:type="dxa"/>
            <w:vMerge w:val="restart"/>
          </w:tcPr>
          <w:p w14:paraId="703EB12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0.792</w:t>
            </w:r>
          </w:p>
        </w:tc>
      </w:tr>
      <w:tr w:rsidR="00AA1EF7" w:rsidRPr="00AA1EF7" w14:paraId="58CAEFEE" w14:textId="77777777" w:rsidTr="00A15AF2">
        <w:trPr>
          <w:trHeight w:val="319"/>
        </w:trPr>
        <w:tc>
          <w:tcPr>
            <w:tcW w:w="1053" w:type="dxa"/>
            <w:vMerge/>
            <w:vAlign w:val="center"/>
          </w:tcPr>
          <w:p w14:paraId="0AE26ED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2BC2DA5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6D3E0F5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00DF8C7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1.70</w:t>
            </w:r>
            <w:r w:rsidRPr="00AA1EF7">
              <w:rPr>
                <w:rFonts w:ascii="Times New Roman" w:eastAsia="Calibri" w:hAnsi="Times New Roman" w:cs="Times New Roman"/>
                <w:color w:val="000000" w:themeColor="text1"/>
                <w:vertAlign w:val="superscript"/>
                <w:lang w:val="en-US"/>
              </w:rPr>
              <w:t>a</w:t>
            </w:r>
          </w:p>
        </w:tc>
        <w:tc>
          <w:tcPr>
            <w:tcW w:w="993" w:type="dxa"/>
          </w:tcPr>
          <w:p w14:paraId="1B1CA7D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0.19</w:t>
            </w:r>
          </w:p>
        </w:tc>
        <w:tc>
          <w:tcPr>
            <w:tcW w:w="1076" w:type="dxa"/>
          </w:tcPr>
          <w:p w14:paraId="355FD18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0.68</w:t>
            </w:r>
          </w:p>
        </w:tc>
        <w:tc>
          <w:tcPr>
            <w:tcW w:w="1076" w:type="dxa"/>
          </w:tcPr>
          <w:p w14:paraId="37F6E98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6.32</w:t>
            </w:r>
          </w:p>
        </w:tc>
        <w:tc>
          <w:tcPr>
            <w:tcW w:w="1076" w:type="dxa"/>
            <w:vMerge/>
            <w:vAlign w:val="center"/>
          </w:tcPr>
          <w:p w14:paraId="16698CF7"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6A51A24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FDF7EC7" w14:textId="77777777" w:rsidTr="00A15AF2">
        <w:trPr>
          <w:trHeight w:val="319"/>
        </w:trPr>
        <w:tc>
          <w:tcPr>
            <w:tcW w:w="1053" w:type="dxa"/>
            <w:vMerge/>
            <w:vAlign w:val="center"/>
          </w:tcPr>
          <w:p w14:paraId="7C63668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0C607C65"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6C90E93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E4F91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0.94</w:t>
            </w:r>
            <w:r w:rsidRPr="00AA1EF7">
              <w:rPr>
                <w:rFonts w:ascii="Times New Roman" w:eastAsia="Calibri" w:hAnsi="Times New Roman" w:cs="Times New Roman"/>
                <w:color w:val="000000" w:themeColor="text1"/>
                <w:vertAlign w:val="superscript"/>
                <w:lang w:val="en-US"/>
              </w:rPr>
              <w:t>a</w:t>
            </w:r>
          </w:p>
        </w:tc>
        <w:tc>
          <w:tcPr>
            <w:tcW w:w="993" w:type="dxa"/>
          </w:tcPr>
          <w:p w14:paraId="1D7FC15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0.15</w:t>
            </w:r>
          </w:p>
        </w:tc>
        <w:tc>
          <w:tcPr>
            <w:tcW w:w="1076" w:type="dxa"/>
          </w:tcPr>
          <w:p w14:paraId="4929B18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0.79</w:t>
            </w:r>
          </w:p>
        </w:tc>
        <w:tc>
          <w:tcPr>
            <w:tcW w:w="1076" w:type="dxa"/>
          </w:tcPr>
          <w:p w14:paraId="5F8B557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1.09</w:t>
            </w:r>
          </w:p>
        </w:tc>
        <w:tc>
          <w:tcPr>
            <w:tcW w:w="1076" w:type="dxa"/>
            <w:vMerge/>
            <w:vAlign w:val="center"/>
          </w:tcPr>
          <w:p w14:paraId="7F5B7C0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73B19CF6"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AEEEF1C" w14:textId="77777777" w:rsidTr="00A15AF2">
        <w:trPr>
          <w:trHeight w:val="319"/>
        </w:trPr>
        <w:tc>
          <w:tcPr>
            <w:tcW w:w="1053" w:type="dxa"/>
            <w:vMerge/>
            <w:vAlign w:val="center"/>
          </w:tcPr>
          <w:p w14:paraId="3C0F8A69"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3DAA3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47B7280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5886F1D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1.55</w:t>
            </w:r>
            <w:r w:rsidRPr="00AA1EF7">
              <w:rPr>
                <w:rFonts w:ascii="Times New Roman" w:eastAsia="Calibri" w:hAnsi="Times New Roman" w:cs="Times New Roman"/>
                <w:color w:val="000000" w:themeColor="text1"/>
                <w:vertAlign w:val="superscript"/>
                <w:lang w:val="en-US"/>
              </w:rPr>
              <w:t>a</w:t>
            </w:r>
          </w:p>
        </w:tc>
        <w:tc>
          <w:tcPr>
            <w:tcW w:w="993" w:type="dxa"/>
          </w:tcPr>
          <w:p w14:paraId="4BF90E3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0.36</w:t>
            </w:r>
          </w:p>
        </w:tc>
        <w:tc>
          <w:tcPr>
            <w:tcW w:w="1076" w:type="dxa"/>
          </w:tcPr>
          <w:p w14:paraId="2CA31B8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0864428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2.65</w:t>
            </w:r>
          </w:p>
        </w:tc>
        <w:tc>
          <w:tcPr>
            <w:tcW w:w="1076" w:type="dxa"/>
            <w:vMerge/>
            <w:vAlign w:val="center"/>
          </w:tcPr>
          <w:p w14:paraId="0958A37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882BF3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38F3A31F" w14:textId="77777777" w:rsidTr="00A15AF2">
        <w:trPr>
          <w:trHeight w:val="319"/>
        </w:trPr>
        <w:tc>
          <w:tcPr>
            <w:tcW w:w="1053" w:type="dxa"/>
            <w:vMerge w:val="restart"/>
          </w:tcPr>
          <w:p w14:paraId="7B57D33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FT4</w:t>
            </w:r>
          </w:p>
          <w:p w14:paraId="734FFC10"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w:t>
            </w:r>
            <w:proofErr w:type="spellStart"/>
            <w:r w:rsidRPr="00AA1EF7">
              <w:rPr>
                <w:rFonts w:ascii="Times New Roman" w:eastAsia="Calibri" w:hAnsi="Times New Roman" w:cs="Times New Roman"/>
                <w:color w:val="000000" w:themeColor="text1"/>
                <w:lang w:val="en-US"/>
              </w:rPr>
              <w:t>pmol</w:t>
            </w:r>
            <w:proofErr w:type="spellEnd"/>
            <w:r w:rsidRPr="00AA1EF7">
              <w:rPr>
                <w:rFonts w:ascii="Times New Roman" w:eastAsia="Calibri" w:hAnsi="Times New Roman" w:cs="Times New Roman"/>
                <w:color w:val="000000" w:themeColor="text1"/>
                <w:lang w:val="en-US"/>
              </w:rPr>
              <w:t>/L</w:t>
            </w:r>
          </w:p>
        </w:tc>
        <w:tc>
          <w:tcPr>
            <w:tcW w:w="1240" w:type="dxa"/>
          </w:tcPr>
          <w:p w14:paraId="5E85EC78"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&lt;1YRS</w:t>
            </w:r>
          </w:p>
        </w:tc>
        <w:tc>
          <w:tcPr>
            <w:tcW w:w="993" w:type="dxa"/>
          </w:tcPr>
          <w:p w14:paraId="52CD9EC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w:t>
            </w:r>
          </w:p>
        </w:tc>
        <w:tc>
          <w:tcPr>
            <w:tcW w:w="909" w:type="dxa"/>
          </w:tcPr>
          <w:p w14:paraId="3550C9F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13.93</w:t>
            </w:r>
            <w:r w:rsidRPr="00AA1EF7">
              <w:rPr>
                <w:rFonts w:ascii="Times New Roman" w:eastAsia="Calibri" w:hAnsi="Times New Roman" w:cs="Times New Roman"/>
                <w:color w:val="000000" w:themeColor="text1"/>
                <w:vertAlign w:val="superscript"/>
                <w:lang w:val="en-US"/>
              </w:rPr>
              <w:t>a</w:t>
            </w:r>
          </w:p>
        </w:tc>
        <w:tc>
          <w:tcPr>
            <w:tcW w:w="993" w:type="dxa"/>
          </w:tcPr>
          <w:p w14:paraId="7761509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1.56</w:t>
            </w:r>
          </w:p>
        </w:tc>
        <w:tc>
          <w:tcPr>
            <w:tcW w:w="1076" w:type="dxa"/>
          </w:tcPr>
          <w:p w14:paraId="6B5C8ED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7.92</w:t>
            </w:r>
          </w:p>
        </w:tc>
        <w:tc>
          <w:tcPr>
            <w:tcW w:w="1076" w:type="dxa"/>
          </w:tcPr>
          <w:p w14:paraId="58E17326"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17.93</w:t>
            </w:r>
          </w:p>
        </w:tc>
        <w:tc>
          <w:tcPr>
            <w:tcW w:w="1076" w:type="dxa"/>
            <w:vMerge w:val="restart"/>
          </w:tcPr>
          <w:p w14:paraId="5C0B61E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2.955</w:t>
            </w:r>
          </w:p>
        </w:tc>
        <w:tc>
          <w:tcPr>
            <w:tcW w:w="917" w:type="dxa"/>
            <w:vMerge w:val="restart"/>
          </w:tcPr>
          <w:p w14:paraId="3BB8BB3B"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0.042</w:t>
            </w:r>
            <w:r w:rsidR="002D2145" w:rsidRPr="00AA1EF7">
              <w:rPr>
                <w:rFonts w:ascii="Times New Roman" w:eastAsia="Calibri" w:hAnsi="Times New Roman" w:cs="Times New Roman"/>
                <w:color w:val="000000" w:themeColor="text1"/>
                <w:lang w:val="en-US"/>
              </w:rPr>
              <w:t>*</w:t>
            </w:r>
          </w:p>
        </w:tc>
      </w:tr>
      <w:tr w:rsidR="00AA1EF7" w:rsidRPr="00AA1EF7" w14:paraId="4D63D500" w14:textId="77777777" w:rsidTr="00A15AF2">
        <w:trPr>
          <w:trHeight w:val="319"/>
        </w:trPr>
        <w:tc>
          <w:tcPr>
            <w:tcW w:w="1053" w:type="dxa"/>
            <w:vMerge/>
            <w:vAlign w:val="center"/>
          </w:tcPr>
          <w:p w14:paraId="75C5AA2F"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1EC9AE"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1-5YRS</w:t>
            </w:r>
          </w:p>
        </w:tc>
        <w:tc>
          <w:tcPr>
            <w:tcW w:w="993" w:type="dxa"/>
          </w:tcPr>
          <w:p w14:paraId="272BF4C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37</w:t>
            </w:r>
          </w:p>
        </w:tc>
        <w:tc>
          <w:tcPr>
            <w:tcW w:w="909" w:type="dxa"/>
          </w:tcPr>
          <w:p w14:paraId="5C5929BD"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16.27</w:t>
            </w:r>
            <w:r w:rsidRPr="00AA1EF7">
              <w:rPr>
                <w:rFonts w:ascii="Times New Roman" w:eastAsia="Calibri" w:hAnsi="Times New Roman" w:cs="Times New Roman"/>
                <w:color w:val="000000" w:themeColor="text1"/>
                <w:vertAlign w:val="superscript"/>
                <w:lang w:val="en-US"/>
              </w:rPr>
              <w:t>ab</w:t>
            </w:r>
          </w:p>
        </w:tc>
        <w:tc>
          <w:tcPr>
            <w:tcW w:w="993" w:type="dxa"/>
          </w:tcPr>
          <w:p w14:paraId="63A31625"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0.30</w:t>
            </w:r>
          </w:p>
        </w:tc>
        <w:tc>
          <w:tcPr>
            <w:tcW w:w="1076" w:type="dxa"/>
          </w:tcPr>
          <w:p w14:paraId="02956528"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12.32</w:t>
            </w:r>
          </w:p>
        </w:tc>
        <w:tc>
          <w:tcPr>
            <w:tcW w:w="1076" w:type="dxa"/>
          </w:tcPr>
          <w:p w14:paraId="38566F9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20.68</w:t>
            </w:r>
          </w:p>
        </w:tc>
        <w:tc>
          <w:tcPr>
            <w:tcW w:w="1076" w:type="dxa"/>
            <w:vMerge/>
            <w:vAlign w:val="center"/>
          </w:tcPr>
          <w:p w14:paraId="6703FFAC"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1F745815"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1BE27765" w14:textId="77777777" w:rsidTr="00A15AF2">
        <w:trPr>
          <w:trHeight w:val="319"/>
        </w:trPr>
        <w:tc>
          <w:tcPr>
            <w:tcW w:w="1053" w:type="dxa"/>
            <w:vMerge/>
            <w:vAlign w:val="center"/>
          </w:tcPr>
          <w:p w14:paraId="09EF43C2"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3B072C63"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6-10YRS</w:t>
            </w:r>
          </w:p>
        </w:tc>
        <w:tc>
          <w:tcPr>
            <w:tcW w:w="993" w:type="dxa"/>
          </w:tcPr>
          <w:p w14:paraId="1D3EB3AC"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2</w:t>
            </w:r>
          </w:p>
        </w:tc>
        <w:tc>
          <w:tcPr>
            <w:tcW w:w="909" w:type="dxa"/>
          </w:tcPr>
          <w:p w14:paraId="097FA1EF"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18.11</w:t>
            </w:r>
            <w:r w:rsidRPr="00AA1EF7">
              <w:rPr>
                <w:rFonts w:ascii="Times New Roman" w:eastAsia="Calibri" w:hAnsi="Times New Roman" w:cs="Times New Roman"/>
                <w:color w:val="000000" w:themeColor="text1"/>
                <w:vertAlign w:val="superscript"/>
                <w:lang w:val="en-US"/>
              </w:rPr>
              <w:t>b</w:t>
            </w:r>
          </w:p>
        </w:tc>
        <w:tc>
          <w:tcPr>
            <w:tcW w:w="993" w:type="dxa"/>
          </w:tcPr>
          <w:p w14:paraId="0073F624"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0.29</w:t>
            </w:r>
          </w:p>
        </w:tc>
        <w:tc>
          <w:tcPr>
            <w:tcW w:w="1076" w:type="dxa"/>
          </w:tcPr>
          <w:p w14:paraId="7BB66BE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17.82</w:t>
            </w:r>
          </w:p>
        </w:tc>
        <w:tc>
          <w:tcPr>
            <w:tcW w:w="1076" w:type="dxa"/>
          </w:tcPr>
          <w:p w14:paraId="2056C9A0"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18.40</w:t>
            </w:r>
          </w:p>
        </w:tc>
        <w:tc>
          <w:tcPr>
            <w:tcW w:w="1076" w:type="dxa"/>
            <w:vMerge/>
            <w:vAlign w:val="center"/>
          </w:tcPr>
          <w:p w14:paraId="3C81C76E"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59CCABA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r w:rsidR="00AA1EF7" w:rsidRPr="00AA1EF7" w14:paraId="75F9C721" w14:textId="77777777" w:rsidTr="00A15AF2">
        <w:trPr>
          <w:trHeight w:val="319"/>
        </w:trPr>
        <w:tc>
          <w:tcPr>
            <w:tcW w:w="1053" w:type="dxa"/>
            <w:vMerge/>
            <w:vAlign w:val="center"/>
          </w:tcPr>
          <w:p w14:paraId="5A0B20FA"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1240" w:type="dxa"/>
          </w:tcPr>
          <w:p w14:paraId="77FCF501" w14:textId="77777777" w:rsidR="00F84FAF" w:rsidRPr="00AA1EF7" w:rsidRDefault="00F84FAF"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&gt;10YRS</w:t>
            </w:r>
          </w:p>
        </w:tc>
        <w:tc>
          <w:tcPr>
            <w:tcW w:w="993" w:type="dxa"/>
          </w:tcPr>
          <w:p w14:paraId="3E500D91"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5</w:t>
            </w:r>
          </w:p>
        </w:tc>
        <w:tc>
          <w:tcPr>
            <w:tcW w:w="909" w:type="dxa"/>
          </w:tcPr>
          <w:p w14:paraId="2025443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15.38</w:t>
            </w:r>
            <w:r w:rsidRPr="00AA1EF7">
              <w:rPr>
                <w:rFonts w:ascii="Times New Roman" w:eastAsia="Calibri" w:hAnsi="Times New Roman" w:cs="Times New Roman"/>
                <w:color w:val="000000" w:themeColor="text1"/>
                <w:vertAlign w:val="superscript"/>
                <w:lang w:val="en-US"/>
              </w:rPr>
              <w:t>ab</w:t>
            </w:r>
          </w:p>
        </w:tc>
        <w:tc>
          <w:tcPr>
            <w:tcW w:w="993" w:type="dxa"/>
          </w:tcPr>
          <w:p w14:paraId="50B722A9"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0.58</w:t>
            </w:r>
          </w:p>
        </w:tc>
        <w:tc>
          <w:tcPr>
            <w:tcW w:w="1076" w:type="dxa"/>
          </w:tcPr>
          <w:p w14:paraId="1CB99313"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14.19</w:t>
            </w:r>
          </w:p>
        </w:tc>
        <w:tc>
          <w:tcPr>
            <w:tcW w:w="1076" w:type="dxa"/>
          </w:tcPr>
          <w:p w14:paraId="164C060A" w14:textId="77777777" w:rsidR="00F84FAF" w:rsidRPr="00AA1EF7" w:rsidRDefault="00F84FAF"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17.49</w:t>
            </w:r>
          </w:p>
        </w:tc>
        <w:tc>
          <w:tcPr>
            <w:tcW w:w="1076" w:type="dxa"/>
            <w:vMerge/>
            <w:vAlign w:val="center"/>
          </w:tcPr>
          <w:p w14:paraId="7D9061B4"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c>
          <w:tcPr>
            <w:tcW w:w="917" w:type="dxa"/>
            <w:vMerge/>
            <w:vAlign w:val="center"/>
          </w:tcPr>
          <w:p w14:paraId="27013FD0" w14:textId="77777777" w:rsidR="00F84FAF" w:rsidRPr="00AA1EF7" w:rsidRDefault="00F84FAF" w:rsidP="00AA1EF7">
            <w:pPr>
              <w:spacing w:line="360" w:lineRule="auto"/>
              <w:jc w:val="both"/>
              <w:rPr>
                <w:rFonts w:ascii="Times New Roman" w:eastAsia="Calibri" w:hAnsi="Times New Roman" w:cs="Times New Roman"/>
                <w:color w:val="000000" w:themeColor="text1"/>
                <w:lang w:val="en-US"/>
              </w:rPr>
            </w:pPr>
          </w:p>
        </w:tc>
      </w:tr>
    </w:tbl>
    <w:p w14:paraId="0A594284" w14:textId="77777777" w:rsidR="00F84FAF" w:rsidRDefault="00F84FAF" w:rsidP="00AA1EF7">
      <w:pPr>
        <w:autoSpaceDE w:val="0"/>
        <w:autoSpaceDN w:val="0"/>
        <w:adjustRightInd w:val="0"/>
        <w:spacing w:after="0"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 xml:space="preserve"> </w:t>
      </w:r>
      <w:r w:rsidR="002D2145" w:rsidRPr="00AA1EF7">
        <w:rPr>
          <w:rFonts w:ascii="Times New Roman" w:eastAsia="Calibri" w:hAnsi="Times New Roman" w:cs="Times New Roman"/>
          <w:color w:val="000000" w:themeColor="text1"/>
        </w:rPr>
        <w:t>Mean values</w:t>
      </w:r>
      <w:r w:rsidRPr="00AA1EF7">
        <w:rPr>
          <w:rFonts w:ascii="Times New Roman" w:eastAsia="Calibri" w:hAnsi="Times New Roman" w:cs="Times New Roman"/>
          <w:color w:val="000000" w:themeColor="text1"/>
        </w:rPr>
        <w:t xml:space="preserve"> in column with same superscript are not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other(p&gt;0.05), Mean </w:t>
      </w:r>
      <w:proofErr w:type="gramStart"/>
      <w:r w:rsidRPr="00AA1EF7">
        <w:rPr>
          <w:rFonts w:ascii="Times New Roman" w:eastAsia="Calibri" w:hAnsi="Times New Roman" w:cs="Times New Roman"/>
          <w:color w:val="000000" w:themeColor="text1"/>
        </w:rPr>
        <w:t>values  in</w:t>
      </w:r>
      <w:proofErr w:type="gramEnd"/>
      <w:r w:rsidRPr="00AA1EF7">
        <w:rPr>
          <w:rFonts w:ascii="Times New Roman" w:eastAsia="Calibri" w:hAnsi="Times New Roman" w:cs="Times New Roman"/>
          <w:color w:val="000000" w:themeColor="text1"/>
        </w:rPr>
        <w:t xml:space="preserve"> column with </w:t>
      </w:r>
      <w:proofErr w:type="gramStart"/>
      <w:r w:rsidRPr="00AA1EF7">
        <w:rPr>
          <w:rFonts w:ascii="Times New Roman" w:eastAsia="Calibri" w:hAnsi="Times New Roman" w:cs="Times New Roman"/>
          <w:color w:val="000000" w:themeColor="text1"/>
        </w:rPr>
        <w:t>different  superscript</w:t>
      </w:r>
      <w:proofErr w:type="gramEnd"/>
      <w:r w:rsidRPr="00AA1EF7">
        <w:rPr>
          <w:rFonts w:ascii="Times New Roman" w:eastAsia="Calibri" w:hAnsi="Times New Roman" w:cs="Times New Roman"/>
          <w:color w:val="000000" w:themeColor="text1"/>
        </w:rPr>
        <w:t xml:space="preserve"> are significant</w:t>
      </w:r>
      <w:r w:rsidR="002D2145" w:rsidRPr="00AA1EF7">
        <w:rPr>
          <w:rFonts w:ascii="Times New Roman" w:eastAsia="Calibri" w:hAnsi="Times New Roman" w:cs="Times New Roman"/>
          <w:color w:val="000000" w:themeColor="text1"/>
        </w:rPr>
        <w:t>ly different</w:t>
      </w:r>
      <w:r w:rsidRPr="00AA1EF7">
        <w:rPr>
          <w:rFonts w:ascii="Times New Roman" w:eastAsia="Calibri" w:hAnsi="Times New Roman" w:cs="Times New Roman"/>
          <w:color w:val="000000" w:themeColor="text1"/>
        </w:rPr>
        <w:t xml:space="preserve"> from each other(p&lt;0.05), EMF- Electromagnetic wave generated by overhead high </w:t>
      </w:r>
      <w:proofErr w:type="gramStart"/>
      <w:r w:rsidRPr="00AA1EF7">
        <w:rPr>
          <w:rFonts w:ascii="Times New Roman" w:eastAsia="Calibri" w:hAnsi="Times New Roman" w:cs="Times New Roman"/>
          <w:color w:val="000000" w:themeColor="text1"/>
        </w:rPr>
        <w:t>tension  electric</w:t>
      </w:r>
      <w:proofErr w:type="gramEnd"/>
      <w:r w:rsidRPr="00AA1EF7">
        <w:rPr>
          <w:rFonts w:ascii="Times New Roman" w:eastAsia="Calibri" w:hAnsi="Times New Roman" w:cs="Times New Roman"/>
          <w:color w:val="000000" w:themeColor="text1"/>
        </w:rPr>
        <w:t xml:space="preserve"> </w:t>
      </w:r>
      <w:proofErr w:type="gramStart"/>
      <w:r w:rsidRPr="00AA1EF7">
        <w:rPr>
          <w:rFonts w:ascii="Times New Roman" w:eastAsia="Calibri" w:hAnsi="Times New Roman" w:cs="Times New Roman"/>
          <w:color w:val="000000" w:themeColor="text1"/>
        </w:rPr>
        <w:t xml:space="preserve">wire,   </w:t>
      </w:r>
      <w:proofErr w:type="gramEnd"/>
      <w:r w:rsidRPr="00AA1EF7">
        <w:rPr>
          <w:rFonts w:ascii="Times New Roman" w:eastAsia="Calibri" w:hAnsi="Times New Roman" w:cs="Times New Roman"/>
          <w:color w:val="000000" w:themeColor="text1"/>
        </w:rPr>
        <w:t>TSH-Thyroid stimulating hormone, FT4- Free thyroxine</w:t>
      </w:r>
    </w:p>
    <w:p w14:paraId="1D596971"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0A2EE354"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3D3C7BC"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EA2564F"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24D5D477"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3A44A2D0" w14:textId="77777777" w:rsid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7626C746" w14:textId="77777777" w:rsidR="00AA1EF7" w:rsidRPr="00AA1EF7" w:rsidRDefault="00AA1EF7" w:rsidP="00AA1EF7">
      <w:pPr>
        <w:autoSpaceDE w:val="0"/>
        <w:autoSpaceDN w:val="0"/>
        <w:adjustRightInd w:val="0"/>
        <w:spacing w:after="0" w:line="360" w:lineRule="auto"/>
        <w:jc w:val="both"/>
        <w:rPr>
          <w:rFonts w:ascii="Times New Roman" w:eastAsia="Calibri" w:hAnsi="Times New Roman" w:cs="Times New Roman"/>
          <w:color w:val="000000" w:themeColor="text1"/>
        </w:rPr>
      </w:pPr>
    </w:p>
    <w:p w14:paraId="48B7ADBC" w14:textId="77777777" w:rsidR="00C060A2" w:rsidRPr="00AA1EF7" w:rsidRDefault="00511A11" w:rsidP="00AA1EF7">
      <w:pPr>
        <w:spacing w:line="360" w:lineRule="auto"/>
        <w:jc w:val="both"/>
        <w:rPr>
          <w:rFonts w:ascii="Times New Roman" w:hAnsi="Times New Roman" w:cs="Times New Roman"/>
          <w:color w:val="000000" w:themeColor="text1"/>
        </w:rPr>
      </w:pPr>
      <w:r w:rsidRPr="00AA1EF7">
        <w:rPr>
          <w:rFonts w:ascii="Times New Roman" w:eastAsia="Calibri" w:hAnsi="Times New Roman" w:cs="Times New Roman"/>
          <w:color w:val="000000" w:themeColor="text1"/>
        </w:rPr>
        <w:t xml:space="preserve">Table 4: Level of Thyroid Stimulating Hormone and Free Thyroxine Among Male and Female Participants Exposed to </w:t>
      </w:r>
      <w:proofErr w:type="spellStart"/>
      <w:r w:rsidRPr="00AA1EF7">
        <w:rPr>
          <w:rFonts w:ascii="Times New Roman" w:eastAsia="Calibri" w:hAnsi="Times New Roman" w:cs="Times New Roman"/>
          <w:color w:val="000000" w:themeColor="text1"/>
        </w:rPr>
        <w:t>Overhigh</w:t>
      </w:r>
      <w:proofErr w:type="spellEnd"/>
      <w:r w:rsidRPr="00AA1EF7">
        <w:rPr>
          <w:rFonts w:ascii="Times New Roman" w:eastAsia="Calibri" w:hAnsi="Times New Roman" w:cs="Times New Roman"/>
          <w:color w:val="000000" w:themeColor="text1"/>
        </w:rPr>
        <w:t xml:space="preserve"> Tension Wire  </w:t>
      </w:r>
    </w:p>
    <w:tbl>
      <w:tblPr>
        <w:tblStyle w:val="Style1"/>
        <w:tblW w:w="9365" w:type="dxa"/>
        <w:tblInd w:w="135" w:type="dxa"/>
        <w:tblLayout w:type="fixed"/>
        <w:tblLook w:val="04A0" w:firstRow="1" w:lastRow="0" w:firstColumn="1" w:lastColumn="0" w:noHBand="0" w:noVBand="1"/>
      </w:tblPr>
      <w:tblGrid>
        <w:gridCol w:w="1558"/>
        <w:gridCol w:w="2151"/>
        <w:gridCol w:w="895"/>
        <w:gridCol w:w="894"/>
        <w:gridCol w:w="1289"/>
        <w:gridCol w:w="1289"/>
        <w:gridCol w:w="1289"/>
      </w:tblGrid>
      <w:tr w:rsidR="00AA1EF7" w:rsidRPr="00AA1EF7" w14:paraId="6EF460E2" w14:textId="77777777" w:rsidTr="00A15AF2">
        <w:trPr>
          <w:cnfStyle w:val="100000000000" w:firstRow="1" w:lastRow="0" w:firstColumn="0" w:lastColumn="0" w:oddVBand="0" w:evenVBand="0" w:oddHBand="0" w:evenHBand="0" w:firstRowFirstColumn="0" w:firstRowLastColumn="0" w:lastRowFirstColumn="0" w:lastRowLastColumn="0"/>
          <w:trHeight w:val="658"/>
        </w:trPr>
        <w:tc>
          <w:tcPr>
            <w:tcW w:w="1558" w:type="dxa"/>
            <w:tcBorders>
              <w:top w:val="single" w:sz="12" w:space="0" w:color="008000"/>
              <w:left w:val="nil"/>
              <w:bottom w:val="nil"/>
              <w:right w:val="nil"/>
            </w:tcBorders>
          </w:tcPr>
          <w:p w14:paraId="4990CEF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eastAsia="Calibri" w:hAnsi="Times New Roman" w:cs="Times New Roman"/>
                <w:color w:val="000000" w:themeColor="text1"/>
                <w:lang w:val="en-US"/>
              </w:rPr>
              <w:t xml:space="preserve"> </w:t>
            </w:r>
            <w:r w:rsidRPr="00AA1EF7">
              <w:rPr>
                <w:rFonts w:ascii="Times New Roman" w:hAnsi="Times New Roman" w:cs="Times New Roman"/>
                <w:color w:val="000000" w:themeColor="text1"/>
                <w:lang w:val="en-US"/>
              </w:rPr>
              <w:t>Parameters</w:t>
            </w:r>
          </w:p>
        </w:tc>
        <w:tc>
          <w:tcPr>
            <w:tcW w:w="2151" w:type="dxa"/>
            <w:tcBorders>
              <w:top w:val="single" w:sz="12" w:space="0" w:color="008000"/>
              <w:left w:val="nil"/>
              <w:bottom w:val="nil"/>
              <w:right w:val="nil"/>
            </w:tcBorders>
          </w:tcPr>
          <w:p w14:paraId="53602F5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Study Group</w:t>
            </w:r>
          </w:p>
        </w:tc>
        <w:tc>
          <w:tcPr>
            <w:tcW w:w="895" w:type="dxa"/>
            <w:tcBorders>
              <w:top w:val="single" w:sz="12" w:space="0" w:color="008000"/>
              <w:left w:val="nil"/>
              <w:bottom w:val="nil"/>
              <w:right w:val="nil"/>
            </w:tcBorders>
          </w:tcPr>
          <w:p w14:paraId="2C043DF9"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Number</w:t>
            </w:r>
          </w:p>
        </w:tc>
        <w:tc>
          <w:tcPr>
            <w:tcW w:w="894" w:type="dxa"/>
            <w:tcBorders>
              <w:top w:val="single" w:sz="12" w:space="0" w:color="008000"/>
              <w:left w:val="nil"/>
              <w:bottom w:val="nil"/>
              <w:right w:val="nil"/>
            </w:tcBorders>
          </w:tcPr>
          <w:p w14:paraId="39CA437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Mean</w:t>
            </w:r>
          </w:p>
        </w:tc>
        <w:tc>
          <w:tcPr>
            <w:tcW w:w="1289" w:type="dxa"/>
            <w:tcBorders>
              <w:top w:val="single" w:sz="12" w:space="0" w:color="008000"/>
              <w:left w:val="nil"/>
              <w:bottom w:val="nil"/>
              <w:right w:val="nil"/>
            </w:tcBorders>
          </w:tcPr>
          <w:p w14:paraId="1F8BD792"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Std. Error Mean</w:t>
            </w:r>
          </w:p>
        </w:tc>
        <w:tc>
          <w:tcPr>
            <w:tcW w:w="1289" w:type="dxa"/>
            <w:tcBorders>
              <w:top w:val="single" w:sz="12" w:space="0" w:color="008000"/>
              <w:left w:val="nil"/>
              <w:bottom w:val="nil"/>
              <w:right w:val="nil"/>
            </w:tcBorders>
          </w:tcPr>
          <w:p w14:paraId="52D9C89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T-value</w:t>
            </w:r>
          </w:p>
        </w:tc>
        <w:tc>
          <w:tcPr>
            <w:tcW w:w="1289" w:type="dxa"/>
            <w:tcBorders>
              <w:top w:val="single" w:sz="12" w:space="0" w:color="008000"/>
              <w:left w:val="nil"/>
              <w:bottom w:val="nil"/>
              <w:right w:val="nil"/>
            </w:tcBorders>
          </w:tcPr>
          <w:p w14:paraId="07F2214E"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P-value</w:t>
            </w:r>
          </w:p>
        </w:tc>
      </w:tr>
      <w:tr w:rsidR="00AA1EF7" w:rsidRPr="00AA1EF7" w14:paraId="44C26727" w14:textId="77777777" w:rsidTr="00A15AF2">
        <w:trPr>
          <w:trHeight w:val="288"/>
        </w:trPr>
        <w:tc>
          <w:tcPr>
            <w:tcW w:w="1558" w:type="dxa"/>
            <w:vMerge w:val="restart"/>
            <w:tcBorders>
              <w:top w:val="nil"/>
              <w:left w:val="nil"/>
              <w:bottom w:val="nil"/>
              <w:right w:val="nil"/>
            </w:tcBorders>
          </w:tcPr>
          <w:p w14:paraId="3035BD1B" w14:textId="77777777" w:rsidR="00C060A2" w:rsidRPr="00AA1EF7" w:rsidRDefault="00C060A2" w:rsidP="00AA1EF7">
            <w:pPr>
              <w:spacing w:line="360" w:lineRule="auto"/>
              <w:jc w:val="both"/>
              <w:rPr>
                <w:rFonts w:ascii="Times New Roman" w:hAnsi="Times New Roman" w:cs="Times New Roman"/>
                <w:color w:val="000000" w:themeColor="text1"/>
                <w:lang w:val="en-US"/>
              </w:rPr>
            </w:pPr>
            <w:proofErr w:type="gramStart"/>
            <w:r w:rsidRPr="00AA1EF7">
              <w:rPr>
                <w:rFonts w:ascii="Times New Roman" w:hAnsi="Times New Roman" w:cs="Times New Roman"/>
                <w:color w:val="000000" w:themeColor="text1"/>
                <w:lang w:val="en-US"/>
              </w:rPr>
              <w:lastRenderedPageBreak/>
              <w:t>TSH(</w:t>
            </w:r>
            <w:proofErr w:type="gramEnd"/>
            <w:r w:rsidRPr="00AA1EF7">
              <w:rPr>
                <w:rFonts w:ascii="Times New Roman" w:hAnsi="Times New Roman" w:cs="Times New Roman"/>
                <w:color w:val="000000" w:themeColor="text1"/>
                <w:lang w:val="en-US"/>
              </w:rPr>
              <w:t>µIU/ml</w:t>
            </w:r>
          </w:p>
        </w:tc>
        <w:tc>
          <w:tcPr>
            <w:tcW w:w="2151" w:type="dxa"/>
            <w:tcBorders>
              <w:top w:val="nil"/>
              <w:left w:val="nil"/>
              <w:bottom w:val="nil"/>
              <w:right w:val="nil"/>
            </w:tcBorders>
          </w:tcPr>
          <w:p w14:paraId="18A48A28"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7B54CFBC"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7FB249C4"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1.48</w:t>
            </w:r>
          </w:p>
        </w:tc>
        <w:tc>
          <w:tcPr>
            <w:tcW w:w="1289" w:type="dxa"/>
            <w:tcBorders>
              <w:top w:val="nil"/>
              <w:left w:val="nil"/>
              <w:bottom w:val="nil"/>
              <w:right w:val="nil"/>
            </w:tcBorders>
          </w:tcPr>
          <w:p w14:paraId="75C4E8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0.21</w:t>
            </w:r>
          </w:p>
        </w:tc>
        <w:tc>
          <w:tcPr>
            <w:tcW w:w="1289" w:type="dxa"/>
            <w:vMerge w:val="restart"/>
            <w:tcBorders>
              <w:top w:val="nil"/>
              <w:left w:val="nil"/>
              <w:bottom w:val="nil"/>
              <w:right w:val="nil"/>
            </w:tcBorders>
          </w:tcPr>
          <w:p w14:paraId="1E21F40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-0.632</w:t>
            </w:r>
          </w:p>
        </w:tc>
        <w:tc>
          <w:tcPr>
            <w:tcW w:w="1289" w:type="dxa"/>
            <w:vMerge w:val="restart"/>
            <w:tcBorders>
              <w:top w:val="nil"/>
              <w:left w:val="nil"/>
              <w:bottom w:val="nil"/>
              <w:right w:val="nil"/>
            </w:tcBorders>
          </w:tcPr>
          <w:p w14:paraId="179B8823"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0.531</w:t>
            </w:r>
          </w:p>
        </w:tc>
      </w:tr>
      <w:tr w:rsidR="00AA1EF7" w:rsidRPr="00AA1EF7" w14:paraId="79FBA613" w14:textId="77777777" w:rsidTr="00A15AF2">
        <w:trPr>
          <w:trHeight w:val="288"/>
        </w:trPr>
        <w:tc>
          <w:tcPr>
            <w:tcW w:w="1558" w:type="dxa"/>
            <w:vMerge/>
            <w:tcBorders>
              <w:top w:val="nil"/>
              <w:left w:val="nil"/>
              <w:bottom w:val="nil"/>
              <w:right w:val="nil"/>
            </w:tcBorders>
            <w:vAlign w:val="center"/>
          </w:tcPr>
          <w:p w14:paraId="70FC2519"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nil"/>
              <w:right w:val="nil"/>
            </w:tcBorders>
          </w:tcPr>
          <w:p w14:paraId="1428196F"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nil"/>
              <w:right w:val="nil"/>
            </w:tcBorders>
          </w:tcPr>
          <w:p w14:paraId="616479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nil"/>
              <w:right w:val="nil"/>
            </w:tcBorders>
          </w:tcPr>
          <w:p w14:paraId="66A0F24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1.71</w:t>
            </w:r>
          </w:p>
        </w:tc>
        <w:tc>
          <w:tcPr>
            <w:tcW w:w="1289" w:type="dxa"/>
            <w:tcBorders>
              <w:top w:val="nil"/>
              <w:left w:val="nil"/>
              <w:bottom w:val="nil"/>
              <w:right w:val="nil"/>
            </w:tcBorders>
          </w:tcPr>
          <w:p w14:paraId="477B7AF7"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0.18</w:t>
            </w:r>
          </w:p>
        </w:tc>
        <w:tc>
          <w:tcPr>
            <w:tcW w:w="1289" w:type="dxa"/>
            <w:vMerge/>
            <w:tcBorders>
              <w:top w:val="nil"/>
              <w:left w:val="nil"/>
              <w:bottom w:val="nil"/>
              <w:right w:val="nil"/>
            </w:tcBorders>
            <w:vAlign w:val="center"/>
          </w:tcPr>
          <w:p w14:paraId="6729222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30103CDD"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r w:rsidR="00AA1EF7" w:rsidRPr="00AA1EF7" w14:paraId="738CE7C6" w14:textId="77777777" w:rsidTr="00A15AF2">
        <w:trPr>
          <w:trHeight w:val="288"/>
        </w:trPr>
        <w:tc>
          <w:tcPr>
            <w:tcW w:w="1558" w:type="dxa"/>
            <w:vMerge w:val="restart"/>
            <w:tcBorders>
              <w:top w:val="nil"/>
              <w:left w:val="nil"/>
              <w:bottom w:val="nil"/>
              <w:right w:val="nil"/>
            </w:tcBorders>
          </w:tcPr>
          <w:p w14:paraId="461F2528"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FT4(</w:t>
            </w:r>
            <w:proofErr w:type="spellStart"/>
            <w:r w:rsidRPr="00AA1EF7">
              <w:rPr>
                <w:rFonts w:ascii="Times New Roman" w:hAnsi="Times New Roman" w:cs="Times New Roman"/>
                <w:color w:val="000000" w:themeColor="text1"/>
                <w:lang w:val="en-US"/>
              </w:rPr>
              <w:t>pmol</w:t>
            </w:r>
            <w:proofErr w:type="spellEnd"/>
            <w:r w:rsidRPr="00AA1EF7">
              <w:rPr>
                <w:rFonts w:ascii="Times New Roman" w:hAnsi="Times New Roman" w:cs="Times New Roman"/>
                <w:color w:val="000000" w:themeColor="text1"/>
                <w:lang w:val="en-US"/>
              </w:rPr>
              <w:t>/L)</w:t>
            </w:r>
          </w:p>
        </w:tc>
        <w:tc>
          <w:tcPr>
            <w:tcW w:w="2151" w:type="dxa"/>
            <w:tcBorders>
              <w:top w:val="nil"/>
              <w:left w:val="nil"/>
              <w:bottom w:val="nil"/>
              <w:right w:val="nil"/>
            </w:tcBorders>
          </w:tcPr>
          <w:p w14:paraId="33E14BEB"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FEMALE</w:t>
            </w:r>
          </w:p>
        </w:tc>
        <w:tc>
          <w:tcPr>
            <w:tcW w:w="895" w:type="dxa"/>
            <w:tcBorders>
              <w:top w:val="nil"/>
              <w:left w:val="nil"/>
              <w:bottom w:val="nil"/>
              <w:right w:val="nil"/>
            </w:tcBorders>
          </w:tcPr>
          <w:p w14:paraId="652A4EC9"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11</w:t>
            </w:r>
          </w:p>
        </w:tc>
        <w:tc>
          <w:tcPr>
            <w:tcW w:w="894" w:type="dxa"/>
            <w:tcBorders>
              <w:top w:val="nil"/>
              <w:left w:val="nil"/>
              <w:bottom w:val="nil"/>
              <w:right w:val="nil"/>
            </w:tcBorders>
          </w:tcPr>
          <w:p w14:paraId="231D5BC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14.96</w:t>
            </w:r>
          </w:p>
        </w:tc>
        <w:tc>
          <w:tcPr>
            <w:tcW w:w="1289" w:type="dxa"/>
            <w:tcBorders>
              <w:top w:val="nil"/>
              <w:left w:val="nil"/>
              <w:bottom w:val="nil"/>
              <w:right w:val="nil"/>
            </w:tcBorders>
          </w:tcPr>
          <w:p w14:paraId="3855895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1.05</w:t>
            </w:r>
          </w:p>
        </w:tc>
        <w:tc>
          <w:tcPr>
            <w:tcW w:w="1289" w:type="dxa"/>
            <w:vMerge w:val="restart"/>
            <w:tcBorders>
              <w:top w:val="nil"/>
              <w:left w:val="nil"/>
              <w:bottom w:val="nil"/>
              <w:right w:val="nil"/>
            </w:tcBorders>
          </w:tcPr>
          <w:p w14:paraId="448308CD"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-1.207</w:t>
            </w:r>
          </w:p>
        </w:tc>
        <w:tc>
          <w:tcPr>
            <w:tcW w:w="1289" w:type="dxa"/>
            <w:vMerge w:val="restart"/>
            <w:tcBorders>
              <w:top w:val="nil"/>
              <w:left w:val="nil"/>
              <w:bottom w:val="nil"/>
              <w:right w:val="nil"/>
            </w:tcBorders>
          </w:tcPr>
          <w:p w14:paraId="71F588C5" w14:textId="77777777" w:rsidR="00C060A2" w:rsidRPr="00AA1EF7" w:rsidRDefault="00C060A2" w:rsidP="00AA1EF7">
            <w:pPr>
              <w:spacing w:line="360" w:lineRule="auto"/>
              <w:jc w:val="both"/>
              <w:rPr>
                <w:rFonts w:ascii="Times New Roman" w:hAnsi="Times New Roman" w:cs="Times New Roman"/>
                <w:color w:val="000000" w:themeColor="text1"/>
                <w:lang w:val="en-US"/>
              </w:rPr>
            </w:pPr>
            <w:r w:rsidRPr="00AA1EF7">
              <w:rPr>
                <w:rFonts w:ascii="Times New Roman" w:hAnsi="Times New Roman" w:cs="Times New Roman"/>
                <w:color w:val="000000" w:themeColor="text1"/>
                <w:lang w:val="en-US"/>
              </w:rPr>
              <w:t>0.256</w:t>
            </w:r>
          </w:p>
        </w:tc>
      </w:tr>
      <w:tr w:rsidR="00AA1EF7" w:rsidRPr="00AA1EF7" w14:paraId="784A6579" w14:textId="77777777" w:rsidTr="00A15AF2">
        <w:trPr>
          <w:trHeight w:val="288"/>
        </w:trPr>
        <w:tc>
          <w:tcPr>
            <w:tcW w:w="1558" w:type="dxa"/>
            <w:vMerge/>
            <w:tcBorders>
              <w:top w:val="nil"/>
              <w:left w:val="nil"/>
              <w:bottom w:val="nil"/>
              <w:right w:val="nil"/>
            </w:tcBorders>
            <w:vAlign w:val="center"/>
          </w:tcPr>
          <w:p w14:paraId="7FA47AA8"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2151" w:type="dxa"/>
            <w:tcBorders>
              <w:top w:val="nil"/>
              <w:left w:val="nil"/>
              <w:bottom w:val="single" w:sz="12" w:space="0" w:color="008000"/>
              <w:right w:val="nil"/>
            </w:tcBorders>
          </w:tcPr>
          <w:p w14:paraId="6402763E" w14:textId="77777777" w:rsidR="00C060A2" w:rsidRPr="00AA1EF7" w:rsidRDefault="00C060A2" w:rsidP="00AA1EF7">
            <w:pPr>
              <w:autoSpaceDE w:val="0"/>
              <w:autoSpaceDN w:val="0"/>
              <w:adjustRightInd w:val="0"/>
              <w:spacing w:line="360" w:lineRule="auto"/>
              <w:ind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MALE</w:t>
            </w:r>
          </w:p>
        </w:tc>
        <w:tc>
          <w:tcPr>
            <w:tcW w:w="895" w:type="dxa"/>
            <w:tcBorders>
              <w:top w:val="nil"/>
              <w:left w:val="nil"/>
              <w:bottom w:val="single" w:sz="12" w:space="0" w:color="008000"/>
              <w:right w:val="nil"/>
            </w:tcBorders>
          </w:tcPr>
          <w:p w14:paraId="4D7F0210"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39</w:t>
            </w:r>
          </w:p>
        </w:tc>
        <w:tc>
          <w:tcPr>
            <w:tcW w:w="894" w:type="dxa"/>
            <w:tcBorders>
              <w:top w:val="nil"/>
              <w:left w:val="nil"/>
              <w:bottom w:val="single" w:sz="12" w:space="0" w:color="008000"/>
              <w:right w:val="nil"/>
            </w:tcBorders>
          </w:tcPr>
          <w:p w14:paraId="1C7EFBFA"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16.26</w:t>
            </w:r>
          </w:p>
        </w:tc>
        <w:tc>
          <w:tcPr>
            <w:tcW w:w="1289" w:type="dxa"/>
            <w:tcBorders>
              <w:top w:val="nil"/>
              <w:left w:val="nil"/>
              <w:bottom w:val="single" w:sz="12" w:space="0" w:color="008000"/>
              <w:right w:val="nil"/>
            </w:tcBorders>
          </w:tcPr>
          <w:p w14:paraId="4E956955" w14:textId="77777777" w:rsidR="00C060A2" w:rsidRPr="00AA1EF7" w:rsidRDefault="00C060A2" w:rsidP="00AA1EF7">
            <w:pPr>
              <w:autoSpaceDE w:val="0"/>
              <w:autoSpaceDN w:val="0"/>
              <w:adjustRightInd w:val="0"/>
              <w:spacing w:line="360" w:lineRule="auto"/>
              <w:ind w:left="60" w:right="60"/>
              <w:jc w:val="both"/>
              <w:rPr>
                <w:rFonts w:ascii="Times New Roman" w:eastAsia="Calibri" w:hAnsi="Times New Roman" w:cs="Times New Roman"/>
                <w:color w:val="000000" w:themeColor="text1"/>
                <w:lang w:val="en-US"/>
              </w:rPr>
            </w:pPr>
            <w:r w:rsidRPr="00AA1EF7">
              <w:rPr>
                <w:rFonts w:ascii="Times New Roman" w:eastAsia="Calibri" w:hAnsi="Times New Roman" w:cs="Times New Roman"/>
                <w:color w:val="000000" w:themeColor="text1"/>
                <w:lang w:val="en-US"/>
              </w:rPr>
              <w:t>0.27</w:t>
            </w:r>
          </w:p>
        </w:tc>
        <w:tc>
          <w:tcPr>
            <w:tcW w:w="1289" w:type="dxa"/>
            <w:vMerge/>
            <w:tcBorders>
              <w:top w:val="nil"/>
              <w:left w:val="nil"/>
              <w:bottom w:val="nil"/>
              <w:right w:val="nil"/>
            </w:tcBorders>
            <w:vAlign w:val="center"/>
          </w:tcPr>
          <w:p w14:paraId="54F6AE9B"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c>
          <w:tcPr>
            <w:tcW w:w="1289" w:type="dxa"/>
            <w:vMerge/>
            <w:tcBorders>
              <w:top w:val="nil"/>
              <w:left w:val="nil"/>
              <w:bottom w:val="nil"/>
              <w:right w:val="nil"/>
            </w:tcBorders>
            <w:vAlign w:val="center"/>
          </w:tcPr>
          <w:p w14:paraId="16954A27" w14:textId="77777777" w:rsidR="00C060A2" w:rsidRPr="00AA1EF7" w:rsidRDefault="00C060A2" w:rsidP="00AA1EF7">
            <w:pPr>
              <w:spacing w:line="360" w:lineRule="auto"/>
              <w:jc w:val="both"/>
              <w:rPr>
                <w:rFonts w:ascii="Times New Roman" w:hAnsi="Times New Roman" w:cs="Times New Roman"/>
                <w:color w:val="000000" w:themeColor="text1"/>
                <w:lang w:val="en-US"/>
              </w:rPr>
            </w:pPr>
          </w:p>
        </w:tc>
      </w:tr>
    </w:tbl>
    <w:p w14:paraId="5923D2B5" w14:textId="77777777" w:rsidR="00C060A2" w:rsidRDefault="00511A11" w:rsidP="00AA1EF7">
      <w:pPr>
        <w:spacing w:line="360" w:lineRule="auto"/>
        <w:jc w:val="both"/>
        <w:rPr>
          <w:rFonts w:ascii="Times New Roman" w:eastAsia="Calibri" w:hAnsi="Times New Roman" w:cs="Times New Roman"/>
          <w:color w:val="000000" w:themeColor="text1"/>
        </w:rPr>
      </w:pPr>
      <w:r w:rsidRPr="00AA1EF7">
        <w:rPr>
          <w:rFonts w:ascii="Times New Roman" w:eastAsia="Calibri" w:hAnsi="Times New Roman" w:cs="Times New Roman"/>
          <w:color w:val="000000" w:themeColor="text1"/>
        </w:rPr>
        <w:t>*Statistically significant at P&lt;0.05,</w:t>
      </w:r>
      <w:r w:rsidR="00C060A2" w:rsidRPr="00AA1EF7">
        <w:rPr>
          <w:rFonts w:ascii="Times New Roman" w:eastAsia="Calibri" w:hAnsi="Times New Roman" w:cs="Times New Roman"/>
          <w:color w:val="000000" w:themeColor="text1"/>
        </w:rPr>
        <w:t xml:space="preserve"> EMF- Electromagnetic wave generated by overhead </w:t>
      </w:r>
      <w:proofErr w:type="gramStart"/>
      <w:r w:rsidR="00C060A2" w:rsidRPr="00AA1EF7">
        <w:rPr>
          <w:rFonts w:ascii="Times New Roman" w:eastAsia="Calibri" w:hAnsi="Times New Roman" w:cs="Times New Roman"/>
          <w:color w:val="000000" w:themeColor="text1"/>
        </w:rPr>
        <w:t xml:space="preserve">high </w:t>
      </w:r>
      <w:r w:rsidRPr="00AA1EF7">
        <w:rPr>
          <w:rFonts w:ascii="Times New Roman" w:eastAsia="Calibri" w:hAnsi="Times New Roman" w:cs="Times New Roman"/>
          <w:color w:val="000000" w:themeColor="text1"/>
        </w:rPr>
        <w:t>tension</w:t>
      </w:r>
      <w:proofErr w:type="gramEnd"/>
      <w:r w:rsidRPr="00AA1EF7">
        <w:rPr>
          <w:rFonts w:ascii="Times New Roman" w:eastAsia="Calibri" w:hAnsi="Times New Roman" w:cs="Times New Roman"/>
          <w:color w:val="000000" w:themeColor="text1"/>
        </w:rPr>
        <w:t xml:space="preserve"> </w:t>
      </w:r>
      <w:r w:rsidR="00C060A2" w:rsidRPr="00AA1EF7">
        <w:rPr>
          <w:rFonts w:ascii="Times New Roman" w:eastAsia="Calibri" w:hAnsi="Times New Roman" w:cs="Times New Roman"/>
          <w:color w:val="000000" w:themeColor="text1"/>
        </w:rPr>
        <w:t xml:space="preserve">electric </w:t>
      </w:r>
      <w:proofErr w:type="gramStart"/>
      <w:r w:rsidR="00C060A2" w:rsidRPr="00AA1EF7">
        <w:rPr>
          <w:rFonts w:ascii="Times New Roman" w:eastAsia="Calibri" w:hAnsi="Times New Roman" w:cs="Times New Roman"/>
          <w:color w:val="000000" w:themeColor="text1"/>
        </w:rPr>
        <w:t xml:space="preserve">wire,   </w:t>
      </w:r>
      <w:proofErr w:type="gramEnd"/>
      <w:r w:rsidR="00C060A2" w:rsidRPr="00AA1EF7">
        <w:rPr>
          <w:rFonts w:ascii="Times New Roman" w:eastAsia="Calibri" w:hAnsi="Times New Roman" w:cs="Times New Roman"/>
          <w:color w:val="000000" w:themeColor="text1"/>
        </w:rPr>
        <w:t>TSH-Thyroid stimulating hormone, FT4- Free thyroxine.</w:t>
      </w:r>
    </w:p>
    <w:p w14:paraId="4E575E6B" w14:textId="77777777" w:rsidR="00AA1EF7" w:rsidRPr="00AA1EF7" w:rsidRDefault="00AA1EF7" w:rsidP="00AA1EF7">
      <w:pPr>
        <w:spacing w:line="360" w:lineRule="auto"/>
        <w:jc w:val="both"/>
        <w:rPr>
          <w:rFonts w:ascii="Times New Roman" w:eastAsia="Calibri" w:hAnsi="Times New Roman" w:cs="Times New Roman"/>
          <w:color w:val="000000" w:themeColor="text1"/>
        </w:rPr>
      </w:pPr>
    </w:p>
    <w:p w14:paraId="08CE0198" w14:textId="77777777" w:rsidR="00C060A2" w:rsidRPr="00AA1EF7" w:rsidRDefault="00C060A2" w:rsidP="00AA1EF7">
      <w:pPr>
        <w:pStyle w:val="Heading3"/>
        <w:spacing w:line="360" w:lineRule="auto"/>
        <w:jc w:val="both"/>
        <w:rPr>
          <w:rFonts w:cs="Times New Roman"/>
          <w:b/>
          <w:sz w:val="24"/>
          <w:szCs w:val="24"/>
        </w:rPr>
      </w:pPr>
      <w:r w:rsidRPr="00AA1EF7">
        <w:rPr>
          <w:rFonts w:cs="Times New Roman"/>
          <w:b/>
          <w:sz w:val="24"/>
          <w:szCs w:val="24"/>
        </w:rPr>
        <w:t>Discussion</w:t>
      </w:r>
    </w:p>
    <w:p w14:paraId="621FEC13" w14:textId="77777777" w:rsidR="00C060A2" w:rsidRPr="00AA1EF7"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Electromagnetic fields </w:t>
      </w:r>
      <w:r w:rsidR="005F03B4" w:rsidRPr="00AA1EF7">
        <w:rPr>
          <w:rFonts w:ascii="Times New Roman" w:eastAsia="Times New Roman" w:hAnsi="Times New Roman" w:cs="Times New Roman"/>
          <w:color w:val="000000" w:themeColor="text1"/>
          <w:kern w:val="0"/>
          <w:lang w:eastAsia="en-GB"/>
          <w14:ligatures w14:val="none"/>
        </w:rPr>
        <w:t>generated by high voltage power</w:t>
      </w:r>
      <w:r w:rsidRPr="00AA1EF7">
        <w:rPr>
          <w:rFonts w:ascii="Times New Roman" w:eastAsia="Times New Roman" w:hAnsi="Times New Roman" w:cs="Times New Roman"/>
          <w:color w:val="000000" w:themeColor="text1"/>
          <w:kern w:val="0"/>
          <w:lang w:eastAsia="en-GB"/>
          <w14:ligatures w14:val="none"/>
        </w:rPr>
        <w:t>lines are categorized as extremely low frequency (ELF) EMFs. These fields are constant in our environmen</w:t>
      </w:r>
      <w:r w:rsidR="005F03B4" w:rsidRPr="00AA1EF7">
        <w:rPr>
          <w:rFonts w:ascii="Times New Roman" w:eastAsia="Times New Roman" w:hAnsi="Times New Roman" w:cs="Times New Roman"/>
          <w:color w:val="000000" w:themeColor="text1"/>
          <w:kern w:val="0"/>
          <w:lang w:eastAsia="en-GB"/>
          <w14:ligatures w14:val="none"/>
        </w:rPr>
        <w:t>t, produced not only from power</w:t>
      </w:r>
      <w:r w:rsidRPr="00AA1EF7">
        <w:rPr>
          <w:rFonts w:ascii="Times New Roman" w:eastAsia="Times New Roman" w:hAnsi="Times New Roman" w:cs="Times New Roman"/>
          <w:color w:val="000000" w:themeColor="text1"/>
          <w:kern w:val="0"/>
          <w:lang w:eastAsia="en-GB"/>
          <w14:ligatures w14:val="none"/>
        </w:rPr>
        <w:t>lines but also from various household electrical devices. The strength of these fields diminishes rapidly with distance from the source, yet their omnipresent nature leads to almost continuous expos</w:t>
      </w:r>
      <w:r w:rsidR="00674A0D" w:rsidRPr="00AA1EF7">
        <w:rPr>
          <w:rFonts w:ascii="Times New Roman" w:eastAsia="Times New Roman" w:hAnsi="Times New Roman" w:cs="Times New Roman"/>
          <w:color w:val="000000" w:themeColor="text1"/>
          <w:kern w:val="0"/>
          <w:lang w:eastAsia="en-GB"/>
          <w14:ligatures w14:val="none"/>
        </w:rPr>
        <w:t>ure for some individuals</w:t>
      </w:r>
      <w:r w:rsidRPr="00AA1EF7">
        <w:rPr>
          <w:rFonts w:ascii="Times New Roman" w:eastAsia="Times New Roman" w:hAnsi="Times New Roman" w:cs="Times New Roman"/>
          <w:color w:val="000000" w:themeColor="text1"/>
          <w:kern w:val="0"/>
          <w:lang w:eastAsia="en-GB"/>
          <w14:ligatures w14:val="none"/>
        </w:rPr>
        <w:t>. </w:t>
      </w:r>
    </w:p>
    <w:p w14:paraId="7DB07628" w14:textId="77777777" w:rsidR="00795E16"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w:t>
      </w:r>
      <w:r w:rsidR="00674A0D" w:rsidRPr="00AA1EF7">
        <w:rPr>
          <w:rFonts w:ascii="Times New Roman" w:eastAsia="Times New Roman" w:hAnsi="Times New Roman" w:cs="Times New Roman"/>
          <w:color w:val="000000" w:themeColor="text1"/>
          <w:kern w:val="0"/>
          <w:lang w:eastAsia="en-GB"/>
          <w14:ligatures w14:val="none"/>
        </w:rPr>
        <w:t xml:space="preserve">present </w:t>
      </w:r>
      <w:r w:rsidRPr="00AA1EF7">
        <w:rPr>
          <w:rFonts w:ascii="Times New Roman" w:eastAsia="Times New Roman" w:hAnsi="Times New Roman" w:cs="Times New Roman"/>
          <w:color w:val="000000" w:themeColor="text1"/>
          <w:kern w:val="0"/>
          <w:lang w:eastAsia="en-GB"/>
          <w14:ligatures w14:val="none"/>
        </w:rPr>
        <w:t>study Compare</w:t>
      </w:r>
      <w:r w:rsidR="00674A0D" w:rsidRPr="00AA1EF7">
        <w:rPr>
          <w:rFonts w:ascii="Times New Roman" w:eastAsia="Times New Roman" w:hAnsi="Times New Roman" w:cs="Times New Roman"/>
          <w:color w:val="000000" w:themeColor="text1"/>
          <w:kern w:val="0"/>
          <w:lang w:eastAsia="en-GB"/>
          <w14:ligatures w14:val="none"/>
        </w:rPr>
        <w:t>d</w:t>
      </w:r>
      <w:r w:rsidRPr="00AA1EF7">
        <w:rPr>
          <w:rFonts w:ascii="Times New Roman" w:eastAsia="Times New Roman" w:hAnsi="Times New Roman" w:cs="Times New Roman"/>
          <w:color w:val="000000" w:themeColor="text1"/>
          <w:kern w:val="0"/>
          <w:lang w:eastAsia="en-GB"/>
          <w14:ligatures w14:val="none"/>
        </w:rPr>
        <w:t xml:space="preserve"> the levels of thyroid-stimulating hormone</w:t>
      </w:r>
      <w:r w:rsidR="00674A0D" w:rsidRPr="00AA1EF7">
        <w:rPr>
          <w:rFonts w:ascii="Times New Roman" w:eastAsia="Times New Roman" w:hAnsi="Times New Roman" w:cs="Times New Roman"/>
          <w:color w:val="000000" w:themeColor="text1"/>
          <w:kern w:val="0"/>
          <w:lang w:eastAsia="en-GB"/>
          <w14:ligatures w14:val="none"/>
        </w:rPr>
        <w:t xml:space="preserve"> (TSH) and free thyroxine (f</w:t>
      </w:r>
      <w:r w:rsidRPr="00AA1EF7">
        <w:rPr>
          <w:rFonts w:ascii="Times New Roman" w:eastAsia="Times New Roman" w:hAnsi="Times New Roman" w:cs="Times New Roman"/>
          <w:color w:val="000000" w:themeColor="text1"/>
          <w:kern w:val="0"/>
          <w:lang w:eastAsia="en-GB"/>
          <w14:ligatures w14:val="none"/>
        </w:rPr>
        <w:t>T4) between those exposed to Electromagnetic field generated by Over-head high-tension wire with non</w:t>
      </w:r>
      <w:r w:rsidR="00674A0D" w:rsidRPr="00AA1EF7">
        <w:rPr>
          <w:rFonts w:ascii="Times New Roman" w:eastAsia="Times New Roman" w:hAnsi="Times New Roman" w:cs="Times New Roman"/>
          <w:color w:val="000000" w:themeColor="text1"/>
          <w:kern w:val="0"/>
          <w:lang w:eastAsia="en-GB"/>
          <w14:ligatures w14:val="none"/>
        </w:rPr>
        <w:t>-exposed group. This study showed</w:t>
      </w:r>
      <w:r w:rsidRPr="00AA1EF7">
        <w:rPr>
          <w:rFonts w:ascii="Times New Roman" w:eastAsia="Times New Roman" w:hAnsi="Times New Roman" w:cs="Times New Roman"/>
          <w:color w:val="000000" w:themeColor="text1"/>
          <w:kern w:val="0"/>
          <w:lang w:eastAsia="en-GB"/>
          <w14:ligatures w14:val="none"/>
        </w:rPr>
        <w:t xml:space="preserve"> that there were no statistically sign</w:t>
      </w:r>
      <w:r w:rsidR="00674A0D" w:rsidRPr="00AA1EF7">
        <w:rPr>
          <w:rFonts w:ascii="Times New Roman" w:eastAsia="Times New Roman" w:hAnsi="Times New Roman" w:cs="Times New Roman"/>
          <w:color w:val="000000" w:themeColor="text1"/>
          <w:kern w:val="0"/>
          <w:lang w:eastAsia="en-GB"/>
          <w14:ligatures w14:val="none"/>
        </w:rPr>
        <w:t>ificant differences in TSH and f</w:t>
      </w:r>
      <w:r w:rsidRPr="00AA1EF7">
        <w:rPr>
          <w:rFonts w:ascii="Times New Roman" w:eastAsia="Times New Roman" w:hAnsi="Times New Roman" w:cs="Times New Roman"/>
          <w:color w:val="000000" w:themeColor="text1"/>
          <w:kern w:val="0"/>
          <w:lang w:eastAsia="en-GB"/>
          <w14:ligatures w14:val="none"/>
        </w:rPr>
        <w:t xml:space="preserve">T4 levels between </w:t>
      </w:r>
      <w:r w:rsidR="00674A0D" w:rsidRPr="00AA1EF7">
        <w:rPr>
          <w:rFonts w:ascii="Times New Roman" w:eastAsia="Times New Roman" w:hAnsi="Times New Roman" w:cs="Times New Roman"/>
          <w:color w:val="000000" w:themeColor="text1"/>
          <w:kern w:val="0"/>
          <w:lang w:eastAsia="en-GB"/>
          <w14:ligatures w14:val="none"/>
        </w:rPr>
        <w:t xml:space="preserve">the </w:t>
      </w:r>
      <w:r w:rsidRPr="00AA1EF7">
        <w:rPr>
          <w:rFonts w:ascii="Times New Roman" w:eastAsia="Times New Roman" w:hAnsi="Times New Roman" w:cs="Times New Roman"/>
          <w:color w:val="000000" w:themeColor="text1"/>
          <w:kern w:val="0"/>
          <w:lang w:eastAsia="en-GB"/>
          <w14:ligatures w14:val="none"/>
        </w:rPr>
        <w:t xml:space="preserve">exposed </w:t>
      </w:r>
      <w:r w:rsidR="00674A0D" w:rsidRPr="00AA1EF7">
        <w:rPr>
          <w:rFonts w:ascii="Times New Roman" w:eastAsia="Times New Roman" w:hAnsi="Times New Roman" w:cs="Times New Roman"/>
          <w:color w:val="000000" w:themeColor="text1"/>
          <w:kern w:val="0"/>
          <w:lang w:eastAsia="en-GB"/>
          <w14:ligatures w14:val="none"/>
        </w:rPr>
        <w:t xml:space="preserve">group compared to non-exposed group. </w:t>
      </w:r>
      <w:r w:rsidRPr="00AA1EF7">
        <w:rPr>
          <w:rFonts w:ascii="Times New Roman" w:eastAsia="Times New Roman" w:hAnsi="Times New Roman" w:cs="Times New Roman"/>
          <w:color w:val="000000" w:themeColor="text1"/>
          <w:kern w:val="0"/>
          <w:lang w:eastAsia="en-GB"/>
          <w14:ligatures w14:val="none"/>
        </w:rPr>
        <w:t>This might sug</w:t>
      </w:r>
      <w:r w:rsidR="00674A0D" w:rsidRPr="00AA1EF7">
        <w:rPr>
          <w:rFonts w:ascii="Times New Roman" w:eastAsia="Times New Roman" w:hAnsi="Times New Roman" w:cs="Times New Roman"/>
          <w:color w:val="000000" w:themeColor="text1"/>
          <w:kern w:val="0"/>
          <w:lang w:eastAsia="en-GB"/>
          <w14:ligatures w14:val="none"/>
        </w:rPr>
        <w:t xml:space="preserve">gest that short-term </w:t>
      </w:r>
      <w:r w:rsidRPr="00AA1EF7">
        <w:rPr>
          <w:rFonts w:ascii="Times New Roman" w:eastAsia="Times New Roman" w:hAnsi="Times New Roman" w:cs="Times New Roman"/>
          <w:color w:val="000000" w:themeColor="text1"/>
          <w:kern w:val="0"/>
          <w:lang w:eastAsia="en-GB"/>
          <w14:ligatures w14:val="none"/>
        </w:rPr>
        <w:t>EMF exposure from high-tension wires does not interfere with thyroid function, as assessed by these hormonal measures.</w:t>
      </w:r>
      <w:r w:rsidR="00795E16" w:rsidRPr="00AA1EF7">
        <w:rPr>
          <w:rFonts w:ascii="Times New Roman" w:eastAsia="Times New Roman" w:hAnsi="Times New Roman" w:cs="Times New Roman"/>
          <w:color w:val="000000" w:themeColor="text1"/>
          <w:kern w:val="0"/>
          <w:lang w:eastAsia="en-GB"/>
          <w14:ligatures w14:val="none"/>
        </w:rPr>
        <w:t xml:space="preserve"> This agrees with the findings of Fang </w:t>
      </w:r>
      <w:r w:rsidR="00795E16" w:rsidRPr="00AA1EF7">
        <w:rPr>
          <w:rFonts w:ascii="Times New Roman" w:eastAsia="Times New Roman" w:hAnsi="Times New Roman" w:cs="Times New Roman"/>
          <w:i/>
          <w:color w:val="000000" w:themeColor="text1"/>
          <w:kern w:val="0"/>
          <w:lang w:eastAsia="en-GB"/>
          <w14:ligatures w14:val="none"/>
        </w:rPr>
        <w:t>et al</w:t>
      </w:r>
      <w:r w:rsidR="00795E16" w:rsidRPr="00AA1EF7">
        <w:rPr>
          <w:rFonts w:ascii="Times New Roman" w:eastAsia="Times New Roman" w:hAnsi="Times New Roman" w:cs="Times New Roman"/>
          <w:color w:val="000000" w:themeColor="text1"/>
          <w:kern w:val="0"/>
          <w:lang w:eastAsia="en-GB"/>
          <w14:ligatures w14:val="none"/>
        </w:rPr>
        <w:t>. (2022)</w:t>
      </w:r>
      <w:r w:rsidR="00A9150D" w:rsidRPr="00AA1EF7">
        <w:rPr>
          <w:rFonts w:ascii="Times New Roman" w:eastAsia="Times New Roman" w:hAnsi="Times New Roman" w:cs="Times New Roman"/>
          <w:color w:val="000000" w:themeColor="text1"/>
          <w:kern w:val="0"/>
          <w:lang w:eastAsia="en-GB"/>
          <w14:ligatures w14:val="none"/>
        </w:rPr>
        <w:t xml:space="preserve"> </w:t>
      </w:r>
      <w:r w:rsidR="000C2DE5" w:rsidRPr="00AA1EF7">
        <w:rPr>
          <w:rFonts w:ascii="Times New Roman" w:eastAsia="Times New Roman" w:hAnsi="Times New Roman" w:cs="Times New Roman"/>
          <w:color w:val="000000" w:themeColor="text1"/>
          <w:kern w:val="0"/>
          <w:lang w:eastAsia="en-GB"/>
          <w14:ligatures w14:val="none"/>
        </w:rPr>
        <w:t xml:space="preserve">that notated no significant </w:t>
      </w:r>
      <w:r w:rsidR="000C2DE5" w:rsidRPr="00AA1EF7">
        <w:rPr>
          <w:rFonts w:ascii="Times New Roman" w:hAnsi="Times New Roman" w:cs="Times New Roman"/>
          <w:color w:val="000000" w:themeColor="text1"/>
        </w:rPr>
        <w:t xml:space="preserve">difference in thyroid function between the exposure and control groups </w:t>
      </w:r>
      <w:r w:rsidR="000C2DE5" w:rsidRPr="00AA1EF7">
        <w:rPr>
          <w:rFonts w:ascii="Times New Roman" w:eastAsia="Times New Roman" w:hAnsi="Times New Roman" w:cs="Times New Roman"/>
          <w:color w:val="000000" w:themeColor="text1"/>
          <w:kern w:val="0"/>
          <w:lang w:eastAsia="en-GB"/>
          <w14:ligatures w14:val="none"/>
        </w:rPr>
        <w:t xml:space="preserve">following their study on the </w:t>
      </w:r>
      <w:r w:rsidR="000C2DE5" w:rsidRPr="00AA1EF7">
        <w:rPr>
          <w:rFonts w:ascii="Times New Roman" w:hAnsi="Times New Roman" w:cs="Times New Roman"/>
          <w:color w:val="000000" w:themeColor="text1"/>
        </w:rPr>
        <w:t>Effect of Occupational Extremely Low-Frequency Electromagnetic Field Exposure on the Thyroid Gland of Workers: A Prospective Study.</w:t>
      </w:r>
    </w:p>
    <w:p w14:paraId="75B1D3E4"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 Also, there were no significant gender-s</w:t>
      </w:r>
      <w:r w:rsidR="00674A0D" w:rsidRPr="00AA1EF7">
        <w:rPr>
          <w:rFonts w:ascii="Times New Roman" w:eastAsia="Times New Roman" w:hAnsi="Times New Roman" w:cs="Times New Roman"/>
          <w:color w:val="000000" w:themeColor="text1"/>
          <w:kern w:val="0"/>
          <w:lang w:eastAsia="en-GB"/>
          <w14:ligatures w14:val="none"/>
        </w:rPr>
        <w:t>pecific differences in TSH and f</w:t>
      </w:r>
      <w:r w:rsidRPr="00AA1EF7">
        <w:rPr>
          <w:rFonts w:ascii="Times New Roman" w:eastAsia="Times New Roman" w:hAnsi="Times New Roman" w:cs="Times New Roman"/>
          <w:color w:val="000000" w:themeColor="text1"/>
          <w:kern w:val="0"/>
          <w:lang w:eastAsia="en-GB"/>
          <w14:ligatures w14:val="none"/>
        </w:rPr>
        <w:t xml:space="preserve">T4 levels among the study population, which suggests that both women and men are affected by EMF exposure similarly but within the defined limits of parameters examined. </w:t>
      </w:r>
      <w:r w:rsidR="00674A0D" w:rsidRPr="00AA1EF7">
        <w:rPr>
          <w:rFonts w:ascii="Times New Roman" w:eastAsia="Times New Roman" w:hAnsi="Times New Roman" w:cs="Times New Roman"/>
          <w:color w:val="000000" w:themeColor="text1"/>
          <w:kern w:val="0"/>
          <w:lang w:eastAsia="en-GB"/>
          <w14:ligatures w14:val="none"/>
        </w:rPr>
        <w:t>Furthermore, the</w:t>
      </w:r>
      <w:r w:rsidRPr="00AA1EF7">
        <w:rPr>
          <w:rFonts w:ascii="Times New Roman" w:eastAsia="Times New Roman" w:hAnsi="Times New Roman" w:cs="Times New Roman"/>
          <w:color w:val="000000" w:themeColor="text1"/>
          <w:kern w:val="0"/>
          <w:lang w:eastAsia="en-GB"/>
          <w14:ligatures w14:val="none"/>
        </w:rPr>
        <w:t xml:space="preserve"> study also observed no </w:t>
      </w:r>
      <w:r w:rsidR="00674A0D" w:rsidRPr="00AA1EF7">
        <w:rPr>
          <w:rFonts w:ascii="Times New Roman" w:eastAsia="Times New Roman" w:hAnsi="Times New Roman" w:cs="Times New Roman"/>
          <w:color w:val="000000" w:themeColor="text1"/>
          <w:kern w:val="0"/>
          <w:lang w:eastAsia="en-GB"/>
          <w14:ligatures w14:val="none"/>
        </w:rPr>
        <w:t>significant changes in TSH and f</w:t>
      </w:r>
      <w:r w:rsidRPr="00AA1EF7">
        <w:rPr>
          <w:rFonts w:ascii="Times New Roman" w:eastAsia="Times New Roman" w:hAnsi="Times New Roman" w:cs="Times New Roman"/>
          <w:color w:val="000000" w:themeColor="text1"/>
          <w:kern w:val="0"/>
          <w:lang w:eastAsia="en-GB"/>
          <w14:ligatures w14:val="none"/>
        </w:rPr>
        <w:t>T4 levels between males and females</w:t>
      </w:r>
      <w:r w:rsidR="00674A0D" w:rsidRPr="00AA1EF7">
        <w:rPr>
          <w:rFonts w:ascii="Times New Roman" w:eastAsia="Times New Roman" w:hAnsi="Times New Roman" w:cs="Times New Roman"/>
          <w:color w:val="000000" w:themeColor="text1"/>
          <w:kern w:val="0"/>
          <w:lang w:eastAsia="en-GB"/>
          <w14:ligatures w14:val="none"/>
        </w:rPr>
        <w:t xml:space="preserve"> in the exposed group</w:t>
      </w:r>
      <w:r w:rsidRPr="00AA1EF7">
        <w:rPr>
          <w:rFonts w:ascii="Times New Roman" w:eastAsia="Times New Roman" w:hAnsi="Times New Roman" w:cs="Times New Roman"/>
          <w:color w:val="000000" w:themeColor="text1"/>
          <w:kern w:val="0"/>
          <w:lang w:eastAsia="en-GB"/>
          <w14:ligatures w14:val="none"/>
        </w:rPr>
        <w:t xml:space="preserve">. This gender-to-gender consistency supports the possibility that the responses of men and women to electromagnetic field exposure in terms of thyroid function are comparable, which strengthens the findings' applicability to the population under study. The reason being that thyroid hormones are involved in metabolism, growth and development. There were no marked differences, which imply </w:t>
      </w:r>
      <w:r w:rsidRPr="00AA1EF7">
        <w:rPr>
          <w:rFonts w:ascii="Times New Roman" w:eastAsia="Times New Roman" w:hAnsi="Times New Roman" w:cs="Times New Roman"/>
          <w:color w:val="000000" w:themeColor="text1"/>
          <w:kern w:val="0"/>
          <w:lang w:eastAsia="en-GB"/>
          <w14:ligatures w14:val="none"/>
        </w:rPr>
        <w:lastRenderedPageBreak/>
        <w:t>that EMF factor in ordinary life exposure may not alter the hormonal processes of the thyroid gland</w:t>
      </w:r>
      <w:r w:rsidR="00674A0D" w:rsidRPr="00AA1EF7">
        <w:rPr>
          <w:rFonts w:ascii="Times New Roman" w:eastAsia="Times New Roman" w:hAnsi="Times New Roman" w:cs="Times New Roman"/>
          <w:color w:val="000000" w:themeColor="text1"/>
          <w:kern w:val="0"/>
          <w:lang w:eastAsia="en-GB"/>
          <w14:ligatures w14:val="none"/>
        </w:rPr>
        <w:t xml:space="preserve"> at short-term</w:t>
      </w:r>
      <w:r w:rsidRPr="00AA1EF7">
        <w:rPr>
          <w:rFonts w:ascii="Times New Roman" w:eastAsia="Times New Roman" w:hAnsi="Times New Roman" w:cs="Times New Roman"/>
          <w:color w:val="000000" w:themeColor="text1"/>
          <w:kern w:val="0"/>
          <w:lang w:eastAsia="en-GB"/>
          <w14:ligatures w14:val="none"/>
        </w:rPr>
        <w:t xml:space="preserve">. The study, </w:t>
      </w:r>
      <w:r w:rsidR="00674A0D" w:rsidRPr="00AA1EF7">
        <w:rPr>
          <w:rFonts w:ascii="Times New Roman" w:eastAsia="Times New Roman" w:hAnsi="Times New Roman" w:cs="Times New Roman"/>
          <w:color w:val="000000" w:themeColor="text1"/>
          <w:kern w:val="0"/>
          <w:lang w:eastAsia="en-GB"/>
          <w14:ligatures w14:val="none"/>
        </w:rPr>
        <w:t xml:space="preserve">however, cannot rule out more </w:t>
      </w:r>
      <w:r w:rsidRPr="00AA1EF7">
        <w:rPr>
          <w:rFonts w:ascii="Times New Roman" w:eastAsia="Times New Roman" w:hAnsi="Times New Roman" w:cs="Times New Roman"/>
          <w:color w:val="000000" w:themeColor="text1"/>
          <w:kern w:val="0"/>
          <w:lang w:eastAsia="en-GB"/>
          <w14:ligatures w14:val="none"/>
        </w:rPr>
        <w:t>subtle or long-term effects which would not be registered by this research.</w:t>
      </w:r>
    </w:p>
    <w:p w14:paraId="421AB94E"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It is however of significance that </w:t>
      </w:r>
      <w:r w:rsidR="00674A0D" w:rsidRPr="00AA1EF7">
        <w:rPr>
          <w:rFonts w:ascii="Times New Roman" w:eastAsia="Times New Roman" w:hAnsi="Times New Roman" w:cs="Times New Roman"/>
          <w:color w:val="000000" w:themeColor="text1"/>
          <w:kern w:val="0"/>
          <w:lang w:eastAsia="en-GB"/>
          <w14:ligatures w14:val="none"/>
        </w:rPr>
        <w:t>the duration of EMF exposure had some effects on the levels of f</w:t>
      </w:r>
      <w:r w:rsidRPr="00AA1EF7">
        <w:rPr>
          <w:rFonts w:ascii="Times New Roman" w:eastAsia="Times New Roman" w:hAnsi="Times New Roman" w:cs="Times New Roman"/>
          <w:color w:val="000000" w:themeColor="text1"/>
          <w:kern w:val="0"/>
          <w:lang w:eastAsia="en-GB"/>
          <w14:ligatures w14:val="none"/>
        </w:rPr>
        <w:t xml:space="preserve">T4 </w:t>
      </w:r>
      <w:r w:rsidR="00674A0D" w:rsidRPr="00AA1EF7">
        <w:rPr>
          <w:rFonts w:ascii="Times New Roman" w:eastAsia="Times New Roman" w:hAnsi="Times New Roman" w:cs="Times New Roman"/>
          <w:color w:val="000000" w:themeColor="text1"/>
          <w:kern w:val="0"/>
          <w:lang w:eastAsia="en-GB"/>
          <w14:ligatures w14:val="none"/>
        </w:rPr>
        <w:t xml:space="preserve">which </w:t>
      </w:r>
      <w:r w:rsidRPr="00AA1EF7">
        <w:rPr>
          <w:rFonts w:ascii="Times New Roman" w:eastAsia="Times New Roman" w:hAnsi="Times New Roman" w:cs="Times New Roman"/>
          <w:color w:val="000000" w:themeColor="text1"/>
          <w:kern w:val="0"/>
          <w:lang w:eastAsia="en-GB"/>
          <w14:ligatures w14:val="none"/>
        </w:rPr>
        <w:t xml:space="preserve">was </w:t>
      </w:r>
      <w:r w:rsidR="00674A0D" w:rsidRPr="00AA1EF7">
        <w:rPr>
          <w:rFonts w:ascii="Times New Roman" w:eastAsia="Times New Roman" w:hAnsi="Times New Roman" w:cs="Times New Roman"/>
          <w:color w:val="000000" w:themeColor="text1"/>
          <w:kern w:val="0"/>
          <w:lang w:eastAsia="en-GB"/>
          <w14:ligatures w14:val="none"/>
        </w:rPr>
        <w:t>significantly higher in</w:t>
      </w:r>
      <w:r w:rsidRPr="00AA1EF7">
        <w:rPr>
          <w:rFonts w:ascii="Times New Roman" w:eastAsia="Times New Roman" w:hAnsi="Times New Roman" w:cs="Times New Roman"/>
          <w:color w:val="000000" w:themeColor="text1"/>
          <w:kern w:val="0"/>
          <w:lang w:eastAsia="en-GB"/>
          <w14:ligatures w14:val="none"/>
        </w:rPr>
        <w:t xml:space="preserve"> those exposed to EMF for duration of six to ten years when compared to shorter exposure periods of less than one y</w:t>
      </w:r>
      <w:r w:rsidR="00674A0D" w:rsidRPr="00AA1EF7">
        <w:rPr>
          <w:rFonts w:ascii="Times New Roman" w:eastAsia="Times New Roman" w:hAnsi="Times New Roman" w:cs="Times New Roman"/>
          <w:color w:val="000000" w:themeColor="text1"/>
          <w:kern w:val="0"/>
          <w:lang w:eastAsia="en-GB"/>
          <w14:ligatures w14:val="none"/>
        </w:rPr>
        <w:t>ear. </w:t>
      </w:r>
      <w:commentRangeStart w:id="4"/>
      <w:r w:rsidR="00B453A8" w:rsidRPr="00AA1EF7">
        <w:rPr>
          <w:rFonts w:ascii="Times New Roman" w:eastAsia="Times New Roman" w:hAnsi="Times New Roman" w:cs="Times New Roman"/>
          <w:color w:val="000000" w:themeColor="text1"/>
          <w:kern w:val="0"/>
          <w:lang w:eastAsia="en-GB"/>
          <w14:ligatures w14:val="none"/>
        </w:rPr>
        <w:t xml:space="preserve">This is partly in keeping with report of Kim </w:t>
      </w:r>
      <w:r w:rsidR="00B453A8" w:rsidRPr="00AA1EF7">
        <w:rPr>
          <w:rFonts w:ascii="Times New Roman" w:eastAsia="Times New Roman" w:hAnsi="Times New Roman" w:cs="Times New Roman"/>
          <w:i/>
          <w:color w:val="000000" w:themeColor="text1"/>
          <w:kern w:val="0"/>
          <w:lang w:eastAsia="en-GB"/>
          <w14:ligatures w14:val="none"/>
        </w:rPr>
        <w:t>et al</w:t>
      </w:r>
      <w:r w:rsidR="00B453A8" w:rsidRPr="00AA1EF7">
        <w:rPr>
          <w:rFonts w:ascii="Times New Roman" w:eastAsia="Times New Roman" w:hAnsi="Times New Roman" w:cs="Times New Roman"/>
          <w:color w:val="000000" w:themeColor="text1"/>
          <w:kern w:val="0"/>
          <w:lang w:eastAsia="en-GB"/>
          <w14:ligatures w14:val="none"/>
        </w:rPr>
        <w:t xml:space="preserve">. (2024) on </w:t>
      </w:r>
      <w:r w:rsidR="00B453A8" w:rsidRPr="00AA1EF7">
        <w:rPr>
          <w:rFonts w:ascii="Times New Roman" w:hAnsi="Times New Roman" w:cs="Times New Roman"/>
          <w:color w:val="000000" w:themeColor="text1"/>
        </w:rPr>
        <w:t xml:space="preserve">Effects of 4G Long-Term Evolution Electromagnetic Fields on Thyroid Hormone Dysfunction and </w:t>
      </w:r>
      <w:proofErr w:type="spellStart"/>
      <w:r w:rsidR="00B453A8" w:rsidRPr="00AA1EF7">
        <w:rPr>
          <w:rFonts w:ascii="Times New Roman" w:hAnsi="Times New Roman" w:cs="Times New Roman"/>
          <w:color w:val="000000" w:themeColor="text1"/>
        </w:rPr>
        <w:t>Behavioral</w:t>
      </w:r>
      <w:proofErr w:type="spellEnd"/>
      <w:r w:rsidR="00B453A8" w:rsidRPr="00AA1EF7">
        <w:rPr>
          <w:rFonts w:ascii="Times New Roman" w:hAnsi="Times New Roman" w:cs="Times New Roman"/>
          <w:color w:val="000000" w:themeColor="text1"/>
        </w:rPr>
        <w:t xml:space="preserve"> Changes in Adolescent Male Mice </w:t>
      </w:r>
      <w:r w:rsidR="00B453A8" w:rsidRPr="00AA1EF7">
        <w:rPr>
          <w:rFonts w:ascii="Times New Roman" w:eastAsia="Times New Roman" w:hAnsi="Times New Roman" w:cs="Times New Roman"/>
          <w:color w:val="000000" w:themeColor="text1"/>
          <w:kern w:val="0"/>
          <w:lang w:eastAsia="en-GB"/>
          <w14:ligatures w14:val="none"/>
        </w:rPr>
        <w:t xml:space="preserve">which found </w:t>
      </w:r>
      <w:r w:rsidR="00B453A8" w:rsidRPr="00AA1EF7">
        <w:rPr>
          <w:rFonts w:ascii="Times New Roman" w:hAnsi="Times New Roman" w:cs="Times New Roman"/>
          <w:color w:val="000000" w:themeColor="text1"/>
        </w:rPr>
        <w:t>T3 levels were significantly elevated in the mice exposed to LTE during adolescence compared to the sham group, while TSH and T4 levels remained unchanged.</w:t>
      </w:r>
      <w:r w:rsidR="00674A0D" w:rsidRPr="00AA1EF7">
        <w:rPr>
          <w:rFonts w:ascii="Times New Roman" w:eastAsia="Times New Roman" w:hAnsi="Times New Roman" w:cs="Times New Roman"/>
          <w:color w:val="000000" w:themeColor="text1"/>
          <w:kern w:val="0"/>
          <w:lang w:eastAsia="en-GB"/>
          <w14:ligatures w14:val="none"/>
        </w:rPr>
        <w:t xml:space="preserve"> </w:t>
      </w:r>
      <w:commentRangeEnd w:id="4"/>
      <w:r w:rsidR="005D445F">
        <w:rPr>
          <w:rStyle w:val="CommentReference"/>
        </w:rPr>
        <w:commentReference w:id="4"/>
      </w:r>
      <w:commentRangeStart w:id="5"/>
      <w:r w:rsidR="00F90355" w:rsidRPr="00AA1EF7">
        <w:rPr>
          <w:rFonts w:ascii="Times New Roman" w:eastAsia="Times New Roman" w:hAnsi="Times New Roman" w:cs="Times New Roman"/>
          <w:color w:val="000000" w:themeColor="text1"/>
          <w:kern w:val="0"/>
          <w:lang w:eastAsia="en-GB"/>
          <w14:ligatures w14:val="none"/>
        </w:rPr>
        <w:t>On the other hand</w:t>
      </w:r>
      <w:r w:rsidR="00CB2070" w:rsidRPr="00AA1EF7">
        <w:rPr>
          <w:rFonts w:ascii="Times New Roman" w:eastAsia="Times New Roman" w:hAnsi="Times New Roman" w:cs="Times New Roman"/>
          <w:color w:val="000000" w:themeColor="text1"/>
          <w:kern w:val="0"/>
          <w:lang w:eastAsia="en-GB"/>
          <w14:ligatures w14:val="none"/>
        </w:rPr>
        <w:t>,</w:t>
      </w:r>
      <w:r w:rsidR="00F90355" w:rsidRPr="00AA1EF7">
        <w:rPr>
          <w:rFonts w:ascii="Times New Roman" w:eastAsia="Times New Roman" w:hAnsi="Times New Roman" w:cs="Times New Roman"/>
          <w:color w:val="000000" w:themeColor="text1"/>
          <w:kern w:val="0"/>
          <w:lang w:eastAsia="en-GB"/>
          <w14:ligatures w14:val="none"/>
        </w:rPr>
        <w:t xml:space="preserve"> </w:t>
      </w:r>
      <w:proofErr w:type="spellStart"/>
      <w:r w:rsidR="00F90355" w:rsidRPr="00AA1EF7">
        <w:rPr>
          <w:rFonts w:ascii="Times New Roman" w:eastAsia="Times New Roman" w:hAnsi="Times New Roman" w:cs="Times New Roman"/>
          <w:color w:val="000000" w:themeColor="text1"/>
          <w:kern w:val="0"/>
          <w:lang w:eastAsia="en-GB"/>
          <w14:ligatures w14:val="none"/>
        </w:rPr>
        <w:t>Zufry</w:t>
      </w:r>
      <w:proofErr w:type="spellEnd"/>
      <w:r w:rsidR="00F90355" w:rsidRPr="00AA1EF7">
        <w:rPr>
          <w:rFonts w:ascii="Times New Roman" w:eastAsia="Times New Roman" w:hAnsi="Times New Roman" w:cs="Times New Roman"/>
          <w:color w:val="000000" w:themeColor="text1"/>
          <w:kern w:val="0"/>
          <w:lang w:eastAsia="en-GB"/>
          <w14:ligatures w14:val="none"/>
        </w:rPr>
        <w:t xml:space="preserve"> </w:t>
      </w:r>
      <w:r w:rsidR="00F90355" w:rsidRPr="00AA1EF7">
        <w:rPr>
          <w:rFonts w:ascii="Times New Roman" w:eastAsia="Times New Roman" w:hAnsi="Times New Roman" w:cs="Times New Roman"/>
          <w:i/>
          <w:color w:val="000000" w:themeColor="text1"/>
          <w:kern w:val="0"/>
          <w:lang w:eastAsia="en-GB"/>
          <w14:ligatures w14:val="none"/>
        </w:rPr>
        <w:t>et al</w:t>
      </w:r>
      <w:r w:rsidR="00F90355" w:rsidRPr="00AA1EF7">
        <w:rPr>
          <w:rFonts w:ascii="Times New Roman" w:eastAsia="Times New Roman" w:hAnsi="Times New Roman" w:cs="Times New Roman"/>
          <w:color w:val="000000" w:themeColor="text1"/>
          <w:kern w:val="0"/>
          <w:lang w:eastAsia="en-GB"/>
          <w14:ligatures w14:val="none"/>
        </w:rPr>
        <w:t xml:space="preserve">. (2023) found </w:t>
      </w:r>
      <w:r w:rsidR="00F90355" w:rsidRPr="00AA1EF7">
        <w:rPr>
          <w:rFonts w:ascii="Times New Roman" w:hAnsi="Times New Roman" w:cs="Times New Roman"/>
          <w:color w:val="000000" w:themeColor="text1"/>
        </w:rPr>
        <w:t>a significant reduction in TSH, T</w:t>
      </w:r>
      <w:r w:rsidR="00F90355" w:rsidRPr="00AA1EF7">
        <w:rPr>
          <w:rFonts w:ascii="Times New Roman" w:hAnsi="Times New Roman" w:cs="Times New Roman"/>
          <w:color w:val="000000" w:themeColor="text1"/>
          <w:vertAlign w:val="subscript"/>
        </w:rPr>
        <w:t>4</w:t>
      </w:r>
      <w:r w:rsidR="00F90355" w:rsidRPr="00AA1EF7">
        <w:rPr>
          <w:rFonts w:ascii="Times New Roman" w:hAnsi="Times New Roman" w:cs="Times New Roman"/>
          <w:color w:val="000000" w:themeColor="text1"/>
        </w:rPr>
        <w:t xml:space="preserve"> following their study </w:t>
      </w:r>
      <w:r w:rsidR="00CB2070" w:rsidRPr="00AA1EF7">
        <w:rPr>
          <w:rFonts w:ascii="Times New Roman" w:hAnsi="Times New Roman" w:cs="Times New Roman"/>
          <w:color w:val="000000" w:themeColor="text1"/>
        </w:rPr>
        <w:t xml:space="preserve">on Effects of mobile phone electromagnetic radiation on thyroid glands and hormones in </w:t>
      </w:r>
      <w:r w:rsidR="00CB2070" w:rsidRPr="00AA1EF7">
        <w:rPr>
          <w:rFonts w:ascii="Times New Roman" w:hAnsi="Times New Roman" w:cs="Times New Roman"/>
          <w:i/>
          <w:color w:val="000000" w:themeColor="text1"/>
        </w:rPr>
        <w:t>Rattus norvegicus</w:t>
      </w:r>
      <w:r w:rsidR="00CB2070" w:rsidRPr="00AA1EF7">
        <w:rPr>
          <w:rFonts w:ascii="Times New Roman" w:hAnsi="Times New Roman" w:cs="Times New Roman"/>
          <w:color w:val="000000" w:themeColor="text1"/>
        </w:rPr>
        <w:t xml:space="preserve"> brain: An analysis of thyroid function, reactive oxygen species, and monocarboxylate transporter 8 </w:t>
      </w:r>
      <w:commentRangeEnd w:id="5"/>
      <w:r w:rsidR="005D445F">
        <w:rPr>
          <w:rStyle w:val="CommentReference"/>
        </w:rPr>
        <w:commentReference w:id="5"/>
      </w:r>
      <w:r w:rsidR="00CB2070" w:rsidRPr="00AA1EF7">
        <w:rPr>
          <w:rFonts w:ascii="Times New Roman" w:hAnsi="Times New Roman" w:cs="Times New Roman"/>
          <w:color w:val="000000" w:themeColor="text1"/>
        </w:rPr>
        <w:t xml:space="preserve">which is in variance with the current findings.  </w:t>
      </w:r>
      <w:r w:rsidR="00674A0D" w:rsidRPr="00AA1EF7">
        <w:rPr>
          <w:rFonts w:ascii="Times New Roman" w:eastAsia="Times New Roman" w:hAnsi="Times New Roman" w:cs="Times New Roman"/>
          <w:color w:val="000000" w:themeColor="text1"/>
          <w:kern w:val="0"/>
          <w:lang w:eastAsia="en-GB"/>
          <w14:ligatures w14:val="none"/>
        </w:rPr>
        <w:t>Despite the f</w:t>
      </w:r>
      <w:r w:rsidRPr="00AA1EF7">
        <w:rPr>
          <w:rFonts w:ascii="Times New Roman" w:eastAsia="Times New Roman" w:hAnsi="Times New Roman" w:cs="Times New Roman"/>
          <w:color w:val="000000" w:themeColor="text1"/>
          <w:kern w:val="0"/>
          <w:lang w:eastAsia="en-GB"/>
          <w14:ligatures w14:val="none"/>
        </w:rPr>
        <w:t>T4 levels being high</w:t>
      </w:r>
      <w:r w:rsidR="009F59A7" w:rsidRPr="00AA1EF7">
        <w:rPr>
          <w:rFonts w:ascii="Times New Roman" w:eastAsia="Times New Roman" w:hAnsi="Times New Roman" w:cs="Times New Roman"/>
          <w:color w:val="000000" w:themeColor="text1"/>
          <w:kern w:val="0"/>
          <w:lang w:eastAsia="en-GB"/>
          <w14:ligatures w14:val="none"/>
        </w:rPr>
        <w:t>er in this study</w:t>
      </w:r>
      <w:r w:rsidRPr="00AA1EF7">
        <w:rPr>
          <w:rFonts w:ascii="Times New Roman" w:eastAsia="Times New Roman" w:hAnsi="Times New Roman" w:cs="Times New Roman"/>
          <w:color w:val="000000" w:themeColor="text1"/>
          <w:kern w:val="0"/>
          <w:lang w:eastAsia="en-GB"/>
          <w14:ligatures w14:val="none"/>
        </w:rPr>
        <w:t xml:space="preserve">, the results of TSH analysis conducted in those with prolonged exposure &gt; 10 years are within range.  There were no discernible variations in TSH levels based to exposure length. This stability in TSH levels implies that the pituitary-thyroid axis maintains a mostly intact regulatory function over the course of the study, even in the face of fluctuations in FT4, </w:t>
      </w:r>
      <w:r w:rsidR="00674A0D" w:rsidRPr="00AA1EF7">
        <w:rPr>
          <w:rFonts w:ascii="Times New Roman" w:eastAsia="Times New Roman" w:hAnsi="Times New Roman" w:cs="Times New Roman"/>
          <w:color w:val="000000" w:themeColor="text1"/>
          <w:kern w:val="0"/>
          <w:lang w:eastAsia="en-GB"/>
          <w14:ligatures w14:val="none"/>
        </w:rPr>
        <w:t>these fluctuations</w:t>
      </w:r>
      <w:r w:rsidRPr="00AA1EF7">
        <w:rPr>
          <w:rFonts w:ascii="Times New Roman" w:eastAsia="Times New Roman" w:hAnsi="Times New Roman" w:cs="Times New Roman"/>
          <w:color w:val="000000" w:themeColor="text1"/>
          <w:kern w:val="0"/>
          <w:lang w:eastAsia="en-GB"/>
          <w14:ligatures w14:val="none"/>
        </w:rPr>
        <w:t xml:space="preserve"> may be as a result of EMF affecting iodine uptake in the thyroid gland, increasing the pituitary gland temperature and trigger a rise in serum cortisol levels, inhibiting the conversion of T4 to T3, there by leading to an increas</w:t>
      </w:r>
      <w:r w:rsidR="00674A0D" w:rsidRPr="00AA1EF7">
        <w:rPr>
          <w:rFonts w:ascii="Times New Roman" w:eastAsia="Times New Roman" w:hAnsi="Times New Roman" w:cs="Times New Roman"/>
          <w:color w:val="000000" w:themeColor="text1"/>
          <w:kern w:val="0"/>
          <w:lang w:eastAsia="en-GB"/>
          <w14:ligatures w14:val="none"/>
        </w:rPr>
        <w:t>e in FT4</w:t>
      </w:r>
      <w:r w:rsidRPr="00AA1EF7">
        <w:rPr>
          <w:rFonts w:ascii="Times New Roman" w:eastAsia="Times New Roman" w:hAnsi="Times New Roman" w:cs="Times New Roman"/>
          <w:color w:val="000000" w:themeColor="text1"/>
          <w:kern w:val="0"/>
          <w:lang w:eastAsia="en-GB"/>
          <w14:ligatures w14:val="none"/>
        </w:rPr>
        <w:t xml:space="preserve"> (</w:t>
      </w:r>
      <w:proofErr w:type="spellStart"/>
      <w:r w:rsidRPr="00AA1EF7">
        <w:rPr>
          <w:rFonts w:ascii="Times New Roman" w:eastAsia="Times New Roman" w:hAnsi="Times New Roman" w:cs="Times New Roman"/>
          <w:color w:val="000000" w:themeColor="text1"/>
          <w:kern w:val="0"/>
          <w:lang w:eastAsia="en-GB"/>
          <w14:ligatures w14:val="none"/>
        </w:rPr>
        <w:t>Zufry</w:t>
      </w:r>
      <w:proofErr w:type="spellEnd"/>
      <w:r w:rsidRPr="00AA1EF7">
        <w:rPr>
          <w:rFonts w:ascii="Times New Roman" w:eastAsia="Times New Roman" w:hAnsi="Times New Roman" w:cs="Times New Roman"/>
          <w:color w:val="000000" w:themeColor="text1"/>
          <w:kern w:val="0"/>
          <w:lang w:eastAsia="en-GB"/>
          <w14:ligatures w14:val="none"/>
        </w:rPr>
        <w:t xml:space="preserve"> </w:t>
      </w:r>
      <w:r w:rsidRPr="00AA1EF7">
        <w:rPr>
          <w:rFonts w:ascii="Times New Roman" w:eastAsia="Times New Roman" w:hAnsi="Times New Roman" w:cs="Times New Roman"/>
          <w:i/>
          <w:color w:val="000000" w:themeColor="text1"/>
          <w:kern w:val="0"/>
          <w:lang w:eastAsia="en-GB"/>
          <w14:ligatures w14:val="none"/>
        </w:rPr>
        <w:t xml:space="preserve">et al., </w:t>
      </w:r>
      <w:r w:rsidRPr="00AA1EF7">
        <w:rPr>
          <w:rFonts w:ascii="Times New Roman" w:eastAsia="Times New Roman" w:hAnsi="Times New Roman" w:cs="Times New Roman"/>
          <w:color w:val="000000" w:themeColor="text1"/>
          <w:kern w:val="0"/>
          <w:lang w:eastAsia="en-GB"/>
          <w14:ligatures w14:val="none"/>
        </w:rPr>
        <w:t xml:space="preserve">2024). </w:t>
      </w:r>
      <w:commentRangeStart w:id="6"/>
      <w:r w:rsidRPr="00AA1EF7">
        <w:rPr>
          <w:rFonts w:ascii="Times New Roman" w:eastAsia="Times New Roman" w:hAnsi="Times New Roman" w:cs="Times New Roman"/>
          <w:color w:val="000000" w:themeColor="text1"/>
          <w:kern w:val="0"/>
          <w:lang w:eastAsia="en-GB"/>
          <w14:ligatures w14:val="none"/>
        </w:rPr>
        <w:t>These results highlight the significance of long-term thyroid function monitoring in EMF-exposed populations, since seemingly insignificant early alterations may develop into disorders with practical implications</w:t>
      </w:r>
      <w:commentRangeEnd w:id="6"/>
      <w:r w:rsidR="005D445F">
        <w:rPr>
          <w:rStyle w:val="CommentReference"/>
        </w:rPr>
        <w:commentReference w:id="6"/>
      </w:r>
      <w:r w:rsidRPr="00AA1EF7">
        <w:rPr>
          <w:rFonts w:ascii="Times New Roman" w:eastAsia="Times New Roman" w:hAnsi="Times New Roman" w:cs="Times New Roman"/>
          <w:color w:val="000000" w:themeColor="text1"/>
          <w:kern w:val="0"/>
          <w:lang w:eastAsia="en-GB"/>
          <w14:ligatures w14:val="none"/>
        </w:rPr>
        <w:t>.</w:t>
      </w:r>
    </w:p>
    <w:p w14:paraId="1643B955"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The results of this investigation add to our understanding of the effects of high-tension wire EMF exposure on </w:t>
      </w:r>
      <w:r w:rsidR="00B238DE" w:rsidRPr="00AA1EF7">
        <w:rPr>
          <w:rFonts w:ascii="Times New Roman" w:eastAsia="Times New Roman" w:hAnsi="Times New Roman" w:cs="Times New Roman"/>
          <w:color w:val="000000" w:themeColor="text1"/>
          <w:kern w:val="0"/>
          <w:lang w:eastAsia="en-GB"/>
          <w14:ligatures w14:val="none"/>
        </w:rPr>
        <w:t>thyroid function</w:t>
      </w:r>
      <w:r w:rsidRPr="00AA1EF7">
        <w:rPr>
          <w:rFonts w:ascii="Times New Roman" w:eastAsia="Times New Roman" w:hAnsi="Times New Roman" w:cs="Times New Roman"/>
          <w:color w:val="000000" w:themeColor="text1"/>
          <w:kern w:val="0"/>
          <w:lang w:eastAsia="en-GB"/>
          <w14:ligatures w14:val="none"/>
        </w:rPr>
        <w:t>. The findings highlight the need for continued research and public health surveillance, even though they do not show any appreciable changes in thyroid function</w:t>
      </w:r>
      <w:r w:rsidR="00B238DE" w:rsidRPr="00AA1EF7">
        <w:rPr>
          <w:rFonts w:ascii="Times New Roman" w:eastAsia="Times New Roman" w:hAnsi="Times New Roman" w:cs="Times New Roman"/>
          <w:color w:val="000000" w:themeColor="text1"/>
          <w:kern w:val="0"/>
          <w:lang w:eastAsia="en-GB"/>
          <w14:ligatures w14:val="none"/>
        </w:rPr>
        <w:t>.</w:t>
      </w:r>
      <w:r w:rsidRPr="00AA1EF7">
        <w:rPr>
          <w:rFonts w:ascii="Times New Roman" w:eastAsia="Times New Roman" w:hAnsi="Times New Roman" w:cs="Times New Roman"/>
          <w:color w:val="000000" w:themeColor="text1"/>
          <w:kern w:val="0"/>
          <w:lang w:eastAsia="en-GB"/>
          <w14:ligatures w14:val="none"/>
        </w:rPr>
        <w:t xml:space="preserve"> Additionally, the</w:t>
      </w:r>
      <w:r w:rsidR="00B238DE" w:rsidRPr="00AA1EF7">
        <w:rPr>
          <w:rFonts w:ascii="Times New Roman" w:eastAsia="Times New Roman" w:hAnsi="Times New Roman" w:cs="Times New Roman"/>
          <w:color w:val="000000" w:themeColor="text1"/>
          <w:kern w:val="0"/>
          <w:lang w:eastAsia="en-GB"/>
          <w14:ligatures w14:val="none"/>
        </w:rPr>
        <w:t xml:space="preserve"> observed alterations in f</w:t>
      </w:r>
      <w:r w:rsidRPr="00AA1EF7">
        <w:rPr>
          <w:rFonts w:ascii="Times New Roman" w:eastAsia="Times New Roman" w:hAnsi="Times New Roman" w:cs="Times New Roman"/>
          <w:color w:val="000000" w:themeColor="text1"/>
          <w:kern w:val="0"/>
          <w:lang w:eastAsia="en-GB"/>
          <w14:ligatures w14:val="none"/>
        </w:rPr>
        <w:t xml:space="preserve">T4 with extended exposure, are concerning. Given that electromagnetic fields (EMF) are omnipresent in contemporary settings, particularly in metropolitan regions with substantial electrical infrastructure, public health policies ought to take long-term EMF exposure monitoring and control into account. The results of the present study </w:t>
      </w:r>
      <w:r w:rsidRPr="00AA1EF7">
        <w:rPr>
          <w:rFonts w:ascii="Times New Roman" w:eastAsia="Times New Roman" w:hAnsi="Times New Roman" w:cs="Times New Roman"/>
          <w:color w:val="000000" w:themeColor="text1"/>
          <w:kern w:val="0"/>
          <w:lang w:eastAsia="en-GB"/>
          <w14:ligatures w14:val="none"/>
        </w:rPr>
        <w:lastRenderedPageBreak/>
        <w:t>indicate certain areas of worry that require more research, even though they also offer some comfort regarding the absence of any immediate, major health effects.</w:t>
      </w:r>
    </w:p>
    <w:p w14:paraId="3F29BD1B" w14:textId="77777777" w:rsidR="00C060A2" w:rsidRPr="00AA1EF7" w:rsidRDefault="00C060A2" w:rsidP="00AA1EF7">
      <w:pPr>
        <w:spacing w:after="0" w:line="360" w:lineRule="auto"/>
        <w:jc w:val="both"/>
        <w:rPr>
          <w:rFonts w:ascii="Times New Roman" w:eastAsia="Times New Roman" w:hAnsi="Times New Roman" w:cs="Times New Roman"/>
          <w:color w:val="000000" w:themeColor="text1"/>
          <w:kern w:val="0"/>
          <w:lang w:eastAsia="en-GB"/>
          <w14:ligatures w14:val="none"/>
        </w:rPr>
      </w:pPr>
    </w:p>
    <w:p w14:paraId="3F489CBC" w14:textId="77777777" w:rsidR="00C060A2" w:rsidRPr="00AA1EF7" w:rsidRDefault="00C060A2" w:rsidP="00AA1EF7">
      <w:pPr>
        <w:spacing w:line="360" w:lineRule="auto"/>
        <w:jc w:val="both"/>
        <w:rPr>
          <w:rFonts w:ascii="Times New Roman" w:eastAsia="Times New Roman" w:hAnsi="Times New Roman" w:cs="Times New Roman"/>
          <w:b/>
          <w:color w:val="000000" w:themeColor="text1"/>
          <w:kern w:val="0"/>
          <w:lang w:eastAsia="en-GB"/>
          <w14:ligatures w14:val="none"/>
        </w:rPr>
      </w:pPr>
      <w:r w:rsidRPr="00AA1EF7">
        <w:rPr>
          <w:rFonts w:ascii="Times New Roman" w:eastAsia="Times New Roman" w:hAnsi="Times New Roman" w:cs="Times New Roman"/>
          <w:b/>
          <w:color w:val="000000" w:themeColor="text1"/>
          <w:kern w:val="0"/>
          <w:lang w:eastAsia="en-GB"/>
          <w14:ligatures w14:val="none"/>
        </w:rPr>
        <w:t>Conclusion</w:t>
      </w:r>
    </w:p>
    <w:p w14:paraId="5FB1AFA9" w14:textId="77777777" w:rsidR="00C060A2" w:rsidRPr="00AA1EF7" w:rsidRDefault="00C060A2" w:rsidP="00AA1EF7">
      <w:pPr>
        <w:spacing w:line="360" w:lineRule="auto"/>
        <w:jc w:val="both"/>
        <w:rPr>
          <w:rFonts w:ascii="Times New Roman" w:eastAsia="Times New Roman" w:hAnsi="Times New Roman" w:cs="Times New Roman"/>
          <w:color w:val="000000" w:themeColor="text1"/>
          <w:kern w:val="0"/>
          <w:lang w:eastAsia="en-GB"/>
          <w14:ligatures w14:val="none"/>
        </w:rPr>
      </w:pPr>
      <w:r w:rsidRPr="00AA1EF7">
        <w:rPr>
          <w:rFonts w:ascii="Times New Roman" w:eastAsia="Times New Roman" w:hAnsi="Times New Roman" w:cs="Times New Roman"/>
          <w:color w:val="000000" w:themeColor="text1"/>
          <w:kern w:val="0"/>
          <w:lang w:eastAsia="en-GB"/>
          <w14:ligatures w14:val="none"/>
        </w:rPr>
        <w:t xml:space="preserve">In conclusion, the study provides valuable insights into the health impacts of EMF exposure from overhead high-tension wires. While the overall thyroid function appears unaffected in the short term, </w:t>
      </w:r>
      <w:r w:rsidR="00B238DE" w:rsidRPr="00AA1EF7">
        <w:rPr>
          <w:rFonts w:ascii="Times New Roman" w:eastAsia="Times New Roman" w:hAnsi="Times New Roman" w:cs="Times New Roman"/>
          <w:color w:val="000000" w:themeColor="text1"/>
          <w:kern w:val="0"/>
          <w:lang w:eastAsia="en-GB"/>
          <w14:ligatures w14:val="none"/>
        </w:rPr>
        <w:t>the increase in f</w:t>
      </w:r>
      <w:r w:rsidRPr="00AA1EF7">
        <w:rPr>
          <w:rFonts w:ascii="Times New Roman" w:eastAsia="Times New Roman" w:hAnsi="Times New Roman" w:cs="Times New Roman"/>
          <w:color w:val="000000" w:themeColor="text1"/>
          <w:kern w:val="0"/>
          <w:lang w:eastAsia="en-GB"/>
          <w14:ligatures w14:val="none"/>
        </w:rPr>
        <w:t>T4 with prolonged exposure highlight areas of concern that require further investigation. These findings support the need for continued monitoring and research to ensure public health safety in environments with significant EMF exposure. The study also underscores the importance of considering both short-term and long-term effects in assessing the health risks associated with EMF, guiding future research and public health policies.</w:t>
      </w:r>
    </w:p>
    <w:p w14:paraId="3EACDEA8" w14:textId="77777777" w:rsidR="00C060A2" w:rsidRPr="00AA1EF7" w:rsidRDefault="00C060A2" w:rsidP="00AA1EF7">
      <w:pPr>
        <w:spacing w:line="360" w:lineRule="auto"/>
        <w:jc w:val="both"/>
        <w:rPr>
          <w:rFonts w:ascii="Times New Roman" w:hAnsi="Times New Roman" w:cs="Times New Roman"/>
          <w:b/>
          <w:color w:val="000000" w:themeColor="text1"/>
        </w:rPr>
      </w:pPr>
      <w:commentRangeStart w:id="7"/>
      <w:r w:rsidRPr="00AA1EF7">
        <w:rPr>
          <w:rFonts w:ascii="Times New Roman" w:hAnsi="Times New Roman" w:cs="Times New Roman"/>
          <w:b/>
          <w:color w:val="000000" w:themeColor="text1"/>
        </w:rPr>
        <w:t xml:space="preserve">Recommendations </w:t>
      </w:r>
    </w:p>
    <w:p w14:paraId="08E69AF7"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Longitudinal Studies: Future research should focus on long-term, longitudinal studies to track the health impacts of EMF exposure over extended periods. This will help in understanding cumulative effects and potential delayed onset of health issues.</w:t>
      </w:r>
    </w:p>
    <w:p w14:paraId="11D3B798"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Broader Biomarker Analysis: Expanding the range of biomarkers </w:t>
      </w:r>
      <w:proofErr w:type="spellStart"/>
      <w:r w:rsidR="000A2469" w:rsidRPr="00AA1EF7">
        <w:rPr>
          <w:rFonts w:ascii="Times New Roman" w:hAnsi="Times New Roman" w:cs="Times New Roman"/>
          <w:color w:val="000000" w:themeColor="text1"/>
        </w:rPr>
        <w:t>analyzed</w:t>
      </w:r>
      <w:proofErr w:type="spellEnd"/>
      <w:r w:rsidRPr="00AA1EF7">
        <w:rPr>
          <w:rFonts w:ascii="Times New Roman" w:hAnsi="Times New Roman" w:cs="Times New Roman"/>
          <w:color w:val="000000" w:themeColor="text1"/>
        </w:rPr>
        <w:t xml:space="preserve"> could provide a more comprehensive understanding of EMF's impact on health. This includes investigating oxidative stress markers, inflammatory cytokines, and other endocrine hormones.</w:t>
      </w:r>
    </w:p>
    <w:p w14:paraId="02370F19" w14:textId="77777777" w:rsidR="00C060A2" w:rsidRPr="00AA1EF7" w:rsidRDefault="00C060A2" w:rsidP="00AA1EF7">
      <w:pPr>
        <w:pStyle w:val="ListParagraph"/>
        <w:numPr>
          <w:ilvl w:val="0"/>
          <w:numId w:val="6"/>
        </w:num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Vulnerable Populations: Special attention should be given to vulnerable populations, such as children, pregnant women, and individuals with pre-existing health conditions, to determine if they are more susceptible to EMF exposure.</w:t>
      </w:r>
      <w:commentRangeEnd w:id="7"/>
      <w:r w:rsidR="005D445F">
        <w:rPr>
          <w:rStyle w:val="CommentReference"/>
        </w:rPr>
        <w:commentReference w:id="7"/>
      </w:r>
    </w:p>
    <w:p w14:paraId="154AF37F" w14:textId="77777777" w:rsidR="00AA1EF7" w:rsidRDefault="00AA1EF7" w:rsidP="00AA1EF7">
      <w:pPr>
        <w:spacing w:line="360" w:lineRule="auto"/>
        <w:jc w:val="both"/>
        <w:rPr>
          <w:rFonts w:ascii="Times New Roman" w:hAnsi="Times New Roman" w:cs="Times New Roman"/>
          <w:b/>
          <w:color w:val="000000" w:themeColor="text1"/>
        </w:rPr>
      </w:pPr>
    </w:p>
    <w:p w14:paraId="776C1891" w14:textId="77777777" w:rsidR="00AA1EF7" w:rsidRDefault="00AA1EF7" w:rsidP="00AA1EF7">
      <w:pPr>
        <w:spacing w:line="360" w:lineRule="auto"/>
        <w:jc w:val="both"/>
        <w:rPr>
          <w:rFonts w:ascii="Times New Roman" w:hAnsi="Times New Roman" w:cs="Times New Roman"/>
          <w:b/>
          <w:color w:val="000000" w:themeColor="text1"/>
        </w:rPr>
      </w:pPr>
    </w:p>
    <w:p w14:paraId="08F763D2" w14:textId="77777777" w:rsidR="00AA1EF7" w:rsidRDefault="00AA1EF7" w:rsidP="00AA1EF7">
      <w:pPr>
        <w:spacing w:line="360" w:lineRule="auto"/>
        <w:jc w:val="both"/>
        <w:rPr>
          <w:rFonts w:ascii="Times New Roman" w:hAnsi="Times New Roman" w:cs="Times New Roman"/>
          <w:b/>
          <w:color w:val="000000" w:themeColor="text1"/>
        </w:rPr>
      </w:pPr>
    </w:p>
    <w:p w14:paraId="15BD2D8F" w14:textId="77777777" w:rsidR="00DD2D91" w:rsidRPr="00AA1EF7" w:rsidRDefault="00DD2D91" w:rsidP="00AA1EF7">
      <w:pPr>
        <w:spacing w:line="360" w:lineRule="auto"/>
        <w:jc w:val="both"/>
        <w:rPr>
          <w:rFonts w:ascii="Times New Roman" w:hAnsi="Times New Roman" w:cs="Times New Roman"/>
          <w:b/>
          <w:color w:val="000000" w:themeColor="text1"/>
          <w:kern w:val="0"/>
          <w:lang w:val="en-US"/>
          <w14:ligatures w14:val="none"/>
        </w:rPr>
      </w:pPr>
      <w:commentRangeStart w:id="8"/>
      <w:r w:rsidRPr="00AA1EF7">
        <w:rPr>
          <w:rFonts w:ascii="Times New Roman" w:hAnsi="Times New Roman" w:cs="Times New Roman"/>
          <w:b/>
          <w:color w:val="000000" w:themeColor="text1"/>
        </w:rPr>
        <w:t>REFERENCES</w:t>
      </w:r>
      <w:commentRangeEnd w:id="8"/>
      <w:r w:rsidR="005D445F">
        <w:rPr>
          <w:rStyle w:val="CommentReference"/>
        </w:rPr>
        <w:commentReference w:id="8"/>
      </w:r>
    </w:p>
    <w:p w14:paraId="15897841" w14:textId="77777777" w:rsidR="00DD2D91"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lastRenderedPageBreak/>
        <w:t xml:space="preserve">Albi, E., Cataldi, S., Lazzarini, A., </w:t>
      </w:r>
      <w:proofErr w:type="spellStart"/>
      <w:r w:rsidRPr="00AA1EF7">
        <w:rPr>
          <w:rFonts w:ascii="Times New Roman" w:hAnsi="Times New Roman" w:cs="Times New Roman"/>
          <w:color w:val="000000" w:themeColor="text1"/>
        </w:rPr>
        <w:t>Codini</w:t>
      </w:r>
      <w:proofErr w:type="spellEnd"/>
      <w:r w:rsidRPr="00AA1EF7">
        <w:rPr>
          <w:rFonts w:ascii="Times New Roman" w:hAnsi="Times New Roman" w:cs="Times New Roman"/>
          <w:color w:val="000000" w:themeColor="text1"/>
        </w:rPr>
        <w:t xml:space="preserve">, M., Beccari, T., </w:t>
      </w:r>
      <w:proofErr w:type="spellStart"/>
      <w:r w:rsidRPr="00AA1EF7">
        <w:rPr>
          <w:rFonts w:ascii="Times New Roman" w:hAnsi="Times New Roman" w:cs="Times New Roman"/>
          <w:color w:val="000000" w:themeColor="text1"/>
        </w:rPr>
        <w:t>Ambesi-Impiombato</w:t>
      </w:r>
      <w:proofErr w:type="spellEnd"/>
      <w:r w:rsidRPr="00AA1EF7">
        <w:rPr>
          <w:rFonts w:ascii="Times New Roman" w:hAnsi="Times New Roman" w:cs="Times New Roman"/>
          <w:color w:val="000000" w:themeColor="text1"/>
        </w:rPr>
        <w:t xml:space="preserve">, F. S., &amp; Curcio, F. (2017). Radiation and Thyroid Cancer. </w:t>
      </w:r>
      <w:r w:rsidRPr="00AA1EF7">
        <w:rPr>
          <w:rFonts w:ascii="Times New Roman" w:hAnsi="Times New Roman" w:cs="Times New Roman"/>
          <w:i/>
          <w:iCs/>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18</w:t>
      </w:r>
      <w:r w:rsidRPr="00AA1EF7">
        <w:rPr>
          <w:rFonts w:ascii="Times New Roman" w:hAnsi="Times New Roman" w:cs="Times New Roman"/>
          <w:color w:val="000000" w:themeColor="text1"/>
        </w:rPr>
        <w:t xml:space="preserve">(5), 911. </w:t>
      </w:r>
      <w:hyperlink r:id="rId11" w:history="1">
        <w:r w:rsidR="00AA1EF7" w:rsidRPr="009C4E14">
          <w:rPr>
            <w:rStyle w:val="Hyperlink"/>
            <w:rFonts w:ascii="Times New Roman" w:hAnsi="Times New Roman" w:cs="Times New Roman"/>
          </w:rPr>
          <w:t>https://doi.org/10.3390/ijms18050911</w:t>
        </w:r>
      </w:hyperlink>
    </w:p>
    <w:p w14:paraId="55D71D05" w14:textId="77777777" w:rsidR="00AA1EF7" w:rsidRPr="00AA1EF7" w:rsidRDefault="00AA1EF7" w:rsidP="00AA1EF7">
      <w:pPr>
        <w:spacing w:line="360" w:lineRule="auto"/>
        <w:jc w:val="both"/>
        <w:rPr>
          <w:rFonts w:ascii="Times New Roman" w:hAnsi="Times New Roman" w:cs="Times New Roman"/>
          <w:color w:val="000000" w:themeColor="text1"/>
        </w:rPr>
      </w:pPr>
    </w:p>
    <w:p w14:paraId="388126A1"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Alkayyali</w:t>
      </w:r>
      <w:proofErr w:type="spellEnd"/>
      <w:r w:rsidRPr="00AA1EF7">
        <w:rPr>
          <w:rFonts w:ascii="Times New Roman" w:hAnsi="Times New Roman" w:cs="Times New Roman"/>
          <w:color w:val="000000" w:themeColor="text1"/>
        </w:rPr>
        <w:t xml:space="preserve">, T., </w:t>
      </w:r>
      <w:proofErr w:type="spellStart"/>
      <w:r w:rsidRPr="00AA1EF7">
        <w:rPr>
          <w:rFonts w:ascii="Times New Roman" w:hAnsi="Times New Roman" w:cs="Times New Roman"/>
          <w:color w:val="000000" w:themeColor="text1"/>
        </w:rPr>
        <w:t>Ochuba</w:t>
      </w:r>
      <w:proofErr w:type="spellEnd"/>
      <w:r w:rsidRPr="00AA1EF7">
        <w:rPr>
          <w:rFonts w:ascii="Times New Roman" w:hAnsi="Times New Roman" w:cs="Times New Roman"/>
          <w:color w:val="000000" w:themeColor="text1"/>
        </w:rPr>
        <w:t xml:space="preserve">, O., Srivastava, K., Sandhu, J. K., Joseph, C., Ruo, S. W., Jain, A., Waqar, A., &amp; Poudel, S. (2021). An Exploration of the Effects of Radiofrequency Radiation Emitted by Mobile Phones and Extremely Low Frequency Radiation on Thyroid Hormones and Thyroid Gland Histopathology. </w:t>
      </w:r>
      <w:r w:rsidRPr="00AA1EF7">
        <w:rPr>
          <w:rFonts w:ascii="Times New Roman" w:hAnsi="Times New Roman" w:cs="Times New Roman"/>
          <w:i/>
          <w:iCs/>
          <w:color w:val="000000" w:themeColor="text1"/>
        </w:rPr>
        <w:t>Cureus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13</w:t>
      </w:r>
      <w:r w:rsidRPr="00AA1EF7">
        <w:rPr>
          <w:rFonts w:ascii="Times New Roman" w:hAnsi="Times New Roman" w:cs="Times New Roman"/>
          <w:color w:val="000000" w:themeColor="text1"/>
        </w:rPr>
        <w:t>(8), e17329. https://doi.org/10.7759/cureus.17329</w:t>
      </w:r>
    </w:p>
    <w:p w14:paraId="4DB3B1D9" w14:textId="77777777" w:rsidR="00DD2D91" w:rsidRPr="00AA1EF7" w:rsidRDefault="00DD2D91" w:rsidP="00AA1EF7">
      <w:pPr>
        <w:spacing w:line="360" w:lineRule="auto"/>
        <w:jc w:val="both"/>
        <w:rPr>
          <w:rFonts w:ascii="Times New Roman" w:hAnsi="Times New Roman" w:cs="Times New Roman"/>
          <w:color w:val="000000" w:themeColor="text1"/>
        </w:rPr>
      </w:pPr>
    </w:p>
    <w:p w14:paraId="01BAB6FD"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Allen, E., &amp; </w:t>
      </w:r>
      <w:proofErr w:type="spellStart"/>
      <w:r w:rsidRPr="00AA1EF7">
        <w:rPr>
          <w:rFonts w:ascii="Times New Roman" w:hAnsi="Times New Roman" w:cs="Times New Roman"/>
          <w:color w:val="000000" w:themeColor="text1"/>
        </w:rPr>
        <w:t>Fingeret</w:t>
      </w:r>
      <w:proofErr w:type="spellEnd"/>
      <w:r w:rsidRPr="00AA1EF7">
        <w:rPr>
          <w:rFonts w:ascii="Times New Roman" w:hAnsi="Times New Roman" w:cs="Times New Roman"/>
          <w:color w:val="000000" w:themeColor="text1"/>
        </w:rPr>
        <w:t xml:space="preserve">, A. (2023). Anatomy, Head and Neck, Thyroid. In </w:t>
      </w:r>
      <w:proofErr w:type="spellStart"/>
      <w:r w:rsidRPr="00AA1EF7">
        <w:rPr>
          <w:rFonts w:ascii="Times New Roman" w:hAnsi="Times New Roman" w:cs="Times New Roman"/>
          <w:i/>
          <w:iCs/>
          <w:color w:val="000000" w:themeColor="text1"/>
        </w:rPr>
        <w:t>StatPearls</w:t>
      </w:r>
      <w:proofErr w:type="spellEnd"/>
      <w:r w:rsidRPr="00AA1EF7">
        <w:rPr>
          <w:rFonts w:ascii="Times New Roman" w:hAnsi="Times New Roman" w:cs="Times New Roman"/>
          <w:color w:val="000000" w:themeColor="text1"/>
        </w:rPr>
        <w:t xml:space="preserve">.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Available online: https://pubmed.ncbi.nlm.nih.gov/29262169/</w:t>
      </w:r>
    </w:p>
    <w:p w14:paraId="730AC3A0" w14:textId="77777777" w:rsidR="00DD2D91" w:rsidRPr="00AA1EF7" w:rsidRDefault="00DD2D91" w:rsidP="00AA1EF7">
      <w:pPr>
        <w:spacing w:line="360" w:lineRule="auto"/>
        <w:jc w:val="both"/>
        <w:rPr>
          <w:rFonts w:ascii="Times New Roman" w:hAnsi="Times New Roman" w:cs="Times New Roman"/>
          <w:color w:val="000000" w:themeColor="text1"/>
        </w:rPr>
      </w:pPr>
    </w:p>
    <w:p w14:paraId="7EFFC869"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Brown, E. D. L., Obeng-Gyasi, B., Hall, J. E., &amp; Shekhar, S. (2023). The Thyroid Hormone Axis and Female Reproduction. </w:t>
      </w:r>
      <w:r w:rsidRPr="00AA1EF7">
        <w:rPr>
          <w:rStyle w:val="Emphasis"/>
          <w:rFonts w:ascii="Times New Roman" w:hAnsi="Times New Roman" w:cs="Times New Roman"/>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24</w:t>
      </w:r>
      <w:r w:rsidRPr="00AA1EF7">
        <w:rPr>
          <w:rFonts w:ascii="Times New Roman" w:hAnsi="Times New Roman" w:cs="Times New Roman"/>
          <w:color w:val="000000" w:themeColor="text1"/>
        </w:rPr>
        <w:t xml:space="preserve">(12), 9815. </w:t>
      </w:r>
      <w:hyperlink r:id="rId12" w:history="1">
        <w:r w:rsidRPr="00AA1EF7">
          <w:rPr>
            <w:rStyle w:val="Hyperlink"/>
            <w:rFonts w:ascii="Times New Roman" w:hAnsi="Times New Roman" w:cs="Times New Roman"/>
            <w:color w:val="000000" w:themeColor="text1"/>
          </w:rPr>
          <w:t>https://doi.org/10.3390/ijms24129815</w:t>
        </w:r>
      </w:hyperlink>
    </w:p>
    <w:p w14:paraId="35B85BA8" w14:textId="77777777" w:rsidR="00DD2D91" w:rsidRPr="00AA1EF7" w:rsidRDefault="00DD2D91" w:rsidP="00AA1EF7">
      <w:pPr>
        <w:spacing w:line="360" w:lineRule="auto"/>
        <w:jc w:val="both"/>
        <w:rPr>
          <w:rFonts w:ascii="Times New Roman" w:hAnsi="Times New Roman" w:cs="Times New Roman"/>
          <w:color w:val="000000" w:themeColor="text1"/>
        </w:rPr>
      </w:pPr>
    </w:p>
    <w:p w14:paraId="7CA10B14"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El-</w:t>
      </w:r>
      <w:proofErr w:type="spellStart"/>
      <w:r w:rsidRPr="00AA1EF7">
        <w:rPr>
          <w:rFonts w:ascii="Times New Roman" w:hAnsi="Times New Roman" w:cs="Times New Roman"/>
          <w:color w:val="000000" w:themeColor="text1"/>
        </w:rPr>
        <w:t>Benhawy</w:t>
      </w:r>
      <w:proofErr w:type="spellEnd"/>
      <w:r w:rsidRPr="00AA1EF7">
        <w:rPr>
          <w:rFonts w:ascii="Times New Roman" w:hAnsi="Times New Roman" w:cs="Times New Roman"/>
          <w:color w:val="000000" w:themeColor="text1"/>
        </w:rPr>
        <w:t xml:space="preserve">, S. A., Fahmy, E. I., Mahdy, S. M., Khedr, G. H., Sarhan, A. S., </w:t>
      </w:r>
      <w:proofErr w:type="spellStart"/>
      <w:r w:rsidRPr="00AA1EF7">
        <w:rPr>
          <w:rFonts w:ascii="Times New Roman" w:hAnsi="Times New Roman" w:cs="Times New Roman"/>
          <w:color w:val="000000" w:themeColor="text1"/>
        </w:rPr>
        <w:t>Nafady</w:t>
      </w:r>
      <w:proofErr w:type="spellEnd"/>
      <w:r w:rsidRPr="00AA1EF7">
        <w:rPr>
          <w:rFonts w:ascii="Times New Roman" w:hAnsi="Times New Roman" w:cs="Times New Roman"/>
          <w:color w:val="000000" w:themeColor="text1"/>
        </w:rPr>
        <w:t xml:space="preserve">, M. H., Yousef Selim, Y. A., Salem, T. M., Abu-Samra, N., &amp; El </w:t>
      </w:r>
      <w:proofErr w:type="spellStart"/>
      <w:r w:rsidRPr="00AA1EF7">
        <w:rPr>
          <w:rFonts w:ascii="Times New Roman" w:hAnsi="Times New Roman" w:cs="Times New Roman"/>
          <w:color w:val="000000" w:themeColor="text1"/>
        </w:rPr>
        <w:t>Khadry</w:t>
      </w:r>
      <w:proofErr w:type="spellEnd"/>
      <w:r w:rsidRPr="00AA1EF7">
        <w:rPr>
          <w:rFonts w:ascii="Times New Roman" w:hAnsi="Times New Roman" w:cs="Times New Roman"/>
          <w:color w:val="000000" w:themeColor="text1"/>
        </w:rPr>
        <w:t xml:space="preserve">, H. A. (2022). Assessment of thyroid gland hormones and ultrasonographic abnormalities in medical staff occupationally exposed to ionizing radiation. </w:t>
      </w:r>
      <w:r w:rsidRPr="00AA1EF7">
        <w:rPr>
          <w:rFonts w:ascii="Times New Roman" w:hAnsi="Times New Roman" w:cs="Times New Roman"/>
          <w:i/>
          <w:iCs/>
          <w:color w:val="000000" w:themeColor="text1"/>
        </w:rPr>
        <w:t>BMC Endocrine Disorders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22</w:t>
      </w:r>
      <w:r w:rsidRPr="00AA1EF7">
        <w:rPr>
          <w:rFonts w:ascii="Times New Roman" w:hAnsi="Times New Roman" w:cs="Times New Roman"/>
          <w:color w:val="000000" w:themeColor="text1"/>
        </w:rPr>
        <w:t>(1), 287. https://doi.org/10.1186/s12902-022-01196-z</w:t>
      </w:r>
    </w:p>
    <w:p w14:paraId="4932F04E" w14:textId="77777777" w:rsidR="00DD2D91" w:rsidRPr="00AA1EF7" w:rsidRDefault="00DD2D91" w:rsidP="00AA1EF7">
      <w:pPr>
        <w:spacing w:line="360" w:lineRule="auto"/>
        <w:jc w:val="both"/>
        <w:rPr>
          <w:rFonts w:ascii="Times New Roman" w:hAnsi="Times New Roman" w:cs="Times New Roman"/>
          <w:color w:val="000000" w:themeColor="text1"/>
        </w:rPr>
      </w:pPr>
    </w:p>
    <w:p w14:paraId="4239CBDC" w14:textId="77777777" w:rsidR="00DD2D91" w:rsidRPr="00AA1EF7" w:rsidRDefault="00DD2D91" w:rsidP="00AA1EF7">
      <w:pPr>
        <w:spacing w:line="360" w:lineRule="auto"/>
        <w:jc w:val="both"/>
        <w:rPr>
          <w:rFonts w:ascii="Times New Roman" w:hAnsi="Times New Roman" w:cs="Times New Roman"/>
          <w:color w:val="000000" w:themeColor="text1"/>
          <w:lang w:eastAsia="en-GB"/>
        </w:rPr>
      </w:pPr>
      <w:r w:rsidRPr="00AA1EF7">
        <w:rPr>
          <w:rFonts w:ascii="Times New Roman" w:hAnsi="Times New Roman" w:cs="Times New Roman"/>
          <w:color w:val="000000" w:themeColor="text1"/>
          <w:lang w:eastAsia="en-GB"/>
        </w:rPr>
        <w:t xml:space="preserve">Elsayed, N.M., </w:t>
      </w:r>
      <w:r w:rsidRPr="00AA1EF7">
        <w:rPr>
          <w:rFonts w:ascii="Times New Roman" w:hAnsi="Times New Roman" w:cs="Times New Roman"/>
          <w:color w:val="000000" w:themeColor="text1"/>
        </w:rPr>
        <w:t xml:space="preserve">&amp; </w:t>
      </w:r>
      <w:proofErr w:type="spellStart"/>
      <w:r w:rsidRPr="00AA1EF7">
        <w:rPr>
          <w:rFonts w:ascii="Times New Roman" w:hAnsi="Times New Roman" w:cs="Times New Roman"/>
          <w:color w:val="000000" w:themeColor="text1"/>
          <w:lang w:eastAsia="en-GB"/>
        </w:rPr>
        <w:t>Jastaniah</w:t>
      </w:r>
      <w:proofErr w:type="spellEnd"/>
      <w:r w:rsidRPr="00AA1EF7">
        <w:rPr>
          <w:rFonts w:ascii="Times New Roman" w:hAnsi="Times New Roman" w:cs="Times New Roman"/>
          <w:color w:val="000000" w:themeColor="text1"/>
          <w:lang w:eastAsia="en-GB"/>
        </w:rPr>
        <w:t xml:space="preserve">, S.D. (2016). Mobile phone use and risk of thyroid gland lesions detected by ultrasonography, </w:t>
      </w:r>
      <w:r w:rsidRPr="00AA1EF7">
        <w:rPr>
          <w:rFonts w:ascii="Times New Roman" w:hAnsi="Times New Roman" w:cs="Times New Roman"/>
          <w:i/>
          <w:iCs/>
          <w:color w:val="000000" w:themeColor="text1"/>
          <w:lang w:eastAsia="en-GB"/>
        </w:rPr>
        <w:t>Open Journal of Radiology (Online)</w:t>
      </w:r>
      <w:r w:rsidRPr="00AA1EF7">
        <w:rPr>
          <w:rFonts w:ascii="Times New Roman" w:hAnsi="Times New Roman" w:cs="Times New Roman"/>
          <w:color w:val="000000" w:themeColor="text1"/>
          <w:lang w:eastAsia="en-GB"/>
        </w:rPr>
        <w:t xml:space="preserve">, 06(02), 140–146. </w:t>
      </w:r>
    </w:p>
    <w:p w14:paraId="3E4E8380" w14:textId="77777777" w:rsidR="00DD2D91" w:rsidRPr="00AA1EF7" w:rsidRDefault="00DD2D91" w:rsidP="00AA1EF7">
      <w:pPr>
        <w:spacing w:line="360" w:lineRule="auto"/>
        <w:jc w:val="both"/>
        <w:rPr>
          <w:rFonts w:ascii="Times New Roman" w:hAnsi="Times New Roman" w:cs="Times New Roman"/>
          <w:color w:val="000000" w:themeColor="text1"/>
        </w:rPr>
      </w:pPr>
    </w:p>
    <w:p w14:paraId="65179167"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Eşmekaya</w:t>
      </w:r>
      <w:proofErr w:type="spellEnd"/>
      <w:r w:rsidRPr="00AA1EF7">
        <w:rPr>
          <w:rFonts w:ascii="Times New Roman" w:hAnsi="Times New Roman" w:cs="Times New Roman"/>
          <w:color w:val="000000" w:themeColor="text1"/>
        </w:rPr>
        <w:t xml:space="preserve">, M. A., Seyhan, N., &amp; </w:t>
      </w:r>
      <w:proofErr w:type="spellStart"/>
      <w:r w:rsidRPr="00AA1EF7">
        <w:rPr>
          <w:rFonts w:ascii="Times New Roman" w:hAnsi="Times New Roman" w:cs="Times New Roman"/>
          <w:color w:val="000000" w:themeColor="text1"/>
        </w:rPr>
        <w:t>Ömeroğlu</w:t>
      </w:r>
      <w:proofErr w:type="spellEnd"/>
      <w:r w:rsidRPr="00AA1EF7">
        <w:rPr>
          <w:rFonts w:ascii="Times New Roman" w:hAnsi="Times New Roman" w:cs="Times New Roman"/>
          <w:color w:val="000000" w:themeColor="text1"/>
        </w:rPr>
        <w:t xml:space="preserve">, S. (2010). Pulse modulated 900 MHz radiation induces hypothyroidism and apoptosis in thyroid cells: a light, electron microscopy and </w:t>
      </w:r>
      <w:r w:rsidRPr="00AA1EF7">
        <w:rPr>
          <w:rFonts w:ascii="Times New Roman" w:hAnsi="Times New Roman" w:cs="Times New Roman"/>
          <w:color w:val="000000" w:themeColor="text1"/>
        </w:rPr>
        <w:lastRenderedPageBreak/>
        <w:t xml:space="preserve">immunohistochemical study. </w:t>
      </w:r>
      <w:r w:rsidRPr="00AA1EF7">
        <w:rPr>
          <w:rFonts w:ascii="Times New Roman" w:hAnsi="Times New Roman" w:cs="Times New Roman"/>
          <w:i/>
          <w:iCs/>
          <w:color w:val="000000" w:themeColor="text1"/>
        </w:rPr>
        <w:t>International Journal of Radiation Biology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86</w:t>
      </w:r>
      <w:r w:rsidRPr="00AA1EF7">
        <w:rPr>
          <w:rFonts w:ascii="Times New Roman" w:hAnsi="Times New Roman" w:cs="Times New Roman"/>
          <w:color w:val="000000" w:themeColor="text1"/>
        </w:rPr>
        <w:t>(12), 1106–1116. https://doi.org/10.3109/09553002.2010.502960</w:t>
      </w:r>
    </w:p>
    <w:p w14:paraId="5431F655" w14:textId="77777777" w:rsidR="00DD2D91" w:rsidRPr="00AA1EF7" w:rsidRDefault="00DD2D91" w:rsidP="00AA1EF7">
      <w:pPr>
        <w:spacing w:line="360" w:lineRule="auto"/>
        <w:jc w:val="both"/>
        <w:rPr>
          <w:rFonts w:ascii="Times New Roman" w:hAnsi="Times New Roman" w:cs="Times New Roman"/>
          <w:color w:val="000000" w:themeColor="text1"/>
        </w:rPr>
      </w:pPr>
    </w:p>
    <w:p w14:paraId="1BC3F386"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Fang, Y. Y., Tu, Q., Zhang, Y. T., Liu, J., Liu, H. G., Zhao, Z. H., Wu, H., &amp; Yin, T. J. (2022). Effect of Occupational Extremely Low-Frequency Electromagnetic Field Exposure on the Thyroid Gland of Workers: A Prospective Study. </w:t>
      </w:r>
      <w:r w:rsidRPr="00AA1EF7">
        <w:rPr>
          <w:rFonts w:ascii="Times New Roman" w:hAnsi="Times New Roman" w:cs="Times New Roman"/>
          <w:i/>
          <w:iCs/>
          <w:color w:val="000000" w:themeColor="text1"/>
        </w:rPr>
        <w:t>Current Medical Science</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42</w:t>
      </w:r>
      <w:r w:rsidRPr="00AA1EF7">
        <w:rPr>
          <w:rFonts w:ascii="Times New Roman" w:hAnsi="Times New Roman" w:cs="Times New Roman"/>
          <w:color w:val="000000" w:themeColor="text1"/>
        </w:rPr>
        <w:t>(4), 817–823. https://doi.org/10.1007/s11596-022-2610-8</w:t>
      </w:r>
    </w:p>
    <w:p w14:paraId="47620A96" w14:textId="77777777" w:rsidR="00DD2D91" w:rsidRPr="00AA1EF7" w:rsidRDefault="00DD2D91" w:rsidP="00AA1EF7">
      <w:pPr>
        <w:spacing w:line="360" w:lineRule="auto"/>
        <w:jc w:val="both"/>
        <w:rPr>
          <w:rFonts w:ascii="Times New Roman" w:hAnsi="Times New Roman" w:cs="Times New Roman"/>
          <w:color w:val="000000" w:themeColor="text1"/>
        </w:rPr>
      </w:pPr>
    </w:p>
    <w:p w14:paraId="173CEB18" w14:textId="77777777" w:rsidR="00DD2D91"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Ferrari, S.M., Fallahi, P., Antonelli, A., &amp; Benvenga, S. (2017). Environmental Issues in Thyroid Diseases.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w:t>
      </w:r>
      <w:r w:rsidRPr="00AA1EF7">
        <w:rPr>
          <w:rFonts w:ascii="Times New Roman" w:hAnsi="Times New Roman" w:cs="Times New Roman"/>
          <w:color w:val="000000" w:themeColor="text1"/>
        </w:rPr>
        <w:t xml:space="preserve">, 50. </w:t>
      </w:r>
      <w:hyperlink r:id="rId13" w:history="1">
        <w:r w:rsidRPr="00AA1EF7">
          <w:rPr>
            <w:rStyle w:val="Hyperlink"/>
            <w:rFonts w:ascii="Times New Roman" w:hAnsi="Times New Roman" w:cs="Times New Roman"/>
            <w:color w:val="000000" w:themeColor="text1"/>
          </w:rPr>
          <w:t>https://doi.org/10.3389/fendo.2017.00050</w:t>
        </w:r>
      </w:hyperlink>
    </w:p>
    <w:p w14:paraId="1713BFF4" w14:textId="77777777" w:rsidR="00AA1EF7" w:rsidRPr="00AA1EF7" w:rsidRDefault="00AA1EF7" w:rsidP="00AA1EF7">
      <w:pPr>
        <w:spacing w:line="360" w:lineRule="auto"/>
        <w:jc w:val="both"/>
        <w:rPr>
          <w:rFonts w:ascii="Times New Roman" w:hAnsi="Times New Roman" w:cs="Times New Roman"/>
          <w:color w:val="000000" w:themeColor="text1"/>
        </w:rPr>
      </w:pPr>
    </w:p>
    <w:p w14:paraId="6BB7AB03" w14:textId="77777777" w:rsidR="00DD2D91" w:rsidRPr="00AA1EF7" w:rsidRDefault="00DD2D91" w:rsidP="00AA1EF7">
      <w:pPr>
        <w:spacing w:line="360" w:lineRule="auto"/>
        <w:jc w:val="both"/>
        <w:rPr>
          <w:rStyle w:val="Hyperlink"/>
          <w:rFonts w:ascii="Times New Roman" w:hAnsi="Times New Roman" w:cs="Times New Roman"/>
          <w:color w:val="000000" w:themeColor="text1"/>
        </w:rPr>
      </w:pPr>
      <w:r w:rsidRPr="00AA1EF7">
        <w:rPr>
          <w:rFonts w:ascii="Times New Roman" w:hAnsi="Times New Roman" w:cs="Times New Roman"/>
          <w:color w:val="000000" w:themeColor="text1"/>
        </w:rPr>
        <w:t xml:space="preserve"> Iwen, K. A., </w:t>
      </w:r>
      <w:proofErr w:type="spellStart"/>
      <w:r w:rsidRPr="00AA1EF7">
        <w:rPr>
          <w:rFonts w:ascii="Times New Roman" w:hAnsi="Times New Roman" w:cs="Times New Roman"/>
          <w:color w:val="000000" w:themeColor="text1"/>
        </w:rPr>
        <w:t>Oelkrug</w:t>
      </w:r>
      <w:proofErr w:type="spellEnd"/>
      <w:r w:rsidRPr="00AA1EF7">
        <w:rPr>
          <w:rFonts w:ascii="Times New Roman" w:hAnsi="Times New Roman" w:cs="Times New Roman"/>
          <w:color w:val="000000" w:themeColor="text1"/>
        </w:rPr>
        <w:t xml:space="preserve">, R., &amp; Brabant, G. (2018). Effects of thyroid hormones on thermogenesis and energy partitioning. </w:t>
      </w:r>
      <w:r w:rsidRPr="00AA1EF7">
        <w:rPr>
          <w:rStyle w:val="Emphasis"/>
          <w:rFonts w:ascii="Times New Roman" w:hAnsi="Times New Roman" w:cs="Times New Roman"/>
          <w:color w:val="000000" w:themeColor="text1"/>
        </w:rPr>
        <w:t>Journal of Molecular Endocrinology</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60</w:t>
      </w:r>
      <w:r w:rsidRPr="00AA1EF7">
        <w:rPr>
          <w:rFonts w:ascii="Times New Roman" w:hAnsi="Times New Roman" w:cs="Times New Roman"/>
          <w:color w:val="000000" w:themeColor="text1"/>
        </w:rPr>
        <w:t xml:space="preserve">(3), R157-R170. Retrieved May 9, 2025, from </w:t>
      </w:r>
      <w:hyperlink r:id="rId14" w:tgtFrame="_blank" w:history="1">
        <w:r w:rsidRPr="00AA1EF7">
          <w:rPr>
            <w:rStyle w:val="Hyperlink"/>
            <w:rFonts w:ascii="Times New Roman" w:hAnsi="Times New Roman" w:cs="Times New Roman"/>
            <w:color w:val="000000" w:themeColor="text1"/>
          </w:rPr>
          <w:t>https://doi.org/10.1530/JME-17-0319</w:t>
        </w:r>
      </w:hyperlink>
    </w:p>
    <w:p w14:paraId="002874D9" w14:textId="77777777" w:rsidR="00DD2D91" w:rsidRPr="00AA1EF7" w:rsidRDefault="00DD2D91" w:rsidP="00AA1EF7">
      <w:pPr>
        <w:spacing w:line="360" w:lineRule="auto"/>
        <w:jc w:val="both"/>
        <w:rPr>
          <w:rFonts w:ascii="Times New Roman" w:hAnsi="Times New Roman" w:cs="Times New Roman"/>
          <w:color w:val="000000" w:themeColor="text1"/>
        </w:rPr>
      </w:pPr>
    </w:p>
    <w:p w14:paraId="2B176BE5"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Jing, L., &amp; Zhang, Q. (2022). Intrathyroidal feedforward and feedback network regulating thyroid hormone synthesis and secretion.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13</w:t>
      </w:r>
      <w:r w:rsidRPr="00AA1EF7">
        <w:rPr>
          <w:rFonts w:ascii="Times New Roman" w:hAnsi="Times New Roman" w:cs="Times New Roman"/>
          <w:color w:val="000000" w:themeColor="text1"/>
        </w:rPr>
        <w:t>, 992883. https://doi.org/10.3389/fendo.2022.992883</w:t>
      </w:r>
    </w:p>
    <w:p w14:paraId="3C92F979" w14:textId="77777777" w:rsidR="00DD2D91" w:rsidRPr="00AA1EF7" w:rsidRDefault="00DD2D91" w:rsidP="00AA1EF7">
      <w:pPr>
        <w:spacing w:line="360" w:lineRule="auto"/>
        <w:jc w:val="both"/>
        <w:rPr>
          <w:rFonts w:ascii="Times New Roman" w:hAnsi="Times New Roman" w:cs="Times New Roman"/>
          <w:color w:val="000000" w:themeColor="text1"/>
        </w:rPr>
      </w:pPr>
    </w:p>
    <w:p w14:paraId="6D79718B"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Keestra</w:t>
      </w:r>
      <w:proofErr w:type="spellEnd"/>
      <w:r w:rsidRPr="00AA1EF7">
        <w:rPr>
          <w:rFonts w:ascii="Times New Roman" w:hAnsi="Times New Roman" w:cs="Times New Roman"/>
          <w:color w:val="000000" w:themeColor="text1"/>
        </w:rPr>
        <w:t xml:space="preserve">, S., </w:t>
      </w:r>
      <w:proofErr w:type="spellStart"/>
      <w:r w:rsidRPr="00AA1EF7">
        <w:rPr>
          <w:rFonts w:ascii="Times New Roman" w:hAnsi="Times New Roman" w:cs="Times New Roman"/>
          <w:color w:val="000000" w:themeColor="text1"/>
        </w:rPr>
        <w:t>Högqvist</w:t>
      </w:r>
      <w:proofErr w:type="spellEnd"/>
      <w:r w:rsidRPr="00AA1EF7">
        <w:rPr>
          <w:rFonts w:ascii="Times New Roman" w:hAnsi="Times New Roman" w:cs="Times New Roman"/>
          <w:color w:val="000000" w:themeColor="text1"/>
        </w:rPr>
        <w:t xml:space="preserve"> Tabor, V., &amp; </w:t>
      </w:r>
      <w:proofErr w:type="spellStart"/>
      <w:r w:rsidRPr="00AA1EF7">
        <w:rPr>
          <w:rFonts w:ascii="Times New Roman" w:hAnsi="Times New Roman" w:cs="Times New Roman"/>
          <w:color w:val="000000" w:themeColor="text1"/>
        </w:rPr>
        <w:t>Alvergne</w:t>
      </w:r>
      <w:proofErr w:type="spellEnd"/>
      <w:r w:rsidRPr="00AA1EF7">
        <w:rPr>
          <w:rFonts w:ascii="Times New Roman" w:hAnsi="Times New Roman" w:cs="Times New Roman"/>
          <w:color w:val="000000" w:themeColor="text1"/>
        </w:rPr>
        <w:t xml:space="preserve">, A. (2020). Reinterpreting patterns of variation in human thyroid function: An evolutionary ecology perspective. </w:t>
      </w:r>
      <w:r w:rsidRPr="00AA1EF7">
        <w:rPr>
          <w:rFonts w:ascii="Times New Roman" w:hAnsi="Times New Roman" w:cs="Times New Roman"/>
          <w:i/>
          <w:iCs/>
          <w:color w:val="000000" w:themeColor="text1"/>
        </w:rPr>
        <w:t>Evolution, Medicine, and Public Health</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9</w:t>
      </w:r>
      <w:r w:rsidRPr="00AA1EF7">
        <w:rPr>
          <w:rFonts w:ascii="Times New Roman" w:hAnsi="Times New Roman" w:cs="Times New Roman"/>
          <w:color w:val="000000" w:themeColor="text1"/>
        </w:rPr>
        <w:t xml:space="preserve">(1), 93–112. </w:t>
      </w:r>
      <w:hyperlink r:id="rId15" w:history="1">
        <w:r w:rsidRPr="00AA1EF7">
          <w:rPr>
            <w:rStyle w:val="Hyperlink"/>
            <w:rFonts w:ascii="Times New Roman" w:hAnsi="Times New Roman" w:cs="Times New Roman"/>
            <w:color w:val="000000" w:themeColor="text1"/>
          </w:rPr>
          <w:t>https://doi.org/10.1093/emph/eoaa043</w:t>
        </w:r>
      </w:hyperlink>
    </w:p>
    <w:p w14:paraId="6705D27C" w14:textId="77777777" w:rsidR="00DD2D91" w:rsidRPr="00AA1EF7" w:rsidRDefault="00DD2D91" w:rsidP="00AA1EF7">
      <w:pPr>
        <w:spacing w:line="360" w:lineRule="auto"/>
        <w:jc w:val="both"/>
        <w:rPr>
          <w:rFonts w:ascii="Times New Roman" w:hAnsi="Times New Roman" w:cs="Times New Roman"/>
          <w:color w:val="000000" w:themeColor="text1"/>
        </w:rPr>
      </w:pPr>
    </w:p>
    <w:p w14:paraId="6568DBF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Khudair, A., Khudair, A., </w:t>
      </w:r>
      <w:proofErr w:type="spellStart"/>
      <w:r w:rsidRPr="00AA1EF7">
        <w:rPr>
          <w:rFonts w:ascii="Times New Roman" w:hAnsi="Times New Roman" w:cs="Times New Roman"/>
          <w:color w:val="000000" w:themeColor="text1"/>
        </w:rPr>
        <w:t>Niinuma</w:t>
      </w:r>
      <w:proofErr w:type="spellEnd"/>
      <w:r w:rsidRPr="00AA1EF7">
        <w:rPr>
          <w:rFonts w:ascii="Times New Roman" w:hAnsi="Times New Roman" w:cs="Times New Roman"/>
          <w:color w:val="000000" w:themeColor="text1"/>
        </w:rPr>
        <w:t xml:space="preserve">, S. A., Habib, H., &amp; Butler, A. E. (2025). Beyond thyroid dysfunction: the systemic impact of iodine excess. </w:t>
      </w:r>
      <w:r w:rsidRPr="00AA1EF7">
        <w:rPr>
          <w:rFonts w:ascii="Times New Roman" w:hAnsi="Times New Roman" w:cs="Times New Roman"/>
          <w:i/>
          <w:iCs/>
          <w:color w:val="000000" w:themeColor="text1"/>
        </w:rPr>
        <w:t>Frontiers in Endocrinology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16</w:t>
      </w:r>
      <w:r w:rsidRPr="00AA1EF7">
        <w:rPr>
          <w:rFonts w:ascii="Times New Roman" w:hAnsi="Times New Roman" w:cs="Times New Roman"/>
          <w:color w:val="000000" w:themeColor="text1"/>
        </w:rPr>
        <w:t>, 1568807. https://doi.org/10.3389/fendo.2025.1568807</w:t>
      </w:r>
    </w:p>
    <w:p w14:paraId="02CAF19E" w14:textId="77777777" w:rsidR="00DD2D91" w:rsidRPr="00AA1EF7" w:rsidRDefault="00DD2D91" w:rsidP="00AA1EF7">
      <w:pPr>
        <w:spacing w:line="360" w:lineRule="auto"/>
        <w:jc w:val="both"/>
        <w:rPr>
          <w:rFonts w:ascii="Times New Roman" w:hAnsi="Times New Roman" w:cs="Times New Roman"/>
          <w:color w:val="000000" w:themeColor="text1"/>
        </w:rPr>
      </w:pPr>
    </w:p>
    <w:p w14:paraId="3EA3E2EF"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Kim, H.-Y., Son, Y., Jeong, Y. J., Lee, S.-H., Kim, N., Ahn, Y. H., Jeon, S. B., Choi, H.-D., &amp; Lee, H.-J. (2024). Effects of 4G Long-Term Evolution Electromagnetic Fields on Thyroid Hormone Dysfunction and </w:t>
      </w:r>
      <w:proofErr w:type="spellStart"/>
      <w:r w:rsidRPr="00AA1EF7">
        <w:rPr>
          <w:rFonts w:ascii="Times New Roman" w:hAnsi="Times New Roman" w:cs="Times New Roman"/>
          <w:color w:val="000000" w:themeColor="text1"/>
        </w:rPr>
        <w:t>Behavioral</w:t>
      </w:r>
      <w:proofErr w:type="spellEnd"/>
      <w:r w:rsidRPr="00AA1EF7">
        <w:rPr>
          <w:rFonts w:ascii="Times New Roman" w:hAnsi="Times New Roman" w:cs="Times New Roman"/>
          <w:color w:val="000000" w:themeColor="text1"/>
        </w:rPr>
        <w:t xml:space="preserve"> Changes in Adolescent Male Mice. </w:t>
      </w:r>
      <w:r w:rsidRPr="00AA1EF7">
        <w:rPr>
          <w:rStyle w:val="Emphasis"/>
          <w:rFonts w:ascii="Times New Roman" w:hAnsi="Times New Roman" w:cs="Times New Roman"/>
          <w:color w:val="000000" w:themeColor="text1"/>
        </w:rPr>
        <w:t>International Journal of Molecular Sciences</w:t>
      </w:r>
      <w:r w:rsidRPr="00AA1EF7">
        <w:rPr>
          <w:rFonts w:ascii="Times New Roman" w:hAnsi="Times New Roman" w:cs="Times New Roman"/>
          <w:color w:val="000000" w:themeColor="text1"/>
        </w:rPr>
        <w:t xml:space="preserve">, </w:t>
      </w:r>
      <w:r w:rsidRPr="00AA1EF7">
        <w:rPr>
          <w:rStyle w:val="Emphasis"/>
          <w:rFonts w:ascii="Times New Roman" w:hAnsi="Times New Roman" w:cs="Times New Roman"/>
          <w:color w:val="000000" w:themeColor="text1"/>
        </w:rPr>
        <w:t>25</w:t>
      </w:r>
      <w:r w:rsidRPr="00AA1EF7">
        <w:rPr>
          <w:rFonts w:ascii="Times New Roman" w:hAnsi="Times New Roman" w:cs="Times New Roman"/>
          <w:color w:val="000000" w:themeColor="text1"/>
        </w:rPr>
        <w:t xml:space="preserve">(20), 10875. </w:t>
      </w:r>
      <w:hyperlink r:id="rId16" w:history="1">
        <w:r w:rsidRPr="00AA1EF7">
          <w:rPr>
            <w:rStyle w:val="Hyperlink"/>
            <w:rFonts w:ascii="Times New Roman" w:hAnsi="Times New Roman" w:cs="Times New Roman"/>
            <w:color w:val="000000" w:themeColor="text1"/>
          </w:rPr>
          <w:t>https://doi.org/10.3390/ijms252010875</w:t>
        </w:r>
      </w:hyperlink>
    </w:p>
    <w:p w14:paraId="3045CEEF" w14:textId="77777777" w:rsidR="00DD2D91" w:rsidRPr="00AA1EF7" w:rsidRDefault="00DD2D91" w:rsidP="00AA1EF7">
      <w:pPr>
        <w:spacing w:line="360" w:lineRule="auto"/>
        <w:jc w:val="both"/>
        <w:rPr>
          <w:rFonts w:ascii="Times New Roman" w:hAnsi="Times New Roman" w:cs="Times New Roman"/>
          <w:color w:val="000000" w:themeColor="text1"/>
        </w:rPr>
      </w:pPr>
    </w:p>
    <w:p w14:paraId="012064B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Koyu</w:t>
      </w:r>
      <w:proofErr w:type="spellEnd"/>
      <w:r w:rsidRPr="00AA1EF7">
        <w:rPr>
          <w:rFonts w:ascii="Times New Roman" w:hAnsi="Times New Roman" w:cs="Times New Roman"/>
          <w:color w:val="000000" w:themeColor="text1"/>
        </w:rPr>
        <w:t xml:space="preserve">, A., Cesur, G., </w:t>
      </w:r>
      <w:proofErr w:type="spellStart"/>
      <w:r w:rsidRPr="00AA1EF7">
        <w:rPr>
          <w:rFonts w:ascii="Times New Roman" w:hAnsi="Times New Roman" w:cs="Times New Roman"/>
          <w:color w:val="000000" w:themeColor="text1"/>
        </w:rPr>
        <w:t>Ozguner</w:t>
      </w:r>
      <w:proofErr w:type="spellEnd"/>
      <w:r w:rsidRPr="00AA1EF7">
        <w:rPr>
          <w:rFonts w:ascii="Times New Roman" w:hAnsi="Times New Roman" w:cs="Times New Roman"/>
          <w:color w:val="000000" w:themeColor="text1"/>
        </w:rPr>
        <w:t xml:space="preserve">, F., </w:t>
      </w:r>
      <w:proofErr w:type="spellStart"/>
      <w:r w:rsidRPr="00AA1EF7">
        <w:rPr>
          <w:rFonts w:ascii="Times New Roman" w:hAnsi="Times New Roman" w:cs="Times New Roman"/>
          <w:color w:val="000000" w:themeColor="text1"/>
        </w:rPr>
        <w:t>Akdogan</w:t>
      </w:r>
      <w:proofErr w:type="spellEnd"/>
      <w:r w:rsidRPr="00AA1EF7">
        <w:rPr>
          <w:rFonts w:ascii="Times New Roman" w:hAnsi="Times New Roman" w:cs="Times New Roman"/>
          <w:color w:val="000000" w:themeColor="text1"/>
        </w:rPr>
        <w:t xml:space="preserve">, M., </w:t>
      </w:r>
      <w:proofErr w:type="spellStart"/>
      <w:r w:rsidRPr="00AA1EF7">
        <w:rPr>
          <w:rFonts w:ascii="Times New Roman" w:hAnsi="Times New Roman" w:cs="Times New Roman"/>
          <w:color w:val="000000" w:themeColor="text1"/>
        </w:rPr>
        <w:t>Mollaoglu</w:t>
      </w:r>
      <w:proofErr w:type="spellEnd"/>
      <w:r w:rsidRPr="00AA1EF7">
        <w:rPr>
          <w:rFonts w:ascii="Times New Roman" w:hAnsi="Times New Roman" w:cs="Times New Roman"/>
          <w:color w:val="000000" w:themeColor="text1"/>
        </w:rPr>
        <w:t xml:space="preserve">, H., &amp; Ozen, S. (2005). Effects of 900 MHz electromagnetic field on TSH and thyroid hormones in rats. </w:t>
      </w:r>
      <w:hyperlink r:id="rId17" w:tooltip="Go to Toxicology Letters on ScienceDirect" w:history="1">
        <w:r w:rsidRPr="00AA1EF7">
          <w:rPr>
            <w:rStyle w:val="Hyperlink"/>
            <w:rFonts w:ascii="Times New Roman" w:hAnsi="Times New Roman" w:cs="Times New Roman"/>
            <w:color w:val="000000" w:themeColor="text1"/>
          </w:rPr>
          <w:t>Toxicology Letters</w:t>
        </w:r>
      </w:hyperlink>
      <w:r w:rsidRPr="00AA1EF7">
        <w:rPr>
          <w:rFonts w:ascii="Times New Roman" w:hAnsi="Times New Roman" w:cs="Times New Roman"/>
          <w:color w:val="000000" w:themeColor="text1"/>
        </w:rPr>
        <w:t xml:space="preserve">, 157 (3), 257-262. </w:t>
      </w:r>
      <w:hyperlink r:id="rId18" w:tgtFrame="_blank" w:tooltip="Persistent link using digital object identifier" w:history="1">
        <w:r w:rsidRPr="00AA1EF7">
          <w:rPr>
            <w:rStyle w:val="Hyperlink"/>
            <w:rFonts w:ascii="Times New Roman" w:hAnsi="Times New Roman" w:cs="Times New Roman"/>
            <w:color w:val="000000" w:themeColor="text1"/>
          </w:rPr>
          <w:t>https://doi.org/10.1016/j.toxlet.2005.03.006</w:t>
        </w:r>
      </w:hyperlink>
      <w:r w:rsidRPr="00AA1EF7">
        <w:rPr>
          <w:rFonts w:ascii="Times New Roman" w:hAnsi="Times New Roman" w:cs="Times New Roman"/>
          <w:color w:val="000000" w:themeColor="text1"/>
        </w:rPr>
        <w:t xml:space="preserve">. </w:t>
      </w:r>
    </w:p>
    <w:p w14:paraId="52C49BAB" w14:textId="77777777" w:rsidR="00DD2D91" w:rsidRPr="00AA1EF7" w:rsidRDefault="00DD2D91" w:rsidP="00AA1EF7">
      <w:pPr>
        <w:spacing w:line="360" w:lineRule="auto"/>
        <w:jc w:val="both"/>
        <w:rPr>
          <w:rFonts w:ascii="Times New Roman" w:hAnsi="Times New Roman" w:cs="Times New Roman"/>
          <w:color w:val="000000" w:themeColor="text1"/>
        </w:rPr>
      </w:pPr>
    </w:p>
    <w:p w14:paraId="5B94CB22"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Kurian, M.E., &amp; Kapoor, N. (2018). Interpretation of Thyroid Function Tests. </w:t>
      </w:r>
      <w:r w:rsidRPr="00AA1EF7">
        <w:rPr>
          <w:rFonts w:ascii="Times New Roman" w:hAnsi="Times New Roman" w:cs="Times New Roman"/>
          <w:i/>
          <w:color w:val="000000" w:themeColor="text1"/>
        </w:rPr>
        <w:t>Current Medical Issues,</w:t>
      </w:r>
      <w:r w:rsidRPr="00AA1EF7">
        <w:rPr>
          <w:rFonts w:ascii="Times New Roman" w:hAnsi="Times New Roman" w:cs="Times New Roman"/>
          <w:color w:val="000000" w:themeColor="text1"/>
        </w:rPr>
        <w:t xml:space="preserve"> 16(2), 34-38. </w:t>
      </w:r>
      <w:hyperlink r:id="rId19" w:history="1">
        <w:r w:rsidRPr="00AA1EF7">
          <w:rPr>
            <w:rStyle w:val="Hyperlink"/>
            <w:rFonts w:ascii="Times New Roman" w:hAnsi="Times New Roman" w:cs="Times New Roman"/>
            <w:color w:val="000000" w:themeColor="text1"/>
          </w:rPr>
          <w:t>https://doi.org/10.4103/cmi.cmi_17_18</w:t>
        </w:r>
      </w:hyperlink>
      <w:r w:rsidRPr="00AA1EF7">
        <w:rPr>
          <w:rFonts w:ascii="Times New Roman" w:hAnsi="Times New Roman" w:cs="Times New Roman"/>
          <w:color w:val="000000" w:themeColor="text1"/>
        </w:rPr>
        <w:t xml:space="preserve"> </w:t>
      </w:r>
    </w:p>
    <w:p w14:paraId="7641BEC0" w14:textId="77777777" w:rsidR="00DD2D91" w:rsidRPr="00AA1EF7" w:rsidRDefault="00DD2D91" w:rsidP="00AA1EF7">
      <w:pPr>
        <w:spacing w:line="360" w:lineRule="auto"/>
        <w:jc w:val="both"/>
        <w:rPr>
          <w:rFonts w:ascii="Times New Roman" w:hAnsi="Times New Roman" w:cs="Times New Roman"/>
          <w:color w:val="000000" w:themeColor="text1"/>
        </w:rPr>
      </w:pPr>
    </w:p>
    <w:p w14:paraId="533FBF10"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Malavolti</w:t>
      </w:r>
      <w:proofErr w:type="spellEnd"/>
      <w:r w:rsidRPr="00AA1EF7">
        <w:rPr>
          <w:rFonts w:ascii="Times New Roman" w:hAnsi="Times New Roman" w:cs="Times New Roman"/>
          <w:color w:val="000000" w:themeColor="text1"/>
        </w:rPr>
        <w:t xml:space="preserve">, M., </w:t>
      </w:r>
      <w:proofErr w:type="spellStart"/>
      <w:r w:rsidRPr="00AA1EF7">
        <w:rPr>
          <w:rFonts w:ascii="Times New Roman" w:hAnsi="Times New Roman" w:cs="Times New Roman"/>
          <w:color w:val="000000" w:themeColor="text1"/>
        </w:rPr>
        <w:t>Malagoli</w:t>
      </w:r>
      <w:proofErr w:type="spellEnd"/>
      <w:r w:rsidRPr="00AA1EF7">
        <w:rPr>
          <w:rFonts w:ascii="Times New Roman" w:hAnsi="Times New Roman" w:cs="Times New Roman"/>
          <w:color w:val="000000" w:themeColor="text1"/>
        </w:rPr>
        <w:t xml:space="preserve">, C., Wise, L. A., Poli, M., Notari, B., Taddei, I., </w:t>
      </w:r>
      <w:proofErr w:type="spellStart"/>
      <w:r w:rsidRPr="00AA1EF7">
        <w:rPr>
          <w:rFonts w:ascii="Times New Roman" w:hAnsi="Times New Roman" w:cs="Times New Roman"/>
          <w:color w:val="000000" w:themeColor="text1"/>
        </w:rPr>
        <w:t>Fabbi</w:t>
      </w:r>
      <w:proofErr w:type="spellEnd"/>
      <w:r w:rsidRPr="00AA1EF7">
        <w:rPr>
          <w:rFonts w:ascii="Times New Roman" w:hAnsi="Times New Roman" w:cs="Times New Roman"/>
          <w:color w:val="000000" w:themeColor="text1"/>
        </w:rPr>
        <w:t xml:space="preserve">, S., </w:t>
      </w:r>
      <w:proofErr w:type="spellStart"/>
      <w:r w:rsidRPr="00AA1EF7">
        <w:rPr>
          <w:rFonts w:ascii="Times New Roman" w:hAnsi="Times New Roman" w:cs="Times New Roman"/>
          <w:color w:val="000000" w:themeColor="text1"/>
        </w:rPr>
        <w:t>Teggi</w:t>
      </w:r>
      <w:proofErr w:type="spellEnd"/>
      <w:r w:rsidRPr="00AA1EF7">
        <w:rPr>
          <w:rFonts w:ascii="Times New Roman" w:hAnsi="Times New Roman" w:cs="Times New Roman"/>
          <w:color w:val="000000" w:themeColor="text1"/>
        </w:rPr>
        <w:t xml:space="preserve">, S., Balboni, E., </w:t>
      </w:r>
      <w:proofErr w:type="spellStart"/>
      <w:r w:rsidRPr="00AA1EF7">
        <w:rPr>
          <w:rFonts w:ascii="Times New Roman" w:hAnsi="Times New Roman" w:cs="Times New Roman"/>
          <w:color w:val="000000" w:themeColor="text1"/>
        </w:rPr>
        <w:t>Pancaldi</w:t>
      </w:r>
      <w:proofErr w:type="spellEnd"/>
      <w:r w:rsidRPr="00AA1EF7">
        <w:rPr>
          <w:rFonts w:ascii="Times New Roman" w:hAnsi="Times New Roman" w:cs="Times New Roman"/>
          <w:color w:val="000000" w:themeColor="text1"/>
        </w:rPr>
        <w:t xml:space="preserve">, A., Palazzi, G., </w:t>
      </w:r>
      <w:proofErr w:type="spellStart"/>
      <w:r w:rsidRPr="00AA1EF7">
        <w:rPr>
          <w:rFonts w:ascii="Times New Roman" w:hAnsi="Times New Roman" w:cs="Times New Roman"/>
          <w:color w:val="000000" w:themeColor="text1"/>
        </w:rPr>
        <w:t>Vinceti</w:t>
      </w:r>
      <w:proofErr w:type="spellEnd"/>
      <w:r w:rsidRPr="00AA1EF7">
        <w:rPr>
          <w:rFonts w:ascii="Times New Roman" w:hAnsi="Times New Roman" w:cs="Times New Roman"/>
          <w:color w:val="000000" w:themeColor="text1"/>
        </w:rPr>
        <w:t xml:space="preserve">, M., &amp; Filippini, T. (2024). Residential exposure to magnetic fields from transformer stations and risk of childhood </w:t>
      </w:r>
      <w:proofErr w:type="spellStart"/>
      <w:r w:rsidRPr="00AA1EF7">
        <w:rPr>
          <w:rFonts w:ascii="Times New Roman" w:hAnsi="Times New Roman" w:cs="Times New Roman"/>
          <w:color w:val="000000" w:themeColor="text1"/>
        </w:rPr>
        <w:t>leukemia</w:t>
      </w:r>
      <w:proofErr w:type="spellEnd"/>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Environmental Research</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245</w:t>
      </w:r>
      <w:r w:rsidRPr="00AA1EF7">
        <w:rPr>
          <w:rFonts w:ascii="Times New Roman" w:hAnsi="Times New Roman" w:cs="Times New Roman"/>
          <w:color w:val="000000" w:themeColor="text1"/>
        </w:rPr>
        <w:t>, 118043. https://doi.org/10.1016/j.envres.2023.118043</w:t>
      </w:r>
    </w:p>
    <w:p w14:paraId="4F91B7A1" w14:textId="77777777" w:rsidR="00DD2D91" w:rsidRPr="00AA1EF7" w:rsidRDefault="00DD2D91" w:rsidP="00AA1EF7">
      <w:pPr>
        <w:spacing w:line="360" w:lineRule="auto"/>
        <w:jc w:val="both"/>
        <w:rPr>
          <w:rFonts w:ascii="Times New Roman" w:hAnsi="Times New Roman" w:cs="Times New Roman"/>
          <w:color w:val="000000" w:themeColor="text1"/>
        </w:rPr>
      </w:pPr>
    </w:p>
    <w:p w14:paraId="243E8E21"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Marino, L., Kim, A., Ni, B., &amp; Celi, F. S. (2025). Thyroid hormone action and liver disease, a complex interplay. </w:t>
      </w:r>
      <w:r w:rsidRPr="00AA1EF7">
        <w:rPr>
          <w:rFonts w:ascii="Times New Roman" w:hAnsi="Times New Roman" w:cs="Times New Roman"/>
          <w:i/>
          <w:iCs/>
          <w:color w:val="000000" w:themeColor="text1"/>
        </w:rPr>
        <w:t>Hepatology (Baltimore, Md.)</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81</w:t>
      </w:r>
      <w:r w:rsidRPr="00AA1EF7">
        <w:rPr>
          <w:rFonts w:ascii="Times New Roman" w:hAnsi="Times New Roman" w:cs="Times New Roman"/>
          <w:color w:val="000000" w:themeColor="text1"/>
        </w:rPr>
        <w:t xml:space="preserve">(2), 651–669. </w:t>
      </w:r>
      <w:hyperlink r:id="rId20" w:history="1">
        <w:r w:rsidRPr="00AA1EF7">
          <w:rPr>
            <w:rStyle w:val="Hyperlink"/>
            <w:rFonts w:ascii="Times New Roman" w:hAnsi="Times New Roman" w:cs="Times New Roman"/>
            <w:color w:val="000000" w:themeColor="text1"/>
          </w:rPr>
          <w:t>https://doi.org/10.1097/HEP.0000000000000551</w:t>
        </w:r>
      </w:hyperlink>
    </w:p>
    <w:p w14:paraId="0EDF5E62" w14:textId="77777777" w:rsidR="00DD2D91" w:rsidRPr="00AA1EF7" w:rsidRDefault="00DD2D91" w:rsidP="00AA1EF7">
      <w:pPr>
        <w:spacing w:line="360" w:lineRule="auto"/>
        <w:jc w:val="both"/>
        <w:rPr>
          <w:rFonts w:ascii="Times New Roman" w:hAnsi="Times New Roman" w:cs="Times New Roman"/>
          <w:color w:val="000000" w:themeColor="text1"/>
        </w:rPr>
      </w:pPr>
    </w:p>
    <w:p w14:paraId="2A3499A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Miller, A. B., &amp; Green, L. M. (2010). Electric and magnetic fields at power frequencies. </w:t>
      </w:r>
      <w:r w:rsidRPr="00AA1EF7">
        <w:rPr>
          <w:rFonts w:ascii="Times New Roman" w:hAnsi="Times New Roman" w:cs="Times New Roman"/>
          <w:i/>
          <w:iCs/>
          <w:color w:val="000000" w:themeColor="text1"/>
        </w:rPr>
        <w:t>Chronic Diseases in Canada</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 xml:space="preserve">29 </w:t>
      </w:r>
      <w:proofErr w:type="spellStart"/>
      <w:r w:rsidRPr="00AA1EF7">
        <w:rPr>
          <w:rFonts w:ascii="Times New Roman" w:hAnsi="Times New Roman" w:cs="Times New Roman"/>
          <w:i/>
          <w:iCs/>
          <w:color w:val="000000" w:themeColor="text1"/>
        </w:rPr>
        <w:t>Suppl</w:t>
      </w:r>
      <w:proofErr w:type="spellEnd"/>
      <w:r w:rsidRPr="00AA1EF7">
        <w:rPr>
          <w:rFonts w:ascii="Times New Roman" w:hAnsi="Times New Roman" w:cs="Times New Roman"/>
          <w:i/>
          <w:iCs/>
          <w:color w:val="000000" w:themeColor="text1"/>
        </w:rPr>
        <w:t xml:space="preserve"> 1</w:t>
      </w:r>
      <w:r w:rsidRPr="00AA1EF7">
        <w:rPr>
          <w:rFonts w:ascii="Times New Roman" w:hAnsi="Times New Roman" w:cs="Times New Roman"/>
          <w:color w:val="000000" w:themeColor="text1"/>
        </w:rPr>
        <w:t xml:space="preserve">, 69–83. </w:t>
      </w:r>
    </w:p>
    <w:p w14:paraId="3EF6D95B" w14:textId="77777777" w:rsidR="00DD2D91" w:rsidRPr="00AA1EF7" w:rsidRDefault="00DD2D91" w:rsidP="00AA1EF7">
      <w:pPr>
        <w:spacing w:line="360" w:lineRule="auto"/>
        <w:jc w:val="both"/>
        <w:rPr>
          <w:rFonts w:ascii="Times New Roman" w:hAnsi="Times New Roman" w:cs="Times New Roman"/>
          <w:color w:val="000000" w:themeColor="text1"/>
        </w:rPr>
      </w:pPr>
    </w:p>
    <w:p w14:paraId="1EFD5B6A"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lastRenderedPageBreak/>
        <w:t xml:space="preserve">Misa Agustiño, M. J., Leiro, J. M., Jorge Mora, M. T., Rodríguez-González, J. A., Jorge Barreiro, F. J., Ares-Pena, F. J., &amp; López-Martín, E. (2012). Electromagnetic fields at 2.45 GHz trigger changes in heat shock proteins 90 and 70 without altering apoptotic activity in rat thyroid gland. </w:t>
      </w:r>
      <w:r w:rsidRPr="00AA1EF7">
        <w:rPr>
          <w:rFonts w:ascii="Times New Roman" w:hAnsi="Times New Roman" w:cs="Times New Roman"/>
          <w:i/>
          <w:iCs/>
          <w:color w:val="000000" w:themeColor="text1"/>
        </w:rPr>
        <w:t>Biology open</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w:t>
      </w:r>
      <w:r w:rsidRPr="00AA1EF7">
        <w:rPr>
          <w:rFonts w:ascii="Times New Roman" w:hAnsi="Times New Roman" w:cs="Times New Roman"/>
          <w:color w:val="000000" w:themeColor="text1"/>
        </w:rPr>
        <w:t xml:space="preserve">(9), 831–838. </w:t>
      </w:r>
      <w:hyperlink r:id="rId21" w:history="1">
        <w:r w:rsidRPr="00AA1EF7">
          <w:rPr>
            <w:rStyle w:val="Hyperlink"/>
            <w:rFonts w:ascii="Times New Roman" w:hAnsi="Times New Roman" w:cs="Times New Roman"/>
            <w:color w:val="000000" w:themeColor="text1"/>
          </w:rPr>
          <w:t>https://doi.org/10.1242/bio.20121297</w:t>
        </w:r>
      </w:hyperlink>
    </w:p>
    <w:p w14:paraId="78A8C5CD" w14:textId="77777777" w:rsidR="00DD2D91" w:rsidRPr="00AA1EF7" w:rsidRDefault="00DD2D91" w:rsidP="00AA1EF7">
      <w:pPr>
        <w:spacing w:line="360" w:lineRule="auto"/>
        <w:jc w:val="both"/>
        <w:rPr>
          <w:rFonts w:ascii="Times New Roman" w:hAnsi="Times New Roman" w:cs="Times New Roman"/>
          <w:color w:val="000000" w:themeColor="text1"/>
          <w:vertAlign w:val="superscript"/>
        </w:rPr>
      </w:pPr>
    </w:p>
    <w:p w14:paraId="7DB93092"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Mughal, B. B., Fini, J. B., &amp; </w:t>
      </w:r>
      <w:proofErr w:type="spellStart"/>
      <w:r w:rsidRPr="00AA1EF7">
        <w:rPr>
          <w:rFonts w:ascii="Times New Roman" w:hAnsi="Times New Roman" w:cs="Times New Roman"/>
          <w:color w:val="000000" w:themeColor="text1"/>
        </w:rPr>
        <w:t>Demeneix</w:t>
      </w:r>
      <w:proofErr w:type="spellEnd"/>
      <w:r w:rsidRPr="00AA1EF7">
        <w:rPr>
          <w:rFonts w:ascii="Times New Roman" w:hAnsi="Times New Roman" w:cs="Times New Roman"/>
          <w:color w:val="000000" w:themeColor="text1"/>
        </w:rPr>
        <w:t xml:space="preserve">, B. A. (2018). Thyroid-disrupting chemicals and brain development: an update. </w:t>
      </w:r>
      <w:r w:rsidRPr="00AA1EF7">
        <w:rPr>
          <w:rFonts w:ascii="Times New Roman" w:hAnsi="Times New Roman" w:cs="Times New Roman"/>
          <w:i/>
          <w:iCs/>
          <w:color w:val="000000" w:themeColor="text1"/>
        </w:rPr>
        <w:t>Endocrine Connections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7</w:t>
      </w:r>
      <w:r w:rsidRPr="00AA1EF7">
        <w:rPr>
          <w:rFonts w:ascii="Times New Roman" w:hAnsi="Times New Roman" w:cs="Times New Roman"/>
          <w:color w:val="000000" w:themeColor="text1"/>
        </w:rPr>
        <w:t>(4), R160–R186. https://doi.org/10.1530/EC-18-0029</w:t>
      </w:r>
    </w:p>
    <w:p w14:paraId="44894ED8" w14:textId="77777777" w:rsidR="00DD2D91" w:rsidRPr="00AA1EF7" w:rsidRDefault="00DD2D91" w:rsidP="00AA1EF7">
      <w:pPr>
        <w:spacing w:line="360" w:lineRule="auto"/>
        <w:jc w:val="both"/>
        <w:rPr>
          <w:rFonts w:ascii="Times New Roman" w:hAnsi="Times New Roman" w:cs="Times New Roman"/>
          <w:color w:val="000000" w:themeColor="text1"/>
        </w:rPr>
      </w:pPr>
    </w:p>
    <w:p w14:paraId="62A28D6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Mullur</w:t>
      </w:r>
      <w:proofErr w:type="spellEnd"/>
      <w:r w:rsidRPr="00AA1EF7">
        <w:rPr>
          <w:rFonts w:ascii="Times New Roman" w:hAnsi="Times New Roman" w:cs="Times New Roman"/>
          <w:color w:val="000000" w:themeColor="text1"/>
        </w:rPr>
        <w:t xml:space="preserve">, R., Liu, Y. Y., &amp; Brent, G. A. (2014). Thyroid hormone regulation of metabolism. </w:t>
      </w:r>
      <w:r w:rsidRPr="00AA1EF7">
        <w:rPr>
          <w:rFonts w:ascii="Times New Roman" w:hAnsi="Times New Roman" w:cs="Times New Roman"/>
          <w:i/>
          <w:iCs/>
          <w:color w:val="000000" w:themeColor="text1"/>
        </w:rPr>
        <w:t>Physiological Reviews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94</w:t>
      </w:r>
      <w:r w:rsidRPr="00AA1EF7">
        <w:rPr>
          <w:rFonts w:ascii="Times New Roman" w:hAnsi="Times New Roman" w:cs="Times New Roman"/>
          <w:color w:val="000000" w:themeColor="text1"/>
        </w:rPr>
        <w:t xml:space="preserve">(2), 355–382. </w:t>
      </w:r>
      <w:hyperlink r:id="rId22" w:history="1">
        <w:r w:rsidRPr="00AA1EF7">
          <w:rPr>
            <w:rStyle w:val="Hyperlink"/>
            <w:rFonts w:ascii="Times New Roman" w:hAnsi="Times New Roman" w:cs="Times New Roman"/>
            <w:color w:val="000000" w:themeColor="text1"/>
          </w:rPr>
          <w:t>https://doi.org/10.1152/physrev.00030.2013</w:t>
        </w:r>
      </w:hyperlink>
    </w:p>
    <w:p w14:paraId="1117BFED" w14:textId="77777777" w:rsidR="00DD2D91" w:rsidRPr="00AA1EF7" w:rsidRDefault="00DD2D91" w:rsidP="00AA1EF7">
      <w:pPr>
        <w:spacing w:line="360" w:lineRule="auto"/>
        <w:jc w:val="both"/>
        <w:rPr>
          <w:rFonts w:ascii="Times New Roman" w:hAnsi="Times New Roman" w:cs="Times New Roman"/>
          <w:color w:val="000000" w:themeColor="text1"/>
        </w:rPr>
      </w:pPr>
    </w:p>
    <w:p w14:paraId="572AA536"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Ogunbanjo</w:t>
      </w:r>
      <w:proofErr w:type="spellEnd"/>
      <w:r w:rsidRPr="00AA1EF7">
        <w:rPr>
          <w:rFonts w:ascii="Times New Roman" w:hAnsi="Times New Roman" w:cs="Times New Roman"/>
          <w:color w:val="000000" w:themeColor="text1"/>
        </w:rPr>
        <w:t xml:space="preserve">, D. (2024). EMF Exposure </w:t>
      </w:r>
      <w:proofErr w:type="gramStart"/>
      <w:r w:rsidRPr="00AA1EF7">
        <w:rPr>
          <w:rFonts w:ascii="Times New Roman" w:hAnsi="Times New Roman" w:cs="Times New Roman"/>
          <w:color w:val="000000" w:themeColor="text1"/>
        </w:rPr>
        <w:t>And</w:t>
      </w:r>
      <w:proofErr w:type="gramEnd"/>
      <w:r w:rsidRPr="00AA1EF7">
        <w:rPr>
          <w:rFonts w:ascii="Times New Roman" w:hAnsi="Times New Roman" w:cs="Times New Roman"/>
          <w:color w:val="000000" w:themeColor="text1"/>
        </w:rPr>
        <w:t xml:space="preserve"> </w:t>
      </w:r>
      <w:proofErr w:type="spellStart"/>
      <w:proofErr w:type="gramStart"/>
      <w:r w:rsidRPr="00AA1EF7">
        <w:rPr>
          <w:rFonts w:ascii="Times New Roman" w:hAnsi="Times New Roman" w:cs="Times New Roman"/>
          <w:color w:val="000000" w:themeColor="text1"/>
        </w:rPr>
        <w:t>Health:The</w:t>
      </w:r>
      <w:proofErr w:type="spellEnd"/>
      <w:proofErr w:type="gramEnd"/>
      <w:r w:rsidRPr="00AA1EF7">
        <w:rPr>
          <w:rFonts w:ascii="Times New Roman" w:hAnsi="Times New Roman" w:cs="Times New Roman"/>
          <w:color w:val="000000" w:themeColor="text1"/>
        </w:rPr>
        <w:t xml:space="preserve"> Consumer Perspective; National President, National Association </w:t>
      </w:r>
      <w:proofErr w:type="gramStart"/>
      <w:r w:rsidRPr="00AA1EF7">
        <w:rPr>
          <w:rFonts w:ascii="Times New Roman" w:hAnsi="Times New Roman" w:cs="Times New Roman"/>
          <w:color w:val="000000" w:themeColor="text1"/>
        </w:rPr>
        <w:t>Of</w:t>
      </w:r>
      <w:proofErr w:type="gramEnd"/>
      <w:r w:rsidRPr="00AA1EF7">
        <w:rPr>
          <w:rFonts w:ascii="Times New Roman" w:hAnsi="Times New Roman" w:cs="Times New Roman"/>
          <w:color w:val="000000" w:themeColor="text1"/>
        </w:rPr>
        <w:t xml:space="preserve"> Telecommunications Subscribers (</w:t>
      </w:r>
      <w:proofErr w:type="spellStart"/>
      <w:r w:rsidRPr="00AA1EF7">
        <w:rPr>
          <w:rFonts w:ascii="Times New Roman" w:hAnsi="Times New Roman" w:cs="Times New Roman"/>
          <w:color w:val="000000" w:themeColor="text1"/>
        </w:rPr>
        <w:t>Natcoms</w:t>
      </w:r>
      <w:proofErr w:type="spellEnd"/>
      <w:r w:rsidRPr="00AA1EF7">
        <w:rPr>
          <w:rFonts w:ascii="Times New Roman" w:hAnsi="Times New Roman" w:cs="Times New Roman"/>
          <w:color w:val="000000" w:themeColor="text1"/>
        </w:rPr>
        <w:t xml:space="preserve">) On </w:t>
      </w:r>
      <w:proofErr w:type="gramStart"/>
      <w:r w:rsidRPr="00AA1EF7">
        <w:rPr>
          <w:rFonts w:ascii="Times New Roman" w:hAnsi="Times New Roman" w:cs="Times New Roman"/>
          <w:color w:val="000000" w:themeColor="text1"/>
        </w:rPr>
        <w:t>The</w:t>
      </w:r>
      <w:proofErr w:type="gramEnd"/>
      <w:r w:rsidRPr="00AA1EF7">
        <w:rPr>
          <w:rFonts w:ascii="Times New Roman" w:hAnsi="Times New Roman" w:cs="Times New Roman"/>
          <w:color w:val="000000" w:themeColor="text1"/>
        </w:rPr>
        <w:t xml:space="preserve"> Occasion </w:t>
      </w:r>
      <w:proofErr w:type="gramStart"/>
      <w:r w:rsidRPr="00AA1EF7">
        <w:rPr>
          <w:rFonts w:ascii="Times New Roman" w:hAnsi="Times New Roman" w:cs="Times New Roman"/>
          <w:color w:val="000000" w:themeColor="text1"/>
        </w:rPr>
        <w:t>Of</w:t>
      </w:r>
      <w:proofErr w:type="gramEnd"/>
      <w:r w:rsidRPr="00AA1EF7">
        <w:rPr>
          <w:rFonts w:ascii="Times New Roman" w:hAnsi="Times New Roman" w:cs="Times New Roman"/>
          <w:color w:val="000000" w:themeColor="text1"/>
        </w:rPr>
        <w:t xml:space="preserve"> NCC’s First West African Conference </w:t>
      </w:r>
      <w:proofErr w:type="gramStart"/>
      <w:r w:rsidRPr="00AA1EF7">
        <w:rPr>
          <w:rFonts w:ascii="Times New Roman" w:hAnsi="Times New Roman" w:cs="Times New Roman"/>
          <w:color w:val="000000" w:themeColor="text1"/>
        </w:rPr>
        <w:t>On</w:t>
      </w:r>
      <w:proofErr w:type="gramEnd"/>
      <w:r w:rsidRPr="00AA1EF7">
        <w:rPr>
          <w:rFonts w:ascii="Times New Roman" w:hAnsi="Times New Roman" w:cs="Times New Roman"/>
          <w:color w:val="000000" w:themeColor="text1"/>
        </w:rPr>
        <w:t xml:space="preserve"> Electromagnetic Fields Exposure </w:t>
      </w:r>
      <w:proofErr w:type="gramStart"/>
      <w:r w:rsidRPr="00AA1EF7">
        <w:rPr>
          <w:rFonts w:ascii="Times New Roman" w:hAnsi="Times New Roman" w:cs="Times New Roman"/>
          <w:color w:val="000000" w:themeColor="text1"/>
        </w:rPr>
        <w:t>And</w:t>
      </w:r>
      <w:proofErr w:type="gramEnd"/>
      <w:r w:rsidRPr="00AA1EF7">
        <w:rPr>
          <w:rFonts w:ascii="Times New Roman" w:hAnsi="Times New Roman" w:cs="Times New Roman"/>
          <w:color w:val="000000" w:themeColor="text1"/>
        </w:rPr>
        <w:t xml:space="preserve"> Health </w:t>
      </w:r>
      <w:proofErr w:type="gramStart"/>
      <w:r w:rsidRPr="00AA1EF7">
        <w:rPr>
          <w:rFonts w:ascii="Times New Roman" w:hAnsi="Times New Roman" w:cs="Times New Roman"/>
          <w:color w:val="000000" w:themeColor="text1"/>
        </w:rPr>
        <w:t>At</w:t>
      </w:r>
      <w:proofErr w:type="gramEnd"/>
      <w:r w:rsidRPr="00AA1EF7">
        <w:rPr>
          <w:rFonts w:ascii="Times New Roman" w:hAnsi="Times New Roman" w:cs="Times New Roman"/>
          <w:color w:val="000000" w:themeColor="text1"/>
        </w:rPr>
        <w:t xml:space="preserve"> Victoria Crown Plaza Hotel, Victoria Island, Lagos, Nigeria, On Wednesday, 27th And Thursday, 28th June, 2012.</w:t>
      </w:r>
    </w:p>
    <w:p w14:paraId="1A10F8B6"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Available online at </w:t>
      </w:r>
      <w:hyperlink r:id="rId23" w:history="1">
        <w:r w:rsidRPr="00AA1EF7">
          <w:rPr>
            <w:rStyle w:val="Hyperlink"/>
            <w:rFonts w:ascii="Times New Roman" w:hAnsi="Times New Roman" w:cs="Times New Roman"/>
            <w:color w:val="000000" w:themeColor="text1"/>
          </w:rPr>
          <w:t>https://ncc.gov.ng/sites/default/files/2024-11/Documents/EMF-20120628_Exposure_And_Health_President_NATCOMS.pdf</w:t>
        </w:r>
      </w:hyperlink>
      <w:r w:rsidRPr="00AA1EF7">
        <w:rPr>
          <w:rFonts w:ascii="Times New Roman" w:hAnsi="Times New Roman" w:cs="Times New Roman"/>
          <w:color w:val="000000" w:themeColor="text1"/>
        </w:rPr>
        <w:t xml:space="preserve"> </w:t>
      </w:r>
    </w:p>
    <w:p w14:paraId="18222DC5" w14:textId="77777777" w:rsidR="00DD2D91" w:rsidRPr="00AA1EF7" w:rsidRDefault="00DD2D91" w:rsidP="00AA1EF7">
      <w:pPr>
        <w:spacing w:line="360" w:lineRule="auto"/>
        <w:jc w:val="both"/>
        <w:rPr>
          <w:rFonts w:ascii="Times New Roman" w:hAnsi="Times New Roman" w:cs="Times New Roman"/>
          <w:color w:val="000000" w:themeColor="text1"/>
        </w:rPr>
      </w:pPr>
    </w:p>
    <w:p w14:paraId="72429543"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Ospina, N. S., &amp; </w:t>
      </w:r>
      <w:proofErr w:type="spellStart"/>
      <w:r w:rsidRPr="00AA1EF7">
        <w:rPr>
          <w:rFonts w:ascii="Times New Roman" w:hAnsi="Times New Roman" w:cs="Times New Roman"/>
          <w:color w:val="000000" w:themeColor="text1"/>
        </w:rPr>
        <w:t>Papaleontiou</w:t>
      </w:r>
      <w:proofErr w:type="spellEnd"/>
      <w:r w:rsidRPr="00AA1EF7">
        <w:rPr>
          <w:rFonts w:ascii="Times New Roman" w:hAnsi="Times New Roman" w:cs="Times New Roman"/>
          <w:color w:val="000000" w:themeColor="text1"/>
        </w:rPr>
        <w:t xml:space="preserve">, M. (2021). Thyroid Nodule Evaluation and Management in Older Adults: A Review of Practical Considerations for Clinical Endocrinologists. </w:t>
      </w:r>
      <w:r w:rsidRPr="00AA1EF7">
        <w:rPr>
          <w:rFonts w:ascii="Times New Roman" w:hAnsi="Times New Roman" w:cs="Times New Roman"/>
          <w:i/>
          <w:iCs/>
          <w:color w:val="000000" w:themeColor="text1"/>
        </w:rPr>
        <w:t>Endocrine Practice: official journal of the American College of Endocrinology and the American Association of Clinical Endocrinologists</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27</w:t>
      </w:r>
      <w:r w:rsidRPr="00AA1EF7">
        <w:rPr>
          <w:rFonts w:ascii="Times New Roman" w:hAnsi="Times New Roman" w:cs="Times New Roman"/>
          <w:color w:val="000000" w:themeColor="text1"/>
        </w:rPr>
        <w:t xml:space="preserve">(3), 261–268. </w:t>
      </w:r>
      <w:hyperlink r:id="rId24" w:history="1">
        <w:r w:rsidRPr="00AA1EF7">
          <w:rPr>
            <w:rStyle w:val="Hyperlink"/>
            <w:rFonts w:ascii="Times New Roman" w:hAnsi="Times New Roman" w:cs="Times New Roman"/>
            <w:color w:val="000000" w:themeColor="text1"/>
          </w:rPr>
          <w:t>https://doi.org/10.1016/j.eprac.2021.02.003</w:t>
        </w:r>
      </w:hyperlink>
    </w:p>
    <w:p w14:paraId="7F651C1A" w14:textId="77777777" w:rsidR="00DD2D91" w:rsidRPr="00AA1EF7" w:rsidRDefault="00DD2D91" w:rsidP="00AA1EF7">
      <w:pPr>
        <w:spacing w:line="360" w:lineRule="auto"/>
        <w:jc w:val="both"/>
        <w:rPr>
          <w:rFonts w:ascii="Times New Roman" w:hAnsi="Times New Roman" w:cs="Times New Roman"/>
          <w:color w:val="000000" w:themeColor="text1"/>
        </w:rPr>
      </w:pPr>
    </w:p>
    <w:p w14:paraId="64F41FE2"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Pirahanchi</w:t>
      </w:r>
      <w:proofErr w:type="spellEnd"/>
      <w:r w:rsidRPr="00AA1EF7">
        <w:rPr>
          <w:rFonts w:ascii="Times New Roman" w:hAnsi="Times New Roman" w:cs="Times New Roman"/>
          <w:color w:val="000000" w:themeColor="text1"/>
        </w:rPr>
        <w:t xml:space="preserve"> Y, Toro F, </w:t>
      </w:r>
      <w:proofErr w:type="spellStart"/>
      <w:r w:rsidRPr="00AA1EF7">
        <w:rPr>
          <w:rFonts w:ascii="Times New Roman" w:hAnsi="Times New Roman" w:cs="Times New Roman"/>
          <w:color w:val="000000" w:themeColor="text1"/>
        </w:rPr>
        <w:t>Jialal</w:t>
      </w:r>
      <w:proofErr w:type="spellEnd"/>
      <w:r w:rsidRPr="00AA1EF7">
        <w:rPr>
          <w:rFonts w:ascii="Times New Roman" w:hAnsi="Times New Roman" w:cs="Times New Roman"/>
          <w:color w:val="000000" w:themeColor="text1"/>
        </w:rPr>
        <w:t xml:space="preserve"> I. Physiology, Thyroid Stimulating Hormone. [Updated 2023 May 1]. In: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[Internet]. Treasure Island (FL):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2025 Jan-. </w:t>
      </w:r>
      <w:r w:rsidRPr="00AA1EF7">
        <w:rPr>
          <w:rStyle w:val="bkciteavail"/>
          <w:rFonts w:ascii="Times New Roman" w:hAnsi="Times New Roman" w:cs="Times New Roman"/>
          <w:color w:val="000000" w:themeColor="text1"/>
        </w:rPr>
        <w:t xml:space="preserve">Available online from: </w:t>
      </w:r>
      <w:hyperlink r:id="rId25" w:history="1">
        <w:r w:rsidRPr="00AA1EF7">
          <w:rPr>
            <w:rStyle w:val="Hyperlink"/>
            <w:rFonts w:ascii="Times New Roman" w:hAnsi="Times New Roman" w:cs="Times New Roman"/>
            <w:color w:val="000000" w:themeColor="text1"/>
          </w:rPr>
          <w:t>https://www.ncbi.nlm.nih.gov/books/NBK499850/</w:t>
        </w:r>
      </w:hyperlink>
    </w:p>
    <w:p w14:paraId="0478067C" w14:textId="77777777" w:rsidR="00DD2D91" w:rsidRPr="00AA1EF7" w:rsidRDefault="00DD2D91" w:rsidP="00AA1EF7">
      <w:pPr>
        <w:spacing w:line="360" w:lineRule="auto"/>
        <w:jc w:val="both"/>
        <w:rPr>
          <w:rFonts w:ascii="Times New Roman" w:hAnsi="Times New Roman" w:cs="Times New Roman"/>
          <w:color w:val="000000" w:themeColor="text1"/>
        </w:rPr>
      </w:pPr>
    </w:p>
    <w:p w14:paraId="0B9D6D4F" w14:textId="77777777" w:rsidR="00DD2D91" w:rsidRPr="00AA1EF7" w:rsidRDefault="00DD2D91" w:rsidP="00AA1EF7">
      <w:pPr>
        <w:spacing w:line="360" w:lineRule="auto"/>
        <w:jc w:val="both"/>
        <w:rPr>
          <w:rStyle w:val="bkciteavail"/>
          <w:rFonts w:ascii="Times New Roman" w:hAnsi="Times New Roman" w:cs="Times New Roman"/>
          <w:color w:val="000000" w:themeColor="text1"/>
        </w:rPr>
      </w:pPr>
      <w:r w:rsidRPr="00AA1EF7">
        <w:rPr>
          <w:rFonts w:ascii="Times New Roman" w:hAnsi="Times New Roman" w:cs="Times New Roman"/>
          <w:color w:val="000000" w:themeColor="text1"/>
        </w:rPr>
        <w:t xml:space="preserve">Shahid MA, Ashraf MA, Sharma S. Physiology, Thyroid Hormone. [Updated 2023 Jun 5]. In: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[Internet]. Treasure Island (FL): </w:t>
      </w:r>
      <w:proofErr w:type="spellStart"/>
      <w:r w:rsidRPr="00AA1EF7">
        <w:rPr>
          <w:rFonts w:ascii="Times New Roman" w:hAnsi="Times New Roman" w:cs="Times New Roman"/>
          <w:color w:val="000000" w:themeColor="text1"/>
        </w:rPr>
        <w:t>StatPearls</w:t>
      </w:r>
      <w:proofErr w:type="spellEnd"/>
      <w:r w:rsidRPr="00AA1EF7">
        <w:rPr>
          <w:rFonts w:ascii="Times New Roman" w:hAnsi="Times New Roman" w:cs="Times New Roman"/>
          <w:color w:val="000000" w:themeColor="text1"/>
        </w:rPr>
        <w:t xml:space="preserve"> Publishing; 2025 Jan-. </w:t>
      </w:r>
      <w:r w:rsidRPr="00AA1EF7">
        <w:rPr>
          <w:rStyle w:val="bkciteavail"/>
          <w:rFonts w:ascii="Times New Roman" w:hAnsi="Times New Roman" w:cs="Times New Roman"/>
          <w:color w:val="000000" w:themeColor="text1"/>
        </w:rPr>
        <w:t xml:space="preserve">Available from: </w:t>
      </w:r>
      <w:hyperlink r:id="rId26" w:history="1">
        <w:r w:rsidRPr="00AA1EF7">
          <w:rPr>
            <w:rStyle w:val="Hyperlink"/>
            <w:rFonts w:ascii="Times New Roman" w:hAnsi="Times New Roman" w:cs="Times New Roman"/>
            <w:color w:val="000000" w:themeColor="text1"/>
          </w:rPr>
          <w:t>https://www.ncbi.nlm.nih.gov/books/NBK500006/</w:t>
        </w:r>
      </w:hyperlink>
    </w:p>
    <w:p w14:paraId="31773443" w14:textId="77777777" w:rsidR="00DD2D91" w:rsidRPr="00AA1EF7" w:rsidRDefault="00DD2D91" w:rsidP="00AA1EF7">
      <w:pPr>
        <w:spacing w:line="360" w:lineRule="auto"/>
        <w:jc w:val="both"/>
        <w:rPr>
          <w:rFonts w:ascii="Times New Roman" w:hAnsi="Times New Roman" w:cs="Times New Roman"/>
          <w:color w:val="000000" w:themeColor="text1"/>
        </w:rPr>
      </w:pPr>
    </w:p>
    <w:p w14:paraId="451CA989" w14:textId="77777777" w:rsidR="00DD2D91" w:rsidRPr="00AA1EF7" w:rsidRDefault="00DD2D91" w:rsidP="00AA1EF7">
      <w:pPr>
        <w:spacing w:line="360" w:lineRule="auto"/>
        <w:jc w:val="both"/>
        <w:rPr>
          <w:rFonts w:ascii="Times New Roman" w:hAnsi="Times New Roman" w:cs="Times New Roman"/>
          <w:color w:val="000000" w:themeColor="text1"/>
        </w:rPr>
      </w:pPr>
      <w:r w:rsidRPr="00AA1EF7">
        <w:rPr>
          <w:rFonts w:ascii="Times New Roman" w:hAnsi="Times New Roman" w:cs="Times New Roman"/>
          <w:color w:val="000000" w:themeColor="text1"/>
        </w:rPr>
        <w:t xml:space="preserve">Wertheimer, N., &amp; Leeper, E. (1979). Electrical wiring configurations and childhood cancer. </w:t>
      </w:r>
      <w:r w:rsidRPr="00AA1EF7">
        <w:rPr>
          <w:rFonts w:ascii="Times New Roman" w:hAnsi="Times New Roman" w:cs="Times New Roman"/>
          <w:i/>
          <w:iCs/>
          <w:color w:val="000000" w:themeColor="text1"/>
        </w:rPr>
        <w:t>American Journal of Epidemiology</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109</w:t>
      </w:r>
      <w:r w:rsidRPr="00AA1EF7">
        <w:rPr>
          <w:rFonts w:ascii="Times New Roman" w:hAnsi="Times New Roman" w:cs="Times New Roman"/>
          <w:color w:val="000000" w:themeColor="text1"/>
        </w:rPr>
        <w:t>(3), 273–284. https://doi.org/10.1093/oxfordjournals.aje.a112681</w:t>
      </w:r>
    </w:p>
    <w:p w14:paraId="77A0B346" w14:textId="77777777" w:rsidR="00DD2D91" w:rsidRPr="00AA1EF7" w:rsidRDefault="00DD2D91" w:rsidP="00AA1EF7">
      <w:pPr>
        <w:spacing w:line="360" w:lineRule="auto"/>
        <w:jc w:val="both"/>
        <w:rPr>
          <w:rStyle w:val="article-title-and-info"/>
          <w:rFonts w:ascii="Times New Roman" w:hAnsi="Times New Roman" w:cs="Times New Roman"/>
          <w:color w:val="000000" w:themeColor="text1"/>
        </w:rPr>
      </w:pPr>
    </w:p>
    <w:p w14:paraId="6B0A81B5"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Style w:val="article-title-and-info"/>
          <w:rFonts w:ascii="Times New Roman" w:hAnsi="Times New Roman" w:cs="Times New Roman"/>
          <w:color w:val="000000" w:themeColor="text1"/>
        </w:rPr>
        <w:t>Zufry</w:t>
      </w:r>
      <w:proofErr w:type="spellEnd"/>
      <w:r w:rsidRPr="00AA1EF7">
        <w:rPr>
          <w:rStyle w:val="article-title-and-info"/>
          <w:rFonts w:ascii="Times New Roman" w:hAnsi="Times New Roman" w:cs="Times New Roman"/>
          <w:color w:val="000000" w:themeColor="text1"/>
        </w:rPr>
        <w:t xml:space="preserve">, H., </w:t>
      </w:r>
      <w:proofErr w:type="spellStart"/>
      <w:r w:rsidRPr="00AA1EF7">
        <w:rPr>
          <w:rStyle w:val="article-title-and-info"/>
          <w:rFonts w:ascii="Times New Roman" w:hAnsi="Times New Roman" w:cs="Times New Roman"/>
          <w:color w:val="000000" w:themeColor="text1"/>
        </w:rPr>
        <w:t>Rudijanto</w:t>
      </w:r>
      <w:proofErr w:type="spellEnd"/>
      <w:r w:rsidRPr="00AA1EF7">
        <w:rPr>
          <w:rStyle w:val="article-title-and-info"/>
          <w:rFonts w:ascii="Times New Roman" w:hAnsi="Times New Roman" w:cs="Times New Roman"/>
          <w:color w:val="000000" w:themeColor="text1"/>
        </w:rPr>
        <w:t xml:space="preserve">, A., </w:t>
      </w:r>
      <w:proofErr w:type="spellStart"/>
      <w:r w:rsidRPr="00AA1EF7">
        <w:rPr>
          <w:rStyle w:val="article-title-and-info"/>
          <w:rFonts w:ascii="Times New Roman" w:hAnsi="Times New Roman" w:cs="Times New Roman"/>
          <w:color w:val="000000" w:themeColor="text1"/>
        </w:rPr>
        <w:t>Soeatmadji</w:t>
      </w:r>
      <w:proofErr w:type="spellEnd"/>
      <w:r w:rsidRPr="00AA1EF7">
        <w:rPr>
          <w:rStyle w:val="article-title-and-info"/>
          <w:rFonts w:ascii="Times New Roman" w:hAnsi="Times New Roman" w:cs="Times New Roman"/>
          <w:color w:val="000000" w:themeColor="text1"/>
        </w:rPr>
        <w:t>, D.W.,</w:t>
      </w:r>
      <w:r w:rsidRPr="00AA1EF7">
        <w:rPr>
          <w:rStyle w:val="article-title-and-info"/>
          <w:rFonts w:ascii="Times New Roman" w:hAnsi="Times New Roman" w:cs="Times New Roman"/>
          <w:i/>
          <w:color w:val="000000" w:themeColor="text1"/>
        </w:rPr>
        <w:t xml:space="preserve"> </w:t>
      </w:r>
      <w:r w:rsidRPr="00AA1EF7">
        <w:rPr>
          <w:rStyle w:val="Emphasis"/>
          <w:rFonts w:ascii="Times New Roman" w:hAnsi="Times New Roman" w:cs="Times New Roman"/>
          <w:i w:val="0"/>
          <w:color w:val="000000" w:themeColor="text1"/>
        </w:rPr>
        <w:t xml:space="preserve">Sakti, S.P., Munadi K., </w:t>
      </w:r>
      <w:proofErr w:type="spellStart"/>
      <w:r w:rsidRPr="00AA1EF7">
        <w:rPr>
          <w:rStyle w:val="Emphasis"/>
          <w:rFonts w:ascii="Times New Roman" w:hAnsi="Times New Roman" w:cs="Times New Roman"/>
          <w:i w:val="0"/>
          <w:color w:val="000000" w:themeColor="text1"/>
        </w:rPr>
        <w:t>Sujuti</w:t>
      </w:r>
      <w:proofErr w:type="spellEnd"/>
      <w:r w:rsidRPr="00AA1EF7">
        <w:rPr>
          <w:rStyle w:val="Emphasis"/>
          <w:rFonts w:ascii="Times New Roman" w:hAnsi="Times New Roman" w:cs="Times New Roman"/>
          <w:i w:val="0"/>
          <w:color w:val="000000" w:themeColor="text1"/>
        </w:rPr>
        <w:t xml:space="preserve">, H., </w:t>
      </w:r>
      <w:r w:rsidRPr="00AA1EF7">
        <w:rPr>
          <w:rFonts w:ascii="Times New Roman" w:hAnsi="Times New Roman" w:cs="Times New Roman"/>
          <w:color w:val="000000" w:themeColor="text1"/>
        </w:rPr>
        <w:t xml:space="preserve">&amp; </w:t>
      </w:r>
      <w:proofErr w:type="spellStart"/>
      <w:r w:rsidRPr="00AA1EF7">
        <w:rPr>
          <w:rStyle w:val="Emphasis"/>
          <w:rFonts w:ascii="Times New Roman" w:hAnsi="Times New Roman" w:cs="Times New Roman"/>
          <w:i w:val="0"/>
          <w:color w:val="000000" w:themeColor="text1"/>
        </w:rPr>
        <w:t>Mintaroen</w:t>
      </w:r>
      <w:proofErr w:type="spellEnd"/>
      <w:r w:rsidRPr="00AA1EF7">
        <w:rPr>
          <w:rStyle w:val="Emphasis"/>
          <w:rFonts w:ascii="Times New Roman" w:hAnsi="Times New Roman" w:cs="Times New Roman"/>
          <w:i w:val="0"/>
          <w:color w:val="000000" w:themeColor="text1"/>
        </w:rPr>
        <w:t>, K. (2024).</w:t>
      </w:r>
      <w:r w:rsidRPr="00AA1EF7">
        <w:rPr>
          <w:rStyle w:val="article-title-and-info"/>
          <w:rFonts w:ascii="Times New Roman" w:hAnsi="Times New Roman" w:cs="Times New Roman"/>
          <w:color w:val="000000" w:themeColor="text1"/>
        </w:rPr>
        <w:t xml:space="preserve"> Do electromagnetic fields significantly affect thyroid cells and their functions? – A systematic review [version 1; peer review: awaiting peer review]</w:t>
      </w:r>
      <w:r w:rsidRPr="00AA1EF7">
        <w:rPr>
          <w:rFonts w:ascii="Times New Roman" w:hAnsi="Times New Roman" w:cs="Times New Roman"/>
          <w:color w:val="000000" w:themeColor="text1"/>
        </w:rPr>
        <w:t xml:space="preserve">. </w:t>
      </w:r>
      <w:r w:rsidRPr="00AA1EF7">
        <w:rPr>
          <w:rFonts w:ascii="Times New Roman" w:hAnsi="Times New Roman" w:cs="Times New Roman"/>
          <w:i/>
          <w:iCs/>
          <w:color w:val="000000" w:themeColor="text1"/>
        </w:rPr>
        <w:t>F1000Research</w:t>
      </w:r>
      <w:r w:rsidRPr="00AA1EF7">
        <w:rPr>
          <w:rFonts w:ascii="Times New Roman" w:hAnsi="Times New Roman" w:cs="Times New Roman"/>
          <w:color w:val="000000" w:themeColor="text1"/>
        </w:rPr>
        <w:t xml:space="preserve">, </w:t>
      </w:r>
      <w:r w:rsidRPr="00AA1EF7">
        <w:rPr>
          <w:rFonts w:ascii="Times New Roman" w:hAnsi="Times New Roman" w:cs="Times New Roman"/>
          <w:bCs/>
          <w:i/>
          <w:color w:val="000000" w:themeColor="text1"/>
        </w:rPr>
        <w:t>13</w:t>
      </w:r>
      <w:r w:rsidRPr="00AA1EF7">
        <w:rPr>
          <w:rFonts w:ascii="Times New Roman" w:hAnsi="Times New Roman" w:cs="Times New Roman"/>
          <w:color w:val="000000" w:themeColor="text1"/>
        </w:rPr>
        <w:t xml:space="preserve">, 12. </w:t>
      </w:r>
      <w:hyperlink r:id="rId27" w:tgtFrame="_blank" w:history="1">
        <w:r w:rsidRPr="00AA1EF7">
          <w:rPr>
            <w:rStyle w:val="Hyperlink"/>
            <w:rFonts w:ascii="Times New Roman" w:hAnsi="Times New Roman" w:cs="Times New Roman"/>
            <w:color w:val="000000" w:themeColor="text1"/>
          </w:rPr>
          <w:t>https://doi.org/10.12688/f1000research.128740.1</w:t>
        </w:r>
      </w:hyperlink>
    </w:p>
    <w:p w14:paraId="0D1EF192" w14:textId="77777777" w:rsidR="00DD2D91" w:rsidRPr="00AA1EF7" w:rsidRDefault="00DD2D91" w:rsidP="00AA1EF7">
      <w:pPr>
        <w:spacing w:line="360" w:lineRule="auto"/>
        <w:jc w:val="both"/>
        <w:rPr>
          <w:rFonts w:ascii="Times New Roman" w:hAnsi="Times New Roman" w:cs="Times New Roman"/>
          <w:color w:val="000000" w:themeColor="text1"/>
        </w:rPr>
      </w:pPr>
    </w:p>
    <w:p w14:paraId="77262868" w14:textId="77777777" w:rsidR="00DD2D91" w:rsidRPr="00AA1EF7" w:rsidRDefault="00DD2D91" w:rsidP="00AA1EF7">
      <w:pPr>
        <w:spacing w:line="360" w:lineRule="auto"/>
        <w:jc w:val="both"/>
        <w:rPr>
          <w:rFonts w:ascii="Times New Roman" w:hAnsi="Times New Roman" w:cs="Times New Roman"/>
          <w:color w:val="000000" w:themeColor="text1"/>
        </w:rPr>
      </w:pPr>
      <w:proofErr w:type="spellStart"/>
      <w:r w:rsidRPr="00AA1EF7">
        <w:rPr>
          <w:rFonts w:ascii="Times New Roman" w:hAnsi="Times New Roman" w:cs="Times New Roman"/>
          <w:color w:val="000000" w:themeColor="text1"/>
        </w:rPr>
        <w:t>Zufry</w:t>
      </w:r>
      <w:proofErr w:type="spellEnd"/>
      <w:r w:rsidRPr="00AA1EF7">
        <w:rPr>
          <w:rFonts w:ascii="Times New Roman" w:hAnsi="Times New Roman" w:cs="Times New Roman"/>
          <w:color w:val="000000" w:themeColor="text1"/>
        </w:rPr>
        <w:t xml:space="preserve">, H., </w:t>
      </w:r>
      <w:proofErr w:type="spellStart"/>
      <w:r w:rsidRPr="00AA1EF7">
        <w:rPr>
          <w:rFonts w:ascii="Times New Roman" w:hAnsi="Times New Roman" w:cs="Times New Roman"/>
          <w:color w:val="000000" w:themeColor="text1"/>
        </w:rPr>
        <w:t>Rudijanto</w:t>
      </w:r>
      <w:proofErr w:type="spellEnd"/>
      <w:r w:rsidRPr="00AA1EF7">
        <w:rPr>
          <w:rFonts w:ascii="Times New Roman" w:hAnsi="Times New Roman" w:cs="Times New Roman"/>
          <w:color w:val="000000" w:themeColor="text1"/>
        </w:rPr>
        <w:t xml:space="preserve">, A., </w:t>
      </w:r>
      <w:proofErr w:type="spellStart"/>
      <w:r w:rsidRPr="00AA1EF7">
        <w:rPr>
          <w:rFonts w:ascii="Times New Roman" w:hAnsi="Times New Roman" w:cs="Times New Roman"/>
          <w:color w:val="000000" w:themeColor="text1"/>
        </w:rPr>
        <w:t>Soeatmadji</w:t>
      </w:r>
      <w:proofErr w:type="spellEnd"/>
      <w:r w:rsidRPr="00AA1EF7">
        <w:rPr>
          <w:rFonts w:ascii="Times New Roman" w:hAnsi="Times New Roman" w:cs="Times New Roman"/>
          <w:color w:val="000000" w:themeColor="text1"/>
        </w:rPr>
        <w:t xml:space="preserve">, D. W., Sakti, S. P., Munadi, K., </w:t>
      </w:r>
      <w:proofErr w:type="spellStart"/>
      <w:r w:rsidRPr="00AA1EF7">
        <w:rPr>
          <w:rFonts w:ascii="Times New Roman" w:hAnsi="Times New Roman" w:cs="Times New Roman"/>
          <w:color w:val="000000" w:themeColor="text1"/>
        </w:rPr>
        <w:t>Sujuti</w:t>
      </w:r>
      <w:proofErr w:type="spellEnd"/>
      <w:r w:rsidRPr="00AA1EF7">
        <w:rPr>
          <w:rFonts w:ascii="Times New Roman" w:hAnsi="Times New Roman" w:cs="Times New Roman"/>
          <w:color w:val="000000" w:themeColor="text1"/>
        </w:rPr>
        <w:t xml:space="preserve">, H., &amp; </w:t>
      </w:r>
      <w:proofErr w:type="spellStart"/>
      <w:r w:rsidRPr="00AA1EF7">
        <w:rPr>
          <w:rFonts w:ascii="Times New Roman" w:hAnsi="Times New Roman" w:cs="Times New Roman"/>
          <w:color w:val="000000" w:themeColor="text1"/>
        </w:rPr>
        <w:t>Mintaroem</w:t>
      </w:r>
      <w:proofErr w:type="spellEnd"/>
      <w:r w:rsidRPr="00AA1EF7">
        <w:rPr>
          <w:rFonts w:ascii="Times New Roman" w:hAnsi="Times New Roman" w:cs="Times New Roman"/>
          <w:color w:val="000000" w:themeColor="text1"/>
        </w:rPr>
        <w:t xml:space="preserve">, K. (2023). Effects of mobile phone electromagnetic radiation on thyroid glands and hormones in Rattus norvegicus brain: An analysis of thyroid function, reactive oxygen species, and monocarboxylate transporter 8. </w:t>
      </w:r>
      <w:r w:rsidRPr="00AA1EF7">
        <w:rPr>
          <w:rFonts w:ascii="Times New Roman" w:hAnsi="Times New Roman" w:cs="Times New Roman"/>
          <w:i/>
          <w:color w:val="000000" w:themeColor="text1"/>
        </w:rPr>
        <w:t>Journal of advanced pharmaceutical technology &amp; Research</w:t>
      </w:r>
      <w:r w:rsidRPr="00AA1EF7">
        <w:rPr>
          <w:rFonts w:ascii="Times New Roman" w:hAnsi="Times New Roman" w:cs="Times New Roman"/>
          <w:color w:val="000000" w:themeColor="text1"/>
        </w:rPr>
        <w:t>, 14(2), 63–68. https://doi.org/10.4103/japtr.japtr_680_22</w:t>
      </w:r>
    </w:p>
    <w:p w14:paraId="0DE90ABB" w14:textId="77777777" w:rsidR="00DD2D91" w:rsidRPr="00AA1EF7" w:rsidRDefault="00DD2D91" w:rsidP="00AA1EF7">
      <w:pPr>
        <w:spacing w:line="360" w:lineRule="auto"/>
        <w:jc w:val="both"/>
        <w:rPr>
          <w:rFonts w:ascii="Times New Roman" w:hAnsi="Times New Roman" w:cs="Times New Roman"/>
          <w:color w:val="000000" w:themeColor="text1"/>
        </w:rPr>
      </w:pPr>
    </w:p>
    <w:p w14:paraId="404D5F9B" w14:textId="77777777" w:rsidR="00DD2D91" w:rsidRPr="00AA1EF7" w:rsidRDefault="00DD2D91" w:rsidP="00AA1EF7">
      <w:pPr>
        <w:spacing w:line="360" w:lineRule="auto"/>
        <w:jc w:val="both"/>
        <w:rPr>
          <w:rFonts w:ascii="Times New Roman" w:hAnsi="Times New Roman" w:cs="Times New Roman"/>
          <w:color w:val="000000" w:themeColor="text1"/>
        </w:rPr>
      </w:pPr>
    </w:p>
    <w:p w14:paraId="73599592" w14:textId="77777777" w:rsidR="00DD2D91" w:rsidRPr="00AA1EF7" w:rsidRDefault="00DD2D91" w:rsidP="00AA1EF7">
      <w:pPr>
        <w:spacing w:line="360" w:lineRule="auto"/>
        <w:jc w:val="both"/>
        <w:rPr>
          <w:rFonts w:ascii="Times New Roman" w:hAnsi="Times New Roman" w:cs="Times New Roman"/>
          <w:color w:val="000000" w:themeColor="text1"/>
        </w:rPr>
      </w:pPr>
    </w:p>
    <w:p w14:paraId="4ECC0131" w14:textId="77777777" w:rsidR="0059224B" w:rsidRPr="00AA1EF7" w:rsidRDefault="0059224B" w:rsidP="00AA1EF7">
      <w:pPr>
        <w:spacing w:line="360" w:lineRule="auto"/>
        <w:jc w:val="both"/>
        <w:rPr>
          <w:rFonts w:ascii="Times New Roman" w:hAnsi="Times New Roman" w:cs="Times New Roman"/>
          <w:color w:val="000000" w:themeColor="text1"/>
        </w:rPr>
      </w:pPr>
    </w:p>
    <w:sectPr w:rsidR="0059224B" w:rsidRPr="00AA1EF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kp1405@gmail.com" w:date="2025-05-17T20:21:00Z" w:initials="h">
    <w:p w14:paraId="60DE0E3D" w14:textId="77777777" w:rsidR="00CB58FA" w:rsidRDefault="00CB58FA" w:rsidP="00CB58FA">
      <w:pPr>
        <w:pStyle w:val="CommentText"/>
      </w:pPr>
      <w:r>
        <w:rPr>
          <w:rStyle w:val="CommentReference"/>
        </w:rPr>
        <w:annotationRef/>
      </w:r>
      <w:r>
        <w:t>Not relevant in ‘Introduction’. It is better to delete it.</w:t>
      </w:r>
    </w:p>
  </w:comment>
  <w:comment w:id="3" w:author="bkp1405@gmail.com" w:date="2025-05-17T20:22:00Z" w:initials="h">
    <w:p w14:paraId="2BD838C9" w14:textId="77777777" w:rsidR="00CB58FA" w:rsidRDefault="00CB58FA" w:rsidP="00CB58FA">
      <w:pPr>
        <w:pStyle w:val="CommentText"/>
      </w:pPr>
      <w:r>
        <w:rPr>
          <w:rStyle w:val="CommentReference"/>
        </w:rPr>
        <w:annotationRef/>
      </w:r>
      <w:r>
        <w:t>To be deleted</w:t>
      </w:r>
    </w:p>
  </w:comment>
  <w:comment w:id="4" w:author="bkp1405@gmail.com" w:date="2025-05-17T20:31:00Z" w:initials="h">
    <w:p w14:paraId="3FF1FF7B" w14:textId="77777777" w:rsidR="005D445F" w:rsidRDefault="005D445F" w:rsidP="005D445F">
      <w:pPr>
        <w:pStyle w:val="CommentText"/>
      </w:pPr>
      <w:r>
        <w:rPr>
          <w:rStyle w:val="CommentReference"/>
        </w:rPr>
        <w:annotationRef/>
      </w:r>
      <w:r>
        <w:t>Comparing the findings with a study on human would be desirable. The referred article is based on experiments with adolescent mice, which is not logical to compare with.</w:t>
      </w:r>
    </w:p>
  </w:comment>
  <w:comment w:id="5" w:author="bkp1405@gmail.com" w:date="2025-05-17T20:33:00Z" w:initials="h">
    <w:p w14:paraId="64389E64" w14:textId="77777777" w:rsidR="005D445F" w:rsidRDefault="005D445F" w:rsidP="005D445F">
      <w:pPr>
        <w:pStyle w:val="CommentText"/>
      </w:pPr>
      <w:r>
        <w:rPr>
          <w:rStyle w:val="CommentReference"/>
        </w:rPr>
        <w:annotationRef/>
      </w:r>
      <w:r>
        <w:t>Refer to a relevant human study</w:t>
      </w:r>
    </w:p>
  </w:comment>
  <w:comment w:id="6" w:author="bkp1405@gmail.com" w:date="2025-05-17T20:34:00Z" w:initials="h">
    <w:p w14:paraId="67CAD52C" w14:textId="77777777" w:rsidR="005D445F" w:rsidRDefault="005D445F" w:rsidP="005D445F">
      <w:pPr>
        <w:pStyle w:val="CommentText"/>
      </w:pPr>
      <w:r>
        <w:rPr>
          <w:rStyle w:val="CommentReference"/>
        </w:rPr>
        <w:annotationRef/>
      </w:r>
      <w:r>
        <w:t>Suitable amendment will be needed when the authors compare their findings with human studies.</w:t>
      </w:r>
    </w:p>
  </w:comment>
  <w:comment w:id="7" w:author="bkp1405@gmail.com" w:date="2025-05-17T20:35:00Z" w:initials="h">
    <w:p w14:paraId="6BEC5B9D" w14:textId="77777777" w:rsidR="005D445F" w:rsidRDefault="005D445F" w:rsidP="005D445F">
      <w:pPr>
        <w:pStyle w:val="CommentText"/>
      </w:pPr>
      <w:r>
        <w:rPr>
          <w:rStyle w:val="CommentReference"/>
        </w:rPr>
        <w:annotationRef/>
      </w:r>
      <w:r>
        <w:t>Delete it</w:t>
      </w:r>
    </w:p>
  </w:comment>
  <w:comment w:id="8" w:author="bkp1405@gmail.com" w:date="2025-05-17T20:36:00Z" w:initials="h">
    <w:p w14:paraId="2B699BF0" w14:textId="77777777" w:rsidR="005D445F" w:rsidRDefault="005D445F" w:rsidP="005D445F">
      <w:pPr>
        <w:pStyle w:val="CommentText"/>
      </w:pPr>
      <w:r>
        <w:rPr>
          <w:rStyle w:val="CommentReference"/>
        </w:rPr>
        <w:annotationRef/>
      </w:r>
      <w:r>
        <w:t>References will have to be suitably quoted when the manuscript text is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DE0E3D" w15:done="0"/>
  <w15:commentEx w15:paraId="2BD838C9" w15:done="0"/>
  <w15:commentEx w15:paraId="3FF1FF7B" w15:done="0"/>
  <w15:commentEx w15:paraId="64389E64" w15:done="0"/>
  <w15:commentEx w15:paraId="67CAD52C" w15:done="0"/>
  <w15:commentEx w15:paraId="6BEC5B9D" w15:done="0"/>
  <w15:commentEx w15:paraId="2B699B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C2AE21" w16cex:dateUtc="2025-05-17T14:51:00Z"/>
  <w16cex:commentExtensible w16cex:durableId="1F7C3145" w16cex:dateUtc="2025-05-17T14:52:00Z"/>
  <w16cex:commentExtensible w16cex:durableId="557450CD" w16cex:dateUtc="2025-05-17T15:01:00Z"/>
  <w16cex:commentExtensible w16cex:durableId="59F90057" w16cex:dateUtc="2025-05-17T15:03:00Z"/>
  <w16cex:commentExtensible w16cex:durableId="7B76AB03" w16cex:dateUtc="2025-05-17T15:04:00Z"/>
  <w16cex:commentExtensible w16cex:durableId="1E1B5E9C" w16cex:dateUtc="2025-05-17T15:05:00Z"/>
  <w16cex:commentExtensible w16cex:durableId="5EBF7F4D" w16cex:dateUtc="2025-05-17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DE0E3D" w16cid:durableId="1EC2AE21"/>
  <w16cid:commentId w16cid:paraId="2BD838C9" w16cid:durableId="1F7C3145"/>
  <w16cid:commentId w16cid:paraId="3FF1FF7B" w16cid:durableId="557450CD"/>
  <w16cid:commentId w16cid:paraId="64389E64" w16cid:durableId="59F90057"/>
  <w16cid:commentId w16cid:paraId="67CAD52C" w16cid:durableId="7B76AB03"/>
  <w16cid:commentId w16cid:paraId="6BEC5B9D" w16cid:durableId="1E1B5E9C"/>
  <w16cid:commentId w16cid:paraId="2B699BF0" w16cid:durableId="5EBF7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B3E7" w14:textId="77777777" w:rsidR="00BF20C5" w:rsidRDefault="00BF20C5" w:rsidP="008229A1">
      <w:pPr>
        <w:spacing w:after="0" w:line="240" w:lineRule="auto"/>
      </w:pPr>
      <w:r>
        <w:separator/>
      </w:r>
    </w:p>
  </w:endnote>
  <w:endnote w:type="continuationSeparator" w:id="0">
    <w:p w14:paraId="22BA059B" w14:textId="77777777" w:rsidR="00BF20C5" w:rsidRDefault="00BF20C5" w:rsidP="0082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B304" w14:textId="77777777" w:rsidR="008229A1" w:rsidRDefault="00822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0CE3" w14:textId="77777777" w:rsidR="008229A1" w:rsidRDefault="00822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C465" w14:textId="77777777" w:rsidR="008229A1" w:rsidRDefault="0082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462E" w14:textId="77777777" w:rsidR="00BF20C5" w:rsidRDefault="00BF20C5" w:rsidP="008229A1">
      <w:pPr>
        <w:spacing w:after="0" w:line="240" w:lineRule="auto"/>
      </w:pPr>
      <w:r>
        <w:separator/>
      </w:r>
    </w:p>
  </w:footnote>
  <w:footnote w:type="continuationSeparator" w:id="0">
    <w:p w14:paraId="79104F56" w14:textId="77777777" w:rsidR="00BF20C5" w:rsidRDefault="00BF20C5" w:rsidP="0082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536D" w14:textId="5FE94252" w:rsidR="008229A1" w:rsidRDefault="00000000">
    <w:pPr>
      <w:pStyle w:val="Header"/>
    </w:pPr>
    <w:r>
      <w:rPr>
        <w:noProof/>
      </w:rPr>
      <w:pict w14:anchorId="1BA33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FC93" w14:textId="086D8F87" w:rsidR="008229A1" w:rsidRDefault="00000000">
    <w:pPr>
      <w:pStyle w:val="Header"/>
    </w:pPr>
    <w:r>
      <w:rPr>
        <w:noProof/>
      </w:rPr>
      <w:pict w14:anchorId="4CCDA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671DF" w14:textId="1269D0B4" w:rsidR="008229A1" w:rsidRDefault="00000000">
    <w:pPr>
      <w:pStyle w:val="Header"/>
    </w:pPr>
    <w:r>
      <w:rPr>
        <w:noProof/>
      </w:rPr>
      <w:pict w14:anchorId="0644A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024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998"/>
    <w:multiLevelType w:val="multilevel"/>
    <w:tmpl w:val="04DC0998"/>
    <w:lvl w:ilvl="0">
      <w:start w:val="1"/>
      <w:numFmt w:val="bullet"/>
      <w:lvlText w:val=""/>
      <w:lvlJc w:val="left"/>
      <w:pPr>
        <w:ind w:left="360" w:hanging="360"/>
      </w:pPr>
      <w:rPr>
        <w:rFonts w:ascii="Symbol" w:hAnsi="Symbol"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72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768" w:hanging="360"/>
      </w:pPr>
      <w:rPr>
        <w:rFonts w:hint="default"/>
        <w:lang w:val="en-US" w:eastAsia="en-US" w:bidi="ar-SA"/>
      </w:rPr>
    </w:lvl>
    <w:lvl w:ilvl="4">
      <w:numFmt w:val="bullet"/>
      <w:lvlText w:val="•"/>
      <w:lvlJc w:val="left"/>
      <w:pPr>
        <w:ind w:left="379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42"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891" w:hanging="360"/>
      </w:pPr>
      <w:rPr>
        <w:rFonts w:hint="default"/>
        <w:lang w:val="en-US" w:eastAsia="en-US" w:bidi="ar-SA"/>
      </w:rPr>
    </w:lvl>
  </w:abstractNum>
  <w:abstractNum w:abstractNumId="1" w15:restartNumberingAfterBreak="0">
    <w:nsid w:val="2E5C3A50"/>
    <w:multiLevelType w:val="multilevel"/>
    <w:tmpl w:val="2E5C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A0693F"/>
    <w:multiLevelType w:val="multilevel"/>
    <w:tmpl w:val="36A069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76C7154"/>
    <w:multiLevelType w:val="multilevel"/>
    <w:tmpl w:val="376C71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C67254"/>
    <w:multiLevelType w:val="multilevel"/>
    <w:tmpl w:val="67C67254"/>
    <w:lvl w:ilvl="0">
      <w:start w:val="1"/>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94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2988" w:hanging="360"/>
      </w:pPr>
      <w:rPr>
        <w:rFonts w:hint="default"/>
        <w:lang w:val="en-US" w:eastAsia="en-US" w:bidi="ar-SA"/>
      </w:rPr>
    </w:lvl>
    <w:lvl w:ilvl="4">
      <w:numFmt w:val="bullet"/>
      <w:lvlText w:val="•"/>
      <w:lvlJc w:val="left"/>
      <w:pPr>
        <w:ind w:left="4013" w:hanging="360"/>
      </w:pPr>
      <w:rPr>
        <w:rFonts w:hint="default"/>
        <w:lang w:val="en-US" w:eastAsia="en-US" w:bidi="ar-SA"/>
      </w:rPr>
    </w:lvl>
    <w:lvl w:ilvl="5">
      <w:numFmt w:val="bullet"/>
      <w:lvlText w:val="•"/>
      <w:lvlJc w:val="left"/>
      <w:pPr>
        <w:ind w:left="5037" w:hanging="360"/>
      </w:pPr>
      <w:rPr>
        <w:rFonts w:hint="default"/>
        <w:lang w:val="en-US" w:eastAsia="en-US" w:bidi="ar-SA"/>
      </w:rPr>
    </w:lvl>
    <w:lvl w:ilvl="6">
      <w:numFmt w:val="bullet"/>
      <w:lvlText w:val="•"/>
      <w:lvlJc w:val="left"/>
      <w:pPr>
        <w:ind w:left="6062"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5" w15:restartNumberingAfterBreak="0">
    <w:nsid w:val="6EBE39E2"/>
    <w:multiLevelType w:val="multilevel"/>
    <w:tmpl w:val="6EBE39E2"/>
    <w:lvl w:ilvl="0">
      <w:start w:val="3"/>
      <w:numFmt w:val="decimal"/>
      <w:lvlText w:val="%1"/>
      <w:lvlJc w:val="left"/>
      <w:pPr>
        <w:ind w:left="400" w:hanging="400"/>
      </w:pPr>
      <w:rPr>
        <w:rFonts w:hint="default"/>
      </w:rPr>
    </w:lvl>
    <w:lvl w:ilvl="1">
      <w:start w:val="8"/>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0741138">
    <w:abstractNumId w:val="4"/>
  </w:num>
  <w:num w:numId="2" w16cid:durableId="198056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234320">
    <w:abstractNumId w:val="5"/>
  </w:num>
  <w:num w:numId="4" w16cid:durableId="2044354593">
    <w:abstractNumId w:val="2"/>
  </w:num>
  <w:num w:numId="5" w16cid:durableId="1641573011">
    <w:abstractNumId w:val="0"/>
  </w:num>
  <w:num w:numId="6" w16cid:durableId="1925722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kp1405@gmail.com">
    <w15:presenceInfo w15:providerId="Windows Live" w15:userId="5d960c17e3def6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908"/>
    <w:rsid w:val="0006788B"/>
    <w:rsid w:val="00085651"/>
    <w:rsid w:val="000A2469"/>
    <w:rsid w:val="000B2A38"/>
    <w:rsid w:val="000C2DE5"/>
    <w:rsid w:val="0017610E"/>
    <w:rsid w:val="002A2D1C"/>
    <w:rsid w:val="002D2145"/>
    <w:rsid w:val="002D3820"/>
    <w:rsid w:val="002E3950"/>
    <w:rsid w:val="003009E9"/>
    <w:rsid w:val="003276C4"/>
    <w:rsid w:val="00352775"/>
    <w:rsid w:val="0038447F"/>
    <w:rsid w:val="003A2DBA"/>
    <w:rsid w:val="003A2FDF"/>
    <w:rsid w:val="003D7012"/>
    <w:rsid w:val="004600E8"/>
    <w:rsid w:val="00511A11"/>
    <w:rsid w:val="0059224B"/>
    <w:rsid w:val="005D445F"/>
    <w:rsid w:val="005F03B4"/>
    <w:rsid w:val="00610C82"/>
    <w:rsid w:val="00623089"/>
    <w:rsid w:val="00674A0D"/>
    <w:rsid w:val="006C1B33"/>
    <w:rsid w:val="0076329C"/>
    <w:rsid w:val="007737FD"/>
    <w:rsid w:val="00790908"/>
    <w:rsid w:val="00791849"/>
    <w:rsid w:val="00795E16"/>
    <w:rsid w:val="007E51AD"/>
    <w:rsid w:val="008229A1"/>
    <w:rsid w:val="00864ADA"/>
    <w:rsid w:val="00927801"/>
    <w:rsid w:val="009D0862"/>
    <w:rsid w:val="009D552A"/>
    <w:rsid w:val="009E1E82"/>
    <w:rsid w:val="009F59A7"/>
    <w:rsid w:val="00A044D1"/>
    <w:rsid w:val="00A152B4"/>
    <w:rsid w:val="00A40FB3"/>
    <w:rsid w:val="00A9150D"/>
    <w:rsid w:val="00AA1EF7"/>
    <w:rsid w:val="00AB7023"/>
    <w:rsid w:val="00B238DE"/>
    <w:rsid w:val="00B444A8"/>
    <w:rsid w:val="00B453A8"/>
    <w:rsid w:val="00B4746D"/>
    <w:rsid w:val="00B81BBA"/>
    <w:rsid w:val="00BB767E"/>
    <w:rsid w:val="00BE1139"/>
    <w:rsid w:val="00BF20C5"/>
    <w:rsid w:val="00C060A2"/>
    <w:rsid w:val="00C4548F"/>
    <w:rsid w:val="00C50621"/>
    <w:rsid w:val="00CB2070"/>
    <w:rsid w:val="00CB58FA"/>
    <w:rsid w:val="00CE385B"/>
    <w:rsid w:val="00D312ED"/>
    <w:rsid w:val="00D3326F"/>
    <w:rsid w:val="00D44EE8"/>
    <w:rsid w:val="00D8367D"/>
    <w:rsid w:val="00DC696E"/>
    <w:rsid w:val="00DD055F"/>
    <w:rsid w:val="00DD2D91"/>
    <w:rsid w:val="00E0762C"/>
    <w:rsid w:val="00E162EE"/>
    <w:rsid w:val="00E466E8"/>
    <w:rsid w:val="00E76A70"/>
    <w:rsid w:val="00F4170E"/>
    <w:rsid w:val="00F74E47"/>
    <w:rsid w:val="00F84FAF"/>
    <w:rsid w:val="00F90355"/>
    <w:rsid w:val="00F96021"/>
    <w:rsid w:val="00FC0B5C"/>
    <w:rsid w:val="00FE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BDDD"/>
  <w15:chartTrackingRefBased/>
  <w15:docId w15:val="{0B22E21F-D73A-45AB-B64C-6843B82C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08"/>
    <w:pPr>
      <w:spacing w:line="278" w:lineRule="auto"/>
    </w:pPr>
    <w:rPr>
      <w:kern w:val="2"/>
      <w:sz w:val="24"/>
      <w:szCs w:val="24"/>
      <w:lang w:val="en-GB"/>
      <w14:ligatures w14:val="standardContextual"/>
    </w:rPr>
  </w:style>
  <w:style w:type="paragraph" w:styleId="Heading2">
    <w:name w:val="heading 2"/>
    <w:basedOn w:val="Normal"/>
    <w:next w:val="Normal"/>
    <w:link w:val="Heading2Char"/>
    <w:uiPriority w:val="9"/>
    <w:semiHidden/>
    <w:unhideWhenUsed/>
    <w:qFormat/>
    <w:rsid w:val="009E1E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90908"/>
    <w:pPr>
      <w:keepNext/>
      <w:keepLines/>
      <w:spacing w:before="160" w:after="80" w:line="278" w:lineRule="auto"/>
      <w:jc w:val="center"/>
      <w:outlineLvl w:val="2"/>
    </w:pPr>
    <w:rPr>
      <w:rFonts w:ascii="Times New Roman" w:eastAsiaTheme="majorEastAsia" w:hAnsi="Times New Roman" w:cstheme="majorBidi"/>
      <w:iCs/>
      <w:color w:val="000000" w:themeColor="text1"/>
      <w:kern w:val="2"/>
      <w:sz w:val="32"/>
      <w:szCs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790908"/>
    <w:rPr>
      <w:rFonts w:ascii="Times New Roman" w:eastAsiaTheme="majorEastAsia" w:hAnsi="Times New Roman" w:cstheme="majorBidi"/>
      <w:iCs/>
      <w:color w:val="000000" w:themeColor="text1"/>
      <w:kern w:val="2"/>
      <w:sz w:val="32"/>
      <w:szCs w:val="28"/>
      <w:lang w:val="en-GB"/>
      <w14:ligatures w14:val="standardContextual"/>
    </w:rPr>
  </w:style>
  <w:style w:type="paragraph" w:styleId="BodyText">
    <w:name w:val="Body Text"/>
    <w:basedOn w:val="Normal"/>
    <w:link w:val="BodyTextChar"/>
    <w:uiPriority w:val="1"/>
    <w:unhideWhenUsed/>
    <w:qFormat/>
    <w:rsid w:val="00790908"/>
    <w:pPr>
      <w:widowControl w:val="0"/>
      <w:autoSpaceDE w:val="0"/>
      <w:autoSpaceDN w:val="0"/>
      <w:spacing w:before="240" w:after="240" w:line="240" w:lineRule="auto"/>
      <w:jc w:val="both"/>
    </w:pPr>
    <w:rPr>
      <w:rFonts w:ascii="Times New Roman" w:eastAsia="Times New Roman" w:hAnsi="Times New Roman" w:cs="Times New Roman"/>
      <w:kern w:val="0"/>
      <w:lang w:eastAsia="en-GB"/>
    </w:rPr>
  </w:style>
  <w:style w:type="character" w:customStyle="1" w:styleId="BodyTextChar">
    <w:name w:val="Body Text Char"/>
    <w:basedOn w:val="DefaultParagraphFont"/>
    <w:link w:val="BodyText"/>
    <w:uiPriority w:val="1"/>
    <w:qFormat/>
    <w:rsid w:val="00790908"/>
    <w:rPr>
      <w:rFonts w:ascii="Times New Roman" w:eastAsia="Times New Roman" w:hAnsi="Times New Roman" w:cs="Times New Roman"/>
      <w:sz w:val="24"/>
      <w:szCs w:val="24"/>
      <w:lang w:val="en-GB" w:eastAsia="en-GB"/>
      <w14:ligatures w14:val="standardContextual"/>
    </w:rPr>
  </w:style>
  <w:style w:type="paragraph" w:styleId="ListParagraph">
    <w:name w:val="List Paragraph"/>
    <w:basedOn w:val="Normal"/>
    <w:uiPriority w:val="34"/>
    <w:qFormat/>
    <w:rsid w:val="00790908"/>
    <w:pPr>
      <w:ind w:left="720"/>
      <w:contextualSpacing/>
    </w:pPr>
  </w:style>
  <w:style w:type="table" w:styleId="TableGrid">
    <w:name w:val="Table Grid"/>
    <w:basedOn w:val="TableNormal"/>
    <w:uiPriority w:val="99"/>
    <w:unhideWhenUsed/>
    <w:qFormat/>
    <w:rsid w:val="00F84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Simple1"/>
    <w:qFormat/>
    <w:rsid w:val="00F84FAF"/>
    <w:pPr>
      <w:spacing w:after="0" w:line="240" w:lineRule="auto"/>
    </w:pPr>
    <w:rPr>
      <w:rFonts w:ascii="Calibri" w:eastAsia="Times New Roman"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F84FAF"/>
    <w:pPr>
      <w:spacing w:line="27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rticle-title-and-info">
    <w:name w:val="article-title-and-info"/>
    <w:basedOn w:val="DefaultParagraphFont"/>
    <w:rsid w:val="00352775"/>
  </w:style>
  <w:style w:type="character" w:customStyle="1" w:styleId="text">
    <w:name w:val="text"/>
    <w:basedOn w:val="DefaultParagraphFont"/>
    <w:rsid w:val="00864ADA"/>
  </w:style>
  <w:style w:type="character" w:customStyle="1" w:styleId="Heading2Char">
    <w:name w:val="Heading 2 Char"/>
    <w:basedOn w:val="DefaultParagraphFont"/>
    <w:link w:val="Heading2"/>
    <w:uiPriority w:val="9"/>
    <w:semiHidden/>
    <w:rsid w:val="009E1E82"/>
    <w:rPr>
      <w:rFonts w:asciiTheme="majorHAnsi" w:eastAsiaTheme="majorEastAsia" w:hAnsiTheme="majorHAnsi" w:cstheme="majorBidi"/>
      <w:color w:val="2E74B5" w:themeColor="accent1" w:themeShade="BF"/>
      <w:kern w:val="2"/>
      <w:sz w:val="26"/>
      <w:szCs w:val="26"/>
      <w:lang w:val="en-GB"/>
      <w14:ligatures w14:val="standardContextual"/>
    </w:rPr>
  </w:style>
  <w:style w:type="character" w:customStyle="1" w:styleId="15">
    <w:name w:val="15"/>
    <w:basedOn w:val="DefaultParagraphFont"/>
    <w:rsid w:val="009E1E82"/>
    <w:rPr>
      <w:rFonts w:ascii="Aptos" w:hAnsi="Aptos" w:hint="default"/>
      <w:color w:val="0000FF"/>
      <w:u w:val="single"/>
    </w:rPr>
  </w:style>
  <w:style w:type="character" w:styleId="Hyperlink">
    <w:name w:val="Hyperlink"/>
    <w:basedOn w:val="DefaultParagraphFont"/>
    <w:uiPriority w:val="99"/>
    <w:unhideWhenUsed/>
    <w:rsid w:val="00DD2D91"/>
    <w:rPr>
      <w:color w:val="0563C1" w:themeColor="hyperlink"/>
      <w:u w:val="single"/>
    </w:rPr>
  </w:style>
  <w:style w:type="character" w:customStyle="1" w:styleId="bkciteavail">
    <w:name w:val="bk_cite_avail"/>
    <w:basedOn w:val="DefaultParagraphFont"/>
    <w:rsid w:val="00DD2D91"/>
  </w:style>
  <w:style w:type="character" w:styleId="Emphasis">
    <w:name w:val="Emphasis"/>
    <w:basedOn w:val="DefaultParagraphFont"/>
    <w:uiPriority w:val="20"/>
    <w:qFormat/>
    <w:rsid w:val="00DD2D91"/>
    <w:rPr>
      <w:i/>
      <w:iCs/>
    </w:rPr>
  </w:style>
  <w:style w:type="character" w:styleId="UnresolvedMention">
    <w:name w:val="Unresolved Mention"/>
    <w:basedOn w:val="DefaultParagraphFont"/>
    <w:uiPriority w:val="99"/>
    <w:semiHidden/>
    <w:unhideWhenUsed/>
    <w:rsid w:val="006C1B33"/>
    <w:rPr>
      <w:color w:val="605E5C"/>
      <w:shd w:val="clear" w:color="auto" w:fill="E1DFDD"/>
    </w:rPr>
  </w:style>
  <w:style w:type="paragraph" w:styleId="Header">
    <w:name w:val="header"/>
    <w:basedOn w:val="Normal"/>
    <w:link w:val="HeaderChar"/>
    <w:uiPriority w:val="99"/>
    <w:unhideWhenUsed/>
    <w:rsid w:val="00822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A1"/>
    <w:rPr>
      <w:kern w:val="2"/>
      <w:sz w:val="24"/>
      <w:szCs w:val="24"/>
      <w:lang w:val="en-GB"/>
      <w14:ligatures w14:val="standardContextual"/>
    </w:rPr>
  </w:style>
  <w:style w:type="paragraph" w:styleId="Footer">
    <w:name w:val="footer"/>
    <w:basedOn w:val="Normal"/>
    <w:link w:val="FooterChar"/>
    <w:uiPriority w:val="99"/>
    <w:unhideWhenUsed/>
    <w:rsid w:val="0082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A1"/>
    <w:rPr>
      <w:kern w:val="2"/>
      <w:sz w:val="24"/>
      <w:szCs w:val="24"/>
      <w:lang w:val="en-GB"/>
      <w14:ligatures w14:val="standardContextual"/>
    </w:rPr>
  </w:style>
  <w:style w:type="character" w:styleId="CommentReference">
    <w:name w:val="annotation reference"/>
    <w:basedOn w:val="DefaultParagraphFont"/>
    <w:uiPriority w:val="99"/>
    <w:semiHidden/>
    <w:unhideWhenUsed/>
    <w:rsid w:val="00CB58FA"/>
    <w:rPr>
      <w:sz w:val="16"/>
      <w:szCs w:val="16"/>
    </w:rPr>
  </w:style>
  <w:style w:type="paragraph" w:styleId="CommentText">
    <w:name w:val="annotation text"/>
    <w:basedOn w:val="Normal"/>
    <w:link w:val="CommentTextChar"/>
    <w:uiPriority w:val="99"/>
    <w:unhideWhenUsed/>
    <w:rsid w:val="00CB58FA"/>
    <w:pPr>
      <w:spacing w:line="240" w:lineRule="auto"/>
    </w:pPr>
    <w:rPr>
      <w:sz w:val="20"/>
      <w:szCs w:val="20"/>
    </w:rPr>
  </w:style>
  <w:style w:type="character" w:customStyle="1" w:styleId="CommentTextChar">
    <w:name w:val="Comment Text Char"/>
    <w:basedOn w:val="DefaultParagraphFont"/>
    <w:link w:val="CommentText"/>
    <w:uiPriority w:val="99"/>
    <w:rsid w:val="00CB58FA"/>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CB58FA"/>
    <w:rPr>
      <w:b/>
      <w:bCs/>
    </w:rPr>
  </w:style>
  <w:style w:type="character" w:customStyle="1" w:styleId="CommentSubjectChar">
    <w:name w:val="Comment Subject Char"/>
    <w:basedOn w:val="CommentTextChar"/>
    <w:link w:val="CommentSubject"/>
    <w:uiPriority w:val="99"/>
    <w:semiHidden/>
    <w:rsid w:val="00CB58FA"/>
    <w:rPr>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9945">
      <w:bodyDiv w:val="1"/>
      <w:marLeft w:val="0"/>
      <w:marRight w:val="0"/>
      <w:marTop w:val="0"/>
      <w:marBottom w:val="0"/>
      <w:divBdr>
        <w:top w:val="none" w:sz="0" w:space="0" w:color="auto"/>
        <w:left w:val="none" w:sz="0" w:space="0" w:color="auto"/>
        <w:bottom w:val="none" w:sz="0" w:space="0" w:color="auto"/>
        <w:right w:val="none" w:sz="0" w:space="0" w:color="auto"/>
      </w:divBdr>
    </w:div>
    <w:div w:id="352809892">
      <w:bodyDiv w:val="1"/>
      <w:marLeft w:val="0"/>
      <w:marRight w:val="0"/>
      <w:marTop w:val="0"/>
      <w:marBottom w:val="0"/>
      <w:divBdr>
        <w:top w:val="none" w:sz="0" w:space="0" w:color="auto"/>
        <w:left w:val="none" w:sz="0" w:space="0" w:color="auto"/>
        <w:bottom w:val="none" w:sz="0" w:space="0" w:color="auto"/>
        <w:right w:val="none" w:sz="0" w:space="0" w:color="auto"/>
      </w:divBdr>
    </w:div>
    <w:div w:id="363402744">
      <w:bodyDiv w:val="1"/>
      <w:marLeft w:val="0"/>
      <w:marRight w:val="0"/>
      <w:marTop w:val="0"/>
      <w:marBottom w:val="0"/>
      <w:divBdr>
        <w:top w:val="none" w:sz="0" w:space="0" w:color="auto"/>
        <w:left w:val="none" w:sz="0" w:space="0" w:color="auto"/>
        <w:bottom w:val="none" w:sz="0" w:space="0" w:color="auto"/>
        <w:right w:val="none" w:sz="0" w:space="0" w:color="auto"/>
      </w:divBdr>
    </w:div>
    <w:div w:id="442456402">
      <w:bodyDiv w:val="1"/>
      <w:marLeft w:val="0"/>
      <w:marRight w:val="0"/>
      <w:marTop w:val="0"/>
      <w:marBottom w:val="0"/>
      <w:divBdr>
        <w:top w:val="none" w:sz="0" w:space="0" w:color="auto"/>
        <w:left w:val="none" w:sz="0" w:space="0" w:color="auto"/>
        <w:bottom w:val="none" w:sz="0" w:space="0" w:color="auto"/>
        <w:right w:val="none" w:sz="0" w:space="0" w:color="auto"/>
      </w:divBdr>
    </w:div>
    <w:div w:id="447358478">
      <w:bodyDiv w:val="1"/>
      <w:marLeft w:val="0"/>
      <w:marRight w:val="0"/>
      <w:marTop w:val="0"/>
      <w:marBottom w:val="0"/>
      <w:divBdr>
        <w:top w:val="none" w:sz="0" w:space="0" w:color="auto"/>
        <w:left w:val="none" w:sz="0" w:space="0" w:color="auto"/>
        <w:bottom w:val="none" w:sz="0" w:space="0" w:color="auto"/>
        <w:right w:val="none" w:sz="0" w:space="0" w:color="auto"/>
      </w:divBdr>
    </w:div>
    <w:div w:id="466750297">
      <w:bodyDiv w:val="1"/>
      <w:marLeft w:val="0"/>
      <w:marRight w:val="0"/>
      <w:marTop w:val="0"/>
      <w:marBottom w:val="0"/>
      <w:divBdr>
        <w:top w:val="none" w:sz="0" w:space="0" w:color="auto"/>
        <w:left w:val="none" w:sz="0" w:space="0" w:color="auto"/>
        <w:bottom w:val="none" w:sz="0" w:space="0" w:color="auto"/>
        <w:right w:val="none" w:sz="0" w:space="0" w:color="auto"/>
      </w:divBdr>
    </w:div>
    <w:div w:id="532378317">
      <w:bodyDiv w:val="1"/>
      <w:marLeft w:val="0"/>
      <w:marRight w:val="0"/>
      <w:marTop w:val="0"/>
      <w:marBottom w:val="0"/>
      <w:divBdr>
        <w:top w:val="none" w:sz="0" w:space="0" w:color="auto"/>
        <w:left w:val="none" w:sz="0" w:space="0" w:color="auto"/>
        <w:bottom w:val="none" w:sz="0" w:space="0" w:color="auto"/>
        <w:right w:val="none" w:sz="0" w:space="0" w:color="auto"/>
      </w:divBdr>
    </w:div>
    <w:div w:id="634604778">
      <w:bodyDiv w:val="1"/>
      <w:marLeft w:val="0"/>
      <w:marRight w:val="0"/>
      <w:marTop w:val="0"/>
      <w:marBottom w:val="0"/>
      <w:divBdr>
        <w:top w:val="none" w:sz="0" w:space="0" w:color="auto"/>
        <w:left w:val="none" w:sz="0" w:space="0" w:color="auto"/>
        <w:bottom w:val="none" w:sz="0" w:space="0" w:color="auto"/>
        <w:right w:val="none" w:sz="0" w:space="0" w:color="auto"/>
      </w:divBdr>
    </w:div>
    <w:div w:id="656541386">
      <w:bodyDiv w:val="1"/>
      <w:marLeft w:val="0"/>
      <w:marRight w:val="0"/>
      <w:marTop w:val="0"/>
      <w:marBottom w:val="0"/>
      <w:divBdr>
        <w:top w:val="none" w:sz="0" w:space="0" w:color="auto"/>
        <w:left w:val="none" w:sz="0" w:space="0" w:color="auto"/>
        <w:bottom w:val="none" w:sz="0" w:space="0" w:color="auto"/>
        <w:right w:val="none" w:sz="0" w:space="0" w:color="auto"/>
      </w:divBdr>
    </w:div>
    <w:div w:id="690298945">
      <w:bodyDiv w:val="1"/>
      <w:marLeft w:val="0"/>
      <w:marRight w:val="0"/>
      <w:marTop w:val="0"/>
      <w:marBottom w:val="0"/>
      <w:divBdr>
        <w:top w:val="none" w:sz="0" w:space="0" w:color="auto"/>
        <w:left w:val="none" w:sz="0" w:space="0" w:color="auto"/>
        <w:bottom w:val="none" w:sz="0" w:space="0" w:color="auto"/>
        <w:right w:val="none" w:sz="0" w:space="0" w:color="auto"/>
      </w:divBdr>
    </w:div>
    <w:div w:id="1808549623">
      <w:bodyDiv w:val="1"/>
      <w:marLeft w:val="0"/>
      <w:marRight w:val="0"/>
      <w:marTop w:val="0"/>
      <w:marBottom w:val="0"/>
      <w:divBdr>
        <w:top w:val="none" w:sz="0" w:space="0" w:color="auto"/>
        <w:left w:val="none" w:sz="0" w:space="0" w:color="auto"/>
        <w:bottom w:val="none" w:sz="0" w:space="0" w:color="auto"/>
        <w:right w:val="none" w:sz="0" w:space="0" w:color="auto"/>
      </w:divBdr>
    </w:div>
    <w:div w:id="1897160387">
      <w:bodyDiv w:val="1"/>
      <w:marLeft w:val="0"/>
      <w:marRight w:val="0"/>
      <w:marTop w:val="0"/>
      <w:marBottom w:val="0"/>
      <w:divBdr>
        <w:top w:val="none" w:sz="0" w:space="0" w:color="auto"/>
        <w:left w:val="none" w:sz="0" w:space="0" w:color="auto"/>
        <w:bottom w:val="none" w:sz="0" w:space="0" w:color="auto"/>
        <w:right w:val="none" w:sz="0" w:space="0" w:color="auto"/>
      </w:divBdr>
    </w:div>
    <w:div w:id="191018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endo.2017.00050" TargetMode="External"/><Relationship Id="rId18" Type="http://schemas.openxmlformats.org/officeDocument/2006/relationships/hyperlink" Target="https://doi.org/10.1016/j.toxlet.2005.03.006" TargetMode="External"/><Relationship Id="rId26" Type="http://schemas.openxmlformats.org/officeDocument/2006/relationships/hyperlink" Target="https://www.ncbi.nlm.nih.gov/books/NBK500006/" TargetMode="External"/><Relationship Id="rId3" Type="http://schemas.openxmlformats.org/officeDocument/2006/relationships/settings" Target="settings.xml"/><Relationship Id="rId21" Type="http://schemas.openxmlformats.org/officeDocument/2006/relationships/hyperlink" Target="https://doi.org/10.1242/bio.20121297" TargetMode="External"/><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3390/ijms24129815" TargetMode="External"/><Relationship Id="rId17" Type="http://schemas.openxmlformats.org/officeDocument/2006/relationships/hyperlink" Target="https://www.sciencedirect.com/journal/toxicology-letters" TargetMode="External"/><Relationship Id="rId25" Type="http://schemas.openxmlformats.org/officeDocument/2006/relationships/hyperlink" Target="https://www.ncbi.nlm.nih.gov/books/NBK49985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ijms252010875" TargetMode="External"/><Relationship Id="rId20" Type="http://schemas.openxmlformats.org/officeDocument/2006/relationships/hyperlink" Target="https://doi.org/10.1097/HEP.000000000000055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ms18050911" TargetMode="External"/><Relationship Id="rId24" Type="http://schemas.openxmlformats.org/officeDocument/2006/relationships/hyperlink" Target="https://doi.org/10.1016/j.eprac.2021.02.00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93/emph/eoaa043" TargetMode="External"/><Relationship Id="rId23" Type="http://schemas.openxmlformats.org/officeDocument/2006/relationships/hyperlink" Target="https://ncc.gov.ng/sites/default/files/2024-11/Documents/EMF-20120628_Exposure_And_Health_President_NATCOMS.pdf" TargetMode="External"/><Relationship Id="rId28" Type="http://schemas.openxmlformats.org/officeDocument/2006/relationships/header" Target="header1.xml"/><Relationship Id="rId36"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doi.org/10.4103/cmi.cmi_17_18" TargetMode="External"/><Relationship Id="rId31"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530/JME-17-0319" TargetMode="External"/><Relationship Id="rId22" Type="http://schemas.openxmlformats.org/officeDocument/2006/relationships/hyperlink" Target="https://doi.org/10.1152/physrev.00030.2013" TargetMode="External"/><Relationship Id="rId27" Type="http://schemas.openxmlformats.org/officeDocument/2006/relationships/hyperlink" Target="https://doi.org/10.12688/f1000research.128740.1" TargetMode="External"/><Relationship Id="rId30" Type="http://schemas.openxmlformats.org/officeDocument/2006/relationships/footer" Target="footer1.xml"/><Relationship Id="rId35" Type="http://schemas.microsoft.com/office/2011/relationships/people" Target="peop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17</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bkp1405@gmail.com</cp:lastModifiedBy>
  <cp:revision>48</cp:revision>
  <dcterms:created xsi:type="dcterms:W3CDTF">2025-05-09T13:14:00Z</dcterms:created>
  <dcterms:modified xsi:type="dcterms:W3CDTF">2025-05-17T15:06:00Z</dcterms:modified>
</cp:coreProperties>
</file>