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right="15"/>
        <w:jc w:val="center"/>
        <w:rPr>
          <w:b w:val="1"/>
          <w:i w:val="1"/>
          <w:sz w:val="34"/>
          <w:szCs w:val="34"/>
          <w:u w:val="single"/>
        </w:rPr>
      </w:pPr>
      <w:r w:rsidDel="00000000" w:rsidR="00000000" w:rsidRPr="00000000">
        <w:rPr>
          <w:b w:val="1"/>
          <w:i w:val="1"/>
          <w:sz w:val="34"/>
          <w:szCs w:val="34"/>
          <w:u w:val="single"/>
          <w:rtl w:val="0"/>
        </w:rPr>
        <w:t xml:space="preserve">Case report </w:t>
      </w:r>
    </w:p>
    <w:p w:rsidR="00000000" w:rsidDel="00000000" w:rsidP="00000000" w:rsidRDefault="00000000" w:rsidRPr="00000000" w14:paraId="00000002">
      <w:pPr>
        <w:spacing w:after="0" w:line="259" w:lineRule="auto"/>
        <w:ind w:right="15"/>
        <w:jc w:val="center"/>
        <w:rPr/>
      </w:pPr>
      <w:bookmarkStart w:colFirst="0" w:colLast="0" w:name="_l21931hcewog" w:id="0"/>
      <w:bookmarkEnd w:id="0"/>
      <w:r w:rsidDel="00000000" w:rsidR="00000000" w:rsidRPr="00000000">
        <w:rPr>
          <w:b w:val="1"/>
          <w:sz w:val="34"/>
          <w:szCs w:val="34"/>
          <w:rtl w:val="0"/>
        </w:rPr>
        <w:t xml:space="preserve">LINEZOLID-INDUCED THROMBOCYTOPENIA &amp;</w:t>
      </w:r>
      <w:r w:rsidDel="00000000" w:rsidR="00000000" w:rsidRPr="00000000">
        <w:rPr>
          <w:rtl w:val="0"/>
        </w:rPr>
      </w:r>
    </w:p>
    <w:p w:rsidR="00000000" w:rsidDel="00000000" w:rsidP="00000000" w:rsidRDefault="00000000" w:rsidRPr="00000000" w14:paraId="00000003">
      <w:pPr>
        <w:spacing w:after="37" w:line="259" w:lineRule="auto"/>
        <w:ind w:right="10"/>
        <w:jc w:val="center"/>
        <w:rPr/>
      </w:pPr>
      <w:r w:rsidDel="00000000" w:rsidR="00000000" w:rsidRPr="00000000">
        <w:rPr>
          <w:b w:val="1"/>
          <w:sz w:val="34"/>
          <w:szCs w:val="34"/>
          <w:rtl w:val="0"/>
        </w:rPr>
        <w:t xml:space="preserve">ANAEMIA  IN A PATIENT WITH MULTIDRUG-</w:t>
      </w:r>
      <w:r w:rsidDel="00000000" w:rsidR="00000000" w:rsidRPr="00000000">
        <w:rPr>
          <w:rtl w:val="0"/>
        </w:rPr>
      </w:r>
    </w:p>
    <w:p w:rsidR="00000000" w:rsidDel="00000000" w:rsidP="00000000" w:rsidRDefault="00000000" w:rsidRPr="00000000" w14:paraId="00000004">
      <w:pPr>
        <w:spacing w:after="0" w:line="259" w:lineRule="auto"/>
        <w:ind w:right="12"/>
        <w:jc w:val="center"/>
        <w:rPr>
          <w:b w:val="1"/>
          <w:sz w:val="34"/>
          <w:szCs w:val="34"/>
        </w:rPr>
      </w:pPr>
      <w:r w:rsidDel="00000000" w:rsidR="00000000" w:rsidRPr="00000000">
        <w:rPr>
          <w:b w:val="1"/>
          <w:sz w:val="34"/>
          <w:szCs w:val="34"/>
          <w:rtl w:val="0"/>
        </w:rPr>
        <w:t xml:space="preserve">RESISTANT TUBERCULOSIS: A CASE REPORT</w:t>
      </w:r>
    </w:p>
    <w:p w:rsidR="00000000" w:rsidDel="00000000" w:rsidP="00000000" w:rsidRDefault="00000000" w:rsidRPr="00000000" w14:paraId="00000005">
      <w:pPr>
        <w:spacing w:after="0" w:line="259" w:lineRule="auto"/>
        <w:ind w:right="12"/>
        <w:jc w:val="center"/>
        <w:rPr>
          <w:b w:val="1"/>
          <w:sz w:val="34"/>
          <w:szCs w:val="34"/>
        </w:rPr>
      </w:pPr>
      <w:r w:rsidDel="00000000" w:rsidR="00000000" w:rsidRPr="00000000">
        <w:rPr>
          <w:rtl w:val="0"/>
        </w:rPr>
      </w:r>
    </w:p>
    <w:p w:rsidR="00000000" w:rsidDel="00000000" w:rsidP="00000000" w:rsidRDefault="00000000" w:rsidRPr="00000000" w14:paraId="00000006">
      <w:pPr>
        <w:rPr/>
      </w:pPr>
      <w:bookmarkStart w:colFirst="0" w:colLast="0" w:name="_dm7odrn1r6w" w:id="1"/>
      <w:bookmarkEnd w:id="1"/>
      <w:r w:rsidDel="00000000" w:rsidR="00000000" w:rsidRPr="00000000">
        <w:rPr>
          <w:rtl w:val="0"/>
        </w:rPr>
      </w:r>
    </w:p>
    <w:p w:rsidR="00000000" w:rsidDel="00000000" w:rsidP="00000000" w:rsidRDefault="00000000" w:rsidRPr="00000000" w14:paraId="00000007">
      <w:pPr>
        <w:spacing w:after="1" w:line="259" w:lineRule="auto"/>
        <w:ind w:left="0" w:right="0" w:firstLine="0"/>
        <w:jc w:val="left"/>
        <w:rPr/>
      </w:pPr>
      <w:r w:rsidDel="00000000" w:rsidR="00000000" w:rsidRPr="00000000">
        <w:rPr>
          <w:rtl w:val="0"/>
        </w:rPr>
      </w:r>
    </w:p>
    <w:p w:rsidR="00000000" w:rsidDel="00000000" w:rsidP="00000000" w:rsidRDefault="00000000" w:rsidRPr="00000000" w14:paraId="00000008">
      <w:pPr>
        <w:spacing w:after="0" w:line="259" w:lineRule="auto"/>
        <w:ind w:left="-5" w:right="0" w:firstLine="0"/>
        <w:jc w:val="left"/>
        <w:rPr/>
      </w:pPr>
      <w:r w:rsidDel="00000000" w:rsidR="00000000" w:rsidRPr="00000000">
        <w:rPr>
          <w:b w:val="1"/>
          <w:sz w:val="32"/>
          <w:szCs w:val="32"/>
          <w:rtl w:val="0"/>
        </w:rPr>
        <w:t xml:space="preserve">ABSTRACT:</w:t>
      </w:r>
      <w:r w:rsidDel="00000000" w:rsidR="00000000" w:rsidRPr="00000000">
        <w:rPr>
          <w:rtl w:val="0"/>
        </w:rPr>
        <w:t xml:space="preserve"> </w:t>
      </w:r>
    </w:p>
    <w:p w:rsidR="00000000" w:rsidDel="00000000" w:rsidP="00000000" w:rsidRDefault="00000000" w:rsidRPr="00000000" w14:paraId="00000009">
      <w:pPr>
        <w:ind w:left="-5" w:right="0" w:firstLine="0"/>
        <w:rPr/>
      </w:pPr>
      <w:r w:rsidDel="00000000" w:rsidR="00000000" w:rsidRPr="00000000">
        <w:rPr>
          <w:rtl w:val="0"/>
        </w:rPr>
        <w:t xml:space="preserve">Linezolid is a new class of antimicrobials with excellent safety and efficacy profiles and have been suggested as a promising alternative to treat patients with multidrug-resistant tuberculosis (or) extensively drug-resistant TB. While being effective in managing strains, Linezolid eventually induces haematological side effects such as severe thrombocytopenia, anaemia and leukopenia after 2 weeks of therapy. Understanding risks of linezolid is crucial for optimizing patient outcomes and minimizing adverse reactions. We present the case of a 37-yearold-female who was diagnosed with multidrug resistant tuberculosis and being treated with linezolid. Later, developed severe haematological complications as observed in laboratory investigation (hemoglobin 2.9 g/dl(12-15 g/dl), Platelet count 35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(150-410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following cessation of linezolid, the patient’s haematological parameters gradually improved and conditions resolved.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spacing w:after="23"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spacing w:after="42" w:lineRule="auto"/>
        <w:ind w:left="-5" w:right="0" w:firstLine="0"/>
        <w:rPr/>
      </w:pPr>
      <w:r w:rsidDel="00000000" w:rsidR="00000000" w:rsidRPr="00000000">
        <w:rPr>
          <w:b w:val="1"/>
          <w:sz w:val="32"/>
          <w:szCs w:val="32"/>
          <w:rtl w:val="0"/>
        </w:rPr>
        <w:t xml:space="preserve">KEYWORDS:</w:t>
      </w:r>
      <w:r w:rsidDel="00000000" w:rsidR="00000000" w:rsidRPr="00000000">
        <w:rPr>
          <w:rtl w:val="0"/>
        </w:rPr>
        <w:t xml:space="preserve"> Linezolid, Bi-cytopenia, Thrombocytopenia, Anaemia, Multidrug resistant tuberculosis (MDR-TB), Extensively drug resistant tuberculosis </w:t>
      </w:r>
    </w:p>
    <w:p w:rsidR="00000000" w:rsidDel="00000000" w:rsidP="00000000" w:rsidRDefault="00000000" w:rsidRPr="00000000" w14:paraId="0000000C">
      <w:pPr>
        <w:ind w:left="-5" w:right="0" w:firstLine="0"/>
        <w:rPr/>
      </w:pPr>
      <w:r w:rsidDel="00000000" w:rsidR="00000000" w:rsidRPr="00000000">
        <w:rPr>
          <w:rtl w:val="0"/>
        </w:rPr>
        <w:t xml:space="preserve">(XDR-TB) </w:t>
      </w:r>
    </w:p>
    <w:p w:rsidR="00000000" w:rsidDel="00000000" w:rsidP="00000000" w:rsidRDefault="00000000" w:rsidRPr="00000000" w14:paraId="0000000D">
      <w:pPr>
        <w:spacing w:after="31" w:line="259" w:lineRule="auto"/>
        <w:ind w:left="0" w:right="0" w:firstLine="0"/>
        <w:jc w:val="left"/>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0E">
      <w:pPr>
        <w:spacing w:after="0" w:line="259"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0F">
      <w:pPr>
        <w:spacing w:after="0" w:line="259"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10">
      <w:pPr>
        <w:spacing w:after="0" w:line="259" w:lineRule="auto"/>
        <w:ind w:left="-5" w:right="0" w:firstLine="0"/>
        <w:jc w:val="left"/>
        <w:rPr>
          <w:b w:val="1"/>
          <w:sz w:val="32"/>
          <w:szCs w:val="32"/>
        </w:rPr>
      </w:pPr>
      <w:r w:rsidDel="00000000" w:rsidR="00000000" w:rsidRPr="00000000">
        <w:rPr>
          <w:rtl w:val="0"/>
        </w:rPr>
      </w:r>
    </w:p>
    <w:p w:rsidR="00000000" w:rsidDel="00000000" w:rsidP="00000000" w:rsidRDefault="00000000" w:rsidRPr="00000000" w14:paraId="00000011">
      <w:pPr>
        <w:spacing w:after="0" w:line="259" w:lineRule="auto"/>
        <w:ind w:left="-5" w:right="0" w:firstLine="0"/>
        <w:jc w:val="left"/>
        <w:rPr/>
      </w:pPr>
      <w:r w:rsidDel="00000000" w:rsidR="00000000" w:rsidRPr="00000000">
        <w:rPr>
          <w:b w:val="1"/>
          <w:sz w:val="32"/>
          <w:szCs w:val="32"/>
          <w:rtl w:val="0"/>
        </w:rPr>
        <w:t xml:space="preserve">INTRODUCTION: </w:t>
      </w:r>
      <w:r w:rsidDel="00000000" w:rsidR="00000000" w:rsidRPr="00000000">
        <w:rPr>
          <w:rtl w:val="0"/>
        </w:rPr>
      </w:r>
    </w:p>
    <w:p w:rsidR="00000000" w:rsidDel="00000000" w:rsidP="00000000" w:rsidRDefault="00000000" w:rsidRPr="00000000" w14:paraId="00000012">
      <w:pPr>
        <w:spacing w:after="33"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3">
      <w:pPr>
        <w:spacing w:after="0" w:line="259" w:lineRule="auto"/>
        <w:ind w:left="-5" w:right="0" w:firstLine="0"/>
        <w:jc w:val="left"/>
        <w:rPr/>
      </w:pPr>
      <w:r w:rsidDel="00000000" w:rsidR="00000000" w:rsidRPr="00000000">
        <w:rPr>
          <w:b w:val="1"/>
          <w:rtl w:val="0"/>
        </w:rPr>
        <w:t xml:space="preserve">TUBERCULOSIS: </w:t>
      </w:r>
      <w:r w:rsidDel="00000000" w:rsidR="00000000" w:rsidRPr="00000000">
        <w:rPr>
          <w:rtl w:val="0"/>
        </w:rPr>
      </w:r>
    </w:p>
    <w:p w:rsidR="00000000" w:rsidDel="00000000" w:rsidP="00000000" w:rsidRDefault="00000000" w:rsidRPr="00000000" w14:paraId="00000014">
      <w:pPr>
        <w:ind w:left="-5" w:right="0" w:firstLine="0"/>
        <w:rPr/>
      </w:pPr>
      <w:r w:rsidDel="00000000" w:rsidR="00000000" w:rsidRPr="00000000">
        <w:rPr>
          <w:rtl w:val="0"/>
        </w:rPr>
        <w:t xml:space="preserve">Tuberculosis (TB) is a vast and intricate subject, representing a common disease that presents major difficulties in diagnosis, treatment, and prevention. Historically, TB has caused more deaths than any other infectious disease. Caused by the bacterium Mycobacterium tuberculosis, TB is a preventable condition. It has become an increasing public health concern due to the rising incidence of multidrug-resistant TB (MDR-TB), which consists of Mycobacterium </w:t>
      </w:r>
    </w:p>
    <w:p w:rsidR="00000000" w:rsidDel="00000000" w:rsidP="00000000" w:rsidRDefault="00000000" w:rsidRPr="00000000" w14:paraId="00000015">
      <w:pPr>
        <w:spacing w:after="70" w:lineRule="auto"/>
        <w:ind w:left="-5" w:right="0" w:firstLine="0"/>
        <w:rPr/>
      </w:pPr>
      <w:r w:rsidDel="00000000" w:rsidR="00000000" w:rsidRPr="00000000">
        <w:rPr>
          <w:rtl w:val="0"/>
        </w:rPr>
        <w:t xml:space="preserve">tuberculosis strains that are resistant to at least isoniazid and rifampicin, as well as extensively drug-resistant (XDR-TB), where MDR TB strains are also resistant to at least one fluoroquinolone and one second-line injectable drug, such as kanamycin, amikacin, or capreomycin.</w:t>
      </w:r>
      <w:r w:rsidDel="00000000" w:rsidR="00000000" w:rsidRPr="00000000">
        <w:rPr>
          <w:color w:val="4472c4"/>
          <w:vertAlign w:val="superscript"/>
          <w:rtl w:val="0"/>
        </w:rPr>
        <w:t xml:space="preserve">[1,2]</w:t>
      </w:r>
      <w:r w:rsidDel="00000000" w:rsidR="00000000" w:rsidRPr="00000000">
        <w:rPr>
          <w:rFonts w:ascii="Cambria" w:cs="Cambria" w:eastAsia="Cambria" w:hAnsi="Cambria"/>
          <w:color w:val="4472c4"/>
          <w:vertAlign w:val="superscript"/>
          <w:rtl w:val="0"/>
        </w:rPr>
        <w:t xml:space="preserve"> </w:t>
      </w:r>
      <w:r w:rsidDel="00000000" w:rsidR="00000000" w:rsidRPr="00000000">
        <w:rPr>
          <w:rtl w:val="0"/>
        </w:rPr>
        <w:t xml:space="preserve">Because of the high level of resistance, treatment options for MDR and XDR TB are very limited, creating a need for new and effective treatments.</w:t>
      </w:r>
      <w:hyperlink r:id="rId7">
        <w:r w:rsidDel="00000000" w:rsidR="00000000" w:rsidRPr="00000000">
          <w:rPr>
            <w:color w:val="0563c1"/>
            <w:vertAlign w:val="superscript"/>
            <w:rtl w:val="0"/>
          </w:rPr>
          <w:t xml:space="preserve">[1] </w:t>
        </w:r>
      </w:hyperlink>
      <w:r w:rsidDel="00000000" w:rsidR="00000000" w:rsidRPr="00000000">
        <w:rPr>
          <w:rtl w:val="0"/>
        </w:rPr>
      </w:r>
    </w:p>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7">
      <w:pPr>
        <w:ind w:left="-5" w:right="0" w:firstLine="0"/>
        <w:rPr/>
      </w:pPr>
      <w:r w:rsidDel="00000000" w:rsidR="00000000" w:rsidRPr="00000000">
        <w:rPr>
          <w:rtl w:val="0"/>
        </w:rPr>
        <w:t xml:space="preserve">Standard treatment for drug-susceptible pulmonary tuberculosis (TB) has two phases: an initial intensive phase to reduce rapidly replicating bacteria and prevent resistance, followed by a continuation phase to target dormant bacteria. </w:t>
      </w:r>
    </w:p>
    <w:p w:rsidR="00000000" w:rsidDel="00000000" w:rsidP="00000000" w:rsidRDefault="00000000" w:rsidRPr="00000000" w14:paraId="00000018">
      <w:pPr>
        <w:ind w:left="-5" w:right="0" w:firstLine="0"/>
        <w:rPr/>
      </w:pPr>
      <w:r w:rsidDel="00000000" w:rsidR="00000000" w:rsidRPr="00000000">
        <w:rPr>
          <w:rtl w:val="0"/>
        </w:rPr>
        <w:t xml:space="preserve">Until 2022, the CDC’s (Centers for disease control) standard treatment included a 4-drug regimen (INH(Isoniazid), rifampin, ethambutol, pyrazinamide) for the first two months, followed by a 2-drug regimen (INH, rifampin) for the next four months. </w:t>
      </w:r>
      <w:commentRangeStart w:id="0"/>
      <w:r w:rsidDel="00000000" w:rsidR="00000000" w:rsidRPr="00000000">
        <w:rPr>
          <w:rtl w:val="0"/>
        </w:rPr>
        <w:t xml:space="preserve">In 2022, a new 4-month regimen was introduced, using INH, rifapentine, pyrazinamide, and moxifloxacin for 8 weeks, followed by rifapentine, INH, and moxifloxacin for 9 weeks</w:t>
      </w:r>
      <w:commentRangeEnd w:id="0"/>
      <w:r w:rsidDel="00000000" w:rsidR="00000000" w:rsidRPr="00000000">
        <w:commentReference w:id="0"/>
      </w:r>
      <w:r w:rsidDel="00000000" w:rsidR="00000000" w:rsidRPr="00000000">
        <w:rPr>
          <w:rtl w:val="0"/>
        </w:rPr>
        <w:t xml:space="preserve">. Certain groups, including pregnant women and those with other conditions, cannot use this new regimen. Regular monitoring of sputum and clinical response is essential throughout treatment. </w:t>
      </w:r>
    </w:p>
    <w:p w:rsidR="00000000" w:rsidDel="00000000" w:rsidP="00000000" w:rsidRDefault="00000000" w:rsidRPr="00000000" w14:paraId="00000019">
      <w:pPr>
        <w:spacing w:after="34"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A">
      <w:pPr>
        <w:spacing w:after="0" w:line="259" w:lineRule="auto"/>
        <w:ind w:left="-5" w:right="0" w:firstLine="0"/>
        <w:jc w:val="left"/>
        <w:rPr/>
      </w:pPr>
      <w:r w:rsidDel="00000000" w:rsidR="00000000" w:rsidRPr="00000000">
        <w:rPr>
          <w:b w:val="1"/>
          <w:rtl w:val="0"/>
        </w:rPr>
        <w:t xml:space="preserve">DRUG RESISTANT TUBERCULOSIS: </w:t>
      </w:r>
      <w:r w:rsidDel="00000000" w:rsidR="00000000" w:rsidRPr="00000000">
        <w:rPr>
          <w:rtl w:val="0"/>
        </w:rPr>
      </w:r>
    </w:p>
    <w:p w:rsidR="00000000" w:rsidDel="00000000" w:rsidP="00000000" w:rsidRDefault="00000000" w:rsidRPr="00000000" w14:paraId="0000001B">
      <w:pPr>
        <w:ind w:left="-5" w:right="0" w:firstLine="0"/>
        <w:rPr/>
      </w:pPr>
      <w:r w:rsidDel="00000000" w:rsidR="00000000" w:rsidRPr="00000000">
        <w:rPr>
          <w:rtl w:val="0"/>
        </w:rPr>
        <w:t xml:space="preserve">Drug-resistant tuberculosis (TB) carries a much higher risk of treatment failure compared to drug-susceptible TB, necessitating alternative and often extended treatment regimens. These regimens can last from 18 to 21 months and involve a mix of first-line, second-line, new, and repurposed drugs during both the intensive and continuation phases. Some of the newer and repurposed drugs include Delamanid, Bedaquiline, Pretomanid, Linezolid, Amoxicillin-clavulanate, Meropenem-clavulanate, Imipenem-cilastatin, Cotrimoxazole, and Macrolides. The need for prolonged regimens and injectable second-line drugs significantly increases the risk of drug toxicity and challenges related to patient adherence. </w:t>
      </w:r>
    </w:p>
    <w:p w:rsidR="00000000" w:rsidDel="00000000" w:rsidP="00000000" w:rsidRDefault="00000000" w:rsidRPr="00000000" w14:paraId="0000001C">
      <w:pPr>
        <w:spacing w:after="32"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D">
      <w:pPr>
        <w:spacing w:after="0" w:line="259" w:lineRule="auto"/>
        <w:ind w:left="-5" w:right="0" w:firstLine="0"/>
        <w:jc w:val="left"/>
        <w:rPr>
          <w:b w:val="1"/>
        </w:rPr>
      </w:pPr>
      <w:r w:rsidDel="00000000" w:rsidR="00000000" w:rsidRPr="00000000">
        <w:rPr>
          <w:rtl w:val="0"/>
        </w:rPr>
      </w:r>
    </w:p>
    <w:p w:rsidR="00000000" w:rsidDel="00000000" w:rsidP="00000000" w:rsidRDefault="00000000" w:rsidRPr="00000000" w14:paraId="0000001E">
      <w:pPr>
        <w:spacing w:after="0" w:line="259" w:lineRule="auto"/>
        <w:ind w:left="-5" w:right="0" w:firstLine="0"/>
        <w:jc w:val="left"/>
        <w:rPr/>
      </w:pPr>
      <w:r w:rsidDel="00000000" w:rsidR="00000000" w:rsidRPr="00000000">
        <w:rPr>
          <w:b w:val="1"/>
          <w:rtl w:val="0"/>
        </w:rPr>
        <w:t xml:space="preserve">LINEZOLID:   </w:t>
      </w:r>
      <w:r w:rsidDel="00000000" w:rsidR="00000000" w:rsidRPr="00000000">
        <w:rPr>
          <w:rtl w:val="0"/>
        </w:rPr>
      </w:r>
    </w:p>
    <w:p w:rsidR="00000000" w:rsidDel="00000000" w:rsidP="00000000" w:rsidRDefault="00000000" w:rsidRPr="00000000" w14:paraId="0000001F">
      <w:pPr>
        <w:ind w:left="-5" w:right="0" w:firstLine="0"/>
        <w:rPr/>
      </w:pPr>
      <w:r w:rsidDel="00000000" w:rsidR="00000000" w:rsidRPr="00000000">
        <w:rPr>
          <w:rtl w:val="0"/>
        </w:rPr>
        <w:t xml:space="preserve">Linezolid is an antibiotic from the oxazolidinone class that interferes with protein synthesis by binding to the </w:t>
      </w:r>
      <w:commentRangeStart w:id="1"/>
      <w:r w:rsidDel="00000000" w:rsidR="00000000" w:rsidRPr="00000000">
        <w:rPr>
          <w:rtl w:val="0"/>
        </w:rPr>
        <w:t xml:space="preserve">70S</w:t>
      </w:r>
      <w:commentRangeEnd w:id="1"/>
      <w:r w:rsidDel="00000000" w:rsidR="00000000" w:rsidRPr="00000000">
        <w:commentReference w:id="1"/>
      </w:r>
      <w:r w:rsidDel="00000000" w:rsidR="00000000" w:rsidRPr="00000000">
        <w:rPr>
          <w:rtl w:val="0"/>
        </w:rPr>
        <w:t xml:space="preserve"> initiation complex of bacterial ribosomes. It also binds to human mitochondria, inhibiting protein synthesis, which contributes to its toxicity in clinical use.</w:t>
      </w:r>
      <w:r w:rsidDel="00000000" w:rsidR="00000000" w:rsidRPr="00000000">
        <w:rPr>
          <w:color w:val="4472c4"/>
          <w:vertAlign w:val="superscript"/>
          <w:rtl w:val="0"/>
        </w:rPr>
        <w:t xml:space="preserve">[2,6] </w:t>
      </w:r>
      <w:r w:rsidDel="00000000" w:rsidR="00000000" w:rsidRPr="00000000">
        <w:rPr>
          <w:rtl w:val="0"/>
        </w:rPr>
        <w:t xml:space="preserve">It is effective against most of the Gram-positive strains and has been shown to have significant in vitro activity against Mycobacterium tuberculosis, including strains resistant to first-line treatments.</w:t>
      </w:r>
      <w:r w:rsidDel="00000000" w:rsidR="00000000" w:rsidRPr="00000000">
        <w:rPr>
          <w:color w:val="0563c1"/>
          <w:vertAlign w:val="superscript"/>
          <w:rtl w:val="0"/>
        </w:rPr>
        <w:t xml:space="preserve">[3]</w:t>
      </w:r>
      <w:r w:rsidDel="00000000" w:rsidR="00000000" w:rsidRPr="00000000">
        <w:rPr>
          <w:rtl w:val="0"/>
        </w:rPr>
        <w:t xml:space="preserve"> It could be a crucial treatment option for MDR and XDR TB. Linezolid is quickly and extensively absorbed after oral administration, with nearly 100% bioavailability. About 30% of the drug is excreted unchanged through the kidneys, while the remaining 65% is cleared through non-renal pathways, resulting in a terminal half-life of 3.5–7 hours.</w:t>
      </w:r>
      <w:hyperlink r:id="rId8">
        <w:r w:rsidDel="00000000" w:rsidR="00000000" w:rsidRPr="00000000">
          <w:rPr>
            <w:color w:val="0563c1"/>
            <w:vertAlign w:val="superscript"/>
            <w:rtl w:val="0"/>
          </w:rPr>
          <w:t xml:space="preserve">[4]</w:t>
        </w:r>
      </w:hyperlink>
      <w:hyperlink r:id="rId9">
        <w:r w:rsidDel="00000000" w:rsidR="00000000" w:rsidRPr="00000000">
          <w:rPr>
            <w:rtl w:val="0"/>
          </w:rPr>
          <w:t xml:space="preserve"> </w:t>
        </w:r>
      </w:hyperlink>
      <w:r w:rsidDel="00000000" w:rsidR="00000000" w:rsidRPr="00000000">
        <w:rPr>
          <w:rtl w:val="0"/>
        </w:rPr>
        <w:t xml:space="preserve">The recommended treatment duration for MDR TB is typically 18–24 months, and long-term use of linezolid comes with several potential side effects.</w:t>
      </w:r>
      <w:r w:rsidDel="00000000" w:rsidR="00000000" w:rsidRPr="00000000">
        <w:rPr>
          <w:color w:val="0563c1"/>
          <w:vertAlign w:val="superscript"/>
          <w:rtl w:val="0"/>
        </w:rPr>
        <w:t xml:space="preserve">[5]</w:t>
      </w:r>
      <w:r w:rsidDel="00000000" w:rsidR="00000000" w:rsidRPr="00000000">
        <w:rPr>
          <w:rtl w:val="0"/>
        </w:rPr>
        <w:t xml:space="preserve"> Initial studies exploring linezolid for MDR TB treatment administered a dose of 600 mg twice daily, for 10-14 days which is the FDA-approved dosage for treating infections due to Gram-positive bacteria</w:t>
      </w:r>
      <w:hyperlink r:id="rId10">
        <w:r w:rsidDel="00000000" w:rsidR="00000000" w:rsidRPr="00000000">
          <w:rPr>
            <w:rtl w:val="0"/>
          </w:rPr>
          <w:t xml:space="preserve">.</w:t>
        </w:r>
      </w:hyperlink>
      <w:hyperlink r:id="rId11">
        <w:r w:rsidDel="00000000" w:rsidR="00000000" w:rsidRPr="00000000">
          <w:rPr>
            <w:color w:val="0563c1"/>
            <w:vertAlign w:val="superscript"/>
            <w:rtl w:val="0"/>
          </w:rPr>
          <w:t xml:space="preserve">[1]</w:t>
        </w:r>
      </w:hyperlink>
      <w:hyperlink r:id="rId12">
        <w:r w:rsidDel="00000000" w:rsidR="00000000" w:rsidRPr="00000000">
          <w:rPr>
            <w:rtl w:val="0"/>
          </w:rPr>
          <w:t xml:space="preserve">A</w:t>
        </w:r>
      </w:hyperlink>
      <w:r w:rsidDel="00000000" w:rsidR="00000000" w:rsidRPr="00000000">
        <w:rPr>
          <w:rtl w:val="0"/>
        </w:rPr>
        <w:t xml:space="preserve"> various dosing approaches have been used for drug-resistant tuberculosis, where treatment periods are prolonged. These approaches vary from 300 mg to 1200 mg daily, with either once or twice-daily dosing.</w:t>
      </w:r>
      <w:r w:rsidDel="00000000" w:rsidR="00000000" w:rsidRPr="00000000">
        <w:rPr>
          <w:color w:val="0563c1"/>
          <w:u w:val="single"/>
          <w:vertAlign w:val="superscript"/>
          <w:rtl w:val="0"/>
        </w:rPr>
        <w:t xml:space="preserve">[</w:t>
      </w:r>
      <w:r w:rsidDel="00000000" w:rsidR="00000000" w:rsidRPr="00000000">
        <w:rPr>
          <w:color w:val="0563c1"/>
          <w:vertAlign w:val="superscript"/>
          <w:rtl w:val="0"/>
        </w:rPr>
        <w:t xml:space="preserve">6]</w:t>
      </w:r>
      <w:r w:rsidDel="00000000" w:rsidR="00000000" w:rsidRPr="00000000">
        <w:rPr>
          <w:vertAlign w:val="superscript"/>
          <w:rtl w:val="0"/>
        </w:rPr>
        <w:t xml:space="preserve"> </w:t>
      </w:r>
      <w:r w:rsidDel="00000000" w:rsidR="00000000" w:rsidRPr="00000000">
        <w:rPr>
          <w:rtl w:val="0"/>
        </w:rPr>
        <w:t xml:space="preserve">Over 2,000 patients were enrolled in clinical trials that tested linezolid's effectiveness against gram-positive infections, including complicated skin and soft tissue infections, as well as community- and hospital-acquired pneumonia, particularly those caused by MRSA and VRE. The majority of patients were given 600 mg of linezolid every 12 hours for 10 to 14 days, except for those with suspected or confirmed </w:t>
      </w:r>
    </w:p>
    <w:p w:rsidR="00000000" w:rsidDel="00000000" w:rsidP="00000000" w:rsidRDefault="00000000" w:rsidRPr="00000000" w14:paraId="00000020">
      <w:pPr>
        <w:spacing w:after="39" w:lineRule="auto"/>
        <w:ind w:left="-5" w:right="0" w:firstLine="0"/>
        <w:rPr/>
      </w:pPr>
      <w:r w:rsidDel="00000000" w:rsidR="00000000" w:rsidRPr="00000000">
        <w:rPr>
          <w:rtl w:val="0"/>
        </w:rPr>
        <w:t xml:space="preserve">VRE infections, who were treated for up to 28 days.(Table 1) </w:t>
      </w:r>
      <w:r w:rsidDel="00000000" w:rsidR="00000000" w:rsidRPr="00000000">
        <w:rPr>
          <w:color w:val="0563c1"/>
          <w:vertAlign w:val="superscript"/>
          <w:rtl w:val="0"/>
        </w:rPr>
        <w:t xml:space="preserve">[3]</w:t>
      </w:r>
      <w:r w:rsidDel="00000000" w:rsidR="00000000" w:rsidRPr="00000000">
        <w:rPr>
          <w:rtl w:val="0"/>
        </w:rPr>
        <w:t xml:space="preserve"> </w:t>
      </w:r>
    </w:p>
    <w:p w:rsidR="00000000" w:rsidDel="00000000" w:rsidP="00000000" w:rsidRDefault="00000000" w:rsidRPr="00000000" w14:paraId="00000021">
      <w:pPr>
        <w:spacing w:after="0" w:line="259" w:lineRule="auto"/>
        <w:ind w:left="0" w:right="0" w:firstLine="0"/>
        <w:jc w:val="left"/>
        <w:rPr/>
      </w:pPr>
      <w:r w:rsidDel="00000000" w:rsidR="00000000" w:rsidRPr="00000000">
        <w:rPr>
          <w:rtl w:val="0"/>
        </w:rPr>
        <w:t xml:space="preserve"> </w:t>
      </w:r>
      <w:r w:rsidDel="00000000" w:rsidR="00000000" w:rsidRPr="00000000">
        <w:rPr>
          <w:color w:val="2f5496"/>
          <w:rtl w:val="0"/>
        </w:rPr>
        <w:t xml:space="preserve"> </w:t>
      </w:r>
      <w:r w:rsidDel="00000000" w:rsidR="00000000" w:rsidRPr="00000000">
        <w:rPr>
          <w:rtl w:val="0"/>
        </w:rPr>
      </w:r>
    </w:p>
    <w:p w:rsidR="00000000" w:rsidDel="00000000" w:rsidP="00000000" w:rsidRDefault="00000000" w:rsidRPr="00000000" w14:paraId="00000022">
      <w:pPr>
        <w:spacing w:after="0" w:line="259" w:lineRule="auto"/>
        <w:ind w:right="12"/>
        <w:jc w:val="center"/>
        <w:rPr/>
      </w:pPr>
      <w:r w:rsidDel="00000000" w:rsidR="00000000" w:rsidRPr="00000000">
        <w:rPr>
          <w:b w:val="1"/>
          <w:color w:val="2f5496"/>
          <w:sz w:val="21"/>
          <w:szCs w:val="21"/>
          <w:rtl w:val="0"/>
        </w:rPr>
        <w:t xml:space="preserve">Table 1: Duration of therapy with Linezolid </w:t>
      </w:r>
      <w:r w:rsidDel="00000000" w:rsidR="00000000" w:rsidRPr="00000000">
        <w:rPr>
          <w:rtl w:val="0"/>
        </w:rPr>
      </w:r>
    </w:p>
    <w:p w:rsidR="00000000" w:rsidDel="00000000" w:rsidP="00000000" w:rsidRDefault="00000000" w:rsidRPr="00000000" w14:paraId="00000023">
      <w:pPr>
        <w:spacing w:after="0" w:line="259" w:lineRule="auto"/>
        <w:ind w:left="40" w:right="0" w:firstLine="0"/>
        <w:jc w:val="center"/>
        <w:rPr/>
      </w:pPr>
      <w:r w:rsidDel="00000000" w:rsidR="00000000" w:rsidRPr="00000000">
        <w:rPr>
          <w:b w:val="1"/>
          <w:sz w:val="21"/>
          <w:szCs w:val="21"/>
          <w:rtl w:val="0"/>
        </w:rPr>
        <w:t xml:space="preserve"> </w:t>
      </w:r>
      <w:r w:rsidDel="00000000" w:rsidR="00000000" w:rsidRPr="00000000">
        <w:rPr>
          <w:rtl w:val="0"/>
        </w:rPr>
      </w:r>
    </w:p>
    <w:tbl>
      <w:tblPr>
        <w:tblStyle w:val="Table1"/>
        <w:tblW w:w="9069.0" w:type="dxa"/>
        <w:jc w:val="left"/>
        <w:tblInd w:w="5.0" w:type="dxa"/>
        <w:tblLayout w:type="fixed"/>
        <w:tblLook w:val="0400"/>
      </w:tblPr>
      <w:tblGrid>
        <w:gridCol w:w="4677"/>
        <w:gridCol w:w="2836"/>
        <w:gridCol w:w="1556"/>
        <w:tblGridChange w:id="0">
          <w:tblGrid>
            <w:gridCol w:w="4677"/>
            <w:gridCol w:w="2836"/>
            <w:gridCol w:w="1556"/>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0" w:right="9" w:firstLine="0"/>
              <w:jc w:val="center"/>
              <w:rPr/>
            </w:pPr>
            <w:r w:rsidDel="00000000" w:rsidR="00000000" w:rsidRPr="00000000">
              <w:rPr>
                <w:b w:val="1"/>
                <w:sz w:val="24"/>
                <w:szCs w:val="24"/>
                <w:rtl w:val="0"/>
              </w:rPr>
              <w:t xml:space="preserve">Infection Type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59" w:lineRule="auto"/>
              <w:ind w:left="0" w:right="11" w:firstLine="0"/>
              <w:jc w:val="center"/>
              <w:rPr/>
            </w:pPr>
            <w:r w:rsidDel="00000000" w:rsidR="00000000" w:rsidRPr="00000000">
              <w:rPr>
                <w:b w:val="1"/>
                <w:sz w:val="24"/>
                <w:szCs w:val="24"/>
                <w:rtl w:val="0"/>
              </w:rPr>
              <w:t xml:space="preserve">Dose(mg)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2" w:firstLine="0"/>
              <w:jc w:val="center"/>
              <w:rPr/>
            </w:pPr>
            <w:r w:rsidDel="00000000" w:rsidR="00000000" w:rsidRPr="00000000">
              <w:rPr>
                <w:b w:val="1"/>
                <w:sz w:val="24"/>
                <w:szCs w:val="24"/>
                <w:rtl w:val="0"/>
              </w:rPr>
              <w:t xml:space="preserve">Duration </w:t>
            </w:r>
            <w:r w:rsidDel="00000000" w:rsidR="00000000" w:rsidRPr="00000000">
              <w:rPr>
                <w:rtl w:val="0"/>
              </w:rPr>
            </w:r>
          </w:p>
        </w:tc>
      </w:tr>
      <w:tr>
        <w:trPr>
          <w:cantSplit w:val="0"/>
          <w:trHeight w:val="23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88" w:lineRule="auto"/>
              <w:ind w:left="0" w:right="17" w:firstLine="0"/>
              <w:jc w:val="right"/>
              <w:rPr/>
            </w:pPr>
            <w:r w:rsidDel="00000000" w:rsidR="00000000" w:rsidRPr="00000000">
              <w:rPr>
                <w:b w:val="1"/>
                <w:rtl w:val="0"/>
              </w:rPr>
              <w:t xml:space="preserve">                                                                 </w:t>
            </w:r>
            <w:r w:rsidDel="00000000" w:rsidR="00000000" w:rsidRPr="00000000">
              <w:rPr>
                <w:sz w:val="23"/>
                <w:szCs w:val="23"/>
                <w:rtl w:val="0"/>
              </w:rPr>
              <w:t xml:space="preserve">Skin and soft tissue (complicated)   </w:t>
            </w:r>
            <w:r w:rsidDel="00000000" w:rsidR="00000000" w:rsidRPr="00000000">
              <w:rPr>
                <w:rtl w:val="0"/>
              </w:rPr>
            </w:r>
          </w:p>
          <w:p w:rsidR="00000000" w:rsidDel="00000000" w:rsidP="00000000" w:rsidRDefault="00000000" w:rsidRPr="00000000" w14:paraId="00000028">
            <w:pPr>
              <w:spacing w:after="0" w:line="259" w:lineRule="auto"/>
              <w:ind w:left="110" w:right="0" w:firstLine="0"/>
              <w:jc w:val="left"/>
              <w:rPr/>
            </w:pPr>
            <w:r w:rsidDel="00000000" w:rsidR="00000000" w:rsidRPr="00000000">
              <w:rPr>
                <w:sz w:val="23"/>
                <w:szCs w:val="23"/>
                <w:rtl w:val="0"/>
              </w:rPr>
              <w:t xml:space="preserve">Skin and soft tissue (uncomplicated)                     </w:t>
            </w:r>
            <w:r w:rsidDel="00000000" w:rsidR="00000000" w:rsidRPr="00000000">
              <w:rPr>
                <w:rtl w:val="0"/>
              </w:rPr>
            </w:r>
          </w:p>
          <w:p w:rsidR="00000000" w:rsidDel="00000000" w:rsidP="00000000" w:rsidRDefault="00000000" w:rsidRPr="00000000" w14:paraId="00000029">
            <w:pPr>
              <w:spacing w:after="0" w:line="259" w:lineRule="auto"/>
              <w:ind w:left="110" w:right="0" w:firstLine="0"/>
              <w:jc w:val="left"/>
              <w:rPr/>
            </w:pPr>
            <w:r w:rsidDel="00000000" w:rsidR="00000000" w:rsidRPr="00000000">
              <w:rPr>
                <w:sz w:val="23"/>
                <w:szCs w:val="23"/>
                <w:rtl w:val="0"/>
              </w:rPr>
              <w:t xml:space="preserve">Nosocomial pneumonia                                         </w:t>
            </w:r>
            <w:r w:rsidDel="00000000" w:rsidR="00000000" w:rsidRPr="00000000">
              <w:rPr>
                <w:rtl w:val="0"/>
              </w:rPr>
            </w:r>
          </w:p>
          <w:p w:rsidR="00000000" w:rsidDel="00000000" w:rsidP="00000000" w:rsidRDefault="00000000" w:rsidRPr="00000000" w14:paraId="0000002A">
            <w:pPr>
              <w:spacing w:after="0" w:line="239" w:lineRule="auto"/>
              <w:ind w:left="110" w:right="0" w:firstLine="0"/>
              <w:jc w:val="left"/>
              <w:rPr/>
            </w:pPr>
            <w:r w:rsidDel="00000000" w:rsidR="00000000" w:rsidRPr="00000000">
              <w:rPr>
                <w:sz w:val="23"/>
                <w:szCs w:val="23"/>
                <w:rtl w:val="0"/>
              </w:rPr>
              <w:t xml:space="preserve">Community-acquired pneumonia, inpatient          Community-acquired pneumonia, outpatient        </w:t>
            </w:r>
            <w:r w:rsidDel="00000000" w:rsidR="00000000" w:rsidRPr="00000000">
              <w:rPr>
                <w:rtl w:val="0"/>
              </w:rPr>
            </w:r>
          </w:p>
          <w:p w:rsidR="00000000" w:rsidDel="00000000" w:rsidP="00000000" w:rsidRDefault="00000000" w:rsidRPr="00000000" w14:paraId="0000002B">
            <w:pPr>
              <w:spacing w:after="22" w:line="259" w:lineRule="auto"/>
              <w:ind w:left="110" w:right="0" w:firstLine="0"/>
              <w:jc w:val="left"/>
              <w:rPr/>
            </w:pPr>
            <w:r w:rsidDel="00000000" w:rsidR="00000000" w:rsidRPr="00000000">
              <w:rPr>
                <w:sz w:val="23"/>
                <w:szCs w:val="23"/>
                <w:rtl w:val="0"/>
              </w:rPr>
              <w:t xml:space="preserve">Vancomycin-resistant Enterococcus faecium        </w:t>
            </w:r>
            <w:r w:rsidDel="00000000" w:rsidR="00000000" w:rsidRPr="00000000">
              <w:rPr>
                <w:rtl w:val="0"/>
              </w:rPr>
            </w:r>
          </w:p>
          <w:p w:rsidR="00000000" w:rsidDel="00000000" w:rsidP="00000000" w:rsidRDefault="00000000" w:rsidRPr="00000000" w14:paraId="0000002C">
            <w:pPr>
              <w:spacing w:after="0" w:line="259" w:lineRule="auto"/>
              <w:ind w:left="11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17" w:right="0" w:firstLine="0"/>
              <w:jc w:val="left"/>
              <w:rPr/>
            </w:pPr>
            <w:r w:rsidDel="00000000" w:rsidR="00000000" w:rsidRPr="00000000">
              <w:rPr>
                <w:b w:val="1"/>
                <w:rtl w:val="0"/>
              </w:rPr>
              <w:t xml:space="preserve"> </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2E">
            <w:pPr>
              <w:spacing w:after="22" w:line="259" w:lineRule="auto"/>
              <w:ind w:left="0" w:right="0" w:firstLine="0"/>
              <w:jc w:val="center"/>
              <w:rPr/>
            </w:pPr>
            <w:r w:rsidDel="00000000" w:rsidR="00000000" w:rsidRPr="00000000">
              <w:rPr>
                <w:sz w:val="23"/>
                <w:szCs w:val="23"/>
                <w:rtl w:val="0"/>
              </w:rPr>
              <w:t xml:space="preserve">600 mg PO/IV q12 hr </w:t>
            </w:r>
            <w:r w:rsidDel="00000000" w:rsidR="00000000" w:rsidRPr="00000000">
              <w:rPr>
                <w:rtl w:val="0"/>
              </w:rPr>
            </w:r>
          </w:p>
          <w:p w:rsidR="00000000" w:rsidDel="00000000" w:rsidP="00000000" w:rsidRDefault="00000000" w:rsidRPr="00000000" w14:paraId="0000002F">
            <w:pPr>
              <w:spacing w:after="46" w:line="259" w:lineRule="auto"/>
              <w:ind w:left="200" w:right="0" w:firstLine="0"/>
              <w:jc w:val="left"/>
              <w:rPr/>
            </w:pPr>
            <w:r w:rsidDel="00000000" w:rsidR="00000000" w:rsidRPr="00000000">
              <w:rPr>
                <w:sz w:val="23"/>
                <w:szCs w:val="23"/>
                <w:rtl w:val="0"/>
              </w:rPr>
              <w:t xml:space="preserve">400-600 mg PO/IV q12 hr </w:t>
            </w:r>
            <w:r w:rsidDel="00000000" w:rsidR="00000000" w:rsidRPr="00000000">
              <w:rPr>
                <w:rtl w:val="0"/>
              </w:rPr>
            </w:r>
          </w:p>
          <w:p w:rsidR="00000000" w:rsidDel="00000000" w:rsidP="00000000" w:rsidRDefault="00000000" w:rsidRPr="00000000" w14:paraId="00000030">
            <w:pPr>
              <w:tabs>
                <w:tab w:val="center" w:leader="none" w:pos="1418"/>
              </w:tabs>
              <w:spacing w:after="0" w:line="259" w:lineRule="auto"/>
              <w:ind w:left="-23" w:right="0" w:firstLine="0"/>
              <w:jc w:val="left"/>
              <w:rPr/>
            </w:pPr>
            <w:r w:rsidDel="00000000" w:rsidR="00000000" w:rsidRPr="00000000">
              <w:rPr>
                <w:sz w:val="35"/>
                <w:szCs w:val="35"/>
                <w:vertAlign w:val="subscript"/>
                <w:rtl w:val="0"/>
              </w:rPr>
              <w:t xml:space="preserve"> </w:t>
              <w:tab/>
            </w:r>
            <w:r w:rsidDel="00000000" w:rsidR="00000000" w:rsidRPr="00000000">
              <w:rPr>
                <w:sz w:val="23"/>
                <w:szCs w:val="23"/>
                <w:rtl w:val="0"/>
              </w:rPr>
              <w:t xml:space="preserve">600 mg PO/IV q12 hr </w:t>
            </w:r>
            <w:r w:rsidDel="00000000" w:rsidR="00000000" w:rsidRPr="00000000">
              <w:rPr>
                <w:rtl w:val="0"/>
              </w:rPr>
            </w:r>
          </w:p>
          <w:p w:rsidR="00000000" w:rsidDel="00000000" w:rsidP="00000000" w:rsidRDefault="00000000" w:rsidRPr="00000000" w14:paraId="00000031">
            <w:pPr>
              <w:tabs>
                <w:tab w:val="center" w:leader="none" w:pos="1418"/>
              </w:tabs>
              <w:spacing w:after="0" w:line="259" w:lineRule="auto"/>
              <w:ind w:left="-24" w:right="0" w:firstLine="0"/>
              <w:jc w:val="left"/>
              <w:rPr/>
            </w:pPr>
            <w:r w:rsidDel="00000000" w:rsidR="00000000" w:rsidRPr="00000000">
              <w:rPr>
                <w:sz w:val="35"/>
                <w:szCs w:val="35"/>
                <w:vertAlign w:val="subscript"/>
                <w:rtl w:val="0"/>
              </w:rPr>
              <w:t xml:space="preserve"> </w:t>
              <w:tab/>
            </w:r>
            <w:r w:rsidDel="00000000" w:rsidR="00000000" w:rsidRPr="00000000">
              <w:rPr>
                <w:sz w:val="23"/>
                <w:szCs w:val="23"/>
                <w:rtl w:val="0"/>
              </w:rPr>
              <w:t xml:space="preserve">600 mg PO/IV q12 hr </w:t>
            </w:r>
            <w:r w:rsidDel="00000000" w:rsidR="00000000" w:rsidRPr="00000000">
              <w:rPr>
                <w:rtl w:val="0"/>
              </w:rPr>
            </w:r>
          </w:p>
          <w:p w:rsidR="00000000" w:rsidDel="00000000" w:rsidP="00000000" w:rsidRDefault="00000000" w:rsidRPr="00000000" w14:paraId="00000032">
            <w:pPr>
              <w:tabs>
                <w:tab w:val="center" w:leader="none" w:pos="1419"/>
              </w:tabs>
              <w:spacing w:after="0" w:line="259" w:lineRule="auto"/>
              <w:ind w:left="-24" w:right="0" w:firstLine="0"/>
              <w:jc w:val="left"/>
              <w:rPr/>
            </w:pPr>
            <w:r w:rsidDel="00000000" w:rsidR="00000000" w:rsidRPr="00000000">
              <w:rPr>
                <w:sz w:val="35"/>
                <w:szCs w:val="35"/>
                <w:vertAlign w:val="subscript"/>
                <w:rtl w:val="0"/>
              </w:rPr>
              <w:t xml:space="preserve"> </w:t>
              <w:tab/>
            </w:r>
            <w:r w:rsidDel="00000000" w:rsidR="00000000" w:rsidRPr="00000000">
              <w:rPr>
                <w:sz w:val="23"/>
                <w:szCs w:val="23"/>
                <w:rtl w:val="0"/>
              </w:rPr>
              <w:t xml:space="preserve">600 mg PO/ IV q12hr </w:t>
            </w:r>
            <w:r w:rsidDel="00000000" w:rsidR="00000000" w:rsidRPr="00000000">
              <w:rPr>
                <w:rtl w:val="0"/>
              </w:rPr>
            </w:r>
          </w:p>
          <w:p w:rsidR="00000000" w:rsidDel="00000000" w:rsidP="00000000" w:rsidRDefault="00000000" w:rsidRPr="00000000" w14:paraId="00000033">
            <w:pPr>
              <w:tabs>
                <w:tab w:val="center" w:leader="none" w:pos="1419"/>
              </w:tabs>
              <w:spacing w:after="7" w:line="259" w:lineRule="auto"/>
              <w:ind w:left="-19" w:right="0" w:firstLine="0"/>
              <w:jc w:val="left"/>
              <w:rPr/>
            </w:pPr>
            <w:r w:rsidDel="00000000" w:rsidR="00000000" w:rsidRPr="00000000">
              <w:rPr>
                <w:sz w:val="35"/>
                <w:szCs w:val="35"/>
                <w:vertAlign w:val="subscript"/>
                <w:rtl w:val="0"/>
              </w:rPr>
              <w:t xml:space="preserve"> </w:t>
              <w:tab/>
            </w:r>
            <w:r w:rsidDel="00000000" w:rsidR="00000000" w:rsidRPr="00000000">
              <w:rPr>
                <w:sz w:val="23"/>
                <w:szCs w:val="23"/>
                <w:rtl w:val="0"/>
              </w:rPr>
              <w:t xml:space="preserve">600 mg PO/ IV q12hr </w:t>
            </w:r>
            <w:r w:rsidDel="00000000" w:rsidR="00000000" w:rsidRPr="00000000">
              <w:rPr>
                <w:rtl w:val="0"/>
              </w:rPr>
            </w:r>
          </w:p>
          <w:p w:rsidR="00000000" w:rsidDel="00000000" w:rsidP="00000000" w:rsidRDefault="00000000" w:rsidRPr="00000000" w14:paraId="00000034">
            <w:pPr>
              <w:spacing w:after="0" w:line="259" w:lineRule="auto"/>
              <w:ind w:left="-17" w:right="1363" w:firstLine="0"/>
              <w:jc w:val="center"/>
              <w:rPr/>
            </w:pPr>
            <w:r w:rsidDel="00000000" w:rsidR="00000000" w:rsidRPr="00000000">
              <w:rPr>
                <w:rtl w:val="0"/>
              </w:rPr>
              <w:t xml:space="preserve"> </w:t>
              <w:tab/>
            </w:r>
            <w:r w:rsidDel="00000000" w:rsidR="00000000" w:rsidRPr="00000000">
              <w:rPr>
                <w:sz w:val="23"/>
                <w:szCs w:val="23"/>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20" w:line="259" w:lineRule="auto"/>
              <w:ind w:left="105" w:right="0" w:firstLine="0"/>
              <w:jc w:val="left"/>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36">
            <w:pPr>
              <w:spacing w:after="20" w:line="259" w:lineRule="auto"/>
              <w:ind w:left="270" w:right="0" w:firstLine="0"/>
              <w:jc w:val="left"/>
              <w:rPr/>
            </w:pPr>
            <w:r w:rsidDel="00000000" w:rsidR="00000000" w:rsidRPr="00000000">
              <w:rPr>
                <w:sz w:val="23"/>
                <w:szCs w:val="23"/>
                <w:rtl w:val="0"/>
              </w:rPr>
              <w:t xml:space="preserve">10-14 days </w:t>
            </w:r>
            <w:r w:rsidDel="00000000" w:rsidR="00000000" w:rsidRPr="00000000">
              <w:rPr>
                <w:rtl w:val="0"/>
              </w:rPr>
            </w:r>
          </w:p>
          <w:p w:rsidR="00000000" w:rsidDel="00000000" w:rsidP="00000000" w:rsidRDefault="00000000" w:rsidRPr="00000000" w14:paraId="00000037">
            <w:pPr>
              <w:spacing w:after="21" w:line="259" w:lineRule="auto"/>
              <w:ind w:left="270" w:right="0" w:firstLine="0"/>
              <w:jc w:val="left"/>
              <w:rPr/>
            </w:pPr>
            <w:r w:rsidDel="00000000" w:rsidR="00000000" w:rsidRPr="00000000">
              <w:rPr>
                <w:sz w:val="23"/>
                <w:szCs w:val="23"/>
                <w:rtl w:val="0"/>
              </w:rPr>
              <w:t xml:space="preserve">10-14 days </w:t>
            </w:r>
            <w:r w:rsidDel="00000000" w:rsidR="00000000" w:rsidRPr="00000000">
              <w:rPr>
                <w:rtl w:val="0"/>
              </w:rPr>
            </w:r>
          </w:p>
          <w:p w:rsidR="00000000" w:rsidDel="00000000" w:rsidP="00000000" w:rsidRDefault="00000000" w:rsidRPr="00000000" w14:paraId="00000038">
            <w:pPr>
              <w:spacing w:after="20" w:line="259" w:lineRule="auto"/>
              <w:ind w:left="270" w:right="0" w:firstLine="0"/>
              <w:jc w:val="left"/>
              <w:rPr/>
            </w:pPr>
            <w:r w:rsidDel="00000000" w:rsidR="00000000" w:rsidRPr="00000000">
              <w:rPr>
                <w:sz w:val="23"/>
                <w:szCs w:val="23"/>
                <w:rtl w:val="0"/>
              </w:rPr>
              <w:t xml:space="preserve">10-14 days </w:t>
            </w:r>
            <w:r w:rsidDel="00000000" w:rsidR="00000000" w:rsidRPr="00000000">
              <w:rPr>
                <w:rtl w:val="0"/>
              </w:rPr>
            </w:r>
          </w:p>
          <w:p w:rsidR="00000000" w:rsidDel="00000000" w:rsidP="00000000" w:rsidRDefault="00000000" w:rsidRPr="00000000" w14:paraId="00000039">
            <w:pPr>
              <w:spacing w:after="20" w:line="259" w:lineRule="auto"/>
              <w:ind w:left="270" w:right="0" w:firstLine="0"/>
              <w:jc w:val="left"/>
              <w:rPr/>
            </w:pPr>
            <w:r w:rsidDel="00000000" w:rsidR="00000000" w:rsidRPr="00000000">
              <w:rPr>
                <w:sz w:val="23"/>
                <w:szCs w:val="23"/>
                <w:rtl w:val="0"/>
              </w:rPr>
              <w:t xml:space="preserve">10-14 days </w:t>
            </w:r>
            <w:r w:rsidDel="00000000" w:rsidR="00000000" w:rsidRPr="00000000">
              <w:rPr>
                <w:rtl w:val="0"/>
              </w:rPr>
            </w:r>
          </w:p>
          <w:p w:rsidR="00000000" w:rsidDel="00000000" w:rsidP="00000000" w:rsidRDefault="00000000" w:rsidRPr="00000000" w14:paraId="0000003A">
            <w:pPr>
              <w:spacing w:after="15" w:line="259" w:lineRule="auto"/>
              <w:ind w:left="270" w:right="0" w:firstLine="0"/>
              <w:jc w:val="left"/>
              <w:rPr/>
            </w:pPr>
            <w:r w:rsidDel="00000000" w:rsidR="00000000" w:rsidRPr="00000000">
              <w:rPr>
                <w:sz w:val="23"/>
                <w:szCs w:val="23"/>
                <w:rtl w:val="0"/>
              </w:rPr>
              <w:t xml:space="preserve">10-14 days </w:t>
            </w:r>
            <w:r w:rsidDel="00000000" w:rsidR="00000000" w:rsidRPr="00000000">
              <w:rPr>
                <w:rtl w:val="0"/>
              </w:rPr>
            </w:r>
          </w:p>
          <w:p w:rsidR="00000000" w:rsidDel="00000000" w:rsidP="00000000" w:rsidRDefault="00000000" w:rsidRPr="00000000" w14:paraId="0000003B">
            <w:pPr>
              <w:spacing w:after="0" w:line="259" w:lineRule="auto"/>
              <w:ind w:left="270" w:right="0" w:firstLine="0"/>
              <w:jc w:val="left"/>
              <w:rPr/>
            </w:pPr>
            <w:r w:rsidDel="00000000" w:rsidR="00000000" w:rsidRPr="00000000">
              <w:rPr>
                <w:sz w:val="23"/>
                <w:szCs w:val="23"/>
                <w:rtl w:val="0"/>
              </w:rPr>
              <w:t xml:space="preserve">14-28 days </w:t>
            </w:r>
            <w:r w:rsidDel="00000000" w:rsidR="00000000" w:rsidRPr="00000000">
              <w:rPr>
                <w:rtl w:val="0"/>
              </w:rPr>
            </w:r>
          </w:p>
        </w:tc>
      </w:tr>
    </w:tbl>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D">
      <w:pPr>
        <w:ind w:left="-5" w:right="0" w:firstLine="0"/>
        <w:rPr/>
      </w:pPr>
      <w:r w:rsidDel="00000000" w:rsidR="00000000" w:rsidRPr="00000000">
        <w:rPr>
          <w:rtl w:val="0"/>
        </w:rPr>
        <w:t xml:space="preserve">Adverse effects that are caused by linezolid includes bone marrow suppression causing anaemia and thrombocytopenia, peripheral neuropathy, optic neuropathy causing disability and blindness, hyperlactatemia (lactic acidosis with plasma level&gt;2mmol/L), tongue discoloration, oral candidiasis, nausea, vomiting, diarrhoea, headache, hypo glycemia, reticulocytopenia have been reported so far. As the dosage of the drug increase, the potential to cause the serious adverse effects is </w:t>
      </w:r>
      <w:commentRangeStart w:id="2"/>
      <w:r w:rsidDel="00000000" w:rsidR="00000000" w:rsidRPr="00000000">
        <w:rPr>
          <w:rtl w:val="0"/>
        </w:rPr>
        <w:t xml:space="preserve">improving.</w:t>
      </w:r>
      <w:hyperlink r:id="rId13">
        <w:r w:rsidDel="00000000" w:rsidR="00000000" w:rsidRPr="00000000">
          <w:rPr>
            <w:color w:val="0563c1"/>
            <w:vertAlign w:val="superscript"/>
            <w:rtl w:val="0"/>
          </w:rPr>
          <w:t xml:space="preserve">[</w:t>
        </w:r>
      </w:hyperlink>
      <w:commentRangeEnd w:id="2"/>
      <w:r w:rsidDel="00000000" w:rsidR="00000000" w:rsidRPr="00000000">
        <w:commentReference w:id="2"/>
      </w:r>
      <w:hyperlink r:id="rId14">
        <w:r w:rsidDel="00000000" w:rsidR="00000000" w:rsidRPr="00000000">
          <w:rPr>
            <w:color w:val="0563c1"/>
            <w:vertAlign w:val="superscript"/>
            <w:rtl w:val="0"/>
          </w:rPr>
          <w:t xml:space="preserve">7,8,9]</w:t>
        </w:r>
      </w:hyperlink>
      <w:hyperlink r:id="rId15">
        <w:r w:rsidDel="00000000" w:rsidR="00000000" w:rsidRPr="00000000">
          <w:rPr>
            <w:rtl w:val="0"/>
          </w:rPr>
          <w:t xml:space="preserve"> </w:t>
        </w:r>
      </w:hyperlink>
      <w:r w:rsidDel="00000000" w:rsidR="00000000" w:rsidRPr="00000000">
        <w:rPr>
          <w:rtl w:val="0"/>
        </w:rPr>
        <w:t xml:space="preserve">The prevalence of linezolid induced thrombocytopenia in an MDR/XDR-TB regimen is common.</w:t>
      </w:r>
      <w:r w:rsidDel="00000000" w:rsidR="00000000" w:rsidRPr="00000000">
        <w:rPr>
          <w:color w:val="0563c1"/>
          <w:vertAlign w:val="superscript"/>
          <w:rtl w:val="0"/>
        </w:rPr>
        <w:t xml:space="preserve">[10]</w:t>
      </w:r>
      <w:r w:rsidDel="00000000" w:rsidR="00000000" w:rsidRPr="00000000">
        <w:rPr>
          <w:rtl w:val="0"/>
        </w:rPr>
        <w:t xml:space="preserve"> It has been observed that platelet levels normalized within seven days following the cessation of LZD.</w:t>
      </w:r>
      <w:r w:rsidDel="00000000" w:rsidR="00000000" w:rsidRPr="00000000">
        <w:rPr>
          <w:color w:val="0563c1"/>
          <w:vertAlign w:val="superscript"/>
          <w:rtl w:val="0"/>
        </w:rPr>
        <w:t xml:space="preserve">[11]</w:t>
      </w:r>
      <w:r w:rsidDel="00000000" w:rsidR="00000000" w:rsidRPr="00000000">
        <w:rPr>
          <w:rtl w:val="0"/>
        </w:rPr>
        <w:t xml:space="preserve"> In this we report a case of a female ,diagnosed with MDR-TB and was on linezolid therapy, later developed haematological complications such as thrombocytopenia, anaemia and her condition was improved after the cessation of linezolid drug usage.</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03E">
      <w:pPr>
        <w:spacing w:after="28"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F">
      <w:pPr>
        <w:spacing w:after="0" w:line="259" w:lineRule="auto"/>
        <w:ind w:left="-5" w:right="0" w:firstLine="0"/>
        <w:jc w:val="left"/>
        <w:rPr/>
      </w:pPr>
      <w:r w:rsidDel="00000000" w:rsidR="00000000" w:rsidRPr="00000000">
        <w:rPr>
          <w:b w:val="1"/>
          <w:rtl w:val="0"/>
        </w:rPr>
        <w:t xml:space="preserve">CASE REPORT:  </w:t>
      </w:r>
      <w:r w:rsidDel="00000000" w:rsidR="00000000" w:rsidRPr="00000000">
        <w:rPr>
          <w:rtl w:val="0"/>
        </w:rPr>
      </w:r>
    </w:p>
    <w:p w:rsidR="00000000" w:rsidDel="00000000" w:rsidP="00000000" w:rsidRDefault="00000000" w:rsidRPr="00000000" w14:paraId="00000040">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1">
      <w:pPr>
        <w:ind w:left="-5" w:right="0" w:firstLine="0"/>
        <w:rPr/>
      </w:pPr>
      <w:r w:rsidDel="00000000" w:rsidR="00000000" w:rsidRPr="00000000">
        <w:rPr>
          <w:rtl w:val="0"/>
        </w:rPr>
        <w:t xml:space="preserve">A 37-year-old-female patient of height 145cms, weight of 59kgs and BMI of 26 kg/m</w:t>
      </w:r>
      <w:r w:rsidDel="00000000" w:rsidR="00000000" w:rsidRPr="00000000">
        <w:rPr>
          <w:vertAlign w:val="superscript"/>
          <w:rtl w:val="0"/>
        </w:rPr>
        <w:t xml:space="preserve">2</w:t>
      </w:r>
      <w:r w:rsidDel="00000000" w:rsidR="00000000" w:rsidRPr="00000000">
        <w:rPr>
          <w:rtl w:val="0"/>
        </w:rPr>
        <w:t xml:space="preserve"> who is a known case of achondroplasia came to Emergency Room with history of shortness of breath since 15 days associated with lower limb swelling bilaterally since 15 days. Patient complaining of decreased oral intake since 2 weeks associated with nausea and vomiting since 15 days. Also complaining of blurring of vision and history of bilateral lower limb cramps since 1-2 months. As per past history patient developed right sided neck swelling retrograde retro areolar region and diagnosed as Koch’s 8 years back (2017) for which she was treated with  Antitubercular treatment(ATT) for 9 months. Again in 2020-2021 patient developed similar swelling on the same side took ATT again for 9 months. Recently in July 2024, patient developed recurrent lymph node swelling over neck and under chin, biopsy done and she was given Multi drug resistant drug regimen- Tuberculosis (MDR-TB ATT) since 7 months( 11</w:t>
      </w:r>
      <w:r w:rsidDel="00000000" w:rsidR="00000000" w:rsidRPr="00000000">
        <w:rPr>
          <w:vertAlign w:val="superscript"/>
          <w:rtl w:val="0"/>
        </w:rPr>
        <w:t xml:space="preserve">th</w:t>
      </w:r>
      <w:r w:rsidDel="00000000" w:rsidR="00000000" w:rsidRPr="00000000">
        <w:rPr>
          <w:rtl w:val="0"/>
        </w:rPr>
        <w:t xml:space="preserve"> July, 2024). Patient was on the following medication Tab. Pantop (Pantoprazole) 40mg, Tab. Ondem (Ondansetron) 4mg, Tab. B complex, Tab. Levoflox (Levofloxacin) 750mg, Tab. Linox (Linezolid) 600mg, Tab. Cyclops (Cycloserine) 250mg, Tab. Pyridoxine 100mg, Tab. Sirturo (Bedaquiline) 100mg – on alternate days.  </w:t>
      </w:r>
    </w:p>
    <w:p w:rsidR="00000000" w:rsidDel="00000000" w:rsidP="00000000" w:rsidRDefault="00000000" w:rsidRPr="00000000" w14:paraId="00000042">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3">
      <w:pPr>
        <w:ind w:left="-5" w:right="0" w:firstLine="0"/>
        <w:rPr/>
      </w:pPr>
      <w:r w:rsidDel="00000000" w:rsidR="00000000" w:rsidRPr="00000000">
        <w:rPr>
          <w:rtl w:val="0"/>
        </w:rPr>
        <w:t xml:space="preserve">Initial evaluation was done in ER and routine blood investigations, imaging studies, ECG, 2D echo and ABG was done in the ER. Initial investigations revealed hemoglobin 2.9 g/dl(12-15 g/dl), PCV 10.1%(36-46%), Total leukocyte count 6.1x10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(4-10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Platelet count 35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(150-410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Urea 17mg/dl(12-23mg/dl), Serum Creatinine 0.66mg/dl(0.551.02mg/dl), Amylase 332U/L(28-100U/L), SGOT 86U/L(&lt;31U/L), SGPT 48U/L(&lt;34U/L), Albumin 2.2g/dl(3.5-5.0g/dl), CRP 4.9mg/dl(0.3mg/dl). ABG showed pH 7.23, PCo</w:t>
      </w:r>
      <w:r w:rsidDel="00000000" w:rsidR="00000000" w:rsidRPr="00000000">
        <w:rPr>
          <w:vertAlign w:val="subscript"/>
          <w:rtl w:val="0"/>
        </w:rPr>
        <w:t xml:space="preserve">2</w:t>
      </w:r>
      <w:r w:rsidDel="00000000" w:rsidR="00000000" w:rsidRPr="00000000">
        <w:rPr>
          <w:rtl w:val="0"/>
        </w:rPr>
        <w:t xml:space="preserve"> 12.8, PO</w:t>
      </w:r>
      <w:r w:rsidDel="00000000" w:rsidR="00000000" w:rsidRPr="00000000">
        <w:rPr>
          <w:vertAlign w:val="subscript"/>
          <w:rtl w:val="0"/>
        </w:rPr>
        <w:t xml:space="preserve">2 </w:t>
      </w:r>
      <w:r w:rsidDel="00000000" w:rsidR="00000000" w:rsidRPr="00000000">
        <w:rPr>
          <w:rtl w:val="0"/>
        </w:rPr>
        <w:t xml:space="preserve">120, bicarbonate 7.7. 2D Echo revealed normal sized cardiac chambers, normal valve morphology, no regional wall motion abnormality, mild TR with RA pressure, RVSP of 30mmHg, Ejection Fraction of 60%, no effusion or vegetation growth was found. Ultrasound whole abdomen was done which revealed all other organs were of normal parameters ,spleen showed irregular focal areas of altered echogenicity with spleen size measuring 45 x 29 mm. High sensitive troponin I test was done and the troponin levels were 3.0 pg/mL. Based on the subjective and objective evidences patient was diagnosed as LINEZOLID INDUCED BICYTOPENIA (ANAEMIA AND THROMBOCYTOPENIA). Day to day hematologic parameters related to the usage of LZD as shown in the Table 2. In view of decreased hemoglobin an abnormal ABG decreased platelets patient shifted to ICU for further management. After shifting to ICU patient was given 1 unit of PRBC transfusion. Linezolid was withdrawn immediately. Clinical experts advice was taken and orders followed accordingly. During the stay in hospital the patient was given 4 units of PRBC and her hemoglobin levels were checked and no bleeding manifestations observed. At the time of discharge her hemoglobin improved to10.5g/dl, PCV to 31.8,% platelet count 21000/mm</w:t>
      </w:r>
      <w:r w:rsidDel="00000000" w:rsidR="00000000" w:rsidRPr="00000000">
        <w:rPr>
          <w:vertAlign w:val="superscript"/>
          <w:rtl w:val="0"/>
        </w:rPr>
        <w:t xml:space="preserve">3</w:t>
      </w:r>
      <w:r w:rsidDel="00000000" w:rsidR="00000000" w:rsidRPr="00000000">
        <w:rPr>
          <w:rtl w:val="0"/>
        </w:rPr>
        <w:t xml:space="preserve">, CRP 6.62. On advice of clinical experts bone marrow biopsy was done on 4</w:t>
      </w:r>
      <w:r w:rsidDel="00000000" w:rsidR="00000000" w:rsidRPr="00000000">
        <w:rPr>
          <w:vertAlign w:val="superscript"/>
          <w:rtl w:val="0"/>
        </w:rPr>
        <w:t xml:space="preserve">th</w:t>
      </w:r>
      <w:r w:rsidDel="00000000" w:rsidR="00000000" w:rsidRPr="00000000">
        <w:rPr>
          <w:rtl w:val="0"/>
        </w:rPr>
        <w:t xml:space="preserve"> day of hospital stay which stated normocellular marrow with normal hematopoiesis and was negative for infiltration. The bone marrow smear findings were as follows-smear showed very few erythroid and myeloid precursors, megakaryocytes not appreciable. On 7</w:t>
      </w:r>
      <w:r w:rsidDel="00000000" w:rsidR="00000000" w:rsidRPr="00000000">
        <w:rPr>
          <w:vertAlign w:val="superscript"/>
          <w:rtl w:val="0"/>
        </w:rPr>
        <w:t xml:space="preserve">th</w:t>
      </w:r>
      <w:r w:rsidDel="00000000" w:rsidR="00000000" w:rsidRPr="00000000">
        <w:rPr>
          <w:rtl w:val="0"/>
        </w:rPr>
        <w:t xml:space="preserve"> day whole body PET CT scan including brain was done ,Reports stated that non-FDG avid mediastinal nodes few of them with calcifications , the PET scan was negative for significant hypermetabolic abnormality. Nerve conduction study was done and the electrophysiological study was found to be normal. The patient was treated with these medications (Table 3) and discharged in a hemodynamically stable condition. </w:t>
      </w:r>
    </w:p>
    <w:p w:rsidR="00000000" w:rsidDel="00000000" w:rsidP="00000000" w:rsidRDefault="00000000" w:rsidRPr="00000000" w14:paraId="00000044">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42" w:line="259" w:lineRule="auto"/>
        <w:ind w:right="17"/>
        <w:jc w:val="center"/>
        <w:rPr/>
      </w:pPr>
      <w:r w:rsidDel="00000000" w:rsidR="00000000" w:rsidRPr="00000000">
        <w:rPr>
          <w:b w:val="1"/>
          <w:color w:val="2f5496"/>
          <w:sz w:val="21"/>
          <w:szCs w:val="21"/>
          <w:rtl w:val="0"/>
        </w:rPr>
        <w:t xml:space="preserve">Table 2: Hematological parameters related to the usage of LZD </w:t>
      </w:r>
      <w:r w:rsidDel="00000000" w:rsidR="00000000" w:rsidRPr="00000000">
        <w:rPr>
          <w:rtl w:val="0"/>
        </w:rPr>
      </w:r>
    </w:p>
    <w:p w:rsidR="00000000" w:rsidDel="00000000" w:rsidP="00000000" w:rsidRDefault="00000000" w:rsidRPr="00000000" w14:paraId="00000046">
      <w:pPr>
        <w:spacing w:after="0" w:line="259" w:lineRule="auto"/>
        <w:ind w:left="0" w:right="0" w:firstLine="0"/>
        <w:jc w:val="left"/>
        <w:rPr/>
      </w:pPr>
      <w:r w:rsidDel="00000000" w:rsidR="00000000" w:rsidRPr="00000000">
        <w:rPr>
          <w:rtl w:val="0"/>
        </w:rPr>
        <w:t xml:space="preserve"> </w:t>
      </w:r>
      <w:r w:rsidDel="00000000" w:rsidR="00000000" w:rsidRPr="00000000">
        <w:rPr>
          <w:rFonts w:ascii="Calibri" w:cs="Calibri" w:eastAsia="Calibri" w:hAnsi="Calibri"/>
          <w:sz w:val="22"/>
          <w:szCs w:val="22"/>
        </w:rPr>
        <mc:AlternateContent>
          <mc:Choice Requires="wps">
            <w:drawing>
              <wp:inline distB="0" distT="0" distL="0" distR="0">
                <wp:extent cx="5628640" cy="6350"/>
                <wp:effectExtent b="0" l="0" r="0" t="0"/>
                <wp:docPr id="1" name=""/>
                <a:graphic>
                  <a:graphicData uri="http://schemas.microsoft.com/office/word/2010/wordprocessingGroup">
                    <wpg:wgp>
                      <wpg:cNvGrpSpPr/>
                      <wpg:grpSpPr>
                        <a:xfrm>
                          <a:off x="0" y="0"/>
                          <a:ext cx="5628640" cy="6350"/>
                          <a:chOff x="0" y="0"/>
                          <a:chExt cx="5628640" cy="6350"/>
                        </a:xfrm>
                      </wpg:grpSpPr>
                      <wps:wsp>
                        <wps:cNvSpPr/>
                        <wps:cNvPr id="1303" name="Shape 1303"/>
                        <wps:spPr>
                          <a:xfrm>
                            <a:off x="0" y="0"/>
                            <a:ext cx="5628640" cy="0"/>
                          </a:xfrm>
                          <a:custGeom>
                            <a:avLst/>
                            <a:gdLst/>
                            <a:ahLst/>
                            <a:cxnLst/>
                            <a:rect b="0" l="0" r="0" t="0"/>
                            <a:pathLst>
                              <a:path h="0" w="5628640">
                                <a:moveTo>
                                  <a:pt x="0" y="0"/>
                                </a:moveTo>
                                <a:lnTo>
                                  <a:pt x="5628640" y="0"/>
                                </a:lnTo>
                              </a:path>
                            </a:pathLst>
                          </a:custGeom>
                          <a:ln cap="flat" w="6350">
                            <a:miter lim="127000"/>
                          </a:ln>
                        </wps:spPr>
                        <wps:style>
                          <a:lnRef idx="1">
                            <a:srgbClr val="4472C4"/>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5628640" cy="635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62864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spacing w:after="0" w:line="259" w:lineRule="auto"/>
        <w:ind w:left="-5" w:right="0" w:firstLine="0"/>
        <w:jc w:val="left"/>
        <w:rPr/>
      </w:pPr>
      <w:r w:rsidDel="00000000" w:rsidR="00000000" w:rsidRPr="00000000">
        <w:rPr>
          <w:b w:val="1"/>
          <w:rtl w:val="0"/>
        </w:rPr>
        <w:t xml:space="preserve">Day      Hemoglobin(g/dl)    RBC count(million/µl)    Platelet count(x10</w:t>
      </w:r>
      <w:r w:rsidDel="00000000" w:rsidR="00000000" w:rsidRPr="00000000">
        <w:rPr>
          <w:b w:val="1"/>
          <w:vertAlign w:val="superscript"/>
          <w:rtl w:val="0"/>
        </w:rPr>
        <w:t xml:space="preserve">3</w:t>
      </w:r>
      <w:r w:rsidDel="00000000" w:rsidR="00000000" w:rsidRPr="00000000">
        <w:rPr>
          <w:b w:val="1"/>
          <w:rtl w:val="0"/>
        </w:rPr>
        <w:t xml:space="preserve">/mm</w:t>
      </w:r>
      <w:r w:rsidDel="00000000" w:rsidR="00000000" w:rsidRPr="00000000">
        <w:rPr>
          <w:b w:val="1"/>
          <w:vertAlign w:val="superscript"/>
          <w:rtl w:val="0"/>
        </w:rPr>
        <w:t xml:space="preserve">3</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8">
      <w:pPr>
        <w:spacing w:after="25" w:line="259" w:lineRule="auto"/>
        <w:ind w:left="-17" w:right="0" w:firstLine="0"/>
        <w:jc w:val="left"/>
        <w:rPr/>
      </w:pPr>
      <w:r w:rsidDel="00000000" w:rsidR="00000000" w:rsidRPr="00000000">
        <w:rPr>
          <w:rFonts w:ascii="Calibri" w:cs="Calibri" w:eastAsia="Calibri" w:hAnsi="Calibri"/>
          <w:sz w:val="22"/>
          <w:szCs w:val="22"/>
        </w:rPr>
        <mc:AlternateContent>
          <mc:Choice Requires="wps">
            <w:drawing>
              <wp:inline distB="0" distT="0" distL="0" distR="0">
                <wp:extent cx="5740400" cy="6350"/>
                <wp:effectExtent b="0" l="0" r="0" t="0"/>
                <wp:docPr id="3" name=""/>
                <a:graphic>
                  <a:graphicData uri="http://schemas.microsoft.com/office/word/2010/wordprocessingGroup">
                    <wpg:wgp>
                      <wpg:cNvGrpSpPr/>
                      <wpg:grpSpPr>
                        <a:xfrm>
                          <a:off x="0" y="0"/>
                          <a:ext cx="5740400" cy="6350"/>
                          <a:chOff x="0" y="0"/>
                          <a:chExt cx="5740400" cy="6350"/>
                        </a:xfrm>
                      </wpg:grpSpPr>
                      <wps:wsp>
                        <wps:cNvSpPr/>
                        <wps:cNvPr id="1669" name="Shape 1669"/>
                        <wps:spPr>
                          <a:xfrm>
                            <a:off x="0" y="0"/>
                            <a:ext cx="5740400" cy="0"/>
                          </a:xfrm>
                          <a:custGeom>
                            <a:avLst/>
                            <a:gdLst/>
                            <a:ahLst/>
                            <a:cxnLst/>
                            <a:rect b="0" l="0" r="0" t="0"/>
                            <a:pathLst>
                              <a:path h="0" w="5740400">
                                <a:moveTo>
                                  <a:pt x="0" y="0"/>
                                </a:moveTo>
                                <a:lnTo>
                                  <a:pt x="5740400" y="0"/>
                                </a:lnTo>
                              </a:path>
                            </a:pathLst>
                          </a:custGeom>
                          <a:ln cap="flat" w="6350">
                            <a:miter lim="127000"/>
                          </a:ln>
                        </wps:spPr>
                        <wps:style>
                          <a:lnRef idx="1">
                            <a:srgbClr val="4472C4"/>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5740400" cy="6350"/>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740400" cy="635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49">
      <w:pPr>
        <w:ind w:left="-5" w:right="0" w:firstLine="0"/>
        <w:rPr/>
      </w:pPr>
      <w:r w:rsidDel="00000000" w:rsidR="00000000" w:rsidRPr="00000000">
        <w:rPr>
          <w:rtl w:val="0"/>
        </w:rPr>
        <w:t xml:space="preserve">Day 1          2.9 g/dl                    1.04 million/µl                        35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 </w:t>
      </w:r>
      <w:r w:rsidDel="00000000" w:rsidR="00000000" w:rsidRPr="00000000">
        <w:rPr>
          <w:rtl w:val="0"/>
        </w:rPr>
      </w:r>
    </w:p>
    <w:p w:rsidR="00000000" w:rsidDel="00000000" w:rsidP="00000000" w:rsidRDefault="00000000" w:rsidRPr="00000000" w14:paraId="0000004A">
      <w:pPr>
        <w:spacing w:after="244" w:line="259" w:lineRule="auto"/>
        <w:ind w:left="0" w:righ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4B">
      <w:pPr>
        <w:ind w:left="-5" w:right="0" w:firstLine="0"/>
        <w:rPr/>
      </w:pPr>
      <w:r w:rsidDel="00000000" w:rsidR="00000000" w:rsidRPr="00000000">
        <w:rPr>
          <w:rtl w:val="0"/>
        </w:rPr>
        <w:t xml:space="preserve">Day 2          8.8 g/dl                    2.9 million/µl                          24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w:t>
      </w:r>
    </w:p>
    <w:p w:rsidR="00000000" w:rsidDel="00000000" w:rsidP="00000000" w:rsidRDefault="00000000" w:rsidRPr="00000000" w14:paraId="0000004C">
      <w:pPr>
        <w:spacing w:after="240" w:line="259" w:lineRule="auto"/>
        <w:ind w:left="0" w:righ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4D">
      <w:pPr>
        <w:ind w:left="-5" w:right="0" w:firstLine="0"/>
        <w:rPr/>
      </w:pPr>
      <w:r w:rsidDel="00000000" w:rsidR="00000000" w:rsidRPr="00000000">
        <w:rPr>
          <w:rtl w:val="0"/>
        </w:rPr>
        <w:t xml:space="preserve">Day 3          7.8 g/dl                    2.55 million/µl                        21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w:t>
      </w:r>
    </w:p>
    <w:p w:rsidR="00000000" w:rsidDel="00000000" w:rsidP="00000000" w:rsidRDefault="00000000" w:rsidRPr="00000000" w14:paraId="0000004E">
      <w:pPr>
        <w:spacing w:after="245" w:line="259" w:lineRule="auto"/>
        <w:ind w:left="0" w:righ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4F">
      <w:pPr>
        <w:ind w:left="-5" w:right="0" w:firstLine="0"/>
        <w:rPr/>
      </w:pPr>
      <w:r w:rsidDel="00000000" w:rsidR="00000000" w:rsidRPr="00000000">
        <w:rPr>
          <w:rtl w:val="0"/>
        </w:rPr>
        <w:t xml:space="preserve">Day 4          7.2 g/dl                    2.41 million/µl                        30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 </w:t>
      </w:r>
      <w:r w:rsidDel="00000000" w:rsidR="00000000" w:rsidRPr="00000000">
        <w:rPr>
          <w:rtl w:val="0"/>
        </w:rPr>
      </w:r>
    </w:p>
    <w:p w:rsidR="00000000" w:rsidDel="00000000" w:rsidP="00000000" w:rsidRDefault="00000000" w:rsidRPr="00000000" w14:paraId="00000050">
      <w:pPr>
        <w:spacing w:after="16"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1">
      <w:pPr>
        <w:ind w:left="-5" w:right="0" w:firstLine="0"/>
        <w:rPr/>
      </w:pPr>
      <w:r w:rsidDel="00000000" w:rsidR="00000000" w:rsidRPr="00000000">
        <w:rPr>
          <w:rtl w:val="0"/>
        </w:rPr>
        <w:t xml:space="preserve">Day 5           6.2 g/dl                   2.1 million/µl                         21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w:t>
      </w:r>
    </w:p>
    <w:p w:rsidR="00000000" w:rsidDel="00000000" w:rsidP="00000000" w:rsidRDefault="00000000" w:rsidRPr="00000000" w14:paraId="00000052">
      <w:pPr>
        <w:spacing w:after="2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3">
      <w:pPr>
        <w:ind w:left="-5" w:right="0" w:firstLine="0"/>
        <w:rPr/>
      </w:pPr>
      <w:r w:rsidDel="00000000" w:rsidR="00000000" w:rsidRPr="00000000">
        <w:rPr>
          <w:rtl w:val="0"/>
        </w:rPr>
        <w:t xml:space="preserve">Day 6          10.2 g/dl                  3.5 million/µl                        150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w:t>
      </w:r>
    </w:p>
    <w:p w:rsidR="00000000" w:rsidDel="00000000" w:rsidP="00000000" w:rsidRDefault="00000000" w:rsidRPr="00000000" w14:paraId="00000054">
      <w:pPr>
        <w:ind w:left="-5" w:right="0" w:firstLine="0"/>
        <w:rPr/>
      </w:pPr>
      <w:r w:rsidDel="00000000" w:rsidR="00000000" w:rsidRPr="00000000">
        <w:rPr>
          <w:rtl w:val="0"/>
        </w:rPr>
      </w:r>
    </w:p>
    <w:p w:rsidR="00000000" w:rsidDel="00000000" w:rsidP="00000000" w:rsidRDefault="00000000" w:rsidRPr="00000000" w14:paraId="00000055">
      <w:pPr>
        <w:ind w:left="0" w:right="579" w:firstLine="0"/>
        <w:rPr/>
      </w:pPr>
      <w:r w:rsidDel="00000000" w:rsidR="00000000" w:rsidRPr="00000000">
        <w:rPr>
          <w:rtl w:val="0"/>
        </w:rPr>
        <w:t xml:space="preserve">Day 7          10.5 g/dl                  3.44 million/µl                      211 x10</w:t>
      </w:r>
      <w:r w:rsidDel="00000000" w:rsidR="00000000" w:rsidRPr="00000000">
        <w:rPr>
          <w:vertAlign w:val="superscript"/>
          <w:rtl w:val="0"/>
        </w:rPr>
        <w:t xml:space="preserve">3</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w:t>
      </w:r>
    </w:p>
    <w:p w:rsidR="00000000" w:rsidDel="00000000" w:rsidP="00000000" w:rsidRDefault="00000000" w:rsidRPr="00000000" w14:paraId="00000056">
      <w:pPr>
        <w:spacing w:after="0" w:line="259" w:lineRule="auto"/>
        <w:ind w:left="-17" w:right="0" w:firstLine="0"/>
        <w:jc w:val="left"/>
        <w:rPr/>
      </w:pPr>
      <w:r w:rsidDel="00000000" w:rsidR="00000000" w:rsidRPr="00000000">
        <w:rPr>
          <w:rFonts w:ascii="Calibri" w:cs="Calibri" w:eastAsia="Calibri" w:hAnsi="Calibri"/>
          <w:sz w:val="22"/>
          <w:szCs w:val="22"/>
        </w:rPr>
        <mc:AlternateContent>
          <mc:Choice Requires="wps">
            <w:drawing>
              <wp:inline distB="0" distT="0" distL="0" distR="0">
                <wp:extent cx="5628640" cy="6350"/>
                <wp:effectExtent b="0" l="0" r="0" t="0"/>
                <wp:docPr id="2" name=""/>
                <a:graphic>
                  <a:graphicData uri="http://schemas.microsoft.com/office/word/2010/wordprocessingGroup">
                    <wpg:wgp>
                      <wpg:cNvGrpSpPr/>
                      <wpg:grpSpPr>
                        <a:xfrm>
                          <a:off x="0" y="0"/>
                          <a:ext cx="5628640" cy="6350"/>
                          <a:chOff x="0" y="0"/>
                          <a:chExt cx="5628640" cy="6350"/>
                        </a:xfrm>
                      </wpg:grpSpPr>
                      <wps:wsp>
                        <wps:cNvSpPr/>
                        <wps:cNvPr id="1670" name="Shape 1670"/>
                        <wps:spPr>
                          <a:xfrm>
                            <a:off x="0" y="0"/>
                            <a:ext cx="5628640" cy="0"/>
                          </a:xfrm>
                          <a:custGeom>
                            <a:avLst/>
                            <a:gdLst/>
                            <a:ahLst/>
                            <a:cxnLst/>
                            <a:rect b="0" l="0" r="0" t="0"/>
                            <a:pathLst>
                              <a:path h="0" w="5628640">
                                <a:moveTo>
                                  <a:pt x="0" y="0"/>
                                </a:moveTo>
                                <a:lnTo>
                                  <a:pt x="5628640" y="0"/>
                                </a:lnTo>
                              </a:path>
                            </a:pathLst>
                          </a:custGeom>
                          <a:ln cap="flat" w="6350">
                            <a:miter lim="127000"/>
                          </a:ln>
                        </wps:spPr>
                        <wps:style>
                          <a:lnRef idx="1">
                            <a:srgbClr val="4472C4"/>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5628640" cy="6350"/>
                <wp:effectExtent b="0" l="0" r="0" t="0"/>
                <wp:docPr id="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628640" cy="6350"/>
                        </a:xfrm>
                        <a:prstGeom prst="rect"/>
                        <a:ln/>
                      </pic:spPr>
                    </pic:pic>
                  </a:graphicData>
                </a:graphic>
              </wp:inline>
            </w:drawing>
          </mc:Fallback>
        </mc:AlternateConten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57">
      <w:pPr>
        <w:spacing w:after="42" w:line="259" w:lineRule="auto"/>
        <w:ind w:left="3597" w:right="0" w:firstLine="0"/>
        <w:jc w:val="left"/>
        <w:rPr>
          <w:b w:val="1"/>
          <w:color w:val="2f5496"/>
          <w:sz w:val="21"/>
          <w:szCs w:val="21"/>
        </w:rPr>
      </w:pPr>
      <w:r w:rsidDel="00000000" w:rsidR="00000000" w:rsidRPr="00000000">
        <w:rPr>
          <w:rtl w:val="0"/>
        </w:rPr>
      </w:r>
    </w:p>
    <w:p w:rsidR="00000000" w:rsidDel="00000000" w:rsidP="00000000" w:rsidRDefault="00000000" w:rsidRPr="00000000" w14:paraId="00000058">
      <w:pPr>
        <w:spacing w:after="42" w:line="259" w:lineRule="auto"/>
        <w:ind w:left="3597" w:right="0" w:firstLine="0"/>
        <w:jc w:val="left"/>
        <w:rPr>
          <w:b w:val="1"/>
          <w:color w:val="2f5496"/>
          <w:sz w:val="21"/>
          <w:szCs w:val="21"/>
        </w:rPr>
      </w:pPr>
      <w:r w:rsidDel="00000000" w:rsidR="00000000" w:rsidRPr="00000000">
        <w:rPr>
          <w:rtl w:val="0"/>
        </w:rPr>
      </w:r>
    </w:p>
    <w:p w:rsidR="00000000" w:rsidDel="00000000" w:rsidP="00000000" w:rsidRDefault="00000000" w:rsidRPr="00000000" w14:paraId="00000059">
      <w:pPr>
        <w:spacing w:after="42" w:line="259" w:lineRule="auto"/>
        <w:ind w:left="3597" w:right="0" w:firstLine="0"/>
        <w:jc w:val="left"/>
        <w:rPr/>
      </w:pPr>
      <w:r w:rsidDel="00000000" w:rsidR="00000000" w:rsidRPr="00000000">
        <w:rPr>
          <w:b w:val="1"/>
          <w:color w:val="2f5496"/>
          <w:sz w:val="21"/>
          <w:szCs w:val="21"/>
          <w:rtl w:val="0"/>
        </w:rPr>
        <w:t xml:space="preserve">Table 3: Drug Chart </w:t>
      </w:r>
      <w:r w:rsidDel="00000000" w:rsidR="00000000" w:rsidRPr="00000000">
        <w:rPr>
          <w:rtl w:val="0"/>
        </w:rPr>
      </w:r>
    </w:p>
    <w:p w:rsidR="00000000" w:rsidDel="00000000" w:rsidP="00000000" w:rsidRDefault="00000000" w:rsidRPr="00000000" w14:paraId="0000005A">
      <w:pPr>
        <w:spacing w:after="0" w:line="259" w:lineRule="auto"/>
        <w:ind w:left="-17" w:right="0" w:firstLine="0"/>
        <w:jc w:val="left"/>
        <w:rPr/>
      </w:pPr>
      <w:r w:rsidDel="00000000" w:rsidR="00000000" w:rsidRPr="00000000">
        <w:rPr>
          <w:rFonts w:ascii="Calibri" w:cs="Calibri" w:eastAsia="Calibri" w:hAnsi="Calibri"/>
          <w:sz w:val="22"/>
          <w:szCs w:val="22"/>
        </w:rPr>
        <mc:AlternateContent>
          <mc:Choice Requires="wps">
            <w:drawing>
              <wp:inline distB="0" distT="0" distL="0" distR="0">
                <wp:extent cx="5699760" cy="6350"/>
                <wp:effectExtent b="0" l="0" r="0" t="0"/>
                <wp:docPr id="5" name=""/>
                <a:graphic>
                  <a:graphicData uri="http://schemas.microsoft.com/office/word/2010/wordprocessingGroup">
                    <wpg:wgp>
                      <wpg:cNvGrpSpPr/>
                      <wpg:grpSpPr>
                        <a:xfrm>
                          <a:off x="0" y="0"/>
                          <a:ext cx="5699760" cy="6350"/>
                          <a:chOff x="0" y="0"/>
                          <a:chExt cx="5699760" cy="6350"/>
                        </a:xfrm>
                      </wpg:grpSpPr>
                      <wps:wsp>
                        <wps:cNvSpPr/>
                        <wps:cNvPr id="1668" name="Shape 1668"/>
                        <wps:spPr>
                          <a:xfrm>
                            <a:off x="0" y="0"/>
                            <a:ext cx="5699760" cy="0"/>
                          </a:xfrm>
                          <a:custGeom>
                            <a:avLst/>
                            <a:gdLst/>
                            <a:ahLst/>
                            <a:cxnLst/>
                            <a:rect b="0" l="0" r="0" t="0"/>
                            <a:pathLst>
                              <a:path h="0" w="5699760">
                                <a:moveTo>
                                  <a:pt x="0" y="0"/>
                                </a:moveTo>
                                <a:lnTo>
                                  <a:pt x="5699760" y="0"/>
                                </a:lnTo>
                              </a:path>
                            </a:pathLst>
                          </a:custGeom>
                          <a:ln cap="flat" w="6350">
                            <a:miter lim="127000"/>
                          </a:ln>
                        </wps:spPr>
                        <wps:style>
                          <a:lnRef idx="1">
                            <a:srgbClr val="4472C4"/>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5699760" cy="6350"/>
                <wp:effectExtent b="0" l="0" r="0" t="0"/>
                <wp:docPr id="5"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699760" cy="6350"/>
                        </a:xfrm>
                        <a:prstGeom prst="rect"/>
                        <a:ln/>
                      </pic:spPr>
                    </pic:pic>
                  </a:graphicData>
                </a:graphic>
              </wp:inline>
            </w:drawing>
          </mc:Fallback>
        </mc:AlternateConten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B">
      <w:pPr>
        <w:spacing w:after="0" w:line="259" w:lineRule="auto"/>
        <w:ind w:left="-5" w:right="0" w:firstLine="0"/>
        <w:jc w:val="left"/>
        <w:rPr/>
      </w:pPr>
      <w:r w:rsidDel="00000000" w:rsidR="00000000" w:rsidRPr="00000000">
        <w:rPr>
          <w:b w:val="1"/>
          <w:rtl w:val="0"/>
        </w:rPr>
        <w:t xml:space="preserve">Drug Name                                                                         Dose      ROA</w:t>
      </w:r>
      <w:r w:rsidDel="00000000" w:rsidR="00000000" w:rsidRPr="00000000">
        <w:rPr>
          <w:rtl w:val="0"/>
        </w:rPr>
        <w:t xml:space="preserve">    </w:t>
      </w:r>
      <w:commentRangeStart w:id="3"/>
      <w:r w:rsidDel="00000000" w:rsidR="00000000" w:rsidRPr="00000000">
        <w:rPr>
          <w:b w:val="1"/>
          <w:rtl w:val="0"/>
        </w:rPr>
        <w:t xml:space="preserve">Freq</w:t>
      </w:r>
      <w:commentRangeEnd w:id="3"/>
      <w:r w:rsidDel="00000000" w:rsidR="00000000" w:rsidRPr="00000000">
        <w:commentReference w:id="3"/>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5C">
      <w:pPr>
        <w:spacing w:after="25" w:line="259" w:lineRule="auto"/>
        <w:ind w:left="-17" w:right="-50" w:firstLine="0"/>
        <w:jc w:val="left"/>
        <w:rPr/>
      </w:pPr>
      <w:r w:rsidDel="00000000" w:rsidR="00000000" w:rsidRPr="00000000">
        <w:rPr>
          <w:rFonts w:ascii="Calibri" w:cs="Calibri" w:eastAsia="Calibri" w:hAnsi="Calibri"/>
          <w:sz w:val="22"/>
          <w:szCs w:val="22"/>
        </w:rPr>
        <mc:AlternateContent>
          <mc:Choice Requires="wps">
            <w:drawing>
              <wp:inline distB="0" distT="0" distL="0" distR="0">
                <wp:extent cx="5781040" cy="6350"/>
                <wp:effectExtent b="0" l="0" r="0" t="0"/>
                <wp:docPr id="4" name=""/>
                <a:graphic>
                  <a:graphicData uri="http://schemas.microsoft.com/office/word/2010/wordprocessingGroup">
                    <wpg:wgp>
                      <wpg:cNvGrpSpPr/>
                      <wpg:grpSpPr>
                        <a:xfrm>
                          <a:off x="0" y="0"/>
                          <a:ext cx="5781040" cy="6350"/>
                          <a:chOff x="0" y="0"/>
                          <a:chExt cx="5781040" cy="6350"/>
                        </a:xfrm>
                      </wpg:grpSpPr>
                      <wps:wsp>
                        <wps:cNvSpPr/>
                        <wps:cNvPr id="1671" name="Shape 1671"/>
                        <wps:spPr>
                          <a:xfrm>
                            <a:off x="0" y="0"/>
                            <a:ext cx="5781040" cy="0"/>
                          </a:xfrm>
                          <a:custGeom>
                            <a:avLst/>
                            <a:gdLst/>
                            <a:ahLst/>
                            <a:cxnLst/>
                            <a:rect b="0" l="0" r="0" t="0"/>
                            <a:pathLst>
                              <a:path h="0" w="5781040">
                                <a:moveTo>
                                  <a:pt x="0" y="0"/>
                                </a:moveTo>
                                <a:lnTo>
                                  <a:pt x="5781040" y="0"/>
                                </a:lnTo>
                              </a:path>
                            </a:pathLst>
                          </a:custGeom>
                          <a:ln cap="flat" w="6350">
                            <a:miter lim="127000"/>
                          </a:ln>
                        </wps:spPr>
                        <wps:style>
                          <a:lnRef idx="1">
                            <a:srgbClr val="4472C4"/>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5781040" cy="6350"/>
                <wp:effectExtent b="0" l="0" r="0" t="0"/>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781040" cy="635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5D">
      <w:pPr>
        <w:ind w:left="-5" w:right="0" w:firstLine="0"/>
        <w:rPr/>
      </w:pPr>
      <w:r w:rsidDel="00000000" w:rsidR="00000000" w:rsidRPr="00000000">
        <w:rPr>
          <w:rtl w:val="0"/>
        </w:rPr>
        <w:t xml:space="preserve">Inj. Neksium (Esomeprazole)                                               40mg       IV        BD </w:t>
      </w:r>
    </w:p>
    <w:p w:rsidR="00000000" w:rsidDel="00000000" w:rsidP="00000000" w:rsidRDefault="00000000" w:rsidRPr="00000000" w14:paraId="0000005E">
      <w:pPr>
        <w:spacing w:after="3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F">
      <w:pPr>
        <w:ind w:left="-5" w:right="0" w:firstLine="0"/>
        <w:rPr/>
      </w:pPr>
      <w:r w:rsidDel="00000000" w:rsidR="00000000" w:rsidRPr="00000000">
        <w:rPr>
          <w:rtl w:val="0"/>
        </w:rPr>
        <w:t xml:space="preserve">Inj. Zofer (Ondansetron)                                                       8mg         IV       OD </w:t>
      </w:r>
    </w:p>
    <w:p w:rsidR="00000000" w:rsidDel="00000000" w:rsidP="00000000" w:rsidRDefault="00000000" w:rsidRPr="00000000" w14:paraId="00000060">
      <w:pPr>
        <w:spacing w:after="3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1">
      <w:pPr>
        <w:ind w:left="-5" w:right="0" w:firstLine="0"/>
        <w:rPr/>
      </w:pPr>
      <w:r w:rsidDel="00000000" w:rsidR="00000000" w:rsidRPr="00000000">
        <w:rPr>
          <w:rtl w:val="0"/>
        </w:rPr>
        <w:t xml:space="preserve">Inj. Thiamin (Thiamine Hydrochloride)                              100mg       IV       OD </w:t>
      </w:r>
    </w:p>
    <w:p w:rsidR="00000000" w:rsidDel="00000000" w:rsidP="00000000" w:rsidRDefault="00000000" w:rsidRPr="00000000" w14:paraId="00000062">
      <w:pPr>
        <w:spacing w:after="2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3">
      <w:pPr>
        <w:ind w:left="-5" w:right="0" w:firstLine="0"/>
        <w:rPr/>
      </w:pPr>
      <w:r w:rsidDel="00000000" w:rsidR="00000000" w:rsidRPr="00000000">
        <w:rPr>
          <w:rtl w:val="0"/>
        </w:rPr>
        <w:t xml:space="preserve">Inj. Meaxon gold (Nutritional Supplement)                          1ml          IV       OD </w:t>
      </w:r>
    </w:p>
    <w:p w:rsidR="00000000" w:rsidDel="00000000" w:rsidP="00000000" w:rsidRDefault="00000000" w:rsidRPr="00000000" w14:paraId="00000064">
      <w:pPr>
        <w:spacing w:after="2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5">
      <w:pPr>
        <w:ind w:left="-5" w:right="0" w:firstLine="0"/>
        <w:rPr/>
      </w:pPr>
      <w:r w:rsidDel="00000000" w:rsidR="00000000" w:rsidRPr="00000000">
        <w:rPr>
          <w:rtl w:val="0"/>
        </w:rPr>
        <w:t xml:space="preserve">Tab. Folvite (Folic acid)                                                         5mg        PO      OD </w:t>
      </w:r>
    </w:p>
    <w:p w:rsidR="00000000" w:rsidDel="00000000" w:rsidP="00000000" w:rsidRDefault="00000000" w:rsidRPr="00000000" w14:paraId="00000066">
      <w:pPr>
        <w:spacing w:after="2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7">
      <w:pPr>
        <w:ind w:left="-5" w:right="0" w:firstLine="0"/>
        <w:rPr/>
      </w:pPr>
      <w:r w:rsidDel="00000000" w:rsidR="00000000" w:rsidRPr="00000000">
        <w:rPr>
          <w:rtl w:val="0"/>
        </w:rPr>
        <w:t xml:space="preserve">Inj.  Zostum (Cefoperazone + Sulbactam)                             3gm        IV       BD </w:t>
      </w:r>
    </w:p>
    <w:p w:rsidR="00000000" w:rsidDel="00000000" w:rsidP="00000000" w:rsidRDefault="00000000" w:rsidRPr="00000000" w14:paraId="00000068">
      <w:pPr>
        <w:spacing w:after="3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9">
      <w:pPr>
        <w:ind w:left="-5" w:right="0" w:firstLine="0"/>
        <w:rPr/>
      </w:pPr>
      <w:r w:rsidDel="00000000" w:rsidR="00000000" w:rsidRPr="00000000">
        <w:rPr>
          <w:rtl w:val="0"/>
        </w:rPr>
        <w:t xml:space="preserve">Tab. Pulmoclear (Acetylcysteine + Acebrophylline)             1tab        PO       BD </w:t>
      </w:r>
    </w:p>
    <w:p w:rsidR="00000000" w:rsidDel="00000000" w:rsidP="00000000" w:rsidRDefault="00000000" w:rsidRPr="00000000" w14:paraId="0000006A">
      <w:pPr>
        <w:spacing w:after="2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B">
      <w:pPr>
        <w:ind w:left="-5" w:right="0" w:firstLine="0"/>
        <w:rPr/>
      </w:pPr>
      <w:r w:rsidDel="00000000" w:rsidR="00000000" w:rsidRPr="00000000">
        <w:rPr>
          <w:rtl w:val="0"/>
        </w:rPr>
        <w:t xml:space="preserve">Tab. Nodosis-DS (Sodium bicarbonate)                                1gm        PO      TID </w:t>
      </w:r>
    </w:p>
    <w:p w:rsidR="00000000" w:rsidDel="00000000" w:rsidP="00000000" w:rsidRDefault="00000000" w:rsidRPr="00000000" w14:paraId="0000006C">
      <w:pPr>
        <w:spacing w:after="2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D">
      <w:pPr>
        <w:ind w:left="-5" w:right="0" w:firstLine="0"/>
        <w:rPr/>
      </w:pPr>
      <w:r w:rsidDel="00000000" w:rsidR="00000000" w:rsidRPr="00000000">
        <w:rPr>
          <w:rtl w:val="0"/>
        </w:rPr>
        <w:t xml:space="preserve">Inj.  Albumin                                                                   20g/100ml     IV       OD </w:t>
      </w:r>
    </w:p>
    <w:p w:rsidR="00000000" w:rsidDel="00000000" w:rsidP="00000000" w:rsidRDefault="00000000" w:rsidRPr="00000000" w14:paraId="0000006E">
      <w:pPr>
        <w:spacing w:after="2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F">
      <w:pPr>
        <w:ind w:left="-5" w:right="0" w:firstLine="0"/>
        <w:rPr/>
      </w:pPr>
      <w:r w:rsidDel="00000000" w:rsidR="00000000" w:rsidRPr="00000000">
        <w:rPr>
          <w:rtl w:val="0"/>
        </w:rPr>
        <w:t xml:space="preserve">Digeraft Mint Flav Oral Suspension                                     10ml       PO       BD </w:t>
      </w:r>
    </w:p>
    <w:p w:rsidR="00000000" w:rsidDel="00000000" w:rsidP="00000000" w:rsidRDefault="00000000" w:rsidRPr="00000000" w14:paraId="00000070">
      <w:pPr>
        <w:spacing w:after="3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1">
      <w:pPr>
        <w:ind w:left="-5" w:right="0" w:firstLine="0"/>
        <w:rPr/>
      </w:pPr>
      <w:r w:rsidDel="00000000" w:rsidR="00000000" w:rsidRPr="00000000">
        <w:rPr>
          <w:rtl w:val="0"/>
        </w:rPr>
        <w:t xml:space="preserve">Tab. Gabapin NT (Gabapentin + Nortriptyline)                    1tab        PO       OD </w:t>
      </w:r>
    </w:p>
    <w:p w:rsidR="00000000" w:rsidDel="00000000" w:rsidP="00000000" w:rsidRDefault="00000000" w:rsidRPr="00000000" w14:paraId="00000072">
      <w:pPr>
        <w:spacing w:after="3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3">
      <w:pPr>
        <w:ind w:left="-5" w:right="0" w:firstLine="0"/>
        <w:rPr/>
      </w:pPr>
      <w:r w:rsidDel="00000000" w:rsidR="00000000" w:rsidRPr="00000000">
        <w:rPr>
          <w:rtl w:val="0"/>
        </w:rPr>
        <w:t xml:space="preserve">Tab. Livogen (Ferrous fumarate + Folic acid)                       1tab       PO       OD </w:t>
      </w:r>
    </w:p>
    <w:p w:rsidR="00000000" w:rsidDel="00000000" w:rsidP="00000000" w:rsidRDefault="00000000" w:rsidRPr="00000000" w14:paraId="00000074">
      <w:pPr>
        <w:spacing w:after="2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5">
      <w:pPr>
        <w:ind w:left="-5" w:right="0" w:firstLine="0"/>
        <w:rPr/>
      </w:pPr>
      <w:r w:rsidDel="00000000" w:rsidR="00000000" w:rsidRPr="00000000">
        <w:rPr>
          <w:rtl w:val="0"/>
        </w:rPr>
        <w:t xml:space="preserve">Tab. Levoflox (Levofloxacin)                                               500mg    PO      OD </w:t>
      </w:r>
    </w:p>
    <w:p w:rsidR="00000000" w:rsidDel="00000000" w:rsidP="00000000" w:rsidRDefault="00000000" w:rsidRPr="00000000" w14:paraId="00000076">
      <w:pPr>
        <w:spacing w:after="0" w:line="259" w:lineRule="auto"/>
        <w:ind w:left="-17" w:right="-50" w:firstLine="0"/>
        <w:jc w:val="left"/>
        <w:rPr/>
      </w:pPr>
      <w:r w:rsidDel="00000000" w:rsidR="00000000" w:rsidRPr="00000000">
        <w:rPr>
          <w:rFonts w:ascii="Calibri" w:cs="Calibri" w:eastAsia="Calibri" w:hAnsi="Calibri"/>
          <w:sz w:val="22"/>
          <w:szCs w:val="22"/>
        </w:rPr>
        <mc:AlternateContent>
          <mc:Choice Requires="wps">
            <w:drawing>
              <wp:inline distB="0" distT="0" distL="0" distR="0">
                <wp:extent cx="5781040" cy="6350"/>
                <wp:effectExtent b="0" l="0" r="0" t="0"/>
                <wp:docPr id="6" name=""/>
                <a:graphic>
                  <a:graphicData uri="http://schemas.microsoft.com/office/word/2010/wordprocessingGroup">
                    <wpg:wgp>
                      <wpg:cNvGrpSpPr/>
                      <wpg:grpSpPr>
                        <a:xfrm>
                          <a:off x="0" y="0"/>
                          <a:ext cx="5781040" cy="6350"/>
                          <a:chOff x="0" y="0"/>
                          <a:chExt cx="5781040" cy="6350"/>
                        </a:xfrm>
                      </wpg:grpSpPr>
                      <wps:wsp>
                        <wps:cNvSpPr/>
                        <wps:cNvPr id="1886" name="Shape 1886"/>
                        <wps:spPr>
                          <a:xfrm>
                            <a:off x="0" y="0"/>
                            <a:ext cx="5781040" cy="0"/>
                          </a:xfrm>
                          <a:custGeom>
                            <a:avLst/>
                            <a:gdLst/>
                            <a:ahLst/>
                            <a:cxnLst/>
                            <a:rect b="0" l="0" r="0" t="0"/>
                            <a:pathLst>
                              <a:path h="0" w="5781040">
                                <a:moveTo>
                                  <a:pt x="0" y="0"/>
                                </a:moveTo>
                                <a:lnTo>
                                  <a:pt x="5781040" y="0"/>
                                </a:lnTo>
                              </a:path>
                            </a:pathLst>
                          </a:custGeom>
                          <a:ln cap="flat" w="6350">
                            <a:miter lim="127000"/>
                          </a:ln>
                        </wps:spPr>
                        <wps:style>
                          <a:lnRef idx="1">
                            <a:srgbClr val="4472C4"/>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5781040" cy="6350"/>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5781040" cy="635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77">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8">
      <w:pPr>
        <w:ind w:left="-5" w:right="0" w:firstLine="0"/>
        <w:rPr/>
      </w:pPr>
      <w:r w:rsidDel="00000000" w:rsidR="00000000" w:rsidRPr="00000000">
        <w:rPr>
          <w:rtl w:val="0"/>
        </w:rPr>
        <w:t xml:space="preserve">ROA(Route of Administration); PO- Per Oral; IV- Intravenous; OD- Omni die (once daily); BD- Bis die (twice daily); TID- Ter in die (three times a day)  </w:t>
      </w:r>
    </w:p>
    <w:p w:rsidR="00000000" w:rsidDel="00000000" w:rsidP="00000000" w:rsidRDefault="00000000" w:rsidRPr="00000000" w14:paraId="00000079">
      <w:pPr>
        <w:spacing w:after="32"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A">
      <w:pPr>
        <w:spacing w:after="0" w:line="259" w:lineRule="auto"/>
        <w:ind w:left="-5" w:right="0" w:firstLine="0"/>
        <w:jc w:val="left"/>
        <w:rPr/>
      </w:pPr>
      <w:r w:rsidDel="00000000" w:rsidR="00000000" w:rsidRPr="00000000">
        <w:rPr>
          <w:b w:val="1"/>
          <w:rtl w:val="0"/>
        </w:rPr>
        <w:t xml:space="preserve">DISCUSSION: </w:t>
      </w:r>
      <w:r w:rsidDel="00000000" w:rsidR="00000000" w:rsidRPr="00000000">
        <w:rPr>
          <w:rtl w:val="0"/>
        </w:rPr>
      </w:r>
    </w:p>
    <w:p w:rsidR="00000000" w:rsidDel="00000000" w:rsidP="00000000" w:rsidRDefault="00000000" w:rsidRPr="00000000" w14:paraId="0000007B">
      <w:pPr>
        <w:spacing w:after="0" w:line="259" w:lineRule="auto"/>
        <w:ind w:left="0" w:right="0" w:firstLine="0"/>
        <w:jc w:val="left"/>
        <w:rPr/>
      </w:pPr>
      <w:r w:rsidDel="00000000" w:rsidR="00000000" w:rsidRPr="00000000">
        <w:rPr>
          <w:b w:val="1"/>
          <w:rtl w:val="0"/>
        </w:rPr>
        <w:t xml:space="preserve"> </w:t>
        <w:tab/>
        <w:t xml:space="preserve"> </w:t>
      </w:r>
      <w:r w:rsidDel="00000000" w:rsidR="00000000" w:rsidRPr="00000000">
        <w:rPr>
          <w:rtl w:val="0"/>
        </w:rPr>
      </w:r>
    </w:p>
    <w:p w:rsidR="00000000" w:rsidDel="00000000" w:rsidP="00000000" w:rsidRDefault="00000000" w:rsidRPr="00000000" w14:paraId="0000007C">
      <w:pPr>
        <w:ind w:left="-5" w:right="0" w:firstLine="0"/>
        <w:rPr/>
      </w:pPr>
      <w:r w:rsidDel="00000000" w:rsidR="00000000" w:rsidRPr="00000000">
        <w:rPr>
          <w:rtl w:val="0"/>
        </w:rPr>
        <w:t xml:space="preserve">LZD belongs to the oxazolidinone class of drugs, which has been approved in the United States for more than a decade. Recently, LZD has gained widespread use in treating multidrug-resistant bacterial infections, such as MRSA and vancomycin-resistant Enterococcus faecium infections.</w:t>
      </w:r>
      <w:r w:rsidDel="00000000" w:rsidR="00000000" w:rsidRPr="00000000">
        <w:rPr>
          <w:color w:val="0563c1"/>
          <w:vertAlign w:val="superscript"/>
          <w:rtl w:val="0"/>
        </w:rPr>
        <w:t xml:space="preserve">[12]</w:t>
      </w:r>
      <w:r w:rsidDel="00000000" w:rsidR="00000000" w:rsidRPr="00000000">
        <w:rPr>
          <w:rtl w:val="0"/>
        </w:rPr>
        <w:t xml:space="preserve"> Earlier retrospective studies and randomized controlled trials have suggested that LZD may be effective in treating MDR-TB and XDR-TB. Meta-analyses have further confirmed LZD's greater efficacy in patients with MDR-TB and XDR-TB. Based on the growing evidence of its anti-TB effectiveness, the World Health Organization's 2016 drug-resistant TB guidelines reclassified LZD as one of the four core second-line agents in group C.</w:t>
      </w:r>
      <w:r w:rsidDel="00000000" w:rsidR="00000000" w:rsidRPr="00000000">
        <w:rPr>
          <w:color w:val="0563c1"/>
          <w:vertAlign w:val="superscript"/>
          <w:rtl w:val="0"/>
        </w:rPr>
        <w:t xml:space="preserve">[6]</w:t>
      </w:r>
      <w:r w:rsidDel="00000000" w:rsidR="00000000" w:rsidRPr="00000000">
        <w:rPr>
          <w:rtl w:val="0"/>
        </w:rPr>
        <w:t xml:space="preserve"> Despite its efficacy in treating drug resistant tuberculosis, it has many side effects which includes thrombocytopenia and anaemia. </w:t>
      </w:r>
    </w:p>
    <w:p w:rsidR="00000000" w:rsidDel="00000000" w:rsidP="00000000" w:rsidRDefault="00000000" w:rsidRPr="00000000" w14:paraId="0000007D">
      <w:pPr>
        <w:spacing w:after="27" w:line="259" w:lineRule="auto"/>
        <w:ind w:left="40" w:right="0" w:firstLine="0"/>
        <w:jc w:val="center"/>
        <w:rPr/>
      </w:pPr>
      <w:r w:rsidDel="00000000" w:rsidR="00000000" w:rsidRPr="00000000">
        <w:rPr>
          <w:b w:val="1"/>
          <w:color w:val="2f5496"/>
          <w:sz w:val="21"/>
          <w:szCs w:val="21"/>
          <w:rtl w:val="0"/>
        </w:rPr>
        <w:t xml:space="preserve"> </w:t>
      </w:r>
      <w:r w:rsidDel="00000000" w:rsidR="00000000" w:rsidRPr="00000000">
        <w:rPr>
          <w:rtl w:val="0"/>
        </w:rPr>
      </w:r>
    </w:p>
    <w:p w:rsidR="00000000" w:rsidDel="00000000" w:rsidP="00000000" w:rsidRDefault="00000000" w:rsidRPr="00000000" w14:paraId="0000007E">
      <w:pPr>
        <w:spacing w:after="0" w:line="259" w:lineRule="auto"/>
        <w:ind w:right="13"/>
        <w:jc w:val="center"/>
        <w:rPr/>
      </w:pPr>
      <w:r w:rsidDel="00000000" w:rsidR="00000000" w:rsidRPr="00000000">
        <w:rPr>
          <w:b w:val="1"/>
          <w:color w:val="2f5496"/>
          <w:sz w:val="21"/>
          <w:szCs w:val="21"/>
          <w:rtl w:val="0"/>
        </w:rPr>
        <w:t xml:space="preserve">Table 4: Drugs associated with nonimmune thrombocytopenia </w:t>
      </w:r>
      <w:r w:rsidDel="00000000" w:rsidR="00000000" w:rsidRPr="00000000">
        <w:rPr>
          <w:rtl w:val="0"/>
        </w:rPr>
      </w:r>
    </w:p>
    <w:p w:rsidR="00000000" w:rsidDel="00000000" w:rsidP="00000000" w:rsidRDefault="00000000" w:rsidRPr="00000000" w14:paraId="0000007F">
      <w:pPr>
        <w:spacing w:after="0" w:line="259" w:lineRule="auto"/>
        <w:ind w:left="40" w:right="0" w:firstLine="0"/>
        <w:jc w:val="center"/>
        <w:rPr/>
      </w:pPr>
      <w:r w:rsidDel="00000000" w:rsidR="00000000" w:rsidRPr="00000000">
        <w:rPr>
          <w:b w:val="1"/>
          <w:color w:val="2f5496"/>
          <w:sz w:val="21"/>
          <w:szCs w:val="21"/>
          <w:rtl w:val="0"/>
        </w:rPr>
        <w:t xml:space="preserve"> </w:t>
      </w:r>
      <w:r w:rsidDel="00000000" w:rsidR="00000000" w:rsidRPr="00000000">
        <w:rPr>
          <w:rtl w:val="0"/>
        </w:rPr>
      </w:r>
    </w:p>
    <w:tbl>
      <w:tblPr>
        <w:tblStyle w:val="Table2"/>
        <w:tblW w:w="9019.0" w:type="dxa"/>
        <w:jc w:val="left"/>
        <w:tblInd w:w="5.0" w:type="dxa"/>
        <w:tblLayout w:type="fixed"/>
        <w:tblLook w:val="0400"/>
      </w:tblPr>
      <w:tblGrid>
        <w:gridCol w:w="4512"/>
        <w:gridCol w:w="4507"/>
        <w:tblGridChange w:id="0">
          <w:tblGrid>
            <w:gridCol w:w="4512"/>
            <w:gridCol w:w="4507"/>
          </w:tblGrid>
        </w:tblGridChange>
      </w:tblGrid>
      <w:tr>
        <w:trPr>
          <w:cantSplit w:val="0"/>
          <w:trHeight w:val="21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28" w:line="259" w:lineRule="auto"/>
              <w:ind w:left="0" w:right="1" w:firstLine="0"/>
              <w:jc w:val="center"/>
              <w:rPr/>
            </w:pPr>
            <w:r w:rsidDel="00000000" w:rsidR="00000000" w:rsidRPr="00000000">
              <w:rPr>
                <w:rtl w:val="0"/>
              </w:rPr>
              <w:t xml:space="preserve">Linezolid </w:t>
            </w:r>
          </w:p>
          <w:p w:rsidR="00000000" w:rsidDel="00000000" w:rsidP="00000000" w:rsidRDefault="00000000" w:rsidRPr="00000000" w14:paraId="00000081">
            <w:pPr>
              <w:spacing w:after="23" w:line="259" w:lineRule="auto"/>
              <w:ind w:left="3" w:right="0" w:firstLine="0"/>
              <w:jc w:val="center"/>
              <w:rPr/>
            </w:pPr>
            <w:r w:rsidDel="00000000" w:rsidR="00000000" w:rsidRPr="00000000">
              <w:rPr>
                <w:rtl w:val="0"/>
              </w:rPr>
              <w:t xml:space="preserve">Chemotherapy </w:t>
            </w:r>
          </w:p>
          <w:p w:rsidR="00000000" w:rsidDel="00000000" w:rsidP="00000000" w:rsidRDefault="00000000" w:rsidRPr="00000000" w14:paraId="00000082">
            <w:pPr>
              <w:spacing w:after="23" w:line="259" w:lineRule="auto"/>
              <w:ind w:left="2" w:right="0" w:firstLine="0"/>
              <w:jc w:val="center"/>
              <w:rPr/>
            </w:pPr>
            <w:r w:rsidDel="00000000" w:rsidR="00000000" w:rsidRPr="00000000">
              <w:rPr>
                <w:rtl w:val="0"/>
              </w:rPr>
              <w:t xml:space="preserve">Antineoplastics </w:t>
            </w:r>
          </w:p>
          <w:p w:rsidR="00000000" w:rsidDel="00000000" w:rsidP="00000000" w:rsidRDefault="00000000" w:rsidRPr="00000000" w14:paraId="00000083">
            <w:pPr>
              <w:spacing w:after="27" w:line="259" w:lineRule="auto"/>
              <w:ind w:left="0" w:firstLine="0"/>
              <w:jc w:val="center"/>
              <w:rPr/>
            </w:pPr>
            <w:r w:rsidDel="00000000" w:rsidR="00000000" w:rsidRPr="00000000">
              <w:rPr>
                <w:rtl w:val="0"/>
              </w:rPr>
              <w:t xml:space="preserve">Thiazide diuretics </w:t>
            </w:r>
          </w:p>
          <w:p w:rsidR="00000000" w:rsidDel="00000000" w:rsidP="00000000" w:rsidRDefault="00000000" w:rsidRPr="00000000" w14:paraId="00000084">
            <w:pPr>
              <w:spacing w:after="23" w:line="259" w:lineRule="auto"/>
              <w:ind w:left="4" w:right="0" w:firstLine="0"/>
              <w:jc w:val="center"/>
              <w:rPr/>
            </w:pPr>
            <w:r w:rsidDel="00000000" w:rsidR="00000000" w:rsidRPr="00000000">
              <w:rPr>
                <w:rtl w:val="0"/>
              </w:rPr>
              <w:t xml:space="preserve">Tamoxifen </w:t>
            </w:r>
          </w:p>
          <w:p w:rsidR="00000000" w:rsidDel="00000000" w:rsidP="00000000" w:rsidRDefault="00000000" w:rsidRPr="00000000" w14:paraId="00000085">
            <w:pPr>
              <w:spacing w:after="0" w:line="259" w:lineRule="auto"/>
              <w:ind w:left="0" w:right="2" w:firstLine="0"/>
              <w:jc w:val="center"/>
              <w:rPr/>
            </w:pPr>
            <w:r w:rsidDel="00000000" w:rsidR="00000000" w:rsidRPr="00000000">
              <w:rPr>
                <w:rtl w:val="0"/>
              </w:rPr>
              <w:t xml:space="preserve">Methotrexate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28" w:line="259" w:lineRule="auto"/>
              <w:ind w:left="0" w:right="1" w:firstLine="0"/>
              <w:jc w:val="center"/>
              <w:rPr/>
            </w:pPr>
            <w:r w:rsidDel="00000000" w:rsidR="00000000" w:rsidRPr="00000000">
              <w:rPr>
                <w:rtl w:val="0"/>
              </w:rPr>
              <w:t xml:space="preserve">Lovastatin </w:t>
            </w:r>
          </w:p>
          <w:p w:rsidR="00000000" w:rsidDel="00000000" w:rsidP="00000000" w:rsidRDefault="00000000" w:rsidRPr="00000000" w14:paraId="00000087">
            <w:pPr>
              <w:spacing w:after="2" w:line="275" w:lineRule="auto"/>
              <w:ind w:left="1003" w:right="943" w:firstLine="0"/>
              <w:jc w:val="center"/>
              <w:rPr/>
            </w:pPr>
            <w:r w:rsidDel="00000000" w:rsidR="00000000" w:rsidRPr="00000000">
              <w:rPr>
                <w:rtl w:val="0"/>
              </w:rPr>
              <w:t xml:space="preserve">Doxorubicin Aspirin </w:t>
            </w:r>
          </w:p>
          <w:p w:rsidR="00000000" w:rsidDel="00000000" w:rsidP="00000000" w:rsidRDefault="00000000" w:rsidRPr="00000000" w14:paraId="00000088">
            <w:pPr>
              <w:spacing w:after="0" w:line="279" w:lineRule="auto"/>
              <w:ind w:left="928" w:right="863" w:firstLine="0"/>
              <w:jc w:val="center"/>
              <w:rPr/>
            </w:pPr>
            <w:r w:rsidDel="00000000" w:rsidR="00000000" w:rsidRPr="00000000">
              <w:rPr>
                <w:rtl w:val="0"/>
              </w:rPr>
              <w:t xml:space="preserve">Vancomycin Cisplatin </w:t>
            </w:r>
          </w:p>
          <w:p w:rsidR="00000000" w:rsidDel="00000000" w:rsidP="00000000" w:rsidRDefault="00000000" w:rsidRPr="00000000" w14:paraId="00000089">
            <w:pPr>
              <w:spacing w:after="0" w:line="259" w:lineRule="auto"/>
              <w:ind w:left="0" w:right="6" w:firstLine="0"/>
              <w:jc w:val="center"/>
              <w:rPr/>
            </w:pPr>
            <w:r w:rsidDel="00000000" w:rsidR="00000000" w:rsidRPr="00000000">
              <w:rPr>
                <w:rtl w:val="0"/>
              </w:rPr>
              <w:t xml:space="preserve">Interferon-a </w:t>
            </w:r>
          </w:p>
        </w:tc>
      </w:tr>
    </w:tbl>
    <w:p w:rsidR="00000000" w:rsidDel="00000000" w:rsidP="00000000" w:rsidRDefault="00000000" w:rsidRPr="00000000" w14:paraId="0000008A">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B">
      <w:pPr>
        <w:ind w:left="-5" w:right="0" w:firstLine="0"/>
        <w:rPr/>
      </w:pPr>
      <w:r w:rsidDel="00000000" w:rsidR="00000000" w:rsidRPr="00000000">
        <w:rPr>
          <w:rtl w:val="0"/>
        </w:rPr>
        <w:t xml:space="preserve">This report documents the profound thrombocytopenia and anaemia induced by LZD. These haematological complications developed during linezolid therapy and resolved after drug discontinuation. In this case, our patient was diagnosed with drug-resistant tuberculosis and was on linezolid therapy for 7 months. After prolonged use patient developed these complications so, the LZD drug has been withdrawn and the remaining regimen was continued. After one week of management her haematological parameters improved.  Patient’s condition was progressively increased. The exact mechanisms of LZD-induced </w:t>
      </w:r>
    </w:p>
    <w:p w:rsidR="00000000" w:rsidDel="00000000" w:rsidP="00000000" w:rsidRDefault="00000000" w:rsidRPr="00000000" w14:paraId="0000008C">
      <w:pPr>
        <w:ind w:left="-5" w:right="0" w:firstLine="0"/>
        <w:rPr/>
      </w:pPr>
      <w:r w:rsidDel="00000000" w:rsidR="00000000" w:rsidRPr="00000000">
        <w:rPr>
          <w:rtl w:val="0"/>
        </w:rPr>
        <w:t xml:space="preserve">thrombocytopenia are unclear. It may result from reduced platelet production or increased destruction. Studies suggest LZD inhibits platelet release from megakaryocytes or impairs platelet formation, while a case report indicates an immune-mediated destruction. Risk factors include prolonged LZD use (≥14 days), low body weight, low creatinine clearance, low pretreatment platelet count, low serum albumin, and the concurrent use of caspofungin, levofloxacin, and meropenem.</w:t>
      </w:r>
      <w:r w:rsidDel="00000000" w:rsidR="00000000" w:rsidRPr="00000000">
        <w:rPr>
          <w:color w:val="0563c1"/>
          <w:vertAlign w:val="superscript"/>
          <w:rtl w:val="0"/>
        </w:rPr>
        <w:t xml:space="preserve">[6]</w:t>
      </w:r>
      <w:r w:rsidDel="00000000" w:rsidR="00000000" w:rsidRPr="00000000">
        <w:rPr>
          <w:rtl w:val="0"/>
        </w:rPr>
        <w:t xml:space="preserve"> In our case, the risk factors that are responsible for the development of thrombocytopenia may include decreased serum albumin (2.2 g/dl) , prolonged use of linezolid (7 months), the bone marrow smear findings showed very few erythroid, myeloid precursors and megakaryocytes, the concurrent use of levofloxacin.  </w:t>
      </w:r>
    </w:p>
    <w:p w:rsidR="00000000" w:rsidDel="00000000" w:rsidP="00000000" w:rsidRDefault="00000000" w:rsidRPr="00000000" w14:paraId="0000008D">
      <w:pPr>
        <w:spacing w:after="28" w:line="259"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08E">
      <w:pPr>
        <w:spacing w:after="28" w:line="259" w:lineRule="auto"/>
        <w:ind w:left="0" w:right="0" w:firstLine="0"/>
        <w:jc w:val="left"/>
        <w:rPr>
          <w:b w:val="1"/>
        </w:rPr>
      </w:pPr>
      <w:r w:rsidDel="00000000" w:rsidR="00000000" w:rsidRPr="00000000">
        <w:rPr>
          <w:rtl w:val="0"/>
        </w:rPr>
      </w:r>
    </w:p>
    <w:p w:rsidR="00000000" w:rsidDel="00000000" w:rsidP="00000000" w:rsidRDefault="00000000" w:rsidRPr="00000000" w14:paraId="0000008F">
      <w:pPr>
        <w:spacing w:after="28" w:line="259" w:lineRule="auto"/>
        <w:ind w:left="0" w:right="0" w:firstLine="0"/>
        <w:jc w:val="left"/>
        <w:rPr/>
      </w:pPr>
      <w:r w:rsidDel="00000000" w:rsidR="00000000" w:rsidRPr="00000000">
        <w:rPr>
          <w:rtl w:val="0"/>
        </w:rPr>
      </w:r>
    </w:p>
    <w:p w:rsidR="00000000" w:rsidDel="00000000" w:rsidP="00000000" w:rsidRDefault="00000000" w:rsidRPr="00000000" w14:paraId="00000090">
      <w:pPr>
        <w:spacing w:after="0" w:line="259" w:lineRule="auto"/>
        <w:ind w:left="-5" w:right="0" w:firstLine="0"/>
        <w:jc w:val="left"/>
        <w:rPr/>
      </w:pPr>
      <w:r w:rsidDel="00000000" w:rsidR="00000000" w:rsidRPr="00000000">
        <w:rPr>
          <w:b w:val="1"/>
          <w:rtl w:val="0"/>
        </w:rPr>
        <w:t xml:space="preserve">CONCLUSION: </w:t>
      </w:r>
      <w:r w:rsidDel="00000000" w:rsidR="00000000" w:rsidRPr="00000000">
        <w:rPr>
          <w:rtl w:val="0"/>
        </w:rPr>
      </w:r>
    </w:p>
    <w:p w:rsidR="00000000" w:rsidDel="00000000" w:rsidP="00000000" w:rsidRDefault="00000000" w:rsidRPr="00000000" w14:paraId="00000091">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2">
      <w:pPr>
        <w:ind w:left="-5" w:right="0" w:firstLine="0"/>
        <w:rPr/>
      </w:pPr>
      <w:r w:rsidDel="00000000" w:rsidR="00000000" w:rsidRPr="00000000">
        <w:rPr>
          <w:rtl w:val="0"/>
        </w:rPr>
        <w:t xml:space="preserve">This case report highlights the potential haematological side effects of linezolid therapy such as thrombocytopenia and anaemia in a patient with multi-drug resistant tuberculosis (MDR-TB) that causes significant impact on the patient, making it necessary to monitor the haematological or blood parameters during the therapy. These adverse effects can be resolved with the withdrawal of the linezolid. Physicians should be careful during the linezolid therapy and during the rechallenging of the drug after patient’s recovery to mitigate risks and optimize patient outcomes. </w:t>
      </w:r>
    </w:p>
    <w:p w:rsidR="00000000" w:rsidDel="00000000" w:rsidP="00000000" w:rsidRDefault="00000000" w:rsidRPr="00000000" w14:paraId="00000093">
      <w:pPr>
        <w:spacing w:after="28" w:line="259"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b w:val="1"/>
          <w:rtl w:val="0"/>
        </w:rPr>
        <w:t xml:space="preserve">COMPETING INTERESTS DISCLAIMER:</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Authors have declared that they have no known competing financial interests OR non-financial interests OR personal relationships that could have appeared to influence the work reported in this paper.</w:t>
      </w:r>
    </w:p>
    <w:p w:rsidR="00000000" w:rsidDel="00000000" w:rsidP="00000000" w:rsidRDefault="00000000" w:rsidRPr="00000000" w14:paraId="00000096">
      <w:pPr>
        <w:spacing w:after="28" w:line="259" w:lineRule="auto"/>
        <w:ind w:left="0" w:right="0" w:firstLine="0"/>
        <w:jc w:val="left"/>
        <w:rPr/>
      </w:pPr>
      <w:r w:rsidDel="00000000" w:rsidR="00000000" w:rsidRPr="00000000">
        <w:rPr>
          <w:rtl w:val="0"/>
        </w:rPr>
      </w:r>
    </w:p>
    <w:p w:rsidR="00000000" w:rsidDel="00000000" w:rsidP="00000000" w:rsidRDefault="00000000" w:rsidRPr="00000000" w14:paraId="00000097">
      <w:pPr>
        <w:spacing w:after="0" w:line="259" w:lineRule="auto"/>
        <w:ind w:left="-5" w:right="0" w:firstLine="0"/>
        <w:jc w:val="left"/>
        <w:rPr/>
      </w:pPr>
      <w:r w:rsidDel="00000000" w:rsidR="00000000" w:rsidRPr="00000000">
        <w:rPr>
          <w:b w:val="1"/>
          <w:rtl w:val="0"/>
        </w:rPr>
        <w:t xml:space="preserve">REFERENCES: </w:t>
      </w:r>
      <w:r w:rsidDel="00000000" w:rsidR="00000000" w:rsidRPr="00000000">
        <w:rPr>
          <w:rtl w:val="0"/>
        </w:rPr>
      </w:r>
    </w:p>
    <w:p w:rsidR="00000000" w:rsidDel="00000000" w:rsidP="00000000" w:rsidRDefault="00000000" w:rsidRPr="00000000" w14:paraId="00000098">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9">
      <w:pPr>
        <w:numPr>
          <w:ilvl w:val="0"/>
          <w:numId w:val="1"/>
        </w:numPr>
        <w:ind w:left="720" w:right="0" w:hanging="360"/>
        <w:rPr/>
      </w:pPr>
      <w:r w:rsidDel="00000000" w:rsidR="00000000" w:rsidRPr="00000000">
        <w:rPr>
          <w:rtl w:val="0"/>
        </w:rPr>
        <w:t xml:space="preserve">Anger HA, Dworkin F, Sharma S, Munsiff SS, Nilsen DM, Ahuja SD. Linezolid use for treatment of multidrug-resistant and extensively drug resistant tuberculosis, New York City, 2000–06. J Antimicrob Chemother. 2010;65(4):775-783. doi:10.1093/jac/dkq017. </w:t>
      </w:r>
    </w:p>
    <w:p w:rsidR="00000000" w:rsidDel="00000000" w:rsidP="00000000" w:rsidRDefault="00000000" w:rsidRPr="00000000" w14:paraId="0000009A">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9B">
      <w:pPr>
        <w:numPr>
          <w:ilvl w:val="0"/>
          <w:numId w:val="1"/>
        </w:numPr>
        <w:ind w:left="720" w:right="0" w:hanging="360"/>
        <w:rPr/>
      </w:pPr>
      <w:r w:rsidDel="00000000" w:rsidR="00000000" w:rsidRPr="00000000">
        <w:rPr>
          <w:rtl w:val="0"/>
        </w:rPr>
        <w:t xml:space="preserve">Munsiff SS, Ahuja SD, Li J, et al. Public–private collaboration for multidrug-resistant tuberculosis control in New York City. Int J Tuberc Lung Dis. 2006;10(6):</w:t>
      </w:r>
      <w:commentRangeStart w:id="4"/>
      <w:r w:rsidDel="00000000" w:rsidR="00000000" w:rsidRPr="00000000">
        <w:rPr>
          <w:rtl w:val="0"/>
        </w:rPr>
        <w:t xml:space="preserve">639-648.</w:t>
      </w:r>
      <w:commentRangeEnd w:id="4"/>
      <w:r w:rsidDel="00000000" w:rsidR="00000000" w:rsidRPr="00000000">
        <w:commentReference w:id="4"/>
      </w:r>
      <w:r w:rsidDel="00000000" w:rsidR="00000000" w:rsidRPr="00000000">
        <w:rPr>
          <w:rtl w:val="0"/>
        </w:rPr>
        <w:t xml:space="preserve"> </w:t>
      </w:r>
    </w:p>
    <w:p w:rsidR="00000000" w:rsidDel="00000000" w:rsidP="00000000" w:rsidRDefault="00000000" w:rsidRPr="00000000" w14:paraId="0000009C">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9D">
      <w:pPr>
        <w:numPr>
          <w:ilvl w:val="0"/>
          <w:numId w:val="1"/>
        </w:numPr>
        <w:ind w:left="720" w:right="0" w:hanging="360"/>
        <w:rPr/>
      </w:pPr>
      <w:r w:rsidDel="00000000" w:rsidR="00000000" w:rsidRPr="00000000">
        <w:rPr>
          <w:rtl w:val="0"/>
        </w:rPr>
        <w:t xml:space="preserve">Kuter DJ, Tillotson GS. Hematologic effects of antimicrobials: focus on the oxazolidinone linezolid. Pharmacotherapy. 2001;21(8):1010-1013. </w:t>
      </w:r>
    </w:p>
    <w:p w:rsidR="00000000" w:rsidDel="00000000" w:rsidP="00000000" w:rsidRDefault="00000000" w:rsidRPr="00000000" w14:paraId="0000009E">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9F">
      <w:pPr>
        <w:numPr>
          <w:ilvl w:val="0"/>
          <w:numId w:val="1"/>
        </w:numPr>
        <w:ind w:left="720" w:right="0" w:hanging="360"/>
        <w:rPr/>
      </w:pPr>
      <w:r w:rsidDel="00000000" w:rsidR="00000000" w:rsidRPr="00000000">
        <w:rPr>
          <w:rtl w:val="0"/>
        </w:rPr>
        <w:t xml:space="preserve">Resendiz-Galvan JE, Arora PR, Abdelwahab MT, Udwadia ZF, Rodrigues C, Gupta A, Denti P, Ashavaid TF, Tornheim JA. Pharmacokinetic analysis of linezolid for multidrug-resistant tuberculosis at a tertiary care centre in Mumbai, India. Front Pharmacol.2023;13:1081123. doi:10.3389/fphar.2022.1081123. </w:t>
      </w:r>
    </w:p>
    <w:p w:rsidR="00000000" w:rsidDel="00000000" w:rsidP="00000000" w:rsidRDefault="00000000" w:rsidRPr="00000000" w14:paraId="000000A0">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A1">
      <w:pPr>
        <w:numPr>
          <w:ilvl w:val="0"/>
          <w:numId w:val="1"/>
        </w:numPr>
        <w:ind w:left="720" w:right="0" w:hanging="360"/>
        <w:rPr/>
      </w:pPr>
      <w:r w:rsidDel="00000000" w:rsidR="00000000" w:rsidRPr="00000000">
        <w:rPr>
          <w:rtl w:val="0"/>
        </w:rPr>
        <w:t xml:space="preserve">Vinh DC, Rubinstein E. Linezolid: a review of safety and tolerability. J Infect. 2009;59(Suppl 1):S59-S74. </w:t>
      </w:r>
    </w:p>
    <w:p w:rsidR="00000000" w:rsidDel="00000000" w:rsidP="00000000" w:rsidRDefault="00000000" w:rsidRPr="00000000" w14:paraId="000000A2">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A3">
      <w:pPr>
        <w:numPr>
          <w:ilvl w:val="0"/>
          <w:numId w:val="1"/>
        </w:numPr>
        <w:ind w:left="720" w:right="0" w:hanging="360"/>
        <w:rPr/>
      </w:pPr>
      <w:r w:rsidDel="00000000" w:rsidR="00000000" w:rsidRPr="00000000">
        <w:rPr>
          <w:rtl w:val="0"/>
        </w:rPr>
        <w:t xml:space="preserve">Singh B, Cocker D, Ryan H, Sloan DJ. Linezolid for drug-resistant pulmonary tuberculosis. Cochrane Database Syst Rev. </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8" w:before="0" w:line="248.00000000000006" w:lineRule="auto"/>
        <w:ind w:left="1440" w:right="0" w:hanging="360"/>
        <w:jc w:val="both"/>
        <w:rPr/>
      </w:pPr>
      <w:commentRangeStart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2019;(3):CD012836. doi:10.1002/14651858.CD012836.pub2</w:t>
      </w:r>
      <w:commentRangeEnd w:id="5"/>
      <w:r w:rsidDel="00000000" w:rsidR="00000000" w:rsidRPr="00000000">
        <w:commentReference w:id="5"/>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5">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A6">
      <w:pPr>
        <w:numPr>
          <w:ilvl w:val="0"/>
          <w:numId w:val="1"/>
        </w:numPr>
        <w:spacing w:after="1" w:line="239" w:lineRule="auto"/>
        <w:ind w:left="720" w:right="0" w:hanging="360"/>
        <w:rPr/>
      </w:pPr>
      <w:r w:rsidDel="00000000" w:rsidR="00000000" w:rsidRPr="00000000">
        <w:rPr>
          <w:rtl w:val="0"/>
        </w:rPr>
        <w:t xml:space="preserve">Wang MG, Wang D, He JQ.Reversible recurrent profound            thrombocytopenia due to linezolid in a patient with multi-drug resistant            tuberculosis: a case report. Medicine (Baltimore). 2018;97(34):e11997.            doi:10.1097/MD.0000000000011997. </w:t>
      </w:r>
    </w:p>
    <w:p w:rsidR="00000000" w:rsidDel="00000000" w:rsidP="00000000" w:rsidRDefault="00000000" w:rsidRPr="00000000" w14:paraId="000000A7">
      <w:pPr>
        <w:spacing w:after="0" w:line="259" w:lineRule="auto"/>
        <w:ind w:left="0" w:right="0" w:firstLine="72"/>
        <w:jc w:val="left"/>
        <w:rPr/>
      </w:pPr>
      <w:r w:rsidDel="00000000" w:rsidR="00000000" w:rsidRPr="00000000">
        <w:rPr>
          <w:rtl w:val="0"/>
        </w:rPr>
      </w:r>
    </w:p>
    <w:p w:rsidR="00000000" w:rsidDel="00000000" w:rsidP="00000000" w:rsidRDefault="00000000" w:rsidRPr="00000000" w14:paraId="000000A8">
      <w:pPr>
        <w:numPr>
          <w:ilvl w:val="0"/>
          <w:numId w:val="1"/>
        </w:numPr>
        <w:ind w:left="720" w:right="0" w:hanging="360"/>
        <w:rPr/>
      </w:pPr>
      <w:r w:rsidDel="00000000" w:rsidR="00000000" w:rsidRPr="00000000">
        <w:rPr>
          <w:rtl w:val="0"/>
        </w:rPr>
        <w:t xml:space="preserve">Sotgiu G, Centis R, D’Ambrosio L, et al. Efficacy, safety and tolerability of linezolid containing regimens in treating MDR-TB and XDR-TB: systematic review and meta-analysis. Eur Respir J 2012;40:1430–42. </w:t>
      </w:r>
    </w:p>
    <w:p w:rsidR="00000000" w:rsidDel="00000000" w:rsidP="00000000" w:rsidRDefault="00000000" w:rsidRPr="00000000" w14:paraId="000000A9">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AA">
      <w:pPr>
        <w:numPr>
          <w:ilvl w:val="0"/>
          <w:numId w:val="1"/>
        </w:numPr>
        <w:spacing w:after="1" w:line="239" w:lineRule="auto"/>
        <w:ind w:left="720" w:right="0" w:hanging="360"/>
        <w:rPr/>
      </w:pPr>
      <w:r w:rsidDel="00000000" w:rsidR="00000000" w:rsidRPr="00000000">
        <w:rPr>
          <w:rtl w:val="0"/>
        </w:rPr>
        <w:t xml:space="preserve">Birmingham MC, Rayner CR, Meagher AK, et al. Linezolid for the treatment of multidrug-resistant, gram-positive infections: experience from a compassionate-use program. Clin Infect Dis 2003;36:159–68. </w:t>
      </w:r>
    </w:p>
    <w:p w:rsidR="00000000" w:rsidDel="00000000" w:rsidP="00000000" w:rsidRDefault="00000000" w:rsidRPr="00000000" w14:paraId="000000AB">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AC">
      <w:pPr>
        <w:numPr>
          <w:ilvl w:val="0"/>
          <w:numId w:val="1"/>
        </w:numPr>
        <w:spacing w:after="1" w:line="239" w:lineRule="auto"/>
        <w:ind w:left="720" w:right="0" w:hanging="360"/>
        <w:rPr/>
      </w:pPr>
      <w:r w:rsidDel="00000000" w:rsidR="00000000" w:rsidRPr="00000000">
        <w:rPr>
          <w:rtl w:val="0"/>
        </w:rPr>
        <w:t xml:space="preserve">Anger HA, Dworkin F, Sharma S, et al. Linezolid use for treatment of multidrug-resistant and extensively drug-resistant tuberculosis, New York City, 2000–06. J Antimicrob Chemother 2010;65:775–83. </w:t>
      </w:r>
    </w:p>
    <w:p w:rsidR="00000000" w:rsidDel="00000000" w:rsidP="00000000" w:rsidRDefault="00000000" w:rsidRPr="00000000" w14:paraId="000000AD">
      <w:pPr>
        <w:spacing w:after="0" w:line="259" w:lineRule="auto"/>
        <w:ind w:left="721" w:right="0" w:firstLine="72.00000000000003"/>
        <w:jc w:val="left"/>
        <w:rPr/>
      </w:pPr>
      <w:r w:rsidDel="00000000" w:rsidR="00000000" w:rsidRPr="00000000">
        <w:rPr>
          <w:rtl w:val="0"/>
        </w:rPr>
      </w:r>
    </w:p>
    <w:p w:rsidR="00000000" w:rsidDel="00000000" w:rsidP="00000000" w:rsidRDefault="00000000" w:rsidRPr="00000000" w14:paraId="000000AE">
      <w:pPr>
        <w:numPr>
          <w:ilvl w:val="0"/>
          <w:numId w:val="1"/>
        </w:numPr>
        <w:ind w:left="720" w:right="0" w:hanging="360"/>
        <w:rPr/>
      </w:pPr>
      <w:r w:rsidDel="00000000" w:rsidR="00000000" w:rsidRPr="00000000">
        <w:rPr>
          <w:rtl w:val="0"/>
        </w:rPr>
        <w:t xml:space="preserve">Cossu AP, Musu M, Mura P, et al. Linezolid-induced thrombocytopenia in impaired renal function: is it time for a dose adjustment? A case report and review of literature. Eur J Clin Pharmacol 2014;70:23–8.</w:t>
      </w:r>
    </w:p>
    <w:p w:rsidR="00000000" w:rsidDel="00000000" w:rsidP="00000000" w:rsidRDefault="00000000" w:rsidRPr="00000000" w14:paraId="000000AF">
      <w:pPr>
        <w:spacing w:after="0" w:line="259" w:lineRule="auto"/>
        <w:ind w:left="721" w:right="0" w:firstLine="0"/>
        <w:rPr/>
      </w:pPr>
      <w:r w:rsidDel="00000000" w:rsidR="00000000" w:rsidRPr="00000000">
        <w:rPr>
          <w:rtl w:val="0"/>
        </w:rPr>
      </w:r>
    </w:p>
    <w:p w:rsidR="00000000" w:rsidDel="00000000" w:rsidP="00000000" w:rsidRDefault="00000000" w:rsidRPr="00000000" w14:paraId="000000B0">
      <w:pPr>
        <w:numPr>
          <w:ilvl w:val="0"/>
          <w:numId w:val="1"/>
        </w:numPr>
        <w:spacing w:after="272" w:lineRule="auto"/>
        <w:ind w:left="720" w:right="0" w:hanging="360"/>
        <w:rPr/>
      </w:pPr>
      <w:r w:rsidDel="00000000" w:rsidR="00000000" w:rsidRPr="00000000">
        <w:rPr>
          <w:rtl w:val="0"/>
        </w:rPr>
        <w:t xml:space="preserve">Patel R, Rouse MS, Piper KE, et al. In vitro activity of linezolid against vancomycin-resistant enterococci, methicillin-resistant Staphylococcus aureus and penicillin-resistant Streptococcus pneumoniae.Diagn Microbiol Infect Dis 1999;34:119–22. </w:t>
      </w:r>
    </w:p>
    <w:p w:rsidR="00000000" w:rsidDel="00000000" w:rsidP="00000000" w:rsidRDefault="00000000" w:rsidRPr="00000000" w14:paraId="000000B1">
      <w:pPr>
        <w:spacing w:after="250" w:line="259" w:lineRule="auto"/>
        <w:ind w:left="361" w:right="0" w:firstLine="72.00000000000003"/>
        <w:jc w:val="left"/>
        <w:rPr/>
      </w:pPr>
      <w:r w:rsidDel="00000000" w:rsidR="00000000" w:rsidRPr="00000000">
        <w:rPr>
          <w:rtl w:val="0"/>
        </w:rPr>
      </w:r>
    </w:p>
    <w:p w:rsidR="00000000" w:rsidDel="00000000" w:rsidP="00000000" w:rsidRDefault="00000000" w:rsidRPr="00000000" w14:paraId="000000B2">
      <w:pPr>
        <w:spacing w:after="0" w:line="259" w:lineRule="auto"/>
        <w:ind w:left="0" w:right="0" w:firstLine="72"/>
        <w:jc w:val="left"/>
        <w:rPr/>
      </w:pPr>
      <w:r w:rsidDel="00000000" w:rsidR="00000000" w:rsidRPr="00000000">
        <w:rPr>
          <w:rtl w:val="0"/>
        </w:rPr>
      </w:r>
    </w:p>
    <w:p w:rsidR="00000000" w:rsidDel="00000000" w:rsidP="00000000" w:rsidRDefault="00000000" w:rsidRPr="00000000" w14:paraId="000000B3">
      <w:pPr>
        <w:spacing w:after="0" w:line="259" w:lineRule="auto"/>
        <w:ind w:left="0" w:right="0" w:firstLine="72"/>
        <w:jc w:val="left"/>
        <w:rPr/>
      </w:pPr>
      <w:r w:rsidDel="00000000" w:rsidR="00000000" w:rsidRPr="00000000">
        <w:rPr>
          <w:rtl w:val="0"/>
        </w:rPr>
      </w:r>
    </w:p>
    <w:p w:rsidR="00000000" w:rsidDel="00000000" w:rsidP="00000000" w:rsidRDefault="00000000" w:rsidRPr="00000000" w14:paraId="000000B4">
      <w:pPr>
        <w:spacing w:after="0" w:line="259" w:lineRule="auto"/>
        <w:ind w:left="0" w:right="0" w:firstLine="72"/>
        <w:jc w:val="left"/>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6840" w:w="11905" w:orient="portrait"/>
      <w:pgMar w:bottom="1467" w:top="1451" w:left="1441" w:right="142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 w:id="5" w:date="2025-04-19T04:34:04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 the reference. Make it in same line</w:t>
      </w:r>
    </w:p>
  </w:comment>
  <w:comment w:author="Me" w:id="2" w:date="2025-04-19T03:57:40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the word.. it can dipict result in different way </w:t>
      </w:r>
    </w:p>
  </w:comment>
  <w:comment w:author="Me" w:id="4" w:date="2025-04-19T04:33:21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639-48.</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Everywhere no need to repeat number. </w:t>
      </w:r>
    </w:p>
  </w:comment>
  <w:comment w:author="Me" w:id="1" w:date="2025-04-19T03:54:02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it</w:t>
      </w:r>
    </w:p>
  </w:comment>
  <w:comment w:author="Me" w:id="0" w:date="2025-04-19T03:50:18Z">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reference for the above regime</w:t>
      </w:r>
    </w:p>
  </w:comment>
  <w:comment w:author="Me" w:id="3" w:date="2025-04-19T04:36:22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 column of duration of therapy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4" w:hanging="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4" w:hanging="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4" w:hanging="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4" w:hanging="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PowerPlusWaterMarkObject3" style="position:absolute;width:573.2999212598424pt;height:63.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4" w:hanging="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PowerPlusWaterMarkObject1" style="position:absolute;width:573.2999212598424pt;height:63.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4" w:hanging="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PowerPlusWaterMarkObject2" style="position:absolute;width:573.2999212598424pt;height:63.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18" w:line="248.00000000000006"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67.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about:blank" TargetMode="Externa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image" Target="media/image3.png"/><Relationship Id="rId16" Type="http://schemas.openxmlformats.org/officeDocument/2006/relationships/image" Target="media/image1.png"/><Relationship Id="rId19" Type="http://schemas.openxmlformats.org/officeDocument/2006/relationships/image" Target="media/image4.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