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67C7A5" w14:textId="77777777" w:rsidR="00754C9A" w:rsidRDefault="00754C9A" w:rsidP="00441B6F">
      <w:pPr>
        <w:pStyle w:val="Title"/>
        <w:spacing w:after="0"/>
        <w:jc w:val="both"/>
        <w:rPr>
          <w:rFonts w:ascii="Arial" w:hAnsi="Arial" w:cs="Arial"/>
        </w:rPr>
      </w:pPr>
    </w:p>
    <w:p w14:paraId="3062BD10" w14:textId="77777777" w:rsidR="00A258C3" w:rsidRDefault="00C217D0" w:rsidP="00C217D0">
      <w:pPr>
        <w:pStyle w:val="Author"/>
        <w:spacing w:line="240" w:lineRule="auto"/>
        <w:rPr>
          <w:rFonts w:ascii="Arial" w:hAnsi="Arial" w:cs="Arial"/>
          <w:bCs/>
          <w:i/>
          <w:iCs/>
          <w:kern w:val="28"/>
          <w:sz w:val="36"/>
        </w:rPr>
      </w:pPr>
      <w:r w:rsidRPr="00C217D0">
        <w:rPr>
          <w:rFonts w:ascii="Arial" w:hAnsi="Arial" w:cs="Arial"/>
          <w:bCs/>
          <w:iCs/>
          <w:kern w:val="28"/>
          <w:sz w:val="36"/>
        </w:rPr>
        <w:t xml:space="preserve">Determination of </w:t>
      </w:r>
      <w:r w:rsidRPr="00C217D0">
        <w:rPr>
          <w:rFonts w:ascii="Arial" w:hAnsi="Arial" w:cs="Arial"/>
          <w:bCs/>
          <w:i/>
          <w:iCs/>
          <w:kern w:val="28"/>
          <w:sz w:val="36"/>
        </w:rPr>
        <w:t>in vitro</w:t>
      </w:r>
      <w:r w:rsidRPr="00C217D0">
        <w:rPr>
          <w:rFonts w:ascii="Arial" w:hAnsi="Arial" w:cs="Arial"/>
          <w:bCs/>
          <w:iCs/>
          <w:kern w:val="28"/>
          <w:sz w:val="36"/>
        </w:rPr>
        <w:t xml:space="preserve"> antifungal effect of capsaicin against </w:t>
      </w:r>
      <w:proofErr w:type="spellStart"/>
      <w:r w:rsidRPr="00C217D0">
        <w:rPr>
          <w:rFonts w:ascii="Arial" w:hAnsi="Arial" w:cs="Arial"/>
          <w:bCs/>
          <w:i/>
          <w:iCs/>
          <w:kern w:val="28"/>
          <w:sz w:val="36"/>
        </w:rPr>
        <w:t>Fusarium</w:t>
      </w:r>
      <w:proofErr w:type="spellEnd"/>
      <w:r w:rsidRPr="00C217D0">
        <w:rPr>
          <w:rFonts w:ascii="Arial" w:hAnsi="Arial" w:cs="Arial"/>
          <w:bCs/>
          <w:i/>
          <w:iCs/>
          <w:kern w:val="28"/>
          <w:sz w:val="36"/>
        </w:rPr>
        <w:t xml:space="preserve"> </w:t>
      </w:r>
      <w:proofErr w:type="spellStart"/>
      <w:r w:rsidRPr="00C217D0">
        <w:rPr>
          <w:rFonts w:ascii="Arial" w:hAnsi="Arial" w:cs="Arial"/>
          <w:bCs/>
          <w:i/>
          <w:iCs/>
          <w:kern w:val="28"/>
          <w:sz w:val="36"/>
        </w:rPr>
        <w:t>oxysporum</w:t>
      </w:r>
      <w:proofErr w:type="spellEnd"/>
    </w:p>
    <w:p w14:paraId="06908DE5"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A05C24F" w14:textId="77777777" w:rsidTr="001E44FE">
        <w:tc>
          <w:tcPr>
            <w:tcW w:w="9576" w:type="dxa"/>
            <w:shd w:val="clear" w:color="auto" w:fill="F2F2F2"/>
          </w:tcPr>
          <w:p w14:paraId="72A04828" w14:textId="77777777" w:rsidR="004619AB"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4619AB" w:rsidRPr="004619AB">
              <w:rPr>
                <w:rFonts w:ascii="Arial" w:eastAsia="Calibri" w:hAnsi="Arial" w:cs="Arial"/>
                <w:szCs w:val="22"/>
              </w:rPr>
              <w:t xml:space="preserve">To evaluate the antifungal activity of capsaicin, a natural compound from hot peppers, against </w:t>
            </w:r>
            <w:proofErr w:type="spellStart"/>
            <w:r w:rsidR="004619AB" w:rsidRPr="004619AB">
              <w:rPr>
                <w:rFonts w:ascii="Arial" w:eastAsia="Calibri" w:hAnsi="Arial" w:cs="Arial"/>
                <w:i/>
                <w:szCs w:val="22"/>
              </w:rPr>
              <w:t>Fusarium</w:t>
            </w:r>
            <w:proofErr w:type="spellEnd"/>
            <w:r w:rsidR="004619AB" w:rsidRPr="004619AB">
              <w:rPr>
                <w:rFonts w:ascii="Arial" w:eastAsia="Calibri" w:hAnsi="Arial" w:cs="Arial"/>
                <w:i/>
                <w:szCs w:val="22"/>
              </w:rPr>
              <w:t xml:space="preserve"> </w:t>
            </w:r>
            <w:proofErr w:type="spellStart"/>
            <w:r w:rsidR="004619AB" w:rsidRPr="004619AB">
              <w:rPr>
                <w:rFonts w:ascii="Arial" w:eastAsia="Calibri" w:hAnsi="Arial" w:cs="Arial"/>
                <w:i/>
                <w:szCs w:val="22"/>
              </w:rPr>
              <w:t>oxysporum</w:t>
            </w:r>
            <w:proofErr w:type="spellEnd"/>
            <w:r w:rsidR="004619AB" w:rsidRPr="004619AB">
              <w:rPr>
                <w:rFonts w:ascii="Arial" w:eastAsia="Calibri" w:hAnsi="Arial" w:cs="Arial"/>
                <w:szCs w:val="22"/>
              </w:rPr>
              <w:t>, and explore its potential as an alternative to synthetic fungicides in crop protection.</w:t>
            </w:r>
          </w:p>
          <w:p w14:paraId="09FD08B1"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4619AB" w:rsidRPr="004619AB">
              <w:rPr>
                <w:rFonts w:ascii="Arial" w:eastAsia="Calibri" w:hAnsi="Arial" w:cs="Arial"/>
                <w:szCs w:val="22"/>
              </w:rPr>
              <w:t xml:space="preserve">An </w:t>
            </w:r>
            <w:r w:rsidR="004619AB" w:rsidRPr="004619AB">
              <w:rPr>
                <w:rFonts w:ascii="Arial" w:eastAsia="Calibri" w:hAnsi="Arial" w:cs="Arial"/>
                <w:i/>
                <w:szCs w:val="22"/>
              </w:rPr>
              <w:t>in vitro</w:t>
            </w:r>
            <w:r w:rsidR="004619AB" w:rsidRPr="004619AB">
              <w:rPr>
                <w:rFonts w:ascii="Arial" w:eastAsia="Calibri" w:hAnsi="Arial" w:cs="Arial"/>
                <w:szCs w:val="22"/>
              </w:rPr>
              <w:t xml:space="preserve"> experimental study was conducted to assess the concentration-dependent inhibitory effects of capsaicin on fungal growth.</w:t>
            </w:r>
          </w:p>
          <w:p w14:paraId="4B431FFA" w14:textId="77777777"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4619AB" w:rsidRPr="004619AB">
              <w:rPr>
                <w:rFonts w:ascii="Arial" w:eastAsia="Calibri" w:hAnsi="Arial" w:cs="Arial"/>
                <w:szCs w:val="22"/>
              </w:rPr>
              <w:t xml:space="preserve">Department of Plant Protection, </w:t>
            </w:r>
            <w:proofErr w:type="spellStart"/>
            <w:r w:rsidR="004619AB" w:rsidRPr="004619AB">
              <w:rPr>
                <w:rFonts w:ascii="Arial" w:eastAsia="Calibri" w:hAnsi="Arial" w:cs="Arial"/>
                <w:szCs w:val="22"/>
              </w:rPr>
              <w:t>Kocaeli</w:t>
            </w:r>
            <w:proofErr w:type="spellEnd"/>
            <w:r w:rsidR="004619AB" w:rsidRPr="004619AB">
              <w:rPr>
                <w:rFonts w:ascii="Arial" w:eastAsia="Calibri" w:hAnsi="Arial" w:cs="Arial"/>
                <w:szCs w:val="22"/>
              </w:rPr>
              <w:t xml:space="preserve"> University, in the year of 202</w:t>
            </w:r>
            <w:r w:rsidR="004619AB">
              <w:rPr>
                <w:rFonts w:ascii="Arial" w:eastAsia="Calibri" w:hAnsi="Arial" w:cs="Arial"/>
                <w:szCs w:val="22"/>
              </w:rPr>
              <w:t>4</w:t>
            </w:r>
            <w:r w:rsidR="004619AB" w:rsidRPr="004619AB">
              <w:rPr>
                <w:rFonts w:ascii="Arial" w:eastAsia="Calibri" w:hAnsi="Arial" w:cs="Arial"/>
                <w:szCs w:val="22"/>
              </w:rPr>
              <w:t>.</w:t>
            </w:r>
          </w:p>
          <w:p w14:paraId="692EA411" w14:textId="77777777" w:rsidR="004619AB"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4619AB" w:rsidRPr="004619AB">
              <w:rPr>
                <w:rFonts w:ascii="Arial" w:eastAsia="Calibri" w:hAnsi="Arial" w:cs="Arial"/>
                <w:szCs w:val="22"/>
              </w:rPr>
              <w:t xml:space="preserve">Capsaicin was applied at three concentrations (125, 500, and 1000 ppm) to </w:t>
            </w:r>
            <w:r w:rsidR="004619AB" w:rsidRPr="004619AB">
              <w:rPr>
                <w:rFonts w:ascii="Arial" w:eastAsia="Calibri" w:hAnsi="Arial" w:cs="Arial"/>
                <w:i/>
                <w:szCs w:val="22"/>
              </w:rPr>
              <w:t xml:space="preserve">F. </w:t>
            </w:r>
            <w:proofErr w:type="spellStart"/>
            <w:r w:rsidR="004619AB" w:rsidRPr="004619AB">
              <w:rPr>
                <w:rFonts w:ascii="Arial" w:eastAsia="Calibri" w:hAnsi="Arial" w:cs="Arial"/>
                <w:i/>
                <w:szCs w:val="22"/>
              </w:rPr>
              <w:t>oxysporum</w:t>
            </w:r>
            <w:proofErr w:type="spellEnd"/>
            <w:r w:rsidR="004619AB" w:rsidRPr="004619AB">
              <w:rPr>
                <w:rFonts w:ascii="Arial" w:eastAsia="Calibri" w:hAnsi="Arial" w:cs="Arial"/>
                <w:szCs w:val="22"/>
              </w:rPr>
              <w:t xml:space="preserve"> cultures grown on </w:t>
            </w:r>
            <w:proofErr w:type="spellStart"/>
            <w:r w:rsidR="004619AB" w:rsidRPr="004619AB">
              <w:rPr>
                <w:rFonts w:ascii="Arial" w:eastAsia="Calibri" w:hAnsi="Arial" w:cs="Arial"/>
                <w:szCs w:val="22"/>
              </w:rPr>
              <w:t>Sabouraud</w:t>
            </w:r>
            <w:proofErr w:type="spellEnd"/>
            <w:r w:rsidR="004619AB" w:rsidRPr="004619AB">
              <w:rPr>
                <w:rFonts w:ascii="Arial" w:eastAsia="Calibri" w:hAnsi="Arial" w:cs="Arial"/>
                <w:szCs w:val="22"/>
              </w:rPr>
              <w:t xml:space="preserve"> Dextrose Agar. Fungal mycelial growth was monitored and measured over eight days. The percentage of inhibition was calculated by comparing treated groups with a control group without capsaicin.</w:t>
            </w:r>
          </w:p>
          <w:p w14:paraId="3D590FBF" w14:textId="77777777" w:rsidR="004619AB"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4619AB" w:rsidRPr="004619AB">
              <w:rPr>
                <w:rFonts w:ascii="Arial" w:eastAsia="Calibri" w:hAnsi="Arial" w:cs="Arial"/>
                <w:szCs w:val="22"/>
              </w:rPr>
              <w:t>Capsaicin showed a clear concentration-dependent antifungal effect. At 1000 ppm, fungal growth was nearly completely inhibited, while 500 ppm caused significant suppression. The 125 ppm concentration resulted in mild inhibition compared to the control.</w:t>
            </w:r>
          </w:p>
          <w:p w14:paraId="1CBDD79F" w14:textId="77777777"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619AB" w:rsidRPr="004619AB">
              <w:rPr>
                <w:rFonts w:ascii="Arial" w:eastAsia="Calibri" w:hAnsi="Arial" w:cs="Arial"/>
                <w:szCs w:val="22"/>
              </w:rPr>
              <w:t xml:space="preserve">Capsaicin demonstrated strong antifungal activity against </w:t>
            </w:r>
            <w:r w:rsidR="002E7A50" w:rsidRPr="002E7A50">
              <w:rPr>
                <w:rFonts w:ascii="Arial" w:eastAsia="Calibri" w:hAnsi="Arial" w:cs="Arial"/>
                <w:i/>
                <w:szCs w:val="22"/>
              </w:rPr>
              <w:t xml:space="preserve">F. </w:t>
            </w:r>
            <w:proofErr w:type="spellStart"/>
            <w:r w:rsidR="002E7A50" w:rsidRPr="002E7A50">
              <w:rPr>
                <w:rFonts w:ascii="Arial" w:eastAsia="Calibri" w:hAnsi="Arial" w:cs="Arial"/>
                <w:i/>
                <w:szCs w:val="22"/>
              </w:rPr>
              <w:t>oxysporum</w:t>
            </w:r>
            <w:proofErr w:type="spellEnd"/>
            <w:r w:rsidR="004619AB" w:rsidRPr="004619AB">
              <w:rPr>
                <w:rFonts w:ascii="Arial" w:eastAsia="Calibri" w:hAnsi="Arial" w:cs="Arial"/>
                <w:szCs w:val="22"/>
              </w:rPr>
              <w:t xml:space="preserve">, particularly at higher concentrations. These results highlight its potential as a sustainable, plant-derived alternative to synthetic fungicides for effective plant </w:t>
            </w:r>
            <w:commentRangeStart w:id="0"/>
            <w:r w:rsidR="004619AB" w:rsidRPr="004619AB">
              <w:rPr>
                <w:rFonts w:ascii="Arial" w:eastAsia="Calibri" w:hAnsi="Arial" w:cs="Arial"/>
                <w:szCs w:val="22"/>
              </w:rPr>
              <w:t>disease</w:t>
            </w:r>
            <w:commentRangeEnd w:id="0"/>
            <w:r w:rsidR="00181881">
              <w:rPr>
                <w:rStyle w:val="CommentReference"/>
                <w:rFonts w:ascii="Times New Roman" w:hAnsi="Times New Roman"/>
                <w:lang w:val="nb-NO" w:eastAsia="nb-NO"/>
              </w:rPr>
              <w:commentReference w:id="0"/>
            </w:r>
            <w:r w:rsidR="004619AB" w:rsidRPr="004619AB">
              <w:rPr>
                <w:rFonts w:ascii="Arial" w:eastAsia="Calibri" w:hAnsi="Arial" w:cs="Arial"/>
                <w:szCs w:val="22"/>
              </w:rPr>
              <w:t xml:space="preserve"> management.</w:t>
            </w:r>
          </w:p>
        </w:tc>
      </w:tr>
    </w:tbl>
    <w:p w14:paraId="09FC187C" w14:textId="77777777" w:rsidR="00636EB2" w:rsidRDefault="00636EB2" w:rsidP="00441B6F">
      <w:pPr>
        <w:pStyle w:val="Body"/>
        <w:spacing w:after="0"/>
        <w:rPr>
          <w:rFonts w:ascii="Arial" w:hAnsi="Arial" w:cs="Arial"/>
          <w:i/>
        </w:rPr>
      </w:pPr>
    </w:p>
    <w:p w14:paraId="274400F9" w14:textId="77777777" w:rsidR="00A24E7E" w:rsidRDefault="00A24E7E" w:rsidP="00441B6F">
      <w:pPr>
        <w:pStyle w:val="Body"/>
        <w:spacing w:after="0"/>
        <w:rPr>
          <w:rFonts w:ascii="Arial" w:hAnsi="Arial" w:cs="Arial"/>
          <w:i/>
        </w:rPr>
      </w:pPr>
      <w:r>
        <w:rPr>
          <w:rFonts w:ascii="Arial" w:hAnsi="Arial" w:cs="Arial"/>
          <w:i/>
        </w:rPr>
        <w:t xml:space="preserve">Keywords: </w:t>
      </w:r>
      <w:r w:rsidR="00E318EB" w:rsidRPr="00E318EB">
        <w:rPr>
          <w:rFonts w:ascii="Arial" w:hAnsi="Arial" w:cs="Arial"/>
          <w:i/>
        </w:rPr>
        <w:t xml:space="preserve">Natural antifungal agents, </w:t>
      </w:r>
      <w:proofErr w:type="spellStart"/>
      <w:r w:rsidR="00E318EB" w:rsidRPr="00E318EB">
        <w:rPr>
          <w:rFonts w:ascii="Arial" w:hAnsi="Arial" w:cs="Arial"/>
          <w:i/>
        </w:rPr>
        <w:t>Fusarium</w:t>
      </w:r>
      <w:proofErr w:type="spellEnd"/>
      <w:r w:rsidR="00E318EB" w:rsidRPr="00E318EB">
        <w:rPr>
          <w:rFonts w:ascii="Arial" w:hAnsi="Arial" w:cs="Arial"/>
          <w:i/>
        </w:rPr>
        <w:t xml:space="preserve"> </w:t>
      </w:r>
      <w:proofErr w:type="spellStart"/>
      <w:r w:rsidR="00E318EB" w:rsidRPr="00E318EB">
        <w:rPr>
          <w:rFonts w:ascii="Arial" w:hAnsi="Arial" w:cs="Arial"/>
          <w:i/>
        </w:rPr>
        <w:t>oxysporum</w:t>
      </w:r>
      <w:proofErr w:type="spellEnd"/>
      <w:r w:rsidR="00E318EB" w:rsidRPr="00E318EB">
        <w:rPr>
          <w:rFonts w:ascii="Arial" w:hAnsi="Arial" w:cs="Arial"/>
          <w:i/>
        </w:rPr>
        <w:t xml:space="preserve">, Capsaicin, Antifungal activity </w:t>
      </w:r>
    </w:p>
    <w:p w14:paraId="76E62593" w14:textId="77777777" w:rsidR="0024282C" w:rsidRDefault="0024282C" w:rsidP="00441B6F">
      <w:pPr>
        <w:pStyle w:val="Body"/>
        <w:spacing w:after="0"/>
        <w:rPr>
          <w:rFonts w:ascii="Arial" w:hAnsi="Arial" w:cs="Arial"/>
          <w:i/>
          <w:sz w:val="18"/>
        </w:rPr>
      </w:pPr>
    </w:p>
    <w:p w14:paraId="763C5F6D" w14:textId="77777777" w:rsidR="00505F06" w:rsidRPr="00A24E7E" w:rsidRDefault="00505F06" w:rsidP="00441B6F">
      <w:pPr>
        <w:pStyle w:val="Body"/>
        <w:spacing w:after="0"/>
        <w:rPr>
          <w:rFonts w:ascii="Arial" w:hAnsi="Arial" w:cs="Arial"/>
          <w:i/>
        </w:rPr>
      </w:pPr>
    </w:p>
    <w:p w14:paraId="0525CF83" w14:textId="77777777"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6969242" w14:textId="77777777" w:rsidR="00E318EB" w:rsidRPr="00FB3A86" w:rsidRDefault="00E318EB" w:rsidP="00441B6F">
      <w:pPr>
        <w:pStyle w:val="AbstHead"/>
        <w:spacing w:after="0"/>
        <w:jc w:val="both"/>
        <w:rPr>
          <w:rFonts w:ascii="Arial" w:hAnsi="Arial" w:cs="Arial"/>
        </w:rPr>
      </w:pPr>
    </w:p>
    <w:p w14:paraId="2975B443" w14:textId="77777777" w:rsidR="00E318EB" w:rsidRPr="00E318EB" w:rsidRDefault="00E318EB" w:rsidP="00E318EB">
      <w:pPr>
        <w:pStyle w:val="Body"/>
        <w:rPr>
          <w:rFonts w:ascii="Arial" w:hAnsi="Arial" w:cs="Arial"/>
        </w:rPr>
      </w:pPr>
      <w:r w:rsidRPr="00E318EB">
        <w:rPr>
          <w:rFonts w:ascii="Arial" w:hAnsi="Arial" w:cs="Arial"/>
        </w:rPr>
        <w:t>Today, plant diseases continue to be one of the limiting factors in crop production, causing yield losses. This issue has become increasingly important as the world population continues to increase. Plant diseases are defined as any diseases that damage the normal structure, function, or economic value of the plant (Lucas et al., 1992). Factors that cause diseases in plants are divided into two categories: biotic and abiotic factors. Biotic factors, such as molds, can be extremely destructive for several reasons: they can multiply very quickly, complete their infection cycle in just a few days, mutate rapidly and develop resistance to fungicides, have spores that can be carried long distances by the wind, produce strong phytotoxic compounds and enzymes that damage plant structures, and even minor lesions like rust can reduce the economic value of the product (Strange, 1993).</w:t>
      </w:r>
    </w:p>
    <w:p w14:paraId="2391305B" w14:textId="77777777" w:rsidR="00E318EB" w:rsidRPr="00E318EB" w:rsidRDefault="00E318EB" w:rsidP="00E318EB">
      <w:pPr>
        <w:pStyle w:val="Body"/>
        <w:rPr>
          <w:rFonts w:ascii="Arial" w:hAnsi="Arial" w:cs="Arial"/>
        </w:rPr>
      </w:pPr>
      <w:r w:rsidRPr="00E318EB">
        <w:rPr>
          <w:rFonts w:ascii="Arial" w:hAnsi="Arial" w:cs="Arial"/>
        </w:rPr>
        <w:t xml:space="preserve">Additionally, molds can contaminate agricultural products before or after harvest. Therefore, they are considered the most common cause of food spoilage, with some species, especially </w:t>
      </w:r>
      <w:r w:rsidRPr="003A2FEB">
        <w:rPr>
          <w:rFonts w:ascii="Arial" w:hAnsi="Arial" w:cs="Arial"/>
          <w:i/>
        </w:rPr>
        <w:t>Aspergillus, Penicillium,</w:t>
      </w:r>
      <w:r w:rsidRPr="00E318EB">
        <w:rPr>
          <w:rFonts w:ascii="Arial" w:hAnsi="Arial" w:cs="Arial"/>
        </w:rPr>
        <w:t xml:space="preserve"> and </w:t>
      </w:r>
      <w:r w:rsidRPr="003A2FEB">
        <w:rPr>
          <w:rFonts w:ascii="Arial" w:hAnsi="Arial" w:cs="Arial"/>
          <w:i/>
        </w:rPr>
        <w:t>Fusarium</w:t>
      </w:r>
      <w:r w:rsidRPr="00E318EB">
        <w:rPr>
          <w:rFonts w:ascii="Arial" w:hAnsi="Arial" w:cs="Arial"/>
        </w:rPr>
        <w:t>, producing mycotoxins (Shuping &amp; Eloff, 2017). Mycotoxins found in foods and feeds pose potential harm to both human and animal health.</w:t>
      </w:r>
    </w:p>
    <w:p w14:paraId="13F8C783" w14:textId="77777777" w:rsidR="00E318EB" w:rsidRPr="00E318EB" w:rsidRDefault="00E318EB" w:rsidP="00E318EB">
      <w:pPr>
        <w:pStyle w:val="Body"/>
        <w:rPr>
          <w:rFonts w:ascii="Arial" w:hAnsi="Arial" w:cs="Arial"/>
        </w:rPr>
      </w:pPr>
      <w:r w:rsidRPr="00E318EB">
        <w:rPr>
          <w:rFonts w:ascii="Arial" w:hAnsi="Arial" w:cs="Arial"/>
        </w:rPr>
        <w:t xml:space="preserve">The genus </w:t>
      </w:r>
      <w:r w:rsidRPr="00C70E2F">
        <w:rPr>
          <w:rFonts w:ascii="Arial" w:hAnsi="Arial" w:cs="Arial"/>
          <w:i/>
        </w:rPr>
        <w:t>Fusarium</w:t>
      </w:r>
      <w:r w:rsidRPr="00E318EB">
        <w:rPr>
          <w:rFonts w:ascii="Arial" w:hAnsi="Arial" w:cs="Arial"/>
        </w:rPr>
        <w:t xml:space="preserve"> is regarded as one of the most adaptive and versatile genera in Eumycota. It consists of soilborne, necrotrophic, plant pathogenic mold, with many species causing serious plant diseases worldwide. The mold can survive in soil as mycelium or spores without its hosts. In the presence of a host, mycelium from germinating spores penetrates the host roots, enters the vascular system (xylem), moves and multiplies within it, and causes the host to develop wilting symptoms. </w:t>
      </w:r>
      <w:commentRangeStart w:id="1"/>
      <w:proofErr w:type="spellStart"/>
      <w:r w:rsidR="002E7A50" w:rsidRPr="002E7A50">
        <w:rPr>
          <w:rFonts w:ascii="Arial" w:hAnsi="Arial" w:cs="Arial"/>
          <w:i/>
        </w:rPr>
        <w:t>Fusarium</w:t>
      </w:r>
      <w:proofErr w:type="spellEnd"/>
      <w:r w:rsidR="002E7A50" w:rsidRPr="002E7A50">
        <w:rPr>
          <w:rFonts w:ascii="Arial" w:hAnsi="Arial" w:cs="Arial"/>
          <w:i/>
        </w:rPr>
        <w:t xml:space="preserve"> </w:t>
      </w:r>
      <w:proofErr w:type="spellStart"/>
      <w:r w:rsidR="002E7A50" w:rsidRPr="002E7A50">
        <w:rPr>
          <w:rFonts w:ascii="Arial" w:hAnsi="Arial" w:cs="Arial"/>
          <w:i/>
        </w:rPr>
        <w:t>oxysporum</w:t>
      </w:r>
      <w:proofErr w:type="spellEnd"/>
      <w:r w:rsidRPr="00E318EB">
        <w:rPr>
          <w:rFonts w:ascii="Arial" w:hAnsi="Arial" w:cs="Arial"/>
        </w:rPr>
        <w:t xml:space="preserve"> </w:t>
      </w:r>
      <w:commentRangeEnd w:id="1"/>
      <w:r w:rsidR="0034574A">
        <w:rPr>
          <w:rStyle w:val="CommentReference"/>
          <w:rFonts w:ascii="Times New Roman" w:hAnsi="Times New Roman"/>
          <w:lang w:val="nb-NO" w:eastAsia="nb-NO"/>
        </w:rPr>
        <w:commentReference w:id="1"/>
      </w:r>
      <w:r w:rsidRPr="00E318EB">
        <w:rPr>
          <w:rFonts w:ascii="Arial" w:hAnsi="Arial" w:cs="Arial"/>
        </w:rPr>
        <w:t xml:space="preserve">is an economically significant member of the </w:t>
      </w:r>
      <w:r w:rsidRPr="003A2FEB">
        <w:rPr>
          <w:rFonts w:ascii="Arial" w:hAnsi="Arial" w:cs="Arial"/>
          <w:i/>
        </w:rPr>
        <w:t xml:space="preserve">Fusarium </w:t>
      </w:r>
      <w:r w:rsidRPr="00E318EB">
        <w:rPr>
          <w:rFonts w:ascii="Arial" w:hAnsi="Arial" w:cs="Arial"/>
        </w:rPr>
        <w:t>genus, primarily causing vascular wilts in many crops (Agrios, 2005).</w:t>
      </w:r>
    </w:p>
    <w:p w14:paraId="4A0AA5C3" w14:textId="77777777" w:rsidR="00E318EB" w:rsidRPr="00E318EB" w:rsidRDefault="00E318EB" w:rsidP="00E318EB">
      <w:pPr>
        <w:pStyle w:val="Body"/>
        <w:rPr>
          <w:rFonts w:ascii="Arial" w:hAnsi="Arial" w:cs="Arial"/>
        </w:rPr>
      </w:pPr>
      <w:r w:rsidRPr="00E318EB">
        <w:rPr>
          <w:rFonts w:ascii="Arial" w:hAnsi="Arial" w:cs="Arial"/>
        </w:rPr>
        <w:lastRenderedPageBreak/>
        <w:t>Nowadays, the use of synthetic fungicides allows for quick and effective treatment of plant diseases and microbial contamination. Considering the undesirable qualities of synthetic fungicides, it is necessary to develop alternative applications that are less harmful to animals and humans and have a reduced environmental impact. In this context, plant-derived compounds are considered a potential source that is safer or more effective than synthetic antimicrobial agents (Sales et al., 2016; Samuel &amp; Chaudhary, 2019). Various studies have shown the antimicrobial, anti-inflammatory, and antioxidant activities of extracts isolated from plants (El-Ghany M et al., 2015; Yusuf et al., 2001).</w:t>
      </w:r>
    </w:p>
    <w:p w14:paraId="1585F406" w14:textId="77777777" w:rsidR="00E318EB" w:rsidRDefault="00E318EB" w:rsidP="00E318EB">
      <w:pPr>
        <w:pStyle w:val="Body"/>
        <w:spacing w:after="0"/>
        <w:rPr>
          <w:rFonts w:ascii="Arial" w:hAnsi="Arial" w:cs="Arial"/>
        </w:rPr>
      </w:pPr>
      <w:r w:rsidRPr="00E318EB">
        <w:rPr>
          <w:rFonts w:ascii="Arial" w:hAnsi="Arial" w:cs="Arial"/>
        </w:rPr>
        <w:t xml:space="preserve">Capsaicin (8-methyl-N-vanillyl-6-nonenamide) is a nitrogen-containing substance belonging to the lipids group (Srinivasan, 2016). It is an alkaloid substance that gives red hot peppers their spiciness (Figure 1). Many studies have shown the antimicrobial activity of capsaicin and its analogs against microorganisms such as </w:t>
      </w:r>
      <w:r w:rsidRPr="003A2FEB">
        <w:rPr>
          <w:rFonts w:ascii="Arial" w:hAnsi="Arial" w:cs="Arial"/>
          <w:i/>
        </w:rPr>
        <w:t>Bacillus subtilis</w:t>
      </w:r>
      <w:r w:rsidRPr="00E318EB">
        <w:rPr>
          <w:rFonts w:ascii="Arial" w:hAnsi="Arial" w:cs="Arial"/>
        </w:rPr>
        <w:t xml:space="preserve"> (Nascimento et al., 2014), </w:t>
      </w:r>
      <w:r w:rsidRPr="003A2FEB">
        <w:rPr>
          <w:rFonts w:ascii="Arial" w:hAnsi="Arial" w:cs="Arial"/>
          <w:i/>
        </w:rPr>
        <w:t>Helicobacter pylori</w:t>
      </w:r>
      <w:r w:rsidRPr="00E318EB">
        <w:rPr>
          <w:rFonts w:ascii="Arial" w:hAnsi="Arial" w:cs="Arial"/>
        </w:rPr>
        <w:t xml:space="preserve"> (Tayseer et al., 2020; </w:t>
      </w:r>
      <w:proofErr w:type="spellStart"/>
      <w:r w:rsidRPr="00E318EB">
        <w:rPr>
          <w:rFonts w:ascii="Arial" w:hAnsi="Arial" w:cs="Arial"/>
        </w:rPr>
        <w:t>Yildiz</w:t>
      </w:r>
      <w:proofErr w:type="spellEnd"/>
      <w:r w:rsidRPr="00E318EB">
        <w:rPr>
          <w:rFonts w:ascii="Arial" w:hAnsi="Arial" w:cs="Arial"/>
        </w:rPr>
        <w:t xml:space="preserve"> </w:t>
      </w:r>
      <w:proofErr w:type="spellStart"/>
      <w:r w:rsidRPr="00E318EB">
        <w:rPr>
          <w:rFonts w:ascii="Arial" w:hAnsi="Arial" w:cs="Arial"/>
        </w:rPr>
        <w:t>Zeyrek</w:t>
      </w:r>
      <w:proofErr w:type="spellEnd"/>
      <w:r w:rsidRPr="00E318EB">
        <w:rPr>
          <w:rFonts w:ascii="Arial" w:hAnsi="Arial" w:cs="Arial"/>
        </w:rPr>
        <w:t xml:space="preserve"> &amp; </w:t>
      </w:r>
      <w:proofErr w:type="spellStart"/>
      <w:r w:rsidRPr="00E318EB">
        <w:rPr>
          <w:rFonts w:ascii="Arial" w:hAnsi="Arial" w:cs="Arial"/>
        </w:rPr>
        <w:t>Oguz</w:t>
      </w:r>
      <w:proofErr w:type="spellEnd"/>
      <w:r w:rsidRPr="00E318EB">
        <w:rPr>
          <w:rFonts w:ascii="Arial" w:hAnsi="Arial" w:cs="Arial"/>
        </w:rPr>
        <w:t xml:space="preserve">, 2005), </w:t>
      </w:r>
      <w:r w:rsidRPr="003A2FEB">
        <w:rPr>
          <w:rFonts w:ascii="Arial" w:hAnsi="Arial" w:cs="Arial"/>
          <w:i/>
        </w:rPr>
        <w:t>Escherichia coli</w:t>
      </w:r>
      <w:r w:rsidRPr="00E318EB">
        <w:rPr>
          <w:rFonts w:ascii="Arial" w:hAnsi="Arial" w:cs="Arial"/>
        </w:rPr>
        <w:t xml:space="preserve"> (Morrine et al., 2018), and </w:t>
      </w:r>
      <w:proofErr w:type="spellStart"/>
      <w:r w:rsidRPr="003A2FEB">
        <w:rPr>
          <w:rFonts w:ascii="Arial" w:hAnsi="Arial" w:cs="Arial"/>
          <w:i/>
        </w:rPr>
        <w:t>Aspergillus</w:t>
      </w:r>
      <w:proofErr w:type="spellEnd"/>
      <w:r w:rsidRPr="003A2FEB">
        <w:rPr>
          <w:rFonts w:ascii="Arial" w:hAnsi="Arial" w:cs="Arial"/>
          <w:i/>
        </w:rPr>
        <w:t xml:space="preserve"> </w:t>
      </w:r>
      <w:proofErr w:type="spellStart"/>
      <w:r w:rsidRPr="003A2FEB">
        <w:rPr>
          <w:rFonts w:ascii="Arial" w:hAnsi="Arial" w:cs="Arial"/>
          <w:i/>
        </w:rPr>
        <w:t>parasiticus</w:t>
      </w:r>
      <w:proofErr w:type="spellEnd"/>
      <w:r w:rsidRPr="00E318EB">
        <w:rPr>
          <w:rFonts w:ascii="Arial" w:hAnsi="Arial" w:cs="Arial"/>
        </w:rPr>
        <w:t xml:space="preserve"> (</w:t>
      </w:r>
      <w:proofErr w:type="spellStart"/>
      <w:r w:rsidRPr="00E318EB">
        <w:rPr>
          <w:rFonts w:ascii="Arial" w:hAnsi="Arial" w:cs="Arial"/>
        </w:rPr>
        <w:t>Buitimea-Cantúa</w:t>
      </w:r>
      <w:proofErr w:type="spellEnd"/>
      <w:r w:rsidRPr="00E318EB">
        <w:rPr>
          <w:rFonts w:ascii="Arial" w:hAnsi="Arial" w:cs="Arial"/>
        </w:rPr>
        <w:t xml:space="preserve"> et al., 2020). </w:t>
      </w:r>
    </w:p>
    <w:p w14:paraId="4EEF36E9" w14:textId="77777777" w:rsidR="002E7A50" w:rsidRDefault="002E7A50" w:rsidP="00E318EB">
      <w:pPr>
        <w:pStyle w:val="Body"/>
        <w:spacing w:after="0"/>
        <w:rPr>
          <w:rFonts w:ascii="Arial" w:hAnsi="Arial" w:cs="Arial"/>
        </w:rPr>
      </w:pPr>
    </w:p>
    <w:p w14:paraId="4A1A7358" w14:textId="77777777" w:rsidR="00E318EB" w:rsidRDefault="00E318EB" w:rsidP="00E318EB">
      <w:pPr>
        <w:pStyle w:val="Body"/>
        <w:spacing w:after="0"/>
        <w:rPr>
          <w:rFonts w:ascii="Arial" w:hAnsi="Arial" w:cs="Arial"/>
        </w:rPr>
      </w:pPr>
      <w:r w:rsidRPr="00E318EB">
        <w:rPr>
          <w:rFonts w:ascii="Calibri" w:eastAsia="Calibri" w:hAnsi="Calibri"/>
          <w:noProof/>
          <w:sz w:val="22"/>
          <w:szCs w:val="22"/>
        </w:rPr>
        <w:drawing>
          <wp:inline distT="0" distB="0" distL="0" distR="0" wp14:anchorId="5D6F2398" wp14:editId="0BB55E35">
            <wp:extent cx="3877310" cy="10306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77310" cy="1030605"/>
                    </a:xfrm>
                    <a:prstGeom prst="rect">
                      <a:avLst/>
                    </a:prstGeom>
                    <a:noFill/>
                  </pic:spPr>
                </pic:pic>
              </a:graphicData>
            </a:graphic>
          </wp:inline>
        </w:drawing>
      </w:r>
    </w:p>
    <w:p w14:paraId="73C7C39E" w14:textId="77777777" w:rsidR="003A2FEB" w:rsidRDefault="003A2FEB" w:rsidP="00E318EB">
      <w:pPr>
        <w:pStyle w:val="Body"/>
        <w:spacing w:after="0"/>
        <w:rPr>
          <w:rFonts w:ascii="Arial" w:hAnsi="Arial" w:cs="Arial"/>
        </w:rPr>
      </w:pPr>
    </w:p>
    <w:p w14:paraId="51A87DA2" w14:textId="77777777" w:rsidR="00E318EB" w:rsidRPr="00E318EB" w:rsidRDefault="00F70752" w:rsidP="00E318EB">
      <w:pPr>
        <w:pStyle w:val="Body"/>
        <w:rPr>
          <w:rFonts w:ascii="Arial" w:hAnsi="Arial" w:cs="Arial"/>
        </w:rPr>
      </w:pPr>
      <w:r>
        <w:rPr>
          <w:rFonts w:ascii="Arial" w:hAnsi="Arial" w:cs="Arial"/>
          <w:b/>
        </w:rPr>
        <w:t>Fig.</w:t>
      </w:r>
      <w:r w:rsidR="00E318EB" w:rsidRPr="00E318EB">
        <w:rPr>
          <w:rFonts w:ascii="Arial" w:hAnsi="Arial" w:cs="Arial"/>
          <w:b/>
        </w:rPr>
        <w:t xml:space="preserve"> 1.</w:t>
      </w:r>
      <w:r w:rsidR="00E318EB" w:rsidRPr="00E318EB">
        <w:rPr>
          <w:rFonts w:ascii="Arial" w:hAnsi="Arial" w:cs="Arial"/>
        </w:rPr>
        <w:t xml:space="preserve"> Chemical structure of </w:t>
      </w:r>
      <w:commentRangeStart w:id="2"/>
      <w:r w:rsidR="00E318EB" w:rsidRPr="00E318EB">
        <w:rPr>
          <w:rFonts w:ascii="Arial" w:hAnsi="Arial" w:cs="Arial"/>
        </w:rPr>
        <w:t>capsaicin</w:t>
      </w:r>
      <w:commentRangeEnd w:id="2"/>
      <w:r w:rsidR="00180F61">
        <w:rPr>
          <w:rStyle w:val="CommentReference"/>
          <w:rFonts w:ascii="Times New Roman" w:hAnsi="Times New Roman"/>
          <w:lang w:val="nb-NO" w:eastAsia="nb-NO"/>
        </w:rPr>
        <w:commentReference w:id="2"/>
      </w:r>
    </w:p>
    <w:p w14:paraId="47E885CB" w14:textId="77777777" w:rsidR="00E318EB" w:rsidRDefault="00E318EB" w:rsidP="00E318EB">
      <w:pPr>
        <w:pStyle w:val="Body"/>
        <w:spacing w:after="0"/>
        <w:rPr>
          <w:rFonts w:ascii="Arial" w:hAnsi="Arial" w:cs="Arial"/>
        </w:rPr>
      </w:pPr>
      <w:r w:rsidRPr="00E318EB">
        <w:rPr>
          <w:rFonts w:ascii="Arial" w:hAnsi="Arial" w:cs="Arial"/>
        </w:rPr>
        <w:t xml:space="preserve">The long-term goal of this work is to develop new alternative control methods for plant pathogens that can replace synthetic fungicides. In this study, the fungicidal effects of capsaicin against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xml:space="preserve"> have been demonstrated </w:t>
      </w:r>
      <w:r w:rsidR="002E7A50" w:rsidRPr="002E7A50">
        <w:rPr>
          <w:rFonts w:ascii="Arial" w:hAnsi="Arial" w:cs="Arial"/>
          <w:i/>
        </w:rPr>
        <w:t>in vitro</w:t>
      </w:r>
      <w:r w:rsidRPr="00E318EB">
        <w:rPr>
          <w:rFonts w:ascii="Arial" w:hAnsi="Arial" w:cs="Arial"/>
        </w:rPr>
        <w:t>.</w:t>
      </w:r>
    </w:p>
    <w:p w14:paraId="3E61A3B3" w14:textId="77777777" w:rsidR="00E318EB" w:rsidRDefault="00E318EB" w:rsidP="00441B6F">
      <w:pPr>
        <w:pStyle w:val="AbstHead"/>
        <w:spacing w:after="0"/>
        <w:jc w:val="both"/>
        <w:rPr>
          <w:rFonts w:ascii="Arial" w:hAnsi="Arial" w:cs="Arial"/>
        </w:rPr>
      </w:pPr>
    </w:p>
    <w:p w14:paraId="42D1D388" w14:textId="77777777"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6ACE984" w14:textId="77777777" w:rsidR="003A2FEB" w:rsidRPr="00FB3A86" w:rsidRDefault="003A2FEB" w:rsidP="00441B6F">
      <w:pPr>
        <w:pStyle w:val="AbstHead"/>
        <w:spacing w:after="0"/>
        <w:jc w:val="both"/>
        <w:rPr>
          <w:rFonts w:ascii="Arial" w:hAnsi="Arial" w:cs="Arial"/>
        </w:rPr>
      </w:pPr>
    </w:p>
    <w:p w14:paraId="32873004" w14:textId="77777777" w:rsidR="00E318EB" w:rsidRPr="00E318EB" w:rsidRDefault="00E318EB" w:rsidP="00E318EB">
      <w:pPr>
        <w:pStyle w:val="Body"/>
        <w:rPr>
          <w:rFonts w:ascii="Arial" w:hAnsi="Arial" w:cs="Arial"/>
        </w:rPr>
      </w:pPr>
      <w:r w:rsidRPr="00E318EB">
        <w:rPr>
          <w:rFonts w:ascii="Arial" w:hAnsi="Arial" w:cs="Arial"/>
        </w:rPr>
        <w:t xml:space="preserve">In this study, </w:t>
      </w:r>
      <w:r w:rsidR="002E7A50" w:rsidRPr="002E7A50">
        <w:rPr>
          <w:rFonts w:ascii="Arial" w:hAnsi="Arial" w:cs="Arial"/>
          <w:i/>
        </w:rPr>
        <w:t xml:space="preserve">F. </w:t>
      </w:r>
      <w:commentRangeStart w:id="3"/>
      <w:proofErr w:type="spellStart"/>
      <w:r w:rsidR="002E7A50" w:rsidRPr="002E7A50">
        <w:rPr>
          <w:rFonts w:ascii="Arial" w:hAnsi="Arial" w:cs="Arial"/>
          <w:i/>
        </w:rPr>
        <w:t>oxysporum</w:t>
      </w:r>
      <w:commentRangeEnd w:id="3"/>
      <w:proofErr w:type="spellEnd"/>
      <w:r w:rsidR="00180F61">
        <w:rPr>
          <w:rStyle w:val="CommentReference"/>
          <w:rFonts w:ascii="Times New Roman" w:hAnsi="Times New Roman"/>
          <w:lang w:val="nb-NO" w:eastAsia="nb-NO"/>
        </w:rPr>
        <w:commentReference w:id="3"/>
      </w:r>
      <w:r w:rsidRPr="00E318EB">
        <w:rPr>
          <w:rFonts w:ascii="Arial" w:hAnsi="Arial" w:cs="Arial"/>
        </w:rPr>
        <w:t xml:space="preserve"> was used. It was inoculated on </w:t>
      </w:r>
      <w:proofErr w:type="spellStart"/>
      <w:r w:rsidRPr="00E318EB">
        <w:rPr>
          <w:rFonts w:ascii="Arial" w:hAnsi="Arial" w:cs="Arial"/>
        </w:rPr>
        <w:t>Sabouraud</w:t>
      </w:r>
      <w:proofErr w:type="spellEnd"/>
      <w:r w:rsidRPr="00E318EB">
        <w:rPr>
          <w:rFonts w:ascii="Arial" w:hAnsi="Arial" w:cs="Arial"/>
        </w:rPr>
        <w:t xml:space="preserve"> Dextrose Agar (SDA; 40 g/L glucose, 20 g/L peptone, and 15 g/L agar) for five days at 30°C. </w:t>
      </w:r>
    </w:p>
    <w:p w14:paraId="0749D2BD" w14:textId="77777777" w:rsidR="00E318EB" w:rsidRPr="00E318EB" w:rsidRDefault="00E318EB" w:rsidP="00E318EB">
      <w:pPr>
        <w:pStyle w:val="Body"/>
        <w:rPr>
          <w:rFonts w:ascii="Arial" w:hAnsi="Arial" w:cs="Arial"/>
        </w:rPr>
      </w:pPr>
      <w:r w:rsidRPr="00E318EB">
        <w:rPr>
          <w:rFonts w:ascii="Arial" w:hAnsi="Arial" w:cs="Arial"/>
        </w:rPr>
        <w:t xml:space="preserve">Capsaicin (Sigma Chemical C., St. Louis, MO, USA) was used as an antifungal compound dissolved in ethanol. Then, different concentrations of capsaicin (125, 500, and 1000 ppm) were prepared and added to SDA. About 20 ml of the growth medium was poured into each Petri dish and allowed to solidify. A six mm disc of 5-day-old culture of the test fungi was placed at the center of the Petri dish and incubated at 30°C for eight days, the growth was measured by “mycelial growth area” on the agar. </w:t>
      </w:r>
    </w:p>
    <w:p w14:paraId="36264280" w14:textId="77777777" w:rsidR="00E318EB" w:rsidRPr="00E318EB" w:rsidRDefault="00E318EB" w:rsidP="00E318EB">
      <w:pPr>
        <w:pStyle w:val="Body"/>
        <w:rPr>
          <w:rFonts w:ascii="Arial" w:hAnsi="Arial" w:cs="Arial"/>
        </w:rPr>
      </w:pPr>
      <w:r w:rsidRPr="00E318EB">
        <w:rPr>
          <w:rFonts w:ascii="Arial" w:hAnsi="Arial" w:cs="Arial"/>
        </w:rPr>
        <w:t xml:space="preserve">The mycelial growth area was determined via image analysis; pictures of Petri plates were taken daily (sample pictures are given in Figure 2), and the mycelial area was calculated by image and photo editing software (Paint.NET, Freeware). </w:t>
      </w:r>
    </w:p>
    <w:p w14:paraId="74D1F7EC" w14:textId="77777777" w:rsidR="00E318EB" w:rsidRDefault="00E318EB" w:rsidP="00E318EB">
      <w:pPr>
        <w:pStyle w:val="Body"/>
        <w:spacing w:after="0"/>
        <w:rPr>
          <w:rFonts w:ascii="Arial" w:hAnsi="Arial" w:cs="Arial"/>
        </w:rPr>
      </w:pPr>
      <w:r w:rsidRPr="00E318EB">
        <w:rPr>
          <w:rFonts w:ascii="Arial" w:hAnsi="Arial" w:cs="Arial"/>
        </w:rPr>
        <w:t>For each treatment, three replicates were used. SDA medium without capsaicin served as a control. The fungitoxicity of capsaicin in terms of percentage inhibition of mycelial growth was calculated by using the formula (Samuel &amp; Chaudhary, 2019):</w:t>
      </w:r>
    </w:p>
    <w:p w14:paraId="36210741" w14:textId="77777777" w:rsidR="00E318EB" w:rsidRDefault="00E318EB" w:rsidP="00E318EB">
      <w:pPr>
        <w:pStyle w:val="Body"/>
        <w:spacing w:after="0"/>
        <w:rPr>
          <w:rFonts w:ascii="Arial" w:hAnsi="Arial" w:cs="Arial"/>
        </w:rPr>
      </w:pPr>
    </w:p>
    <w:p w14:paraId="2C201F75" w14:textId="77777777" w:rsidR="00E318EB" w:rsidRPr="00E318EB" w:rsidRDefault="00E318EB" w:rsidP="00E318EB">
      <w:pPr>
        <w:pStyle w:val="Body"/>
        <w:spacing w:after="0"/>
        <w:rPr>
          <w:rFonts w:ascii="Arial" w:hAnsi="Arial" w:cs="Arial"/>
          <w:sz w:val="22"/>
          <w:szCs w:val="22"/>
        </w:rPr>
      </w:pPr>
      <m:oMathPara>
        <m:oMath>
          <m:r>
            <m:rPr>
              <m:sty m:val="p"/>
            </m:rPr>
            <w:rPr>
              <w:rFonts w:ascii="Cambria Math" w:eastAsia="Calibri" w:hAnsi="Cambria Math" w:cs="Calibri"/>
              <w:sz w:val="22"/>
              <w:szCs w:val="22"/>
            </w:rPr>
            <m:t>% Inhibition</m:t>
          </m:r>
          <m:r>
            <w:rPr>
              <w:rFonts w:ascii="Cambria Math" w:eastAsia="Calibri" w:hAnsi="Cambria Math" w:cs="Calibri"/>
              <w:sz w:val="22"/>
              <w:szCs w:val="22"/>
            </w:rPr>
            <m:t xml:space="preserve"> =</m:t>
          </m:r>
          <m:r>
            <w:rPr>
              <w:rFonts w:ascii="Cambria Math" w:hAnsi="Cambria Math" w:cs="Calibri"/>
              <w:sz w:val="22"/>
              <w:szCs w:val="22"/>
            </w:rPr>
            <m:t xml:space="preserve"> </m:t>
          </m:r>
          <m:f>
            <m:fPr>
              <m:ctrlPr>
                <w:rPr>
                  <w:rFonts w:ascii="Cambria Math" w:hAnsi="Cambria Math" w:cs="Calibri"/>
                  <w:sz w:val="22"/>
                  <w:szCs w:val="22"/>
                </w:rPr>
              </m:ctrlPr>
            </m:fPr>
            <m:num>
              <m:r>
                <m:rPr>
                  <m:sty m:val="p"/>
                </m:rPr>
                <w:rPr>
                  <w:rFonts w:ascii="Cambria Math" w:eastAsia="Calibri" w:hAnsi="Cambria Math" w:cs="Calibri"/>
                  <w:sz w:val="22"/>
                  <w:szCs w:val="22"/>
                </w:rPr>
                <m:t>dc-dt</m:t>
              </m:r>
            </m:num>
            <m:den>
              <m:r>
                <m:rPr>
                  <m:sty m:val="p"/>
                </m:rPr>
                <w:rPr>
                  <w:rFonts w:ascii="Cambria Math" w:eastAsia="Calibri" w:hAnsi="Cambria Math" w:cs="Calibri"/>
                  <w:sz w:val="22"/>
                  <w:szCs w:val="22"/>
                </w:rPr>
                <m:t>dc</m:t>
              </m:r>
            </m:den>
          </m:f>
          <m:r>
            <m:rPr>
              <m:sty m:val="p"/>
            </m:rPr>
            <w:rPr>
              <w:rFonts w:ascii="Cambria Math" w:hAnsi="Cambria Math" w:cs="Calibri"/>
              <w:sz w:val="22"/>
              <w:szCs w:val="22"/>
            </w:rPr>
            <m:t>×</m:t>
          </m:r>
          <m:r>
            <w:rPr>
              <w:rFonts w:ascii="Cambria Math" w:hAnsi="Cambria Math" w:cs="Calibri"/>
              <w:sz w:val="22"/>
              <w:szCs w:val="22"/>
            </w:rPr>
            <m:t>100</m:t>
          </m:r>
        </m:oMath>
      </m:oMathPara>
    </w:p>
    <w:p w14:paraId="676392FC" w14:textId="77777777" w:rsidR="00E318EB" w:rsidRPr="00E318EB" w:rsidRDefault="00E318EB" w:rsidP="00E318EB">
      <w:pPr>
        <w:pStyle w:val="Body"/>
        <w:rPr>
          <w:rFonts w:ascii="Arial" w:hAnsi="Arial" w:cs="Arial"/>
          <w:szCs w:val="22"/>
        </w:rPr>
      </w:pPr>
      <w:r w:rsidRPr="00E318EB">
        <w:rPr>
          <w:rFonts w:ascii="Arial" w:hAnsi="Arial" w:cs="Arial"/>
          <w:szCs w:val="22"/>
        </w:rPr>
        <w:t xml:space="preserve">Where, </w:t>
      </w:r>
    </w:p>
    <w:p w14:paraId="720AB253" w14:textId="77777777" w:rsidR="00E318EB" w:rsidRPr="00E318EB" w:rsidRDefault="00E318EB" w:rsidP="00E318EB">
      <w:pPr>
        <w:pStyle w:val="Body"/>
        <w:rPr>
          <w:rFonts w:ascii="Arial" w:hAnsi="Arial" w:cs="Arial"/>
          <w:szCs w:val="22"/>
        </w:rPr>
      </w:pPr>
      <w:proofErr w:type="gramStart"/>
      <w:r w:rsidRPr="00E318EB">
        <w:rPr>
          <w:rFonts w:ascii="Arial" w:hAnsi="Arial" w:cs="Arial"/>
          <w:szCs w:val="22"/>
        </w:rPr>
        <w:lastRenderedPageBreak/>
        <w:t>dc</w:t>
      </w:r>
      <w:proofErr w:type="gramEnd"/>
      <w:r w:rsidRPr="00E318EB">
        <w:rPr>
          <w:rFonts w:ascii="Arial" w:hAnsi="Arial" w:cs="Arial"/>
          <w:szCs w:val="22"/>
        </w:rPr>
        <w:t xml:space="preserve"> = average area increase in mycelial growth in control plates, </w:t>
      </w:r>
    </w:p>
    <w:p w14:paraId="1F67FFC2" w14:textId="77777777" w:rsidR="00E318EB" w:rsidRPr="00E318EB" w:rsidRDefault="00E318EB" w:rsidP="00E318EB">
      <w:pPr>
        <w:pStyle w:val="Body"/>
        <w:spacing w:after="0"/>
        <w:rPr>
          <w:rFonts w:ascii="Arial" w:hAnsi="Arial" w:cs="Arial"/>
          <w:szCs w:val="22"/>
        </w:rPr>
      </w:pPr>
      <w:proofErr w:type="gramStart"/>
      <w:r w:rsidRPr="00E318EB">
        <w:rPr>
          <w:rFonts w:ascii="Arial" w:hAnsi="Arial" w:cs="Arial"/>
          <w:szCs w:val="22"/>
        </w:rPr>
        <w:t>dt</w:t>
      </w:r>
      <w:proofErr w:type="gramEnd"/>
      <w:r w:rsidRPr="00E318EB">
        <w:rPr>
          <w:rFonts w:ascii="Arial" w:hAnsi="Arial" w:cs="Arial"/>
          <w:szCs w:val="22"/>
        </w:rPr>
        <w:t xml:space="preserve"> = average area increase at each treatment </w:t>
      </w:r>
      <w:commentRangeStart w:id="4"/>
      <w:r w:rsidRPr="00E318EB">
        <w:rPr>
          <w:rFonts w:ascii="Arial" w:hAnsi="Arial" w:cs="Arial"/>
          <w:szCs w:val="22"/>
        </w:rPr>
        <w:t>plate</w:t>
      </w:r>
      <w:commentRangeEnd w:id="4"/>
      <w:r w:rsidR="0034574A">
        <w:rPr>
          <w:rStyle w:val="CommentReference"/>
          <w:rFonts w:ascii="Times New Roman" w:hAnsi="Times New Roman"/>
          <w:lang w:val="nb-NO" w:eastAsia="nb-NO"/>
        </w:rPr>
        <w:commentReference w:id="4"/>
      </w:r>
      <w:r w:rsidRPr="00E318EB">
        <w:rPr>
          <w:rFonts w:ascii="Arial" w:hAnsi="Arial" w:cs="Arial"/>
          <w:szCs w:val="22"/>
        </w:rPr>
        <w:t>.</w:t>
      </w:r>
    </w:p>
    <w:p w14:paraId="73CB74A3" w14:textId="77777777" w:rsidR="00E318EB" w:rsidRDefault="00E318EB" w:rsidP="00E318EB">
      <w:pPr>
        <w:pStyle w:val="Body"/>
        <w:spacing w:after="0"/>
        <w:rPr>
          <w:rFonts w:ascii="Arial" w:hAnsi="Arial" w:cs="Arial"/>
        </w:rPr>
      </w:pPr>
    </w:p>
    <w:p w14:paraId="5F469623" w14:textId="77777777" w:rsidR="00790ADA" w:rsidRPr="00FB3A86" w:rsidRDefault="00790ADA" w:rsidP="00441B6F">
      <w:pPr>
        <w:pStyle w:val="Body"/>
        <w:spacing w:after="0"/>
        <w:rPr>
          <w:rFonts w:ascii="Arial" w:hAnsi="Arial" w:cs="Arial"/>
        </w:rPr>
      </w:pPr>
    </w:p>
    <w:p w14:paraId="31FA9F8C"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76C787BC" w14:textId="77777777" w:rsidR="00790ADA" w:rsidRPr="00FB3A86" w:rsidRDefault="00790ADA" w:rsidP="00441B6F">
      <w:pPr>
        <w:pStyle w:val="Head1"/>
        <w:spacing w:after="0"/>
        <w:jc w:val="both"/>
        <w:rPr>
          <w:rFonts w:ascii="Arial" w:hAnsi="Arial" w:cs="Arial"/>
        </w:rPr>
      </w:pPr>
    </w:p>
    <w:p w14:paraId="5FAF3B3E" w14:textId="77777777" w:rsidR="00E318EB" w:rsidRPr="00E318EB" w:rsidRDefault="00E318EB" w:rsidP="00E318EB">
      <w:pPr>
        <w:pStyle w:val="Body"/>
        <w:rPr>
          <w:rFonts w:ascii="Arial" w:hAnsi="Arial" w:cs="Arial"/>
        </w:rPr>
      </w:pPr>
      <w:r w:rsidRPr="00E318EB">
        <w:rPr>
          <w:rFonts w:ascii="Arial" w:hAnsi="Arial" w:cs="Arial"/>
        </w:rPr>
        <w:t xml:space="preserve">The following results provide a detailed analysis of the concentration-dependent antifungal effects of capsaicin on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xml:space="preserve"> </w:t>
      </w:r>
      <w:proofErr w:type="spellStart"/>
      <w:r w:rsidRPr="00E318EB">
        <w:rPr>
          <w:rFonts w:ascii="Arial" w:hAnsi="Arial" w:cs="Arial"/>
        </w:rPr>
        <w:t>mycelial</w:t>
      </w:r>
      <w:proofErr w:type="spellEnd"/>
      <w:r w:rsidRPr="00E318EB">
        <w:rPr>
          <w:rFonts w:ascii="Arial" w:hAnsi="Arial" w:cs="Arial"/>
        </w:rPr>
        <w:t xml:space="preserve"> growth, as observed through visual data and inhibition rate measurements over time. The data highlight how varying concentrations of capsaicin (0 ppm, 125 ppm, 500 ppm, and 1000 ppm) impact fungal growth, demonstrating that higher concentrations of capsaicin result in stronger and faster inhibition. The visual observations and corresponding inhibition rates confirm the potential of capsaicin as an effective antifungal agent, with its efficacy increasing with concentration and reaching a plateau after a certain period.</w:t>
      </w:r>
    </w:p>
    <w:p w14:paraId="6080B4C7" w14:textId="34C10648" w:rsidR="00E318EB" w:rsidRDefault="00E318EB" w:rsidP="00E318EB">
      <w:pPr>
        <w:pStyle w:val="Body"/>
        <w:spacing w:after="0"/>
        <w:rPr>
          <w:rFonts w:ascii="Arial" w:hAnsi="Arial" w:cs="Arial"/>
        </w:rPr>
      </w:pPr>
      <w:r w:rsidRPr="00E318EB">
        <w:rPr>
          <w:rFonts w:ascii="Arial" w:hAnsi="Arial" w:cs="Arial"/>
        </w:rPr>
        <w:t xml:space="preserve">Figure 2 illustrates the concentration-dependent antifungal effect of capsaicin on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xml:space="preserve">. In the control group (0 ppm), fungal growth is rapid, with significant growth visible by day 3 and full colonization of the plate by day 8. Moreover, a pinkish coloration appears, indicating sporulation or pigment production, confirming unhindered growth. At 125 ppm, the fungus grows more slowly than the control, with notable growth by day 3. By day 8, the fungus continues to spread, although the inhibition is slight. This suggests that 125 ppm has a mild inhibitory effect, delaying but not preventing growth. At 500 ppm, fungal growth is significantly restricted, with only small colonies visible by day 3. Throughout the experiment, the growth remains minimal, and the inhibition of fungal spread is much stronger than the lower concentrations. Finally, at 1000 ppm, the highest concentration, fungal growth is almost completely suppressed. Even by day 3, very little growth is visible, and by day 8, the fungus remains confined to the area around the inoculum, with no significant spread or </w:t>
      </w:r>
      <w:proofErr w:type="spellStart"/>
      <w:r w:rsidR="00181881">
        <w:rPr>
          <w:rFonts w:ascii="Arial" w:hAnsi="Arial" w:cs="Arial"/>
        </w:rPr>
        <w:t>fested</w:t>
      </w:r>
      <w:proofErr w:type="spellEnd"/>
      <w:r w:rsidR="00181881">
        <w:rPr>
          <w:rFonts w:ascii="Arial" w:hAnsi="Arial" w:cs="Arial"/>
        </w:rPr>
        <w:t xml:space="preserve"> or </w:t>
      </w:r>
      <w:r w:rsidRPr="00E318EB">
        <w:rPr>
          <w:rFonts w:ascii="Arial" w:hAnsi="Arial" w:cs="Arial"/>
        </w:rPr>
        <w:t>sporulation. This demonstrates that capsaicin has a concentration-dependent effect, with higher concentrations showing stronger antifungal activity.</w:t>
      </w:r>
    </w:p>
    <w:p w14:paraId="44A42EC7" w14:textId="77777777" w:rsidR="00E318EB" w:rsidRDefault="00E318EB" w:rsidP="00E318EB">
      <w:pPr>
        <w:pStyle w:val="Body"/>
        <w:spacing w:after="0"/>
        <w:rPr>
          <w:rFonts w:ascii="Arial" w:hAnsi="Arial" w:cs="Arial"/>
        </w:rPr>
      </w:pPr>
    </w:p>
    <w:p w14:paraId="69A36520" w14:textId="77777777" w:rsidR="00E318EB" w:rsidRDefault="00E318EB" w:rsidP="00E318EB">
      <w:pPr>
        <w:pStyle w:val="Body"/>
        <w:spacing w:after="0"/>
        <w:rPr>
          <w:rFonts w:ascii="Arial" w:hAnsi="Arial" w:cs="Arial"/>
        </w:rPr>
      </w:pPr>
    </w:p>
    <w:p w14:paraId="3C6B7EDA" w14:textId="77777777" w:rsidR="00E318EB" w:rsidRDefault="00E318EB" w:rsidP="00E318EB">
      <w:pPr>
        <w:pStyle w:val="Body"/>
        <w:spacing w:after="0"/>
        <w:rPr>
          <w:rFonts w:ascii="Arial" w:hAnsi="Arial" w:cs="Arial"/>
        </w:rPr>
      </w:pPr>
      <w:r>
        <w:rPr>
          <w:rFonts w:ascii="Arial" w:hAnsi="Arial" w:cs="Arial"/>
          <w:noProof/>
        </w:rPr>
        <w:drawing>
          <wp:inline distT="0" distB="0" distL="0" distR="0" wp14:anchorId="47EBBE84" wp14:editId="39F8AEB0">
            <wp:extent cx="5262163" cy="26716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2604" cy="2671862"/>
                    </a:xfrm>
                    <a:prstGeom prst="rect">
                      <a:avLst/>
                    </a:prstGeom>
                    <a:noFill/>
                  </pic:spPr>
                </pic:pic>
              </a:graphicData>
            </a:graphic>
          </wp:inline>
        </w:drawing>
      </w:r>
    </w:p>
    <w:p w14:paraId="02EE3F33" w14:textId="77777777" w:rsidR="00E318EB" w:rsidRPr="00E318EB" w:rsidRDefault="00E318EB" w:rsidP="00E318EB">
      <w:pPr>
        <w:pStyle w:val="Body"/>
        <w:rPr>
          <w:rFonts w:ascii="Arial" w:hAnsi="Arial" w:cs="Arial"/>
        </w:rPr>
      </w:pPr>
      <w:r w:rsidRPr="00F70752">
        <w:rPr>
          <w:rFonts w:ascii="Arial" w:hAnsi="Arial" w:cs="Arial"/>
          <w:b/>
        </w:rPr>
        <w:t>Fig</w:t>
      </w:r>
      <w:r w:rsidR="00F70752" w:rsidRPr="00F70752">
        <w:rPr>
          <w:rFonts w:ascii="Arial" w:hAnsi="Arial" w:cs="Arial"/>
          <w:b/>
        </w:rPr>
        <w:t>.</w:t>
      </w:r>
      <w:r w:rsidRPr="00F70752">
        <w:rPr>
          <w:rFonts w:ascii="Arial" w:hAnsi="Arial" w:cs="Arial"/>
          <w:b/>
        </w:rPr>
        <w:t xml:space="preserve"> 2.</w:t>
      </w:r>
      <w:r w:rsidRPr="00E318EB">
        <w:rPr>
          <w:rFonts w:ascii="Arial" w:hAnsi="Arial" w:cs="Arial"/>
        </w:rPr>
        <w:t xml:space="preserve"> The visual comparison of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xml:space="preserve"> </w:t>
      </w:r>
      <w:proofErr w:type="spellStart"/>
      <w:r w:rsidRPr="00E318EB">
        <w:rPr>
          <w:rFonts w:ascii="Arial" w:hAnsi="Arial" w:cs="Arial"/>
        </w:rPr>
        <w:t>mycelial</w:t>
      </w:r>
      <w:proofErr w:type="spellEnd"/>
      <w:r w:rsidRPr="00E318EB">
        <w:rPr>
          <w:rFonts w:ascii="Arial" w:hAnsi="Arial" w:cs="Arial"/>
        </w:rPr>
        <w:t xml:space="preserve"> growth over time on plates containing different concentrations of capsaicin (0 ppm, 125 ppm, 500 ppm, and 1000 ppm). </w:t>
      </w:r>
      <w:r w:rsidRPr="00E318EB">
        <w:rPr>
          <w:rFonts w:ascii="Arial" w:hAnsi="Arial" w:cs="Arial"/>
        </w:rPr>
        <w:lastRenderedPageBreak/>
        <w:t>Each row corresponds to a specific capsaicin concentration, while each column represents a time point (from day 1 to day 8).</w:t>
      </w:r>
    </w:p>
    <w:p w14:paraId="08FB3E61" w14:textId="77777777" w:rsidR="00E318EB" w:rsidRDefault="00E318EB" w:rsidP="00E318EB">
      <w:pPr>
        <w:pStyle w:val="Body"/>
        <w:spacing w:after="0"/>
        <w:rPr>
          <w:rFonts w:ascii="Arial" w:hAnsi="Arial" w:cs="Arial"/>
        </w:rPr>
      </w:pPr>
      <w:r w:rsidRPr="00E318EB">
        <w:rPr>
          <w:rFonts w:ascii="Arial" w:hAnsi="Arial" w:cs="Arial"/>
        </w:rPr>
        <w:t xml:space="preserve">According to Figure 3, the growth of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xml:space="preserve"> in the control group (without capsaicin) shows steady but gradual growth and is similar to the control in the early days (days 1-3) at 125 ppm capsaicin. However, after day 3, the growth rate accelerates more slowly than the control, and by day 8, the growth is still lower compared to the control group, likely indicating some inhibitory effect of capsaicin at this concentration. For the 500 ppm concentration, the growth pattern starts with very slow growth similar to the control but remains much lower. The highest concentration of capsaicin (1000 ppm) has the most inhibitory effect on the growth of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xml:space="preserve">. Growth remains almost negligible throughout the first 6 days, with a slight increase towards the end. This suggests that the highest concentration of capsaicin significantly reduces growth, possibly causing a plateau effect in the fungal development. It can be concluded from Figure 3 that the growth of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E318EB">
        <w:rPr>
          <w:rFonts w:ascii="Arial" w:hAnsi="Arial" w:cs="Arial"/>
        </w:rPr>
        <w:t xml:space="preserve"> is clearly inhibited by capsaicin, and the higher the concentration, the more significant the inhibitory effect.</w:t>
      </w:r>
    </w:p>
    <w:p w14:paraId="2994C138" w14:textId="77777777" w:rsidR="00F70752" w:rsidRDefault="00F70752" w:rsidP="00E318EB">
      <w:pPr>
        <w:pStyle w:val="Body"/>
        <w:spacing w:after="0"/>
        <w:rPr>
          <w:rFonts w:ascii="Arial" w:hAnsi="Arial" w:cs="Arial"/>
        </w:rPr>
      </w:pPr>
    </w:p>
    <w:p w14:paraId="4AC551BB" w14:textId="77777777" w:rsidR="00F70752" w:rsidRDefault="00F70752" w:rsidP="00E318EB">
      <w:pPr>
        <w:pStyle w:val="Body"/>
        <w:spacing w:after="0"/>
        <w:rPr>
          <w:rFonts w:ascii="Arial" w:hAnsi="Arial" w:cs="Arial"/>
        </w:rPr>
      </w:pPr>
      <w:r>
        <w:rPr>
          <w:rFonts w:ascii="Arial" w:hAnsi="Arial" w:cs="Arial"/>
          <w:noProof/>
        </w:rPr>
        <w:drawing>
          <wp:inline distT="0" distB="0" distL="0" distR="0" wp14:anchorId="14525C86" wp14:editId="36B43834">
            <wp:extent cx="5517515" cy="41459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7515" cy="4145915"/>
                    </a:xfrm>
                    <a:prstGeom prst="rect">
                      <a:avLst/>
                    </a:prstGeom>
                    <a:noFill/>
                  </pic:spPr>
                </pic:pic>
              </a:graphicData>
            </a:graphic>
          </wp:inline>
        </w:drawing>
      </w:r>
    </w:p>
    <w:p w14:paraId="0EDD6012" w14:textId="77777777" w:rsidR="00F70752" w:rsidRPr="00F70752" w:rsidRDefault="00F70752" w:rsidP="00F70752">
      <w:pPr>
        <w:pStyle w:val="Body"/>
        <w:rPr>
          <w:rFonts w:ascii="Arial" w:hAnsi="Arial" w:cs="Arial"/>
        </w:rPr>
      </w:pPr>
      <w:r>
        <w:rPr>
          <w:rFonts w:ascii="Arial" w:hAnsi="Arial" w:cs="Arial"/>
          <w:b/>
        </w:rPr>
        <w:t>Fig.</w:t>
      </w:r>
      <w:r w:rsidRPr="00F70752">
        <w:rPr>
          <w:rFonts w:ascii="Arial" w:hAnsi="Arial" w:cs="Arial"/>
          <w:b/>
        </w:rPr>
        <w:t xml:space="preserve"> 3</w:t>
      </w:r>
      <w:r w:rsidRPr="00F70752">
        <w:rPr>
          <w:rFonts w:ascii="Arial" w:hAnsi="Arial" w:cs="Arial"/>
        </w:rPr>
        <w:t xml:space="preserve">. Growth of </w:t>
      </w:r>
      <w:r w:rsidR="002E7A50" w:rsidRPr="002E7A50">
        <w:rPr>
          <w:rFonts w:ascii="Arial" w:hAnsi="Arial" w:cs="Arial"/>
          <w:i/>
        </w:rPr>
        <w:t xml:space="preserve">F. </w:t>
      </w:r>
      <w:proofErr w:type="spellStart"/>
      <w:proofErr w:type="gramStart"/>
      <w:r w:rsidR="002E7A50" w:rsidRPr="002E7A50">
        <w:rPr>
          <w:rFonts w:ascii="Arial" w:hAnsi="Arial" w:cs="Arial"/>
          <w:i/>
        </w:rPr>
        <w:t>oxysporum</w:t>
      </w:r>
      <w:proofErr w:type="spellEnd"/>
      <w:r w:rsidRPr="00F70752">
        <w:rPr>
          <w:rFonts w:ascii="Arial" w:hAnsi="Arial" w:cs="Arial"/>
        </w:rPr>
        <w:t xml:space="preserve">  under</w:t>
      </w:r>
      <w:proofErr w:type="gramEnd"/>
      <w:r w:rsidRPr="00F70752">
        <w:rPr>
          <w:rFonts w:ascii="Arial" w:hAnsi="Arial" w:cs="Arial"/>
        </w:rPr>
        <w:t xml:space="preserve"> different capsaicin concentrations (○: control, ●:125ppm, □: 500 ppm, *:1000ppm). Each data point represents the mean of three independent measurements.</w:t>
      </w:r>
    </w:p>
    <w:p w14:paraId="5DBB4856" w14:textId="77777777" w:rsidR="00F70752" w:rsidRDefault="00F70752" w:rsidP="00F70752">
      <w:pPr>
        <w:pStyle w:val="Body"/>
        <w:spacing w:after="0"/>
        <w:rPr>
          <w:rFonts w:ascii="Arial" w:hAnsi="Arial" w:cs="Arial"/>
        </w:rPr>
      </w:pPr>
      <w:r w:rsidRPr="00F70752">
        <w:rPr>
          <w:rFonts w:ascii="Arial" w:hAnsi="Arial" w:cs="Arial"/>
        </w:rPr>
        <w:t xml:space="preserve">Figure 4 illustrates the time- and concentration-dependent inhibitory effects of capsaicin on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F70752">
        <w:rPr>
          <w:rFonts w:ascii="Arial" w:hAnsi="Arial" w:cs="Arial"/>
        </w:rPr>
        <w:t xml:space="preserve"> </w:t>
      </w:r>
      <w:proofErr w:type="spellStart"/>
      <w:r w:rsidRPr="00F70752">
        <w:rPr>
          <w:rFonts w:ascii="Arial" w:hAnsi="Arial" w:cs="Arial"/>
        </w:rPr>
        <w:t>mycelial</w:t>
      </w:r>
      <w:proofErr w:type="spellEnd"/>
      <w:r w:rsidRPr="00F70752">
        <w:rPr>
          <w:rFonts w:ascii="Arial" w:hAnsi="Arial" w:cs="Arial"/>
        </w:rPr>
        <w:t xml:space="preserve"> growth. From day 1 to day 4, the inhibition rate steadily increases for all concentrations, with the rate stabilizing and plateauing after day 4, remaining nearly constant until day 8. Regarding the effect of concentration, 125 ppm shows the lowest inhibition rates throughout the experiment, starting at around 10% on day 1 and gradually </w:t>
      </w:r>
      <w:r w:rsidRPr="00F70752">
        <w:rPr>
          <w:rFonts w:ascii="Arial" w:hAnsi="Arial" w:cs="Arial"/>
        </w:rPr>
        <w:lastRenderedPageBreak/>
        <w:t xml:space="preserve">increasing to approximately 70% by day 4, where it then stabilizes. The 500 ppm concentration exhibits a stronger inhibitory effect, starting at around 40% on day 1 and reaching about 90% by day 4, maintaining this level </w:t>
      </w:r>
      <w:commentRangeStart w:id="5"/>
      <w:r w:rsidRPr="00F70752">
        <w:rPr>
          <w:rFonts w:ascii="Arial" w:hAnsi="Arial" w:cs="Arial"/>
        </w:rPr>
        <w:t>until</w:t>
      </w:r>
      <w:commentRangeEnd w:id="5"/>
      <w:r w:rsidR="00351A81">
        <w:rPr>
          <w:rStyle w:val="CommentReference"/>
          <w:rFonts w:ascii="Times New Roman" w:hAnsi="Times New Roman"/>
          <w:lang w:val="nb-NO" w:eastAsia="nb-NO"/>
        </w:rPr>
        <w:commentReference w:id="5"/>
      </w:r>
      <w:r w:rsidRPr="00F70752">
        <w:rPr>
          <w:rFonts w:ascii="Arial" w:hAnsi="Arial" w:cs="Arial"/>
        </w:rPr>
        <w:t xml:space="preserve"> day 8. The highest concentration, 1000 ppm, shows the most significant inhibition from the beginning, with around 60% inhibition on day 1 and nearly complete inhibition (~100%) by day 4, which is sustained through day 8. This concentration-dependent pattern clearly demonstrates that higher capsaicin concentrations result in faster and stronger inhibition of fungal growth, with 1000 ppm being the most effective, followed by 500 ppm and 125 ppm. These data and the visual data support the potential use of capsaicin as an antifungal agent, with higher concentrations leading to more rapid and complete inhibition. Additionally, the stabilization of the inhibition rate after day 4 suggests that capsaicin reaches its maximal antifungal effect at that point, beyond which no further enhancement occurs.</w:t>
      </w:r>
    </w:p>
    <w:p w14:paraId="74D2F51D" w14:textId="77777777" w:rsidR="00F70752" w:rsidRDefault="00F70752" w:rsidP="00F70752">
      <w:pPr>
        <w:pStyle w:val="Body"/>
        <w:spacing w:after="0"/>
        <w:rPr>
          <w:rFonts w:ascii="Arial" w:hAnsi="Arial" w:cs="Arial"/>
        </w:rPr>
      </w:pPr>
      <w:r>
        <w:rPr>
          <w:rFonts w:ascii="Arial" w:hAnsi="Arial" w:cs="Arial"/>
          <w:noProof/>
        </w:rPr>
        <w:drawing>
          <wp:inline distT="0" distB="0" distL="0" distR="0" wp14:anchorId="3ADCED38" wp14:editId="48855E60">
            <wp:extent cx="5944235" cy="44989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4498975"/>
                    </a:xfrm>
                    <a:prstGeom prst="rect">
                      <a:avLst/>
                    </a:prstGeom>
                    <a:noFill/>
                  </pic:spPr>
                </pic:pic>
              </a:graphicData>
            </a:graphic>
          </wp:inline>
        </w:drawing>
      </w:r>
    </w:p>
    <w:p w14:paraId="5C124CA0" w14:textId="77777777" w:rsidR="00F70752" w:rsidRPr="00F70752" w:rsidRDefault="00F70752" w:rsidP="00F70752">
      <w:pPr>
        <w:pStyle w:val="Body"/>
        <w:rPr>
          <w:rFonts w:ascii="Arial" w:hAnsi="Arial" w:cs="Arial"/>
        </w:rPr>
      </w:pPr>
      <w:r w:rsidRPr="00F70752">
        <w:rPr>
          <w:rFonts w:ascii="Arial" w:hAnsi="Arial" w:cs="Arial"/>
          <w:b/>
        </w:rPr>
        <w:t>Fig</w:t>
      </w:r>
      <w:r>
        <w:rPr>
          <w:rFonts w:ascii="Arial" w:hAnsi="Arial" w:cs="Arial"/>
          <w:b/>
        </w:rPr>
        <w:t>.</w:t>
      </w:r>
      <w:r w:rsidRPr="00F70752">
        <w:rPr>
          <w:rFonts w:ascii="Arial" w:hAnsi="Arial" w:cs="Arial"/>
          <w:b/>
        </w:rPr>
        <w:t xml:space="preserve"> 4</w:t>
      </w:r>
      <w:r w:rsidRPr="00F70752">
        <w:rPr>
          <w:rFonts w:ascii="Arial" w:hAnsi="Arial" w:cs="Arial"/>
        </w:rPr>
        <w:t xml:space="preserve">. The inhibition rate (%) of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F70752">
        <w:rPr>
          <w:rFonts w:ascii="Arial" w:hAnsi="Arial" w:cs="Arial"/>
        </w:rPr>
        <w:t xml:space="preserve"> </w:t>
      </w:r>
      <w:proofErr w:type="spellStart"/>
      <w:r w:rsidRPr="00F70752">
        <w:rPr>
          <w:rFonts w:ascii="Arial" w:hAnsi="Arial" w:cs="Arial"/>
        </w:rPr>
        <w:t>mycelial</w:t>
      </w:r>
      <w:proofErr w:type="spellEnd"/>
      <w:r w:rsidRPr="00F70752">
        <w:rPr>
          <w:rFonts w:ascii="Arial" w:hAnsi="Arial" w:cs="Arial"/>
        </w:rPr>
        <w:t xml:space="preserve"> growth over eight days when treated with capsaicin at three different concentrations: 125 ppm (black bars), 500 ppm (gray bars), and 1000 ppm (white bars). Each data point represents the mean of three independent measurements.</w:t>
      </w:r>
    </w:p>
    <w:p w14:paraId="45126FF7" w14:textId="77777777" w:rsidR="003A2FEB" w:rsidRDefault="00F70752" w:rsidP="003A2FEB">
      <w:pPr>
        <w:pStyle w:val="Body"/>
        <w:rPr>
          <w:rFonts w:ascii="Arial" w:hAnsi="Arial" w:cs="Arial"/>
        </w:rPr>
      </w:pPr>
      <w:r w:rsidRPr="00F70752">
        <w:rPr>
          <w:rFonts w:ascii="Arial" w:hAnsi="Arial" w:cs="Arial"/>
        </w:rPr>
        <w:t xml:space="preserve">These findings align with previous studies on capsaicin’s antimicrobial properties. Tsuchiya (2001) conducted an experiment with liposomes that examined the effect of capsaicin on the membrane and showed that it changes membrane fluidity (Tsuchiya, 2001). Changing membrane fluidity gave capsaicin antimicrobial properties.  Another study suggests that the inhibitory effect of capsaicin is related to the induction of osmotic stress and key genes for </w:t>
      </w:r>
      <w:r w:rsidRPr="00F70752">
        <w:rPr>
          <w:rFonts w:ascii="Arial" w:hAnsi="Arial" w:cs="Arial"/>
        </w:rPr>
        <w:lastRenderedPageBreak/>
        <w:t xml:space="preserve">membrane biosynthesis (Kurita et al., 2002). Behbehani et al. (2023) showed that capsaicin reduces ergosterol in fungal cells, disrupting membranes, causing ion loss, and leading to cell death (Behbehani et al., 2023). These mechanisms likely explain the concentration-dependent inhibition observed in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F70752">
        <w:rPr>
          <w:rFonts w:ascii="Arial" w:hAnsi="Arial" w:cs="Arial"/>
        </w:rPr>
        <w:t>.</w:t>
      </w:r>
      <w:r w:rsidRPr="00F70752">
        <w:rPr>
          <w:rFonts w:ascii="Arial" w:hAnsi="Arial" w:cs="Arial"/>
        </w:rPr>
        <w:cr/>
      </w:r>
    </w:p>
    <w:p w14:paraId="6F5E2866" w14:textId="77777777" w:rsidR="00F70752" w:rsidRDefault="00F70752" w:rsidP="003A2FEB">
      <w:pPr>
        <w:pStyle w:val="Body"/>
        <w:rPr>
          <w:rFonts w:ascii="Arial" w:hAnsi="Arial" w:cs="Arial"/>
        </w:rPr>
      </w:pPr>
      <w:r w:rsidRPr="00F70752">
        <w:rPr>
          <w:rFonts w:ascii="Arial" w:hAnsi="Arial" w:cs="Arial"/>
        </w:rPr>
        <w:t xml:space="preserve">Comparable antifungal activity has been reported against other fungal species. Xing et al. (2006) showed the antimicrobial activities of the capsaicin microcapsules on </w:t>
      </w:r>
      <w:r w:rsidRPr="003A2FEB">
        <w:rPr>
          <w:rFonts w:ascii="Arial" w:hAnsi="Arial" w:cs="Arial"/>
          <w:i/>
        </w:rPr>
        <w:t>B</w:t>
      </w:r>
      <w:r w:rsidR="00C70E2F">
        <w:rPr>
          <w:rFonts w:ascii="Arial" w:hAnsi="Arial" w:cs="Arial"/>
          <w:i/>
        </w:rPr>
        <w:t>otrytis</w:t>
      </w:r>
      <w:r w:rsidRPr="003A2FEB">
        <w:rPr>
          <w:rFonts w:ascii="Arial" w:hAnsi="Arial" w:cs="Arial"/>
          <w:i/>
        </w:rPr>
        <w:t xml:space="preserve"> cinerea</w:t>
      </w:r>
      <w:r w:rsidRPr="00F70752">
        <w:rPr>
          <w:rFonts w:ascii="Arial" w:hAnsi="Arial" w:cs="Arial"/>
        </w:rPr>
        <w:t xml:space="preserve"> and </w:t>
      </w:r>
      <w:r w:rsidRPr="003A2FEB">
        <w:rPr>
          <w:rFonts w:ascii="Arial" w:hAnsi="Arial" w:cs="Arial"/>
          <w:i/>
        </w:rPr>
        <w:t xml:space="preserve">A. </w:t>
      </w:r>
      <w:proofErr w:type="spellStart"/>
      <w:r w:rsidRPr="003A2FEB">
        <w:rPr>
          <w:rFonts w:ascii="Arial" w:hAnsi="Arial" w:cs="Arial"/>
          <w:i/>
        </w:rPr>
        <w:t>niger</w:t>
      </w:r>
      <w:proofErr w:type="spellEnd"/>
      <w:r w:rsidRPr="00F70752">
        <w:rPr>
          <w:rFonts w:ascii="Arial" w:hAnsi="Arial" w:cs="Arial"/>
        </w:rPr>
        <w:t xml:space="preserve">.  They indicated that the antifungal activity of capsaicin at a concentration of 590 ppm (Xing et al., 2006). The minimum inhibitory concentration of capsaicin determined using the broth micro-dilution method was 122.16 ppm against </w:t>
      </w:r>
      <w:proofErr w:type="spellStart"/>
      <w:r w:rsidRPr="003A2FEB">
        <w:rPr>
          <w:rFonts w:ascii="Arial" w:hAnsi="Arial" w:cs="Arial"/>
          <w:i/>
        </w:rPr>
        <w:t>Penicillium</w:t>
      </w:r>
      <w:proofErr w:type="spellEnd"/>
      <w:r w:rsidRPr="003A2FEB">
        <w:rPr>
          <w:rFonts w:ascii="Arial" w:hAnsi="Arial" w:cs="Arial"/>
          <w:i/>
        </w:rPr>
        <w:t xml:space="preserve"> </w:t>
      </w:r>
      <w:proofErr w:type="spellStart"/>
      <w:r w:rsidRPr="003A2FEB">
        <w:rPr>
          <w:rFonts w:ascii="Arial" w:hAnsi="Arial" w:cs="Arial"/>
          <w:i/>
        </w:rPr>
        <w:t>expansum</w:t>
      </w:r>
      <w:proofErr w:type="spellEnd"/>
      <w:r w:rsidRPr="00F70752">
        <w:rPr>
          <w:rFonts w:ascii="Arial" w:hAnsi="Arial" w:cs="Arial"/>
        </w:rPr>
        <w:t xml:space="preserve">. These results contribute to providing new options for using antifungal agents against </w:t>
      </w:r>
      <w:r w:rsidRPr="003A2FEB">
        <w:rPr>
          <w:rFonts w:ascii="Arial" w:hAnsi="Arial" w:cs="Arial"/>
          <w:i/>
        </w:rPr>
        <w:t xml:space="preserve">P. </w:t>
      </w:r>
      <w:proofErr w:type="spellStart"/>
      <w:r w:rsidRPr="003A2FEB">
        <w:rPr>
          <w:rFonts w:ascii="Arial" w:hAnsi="Arial" w:cs="Arial"/>
          <w:i/>
        </w:rPr>
        <w:t>expansum</w:t>
      </w:r>
      <w:proofErr w:type="spellEnd"/>
      <w:r w:rsidRPr="00F70752">
        <w:rPr>
          <w:rFonts w:ascii="Arial" w:hAnsi="Arial" w:cs="Arial"/>
        </w:rPr>
        <w:t xml:space="preserve"> (</w:t>
      </w:r>
      <w:proofErr w:type="spellStart"/>
      <w:r w:rsidRPr="00F70752">
        <w:rPr>
          <w:rFonts w:ascii="Arial" w:hAnsi="Arial" w:cs="Arial"/>
        </w:rPr>
        <w:t>Fieira</w:t>
      </w:r>
      <w:proofErr w:type="spellEnd"/>
      <w:r w:rsidRPr="00F70752">
        <w:rPr>
          <w:rFonts w:ascii="Arial" w:hAnsi="Arial" w:cs="Arial"/>
        </w:rPr>
        <w:t xml:space="preserve"> et al., 2013). Another </w:t>
      </w:r>
      <w:proofErr w:type="gramStart"/>
      <w:r w:rsidRPr="00F70752">
        <w:rPr>
          <w:rFonts w:ascii="Arial" w:hAnsi="Arial" w:cs="Arial"/>
        </w:rPr>
        <w:t>study  explores</w:t>
      </w:r>
      <w:proofErr w:type="gramEnd"/>
      <w:r w:rsidRPr="00F70752">
        <w:rPr>
          <w:rFonts w:ascii="Arial" w:hAnsi="Arial" w:cs="Arial"/>
        </w:rPr>
        <w:t xml:space="preserve"> capsaicin's role in inhibiting the germination of </w:t>
      </w:r>
      <w:proofErr w:type="spellStart"/>
      <w:r w:rsidRPr="00F70752">
        <w:rPr>
          <w:rFonts w:ascii="Arial" w:hAnsi="Arial" w:cs="Arial"/>
        </w:rPr>
        <w:t>Colletotrichum</w:t>
      </w:r>
      <w:proofErr w:type="spellEnd"/>
      <w:r w:rsidRPr="00F70752">
        <w:rPr>
          <w:rFonts w:ascii="Arial" w:hAnsi="Arial" w:cs="Arial"/>
        </w:rPr>
        <w:t xml:space="preserve"> </w:t>
      </w:r>
      <w:proofErr w:type="spellStart"/>
      <w:r w:rsidRPr="00F70752">
        <w:rPr>
          <w:rFonts w:ascii="Arial" w:hAnsi="Arial" w:cs="Arial"/>
        </w:rPr>
        <w:t>capsici</w:t>
      </w:r>
      <w:proofErr w:type="spellEnd"/>
      <w:r w:rsidRPr="00F70752">
        <w:rPr>
          <w:rFonts w:ascii="Arial" w:hAnsi="Arial" w:cs="Arial"/>
        </w:rPr>
        <w:t>, a fungus causing anthracnose in chilies. Conidia were incubated on media with varying capsaicin concentrations. At 100 and 200 ppm, germination was completely inhibited, suggesting capsaicin's potential for fungal resistance (</w:t>
      </w:r>
      <w:proofErr w:type="spellStart"/>
      <w:r w:rsidRPr="00F70752">
        <w:rPr>
          <w:rFonts w:ascii="Arial" w:hAnsi="Arial" w:cs="Arial"/>
        </w:rPr>
        <w:t>Kraikruan</w:t>
      </w:r>
      <w:proofErr w:type="spellEnd"/>
      <w:r w:rsidRPr="00F70752">
        <w:rPr>
          <w:rFonts w:ascii="Arial" w:hAnsi="Arial" w:cs="Arial"/>
        </w:rPr>
        <w:t xml:space="preserve"> et al., 2008). </w:t>
      </w:r>
      <w:proofErr w:type="spellStart"/>
      <w:r w:rsidRPr="00F70752">
        <w:rPr>
          <w:rFonts w:ascii="Arial" w:hAnsi="Arial" w:cs="Arial"/>
        </w:rPr>
        <w:t>Buitimea-Cantúa</w:t>
      </w:r>
      <w:proofErr w:type="spellEnd"/>
      <w:r w:rsidRPr="00F70752">
        <w:rPr>
          <w:rFonts w:ascii="Arial" w:hAnsi="Arial" w:cs="Arial"/>
        </w:rPr>
        <w:t xml:space="preserve"> et al. (2018) found </w:t>
      </w:r>
      <w:proofErr w:type="gramStart"/>
      <w:r w:rsidRPr="00F70752">
        <w:rPr>
          <w:rFonts w:ascii="Arial" w:hAnsi="Arial" w:cs="Arial"/>
        </w:rPr>
        <w:t>that  capsaicin</w:t>
      </w:r>
      <w:proofErr w:type="gramEnd"/>
      <w:r w:rsidRPr="00F70752">
        <w:rPr>
          <w:rFonts w:ascii="Arial" w:hAnsi="Arial" w:cs="Arial"/>
        </w:rPr>
        <w:t xml:space="preserve"> exhibited significant antifungal activity against A. </w:t>
      </w:r>
      <w:proofErr w:type="spellStart"/>
      <w:r w:rsidRPr="00F70752">
        <w:rPr>
          <w:rFonts w:ascii="Arial" w:hAnsi="Arial" w:cs="Arial"/>
        </w:rPr>
        <w:t>parasiticus</w:t>
      </w:r>
      <w:proofErr w:type="spellEnd"/>
      <w:r w:rsidRPr="00F70752">
        <w:rPr>
          <w:rFonts w:ascii="Arial" w:hAnsi="Arial" w:cs="Arial"/>
        </w:rPr>
        <w:t>. The MIC</w:t>
      </w:r>
      <w:r w:rsidRPr="00F70752">
        <w:rPr>
          <w:rFonts w:ascii="Cambria Math" w:hAnsi="Cambria Math" w:cs="Cambria Math"/>
        </w:rPr>
        <w:t>₅₀</w:t>
      </w:r>
      <w:r w:rsidRPr="00F70752">
        <w:rPr>
          <w:rFonts w:ascii="Arial" w:hAnsi="Arial" w:cs="Arial"/>
        </w:rPr>
        <w:t xml:space="preserve"> values were 39000 ppm for capsaicin, suggesting its potential as a natural antifungal agent (</w:t>
      </w:r>
      <w:proofErr w:type="spellStart"/>
      <w:r w:rsidRPr="00F70752">
        <w:rPr>
          <w:rFonts w:ascii="Arial" w:hAnsi="Arial" w:cs="Arial"/>
        </w:rPr>
        <w:t>Buitimea-Cantúa</w:t>
      </w:r>
      <w:proofErr w:type="spellEnd"/>
      <w:r w:rsidRPr="00F70752">
        <w:rPr>
          <w:rFonts w:ascii="Arial" w:hAnsi="Arial" w:cs="Arial"/>
        </w:rPr>
        <w:t xml:space="preserve"> et al., 2018). These studies support the effectiveness of capsaicin as a natural antifungal agent with broad-spectrum activity. The present findings confirm its strong inhibitory effects on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F70752">
        <w:rPr>
          <w:rFonts w:ascii="Arial" w:hAnsi="Arial" w:cs="Arial"/>
        </w:rPr>
        <w:t>, particularly at higher concentrations. The stabilization of inhibition rates after day 4 suggests that capsaicin reaches its maximal antifungal effect within this timeframe.</w:t>
      </w:r>
    </w:p>
    <w:p w14:paraId="0A40D0D0" w14:textId="77777777" w:rsidR="00505F06" w:rsidRDefault="00505F06" w:rsidP="00441B6F">
      <w:pPr>
        <w:pStyle w:val="Body"/>
        <w:spacing w:after="0"/>
        <w:rPr>
          <w:rFonts w:ascii="Arial" w:hAnsi="Arial" w:cs="Arial"/>
        </w:rPr>
      </w:pPr>
    </w:p>
    <w:p w14:paraId="7397637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1D0F839" w14:textId="77777777" w:rsidR="00790ADA" w:rsidRPr="00FB3A86" w:rsidRDefault="00790ADA" w:rsidP="00441B6F">
      <w:pPr>
        <w:pStyle w:val="ConcHead"/>
        <w:spacing w:after="0"/>
        <w:jc w:val="both"/>
        <w:rPr>
          <w:rFonts w:ascii="Arial" w:hAnsi="Arial" w:cs="Arial"/>
        </w:rPr>
      </w:pPr>
    </w:p>
    <w:p w14:paraId="18CF6A91" w14:textId="77777777" w:rsidR="00790ADA" w:rsidRDefault="00F70752" w:rsidP="00441B6F">
      <w:pPr>
        <w:pStyle w:val="Body"/>
        <w:spacing w:after="0"/>
        <w:rPr>
          <w:rFonts w:ascii="Arial" w:hAnsi="Arial" w:cs="Arial"/>
        </w:rPr>
      </w:pPr>
      <w:r w:rsidRPr="00F70752">
        <w:rPr>
          <w:rFonts w:ascii="Arial" w:hAnsi="Arial" w:cs="Arial"/>
        </w:rPr>
        <w:t xml:space="preserve">The results of this study demonstrate the significant antifungal potential of capsaicin against </w:t>
      </w:r>
      <w:r w:rsidR="002E7A50" w:rsidRPr="002E7A50">
        <w:rPr>
          <w:rFonts w:ascii="Arial" w:hAnsi="Arial" w:cs="Arial"/>
          <w:i/>
        </w:rPr>
        <w:t xml:space="preserve">F. </w:t>
      </w:r>
      <w:proofErr w:type="spellStart"/>
      <w:r w:rsidR="002E7A50" w:rsidRPr="002E7A50">
        <w:rPr>
          <w:rFonts w:ascii="Arial" w:hAnsi="Arial" w:cs="Arial"/>
          <w:i/>
        </w:rPr>
        <w:t>oxysporum</w:t>
      </w:r>
      <w:proofErr w:type="spellEnd"/>
      <w:r w:rsidRPr="00F70752">
        <w:rPr>
          <w:rFonts w:ascii="Arial" w:hAnsi="Arial" w:cs="Arial"/>
        </w:rPr>
        <w:t xml:space="preserve">, a common and destructive plant pathogen. Plant diseases, particularly those caused by molds like </w:t>
      </w:r>
      <w:r w:rsidRPr="003A2FEB">
        <w:rPr>
          <w:rFonts w:ascii="Arial" w:hAnsi="Arial" w:cs="Arial"/>
          <w:i/>
        </w:rPr>
        <w:t>Fusarium</w:t>
      </w:r>
      <w:r w:rsidRPr="00F70752">
        <w:rPr>
          <w:rFonts w:ascii="Arial" w:hAnsi="Arial" w:cs="Arial"/>
        </w:rPr>
        <w:t xml:space="preserve">, continue to pose a major threat to global crop production, with molds responsible for not only yield loss but also food spoilage and mycotoxin contamination (Shuping &amp; Eloff, 2017). As synthetic fungicides present health and environmental concerns, alternative solutions, such as plant-derived compounds, are being explored. Capsaicin, a compound found in hot peppers, has shown promising antimicrobial properties in previous studies (Nascimento et al., 2014; Tayseer et al., 2020). The findings of this study support capsaicin’s potential as an effective fungicide, with a concentration-dependent inhibition of </w:t>
      </w:r>
      <w:r w:rsidRPr="003A2FEB">
        <w:rPr>
          <w:rFonts w:ascii="Arial" w:hAnsi="Arial" w:cs="Arial"/>
          <w:i/>
        </w:rPr>
        <w:t>Fusarium</w:t>
      </w:r>
      <w:r w:rsidRPr="00F70752">
        <w:rPr>
          <w:rFonts w:ascii="Arial" w:hAnsi="Arial" w:cs="Arial"/>
        </w:rPr>
        <w:t xml:space="preserve"> growth. At higher concentrations (500 and 1000 ppm), capsaicin demonstrated a strong, almost complete suppression of fungal growth, indicating its viability as an alternative to synthetic fungicides in the management </w:t>
      </w:r>
      <w:commentRangeStart w:id="6"/>
      <w:r w:rsidRPr="00F70752">
        <w:rPr>
          <w:rFonts w:ascii="Arial" w:hAnsi="Arial" w:cs="Arial"/>
        </w:rPr>
        <w:t>of</w:t>
      </w:r>
      <w:commentRangeEnd w:id="6"/>
      <w:r w:rsidR="00263FDF">
        <w:rPr>
          <w:rStyle w:val="CommentReference"/>
          <w:rFonts w:ascii="Times New Roman" w:hAnsi="Times New Roman"/>
          <w:lang w:val="nb-NO" w:eastAsia="nb-NO"/>
        </w:rPr>
        <w:commentReference w:id="6"/>
      </w:r>
      <w:r w:rsidRPr="00F70752">
        <w:rPr>
          <w:rFonts w:ascii="Arial" w:hAnsi="Arial" w:cs="Arial"/>
        </w:rPr>
        <w:t xml:space="preserve"> plant pathogens.</w:t>
      </w:r>
    </w:p>
    <w:p w14:paraId="6837F791" w14:textId="77777777" w:rsidR="00F70752" w:rsidRPr="00FB3A86" w:rsidRDefault="00F70752" w:rsidP="00441B6F">
      <w:pPr>
        <w:pStyle w:val="Body"/>
        <w:spacing w:after="0"/>
        <w:rPr>
          <w:rFonts w:ascii="Arial" w:hAnsi="Arial" w:cs="Arial"/>
        </w:rPr>
      </w:pPr>
    </w:p>
    <w:p w14:paraId="1ABD6510" w14:textId="77777777" w:rsidR="002B685A" w:rsidRDefault="002B685A" w:rsidP="00441B6F">
      <w:pPr>
        <w:pStyle w:val="ReferHead"/>
        <w:spacing w:after="0"/>
        <w:jc w:val="both"/>
        <w:rPr>
          <w:rFonts w:ascii="Arial" w:hAnsi="Arial" w:cs="Arial"/>
          <w:b w:val="0"/>
          <w:caps w:val="0"/>
          <w:sz w:val="20"/>
        </w:rPr>
      </w:pPr>
    </w:p>
    <w:p w14:paraId="6EDAC74A" w14:textId="77777777" w:rsidR="00860000" w:rsidRDefault="00860000" w:rsidP="00441B6F">
      <w:pPr>
        <w:pStyle w:val="ReferHead"/>
        <w:spacing w:after="0"/>
        <w:jc w:val="both"/>
        <w:rPr>
          <w:rFonts w:ascii="Arial" w:hAnsi="Arial" w:cs="Arial"/>
        </w:rPr>
      </w:pPr>
    </w:p>
    <w:p w14:paraId="5A1C4FBA"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B2B7781" w14:textId="77777777" w:rsidR="00790ADA" w:rsidRPr="00FB3A86" w:rsidRDefault="00790ADA" w:rsidP="00441B6F">
      <w:pPr>
        <w:pStyle w:val="ReferHead"/>
        <w:spacing w:after="0"/>
        <w:jc w:val="both"/>
        <w:rPr>
          <w:rFonts w:ascii="Arial" w:hAnsi="Arial" w:cs="Arial"/>
        </w:rPr>
      </w:pPr>
    </w:p>
    <w:p w14:paraId="1D9436AE" w14:textId="77777777" w:rsidR="00F70752" w:rsidRDefault="00F70752" w:rsidP="00F70752">
      <w:pPr>
        <w:pStyle w:val="Body"/>
      </w:pPr>
      <w:r>
        <w:t xml:space="preserve">Agrios, G. N. (2005). Plant Pathology (5th </w:t>
      </w:r>
      <w:proofErr w:type="spellStart"/>
      <w:r>
        <w:t>Editio</w:t>
      </w:r>
      <w:proofErr w:type="spellEnd"/>
      <w:r>
        <w:t>). Elsevier Academic Press.</w:t>
      </w:r>
    </w:p>
    <w:p w14:paraId="5A026822" w14:textId="77777777" w:rsidR="00F70752" w:rsidRDefault="00F70752" w:rsidP="00F70752">
      <w:pPr>
        <w:pStyle w:val="Body"/>
      </w:pPr>
      <w:r>
        <w:t xml:space="preserve">Behbehani, J. M., Irshad, M., </w:t>
      </w:r>
      <w:proofErr w:type="spellStart"/>
      <w:r>
        <w:t>Shreaz</w:t>
      </w:r>
      <w:proofErr w:type="spellEnd"/>
      <w:r>
        <w:t xml:space="preserve">, S., &amp; </w:t>
      </w:r>
      <w:proofErr w:type="spellStart"/>
      <w:r>
        <w:t>Karched</w:t>
      </w:r>
      <w:proofErr w:type="spellEnd"/>
      <w:r>
        <w:t>, M. (2023). Anticandidal Activity of Capsaicin and Its Effect on Ergosterol Biosynthesis and Membrane Integrity of Candida albicans. International Journal of Molecular Sciences, 24(2). https://doi.org/10.3390/ijms24021046</w:t>
      </w:r>
    </w:p>
    <w:p w14:paraId="2961BFA9" w14:textId="77777777" w:rsidR="00F70752" w:rsidRDefault="00F70752" w:rsidP="00F70752">
      <w:pPr>
        <w:pStyle w:val="Body"/>
      </w:pPr>
      <w:proofErr w:type="spellStart"/>
      <w:r>
        <w:t>Buitimea-Cantúa</w:t>
      </w:r>
      <w:proofErr w:type="spellEnd"/>
      <w:r>
        <w:t xml:space="preserve">, G. V., </w:t>
      </w:r>
      <w:proofErr w:type="spellStart"/>
      <w:r>
        <w:t>Buitimea-Cantúa</w:t>
      </w:r>
      <w:proofErr w:type="spellEnd"/>
      <w:r>
        <w:t>, N. E., Rocha-</w:t>
      </w:r>
      <w:proofErr w:type="spellStart"/>
      <w:r>
        <w:t>Pizaña</w:t>
      </w:r>
      <w:proofErr w:type="spellEnd"/>
      <w:r>
        <w:t xml:space="preserve">, M. del R., Hernández-Morales, A., Magaña-Barajas, E., &amp; Molina-Torres, J. (2020). Inhibitory effect of </w:t>
      </w:r>
      <w:r w:rsidRPr="00C95C9C">
        <w:rPr>
          <w:i/>
        </w:rPr>
        <w:t xml:space="preserve">Capsicum </w:t>
      </w:r>
      <w:proofErr w:type="spellStart"/>
      <w:r w:rsidRPr="00C95C9C">
        <w:rPr>
          <w:i/>
        </w:rPr>
        <w:lastRenderedPageBreak/>
        <w:t>chinense</w:t>
      </w:r>
      <w:proofErr w:type="spellEnd"/>
      <w:r>
        <w:t xml:space="preserve"> and </w:t>
      </w:r>
      <w:r w:rsidRPr="00C95C9C">
        <w:rPr>
          <w:i/>
        </w:rPr>
        <w:t xml:space="preserve">Piper </w:t>
      </w:r>
      <w:proofErr w:type="spellStart"/>
      <w:r w:rsidRPr="00C95C9C">
        <w:rPr>
          <w:i/>
        </w:rPr>
        <w:t>nigrum</w:t>
      </w:r>
      <w:proofErr w:type="spellEnd"/>
      <w:r>
        <w:t xml:space="preserve"> fruits, capsaicin and </w:t>
      </w:r>
      <w:proofErr w:type="spellStart"/>
      <w:r>
        <w:t>piperine</w:t>
      </w:r>
      <w:proofErr w:type="spellEnd"/>
      <w:r>
        <w:t xml:space="preserve"> on </w:t>
      </w:r>
      <w:proofErr w:type="spellStart"/>
      <w:r>
        <w:t>aflatoxins</w:t>
      </w:r>
      <w:proofErr w:type="spellEnd"/>
      <w:r>
        <w:t xml:space="preserve"> production in </w:t>
      </w:r>
      <w:proofErr w:type="spellStart"/>
      <w:r w:rsidRPr="00C95C9C">
        <w:rPr>
          <w:i/>
        </w:rPr>
        <w:t>Aspergillus</w:t>
      </w:r>
      <w:proofErr w:type="spellEnd"/>
      <w:r w:rsidRPr="00C95C9C">
        <w:rPr>
          <w:i/>
        </w:rPr>
        <w:t xml:space="preserve"> </w:t>
      </w:r>
      <w:proofErr w:type="spellStart"/>
      <w:r w:rsidRPr="00C95C9C">
        <w:rPr>
          <w:i/>
        </w:rPr>
        <w:t>parasiticus</w:t>
      </w:r>
      <w:proofErr w:type="spellEnd"/>
      <w:r w:rsidRPr="00C95C9C">
        <w:rPr>
          <w:i/>
        </w:rPr>
        <w:t xml:space="preserve"> </w:t>
      </w:r>
      <w:r>
        <w:t xml:space="preserve">by </w:t>
      </w:r>
      <w:proofErr w:type="spellStart"/>
      <w:r>
        <w:t>downregulating</w:t>
      </w:r>
      <w:proofErr w:type="spellEnd"/>
      <w:r>
        <w:t xml:space="preserve"> the expression of </w:t>
      </w:r>
      <w:proofErr w:type="spellStart"/>
      <w:r w:rsidRPr="00700784">
        <w:rPr>
          <w:i/>
        </w:rPr>
        <w:t>aflD</w:t>
      </w:r>
      <w:proofErr w:type="spellEnd"/>
      <w:r w:rsidRPr="00700784">
        <w:rPr>
          <w:i/>
        </w:rPr>
        <w:t xml:space="preserve">, </w:t>
      </w:r>
      <w:proofErr w:type="spellStart"/>
      <w:r w:rsidRPr="00700784">
        <w:rPr>
          <w:i/>
        </w:rPr>
        <w:t>aflM</w:t>
      </w:r>
      <w:proofErr w:type="spellEnd"/>
      <w:r w:rsidRPr="00700784">
        <w:rPr>
          <w:i/>
        </w:rPr>
        <w:t xml:space="preserve">, </w:t>
      </w:r>
      <w:proofErr w:type="spellStart"/>
      <w:r w:rsidRPr="00700784">
        <w:rPr>
          <w:i/>
        </w:rPr>
        <w:t>aflR</w:t>
      </w:r>
      <w:proofErr w:type="spellEnd"/>
      <w:r>
        <w:t xml:space="preserve">, and </w:t>
      </w:r>
      <w:proofErr w:type="spellStart"/>
      <w:r w:rsidRPr="00700784">
        <w:rPr>
          <w:i/>
        </w:rPr>
        <w:t>aflS</w:t>
      </w:r>
      <w:proofErr w:type="spellEnd"/>
      <w:r>
        <w:t xml:space="preserve"> genes of </w:t>
      </w:r>
      <w:proofErr w:type="spellStart"/>
      <w:r>
        <w:t>aflatoxins</w:t>
      </w:r>
      <w:proofErr w:type="spellEnd"/>
      <w:r>
        <w:t xml:space="preserve"> biosynthetic pathway. Journal of Environmental Science and Health - Part B Pesticides, Food Contaminants, and Agricultural Wastes, 0(0), 835–843. https://doi.org/10.1080/03601234.2020.1787758</w:t>
      </w:r>
    </w:p>
    <w:p w14:paraId="26029209" w14:textId="77777777" w:rsidR="00F70752" w:rsidRDefault="00F70752" w:rsidP="00F70752">
      <w:pPr>
        <w:pStyle w:val="Body"/>
      </w:pPr>
      <w:proofErr w:type="spellStart"/>
      <w:r>
        <w:t>Buitimea-Cantúa</w:t>
      </w:r>
      <w:proofErr w:type="spellEnd"/>
      <w:r>
        <w:t xml:space="preserve">, G. V., Velez-Haro, J. M., </w:t>
      </w:r>
      <w:proofErr w:type="spellStart"/>
      <w:r>
        <w:t>Buitimea-Cantúa</w:t>
      </w:r>
      <w:proofErr w:type="spellEnd"/>
      <w:r>
        <w:t xml:space="preserve">, N. E., Molina-Torres, J., &amp; Rosas-Burgos, E. C. (2018). GC-EIMS analysis, antifungal and anti-aflatoxigenic activity of </w:t>
      </w:r>
      <w:r w:rsidRPr="00C95C9C">
        <w:rPr>
          <w:i/>
        </w:rPr>
        <w:t xml:space="preserve">Capsicum </w:t>
      </w:r>
      <w:proofErr w:type="spellStart"/>
      <w:r w:rsidRPr="00C95C9C">
        <w:rPr>
          <w:i/>
        </w:rPr>
        <w:t>chinense</w:t>
      </w:r>
      <w:proofErr w:type="spellEnd"/>
      <w:r>
        <w:t xml:space="preserve"> and </w:t>
      </w:r>
      <w:r w:rsidRPr="00700784">
        <w:rPr>
          <w:i/>
        </w:rPr>
        <w:t xml:space="preserve">Piper </w:t>
      </w:r>
      <w:proofErr w:type="spellStart"/>
      <w:r w:rsidRPr="00700784">
        <w:rPr>
          <w:i/>
        </w:rPr>
        <w:t>nigrum</w:t>
      </w:r>
      <w:proofErr w:type="spellEnd"/>
      <w:r>
        <w:t xml:space="preserve"> fruits and their bioactive compounds capsaicin and </w:t>
      </w:r>
      <w:proofErr w:type="spellStart"/>
      <w:r>
        <w:t>piperine</w:t>
      </w:r>
      <w:proofErr w:type="spellEnd"/>
      <w:r>
        <w:t xml:space="preserve"> upon </w:t>
      </w:r>
      <w:proofErr w:type="spellStart"/>
      <w:r w:rsidRPr="00C70E2F">
        <w:rPr>
          <w:i/>
        </w:rPr>
        <w:t>Aspergillus</w:t>
      </w:r>
      <w:proofErr w:type="spellEnd"/>
      <w:r>
        <w:t xml:space="preserve"> </w:t>
      </w:r>
      <w:proofErr w:type="spellStart"/>
      <w:r>
        <w:t>parasiticus</w:t>
      </w:r>
      <w:proofErr w:type="spellEnd"/>
      <w:r>
        <w:t>. Natural Product Research, 34(10), 1452–1455. https://doi.org/10.1080/14786419.2018.1514395</w:t>
      </w:r>
    </w:p>
    <w:p w14:paraId="4BA91C5D" w14:textId="77777777" w:rsidR="00F70752" w:rsidRDefault="00F70752" w:rsidP="00F70752">
      <w:pPr>
        <w:pStyle w:val="Body"/>
      </w:pPr>
      <w:r>
        <w:t>El-Ghany M, A. T., M, R. M., &amp; Al Abboud, M. A. (2015). Efficacy of Certain Plant Extracts as Safe Fungicides Against Phytopathogenic and Mycotoxigenic Fungi. Agricultural and Biological Sciences Journal, 1(3), 71–75. http://www.publicscienceframework.org/journal/absjhttp://creativecommons.org/licenses/by-nc/4.0/</w:t>
      </w:r>
    </w:p>
    <w:p w14:paraId="31B2055C" w14:textId="77777777" w:rsidR="00F70752" w:rsidRDefault="00F70752" w:rsidP="00F70752">
      <w:pPr>
        <w:pStyle w:val="Body"/>
      </w:pPr>
      <w:proofErr w:type="spellStart"/>
      <w:r>
        <w:t>Fieira</w:t>
      </w:r>
      <w:proofErr w:type="spellEnd"/>
      <w:r>
        <w:t xml:space="preserve">, C., Oliveira, F., Calegari, R. P., Machado, A., &amp; Coelho, A. R. (2013). </w:t>
      </w:r>
      <w:r w:rsidR="002E7A50" w:rsidRPr="002E7A50">
        <w:rPr>
          <w:i/>
        </w:rPr>
        <w:t>In vitro</w:t>
      </w:r>
      <w:r>
        <w:t xml:space="preserve"> and in vivo antifungal activity of natural inhibitors against </w:t>
      </w:r>
      <w:proofErr w:type="spellStart"/>
      <w:r w:rsidRPr="00C70E2F">
        <w:rPr>
          <w:i/>
        </w:rPr>
        <w:t>Penicillium</w:t>
      </w:r>
      <w:proofErr w:type="spellEnd"/>
      <w:r w:rsidRPr="00C70E2F">
        <w:rPr>
          <w:i/>
        </w:rPr>
        <w:t xml:space="preserve"> </w:t>
      </w:r>
      <w:proofErr w:type="spellStart"/>
      <w:r w:rsidRPr="00C70E2F">
        <w:rPr>
          <w:i/>
        </w:rPr>
        <w:t>expansum</w:t>
      </w:r>
      <w:proofErr w:type="spellEnd"/>
      <w:r>
        <w:t>. Food Science and Technology, 33(SUPPL.1), 40–46. https://doi.org/10.1590/S0101-20612013000500007</w:t>
      </w:r>
    </w:p>
    <w:p w14:paraId="158471A4" w14:textId="77777777" w:rsidR="00F70752" w:rsidRDefault="00F70752" w:rsidP="00F70752">
      <w:pPr>
        <w:pStyle w:val="Body"/>
      </w:pPr>
      <w:proofErr w:type="spellStart"/>
      <w:r>
        <w:t>Kraikruan</w:t>
      </w:r>
      <w:proofErr w:type="spellEnd"/>
      <w:r>
        <w:t xml:space="preserve">, W., </w:t>
      </w:r>
      <w:proofErr w:type="spellStart"/>
      <w:r>
        <w:t>Sangchote</w:t>
      </w:r>
      <w:proofErr w:type="spellEnd"/>
      <w:r>
        <w:t xml:space="preserve">, S., &amp; </w:t>
      </w:r>
      <w:proofErr w:type="spellStart"/>
      <w:r>
        <w:t>Sukprakarn</w:t>
      </w:r>
      <w:proofErr w:type="spellEnd"/>
      <w:r>
        <w:t xml:space="preserve">, S. (2008). Effect of capsaicin on germination of </w:t>
      </w:r>
      <w:proofErr w:type="spellStart"/>
      <w:r w:rsidRPr="00C70E2F">
        <w:rPr>
          <w:i/>
        </w:rPr>
        <w:t>Colletotrichum</w:t>
      </w:r>
      <w:proofErr w:type="spellEnd"/>
      <w:r w:rsidRPr="00C70E2F">
        <w:rPr>
          <w:i/>
        </w:rPr>
        <w:t xml:space="preserve"> </w:t>
      </w:r>
      <w:proofErr w:type="spellStart"/>
      <w:r w:rsidRPr="00C70E2F">
        <w:rPr>
          <w:i/>
        </w:rPr>
        <w:t>capsici</w:t>
      </w:r>
      <w:proofErr w:type="spellEnd"/>
      <w:r>
        <w:t xml:space="preserve"> conidia. </w:t>
      </w:r>
      <w:proofErr w:type="spellStart"/>
      <w:r>
        <w:t>Kasetsart</w:t>
      </w:r>
      <w:proofErr w:type="spellEnd"/>
      <w:r>
        <w:t xml:space="preserve"> Journal - Natural Science, 42(3), 417–422.</w:t>
      </w:r>
    </w:p>
    <w:p w14:paraId="1508648B" w14:textId="77777777" w:rsidR="00F70752" w:rsidRDefault="00F70752" w:rsidP="00F70752">
      <w:pPr>
        <w:pStyle w:val="Body"/>
      </w:pPr>
      <w:r>
        <w:t xml:space="preserve">Kurita, S., Kitagawa, E., Kim, C. H., Momose, Y., &amp; Iwahashi, H. (2002). Studies on the antimicrobial mechanisms of capsaicin using yeast </w:t>
      </w:r>
      <w:proofErr w:type="spellStart"/>
      <w:r>
        <w:t>dna</w:t>
      </w:r>
      <w:proofErr w:type="spellEnd"/>
      <w:r>
        <w:t xml:space="preserve"> microarray. Bioscience, Biotechnology and Biochemistry, 66(3), 532–536. https://doi.org/10.1271/bbb.66.532</w:t>
      </w:r>
    </w:p>
    <w:p w14:paraId="7E05D24D" w14:textId="77777777" w:rsidR="00F70752" w:rsidRDefault="00F70752" w:rsidP="00F70752">
      <w:pPr>
        <w:pStyle w:val="Body"/>
      </w:pPr>
      <w:r>
        <w:t xml:space="preserve">Lucas, G. B., Campbell, C. L., &amp; Lucas, L. T. (1992). Introduction to plant diseases : identification and management (2nd </w:t>
      </w:r>
      <w:proofErr w:type="gramStart"/>
      <w:r>
        <w:t>ed</w:t>
      </w:r>
      <w:proofErr w:type="gramEnd"/>
      <w:r>
        <w:t>.). Chapman &amp; Hall.</w:t>
      </w:r>
    </w:p>
    <w:p w14:paraId="4061E1D0" w14:textId="77777777" w:rsidR="00F70752" w:rsidRDefault="00F70752" w:rsidP="00F70752">
      <w:pPr>
        <w:pStyle w:val="Body"/>
      </w:pPr>
      <w:r>
        <w:t xml:space="preserve">Morrine, A. O., Zen-Zi, W., Weih, G. B., Grant, A. H., Kamal, D., &amp; David, J. B. (2018). </w:t>
      </w:r>
      <w:proofErr w:type="gramStart"/>
      <w:r>
        <w:t>Comparative analysis of capsaicin in twenty nine varieties of unexplored Capsicum and its antimicrobial activity against bacterial and fungal pathogens.</w:t>
      </w:r>
      <w:proofErr w:type="gramEnd"/>
      <w:r>
        <w:t xml:space="preserve"> Journal of Medicinal Plants Research, 12(29), 544–556. https://doi.org/10.5897/jmpr2018.6667</w:t>
      </w:r>
    </w:p>
    <w:p w14:paraId="0620BC90" w14:textId="77777777" w:rsidR="00F70752" w:rsidRDefault="00F70752" w:rsidP="00F70752">
      <w:pPr>
        <w:pStyle w:val="Body"/>
      </w:pPr>
      <w:r>
        <w:t xml:space="preserve">Nascimento, P. L. A., Nascimento, T. C. E. S., Ramos, N. S. M., Silva, G. R., Gomes, J. E. G., Falcão, R. E. A., Moreira, K. A., Porto, A. L. F., &amp; Silva, T. M. S. (2014). Quantification, Antioxidant and Antimicrobial Activity of Phenolics Isolated from Different Extracts of </w:t>
      </w:r>
      <w:r w:rsidRPr="00700784">
        <w:rPr>
          <w:i/>
        </w:rPr>
        <w:t>Capsicum frutescens (Pimenta Malagueta)</w:t>
      </w:r>
      <w:r>
        <w:t>. Molecules, 19(4), 5434–5447. https://doi.org/10.3390/molecules19045434</w:t>
      </w:r>
    </w:p>
    <w:p w14:paraId="30EE852E" w14:textId="77777777" w:rsidR="00F70752" w:rsidRDefault="00F70752" w:rsidP="00F70752">
      <w:pPr>
        <w:pStyle w:val="Body"/>
      </w:pPr>
      <w:r>
        <w:t>Sales, M. D. C., Costa, H. B., Fernandes, P. M. B., Ventura, J. A., &amp; Meira, D. D. (2016). Antifungal activity of plant extracts with potential to control plant pathogens in pineapple. Asian Pacific Journal of Tropical Biomedicine, 6(1), 26–31. https://doi.org/10.1016/j.apjtb.2015.09.026</w:t>
      </w:r>
    </w:p>
    <w:p w14:paraId="4977F746" w14:textId="77777777" w:rsidR="00F70752" w:rsidRDefault="00F70752" w:rsidP="00F70752">
      <w:pPr>
        <w:pStyle w:val="Body"/>
      </w:pPr>
      <w:r>
        <w:t xml:space="preserve">Samuel, C. O., &amp; Chaudhary, S. (2019). </w:t>
      </w:r>
      <w:r w:rsidR="002E7A50" w:rsidRPr="002E7A50">
        <w:rPr>
          <w:i/>
        </w:rPr>
        <w:t>in vitro</w:t>
      </w:r>
      <w:r>
        <w:t xml:space="preserve"> Antifungal Evaluation of </w:t>
      </w:r>
      <w:proofErr w:type="spellStart"/>
      <w:r>
        <w:t>Dendrophthoe</w:t>
      </w:r>
      <w:proofErr w:type="spellEnd"/>
      <w:r>
        <w:t xml:space="preserve"> </w:t>
      </w:r>
      <w:proofErr w:type="spellStart"/>
      <w:r>
        <w:t>Falcata</w:t>
      </w:r>
      <w:proofErr w:type="spellEnd"/>
      <w:r>
        <w:t xml:space="preserve"> Leaf Extract Against Phytopathogens. 5(624), 624–631. https://doi.org/10.26479/2019.0503.51</w:t>
      </w:r>
    </w:p>
    <w:p w14:paraId="1A560FCC" w14:textId="77777777" w:rsidR="00F70752" w:rsidRDefault="00F70752" w:rsidP="00F70752">
      <w:pPr>
        <w:pStyle w:val="Body"/>
      </w:pPr>
      <w:r>
        <w:lastRenderedPageBreak/>
        <w:t xml:space="preserve">Shuping, D. S. S., &amp; Eloff, J. N. (2017). </w:t>
      </w:r>
      <w:proofErr w:type="gramStart"/>
      <w:r>
        <w:t>the</w:t>
      </w:r>
      <w:proofErr w:type="gramEnd"/>
      <w:r>
        <w:t xml:space="preserve"> Use of Plants To Protect Plants and Food Against Fungal Pathogens: a Review. African Journal of Traditional, Complementary, and Alternative Medicines : AJTCAM, 14(4), 120–127. https://doi.org/10.21010/ajtcam.v14i4.14</w:t>
      </w:r>
    </w:p>
    <w:p w14:paraId="72A8D701" w14:textId="77777777" w:rsidR="00F70752" w:rsidRDefault="00F70752" w:rsidP="00F70752">
      <w:pPr>
        <w:pStyle w:val="Body"/>
      </w:pPr>
      <w:r>
        <w:t>Srinivasan, K. (2016). Biological Activities of Red Pepper (</w:t>
      </w:r>
      <w:r w:rsidRPr="00700784">
        <w:rPr>
          <w:i/>
        </w:rPr>
        <w:t>Capsicum annuum</w:t>
      </w:r>
      <w:r>
        <w:t>) and Its Pungent Principle Capsaicin: A Review. Critical Reviews in Food Science and Nutrition, 56(9), 1488–1500. https://doi.org/10.1080/10408398.2013.772090</w:t>
      </w:r>
    </w:p>
    <w:p w14:paraId="524D2FA8" w14:textId="77777777" w:rsidR="00F70752" w:rsidRDefault="00F70752" w:rsidP="00F70752">
      <w:pPr>
        <w:pStyle w:val="Body"/>
      </w:pPr>
      <w:r>
        <w:t>Strange, R. N. (1993). Plant Disease Control Towards environmentally acceptable methods. Springer New York.</w:t>
      </w:r>
    </w:p>
    <w:p w14:paraId="762A2841" w14:textId="77777777" w:rsidR="00F70752" w:rsidRDefault="00F70752" w:rsidP="00F70752">
      <w:pPr>
        <w:pStyle w:val="Body"/>
      </w:pPr>
      <w:r>
        <w:t xml:space="preserve">Tayseer, I., </w:t>
      </w:r>
      <w:proofErr w:type="spellStart"/>
      <w:r>
        <w:t>Aburjai</w:t>
      </w:r>
      <w:proofErr w:type="spellEnd"/>
      <w:r>
        <w:t>, T., Abu-</w:t>
      </w:r>
      <w:proofErr w:type="spellStart"/>
      <w:r>
        <w:t>Qatouseh</w:t>
      </w:r>
      <w:proofErr w:type="spellEnd"/>
      <w:r>
        <w:t>, L., AL-</w:t>
      </w:r>
      <w:proofErr w:type="spellStart"/>
      <w:r>
        <w:t>Karabieh</w:t>
      </w:r>
      <w:proofErr w:type="spellEnd"/>
      <w:r>
        <w:t>, N., Ahmed, W., &amp; Al-</w:t>
      </w:r>
      <w:proofErr w:type="spellStart"/>
      <w:r>
        <w:t>Samydai</w:t>
      </w:r>
      <w:proofErr w:type="spellEnd"/>
      <w:r>
        <w:t xml:space="preserve">, A. (2020). </w:t>
      </w:r>
      <w:r w:rsidR="002E7A50" w:rsidRPr="002E7A50">
        <w:rPr>
          <w:i/>
        </w:rPr>
        <w:t>In vitro</w:t>
      </w:r>
      <w:r>
        <w:t xml:space="preserve"> anti-helicobacter pylori activity of capsaicin. Journal of Pure and Applied Microbiology, 14(1), 279–286. https://doi.org/10.22207/JPAM.14.1.29</w:t>
      </w:r>
    </w:p>
    <w:p w14:paraId="4A5738DA" w14:textId="77777777" w:rsidR="00F70752" w:rsidRDefault="00F70752" w:rsidP="00F70752">
      <w:pPr>
        <w:pStyle w:val="Body"/>
      </w:pPr>
      <w:r>
        <w:t>Tsuchiya, H. (2001). Biphasic membrane effects of capsaicin, an active component in Capsicum species. Journal of Ethnopharmacology, 75(2–3), 295–299. https://doi.org/10.1016/S0378-8741(01)00200-8</w:t>
      </w:r>
    </w:p>
    <w:p w14:paraId="0F2CEB20" w14:textId="77777777" w:rsidR="00F70752" w:rsidRDefault="00F70752" w:rsidP="00F70752">
      <w:pPr>
        <w:pStyle w:val="Body"/>
      </w:pPr>
      <w:r>
        <w:t>Xing, F., Cheng, G., &amp; Yi, K. (2006). Study on the antimicrobial activities of the capsaicin microcapsules. Journal of Applied Polymer Science, 102(2), 1318–1321. https://doi.org/10.1002/app.23766</w:t>
      </w:r>
    </w:p>
    <w:p w14:paraId="4944DBA1" w14:textId="77777777" w:rsidR="00F70752" w:rsidRDefault="00F70752" w:rsidP="00F70752">
      <w:pPr>
        <w:pStyle w:val="Body"/>
      </w:pPr>
      <w:proofErr w:type="spellStart"/>
      <w:r>
        <w:t>Yildiz</w:t>
      </w:r>
      <w:proofErr w:type="spellEnd"/>
      <w:r>
        <w:t xml:space="preserve"> </w:t>
      </w:r>
      <w:proofErr w:type="spellStart"/>
      <w:r>
        <w:t>Zeyrek</w:t>
      </w:r>
      <w:proofErr w:type="spellEnd"/>
      <w:r>
        <w:t xml:space="preserve">, F., &amp; Oguz, E. (2005). </w:t>
      </w:r>
      <w:r w:rsidR="002E7A50" w:rsidRPr="002E7A50">
        <w:rPr>
          <w:i/>
        </w:rPr>
        <w:t>In vitro</w:t>
      </w:r>
      <w:r>
        <w:t xml:space="preserve"> activity of capsaicin against </w:t>
      </w:r>
      <w:r w:rsidRPr="00700784">
        <w:rPr>
          <w:i/>
        </w:rPr>
        <w:t>Helicobacter pylori</w:t>
      </w:r>
      <w:r>
        <w:t>. Annals of Microbiology, 55(2), 125–127.</w:t>
      </w:r>
    </w:p>
    <w:p w14:paraId="71AA8162" w14:textId="77777777" w:rsidR="00F70752" w:rsidRDefault="00F70752" w:rsidP="00F70752">
      <w:pPr>
        <w:pStyle w:val="Body"/>
      </w:pPr>
      <w:r>
        <w:t>Yusuf, N. A., Ibrahim, H., &amp; Khalid, N. (2001). Antibacterial Evaluation and Tissue Culture Studies of Selected Medicinal Curcuma Species. National Science Foundation Workshop, Kuala Lumpur, Malaysia.</w:t>
      </w:r>
    </w:p>
    <w:p w14:paraId="35327AE6" w14:textId="77777777" w:rsidR="00441B6F" w:rsidRDefault="00441B6F" w:rsidP="00441B6F">
      <w:pPr>
        <w:pStyle w:val="Body"/>
        <w:spacing w:after="0"/>
        <w:jc w:val="left"/>
        <w:rPr>
          <w:rFonts w:ascii="Arial" w:hAnsi="Arial" w:cs="Arial"/>
        </w:rPr>
      </w:pPr>
    </w:p>
    <w:p w14:paraId="6CA18B6A" w14:textId="77777777" w:rsidR="00B01FCD" w:rsidRPr="00FB3A86" w:rsidRDefault="00B01FCD" w:rsidP="00441B6F">
      <w:pPr>
        <w:pStyle w:val="Reference"/>
        <w:numPr>
          <w:ilvl w:val="0"/>
          <w:numId w:val="0"/>
        </w:numPr>
        <w:spacing w:line="240" w:lineRule="auto"/>
        <w:rPr>
          <w:rFonts w:ascii="Arial" w:hAnsi="Arial" w:cs="Arial"/>
        </w:rPr>
      </w:pPr>
    </w:p>
    <w:p w14:paraId="0C6E54C0" w14:textId="77777777" w:rsidR="004D4277" w:rsidRPr="00FB3A86" w:rsidRDefault="004D4277" w:rsidP="00441B6F">
      <w:pPr>
        <w:pStyle w:val="Appendix"/>
        <w:spacing w:after="0"/>
        <w:jc w:val="both"/>
        <w:rPr>
          <w:rFonts w:ascii="Arial" w:hAnsi="Arial" w:cs="Arial"/>
          <w:b w:val="0"/>
        </w:rPr>
        <w:sectPr w:rsidR="004D4277" w:rsidRPr="00FB3A86" w:rsidSect="00E92788">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440" w:right="2016" w:bottom="2016" w:left="2016" w:header="720" w:footer="1123" w:gutter="0"/>
          <w:cols w:space="720"/>
          <w:docGrid w:linePitch="272"/>
        </w:sectPr>
      </w:pPr>
    </w:p>
    <w:p w14:paraId="7FB60B4F" w14:textId="77777777" w:rsidR="00B01FCD" w:rsidRPr="00FB3A86" w:rsidRDefault="00B01FCD" w:rsidP="00441B6F">
      <w:pPr>
        <w:pStyle w:val="Appendix"/>
        <w:spacing w:after="0"/>
        <w:jc w:val="both"/>
        <w:rPr>
          <w:rFonts w:ascii="Arial" w:hAnsi="Arial" w:cs="Arial"/>
          <w:b w:val="0"/>
        </w:rPr>
      </w:pPr>
    </w:p>
    <w:sectPr w:rsidR="00B01FCD" w:rsidRPr="00FB3A86" w:rsidSect="00E92788">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Assefa S" w:date="2025-05-01T02:05:00Z" w:initials="AS">
    <w:p w14:paraId="46B7738F" w14:textId="66DEA3DA" w:rsidR="00181881" w:rsidRDefault="00181881">
      <w:pPr>
        <w:pStyle w:val="CommentText"/>
      </w:pPr>
      <w:r>
        <w:rPr>
          <w:rStyle w:val="CommentReference"/>
        </w:rPr>
        <w:annotationRef/>
      </w:r>
      <w:r>
        <w:t>For which type of crop disease not indicated?</w:t>
      </w:r>
    </w:p>
  </w:comment>
  <w:comment w:id="1" w:author="Assefa S" w:date="2025-05-01T01:58:00Z" w:initials="AS">
    <w:p w14:paraId="4C02DD57" w14:textId="2018580A" w:rsidR="0034574A" w:rsidRDefault="0034574A">
      <w:pPr>
        <w:pStyle w:val="CommentText"/>
      </w:pPr>
      <w:r>
        <w:rPr>
          <w:rStyle w:val="CommentReference"/>
        </w:rPr>
        <w:annotationRef/>
      </w:r>
      <w:r>
        <w:t xml:space="preserve">Write the type of crop thant canbe damaged by </w:t>
      </w:r>
      <w:r w:rsidRPr="002E7A50">
        <w:rPr>
          <w:rFonts w:ascii="Arial" w:hAnsi="Arial" w:cs="Arial"/>
          <w:i/>
        </w:rPr>
        <w:t>Fusarium oxysporum</w:t>
      </w:r>
      <w:r>
        <w:rPr>
          <w:rFonts w:ascii="Arial" w:hAnsi="Arial" w:cs="Arial"/>
          <w:i/>
        </w:rPr>
        <w:t xml:space="preserve"> pathogen here?</w:t>
      </w:r>
    </w:p>
  </w:comment>
  <w:comment w:id="2" w:author="Assefa S" w:date="2025-05-01T02:09:00Z" w:initials="AS">
    <w:p w14:paraId="36ACFCB3" w14:textId="0203E634" w:rsidR="00180F61" w:rsidRDefault="00180F61">
      <w:pPr>
        <w:pStyle w:val="CommentText"/>
      </w:pPr>
      <w:r>
        <w:rPr>
          <w:rStyle w:val="CommentReference"/>
        </w:rPr>
        <w:annotationRef/>
      </w:r>
      <w:r>
        <w:t xml:space="preserve">Source of </w:t>
      </w:r>
      <w:r w:rsidRPr="00E318EB">
        <w:rPr>
          <w:rFonts w:ascii="Arial" w:hAnsi="Arial" w:cs="Arial"/>
        </w:rPr>
        <w:t>Chemical structure</w:t>
      </w:r>
      <w:r>
        <w:rPr>
          <w:rFonts w:ascii="Arial" w:hAnsi="Arial" w:cs="Arial"/>
        </w:rPr>
        <w:t xml:space="preserve"> should be indicated?</w:t>
      </w:r>
    </w:p>
  </w:comment>
  <w:comment w:id="3" w:author="Assefa S" w:date="2025-05-01T02:18:00Z" w:initials="AS">
    <w:p w14:paraId="6AA3161B" w14:textId="66AF53FE" w:rsidR="00180F61" w:rsidRDefault="00180F61">
      <w:pPr>
        <w:pStyle w:val="CommentText"/>
        <w:rPr>
          <w:rFonts w:ascii="Arial" w:hAnsi="Arial" w:cs="Arial"/>
        </w:rPr>
      </w:pPr>
      <w:r>
        <w:rPr>
          <w:rStyle w:val="CommentReference"/>
        </w:rPr>
        <w:annotationRef/>
      </w:r>
      <w:r w:rsidRPr="00180F61">
        <w:t xml:space="preserve">Source of </w:t>
      </w:r>
      <w:r w:rsidRPr="00180F61">
        <w:rPr>
          <w:rFonts w:ascii="Arial" w:hAnsi="Arial" w:cs="Arial"/>
          <w:i/>
        </w:rPr>
        <w:t xml:space="preserve">F. </w:t>
      </w:r>
      <w:r w:rsidRPr="00180F61">
        <w:rPr>
          <w:rFonts w:ascii="Arial" w:hAnsi="Arial" w:cs="Arial"/>
          <w:i/>
        </w:rPr>
        <w:t>O</w:t>
      </w:r>
      <w:r w:rsidRPr="00180F61">
        <w:rPr>
          <w:rFonts w:ascii="Arial" w:hAnsi="Arial" w:cs="Arial"/>
          <w:i/>
        </w:rPr>
        <w:t>xysporum</w:t>
      </w:r>
      <w:r w:rsidRPr="00180F61">
        <w:rPr>
          <w:rFonts w:ascii="Arial" w:hAnsi="Arial" w:cs="Arial"/>
          <w:i/>
        </w:rPr>
        <w:t xml:space="preserve"> </w:t>
      </w:r>
      <w:r w:rsidRPr="00180F61">
        <w:rPr>
          <w:rFonts w:ascii="Arial" w:hAnsi="Arial" w:cs="Arial"/>
        </w:rPr>
        <w:t xml:space="preserve">where you found or obtained not known. </w:t>
      </w:r>
    </w:p>
    <w:p w14:paraId="39EF6449" w14:textId="67CC0F19" w:rsidR="00263FDF" w:rsidRPr="00180F61" w:rsidRDefault="00263FDF">
      <w:pPr>
        <w:pStyle w:val="CommentText"/>
      </w:pPr>
      <w:r>
        <w:rPr>
          <w:rFonts w:ascii="Arial" w:hAnsi="Arial" w:cs="Arial"/>
        </w:rPr>
        <w:t>This pathogen is isolated from where from plants or from soil or from where source of this pathogen should be indicated?</w:t>
      </w:r>
    </w:p>
  </w:comment>
  <w:comment w:id="4" w:author="Assefa S" w:date="2025-05-01T02:07:00Z" w:initials="AS">
    <w:p w14:paraId="32409413" w14:textId="77777777" w:rsidR="0034574A" w:rsidRDefault="0034574A">
      <w:pPr>
        <w:pStyle w:val="CommentText"/>
      </w:pPr>
      <w:r>
        <w:rPr>
          <w:rStyle w:val="CommentReference"/>
        </w:rPr>
        <w:annotationRef/>
      </w:r>
      <w:r>
        <w:t xml:space="preserve">Methods of statistical analysis was not written in material and method section </w:t>
      </w:r>
    </w:p>
    <w:p w14:paraId="727D6189" w14:textId="77777777" w:rsidR="00181881" w:rsidRDefault="00181881">
      <w:pPr>
        <w:pStyle w:val="CommentText"/>
      </w:pPr>
    </w:p>
    <w:p w14:paraId="571D4FDC" w14:textId="77777777" w:rsidR="00181881" w:rsidRDefault="00181881">
      <w:pPr>
        <w:pStyle w:val="CommentText"/>
      </w:pPr>
      <w:r>
        <w:t xml:space="preserve">Type of crop to be infected by pathogen should be listed? </w:t>
      </w:r>
    </w:p>
    <w:p w14:paraId="1A8D9459" w14:textId="77777777" w:rsidR="008172CC" w:rsidRDefault="008172CC">
      <w:pPr>
        <w:pStyle w:val="CommentText"/>
      </w:pPr>
    </w:p>
    <w:p w14:paraId="60F62D21" w14:textId="4480E39D" w:rsidR="008172CC" w:rsidRDefault="008172CC">
      <w:pPr>
        <w:pStyle w:val="CommentText"/>
      </w:pPr>
      <w:r>
        <w:t>The parameter collected was only one parameter so not sufficient to be considered as article but canbe considered as short communication?</w:t>
      </w:r>
    </w:p>
  </w:comment>
  <w:comment w:id="5" w:author="Assefa S" w:date="2025-05-01T02:14:00Z" w:initials="AS">
    <w:p w14:paraId="020321B2" w14:textId="1BC043A2" w:rsidR="00351A81" w:rsidRDefault="00351A81">
      <w:pPr>
        <w:pStyle w:val="CommentText"/>
      </w:pPr>
      <w:r>
        <w:rPr>
          <w:rStyle w:val="CommentReference"/>
        </w:rPr>
        <w:annotationRef/>
      </w:r>
      <w:r>
        <w:t xml:space="preserve">You have to write the  same contents </w:t>
      </w:r>
      <w:r w:rsidR="00263FDF">
        <w:t>by different paragraph all are merged without paragraph difference?</w:t>
      </w:r>
    </w:p>
  </w:comment>
  <w:comment w:id="6" w:author="Assefa S" w:date="2025-05-01T02:20:00Z" w:initials="AS">
    <w:p w14:paraId="1A6C209B" w14:textId="0B616A8C" w:rsidR="00263FDF" w:rsidRDefault="00263FDF">
      <w:pPr>
        <w:pStyle w:val="CommentText"/>
      </w:pPr>
      <w:r>
        <w:rPr>
          <w:rStyle w:val="CommentReference"/>
        </w:rPr>
        <w:annotationRef/>
      </w:r>
      <w:r>
        <w:t>Write at the end ethical clearance , source of fund?</w:t>
      </w:r>
      <w:bookmarkStart w:id="7" w:name="_GoBack"/>
      <w:bookmarkEnd w:id="7"/>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FF7532" w14:textId="77777777" w:rsidR="00B47F25" w:rsidRDefault="00B47F25" w:rsidP="00C37E61">
      <w:r>
        <w:separator/>
      </w:r>
    </w:p>
  </w:endnote>
  <w:endnote w:type="continuationSeparator" w:id="0">
    <w:p w14:paraId="08B3DEAF" w14:textId="77777777" w:rsidR="00B47F25" w:rsidRDefault="00B47F2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AD040" w14:textId="77777777" w:rsidR="002550F3" w:rsidRDefault="002550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6EF191" w14:textId="77777777" w:rsidR="00C37E61" w:rsidRPr="00C37E61" w:rsidRDefault="00C37E61" w:rsidP="00C37E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CF003E" w14:textId="77777777" w:rsidR="002550F3" w:rsidRDefault="002550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D9874F" w14:textId="77777777" w:rsidR="00B47F25" w:rsidRDefault="00B47F25" w:rsidP="00C37E61">
      <w:r>
        <w:separator/>
      </w:r>
    </w:p>
  </w:footnote>
  <w:footnote w:type="continuationSeparator" w:id="0">
    <w:p w14:paraId="4738639D" w14:textId="77777777" w:rsidR="00B47F25" w:rsidRDefault="00B47F25"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3455E" w14:textId="585DAB8B" w:rsidR="002550F3" w:rsidRDefault="00B47F25">
    <w:pPr>
      <w:pStyle w:val="Header"/>
    </w:pPr>
    <w:r>
      <w:rPr>
        <w:noProof/>
      </w:rPr>
      <w:pict w14:anchorId="02036C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763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E4F6AB" w14:textId="7B340D87" w:rsidR="002550F3" w:rsidRDefault="00B47F25">
    <w:pPr>
      <w:pStyle w:val="Header"/>
    </w:pPr>
    <w:r>
      <w:rPr>
        <w:noProof/>
      </w:rPr>
      <w:pict w14:anchorId="793181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763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F99AC" w14:textId="5F8702CD" w:rsidR="002550F3" w:rsidRDefault="00B47F25">
    <w:pPr>
      <w:pStyle w:val="Header"/>
    </w:pPr>
    <w:r>
      <w:rPr>
        <w:noProof/>
      </w:rPr>
      <w:pict w14:anchorId="2CAF63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3576359"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219"/>
    <w:rsid w:val="00000F8F"/>
    <w:rsid w:val="00030174"/>
    <w:rsid w:val="0004579C"/>
    <w:rsid w:val="00063ECB"/>
    <w:rsid w:val="000A47FA"/>
    <w:rsid w:val="000A65D3"/>
    <w:rsid w:val="000B1E33"/>
    <w:rsid w:val="000D689F"/>
    <w:rsid w:val="000E7B7B"/>
    <w:rsid w:val="000E7D62"/>
    <w:rsid w:val="00103357"/>
    <w:rsid w:val="00123C9F"/>
    <w:rsid w:val="00126190"/>
    <w:rsid w:val="00130F17"/>
    <w:rsid w:val="001320BF"/>
    <w:rsid w:val="00163BC4"/>
    <w:rsid w:val="00180F61"/>
    <w:rsid w:val="00181881"/>
    <w:rsid w:val="00191062"/>
    <w:rsid w:val="00192B72"/>
    <w:rsid w:val="001A1CD3"/>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0F3"/>
    <w:rsid w:val="002556F6"/>
    <w:rsid w:val="00263092"/>
    <w:rsid w:val="00263FDF"/>
    <w:rsid w:val="00283105"/>
    <w:rsid w:val="00284C4C"/>
    <w:rsid w:val="00287E68"/>
    <w:rsid w:val="00296529"/>
    <w:rsid w:val="002B27FB"/>
    <w:rsid w:val="002B685A"/>
    <w:rsid w:val="002C57D2"/>
    <w:rsid w:val="002E0D56"/>
    <w:rsid w:val="002E7A50"/>
    <w:rsid w:val="00315186"/>
    <w:rsid w:val="0033343E"/>
    <w:rsid w:val="0034574A"/>
    <w:rsid w:val="003512C2"/>
    <w:rsid w:val="00351A81"/>
    <w:rsid w:val="00371FB6"/>
    <w:rsid w:val="003763C1"/>
    <w:rsid w:val="00376BBE"/>
    <w:rsid w:val="0039224F"/>
    <w:rsid w:val="003A2FEB"/>
    <w:rsid w:val="003A43A4"/>
    <w:rsid w:val="003A7E18"/>
    <w:rsid w:val="003C4C86"/>
    <w:rsid w:val="003C6258"/>
    <w:rsid w:val="003E2904"/>
    <w:rsid w:val="00401927"/>
    <w:rsid w:val="004041E6"/>
    <w:rsid w:val="00407ABF"/>
    <w:rsid w:val="0041027F"/>
    <w:rsid w:val="00412475"/>
    <w:rsid w:val="00423789"/>
    <w:rsid w:val="00440F43"/>
    <w:rsid w:val="00441B6F"/>
    <w:rsid w:val="00446221"/>
    <w:rsid w:val="00450E62"/>
    <w:rsid w:val="004539DB"/>
    <w:rsid w:val="004619AB"/>
    <w:rsid w:val="00471A80"/>
    <w:rsid w:val="004D305E"/>
    <w:rsid w:val="004D4277"/>
    <w:rsid w:val="00502516"/>
    <w:rsid w:val="00505F06"/>
    <w:rsid w:val="00506828"/>
    <w:rsid w:val="0053056E"/>
    <w:rsid w:val="00554FDA"/>
    <w:rsid w:val="00591548"/>
    <w:rsid w:val="005C784C"/>
    <w:rsid w:val="005D17F6"/>
    <w:rsid w:val="005E5539"/>
    <w:rsid w:val="00602BF5"/>
    <w:rsid w:val="00611D8D"/>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6F390C"/>
    <w:rsid w:val="00700784"/>
    <w:rsid w:val="0070082C"/>
    <w:rsid w:val="007369E6"/>
    <w:rsid w:val="00746E59"/>
    <w:rsid w:val="00754C9A"/>
    <w:rsid w:val="0075599A"/>
    <w:rsid w:val="00761D52"/>
    <w:rsid w:val="0077749E"/>
    <w:rsid w:val="00790ADA"/>
    <w:rsid w:val="007D2288"/>
    <w:rsid w:val="007E088F"/>
    <w:rsid w:val="007E744A"/>
    <w:rsid w:val="007F7B32"/>
    <w:rsid w:val="00804BC2"/>
    <w:rsid w:val="0081431A"/>
    <w:rsid w:val="008172CC"/>
    <w:rsid w:val="0083216F"/>
    <w:rsid w:val="008405AE"/>
    <w:rsid w:val="00860000"/>
    <w:rsid w:val="00863BD3"/>
    <w:rsid w:val="008641ED"/>
    <w:rsid w:val="00866D66"/>
    <w:rsid w:val="008671C6"/>
    <w:rsid w:val="00875803"/>
    <w:rsid w:val="008B459E"/>
    <w:rsid w:val="008E13AE"/>
    <w:rsid w:val="008E1506"/>
    <w:rsid w:val="008E25C4"/>
    <w:rsid w:val="008E710C"/>
    <w:rsid w:val="008F69D6"/>
    <w:rsid w:val="00902823"/>
    <w:rsid w:val="00915CA6"/>
    <w:rsid w:val="00927834"/>
    <w:rsid w:val="009500A6"/>
    <w:rsid w:val="00957C18"/>
    <w:rsid w:val="009659BA"/>
    <w:rsid w:val="00983040"/>
    <w:rsid w:val="00995968"/>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47F25"/>
    <w:rsid w:val="00B52583"/>
    <w:rsid w:val="00B52896"/>
    <w:rsid w:val="00B65B36"/>
    <w:rsid w:val="00B95236"/>
    <w:rsid w:val="00B96BD9"/>
    <w:rsid w:val="00BA1B01"/>
    <w:rsid w:val="00BA2641"/>
    <w:rsid w:val="00BB37AA"/>
    <w:rsid w:val="00BC53A0"/>
    <w:rsid w:val="00BE62AD"/>
    <w:rsid w:val="00BF121F"/>
    <w:rsid w:val="00BF1F80"/>
    <w:rsid w:val="00C166EF"/>
    <w:rsid w:val="00C17EB0"/>
    <w:rsid w:val="00C217D0"/>
    <w:rsid w:val="00C27F5F"/>
    <w:rsid w:val="00C30A0F"/>
    <w:rsid w:val="00C37E61"/>
    <w:rsid w:val="00C70E2F"/>
    <w:rsid w:val="00C70F1B"/>
    <w:rsid w:val="00C71A47"/>
    <w:rsid w:val="00C7464C"/>
    <w:rsid w:val="00C85588"/>
    <w:rsid w:val="00C95C9C"/>
    <w:rsid w:val="00CD6755"/>
    <w:rsid w:val="00CD6856"/>
    <w:rsid w:val="00CE0089"/>
    <w:rsid w:val="00CE793C"/>
    <w:rsid w:val="00CF193C"/>
    <w:rsid w:val="00D173F1"/>
    <w:rsid w:val="00D74CB0"/>
    <w:rsid w:val="00D8295D"/>
    <w:rsid w:val="00DC2A65"/>
    <w:rsid w:val="00DC3A88"/>
    <w:rsid w:val="00DE15F0"/>
    <w:rsid w:val="00DE5663"/>
    <w:rsid w:val="00DE78AA"/>
    <w:rsid w:val="00E053D0"/>
    <w:rsid w:val="00E15994"/>
    <w:rsid w:val="00E3114E"/>
    <w:rsid w:val="00E318EB"/>
    <w:rsid w:val="00E31A70"/>
    <w:rsid w:val="00E35B02"/>
    <w:rsid w:val="00E66496"/>
    <w:rsid w:val="00E66B35"/>
    <w:rsid w:val="00E66E10"/>
    <w:rsid w:val="00E769F6"/>
    <w:rsid w:val="00E8407C"/>
    <w:rsid w:val="00E84F3C"/>
    <w:rsid w:val="00E92788"/>
    <w:rsid w:val="00EA012C"/>
    <w:rsid w:val="00EC6A55"/>
    <w:rsid w:val="00ED0288"/>
    <w:rsid w:val="00EE52CB"/>
    <w:rsid w:val="00EF581D"/>
    <w:rsid w:val="00EF7FD8"/>
    <w:rsid w:val="00F06F59"/>
    <w:rsid w:val="00F17988"/>
    <w:rsid w:val="00F469F0"/>
    <w:rsid w:val="00F53273"/>
    <w:rsid w:val="00F70752"/>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BDBBC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paragraph">
    <w:name w:val="paragraph"/>
    <w:basedOn w:val="Normal"/>
    <w:rsid w:val="00C217D0"/>
    <w:pPr>
      <w:spacing w:before="100" w:beforeAutospacing="1" w:after="100" w:afterAutospacing="1"/>
    </w:pPr>
    <w:rPr>
      <w:rFonts w:ascii="Times New Roman" w:hAnsi="Times New Roman"/>
      <w:sz w:val="24"/>
      <w:szCs w:val="24"/>
      <w:lang w:val="tr-TR" w:eastAsia="tr-TR"/>
    </w:rPr>
  </w:style>
  <w:style w:type="character" w:customStyle="1" w:styleId="normaltextrun">
    <w:name w:val="normaltextrun"/>
    <w:basedOn w:val="DefaultParagraphFont"/>
    <w:rsid w:val="00C217D0"/>
  </w:style>
  <w:style w:type="character" w:customStyle="1" w:styleId="UnresolvedMention">
    <w:name w:val="Unresolved Mention"/>
    <w:basedOn w:val="DefaultParagraphFont"/>
    <w:uiPriority w:val="99"/>
    <w:semiHidden/>
    <w:unhideWhenUsed/>
    <w:rsid w:val="004041E6"/>
    <w:rPr>
      <w:color w:val="605E5C"/>
      <w:shd w:val="clear" w:color="auto" w:fill="E1DFDD"/>
    </w:rPr>
  </w:style>
  <w:style w:type="paragraph" w:styleId="CommentSubject">
    <w:name w:val="annotation subject"/>
    <w:basedOn w:val="CommentText"/>
    <w:next w:val="CommentText"/>
    <w:link w:val="CommentSubjectChar"/>
    <w:semiHidden/>
    <w:unhideWhenUsed/>
    <w:rsid w:val="0034574A"/>
    <w:rPr>
      <w:rFonts w:ascii="Helvetica" w:hAnsi="Helvetica"/>
      <w:b/>
      <w:bCs/>
      <w:lang w:val="en-US" w:eastAsia="en-US"/>
    </w:rPr>
  </w:style>
  <w:style w:type="character" w:customStyle="1" w:styleId="CommentSubjectChar">
    <w:name w:val="Comment Subject Char"/>
    <w:basedOn w:val="CommentTextChar"/>
    <w:link w:val="CommentSubject"/>
    <w:semiHidden/>
    <w:rsid w:val="0034574A"/>
    <w:rPr>
      <w:rFonts w:ascii="Helvetica" w:hAnsi="Helvetica"/>
      <w:b/>
      <w:bCs/>
      <w:lang w:val="nb-NO" w:eastAsia="nb-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paragraph">
    <w:name w:val="paragraph"/>
    <w:basedOn w:val="Normal"/>
    <w:rsid w:val="00C217D0"/>
    <w:pPr>
      <w:spacing w:before="100" w:beforeAutospacing="1" w:after="100" w:afterAutospacing="1"/>
    </w:pPr>
    <w:rPr>
      <w:rFonts w:ascii="Times New Roman" w:hAnsi="Times New Roman"/>
      <w:sz w:val="24"/>
      <w:szCs w:val="24"/>
      <w:lang w:val="tr-TR" w:eastAsia="tr-TR"/>
    </w:rPr>
  </w:style>
  <w:style w:type="character" w:customStyle="1" w:styleId="normaltextrun">
    <w:name w:val="normaltextrun"/>
    <w:basedOn w:val="DefaultParagraphFont"/>
    <w:rsid w:val="00C217D0"/>
  </w:style>
  <w:style w:type="character" w:customStyle="1" w:styleId="UnresolvedMention">
    <w:name w:val="Unresolved Mention"/>
    <w:basedOn w:val="DefaultParagraphFont"/>
    <w:uiPriority w:val="99"/>
    <w:semiHidden/>
    <w:unhideWhenUsed/>
    <w:rsid w:val="004041E6"/>
    <w:rPr>
      <w:color w:val="605E5C"/>
      <w:shd w:val="clear" w:color="auto" w:fill="E1DFDD"/>
    </w:rPr>
  </w:style>
  <w:style w:type="paragraph" w:styleId="CommentSubject">
    <w:name w:val="annotation subject"/>
    <w:basedOn w:val="CommentText"/>
    <w:next w:val="CommentText"/>
    <w:link w:val="CommentSubjectChar"/>
    <w:semiHidden/>
    <w:unhideWhenUsed/>
    <w:rsid w:val="0034574A"/>
    <w:rPr>
      <w:rFonts w:ascii="Helvetica" w:hAnsi="Helvetica"/>
      <w:b/>
      <w:bCs/>
      <w:lang w:val="en-US" w:eastAsia="en-US"/>
    </w:rPr>
  </w:style>
  <w:style w:type="character" w:customStyle="1" w:styleId="CommentSubjectChar">
    <w:name w:val="Comment Subject Char"/>
    <w:basedOn w:val="CommentTextChar"/>
    <w:link w:val="CommentSubject"/>
    <w:semiHidden/>
    <w:rsid w:val="0034574A"/>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C1A99-B815-4E0E-850B-9FF357D16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TotalTime>
  <Pages>8</Pages>
  <Words>3019</Words>
  <Characters>17212</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20191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Assefa S</cp:lastModifiedBy>
  <cp:revision>6</cp:revision>
  <cp:lastPrinted>1999-07-06T11:00:00Z</cp:lastPrinted>
  <dcterms:created xsi:type="dcterms:W3CDTF">2025-04-30T08:51:00Z</dcterms:created>
  <dcterms:modified xsi:type="dcterms:W3CDTF">2025-04-30T23:20:00Z</dcterms:modified>
</cp:coreProperties>
</file>