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B7739" w14:textId="61A014E1" w:rsidR="004D2E4F" w:rsidRDefault="00801124" w:rsidP="004D2E4F">
      <w:pPr>
        <w:pStyle w:val="Title"/>
        <w:ind w:right="288"/>
        <w:jc w:val="right"/>
        <w:rPr>
          <w:rFonts w:ascii="Arial" w:hAnsi="Arial" w:cs="Arial"/>
          <w:b/>
          <w:bCs/>
          <w:sz w:val="36"/>
          <w:szCs w:val="36"/>
          <w:lang w:val="en-US"/>
        </w:rPr>
      </w:pPr>
      <w:r w:rsidRPr="00FA6D3E">
        <w:rPr>
          <w:rFonts w:ascii="Arial" w:hAnsi="Arial" w:cs="Arial"/>
          <w:b/>
          <w:bCs/>
          <w:sz w:val="36"/>
          <w:szCs w:val="36"/>
          <w:lang w:val="en-US"/>
        </w:rPr>
        <w:t>Assessment of heavy metal</w:t>
      </w:r>
      <w:r w:rsidRPr="00801124">
        <w:rPr>
          <w:rFonts w:ascii="Arial" w:hAnsi="Arial" w:cs="Arial"/>
          <w:b/>
          <w:bCs/>
          <w:sz w:val="36"/>
          <w:szCs w:val="36"/>
          <w:lang w:val="en-US"/>
        </w:rPr>
        <w:t xml:space="preserve"> contamination in </w:t>
      </w:r>
      <w:r w:rsidR="001967FE">
        <w:rPr>
          <w:rFonts w:ascii="Arial" w:hAnsi="Arial" w:cs="Arial"/>
          <w:b/>
          <w:bCs/>
          <w:sz w:val="36"/>
          <w:szCs w:val="36"/>
          <w:lang w:val="en-US"/>
        </w:rPr>
        <w:t>millet seed cultivated in Senegal</w:t>
      </w:r>
      <w:r w:rsidRPr="00801124">
        <w:rPr>
          <w:rFonts w:ascii="Arial" w:hAnsi="Arial" w:cs="Arial"/>
          <w:b/>
          <w:bCs/>
          <w:sz w:val="36"/>
          <w:szCs w:val="36"/>
          <w:lang w:val="en-US"/>
        </w:rPr>
        <w:t>: Implication for Human health</w:t>
      </w:r>
    </w:p>
    <w:p w14:paraId="3E695881" w14:textId="77777777" w:rsidR="00160DD2" w:rsidRPr="00160DD2" w:rsidRDefault="00160DD2" w:rsidP="00160DD2">
      <w:pPr>
        <w:rPr>
          <w:lang w:val="en-US"/>
        </w:rPr>
      </w:pPr>
    </w:p>
    <w:p w14:paraId="34E9A23F" w14:textId="77777777" w:rsidR="004D2E4F" w:rsidRPr="005E7021" w:rsidRDefault="004D2E4F" w:rsidP="004D2E4F">
      <w:pPr>
        <w:spacing w:line="240" w:lineRule="auto"/>
        <w:ind w:right="288"/>
        <w:jc w:val="right"/>
        <w:rPr>
          <w:rFonts w:ascii="Arial" w:hAnsi="Arial" w:cs="Arial"/>
          <w:sz w:val="20"/>
          <w:szCs w:val="20"/>
          <w:lang w:val="en-US"/>
        </w:rPr>
      </w:pPr>
    </w:p>
    <w:p w14:paraId="1A046552" w14:textId="0AE493EB" w:rsidR="004D2E4F" w:rsidRDefault="009F2C13" w:rsidP="004D2E4F">
      <w:pPr>
        <w:spacing w:line="276" w:lineRule="auto"/>
        <w:rPr>
          <w:rFonts w:ascii="Arial" w:hAnsi="Arial" w:cs="Arial"/>
          <w:b/>
          <w:bCs/>
          <w:sz w:val="22"/>
          <w:lang w:val="en-US"/>
        </w:rPr>
      </w:pPr>
      <w:bookmarkStart w:id="0" w:name="_Hlk195798280"/>
      <w:r w:rsidRPr="00356A17">
        <w:rPr>
          <w:rFonts w:ascii="Arial" w:hAnsi="Arial" w:cs="Arial"/>
          <w:b/>
          <w:bCs/>
          <w:sz w:val="22"/>
          <w:lang w:val="en-US"/>
        </w:rPr>
        <w:t>ABSTRACT</w:t>
      </w:r>
      <w:bookmarkEnd w:id="0"/>
    </w:p>
    <w:tbl>
      <w:tblPr>
        <w:tblStyle w:val="TableGrid"/>
        <w:tblW w:w="0" w:type="auto"/>
        <w:shd w:val="clear" w:color="auto" w:fill="D1D1D1" w:themeFill="background2" w:themeFillShade="E6"/>
        <w:tblLook w:val="04A0" w:firstRow="1" w:lastRow="0" w:firstColumn="1" w:lastColumn="0" w:noHBand="0" w:noVBand="1"/>
      </w:tblPr>
      <w:tblGrid>
        <w:gridCol w:w="9350"/>
      </w:tblGrid>
      <w:tr w:rsidR="006C25F4" w14:paraId="5D0D4AA7" w14:textId="77777777" w:rsidTr="00E804EB">
        <w:tc>
          <w:tcPr>
            <w:tcW w:w="9350" w:type="dxa"/>
            <w:shd w:val="clear" w:color="auto" w:fill="D1D1D1" w:themeFill="background2" w:themeFillShade="E6"/>
          </w:tcPr>
          <w:p w14:paraId="2385BF6C" w14:textId="5F14B132" w:rsidR="006C25F4" w:rsidRPr="00E804EB" w:rsidRDefault="006C25F4" w:rsidP="004D2E4F">
            <w:pPr>
              <w:spacing w:line="276" w:lineRule="auto"/>
              <w:rPr>
                <w:rFonts w:ascii="Arial" w:eastAsia="Calibri" w:hAnsi="Arial" w:cs="Arial"/>
                <w:kern w:val="0"/>
                <w:sz w:val="20"/>
                <w:lang w:val="en-US"/>
                <w14:ligatures w14:val="none"/>
              </w:rPr>
            </w:pPr>
            <w:r w:rsidRPr="00E804EB">
              <w:rPr>
                <w:rFonts w:ascii="Arial" w:eastAsia="Calibri" w:hAnsi="Arial" w:cs="Arial"/>
                <w:kern w:val="0"/>
                <w:sz w:val="20"/>
                <w:lang w:val="en-US"/>
                <w14:ligatures w14:val="none"/>
              </w:rPr>
              <w:t xml:space="preserve">A sample of hulled millet and an </w:t>
            </w:r>
            <w:proofErr w:type="spellStart"/>
            <w:r w:rsidRPr="00E804EB">
              <w:rPr>
                <w:rFonts w:ascii="Arial" w:eastAsia="Calibri" w:hAnsi="Arial" w:cs="Arial"/>
                <w:kern w:val="0"/>
                <w:sz w:val="20"/>
                <w:lang w:val="en-US"/>
                <w14:ligatures w14:val="none"/>
              </w:rPr>
              <w:t>unhulled</w:t>
            </w:r>
            <w:proofErr w:type="spellEnd"/>
            <w:r w:rsidRPr="00E804EB">
              <w:rPr>
                <w:rFonts w:ascii="Arial" w:eastAsia="Calibri" w:hAnsi="Arial" w:cs="Arial"/>
                <w:kern w:val="0"/>
                <w:sz w:val="20"/>
                <w:lang w:val="en-US"/>
                <w14:ligatures w14:val="none"/>
              </w:rPr>
              <w:t xml:space="preserve"> millet sample were collected from a rural area and their metal contents (Na, K, Mg, Ca, Cr, Fe, Ni, Cu, Zn, Cd, and Pb) were analyzed. The samples were wetly digested, and the metals were analyzed by atomic </w:t>
            </w:r>
            <w:r w:rsidRPr="00FA6D3E">
              <w:rPr>
                <w:rFonts w:ascii="Arial" w:eastAsia="Calibri" w:hAnsi="Arial" w:cs="Arial"/>
                <w:kern w:val="0"/>
                <w:sz w:val="20"/>
                <w:lang w:val="en-US"/>
                <w14:ligatures w14:val="none"/>
              </w:rPr>
              <w:t>absorption spectro</w:t>
            </w:r>
            <w:r w:rsidR="00B54D48" w:rsidRPr="00FA6D3E">
              <w:rPr>
                <w:rFonts w:ascii="Arial" w:eastAsia="Calibri" w:hAnsi="Arial" w:cs="Arial"/>
                <w:kern w:val="0"/>
                <w:sz w:val="20"/>
                <w:lang w:val="en-US"/>
                <w14:ligatures w14:val="none"/>
              </w:rPr>
              <w:t>scop</w:t>
            </w:r>
            <w:r w:rsidRPr="00FA6D3E">
              <w:rPr>
                <w:rFonts w:ascii="Arial" w:eastAsia="Calibri" w:hAnsi="Arial" w:cs="Arial"/>
                <w:kern w:val="0"/>
                <w:sz w:val="20"/>
                <w:lang w:val="en-US"/>
                <w14:ligatures w14:val="none"/>
              </w:rPr>
              <w:t>y</w:t>
            </w:r>
            <w:r w:rsidRPr="00E804EB">
              <w:rPr>
                <w:rFonts w:ascii="Arial" w:eastAsia="Calibri" w:hAnsi="Arial" w:cs="Arial"/>
                <w:kern w:val="0"/>
                <w:sz w:val="20"/>
                <w:lang w:val="en-US"/>
                <w14:ligatures w14:val="none"/>
              </w:rPr>
              <w:t xml:space="preserve">. The Na concentration was measured between 44.7 and 64.5 mg/kg in the hulled millet (I) and </w:t>
            </w:r>
            <w:proofErr w:type="spellStart"/>
            <w:r w:rsidRPr="00E804EB">
              <w:rPr>
                <w:rFonts w:ascii="Arial" w:eastAsia="Calibri" w:hAnsi="Arial" w:cs="Arial"/>
                <w:kern w:val="0"/>
                <w:sz w:val="20"/>
                <w:lang w:val="en-US"/>
                <w14:ligatures w14:val="none"/>
              </w:rPr>
              <w:t>unhulled</w:t>
            </w:r>
            <w:proofErr w:type="spellEnd"/>
            <w:r w:rsidRPr="00E804EB">
              <w:rPr>
                <w:rFonts w:ascii="Arial" w:eastAsia="Calibri" w:hAnsi="Arial" w:cs="Arial"/>
                <w:kern w:val="0"/>
                <w:sz w:val="20"/>
                <w:lang w:val="en-US"/>
                <w14:ligatures w14:val="none"/>
              </w:rPr>
              <w:t xml:space="preserve"> millet (II) samples. Potassium was detected at concentrations between 2690.7 and 4519.5 mg/kg in I and II, respectively. The Mg concentration was measured between 905.0 and 1476.7 mg/kg in samples I and II. Calcium was found at low values ​​of 13.8 and 14.2 mg/kg </w:t>
            </w:r>
            <w:r w:rsidR="00480C52" w:rsidRPr="00E804EB">
              <w:rPr>
                <w:rFonts w:ascii="Arial" w:eastAsia="Calibri" w:hAnsi="Arial" w:cs="Arial"/>
                <w:kern w:val="0"/>
                <w:sz w:val="20"/>
                <w:lang w:val="en-US"/>
                <w14:ligatures w14:val="none"/>
              </w:rPr>
              <w:t>in both</w:t>
            </w:r>
            <w:r w:rsidRPr="00E804EB">
              <w:rPr>
                <w:rFonts w:ascii="Arial" w:eastAsia="Calibri" w:hAnsi="Arial" w:cs="Arial"/>
                <w:kern w:val="0"/>
                <w:sz w:val="20"/>
                <w:lang w:val="en-US"/>
                <w14:ligatures w14:val="none"/>
              </w:rPr>
              <w:t xml:space="preserve"> I and II, respectively. Chromium, nickel and lead are completely absent in both millet samples. Iron concentrations in I and II are 10.6 and 16.9 mg/kg in I and II, respectively. Copper and zinc are between 0.9 mg/Kg (I) and 1.1 mg/Kg (II) for Cu and 14.2 mg/Kg (I) and 16.1 mg/Kg (II) for Zn. Cadmium is between 0.100 mg/kg and 0.200 mg/kg in samples I and II. According to this study, hulled millet has lower levels of all elements than </w:t>
            </w:r>
            <w:proofErr w:type="spellStart"/>
            <w:r w:rsidRPr="00E804EB">
              <w:rPr>
                <w:rFonts w:ascii="Arial" w:eastAsia="Calibri" w:hAnsi="Arial" w:cs="Arial"/>
                <w:kern w:val="0"/>
                <w:sz w:val="20"/>
                <w:lang w:val="en-US"/>
                <w14:ligatures w14:val="none"/>
              </w:rPr>
              <w:t>unhulled</w:t>
            </w:r>
            <w:proofErr w:type="spellEnd"/>
            <w:r w:rsidRPr="00E804EB">
              <w:rPr>
                <w:rFonts w:ascii="Arial" w:eastAsia="Calibri" w:hAnsi="Arial" w:cs="Arial"/>
                <w:kern w:val="0"/>
                <w:sz w:val="20"/>
                <w:lang w:val="en-US"/>
                <w14:ligatures w14:val="none"/>
              </w:rPr>
              <w:t xml:space="preserve"> millet, suggesting that the hull also contains metal. Since the Na/K ratio is less than 1, which is the recommended value, these millet samples could prevent high blood pressure. The Ca/Mg ratio, which deviates in both samples from the recommended value of between 1 and 2, is a handicap for consumption based mainly on millet grown in this rural area.</w:t>
            </w:r>
          </w:p>
        </w:tc>
      </w:tr>
    </w:tbl>
    <w:p w14:paraId="13182E3C" w14:textId="77777777" w:rsidR="006C25F4" w:rsidRPr="00356A17" w:rsidRDefault="006C25F4" w:rsidP="004D2E4F">
      <w:pPr>
        <w:spacing w:line="276" w:lineRule="auto"/>
        <w:rPr>
          <w:rFonts w:ascii="Arial" w:hAnsi="Arial" w:cs="Arial"/>
          <w:b/>
          <w:bCs/>
          <w:sz w:val="22"/>
          <w:lang w:val="en-US"/>
        </w:rPr>
      </w:pPr>
    </w:p>
    <w:p w14:paraId="76905471" w14:textId="708C9EEC" w:rsidR="004D2E4F" w:rsidRPr="00FC4A40" w:rsidRDefault="003A5965" w:rsidP="003A5965">
      <w:pPr>
        <w:spacing w:line="240" w:lineRule="auto"/>
        <w:ind w:right="288"/>
        <w:rPr>
          <w:rFonts w:ascii="Arial" w:hAnsi="Arial" w:cs="Arial"/>
          <w:i/>
          <w:iCs/>
          <w:sz w:val="20"/>
          <w:szCs w:val="20"/>
          <w:lang w:val="en-US"/>
        </w:rPr>
      </w:pPr>
      <w:r w:rsidRPr="00FC4A40">
        <w:rPr>
          <w:rFonts w:ascii="Arial" w:hAnsi="Arial" w:cs="Arial"/>
          <w:i/>
          <w:iCs/>
          <w:sz w:val="20"/>
          <w:szCs w:val="20"/>
          <w:lang w:val="en-US"/>
        </w:rPr>
        <w:t xml:space="preserve">Keywords: </w:t>
      </w:r>
      <w:commentRangeStart w:id="1"/>
      <w:r w:rsidRPr="00FC4A40">
        <w:rPr>
          <w:rFonts w:ascii="Arial" w:hAnsi="Arial" w:cs="Arial"/>
          <w:i/>
          <w:iCs/>
          <w:sz w:val="20"/>
          <w:szCs w:val="20"/>
          <w:lang w:val="en-US"/>
        </w:rPr>
        <w:t xml:space="preserve">Millet, </w:t>
      </w:r>
      <w:r w:rsidR="006C3303">
        <w:rPr>
          <w:rFonts w:ascii="Arial" w:hAnsi="Arial" w:cs="Arial"/>
          <w:i/>
          <w:iCs/>
          <w:sz w:val="20"/>
          <w:szCs w:val="20"/>
          <w:lang w:val="en-US"/>
        </w:rPr>
        <w:t>digestion, h</w:t>
      </w:r>
      <w:r w:rsidR="002C7E04" w:rsidRPr="00FC4A40">
        <w:rPr>
          <w:rFonts w:ascii="Arial" w:hAnsi="Arial" w:cs="Arial"/>
          <w:i/>
          <w:iCs/>
          <w:sz w:val="20"/>
          <w:szCs w:val="20"/>
          <w:lang w:val="en-US"/>
        </w:rPr>
        <w:t xml:space="preserve">eavy metal, </w:t>
      </w:r>
      <w:r w:rsidR="004776AC">
        <w:rPr>
          <w:rFonts w:ascii="Arial" w:hAnsi="Arial" w:cs="Arial"/>
          <w:i/>
          <w:iCs/>
          <w:sz w:val="20"/>
          <w:szCs w:val="20"/>
          <w:lang w:val="en-US"/>
        </w:rPr>
        <w:t xml:space="preserve">atomic absorption spectroscopy, </w:t>
      </w:r>
      <w:r w:rsidR="00B45AF5">
        <w:rPr>
          <w:rFonts w:ascii="Arial" w:hAnsi="Arial" w:cs="Arial"/>
          <w:i/>
          <w:iCs/>
          <w:sz w:val="20"/>
          <w:szCs w:val="20"/>
          <w:lang w:val="en-US"/>
        </w:rPr>
        <w:t>WHO, FAO.</w:t>
      </w:r>
      <w:commentRangeEnd w:id="1"/>
      <w:r w:rsidR="009A56D7">
        <w:rPr>
          <w:rStyle w:val="CommentReference"/>
        </w:rPr>
        <w:commentReference w:id="1"/>
      </w:r>
    </w:p>
    <w:p w14:paraId="3A9C08B6" w14:textId="77777777" w:rsidR="00C60164" w:rsidRPr="006F2D5C" w:rsidRDefault="00C60164" w:rsidP="00C752F5">
      <w:pPr>
        <w:spacing w:line="276" w:lineRule="auto"/>
        <w:rPr>
          <w:lang w:val="en-US"/>
        </w:rPr>
      </w:pPr>
    </w:p>
    <w:p w14:paraId="67EC4A00" w14:textId="614D98C9" w:rsidR="00B6445E" w:rsidRPr="007109B7" w:rsidRDefault="00B6445E" w:rsidP="00A73BD1">
      <w:pPr>
        <w:pStyle w:val="Heading1"/>
      </w:pPr>
      <w:r w:rsidRPr="007109B7">
        <w:t>Introduction</w:t>
      </w:r>
    </w:p>
    <w:p w14:paraId="7DD205C5" w14:textId="3354BDEF" w:rsidR="00FF37E9" w:rsidRPr="00865D96" w:rsidRDefault="00985761" w:rsidP="00C752F5">
      <w:pPr>
        <w:spacing w:line="276" w:lineRule="auto"/>
        <w:rPr>
          <w:rFonts w:ascii="Arial" w:hAnsi="Arial" w:cs="Arial"/>
          <w:sz w:val="20"/>
          <w:szCs w:val="20"/>
          <w:lang w:val="en-US"/>
        </w:rPr>
      </w:pPr>
      <w:r w:rsidRPr="00865D96">
        <w:rPr>
          <w:rFonts w:ascii="Arial" w:hAnsi="Arial" w:cs="Arial"/>
          <w:sz w:val="20"/>
          <w:szCs w:val="20"/>
          <w:lang w:val="en-US"/>
        </w:rPr>
        <w:t>Millet is a nutritious cereal grown in Senegal and widely consumed by the entire population. This cereal constitutes the staple food in many rural areas. It is used in the preparation of porridge, bread, pancakes, or couscous accompanied by meat, fresh fish, or dried fish</w:t>
      </w:r>
      <w:r w:rsidR="00446BF0" w:rsidRPr="00865D96">
        <w:rPr>
          <w:rFonts w:ascii="Arial" w:hAnsi="Arial" w:cs="Arial"/>
          <w:sz w:val="20"/>
          <w:szCs w:val="20"/>
          <w:lang w:val="en-US"/>
        </w:rPr>
        <w:t xml:space="preserve"> </w:t>
      </w:r>
      <w:r w:rsidR="00C847CD" w:rsidRPr="00865D96">
        <w:rPr>
          <w:rFonts w:ascii="Arial" w:hAnsi="Arial" w:cs="Arial"/>
          <w:sz w:val="20"/>
          <w:szCs w:val="20"/>
          <w:lang w:val="en-US"/>
        </w:rPr>
        <w:fldChar w:fldCharType="begin"/>
      </w:r>
      <w:r w:rsidR="00BD7E73" w:rsidRPr="00865D96">
        <w:rPr>
          <w:rFonts w:ascii="Arial" w:hAnsi="Arial" w:cs="Arial"/>
          <w:sz w:val="20"/>
          <w:szCs w:val="20"/>
          <w:lang w:val="en-US"/>
        </w:rPr>
        <w:instrText xml:space="preserve"> ADDIN ZOTERO_ITEM CSL_CITATION {"citationID":"ueXndk3n","properties":{"formattedCitation":"\\super 1\\uc0\\u8211{}6\\nosupersub{}","plainCitation":"1–6","noteIndex":0},"citationItems":[{"id":3113,"uris":["http://zotero.org/users/local/JzcqJHT8/items/6SCDEY9Q"],"itemData":{"id":3113,"type":"article-journal","abstract":"Study was conducted to optimize pearl millet grits size for the preparation of acceptable porridge with skimmed milk powder (SMP). Pearl millet porridge was prepared with different grits size (1.410, 0.841, 0.595, and 0.420 mm). A positive (r = 0.904) correlation was observed between water absorption index and grits size. Porridge showed shear thinning behavior as, initially shear stress increased with increase in shear rate and later on decreased. Porridge prepared with larger grits (1.410 mm) exhibited higher firmness (38.4 ± 1.27 N) and viscosity (446 ± 3.9 cP), whereas smaller grits (0.420 mm) resulted in less viscous (118.8 ± 1.74 cP) and firm (20.4 ± 1.85 N) porridge. The medium grits (0.841 mm) produced porridge with acceptable firmness (30.7 ± 1.56 N) and viscosity (298.1 ± 8.81 cP) with moderate (6.0 ± 0.10) acceptability. To improve sensory quality of porridge (grits size 0.841 mm); skimmed milk powder at different levels (0, 5, 10 and 15 %) was added and its effect on various quality parameters was studied. SMP addition significantly (P ≤ 0.05) modified the gelatinization and gelling behavior of grits and decreased (P ≤ 0.05) all the pasting characteristics except pasting temperature, which increased from 77.1 ± 1.85 to 85.9 ± 3.46 °C. The peak (499 ± 6.6 cP) and final viscosity (450 ± 11.9 cP) of porridge (0.841 mm) prepared with 15 % SMP are quite similar. Hence, it maintains viscosity on cooling, similar to maximum viscosity attained during cooking. Keeping in view the rheological, firmness and sensory quality, 0.841 mm grits of pearl millet with 15 % SMP was found optimum for preparation of acceptable porridge.","container-title":"Journal of Food Science and Technology","DOI":"10.1007/s13197-013-1252-z","ISSN":"0975-8402","issue":"9","journalAbbreviation":"Journal of Food Science and Technology","page":"2169-2175","title":"Rheological quality of pearl millet porridge as affected by grits size","volume":"51","author":[{"family":"Yadav","given":"Deep N."},{"family":"Chhikara","given":"Navnidhi"},{"family":"Anand","given":"Tanupriya"},{"family":"Sharma","given":"Monika"},{"family":"Singh","given":"Ashish K."}],"issued":{"date-parts":[["2014",9,1]]}},"label":"page"},{"id":3114,"uris":["http://zotero.org/users/local/JzcqJHT8/items/D9IP3R7K"],"itemData":{"id":3114,"type":"article-journal","abstract":"The effect of dextran produced in situ by Weissella confusa on the structure and nutrition quality of whole grain pearl millet bread containing 50% of wheat flour was investigated. NMR spectroscopy analysis indicated that the dextran formed by the strain consisted of a α-(1 → 6)-linked linear backbone and 3% α-(1 → 3) branches, and had a molar mass of 3.3 × 106 g/mol. In situ production resulted in 3.5% dextran (DW) which significantly enhanced the dough extensional properties, increased the bread specific volume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13%) and decreased crumb firmness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43%), moisture loss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15%) and staling rate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10%), compared to the control millet bread. DSC analysis showed that amylopectin recrystallization was significantly reduced in the bread containing dextran. In situ dextran production altered the nutritional value of millet, leading to increased free phenolic content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 xml:space="preserve">30%) and antioxidant activity. It also markedly lowered the bread predicted glycemic index and improved in vitro protein digestibility.","container-title":"Food Chemistry","DOI":"https://doi.org/10.1016/j.foodchem.2019.01.126","ISSN":"0308-8146","page":"221-230","title":"Influence of dextran synthesized in situ on the rheological, technological and nutritional properties of whole grain pearl millet bread","volume":"285","author":[{"family":"Wang","given":"Yaqin"},{"family":"Compaoré-Sérémé","given":"Diarra"},{"family":"Sawadogo-Lingani","given":"Hagrétou"},{"family":"Coda","given":"Rossana"},{"family":"Katina","given":"Kati"},{"family":"Maina","given":"Ndegwa Henry"}],"issued":{"date-parts":[["2019"]]}},"label":"page"},{"id":3115,"uris":["http://zotero.org/users/local/JzcqJHT8/items/WE79LM2T"],"itemData":{"id":3115,"type":"article-journal","abstract":"Consumption of traditional West African pearl millet (Pennisetum glaucum) couscous delayed gastric emptying in our recent human study compared to other starch-based foods (white rice, boiled potatoes, pasta). The objective of this study was to determine whether physical properties of pearl millet couscous affect particle breakdown and starch hydrolysis during simulated gastric digestion to understand the basis of the slow gastric emptying. Starch fine structure and viscosity were analyzed for initial millet and wheat couscous samples by high performance size-exclusion chromatography and the Rapid Visco Analyzer, respectively. Couscous samples were subjected to simulated gastric digestion using the Human Gastric Simulator (HGS), a dynamic model of human gastric digestion. Digesta was collected from the HGS at 30 min intervals over 180 min. Particle size and percent starch hydrolysis of couscous in the digesta were evaluated at each time point. The number of particles per gram of dry mass substantially increased over digestion time for millet couscous (p &lt; 0.05), while changed little for the wheat couscous samples. Millet couscous showed lower starch hydrolysis per unit surface area of particles than wheat couscous (p &lt; 0.05). Slower starch hydrolysis was associated with smaller (p &lt; 0.05) amylose chain length for millet (839–963 DP) than for wheat (1225–1563 DP), which may enable enable a denser packing of millet starch molecules that impedes hydrolysis. We hypothesize that the slow gastric emptying rate of millet couscous observed in humans may be explained by its slow starch hydrolysis property that could activate the ileal brake system, independent of high particle breakdown rate in the stomach.","container-title":"Food Funct.","DOI":"10.1039/C9FO01461F","issue":"1","note":"publisher: The Royal Society of Chemistry","page":"111-122","title":"Pearl millet (Pennisetum glaucum) couscous breaks down faster than wheat couscous in the Human Gastric Simulator, though has slower starch hydrolysis","volume":"11","author":[{"family":"Hayes","given":"Anna M. R."},{"family":"Swackhamer","given":"Clay"},{"family":"Mennah-Govela","given":"Yamile A."},{"family":"Martinez","given":"Mario M."},{"family":"Diatta","given":"Aminata"},{"family":"Bornhorst","given":"Gail M."},{"family":"Hamaker","given":"Bruce R."}],"issued":{"date-parts":[["2020"]]}},"label":"page"},{"id":3116,"uris":["http://zotero.org/users/local/JzcqJHT8/items/QZ55LQGH"],"itemData":{"id":3116,"type":"article-journal","abstract":"Traditional West African pearl millet couscous products are popular; however, their preparation is laborious, time-consuming and energy-demanding, involving agglomeration, steaming, drying and sieving steps. In this study, a process was developed to produce millet couscous using a high pressure, high temperature and low-cost single-screw extruder. The innovation was to directly process the cooked low-moisture extrudate to a couscous product by drying and milling to the appropriate particle size (ranging between 1 and 2 mm). Throughput for the traditional process as prepared for commercial sale is 50 kg per day, but with the same amount of labour, the extrusion process yields 350 kg per day. A consumer sensory study held in Niamey (Niger) showed that the extruded millet couscous was comparable to traditional couscous, though this was dependent on selection of the proper millet variety. This novel extrusion process could stimulate small- to medium-scale manufacturing of couscous and couscous-type products in West Africa.","container-title":"International Journal of Food Science and Technology","DOI":"10.1111/ijfs.15797","ISSN":"0950-5423","issue":"7","note":"_eprint: https://academic.oup.com/ijfst/article-pdf/57/7/4594/59519573/ijfs15797.pdf","page":"4594-4601","title":"Novel pearl millet couscous process for West African markets using a low-cost single-screw extruder","volume":"57","author":[{"family":"Moussa","given":"Moustapha"},{"family":"Ponrajan","given":"Amudhan"},{"family":"Campanella","given":"Osvaldo H"},{"family":"Okos","given":"Martin R"},{"family":"Martinez","given":"Mario M"},{"family":"Hamaker","given":"Bruce R"}],"issued":{"date-parts":[["2022",5]]}},"label":"page"},{"id":3121,"uris":["http://zotero.org/users/local/JzcqJHT8/items/TFAFBPLY"],"itemData":{"id":3121,"type":"article-journal","abstract":"Climate change presents a growing challenge to global food systems, particularly in regions vulnerable to drought and water scarcity. This shows the urgent need to explore and promote climate-resilient crops that offer both resilience and high nutritional value. Pearl millet (Pennisetum glaucum), a drought-tolerant grain with ancient roots in Africa and Asia, presents a compelling solution for global food security amidst climate change. Its resilience in arid and semi-arid regions makes it a valuable crop for diversifying food systems and enhancing resilience in vulnerable communities worldwide. This review aims to highlight the unrevealed potential of P. glaucum as a sustainable and nutritious food source including its naturally gluten-free profile, high dietary fibre content surpassing rice, a lipid profile comparable to maize and a superior essential amino acid profile compared to wheat and rye. Furthermore, lower production costs and reduced susceptibility to aflatoxin contamination as compared to crops like maize, which directly impact farmer livelihoods and consumer health. The diverse functional properties of millets emphasize low glycaemic index, potential role in weight management, and mitigating the risk of chronic diseases like diabetes, aligning with contemporary health concerns. This review serves as a call to action for researchers, policymakers, and food industries all over the world to recognize and harness the multifaceted potential of P. glaucum. By promoting its cultivation, processing, and consumption through research, policy support and market development, we can contribute to building more resilient and equitable food systems while promoting dietary diversity and improved nutrition for the growing population.","container-title":"Chemistry &amp; Biodiversity","DOI":"10.1002/cbdv.202402437","ISSN":"1612-1880","issue":"n/a","language":"en","license":"© 2025 Wiley-VHCA AG, Zurich, Switzerland","note":"_eprint: https://onlinelibrary.wiley.com/doi/pdf/10.1002/cbdv.202402437","page":"e202402437","source":"Wiley Online Library","title":"Nutritional, Phytochemical and Functional Potential of Pearl Millet: A Review","title-short":"Nutritional, Phytochemical and Functional Potential of Pearl Millet","volume":"n/a","author":[{"family":"Tanwar","given":"Ronak"},{"family":"Panghal","given":"Anil"},{"family":"Kumari","given":"Anju"},{"family":"Chhikara","given":"Navnidhi"}]},"label":"page"},{"id":3118,"uris":["http://zotero.org/users/local/JzcqJHT8/items/UD6P553Q"],"itemData":{"id":3118,"type":"article-journal","abstract":"Pearl millet flour, particularly wholegrain flour, is highly susceptible to development of rancid aromas and flavors during storage. Grain decortication and extrusion cooking using a friction-heated single-screw extruder were investigated as potential flour stabilization processes. Raw and extruded wholegrain and decorticated grain pearl millet flours were stored at ambient (25°C) and elevated (40°C) temperatures for 6 months. A trained descriptive sensory panel developed a lexicon of 44 attributes to profile the aroma, flavor, and texture of porridges prepared from the flours. Grain decortication alone did not show an effect on the aroma and flavor profile of porridge. Extrusion cooking of both wholegrain and decorticated flours increased cereal-like aromas (branny, canned sweetcorn, sweet, and wheaty) and flavor (starchy), as well as stiffness and cohesiveness of the porridges. The porridges from the extruded pearl millet flours stored for up to 6 months at ambient and elevated temperatures did not show any indications of rancidity. In contrast, rancidity-associated aromas (chemical, painty, and soapy) and flavor (chemical) increased in porridges from the raw flours stored for 4 weeks and longer. These results indicate that grain decortication did not sufficiently reduce fat content to prevent oxidation, while extrusion cooking stabilized the pearl millet flours. In addition, intensified “cereal-like” aromas and flavors were probably due to Maillard reactions occurring during extrusion cooking. Resulting aroma compounds could have been immobilized in the extruded matrix and not released during flour storage. The application of extrusion cooking with a simple friction-heated single-screw extruder is a viable process for both precooking and extending the shelf life of pearl millet flours. Practical Application This study demonstrates the potential of extrusion cooking to precook wholegrain pearl millet while preventing fat rancidity in wholegrain pearl millet flour, thereby improving the sensory quality and stability of pearl millet food products. The extensive sensory characterization of pearl millet porridge-type foods can serve as a guidance tool for development, improvement, and quality control of pearl millet foods. Furthermore, it establishes the efficacy of simple friction-heated, single-screw extruders for commercial manufacture of ready-to-eat wholegrain pearl millet food products by small and medium scale entrepreneurs.","container-title":"Journal of Food Science","DOI":"10.1111/1750-3841.15862","ISSN":"1750-3841","issue":"9","language":"en","license":"© 2021 Institute of Food Technologists®","note":"_eprint: https://onlinelibrary.wiley.com/doi/pdf/10.1111/1750-3841.15862","page":"3824-3838","source":"Wiley Online Library","title":"Descriptive sensory analysis of instant porridge from stored wholegrain and decorticated pearl millet flour cooked, stabilized and improved by using a low-cost extruder","volume":"86","author":[{"family":"Onyeoziri","given":"Isiguzoro O."},{"family":"Torres-Aguilar","given":"Pablo"},{"family":"Hamaker","given":"Bruce R."},{"family":"Taylor","given":"John R. N."},{"family":"Kock","given":"Henriëtta L.","non-dropping-particle":"de"}],"issued":{"date-parts":[["2021"]]}},"label":"page"}],"schema":"https://github.com/citation-style-language/schema/raw/master/csl-citation.json"} </w:instrText>
      </w:r>
      <w:r w:rsidR="00C847CD" w:rsidRPr="00865D96">
        <w:rPr>
          <w:rFonts w:ascii="Arial" w:hAnsi="Arial" w:cs="Arial"/>
          <w:sz w:val="20"/>
          <w:szCs w:val="20"/>
          <w:lang w:val="en-US"/>
        </w:rPr>
        <w:fldChar w:fldCharType="separate"/>
      </w:r>
      <w:r w:rsidR="00BD7E73" w:rsidRPr="00865D96">
        <w:rPr>
          <w:rFonts w:ascii="Arial" w:hAnsi="Arial" w:cs="Arial"/>
          <w:kern w:val="0"/>
          <w:sz w:val="20"/>
          <w:szCs w:val="20"/>
          <w:vertAlign w:val="superscript"/>
        </w:rPr>
        <w:t>1–6</w:t>
      </w:r>
      <w:r w:rsidR="00C847CD" w:rsidRPr="00865D96">
        <w:rPr>
          <w:rFonts w:ascii="Arial" w:hAnsi="Arial" w:cs="Arial"/>
          <w:sz w:val="20"/>
          <w:szCs w:val="20"/>
          <w:lang w:val="en-US"/>
        </w:rPr>
        <w:fldChar w:fldCharType="end"/>
      </w:r>
      <w:r w:rsidRPr="00865D96">
        <w:rPr>
          <w:rFonts w:ascii="Arial" w:hAnsi="Arial" w:cs="Arial"/>
          <w:sz w:val="20"/>
          <w:szCs w:val="20"/>
          <w:lang w:val="en-US"/>
        </w:rPr>
        <w:t xml:space="preserve">. Small industrial units ensure the transformation into flour and finished products. It is also consumed in urban areas, especially during major religious festivals. Although it is an important source of food in Senegal, its production has stagnated in recent years. Indeed, in traditional production areas, peanut cultivation is becoming increasingly widespread due to the financial resources attached to its production. The best land is reserved for cash crops to the detriment of millet food crops. It should be noted that millet cultivation is carried out only during the rainy season in </w:t>
      </w:r>
      <w:r w:rsidR="00922A8E" w:rsidRPr="00865D96">
        <w:rPr>
          <w:rFonts w:ascii="Arial" w:hAnsi="Arial" w:cs="Arial"/>
          <w:sz w:val="20"/>
          <w:szCs w:val="20"/>
          <w:lang w:val="en-US"/>
        </w:rPr>
        <w:t>the Sahel region</w:t>
      </w:r>
      <w:r w:rsidR="002866DC" w:rsidRPr="00865D96">
        <w:rPr>
          <w:rFonts w:ascii="Arial" w:hAnsi="Arial" w:cs="Arial"/>
          <w:sz w:val="20"/>
          <w:szCs w:val="20"/>
          <w:lang w:val="en-US"/>
        </w:rPr>
        <w:t xml:space="preserve"> </w:t>
      </w:r>
      <w:r w:rsidR="00915454" w:rsidRPr="00865D96">
        <w:rPr>
          <w:rFonts w:ascii="Arial" w:hAnsi="Arial" w:cs="Arial"/>
          <w:sz w:val="20"/>
          <w:szCs w:val="20"/>
          <w:lang w:val="en-US"/>
        </w:rPr>
        <w:fldChar w:fldCharType="begin"/>
      </w:r>
      <w:r w:rsidR="00915454" w:rsidRPr="00865D96">
        <w:rPr>
          <w:rFonts w:ascii="Arial" w:hAnsi="Arial" w:cs="Arial"/>
          <w:sz w:val="20"/>
          <w:szCs w:val="20"/>
          <w:lang w:val="en-US"/>
        </w:rPr>
        <w:instrText xml:space="preserve"> ADDIN ZOTERO_ITEM CSL_CITATION {"citationID":"edW0b0gQ","properties":{"formattedCitation":"\\super 7,8\\nosupersub{}","plainCitation":"7,8","noteIndex":0},"citationItems":[{"id":3127,"uris":["http://zotero.org/users/local/JzcqJHT8/items/G7RXBW6E"],"itemData":{"id":3127,"type":"article-journal","abstract":"The effects on yield of varying the planting date and planting pattern of morphologically different cowpea cultivars intercropped with pearl millet were studied in two field trials. The interaction between cowpea cultivars and planting date was highly significant. There was a sharp reduction in cowpea yields with late planting. Millet yields were reduced less when sown simultaneously with early cowpea cultivars than when sown with a late maturing local cultivar. Early maturing cowpea cultivars planted in closely spaced hills had less effect on millet yields than a late maturing cultivar sown in widely spaced hills. An appropriate cowpea cultivar for intercropping with peal millet would be one that was weakly competitive and that yielded both grain and fodder.","container-title":"Experimental Agriculture","DOI":"10.1017/S0014479700015386","ISSN":"1469-4441, 0014-4797","issue":"1","language":"en","page":"41-47","source":"Cambridge University Press","title":"Intercropping Morphologically Different Cowpeas With Pearl Millet in a Short Season Environment in the Sahel","volume":"26","author":[{"family":"Ntare","given":"Bonny R."}],"issued":{"date-parts":[["1990",1]]}},"label":"page"},{"id":3124,"uris":["http://zotero.org/users/local/JzcqJHT8/items/LQNE2RCD"],"itemData":{"id":3124,"type":"article-journal","abstract":"A multi-year (2004–2009) field survey of on-farm sowing practices in 10 villages located in south-west Niger close to Niamey, is analysed to investigate the relationships (i) between rainfall and the sowing date of pearl millet and the risk of sowing failure, (ii) between sowing and meteorological/agro-climatic onset dates, (iii) between sowing/onset dates, and simulated and observed yield/biomass at the end of the season. Even if some villages sow without any synchronous or anterior rainfall, most parcels (73% out of the 1551 available cases) are sown during and just after a 2-day wet spell receiving at least 10mm. In fact, there is a strong correlation (r=0.82–0.95 depending on onset definition) between the spatial averages of onset and of sowing dates. Most of the failed sowings (≈22% of total sowings) are related to dry spells lasting at least 7 days after an initial 2-day wet spell receiving less than 10mm. Simulations with the “Système d’Analyse Régionale des Risques Agronomiques – version Habillée” crop model show that the ideal sowing date, retrospectively computed as the one maximizing simulated yield, is on average about 6 days later than the observed one. Despite the large inter-village variance and the relatively weak inter-annual signal in onset dates and seasonal amounts, there is a tendency for weaker yields and especially weaker amounts of biomass for late onset. But crop simulations show that sowing very early, as for example during or just after the first wet spell when at least 90% of rainfall stations receive simultaneously at least 1mm in two consecutive days (i.e. meteorological onset), does not necessarily maximize simulated yield because of the high risk of long-lasting post-onset dry spells. The farmers’ strategy, that is sowing their field during or just after the first significant wet spell, is combined with the use of photoperiodic varieties to provide the best-suited response to the temporal and spatial variability of onset of the rainy season.","container-title":"Agricultural and Forest Meteorology","DOI":"10.1016/j.agrformet.2011.05.018","ISSN":"0168-1923","issue":"10","journalAbbreviation":"Agricultural and Forest Meteorology","page":"1356-1369","source":"ScienceDirect","title":"The onset of the rainy season and farmers’ sowing strategy for pearl millet cultivation in Southwest Niger","volume":"151","author":[{"family":"Marteau","given":"Romain"},{"family":"Sultan","given":"Benjamin"},{"family":"Moron","given":"Vincent"},{"family":"Alhassane","given":"Agali"},{"family":"Baron","given":"Christian"},{"family":"Traoré","given":"Seydou B."}],"issued":{"date-parts":[["2011",10,15]]}},"label":"page"}],"schema":"https://github.com/citation-style-language/schema/raw/master/csl-citation.json"} </w:instrText>
      </w:r>
      <w:r w:rsidR="00915454" w:rsidRPr="00865D96">
        <w:rPr>
          <w:rFonts w:ascii="Arial" w:hAnsi="Arial" w:cs="Arial"/>
          <w:sz w:val="20"/>
          <w:szCs w:val="20"/>
          <w:lang w:val="en-US"/>
        </w:rPr>
        <w:fldChar w:fldCharType="separate"/>
      </w:r>
      <w:r w:rsidR="00915454" w:rsidRPr="00865D96">
        <w:rPr>
          <w:rFonts w:ascii="Arial" w:hAnsi="Arial" w:cs="Arial"/>
          <w:kern w:val="0"/>
          <w:sz w:val="20"/>
          <w:szCs w:val="20"/>
          <w:vertAlign w:val="superscript"/>
        </w:rPr>
        <w:t>7,8</w:t>
      </w:r>
      <w:r w:rsidR="00915454" w:rsidRPr="00865D96">
        <w:rPr>
          <w:rFonts w:ascii="Arial" w:hAnsi="Arial" w:cs="Arial"/>
          <w:sz w:val="20"/>
          <w:szCs w:val="20"/>
          <w:lang w:val="en-US"/>
        </w:rPr>
        <w:fldChar w:fldCharType="end"/>
      </w:r>
      <w:r w:rsidRPr="00865D96">
        <w:rPr>
          <w:rFonts w:ascii="Arial" w:hAnsi="Arial" w:cs="Arial"/>
          <w:sz w:val="20"/>
          <w:szCs w:val="20"/>
          <w:lang w:val="en-US"/>
        </w:rPr>
        <w:t xml:space="preserve">. In addition, extreme weather phenomena (late arrival of rains, shorter duration of the rainy season, decrease in rainfall which limits access to water, wind carrying all kinds of dust) have a negative effect on yields which continue to decrease. Between 2016 and 2018 there was a slight increase in millet production, but between 2020 and 2021 the millet harvest experienced a drastic drop of 9.17% reaching 1,039,860 </w:t>
      </w:r>
      <w:r w:rsidR="00AB76C3" w:rsidRPr="00865D96">
        <w:rPr>
          <w:rFonts w:ascii="Arial" w:hAnsi="Arial" w:cs="Arial"/>
          <w:sz w:val="20"/>
          <w:szCs w:val="20"/>
          <w:lang w:val="en-US"/>
        </w:rPr>
        <w:t>tones</w:t>
      </w:r>
      <w:r w:rsidRPr="00865D96">
        <w:rPr>
          <w:rFonts w:ascii="Arial" w:hAnsi="Arial" w:cs="Arial"/>
          <w:sz w:val="20"/>
          <w:szCs w:val="20"/>
          <w:lang w:val="en-US"/>
        </w:rPr>
        <w:t xml:space="preserve"> according to ANSD </w:t>
      </w:r>
      <w:r w:rsidR="00123C2D" w:rsidRPr="00865D96">
        <w:rPr>
          <w:rFonts w:ascii="Arial" w:hAnsi="Arial" w:cs="Arial"/>
          <w:sz w:val="20"/>
          <w:szCs w:val="20"/>
          <w:lang w:val="en-US"/>
        </w:rPr>
        <w:t>statistics</w:t>
      </w:r>
      <w:r w:rsidRPr="00865D96">
        <w:rPr>
          <w:rFonts w:ascii="Arial" w:hAnsi="Arial" w:cs="Arial"/>
          <w:sz w:val="20"/>
          <w:szCs w:val="20"/>
          <w:lang w:val="en-US"/>
        </w:rPr>
        <w:t xml:space="preserve"> </w:t>
      </w:r>
      <w:r w:rsidR="003A587B" w:rsidRPr="00865D96">
        <w:rPr>
          <w:rFonts w:ascii="Arial" w:hAnsi="Arial" w:cs="Arial"/>
          <w:sz w:val="20"/>
          <w:szCs w:val="20"/>
          <w:lang w:val="en-US"/>
        </w:rPr>
        <w:fldChar w:fldCharType="begin"/>
      </w:r>
      <w:r w:rsidR="00E852E1" w:rsidRPr="00865D96">
        <w:rPr>
          <w:rFonts w:ascii="Arial" w:hAnsi="Arial" w:cs="Arial"/>
          <w:sz w:val="20"/>
          <w:szCs w:val="20"/>
          <w:lang w:val="en-US"/>
        </w:rPr>
        <w:instrText xml:space="preserve"> ADDIN ZOTERO_ITEM CSL_CITATION {"citationID":"xjCovgsz","properties":{"formattedCitation":"\\super 9\\nosupersub{}","plainCitation":"9","noteIndex":0},"citationItems":[{"id":3131,"uris":["http://zotero.org/users/local/JzcqJHT8/items/H4HFMXF2"],"itemData":{"id":3131,"type":"document","title":"ANSD 2020. Rapport sur les résultats définitifs de l’Enquête Agricole Annuelle (EAA) Dakar  105 p. ANSD. (2022). « Bulletin Mensuel des Statistiques Economiques et Financières de Juillet 2022 ». Résultats définitifs de la campagne agricole 2021/2022. ISSN 0850 – 1467. http://www.ansd.sn, chrome-extension://efaidnbmnnnibpcajpcglclefindmkaj/https://www.ansd.sn/sites/default/files/2022-11/BULLETIN_JUILLET_2022_0.pdf"}}],"schema":"https://github.com/citation-style-language/schema/raw/master/csl-citation.json"} </w:instrText>
      </w:r>
      <w:r w:rsidR="003A587B" w:rsidRPr="00865D96">
        <w:rPr>
          <w:rFonts w:ascii="Arial" w:hAnsi="Arial" w:cs="Arial"/>
          <w:sz w:val="20"/>
          <w:szCs w:val="20"/>
          <w:lang w:val="en-US"/>
        </w:rPr>
        <w:fldChar w:fldCharType="separate"/>
      </w:r>
      <w:r w:rsidR="003A587B" w:rsidRPr="00865D96">
        <w:rPr>
          <w:rFonts w:ascii="Arial" w:hAnsi="Arial" w:cs="Arial"/>
          <w:kern w:val="0"/>
          <w:sz w:val="20"/>
          <w:szCs w:val="20"/>
          <w:vertAlign w:val="superscript"/>
        </w:rPr>
        <w:t>9</w:t>
      </w:r>
      <w:r w:rsidR="003A587B" w:rsidRPr="00865D96">
        <w:rPr>
          <w:rFonts w:ascii="Arial" w:hAnsi="Arial" w:cs="Arial"/>
          <w:sz w:val="20"/>
          <w:szCs w:val="20"/>
          <w:lang w:val="en-US"/>
        </w:rPr>
        <w:fldChar w:fldCharType="end"/>
      </w:r>
      <w:r w:rsidR="00622AEE" w:rsidRPr="00865D96">
        <w:rPr>
          <w:rFonts w:ascii="Arial" w:hAnsi="Arial" w:cs="Arial"/>
          <w:sz w:val="20"/>
          <w:szCs w:val="20"/>
          <w:lang w:val="en-US"/>
        </w:rPr>
        <w:t xml:space="preserve">. The use of fertilizers and manure remains marginal for this production, the sown areas of which are regularly decreasing. It has been reported that the use of manure helps improve soil quality by reducing heavy metal levels that can affect crops by inhibiting the photosynthesis process essential for plant growth </w:t>
      </w:r>
      <w:r w:rsidR="002F57E1" w:rsidRPr="00865D96">
        <w:rPr>
          <w:rFonts w:ascii="Arial" w:hAnsi="Arial" w:cs="Arial"/>
          <w:sz w:val="20"/>
          <w:szCs w:val="20"/>
          <w:lang w:val="en-US"/>
        </w:rPr>
        <w:fldChar w:fldCharType="begin"/>
      </w:r>
      <w:r w:rsidR="00E852E1" w:rsidRPr="00865D96">
        <w:rPr>
          <w:rFonts w:ascii="Arial" w:hAnsi="Arial" w:cs="Arial"/>
          <w:sz w:val="20"/>
          <w:szCs w:val="20"/>
          <w:lang w:val="en-US"/>
        </w:rPr>
        <w:instrText xml:space="preserve"> ADDIN ZOTERO_ITEM CSL_CITATION {"citationID":"ECyERAgi","properties":{"formattedCitation":"\\super 10\\nosupersub{}","plainCitation":"10","noteIndex":0},"citationItems":[{"id":3132,"uris":["http://zotero.org/users/local/JzcqJHT8/items/DEQT8K8N"],"itemData":{"id":3132,"type":"article-journal","container-title":"World Journal of Agricultural Sciences","issue":"2","page":"204-209","title":"Role of some organic residues as tools for reducing heavy metals hazards in plant.","volume":"3","author":[{"family":"Yassen","given":"A. A."},{"family":"Nadia","given":"B.M."},{"family":"Zaghloul","given":"S. M."}],"issued":{"date-parts":[["2007"]]}}}],"schema":"https://github.com/citation-style-language/schema/raw/master/csl-citation.json"} </w:instrText>
      </w:r>
      <w:r w:rsidR="002F57E1" w:rsidRPr="00865D96">
        <w:rPr>
          <w:rFonts w:ascii="Arial" w:hAnsi="Arial" w:cs="Arial"/>
          <w:sz w:val="20"/>
          <w:szCs w:val="20"/>
          <w:lang w:val="en-US"/>
        </w:rPr>
        <w:fldChar w:fldCharType="separate"/>
      </w:r>
      <w:r w:rsidR="002F57E1" w:rsidRPr="00865D96">
        <w:rPr>
          <w:rFonts w:ascii="Arial" w:hAnsi="Arial" w:cs="Arial"/>
          <w:kern w:val="0"/>
          <w:sz w:val="20"/>
          <w:szCs w:val="20"/>
          <w:vertAlign w:val="superscript"/>
        </w:rPr>
        <w:t>10</w:t>
      </w:r>
      <w:r w:rsidR="002F57E1" w:rsidRPr="00865D96">
        <w:rPr>
          <w:rFonts w:ascii="Arial" w:hAnsi="Arial" w:cs="Arial"/>
          <w:sz w:val="20"/>
          <w:szCs w:val="20"/>
          <w:lang w:val="en-US"/>
        </w:rPr>
        <w:fldChar w:fldCharType="end"/>
      </w:r>
      <w:r w:rsidR="008A2850" w:rsidRPr="00865D96">
        <w:rPr>
          <w:rFonts w:ascii="Arial" w:hAnsi="Arial" w:cs="Arial"/>
          <w:sz w:val="20"/>
          <w:szCs w:val="20"/>
          <w:lang w:val="en-US"/>
        </w:rPr>
        <w:t xml:space="preserve">. Indeed, heavy metals can replace the magnesium atom present in chlorophyll and prevent this molecule from playing its fundamental role in plant growth. Harvests can be contaminated by heavy </w:t>
      </w:r>
      <w:r w:rsidR="008A2850" w:rsidRPr="00865D96">
        <w:rPr>
          <w:rFonts w:ascii="Arial" w:hAnsi="Arial" w:cs="Arial"/>
          <w:sz w:val="20"/>
          <w:szCs w:val="20"/>
          <w:lang w:val="en-US"/>
        </w:rPr>
        <w:lastRenderedPageBreak/>
        <w:t>metals such as lead, cadmium, zinc</w:t>
      </w:r>
      <w:r w:rsidR="00E852E1" w:rsidRPr="00865D96">
        <w:rPr>
          <w:rFonts w:ascii="Arial" w:hAnsi="Arial" w:cs="Arial"/>
          <w:sz w:val="20"/>
          <w:szCs w:val="20"/>
          <w:lang w:val="en-US"/>
        </w:rPr>
        <w:t xml:space="preserve"> </w:t>
      </w:r>
      <w:r w:rsidR="00E852E1" w:rsidRPr="00865D96">
        <w:rPr>
          <w:rFonts w:ascii="Arial" w:hAnsi="Arial" w:cs="Arial"/>
          <w:sz w:val="20"/>
          <w:szCs w:val="20"/>
          <w:lang w:val="en-US"/>
        </w:rPr>
        <w:fldChar w:fldCharType="begin"/>
      </w:r>
      <w:r w:rsidR="00E852E1" w:rsidRPr="00865D96">
        <w:rPr>
          <w:rFonts w:ascii="Arial" w:hAnsi="Arial" w:cs="Arial"/>
          <w:sz w:val="20"/>
          <w:szCs w:val="20"/>
          <w:lang w:val="en-US"/>
        </w:rPr>
        <w:instrText xml:space="preserve"> ADDIN ZOTERO_ITEM CSL_CITATION {"citationID":"sRY7ri7L","properties":{"formattedCitation":"\\super 11\\uc0\\u8211{}13\\nosupersub{}","plainCitation":"11–13","noteIndex":0},"citationItems":[{"id":3133,"uris":["http://zotero.org/users/local/JzcqJHT8/items/7FUCMPU7"],"itemData":{"id":3133,"type":"article-journal","abstract":"In soils, animals and plants from selected sites in the Rustenburg mining area, a part of the South African ore belt, the heavy metal burden was examined. These sites belong to different soil types and are characterized by different land-use (agriculture, grassland). The heavy metal contamination of the soil samples is relatively high and is dominated by chromium and nickel, metals, which are extracted in the mine near the sampling sites. These high heavy metal concentrations had no clear inhibitory influence on micro-organisms or the enzyme activity of soils. It appears that the high clay content of the soils may counteract the influence of heavy metals. On the other hand, tolerant microbial populations may have been established. In addition, the investigated culture plants there was no correlation between the heavy metal content of the soils and the concentrations in roots and shoots. The dangerous, potential contamination of organs in humans seems to be modest, with the exception of tobacco leaves. The heavy metal content of tissues in the examined animals reflect the environmental habitat in situ with no obvious influence on the health of the animals.","container-title":"Journal of Soils and Sediments","DOI":"10.1007/BF02989466","ISSN":"1614-7480","issue":"1","journalAbbreviation":"J Soils &amp; Sediments","language":"en","page":"29-34","source":"Springer Link","title":"Heavy metal contamination of soils in a mining area in South Africa and its impact on some biotic systems","volume":"3","author":[{"family":"Gzik","given":"Axel"},{"family":"Kuehling","given":"Matthias"},{"family":"Schneider","given":"Ingo"},{"family":"Tschochner","given":"Bernd"}],"issued":{"date-parts":[["2003",3,1]]}},"label":"page"},{"id":3134,"uris":["http://zotero.org/users/local/JzcqJHT8/items/3IPAG4TP"],"itemData":{"id":3134,"type":"article-journal","abstract":"Shanxi is a large coal-producing province, and it also produces a lot of solid waste. Solid waste can leach heavy metals, which can harm soil and affect food security at the beginning of the food chain. To investigate the impacts of solid waste-based soil conditioner (SWSC) and arbuscular mycorrhizal fungi (AMF) on millet safety and crop production, a field experiment with foxtail millet (Setaria italica) was conducted in Tunliu. The results of this study demonstrate that SWSC + AMF, SWSC and AMF can increase millet yield by 28.0%, 27.1% and 19.5%, respectively, compared with CK. This is mainly due to increased mycorrhizal infection. Besides, the pollution index (Pi) and the Nemerow-integrated pollution index (PN) of the soil with SWSC and AMF were both below 0.7, indicating safe pollution levels. The application of AMF and SWSC inhibits plants from absorbing heavy metals from the soil and reduces the TFroot/soil of the millet. SWSC + AMF application inhibited the transfer of heavy metals from the roots to the upper part of the ground and reduced the TFshoot/root of the millet. The TFgrain/soil of the millet was below 1. The HQ and HI of the millet grains did not exceed 1, indicating the absence of a potential health risk. Therefore, SWSC combined with AMF is applicable for millet production in Tunliu, and the combined treatment can decrease heavy metal phytoavailability and post-harvest transfer risks. This work provides a way to utilize solid waste while also improving millet yields in dry farming. Based on the review, we suggested future researches to better understand the mechanisms of SWSC + AMF long-term application to promote awareness on its role over time through alterations in its surface chemistry, soil microbial community and environmental implications.","container-title":"Journal of Environmental Management","DOI":"10.1016/j.jenvman.2022.114974","ISSN":"0301-4797","journalAbbreviation":"Journal of Environmental Management","page":"114974","source":"ScienceDirect","title":"Effects of solid waste-based soil conditioner and arbuscular mycorrhizal fungi on crop productivity and heavy metal distribution in foxtail millet (&lt;i&gt;Setaria italica&lt;/i&gt;)","volume":"313","author":[{"family":"Shen","given":"Wuyan"},{"family":"Feng","given":"Zhengjun"},{"family":"Song","given":"Huiping"},{"family":"Jin","given":"Dapeng"},{"family":"Fu","given":"Yuanhong"},{"family":"Cheng","given":"Fangqin"}],"issued":{"date-parts":[["2022",7,1]]}},"label":"page"},{"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A."},{"family":"Addo","given":"Divine"}],"issued":{"date-parts":[["2020"]]}},"label":"page"}],"schema":"https://github.com/citation-style-language/schema/raw/master/csl-citation.json"} </w:instrText>
      </w:r>
      <w:r w:rsidR="00E852E1" w:rsidRPr="00865D96">
        <w:rPr>
          <w:rFonts w:ascii="Arial" w:hAnsi="Arial" w:cs="Arial"/>
          <w:sz w:val="20"/>
          <w:szCs w:val="20"/>
          <w:lang w:val="en-US"/>
        </w:rPr>
        <w:fldChar w:fldCharType="separate"/>
      </w:r>
      <w:r w:rsidR="00E852E1" w:rsidRPr="00865D96">
        <w:rPr>
          <w:rFonts w:ascii="Arial" w:hAnsi="Arial" w:cs="Arial"/>
          <w:kern w:val="0"/>
          <w:sz w:val="20"/>
          <w:szCs w:val="20"/>
          <w:vertAlign w:val="superscript"/>
        </w:rPr>
        <w:t>11–13</w:t>
      </w:r>
      <w:r w:rsidR="00E852E1" w:rsidRPr="00865D96">
        <w:rPr>
          <w:rFonts w:ascii="Arial" w:hAnsi="Arial" w:cs="Arial"/>
          <w:sz w:val="20"/>
          <w:szCs w:val="20"/>
          <w:lang w:val="en-US"/>
        </w:rPr>
        <w:fldChar w:fldCharType="end"/>
      </w:r>
      <w:r w:rsidR="009A182E" w:rsidRPr="00865D96">
        <w:rPr>
          <w:rFonts w:ascii="Arial" w:hAnsi="Arial" w:cs="Arial"/>
          <w:sz w:val="20"/>
          <w:szCs w:val="20"/>
          <w:lang w:val="en-US"/>
        </w:rPr>
        <w:t>.</w:t>
      </w:r>
      <w:r w:rsidR="00E852E1" w:rsidRPr="00865D96">
        <w:rPr>
          <w:rFonts w:ascii="Arial" w:hAnsi="Arial" w:cs="Arial"/>
          <w:sz w:val="20"/>
          <w:szCs w:val="20"/>
          <w:lang w:val="en-US"/>
        </w:rPr>
        <w:t xml:space="preserve"> </w:t>
      </w:r>
      <w:commentRangeStart w:id="2"/>
      <w:r w:rsidR="009A182E" w:rsidRPr="00865D96">
        <w:rPr>
          <w:rFonts w:ascii="Arial" w:hAnsi="Arial" w:cs="Arial"/>
          <w:sz w:val="20"/>
          <w:szCs w:val="20"/>
          <w:lang w:val="en-US"/>
        </w:rPr>
        <w:t>This work aims to study the quality of raw millet and hulled millet with regard to heavy metal contamination and the presence of micronutrients useful for nutrition.</w:t>
      </w:r>
    </w:p>
    <w:commentRangeEnd w:id="2"/>
    <w:p w14:paraId="20EBBBE1" w14:textId="77777777" w:rsidR="005C7BE4" w:rsidRPr="00865D96" w:rsidRDefault="00A136C4" w:rsidP="00C752F5">
      <w:pPr>
        <w:spacing w:line="276" w:lineRule="auto"/>
        <w:rPr>
          <w:rFonts w:ascii="Arial" w:hAnsi="Arial" w:cs="Arial"/>
          <w:sz w:val="20"/>
          <w:szCs w:val="20"/>
          <w:lang w:val="en-US"/>
        </w:rPr>
      </w:pPr>
      <w:r>
        <w:rPr>
          <w:rStyle w:val="CommentReference"/>
        </w:rPr>
        <w:commentReference w:id="2"/>
      </w:r>
    </w:p>
    <w:p w14:paraId="69C0095F" w14:textId="417A887A" w:rsidR="001E53DD" w:rsidRPr="00865D96" w:rsidRDefault="001E53DD" w:rsidP="00A73BD1">
      <w:pPr>
        <w:pStyle w:val="Heading1"/>
      </w:pPr>
      <w:r w:rsidRPr="00865D96">
        <w:t>Materials and methods</w:t>
      </w:r>
    </w:p>
    <w:p w14:paraId="07347342" w14:textId="77777777" w:rsidR="001E53DD" w:rsidRPr="00865D96" w:rsidRDefault="001E53DD" w:rsidP="00C752F5">
      <w:pPr>
        <w:pStyle w:val="Heading2"/>
        <w:spacing w:before="0" w:after="0" w:line="276" w:lineRule="auto"/>
        <w:rPr>
          <w:rFonts w:cs="Arial"/>
          <w:sz w:val="20"/>
          <w:szCs w:val="20"/>
          <w:lang w:val="en-US"/>
        </w:rPr>
      </w:pPr>
      <w:r w:rsidRPr="00865D96">
        <w:rPr>
          <w:rFonts w:cs="Arial"/>
          <w:sz w:val="20"/>
          <w:szCs w:val="20"/>
          <w:lang w:val="en-US"/>
        </w:rPr>
        <w:t>Instrumentation</w:t>
      </w:r>
    </w:p>
    <w:p w14:paraId="131C908C" w14:textId="77777777" w:rsidR="00A746BA" w:rsidRDefault="00A746BA" w:rsidP="00C752F5">
      <w:pPr>
        <w:autoSpaceDE w:val="0"/>
        <w:autoSpaceDN w:val="0"/>
        <w:adjustRightInd w:val="0"/>
        <w:spacing w:line="276" w:lineRule="auto"/>
        <w:rPr>
          <w:rFonts w:ascii="Arial" w:eastAsia="CharisSIL" w:hAnsi="Arial" w:cs="Arial"/>
          <w:kern w:val="0"/>
          <w:sz w:val="20"/>
          <w:szCs w:val="20"/>
          <w:lang w:val="en-US"/>
        </w:rPr>
      </w:pPr>
    </w:p>
    <w:p w14:paraId="0236541E" w14:textId="7FBD1005" w:rsidR="001E53DD" w:rsidRPr="00865D96" w:rsidRDefault="001E53DD" w:rsidP="00C752F5">
      <w:pPr>
        <w:autoSpaceDE w:val="0"/>
        <w:autoSpaceDN w:val="0"/>
        <w:adjustRightInd w:val="0"/>
        <w:spacing w:line="276" w:lineRule="auto"/>
        <w:rPr>
          <w:rFonts w:ascii="Arial" w:eastAsia="CharisSIL" w:hAnsi="Arial" w:cs="Arial"/>
          <w:kern w:val="0"/>
          <w:sz w:val="20"/>
          <w:szCs w:val="20"/>
          <w:lang w:val="en-US"/>
        </w:rPr>
      </w:pPr>
      <w:r w:rsidRPr="00865D96">
        <w:rPr>
          <w:rFonts w:ascii="Arial" w:eastAsia="CharisSIL" w:hAnsi="Arial" w:cs="Arial"/>
          <w:kern w:val="0"/>
          <w:sz w:val="20"/>
          <w:szCs w:val="20"/>
          <w:lang w:val="en-US"/>
        </w:rPr>
        <w:t xml:space="preserve">All experiments were carried out using a </w:t>
      </w:r>
      <w:r w:rsidR="00144C16" w:rsidRPr="00865D96">
        <w:rPr>
          <w:rFonts w:ascii="Arial" w:eastAsia="CharisSIL" w:hAnsi="Arial" w:cs="Arial"/>
          <w:kern w:val="0"/>
          <w:sz w:val="20"/>
          <w:szCs w:val="20"/>
          <w:lang w:val="en-US"/>
        </w:rPr>
        <w:t>Thermo Fischer Atomic Absorption 3000. The samples were run in triplicates and the values reported are mean of triplicates.</w:t>
      </w:r>
    </w:p>
    <w:p w14:paraId="7945ABA8" w14:textId="77777777" w:rsidR="001E53DD" w:rsidRPr="00865D96" w:rsidRDefault="001E53DD" w:rsidP="00C752F5">
      <w:pPr>
        <w:autoSpaceDE w:val="0"/>
        <w:autoSpaceDN w:val="0"/>
        <w:adjustRightInd w:val="0"/>
        <w:spacing w:line="276" w:lineRule="auto"/>
        <w:rPr>
          <w:rFonts w:ascii="Arial" w:eastAsia="CharisSIL" w:hAnsi="Arial" w:cs="Arial"/>
          <w:kern w:val="0"/>
          <w:sz w:val="20"/>
          <w:szCs w:val="20"/>
          <w:lang w:val="en-US"/>
        </w:rPr>
      </w:pPr>
    </w:p>
    <w:p w14:paraId="00D7450C" w14:textId="77777777" w:rsidR="001E53DD" w:rsidRPr="00865D96" w:rsidRDefault="001E53DD" w:rsidP="00C752F5">
      <w:pPr>
        <w:pStyle w:val="Heading2"/>
        <w:spacing w:before="0" w:after="0" w:line="276" w:lineRule="auto"/>
        <w:rPr>
          <w:rFonts w:cs="Arial"/>
          <w:sz w:val="20"/>
          <w:szCs w:val="20"/>
          <w:lang w:val="en-US"/>
        </w:rPr>
      </w:pPr>
      <w:r w:rsidRPr="00865D96">
        <w:rPr>
          <w:rFonts w:cs="Arial"/>
          <w:sz w:val="20"/>
          <w:szCs w:val="20"/>
          <w:lang w:val="en-US"/>
        </w:rPr>
        <w:t>Reagents and standards</w:t>
      </w:r>
    </w:p>
    <w:p w14:paraId="7E42F6C6" w14:textId="77777777" w:rsidR="00A746BA" w:rsidRDefault="00A746BA" w:rsidP="00C752F5">
      <w:pPr>
        <w:autoSpaceDE w:val="0"/>
        <w:autoSpaceDN w:val="0"/>
        <w:adjustRightInd w:val="0"/>
        <w:spacing w:line="276" w:lineRule="auto"/>
        <w:rPr>
          <w:rFonts w:ascii="Arial" w:eastAsia="CharisSIL" w:hAnsi="Arial" w:cs="Arial"/>
          <w:kern w:val="0"/>
          <w:sz w:val="20"/>
          <w:szCs w:val="20"/>
          <w:lang w:val="en-US"/>
        </w:rPr>
      </w:pPr>
    </w:p>
    <w:p w14:paraId="5D808EE3" w14:textId="367BB15A" w:rsidR="001E53DD" w:rsidRDefault="001E53DD" w:rsidP="00C752F5">
      <w:pPr>
        <w:autoSpaceDE w:val="0"/>
        <w:autoSpaceDN w:val="0"/>
        <w:adjustRightInd w:val="0"/>
        <w:spacing w:line="276" w:lineRule="auto"/>
        <w:rPr>
          <w:rFonts w:ascii="Arial" w:eastAsia="CharisSIL" w:hAnsi="Arial" w:cs="Arial"/>
          <w:kern w:val="0"/>
          <w:sz w:val="20"/>
          <w:szCs w:val="20"/>
          <w:lang w:val="en-US"/>
        </w:rPr>
      </w:pPr>
      <w:r w:rsidRPr="00865D96">
        <w:rPr>
          <w:rFonts w:ascii="Arial" w:eastAsia="CharisSIL" w:hAnsi="Arial" w:cs="Arial"/>
          <w:kern w:val="0"/>
          <w:sz w:val="20"/>
          <w:szCs w:val="20"/>
          <w:lang w:val="en-US"/>
        </w:rPr>
        <w:t>All solutions were prepared with distilled-deionized water (18MΩcm, Milli-Q, Millipore, Bedford, MA, USA). Sulfuric acid (</w:t>
      </w:r>
      <w:proofErr w:type="gramStart"/>
      <w:r w:rsidRPr="00865D96">
        <w:rPr>
          <w:rFonts w:ascii="Arial" w:eastAsia="CharisSIL" w:hAnsi="Arial" w:cs="Arial"/>
          <w:kern w:val="0"/>
          <w:sz w:val="20"/>
          <w:szCs w:val="20"/>
          <w:lang w:val="en-US"/>
        </w:rPr>
        <w:t>H</w:t>
      </w:r>
      <w:r w:rsidR="00935648" w:rsidRPr="00865D96">
        <w:rPr>
          <w:rFonts w:ascii="Arial" w:eastAsia="CharisSIL" w:hAnsi="Arial" w:cs="Arial"/>
          <w:kern w:val="0"/>
          <w:sz w:val="20"/>
          <w:szCs w:val="20"/>
          <w:vertAlign w:val="subscript"/>
          <w:lang w:val="en-US"/>
        </w:rPr>
        <w:t>2</w:t>
      </w:r>
      <w:r w:rsidR="00935648" w:rsidRPr="00865D96">
        <w:rPr>
          <w:rFonts w:ascii="Arial" w:eastAsia="CharisSIL" w:hAnsi="Arial" w:cs="Arial"/>
          <w:kern w:val="0"/>
          <w:sz w:val="20"/>
          <w:szCs w:val="20"/>
          <w:lang w:val="en-US"/>
        </w:rPr>
        <w:t>SO</w:t>
      </w:r>
      <w:r w:rsidR="00935648" w:rsidRPr="00865D96">
        <w:rPr>
          <w:rFonts w:ascii="Arial" w:eastAsia="CharisSIL" w:hAnsi="Arial" w:cs="Arial"/>
          <w:kern w:val="0"/>
          <w:sz w:val="20"/>
          <w:szCs w:val="20"/>
          <w:vertAlign w:val="subscript"/>
          <w:lang w:val="en-US"/>
        </w:rPr>
        <w:t xml:space="preserve">4 </w:t>
      </w:r>
      <w:r w:rsidR="00935648" w:rsidRPr="00865D96">
        <w:rPr>
          <w:rFonts w:ascii="Arial" w:eastAsia="CharisSIL" w:hAnsi="Arial" w:cs="Arial"/>
          <w:kern w:val="0"/>
          <w:sz w:val="20"/>
          <w:szCs w:val="20"/>
          <w:lang w:val="en-US"/>
        </w:rPr>
        <w:t>,</w:t>
      </w:r>
      <w:proofErr w:type="gramEnd"/>
      <w:r w:rsidR="00935648" w:rsidRPr="00865D96">
        <w:rPr>
          <w:rFonts w:ascii="Arial" w:eastAsia="CharisSIL" w:hAnsi="Arial" w:cs="Arial"/>
          <w:kern w:val="0"/>
          <w:sz w:val="20"/>
          <w:szCs w:val="20"/>
          <w:lang w:val="en-US"/>
        </w:rPr>
        <w:t xml:space="preserve"> 98%), perchloric acid (HClO</w:t>
      </w:r>
      <w:r w:rsidR="00DE1F64" w:rsidRPr="00865D96">
        <w:rPr>
          <w:rFonts w:ascii="Arial" w:eastAsia="CharisSIL" w:hAnsi="Arial" w:cs="Arial"/>
          <w:kern w:val="0"/>
          <w:sz w:val="20"/>
          <w:szCs w:val="20"/>
          <w:vertAlign w:val="subscript"/>
          <w:lang w:val="en-US"/>
        </w:rPr>
        <w:t xml:space="preserve">4 </w:t>
      </w:r>
      <w:r w:rsidR="00DE1F64" w:rsidRPr="00865D96">
        <w:rPr>
          <w:rFonts w:ascii="Arial" w:eastAsia="CharisSIL" w:hAnsi="Arial" w:cs="Arial"/>
          <w:kern w:val="0"/>
          <w:sz w:val="20"/>
          <w:szCs w:val="20"/>
          <w:lang w:val="en-US"/>
        </w:rPr>
        <w:t>, 70%) and nitric acid (HNO</w:t>
      </w:r>
      <w:r w:rsidRPr="00865D96">
        <w:rPr>
          <w:rFonts w:ascii="Arial" w:eastAsia="CharisSIL" w:hAnsi="Arial" w:cs="Arial"/>
          <w:kern w:val="0"/>
          <w:sz w:val="20"/>
          <w:szCs w:val="20"/>
          <w:vertAlign w:val="subscript"/>
          <w:lang w:val="en-US"/>
        </w:rPr>
        <w:t xml:space="preserve">3 </w:t>
      </w:r>
      <w:r w:rsidR="00F67200">
        <w:rPr>
          <w:rFonts w:ascii="Arial" w:eastAsia="CharisSIL" w:hAnsi="Arial" w:cs="Arial"/>
          <w:kern w:val="0"/>
          <w:sz w:val="20"/>
          <w:szCs w:val="20"/>
          <w:vertAlign w:val="subscript"/>
          <w:lang w:val="en-US"/>
        </w:rPr>
        <w:t>,</w:t>
      </w:r>
      <w:r w:rsidRPr="00865D96">
        <w:rPr>
          <w:rFonts w:ascii="Arial" w:eastAsia="CharisSIL" w:hAnsi="Arial" w:cs="Arial"/>
          <w:kern w:val="0"/>
          <w:sz w:val="20"/>
          <w:szCs w:val="20"/>
          <w:lang w:val="en-US"/>
        </w:rPr>
        <w:t xml:space="preserve">65%), from Sigma-Aldrich France, were used in the procedure of digestion of the samples. The analytical solutions were prepared from standard solution dilutions 1000 </w:t>
      </w:r>
      <w:r w:rsidRPr="00865D96">
        <w:rPr>
          <w:rFonts w:ascii="Arial" w:eastAsia="CharisSIL" w:hAnsi="Arial" w:cs="Arial"/>
          <w:kern w:val="0"/>
          <w:sz w:val="20"/>
          <w:szCs w:val="20"/>
          <w:lang w:val="en-US"/>
        </w:rPr>
        <w:sym w:font="Symbol" w:char="F06D"/>
      </w:r>
      <w:r w:rsidRPr="00865D96">
        <w:rPr>
          <w:rFonts w:ascii="Arial" w:eastAsia="CharisSIL" w:hAnsi="Arial" w:cs="Arial"/>
          <w:kern w:val="0"/>
          <w:sz w:val="20"/>
          <w:szCs w:val="20"/>
          <w:lang w:val="en-US"/>
        </w:rPr>
        <w:t>gmL</w:t>
      </w:r>
      <w:r w:rsidRPr="00865D96">
        <w:rPr>
          <w:rFonts w:ascii="Arial" w:eastAsia="CharisSIL" w:hAnsi="Arial" w:cs="Arial"/>
          <w:kern w:val="0"/>
          <w:sz w:val="20"/>
          <w:szCs w:val="20"/>
          <w:vertAlign w:val="superscript"/>
          <w:lang w:val="en-US"/>
        </w:rPr>
        <w:t xml:space="preserve">-1 </w:t>
      </w:r>
      <w:r w:rsidRPr="00865D96">
        <w:rPr>
          <w:rFonts w:ascii="Arial" w:eastAsia="CharisSIL" w:hAnsi="Arial" w:cs="Arial"/>
          <w:kern w:val="0"/>
          <w:sz w:val="20"/>
          <w:szCs w:val="20"/>
          <w:lang w:val="en-US"/>
        </w:rPr>
        <w:t xml:space="preserve">of Na, </w:t>
      </w:r>
      <w:proofErr w:type="gramStart"/>
      <w:r w:rsidRPr="00865D96">
        <w:rPr>
          <w:rFonts w:ascii="Arial" w:eastAsia="CharisSIL" w:hAnsi="Arial" w:cs="Arial"/>
          <w:kern w:val="0"/>
          <w:sz w:val="20"/>
          <w:szCs w:val="20"/>
          <w:lang w:val="en-US"/>
        </w:rPr>
        <w:t xml:space="preserve">K </w:t>
      </w:r>
      <w:r w:rsidRPr="00865D96">
        <w:rPr>
          <w:rFonts w:ascii="Arial" w:hAnsi="Arial" w:cs="Arial"/>
          <w:sz w:val="20"/>
          <w:szCs w:val="20"/>
          <w:lang w:val="en-US"/>
        </w:rPr>
        <w:t>,</w:t>
      </w:r>
      <w:proofErr w:type="gramEnd"/>
      <w:r w:rsidRPr="00865D96">
        <w:rPr>
          <w:rFonts w:ascii="Arial" w:hAnsi="Arial" w:cs="Arial"/>
          <w:sz w:val="20"/>
          <w:szCs w:val="20"/>
          <w:lang w:val="en-US"/>
        </w:rPr>
        <w:t xml:space="preserve"> Mg, Ca, Cr, Fe, Ni, Cu, Zn, Cd and Pb </w:t>
      </w:r>
      <w:r w:rsidRPr="00865D96">
        <w:rPr>
          <w:rFonts w:ascii="Arial" w:eastAsia="CharisSIL" w:hAnsi="Arial" w:cs="Arial"/>
          <w:kern w:val="0"/>
          <w:sz w:val="20"/>
          <w:szCs w:val="20"/>
          <w:lang w:val="en-US"/>
        </w:rPr>
        <w:t>(Aldrich, France). All materials used were decontaminated in nitric acid solution 10% v/v by 24 h.</w:t>
      </w:r>
      <w:r w:rsidR="00807CEF">
        <w:rPr>
          <w:rFonts w:ascii="Arial" w:eastAsia="CharisSIL" w:hAnsi="Arial" w:cs="Arial"/>
          <w:kern w:val="0"/>
          <w:sz w:val="20"/>
          <w:szCs w:val="20"/>
          <w:lang w:val="en-US"/>
        </w:rPr>
        <w:t xml:space="preserve"> </w:t>
      </w:r>
      <w:r w:rsidR="00AE39DD">
        <w:rPr>
          <w:rFonts w:ascii="Arial" w:hAnsi="Arial" w:cs="Arial"/>
          <w:sz w:val="20"/>
          <w:szCs w:val="20"/>
          <w:lang w:val="en-US"/>
        </w:rPr>
        <w:t>Decorticated milled seeds</w:t>
      </w:r>
      <w:r w:rsidR="00AE39DD" w:rsidRPr="00D4757B">
        <w:rPr>
          <w:rFonts w:ascii="Arial" w:hAnsi="Arial" w:cs="Arial"/>
          <w:sz w:val="20"/>
          <w:szCs w:val="20"/>
          <w:lang w:val="en-US"/>
        </w:rPr>
        <w:t xml:space="preserve"> (</w:t>
      </w:r>
      <w:r w:rsidR="00AE39DD" w:rsidRPr="00D4757B">
        <w:rPr>
          <w:rFonts w:ascii="Arial" w:hAnsi="Arial" w:cs="Arial"/>
          <w:b/>
          <w:bCs/>
          <w:sz w:val="20"/>
          <w:szCs w:val="20"/>
          <w:lang w:val="en-US"/>
        </w:rPr>
        <w:t>I</w:t>
      </w:r>
      <w:r w:rsidR="00AE39DD" w:rsidRPr="00D4757B">
        <w:rPr>
          <w:rFonts w:ascii="Arial" w:hAnsi="Arial" w:cs="Arial"/>
          <w:sz w:val="20"/>
          <w:szCs w:val="20"/>
          <w:lang w:val="en-US"/>
        </w:rPr>
        <w:t xml:space="preserve">) and </w:t>
      </w:r>
      <w:r w:rsidR="00AE39DD">
        <w:rPr>
          <w:rFonts w:ascii="Arial" w:hAnsi="Arial" w:cs="Arial"/>
          <w:sz w:val="20"/>
          <w:szCs w:val="20"/>
          <w:lang w:val="en-US"/>
        </w:rPr>
        <w:t>non-decorticated millet seed</w:t>
      </w:r>
      <w:r w:rsidR="00AE39DD" w:rsidRPr="00D4757B">
        <w:rPr>
          <w:rFonts w:ascii="Arial" w:hAnsi="Arial" w:cs="Arial"/>
          <w:sz w:val="20"/>
          <w:szCs w:val="20"/>
          <w:lang w:val="en-US"/>
        </w:rPr>
        <w:t xml:space="preserve"> (</w:t>
      </w:r>
      <w:r w:rsidR="00AE39DD" w:rsidRPr="00D4757B">
        <w:rPr>
          <w:rFonts w:ascii="Arial" w:hAnsi="Arial" w:cs="Arial"/>
          <w:b/>
          <w:bCs/>
          <w:sz w:val="20"/>
          <w:szCs w:val="20"/>
          <w:lang w:val="en-US"/>
        </w:rPr>
        <w:t>II</w:t>
      </w:r>
      <w:r w:rsidR="00AE39DD" w:rsidRPr="00D4757B">
        <w:rPr>
          <w:rFonts w:ascii="Arial" w:hAnsi="Arial" w:cs="Arial"/>
          <w:sz w:val="20"/>
          <w:szCs w:val="20"/>
          <w:lang w:val="en-US"/>
        </w:rPr>
        <w:t>)</w:t>
      </w:r>
      <w:r w:rsidR="00AE39DD">
        <w:rPr>
          <w:rFonts w:ascii="Arial" w:hAnsi="Arial" w:cs="Arial"/>
          <w:sz w:val="20"/>
          <w:szCs w:val="20"/>
          <w:lang w:val="en-US"/>
        </w:rPr>
        <w:t xml:space="preserve"> </w:t>
      </w:r>
      <w:r w:rsidR="00807CEF">
        <w:rPr>
          <w:rFonts w:ascii="Arial" w:hAnsi="Arial" w:cs="Arial"/>
          <w:sz w:val="20"/>
          <w:szCs w:val="20"/>
          <w:lang w:val="en-US"/>
        </w:rPr>
        <w:t xml:space="preserve">samples </w:t>
      </w:r>
      <w:r w:rsidR="00807CEF" w:rsidRPr="005E7021">
        <w:rPr>
          <w:rFonts w:ascii="Arial" w:hAnsi="Arial" w:cs="Arial"/>
          <w:sz w:val="20"/>
          <w:szCs w:val="20"/>
          <w:lang w:val="en-US"/>
        </w:rPr>
        <w:t xml:space="preserve">were </w:t>
      </w:r>
      <w:r w:rsidR="00807CEF" w:rsidRPr="00D4757B">
        <w:rPr>
          <w:rFonts w:ascii="Arial" w:hAnsi="Arial" w:cs="Arial"/>
          <w:sz w:val="20"/>
          <w:szCs w:val="20"/>
          <w:lang w:val="en-US"/>
        </w:rPr>
        <w:t>purchased from the market of Dakar</w:t>
      </w:r>
      <w:r w:rsidR="00E54934">
        <w:rPr>
          <w:rFonts w:ascii="Arial" w:hAnsi="Arial" w:cs="Arial"/>
          <w:sz w:val="20"/>
          <w:szCs w:val="20"/>
          <w:lang w:val="en-US"/>
        </w:rPr>
        <w:t xml:space="preserve"> situated in the center of the town.</w:t>
      </w:r>
    </w:p>
    <w:p w14:paraId="69DE5984" w14:textId="77777777" w:rsidR="00A746BA" w:rsidRPr="00865D96" w:rsidRDefault="00A746BA" w:rsidP="00C752F5">
      <w:pPr>
        <w:autoSpaceDE w:val="0"/>
        <w:autoSpaceDN w:val="0"/>
        <w:adjustRightInd w:val="0"/>
        <w:spacing w:line="276" w:lineRule="auto"/>
        <w:rPr>
          <w:rFonts w:ascii="Arial" w:eastAsia="CharisSIL" w:hAnsi="Arial" w:cs="Arial"/>
          <w:kern w:val="0"/>
          <w:sz w:val="20"/>
          <w:szCs w:val="20"/>
          <w:lang w:val="en-US"/>
        </w:rPr>
      </w:pPr>
    </w:p>
    <w:p w14:paraId="27F676C8" w14:textId="07C5E10A" w:rsidR="001E53DD" w:rsidRPr="00865D96" w:rsidRDefault="001E53DD" w:rsidP="00C752F5">
      <w:pPr>
        <w:pStyle w:val="Heading2"/>
        <w:spacing w:before="0" w:after="0" w:line="276" w:lineRule="auto"/>
        <w:rPr>
          <w:rFonts w:cs="Arial"/>
          <w:sz w:val="20"/>
          <w:szCs w:val="20"/>
          <w:lang w:val="en-US"/>
        </w:rPr>
      </w:pPr>
      <w:r w:rsidRPr="00865D96">
        <w:rPr>
          <w:rFonts w:cs="Arial"/>
          <w:sz w:val="20"/>
          <w:szCs w:val="20"/>
          <w:lang w:val="en-US"/>
        </w:rPr>
        <w:t xml:space="preserve">Extraction of heavy metals from </w:t>
      </w:r>
      <w:r w:rsidR="00542276" w:rsidRPr="00865D96">
        <w:rPr>
          <w:rFonts w:cs="Arial"/>
          <w:i/>
          <w:iCs/>
          <w:sz w:val="20"/>
          <w:szCs w:val="20"/>
          <w:lang w:val="en-US"/>
        </w:rPr>
        <w:t>millet seed</w:t>
      </w:r>
    </w:p>
    <w:p w14:paraId="68B669D7" w14:textId="77777777" w:rsidR="00A746BA" w:rsidRDefault="00A746BA" w:rsidP="00C752F5">
      <w:pPr>
        <w:spacing w:line="276" w:lineRule="auto"/>
        <w:rPr>
          <w:rFonts w:ascii="Arial" w:hAnsi="Arial" w:cs="Arial"/>
          <w:sz w:val="20"/>
          <w:szCs w:val="20"/>
          <w:lang w:val="en-US"/>
        </w:rPr>
      </w:pPr>
    </w:p>
    <w:p w14:paraId="5A1B53A8" w14:textId="6A01F8E5" w:rsidR="00635724" w:rsidRPr="00865D96" w:rsidRDefault="00FD11C8" w:rsidP="00C752F5">
      <w:pPr>
        <w:spacing w:line="276" w:lineRule="auto"/>
        <w:rPr>
          <w:rFonts w:ascii="Arial" w:hAnsi="Arial" w:cs="Arial"/>
          <w:sz w:val="20"/>
          <w:szCs w:val="20"/>
          <w:lang w:val="en-US"/>
        </w:rPr>
      </w:pPr>
      <w:r w:rsidRPr="00865D96">
        <w:rPr>
          <w:rFonts w:ascii="Arial" w:hAnsi="Arial" w:cs="Arial"/>
          <w:sz w:val="20"/>
          <w:szCs w:val="20"/>
          <w:lang w:val="en-US"/>
        </w:rPr>
        <w:t xml:space="preserve">Five grams of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and hulled millet were weighed and collected in a Kjeldahl flask. Wet digestion was carried out with an acid mixture (3:2:1 nitric acid, perchloric acid and sulfuric acid) for 4 hours to obtain a clear solution. The samples were cooled to room temperature and the volume was made up to 100 mL with ultra-pure water. They are stored in the refrigerator in food grade polyethylene bottles previously washed with a 6N nitric acid </w:t>
      </w:r>
      <w:commentRangeStart w:id="3"/>
      <w:r w:rsidRPr="00865D96">
        <w:rPr>
          <w:rFonts w:ascii="Arial" w:hAnsi="Arial" w:cs="Arial"/>
          <w:sz w:val="20"/>
          <w:szCs w:val="20"/>
          <w:lang w:val="en-US"/>
        </w:rPr>
        <w:t>solution</w:t>
      </w:r>
      <w:commentRangeEnd w:id="3"/>
      <w:r w:rsidR="00DA08E0">
        <w:rPr>
          <w:rStyle w:val="CommentReference"/>
        </w:rPr>
        <w:commentReference w:id="3"/>
      </w:r>
      <w:r w:rsidRPr="00865D96">
        <w:rPr>
          <w:rFonts w:ascii="Arial" w:hAnsi="Arial" w:cs="Arial"/>
          <w:sz w:val="20"/>
          <w:szCs w:val="20"/>
          <w:lang w:val="en-US"/>
        </w:rPr>
        <w:t>.</w:t>
      </w:r>
    </w:p>
    <w:p w14:paraId="6AF363F6" w14:textId="77777777" w:rsidR="00931305" w:rsidRPr="00865D96" w:rsidRDefault="00931305" w:rsidP="00C752F5">
      <w:pPr>
        <w:spacing w:line="276" w:lineRule="auto"/>
        <w:rPr>
          <w:rFonts w:ascii="Arial" w:hAnsi="Arial" w:cs="Arial"/>
          <w:sz w:val="20"/>
          <w:szCs w:val="20"/>
          <w:lang w:val="en-US"/>
        </w:rPr>
      </w:pPr>
    </w:p>
    <w:p w14:paraId="76CE47F9" w14:textId="10E5BF43" w:rsidR="00635724" w:rsidRPr="00865D96" w:rsidRDefault="00931305" w:rsidP="00C752F5">
      <w:pPr>
        <w:spacing w:line="276" w:lineRule="auto"/>
        <w:rPr>
          <w:rFonts w:ascii="Arial" w:hAnsi="Arial" w:cs="Arial"/>
          <w:b/>
          <w:bCs/>
          <w:sz w:val="20"/>
          <w:szCs w:val="20"/>
          <w:lang w:val="en-US"/>
        </w:rPr>
      </w:pPr>
      <w:r w:rsidRPr="00865D96">
        <w:rPr>
          <w:rFonts w:ascii="Arial" w:hAnsi="Arial" w:cs="Arial"/>
          <w:b/>
          <w:bCs/>
          <w:sz w:val="20"/>
          <w:szCs w:val="20"/>
        </w:rPr>
        <w:t xml:space="preserve">Table </w:t>
      </w:r>
      <w:proofErr w:type="gramStart"/>
      <w:r w:rsidRPr="00865D96">
        <w:rPr>
          <w:rFonts w:ascii="Arial" w:hAnsi="Arial" w:cs="Arial"/>
          <w:b/>
          <w:bCs/>
          <w:sz w:val="20"/>
          <w:szCs w:val="20"/>
        </w:rPr>
        <w:t xml:space="preserve">1 </w:t>
      </w:r>
      <w:r w:rsidRPr="00865D96">
        <w:rPr>
          <w:rFonts w:ascii="Arial" w:hAnsi="Arial" w:cs="Arial"/>
          <w:b/>
          <w:bCs/>
          <w:sz w:val="20"/>
          <w:szCs w:val="20"/>
          <w:lang w:val="en-US"/>
        </w:rPr>
        <w:t>:</w:t>
      </w:r>
      <w:proofErr w:type="gramEnd"/>
      <w:r w:rsidRPr="00865D96">
        <w:rPr>
          <w:rFonts w:ascii="Arial" w:hAnsi="Arial" w:cs="Arial"/>
          <w:b/>
          <w:bCs/>
          <w:sz w:val="20"/>
          <w:szCs w:val="20"/>
          <w:lang w:val="en-US"/>
        </w:rPr>
        <w:t xml:space="preserve"> Analytical conditions and calibration curves for Na, K, Mg, Ca, Cr, Fe, Ni, Cu, Zn, Cd and Pb</w:t>
      </w:r>
      <w:r w:rsidRPr="00865D96">
        <w:rPr>
          <w:rFonts w:ascii="Arial" w:hAnsi="Arial" w:cs="Arial"/>
          <w:b/>
          <w:bCs/>
          <w:sz w:val="20"/>
          <w:szCs w:val="20"/>
        </w:rPr>
        <w:t xml:space="preserve"> </w:t>
      </w:r>
      <w:r w:rsidRPr="00865D96">
        <w:rPr>
          <w:rFonts w:ascii="Arial" w:hAnsi="Arial" w:cs="Arial"/>
          <w:b/>
          <w:bCs/>
          <w:sz w:val="20"/>
          <w:szCs w:val="20"/>
          <w:lang w:val="en-US"/>
        </w:rPr>
        <w:t>analysis by Atomic Absorption Spectro</w:t>
      </w:r>
      <w:r w:rsidR="000F6C50">
        <w:rPr>
          <w:rFonts w:ascii="Arial" w:hAnsi="Arial" w:cs="Arial"/>
          <w:b/>
          <w:bCs/>
          <w:sz w:val="20"/>
          <w:szCs w:val="20"/>
          <w:lang w:val="en-US"/>
        </w:rPr>
        <w:t>scopy</w:t>
      </w:r>
      <w:r w:rsidRPr="00865D96">
        <w:rPr>
          <w:rFonts w:ascii="Arial" w:hAnsi="Arial" w:cs="Arial"/>
          <w:b/>
          <w:bCs/>
          <w:sz w:val="20"/>
          <w:szCs w:val="20"/>
          <w:lang w:val="en-US"/>
        </w:rPr>
        <w:t>.</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5"/>
        <w:gridCol w:w="1559"/>
        <w:gridCol w:w="1701"/>
        <w:gridCol w:w="2410"/>
      </w:tblGrid>
      <w:tr w:rsidR="000942BF" w:rsidRPr="00865D96" w14:paraId="0C0AA13E" w14:textId="77777777" w:rsidTr="006909EA">
        <w:trPr>
          <w:trHeight w:val="854"/>
        </w:trPr>
        <w:tc>
          <w:tcPr>
            <w:tcW w:w="1843" w:type="dxa"/>
            <w:tcBorders>
              <w:top w:val="single" w:sz="12" w:space="0" w:color="auto"/>
              <w:bottom w:val="single" w:sz="12" w:space="0" w:color="auto"/>
            </w:tcBorders>
            <w:vAlign w:val="center"/>
          </w:tcPr>
          <w:p w14:paraId="41A3B494" w14:textId="610F8EB4"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sz w:val="20"/>
                <w:szCs w:val="20"/>
                <w:lang w:val="en-US"/>
              </w:rPr>
              <w:t>Mineral</w:t>
            </w:r>
          </w:p>
        </w:tc>
        <w:tc>
          <w:tcPr>
            <w:tcW w:w="1985" w:type="dxa"/>
            <w:tcBorders>
              <w:top w:val="single" w:sz="12" w:space="0" w:color="auto"/>
              <w:bottom w:val="single" w:sz="12" w:space="0" w:color="auto"/>
            </w:tcBorders>
            <w:vAlign w:val="center"/>
          </w:tcPr>
          <w:p w14:paraId="405361A4" w14:textId="77777777" w:rsidR="000942BF" w:rsidRPr="00865D96" w:rsidRDefault="000942BF" w:rsidP="00C752F5">
            <w:pPr>
              <w:autoSpaceDE w:val="0"/>
              <w:autoSpaceDN w:val="0"/>
              <w:adjustRightInd w:val="0"/>
              <w:spacing w:line="276" w:lineRule="auto"/>
              <w:ind w:left="-111" w:right="-111"/>
              <w:jc w:val="center"/>
              <w:rPr>
                <w:rFonts w:ascii="Arial" w:hAnsi="Arial" w:cs="Arial"/>
                <w:iCs/>
                <w:sz w:val="20"/>
                <w:szCs w:val="20"/>
                <w:lang w:val="en-US"/>
              </w:rPr>
            </w:pPr>
            <w:r w:rsidRPr="00865D96">
              <w:rPr>
                <w:rFonts w:ascii="Arial" w:hAnsi="Arial" w:cs="Arial"/>
                <w:iCs/>
                <w:sz w:val="20"/>
                <w:szCs w:val="20"/>
                <w:lang w:val="en-US"/>
              </w:rPr>
              <w:t>Wavelength (nm)</w:t>
            </w:r>
          </w:p>
        </w:tc>
        <w:tc>
          <w:tcPr>
            <w:tcW w:w="1559" w:type="dxa"/>
            <w:tcBorders>
              <w:top w:val="single" w:sz="12" w:space="0" w:color="auto"/>
              <w:bottom w:val="single" w:sz="12" w:space="0" w:color="auto"/>
            </w:tcBorders>
            <w:vAlign w:val="center"/>
          </w:tcPr>
          <w:p w14:paraId="59D59C2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Range of detection</w:t>
            </w:r>
          </w:p>
        </w:tc>
        <w:tc>
          <w:tcPr>
            <w:tcW w:w="1701" w:type="dxa"/>
            <w:tcBorders>
              <w:top w:val="single" w:sz="12" w:space="0" w:color="auto"/>
              <w:bottom w:val="single" w:sz="12" w:space="0" w:color="auto"/>
            </w:tcBorders>
            <w:vAlign w:val="center"/>
          </w:tcPr>
          <w:p w14:paraId="72D5751D" w14:textId="4D56F6A0" w:rsidR="000942BF" w:rsidRPr="00865D96" w:rsidRDefault="000942BF" w:rsidP="00C752F5">
            <w:pPr>
              <w:autoSpaceDE w:val="0"/>
              <w:autoSpaceDN w:val="0"/>
              <w:adjustRightInd w:val="0"/>
              <w:spacing w:line="276" w:lineRule="auto"/>
              <w:ind w:right="-108"/>
              <w:jc w:val="center"/>
              <w:rPr>
                <w:rFonts w:ascii="Arial" w:hAnsi="Arial" w:cs="Arial"/>
                <w:iCs/>
                <w:sz w:val="20"/>
                <w:szCs w:val="20"/>
                <w:lang w:val="en-US"/>
              </w:rPr>
            </w:pPr>
            <w:r w:rsidRPr="00865D96">
              <w:rPr>
                <w:rFonts w:ascii="Arial" w:hAnsi="Arial" w:cs="Arial"/>
                <w:iCs/>
                <w:sz w:val="20"/>
                <w:szCs w:val="20"/>
                <w:lang w:val="en-US"/>
              </w:rPr>
              <w:t>Correlation coefficient (R</w:t>
            </w:r>
            <w:r w:rsidRPr="00865D96">
              <w:rPr>
                <w:rFonts w:ascii="Arial" w:hAnsi="Arial" w:cs="Arial"/>
                <w:iCs/>
                <w:sz w:val="20"/>
                <w:szCs w:val="20"/>
                <w:vertAlign w:val="superscript"/>
                <w:lang w:val="en-US"/>
              </w:rPr>
              <w:t>2</w:t>
            </w:r>
            <w:r w:rsidRPr="00865D96">
              <w:rPr>
                <w:rFonts w:ascii="Arial" w:hAnsi="Arial" w:cs="Arial"/>
                <w:iCs/>
                <w:sz w:val="20"/>
                <w:szCs w:val="20"/>
                <w:lang w:val="en-US"/>
              </w:rPr>
              <w:t>)</w:t>
            </w:r>
          </w:p>
        </w:tc>
        <w:tc>
          <w:tcPr>
            <w:tcW w:w="2410" w:type="dxa"/>
            <w:tcBorders>
              <w:top w:val="single" w:sz="12" w:space="0" w:color="auto"/>
              <w:bottom w:val="single" w:sz="12" w:space="0" w:color="auto"/>
            </w:tcBorders>
            <w:vAlign w:val="center"/>
          </w:tcPr>
          <w:p w14:paraId="01FAC2A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Calibration curve equation</w:t>
            </w:r>
          </w:p>
        </w:tc>
      </w:tr>
      <w:tr w:rsidR="000942BF" w:rsidRPr="00865D96" w14:paraId="1EE5C624" w14:textId="77777777" w:rsidTr="006909EA">
        <w:trPr>
          <w:trHeight w:val="321"/>
        </w:trPr>
        <w:tc>
          <w:tcPr>
            <w:tcW w:w="1843" w:type="dxa"/>
            <w:tcBorders>
              <w:top w:val="single" w:sz="12" w:space="0" w:color="auto"/>
            </w:tcBorders>
          </w:tcPr>
          <w:p w14:paraId="0ED884D2"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Sodium</w:t>
            </w:r>
          </w:p>
        </w:tc>
        <w:tc>
          <w:tcPr>
            <w:tcW w:w="1985" w:type="dxa"/>
            <w:tcBorders>
              <w:top w:val="single" w:sz="12" w:space="0" w:color="auto"/>
            </w:tcBorders>
          </w:tcPr>
          <w:p w14:paraId="236C26BA"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598</w:t>
            </w:r>
          </w:p>
        </w:tc>
        <w:tc>
          <w:tcPr>
            <w:tcW w:w="1559" w:type="dxa"/>
            <w:tcBorders>
              <w:top w:val="single" w:sz="12" w:space="0" w:color="auto"/>
            </w:tcBorders>
          </w:tcPr>
          <w:p w14:paraId="07166BE1" w14:textId="77777777" w:rsidR="000942BF" w:rsidRPr="00865D96" w:rsidRDefault="000942BF" w:rsidP="00C752F5">
            <w:pPr>
              <w:autoSpaceDE w:val="0"/>
              <w:autoSpaceDN w:val="0"/>
              <w:adjustRightInd w:val="0"/>
              <w:spacing w:line="276" w:lineRule="auto"/>
              <w:jc w:val="center"/>
              <w:rPr>
                <w:rFonts w:ascii="Arial" w:hAnsi="Arial" w:cs="Arial"/>
                <w:sz w:val="20"/>
                <w:szCs w:val="20"/>
                <w:lang w:val="en-US"/>
              </w:rPr>
            </w:pPr>
            <w:r w:rsidRPr="00865D96">
              <w:rPr>
                <w:rFonts w:ascii="Arial" w:hAnsi="Arial" w:cs="Arial"/>
                <w:sz w:val="20"/>
                <w:szCs w:val="20"/>
                <w:lang w:val="en-US"/>
              </w:rPr>
              <w:t>0.02-0.8</w:t>
            </w:r>
          </w:p>
        </w:tc>
        <w:tc>
          <w:tcPr>
            <w:tcW w:w="1701" w:type="dxa"/>
            <w:tcBorders>
              <w:top w:val="single" w:sz="12" w:space="0" w:color="auto"/>
            </w:tcBorders>
          </w:tcPr>
          <w:p w14:paraId="02353859"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sz w:val="20"/>
                <w:szCs w:val="20"/>
                <w:lang w:val="en-US"/>
              </w:rPr>
              <w:t>0.9960</w:t>
            </w:r>
          </w:p>
        </w:tc>
        <w:tc>
          <w:tcPr>
            <w:tcW w:w="2410" w:type="dxa"/>
            <w:tcBorders>
              <w:top w:val="single" w:sz="12" w:space="0" w:color="auto"/>
            </w:tcBorders>
          </w:tcPr>
          <w:p w14:paraId="4EBF607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123.66x +14.486</w:t>
            </w:r>
          </w:p>
        </w:tc>
      </w:tr>
      <w:tr w:rsidR="000942BF" w:rsidRPr="00865D96" w14:paraId="3D7B2D42" w14:textId="77777777">
        <w:trPr>
          <w:trHeight w:val="278"/>
        </w:trPr>
        <w:tc>
          <w:tcPr>
            <w:tcW w:w="1843" w:type="dxa"/>
          </w:tcPr>
          <w:p w14:paraId="6FEF0547"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Potassium</w:t>
            </w:r>
          </w:p>
        </w:tc>
        <w:tc>
          <w:tcPr>
            <w:tcW w:w="1985" w:type="dxa"/>
          </w:tcPr>
          <w:p w14:paraId="3FAA6975"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766.5</w:t>
            </w:r>
          </w:p>
        </w:tc>
        <w:tc>
          <w:tcPr>
            <w:tcW w:w="1559" w:type="dxa"/>
          </w:tcPr>
          <w:p w14:paraId="079C804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0.03-1.6</w:t>
            </w:r>
          </w:p>
        </w:tc>
        <w:tc>
          <w:tcPr>
            <w:tcW w:w="1701" w:type="dxa"/>
          </w:tcPr>
          <w:p w14:paraId="19F2D8CD"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0.9969</w:t>
            </w:r>
          </w:p>
        </w:tc>
        <w:tc>
          <w:tcPr>
            <w:tcW w:w="2410" w:type="dxa"/>
          </w:tcPr>
          <w:p w14:paraId="1473E740"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0.1621x +0.0096</w:t>
            </w:r>
          </w:p>
        </w:tc>
      </w:tr>
      <w:tr w:rsidR="000942BF" w:rsidRPr="00865D96" w14:paraId="15FB9609" w14:textId="77777777">
        <w:trPr>
          <w:trHeight w:val="109"/>
        </w:trPr>
        <w:tc>
          <w:tcPr>
            <w:tcW w:w="1843" w:type="dxa"/>
          </w:tcPr>
          <w:p w14:paraId="398420DB"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Magnesium</w:t>
            </w:r>
          </w:p>
        </w:tc>
        <w:tc>
          <w:tcPr>
            <w:tcW w:w="1985" w:type="dxa"/>
          </w:tcPr>
          <w:p w14:paraId="1CED5045"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285.2</w:t>
            </w:r>
          </w:p>
        </w:tc>
        <w:tc>
          <w:tcPr>
            <w:tcW w:w="1559" w:type="dxa"/>
          </w:tcPr>
          <w:p w14:paraId="572D3152"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0.003-0.6</w:t>
            </w:r>
          </w:p>
        </w:tc>
        <w:tc>
          <w:tcPr>
            <w:tcW w:w="1701" w:type="dxa"/>
          </w:tcPr>
          <w:p w14:paraId="7BC9F0D9"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0.9955</w:t>
            </w:r>
          </w:p>
        </w:tc>
        <w:tc>
          <w:tcPr>
            <w:tcW w:w="2410" w:type="dxa"/>
          </w:tcPr>
          <w:p w14:paraId="0D29C1C7"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0.5648x +0.0109</w:t>
            </w:r>
          </w:p>
        </w:tc>
      </w:tr>
      <w:tr w:rsidR="000942BF" w:rsidRPr="00865D96" w14:paraId="07CA1D53" w14:textId="77777777">
        <w:trPr>
          <w:trHeight w:val="256"/>
        </w:trPr>
        <w:tc>
          <w:tcPr>
            <w:tcW w:w="1843" w:type="dxa"/>
          </w:tcPr>
          <w:p w14:paraId="6FB78739"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Calcium</w:t>
            </w:r>
          </w:p>
        </w:tc>
        <w:tc>
          <w:tcPr>
            <w:tcW w:w="1985" w:type="dxa"/>
          </w:tcPr>
          <w:p w14:paraId="6ECB7922"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422.7</w:t>
            </w:r>
          </w:p>
        </w:tc>
        <w:tc>
          <w:tcPr>
            <w:tcW w:w="1559" w:type="dxa"/>
          </w:tcPr>
          <w:p w14:paraId="0EF30F0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0.005-4</w:t>
            </w:r>
          </w:p>
        </w:tc>
        <w:tc>
          <w:tcPr>
            <w:tcW w:w="1701" w:type="dxa"/>
          </w:tcPr>
          <w:p w14:paraId="1D954FC0"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0.9918</w:t>
            </w:r>
          </w:p>
        </w:tc>
        <w:tc>
          <w:tcPr>
            <w:tcW w:w="2410" w:type="dxa"/>
          </w:tcPr>
          <w:p w14:paraId="04212D0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0.0052x +0.0018</w:t>
            </w:r>
          </w:p>
        </w:tc>
      </w:tr>
      <w:tr w:rsidR="000942BF" w:rsidRPr="00865D96" w14:paraId="11477299" w14:textId="77777777">
        <w:trPr>
          <w:trHeight w:val="121"/>
        </w:trPr>
        <w:tc>
          <w:tcPr>
            <w:tcW w:w="1843" w:type="dxa"/>
          </w:tcPr>
          <w:p w14:paraId="6FD3A535"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Chromium</w:t>
            </w:r>
          </w:p>
        </w:tc>
        <w:tc>
          <w:tcPr>
            <w:tcW w:w="1985" w:type="dxa"/>
          </w:tcPr>
          <w:p w14:paraId="2575DAF7"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357.9</w:t>
            </w:r>
          </w:p>
        </w:tc>
        <w:tc>
          <w:tcPr>
            <w:tcW w:w="1559" w:type="dxa"/>
          </w:tcPr>
          <w:p w14:paraId="355E012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0.03-10</w:t>
            </w:r>
          </w:p>
        </w:tc>
        <w:tc>
          <w:tcPr>
            <w:tcW w:w="1701" w:type="dxa"/>
          </w:tcPr>
          <w:p w14:paraId="72603E8A"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0.9966</w:t>
            </w:r>
          </w:p>
        </w:tc>
        <w:tc>
          <w:tcPr>
            <w:tcW w:w="2410" w:type="dxa"/>
          </w:tcPr>
          <w:p w14:paraId="714C257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0.0133x +0.0029</w:t>
            </w:r>
          </w:p>
        </w:tc>
      </w:tr>
      <w:tr w:rsidR="000942BF" w:rsidRPr="00865D96" w14:paraId="4FB246BF" w14:textId="77777777">
        <w:trPr>
          <w:trHeight w:val="97"/>
        </w:trPr>
        <w:tc>
          <w:tcPr>
            <w:tcW w:w="1843" w:type="dxa"/>
          </w:tcPr>
          <w:p w14:paraId="7D041BFD"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Iron</w:t>
            </w:r>
          </w:p>
        </w:tc>
        <w:tc>
          <w:tcPr>
            <w:tcW w:w="1985" w:type="dxa"/>
          </w:tcPr>
          <w:p w14:paraId="21B2B2E5"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248.3</w:t>
            </w:r>
          </w:p>
        </w:tc>
        <w:tc>
          <w:tcPr>
            <w:tcW w:w="1559" w:type="dxa"/>
          </w:tcPr>
          <w:p w14:paraId="5F85C9F0"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0.05-0.8</w:t>
            </w:r>
          </w:p>
        </w:tc>
        <w:tc>
          <w:tcPr>
            <w:tcW w:w="1701" w:type="dxa"/>
          </w:tcPr>
          <w:p w14:paraId="2AA0F8B8"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0.9979</w:t>
            </w:r>
          </w:p>
        </w:tc>
        <w:tc>
          <w:tcPr>
            <w:tcW w:w="2410" w:type="dxa"/>
          </w:tcPr>
          <w:p w14:paraId="7C728055"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0.031x +0.0042</w:t>
            </w:r>
          </w:p>
        </w:tc>
      </w:tr>
      <w:tr w:rsidR="000942BF" w:rsidRPr="00865D96" w14:paraId="4339E339" w14:textId="77777777">
        <w:trPr>
          <w:trHeight w:val="97"/>
        </w:trPr>
        <w:tc>
          <w:tcPr>
            <w:tcW w:w="1843" w:type="dxa"/>
          </w:tcPr>
          <w:p w14:paraId="0550EF9F"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Nickel</w:t>
            </w:r>
          </w:p>
        </w:tc>
        <w:tc>
          <w:tcPr>
            <w:tcW w:w="1985" w:type="dxa"/>
          </w:tcPr>
          <w:p w14:paraId="0D055F43"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232</w:t>
            </w:r>
          </w:p>
        </w:tc>
        <w:tc>
          <w:tcPr>
            <w:tcW w:w="1559" w:type="dxa"/>
          </w:tcPr>
          <w:p w14:paraId="22243F2B"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0.09-8</w:t>
            </w:r>
          </w:p>
        </w:tc>
        <w:tc>
          <w:tcPr>
            <w:tcW w:w="1701" w:type="dxa"/>
          </w:tcPr>
          <w:p w14:paraId="63982671"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0.9906</w:t>
            </w:r>
          </w:p>
        </w:tc>
        <w:tc>
          <w:tcPr>
            <w:tcW w:w="2410" w:type="dxa"/>
          </w:tcPr>
          <w:p w14:paraId="5F07A460"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0.0451x +0.0173</w:t>
            </w:r>
          </w:p>
        </w:tc>
      </w:tr>
      <w:tr w:rsidR="000942BF" w:rsidRPr="00865D96" w14:paraId="286BEA29" w14:textId="77777777">
        <w:trPr>
          <w:trHeight w:val="85"/>
        </w:trPr>
        <w:tc>
          <w:tcPr>
            <w:tcW w:w="1843" w:type="dxa"/>
          </w:tcPr>
          <w:p w14:paraId="1ECECE36"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Copper</w:t>
            </w:r>
          </w:p>
        </w:tc>
        <w:tc>
          <w:tcPr>
            <w:tcW w:w="1985" w:type="dxa"/>
          </w:tcPr>
          <w:p w14:paraId="7EC9B28C" w14:textId="305F4A75"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324</w:t>
            </w:r>
            <w:r w:rsidRPr="00865D96">
              <w:rPr>
                <w:rFonts w:ascii="Arial" w:hAnsi="Arial" w:cs="Arial"/>
                <w:iCs/>
                <w:color w:val="000000" w:themeColor="text1"/>
                <w:sz w:val="20"/>
                <w:szCs w:val="20"/>
                <w:lang w:val="en-US"/>
              </w:rPr>
              <w:t>.8</w:t>
            </w:r>
          </w:p>
        </w:tc>
        <w:tc>
          <w:tcPr>
            <w:tcW w:w="1559" w:type="dxa"/>
          </w:tcPr>
          <w:p w14:paraId="1AD3A943"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0.01-4</w:t>
            </w:r>
          </w:p>
        </w:tc>
        <w:tc>
          <w:tcPr>
            <w:tcW w:w="1701" w:type="dxa"/>
          </w:tcPr>
          <w:p w14:paraId="45112151"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0.9975</w:t>
            </w:r>
          </w:p>
        </w:tc>
        <w:tc>
          <w:tcPr>
            <w:tcW w:w="2410" w:type="dxa"/>
          </w:tcPr>
          <w:p w14:paraId="3D38002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0.1418x +0.0078</w:t>
            </w:r>
          </w:p>
        </w:tc>
      </w:tr>
      <w:tr w:rsidR="000942BF" w:rsidRPr="00865D96" w14:paraId="559BEDC7" w14:textId="77777777">
        <w:trPr>
          <w:trHeight w:val="85"/>
        </w:trPr>
        <w:tc>
          <w:tcPr>
            <w:tcW w:w="1843" w:type="dxa"/>
          </w:tcPr>
          <w:p w14:paraId="4F02EDA0"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Zinc</w:t>
            </w:r>
          </w:p>
        </w:tc>
        <w:tc>
          <w:tcPr>
            <w:tcW w:w="1985" w:type="dxa"/>
          </w:tcPr>
          <w:p w14:paraId="3E62FEF2"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213.9</w:t>
            </w:r>
          </w:p>
        </w:tc>
        <w:tc>
          <w:tcPr>
            <w:tcW w:w="1559" w:type="dxa"/>
          </w:tcPr>
          <w:p w14:paraId="76DB725C"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0.005-1.6</w:t>
            </w:r>
          </w:p>
        </w:tc>
        <w:tc>
          <w:tcPr>
            <w:tcW w:w="1701" w:type="dxa"/>
          </w:tcPr>
          <w:p w14:paraId="5BBF3B91"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0.9958</w:t>
            </w:r>
          </w:p>
        </w:tc>
        <w:tc>
          <w:tcPr>
            <w:tcW w:w="2410" w:type="dxa"/>
          </w:tcPr>
          <w:p w14:paraId="525D052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0.2175x +0.0040</w:t>
            </w:r>
          </w:p>
        </w:tc>
      </w:tr>
      <w:tr w:rsidR="000942BF" w:rsidRPr="00865D96" w14:paraId="1749594E" w14:textId="77777777" w:rsidTr="006909EA">
        <w:trPr>
          <w:trHeight w:val="85"/>
        </w:trPr>
        <w:tc>
          <w:tcPr>
            <w:tcW w:w="1843" w:type="dxa"/>
            <w:tcBorders>
              <w:bottom w:val="nil"/>
            </w:tcBorders>
          </w:tcPr>
          <w:p w14:paraId="59FDDD1C"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Cadmium</w:t>
            </w:r>
          </w:p>
        </w:tc>
        <w:tc>
          <w:tcPr>
            <w:tcW w:w="1985" w:type="dxa"/>
            <w:tcBorders>
              <w:bottom w:val="nil"/>
            </w:tcBorders>
          </w:tcPr>
          <w:p w14:paraId="7B1851A3"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228.8</w:t>
            </w:r>
          </w:p>
        </w:tc>
        <w:tc>
          <w:tcPr>
            <w:tcW w:w="1559" w:type="dxa"/>
            <w:tcBorders>
              <w:bottom w:val="nil"/>
            </w:tcBorders>
          </w:tcPr>
          <w:p w14:paraId="6F00CB94"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0.004-1.8</w:t>
            </w:r>
          </w:p>
        </w:tc>
        <w:tc>
          <w:tcPr>
            <w:tcW w:w="1701" w:type="dxa"/>
            <w:tcBorders>
              <w:bottom w:val="nil"/>
            </w:tcBorders>
          </w:tcPr>
          <w:p w14:paraId="0C8EE63A"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0.9971</w:t>
            </w:r>
          </w:p>
        </w:tc>
        <w:tc>
          <w:tcPr>
            <w:tcW w:w="2410" w:type="dxa"/>
            <w:tcBorders>
              <w:bottom w:val="nil"/>
            </w:tcBorders>
          </w:tcPr>
          <w:p w14:paraId="6123037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0.1947x +0.0006</w:t>
            </w:r>
          </w:p>
        </w:tc>
      </w:tr>
      <w:tr w:rsidR="000942BF" w:rsidRPr="00865D96" w14:paraId="055CF9D0" w14:textId="77777777" w:rsidTr="006909EA">
        <w:trPr>
          <w:trHeight w:val="85"/>
        </w:trPr>
        <w:tc>
          <w:tcPr>
            <w:tcW w:w="1843" w:type="dxa"/>
            <w:tcBorders>
              <w:top w:val="nil"/>
              <w:bottom w:val="single" w:sz="12" w:space="0" w:color="auto"/>
            </w:tcBorders>
          </w:tcPr>
          <w:p w14:paraId="73F3D415"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Lead</w:t>
            </w:r>
          </w:p>
        </w:tc>
        <w:tc>
          <w:tcPr>
            <w:tcW w:w="1985" w:type="dxa"/>
            <w:tcBorders>
              <w:top w:val="nil"/>
              <w:bottom w:val="single" w:sz="12" w:space="0" w:color="auto"/>
            </w:tcBorders>
          </w:tcPr>
          <w:p w14:paraId="6C1C2628"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217</w:t>
            </w:r>
          </w:p>
        </w:tc>
        <w:tc>
          <w:tcPr>
            <w:tcW w:w="1559" w:type="dxa"/>
            <w:tcBorders>
              <w:top w:val="nil"/>
              <w:bottom w:val="single" w:sz="12" w:space="0" w:color="auto"/>
            </w:tcBorders>
          </w:tcPr>
          <w:p w14:paraId="0EF0C88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0.1-12</w:t>
            </w:r>
          </w:p>
        </w:tc>
        <w:tc>
          <w:tcPr>
            <w:tcW w:w="1701" w:type="dxa"/>
            <w:tcBorders>
              <w:top w:val="nil"/>
              <w:bottom w:val="single" w:sz="12" w:space="0" w:color="auto"/>
            </w:tcBorders>
          </w:tcPr>
          <w:p w14:paraId="464A2149"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0.9992</w:t>
            </w:r>
          </w:p>
        </w:tc>
        <w:tc>
          <w:tcPr>
            <w:tcW w:w="2410" w:type="dxa"/>
            <w:tcBorders>
              <w:top w:val="nil"/>
              <w:bottom w:val="single" w:sz="12" w:space="0" w:color="auto"/>
            </w:tcBorders>
          </w:tcPr>
          <w:p w14:paraId="24EBCE7B"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0.0253x +0.0005</w:t>
            </w:r>
          </w:p>
        </w:tc>
      </w:tr>
    </w:tbl>
    <w:p w14:paraId="5AE84BB8" w14:textId="77777777" w:rsidR="000942BF" w:rsidRPr="00865D96" w:rsidRDefault="000942BF" w:rsidP="00C752F5">
      <w:pPr>
        <w:spacing w:line="276" w:lineRule="auto"/>
        <w:rPr>
          <w:rFonts w:ascii="Arial" w:hAnsi="Arial" w:cs="Arial"/>
          <w:sz w:val="20"/>
          <w:szCs w:val="20"/>
          <w:lang w:val="en-US"/>
        </w:rPr>
      </w:pPr>
    </w:p>
    <w:p w14:paraId="33671F0A" w14:textId="6A6F422A" w:rsidR="00DD4AA7" w:rsidRPr="00DD4AA7" w:rsidRDefault="00532A83" w:rsidP="00DD4AA7">
      <w:pPr>
        <w:spacing w:line="276" w:lineRule="auto"/>
        <w:rPr>
          <w:rFonts w:ascii="Arial" w:hAnsi="Arial" w:cs="Arial"/>
          <w:b/>
          <w:bCs/>
          <w:sz w:val="20"/>
          <w:szCs w:val="20"/>
          <w:lang w:val="en-US"/>
        </w:rPr>
      </w:pPr>
      <w:bookmarkStart w:id="4" w:name="_Hlk195797072"/>
      <w:r w:rsidRPr="00865D96">
        <w:rPr>
          <w:rFonts w:ascii="Arial" w:hAnsi="Arial" w:cs="Arial"/>
          <w:b/>
          <w:bCs/>
          <w:sz w:val="20"/>
          <w:szCs w:val="20"/>
          <w:lang w:val="en-US"/>
        </w:rPr>
        <w:t>Table 2.</w:t>
      </w:r>
      <w:r w:rsidR="000F25DE" w:rsidRPr="00865D96">
        <w:rPr>
          <w:rFonts w:ascii="Arial" w:hAnsi="Arial" w:cs="Arial"/>
          <w:b/>
          <w:bCs/>
          <w:sz w:val="20"/>
          <w:szCs w:val="20"/>
          <w:lang w:val="en-US"/>
        </w:rPr>
        <w:t xml:space="preserve"> </w:t>
      </w:r>
      <w:r w:rsidR="00E178B6" w:rsidRPr="00865D96">
        <w:rPr>
          <w:rFonts w:ascii="Arial" w:hAnsi="Arial" w:cs="Arial"/>
          <w:b/>
          <w:bCs/>
          <w:sz w:val="20"/>
          <w:szCs w:val="20"/>
          <w:lang w:val="en-US"/>
        </w:rPr>
        <w:t>Metal level in triplicate</w:t>
      </w:r>
      <w:r w:rsidR="00283CDE" w:rsidRPr="00865D96">
        <w:rPr>
          <w:rFonts w:ascii="Arial" w:hAnsi="Arial" w:cs="Arial"/>
          <w:b/>
          <w:bCs/>
          <w:sz w:val="20"/>
          <w:szCs w:val="20"/>
          <w:lang w:val="en-US"/>
        </w:rPr>
        <w:t xml:space="preserve"> (mg/Kg)</w:t>
      </w:r>
      <w:r w:rsidR="00DD4AA7">
        <w:rPr>
          <w:rFonts w:ascii="Arial" w:hAnsi="Arial" w:cs="Arial"/>
          <w:b/>
          <w:bCs/>
          <w:sz w:val="20"/>
          <w:szCs w:val="20"/>
          <w:lang w:val="en-US"/>
        </w:rPr>
        <w:t xml:space="preserve"> and </w:t>
      </w:r>
      <w:r w:rsidR="00DD4AA7" w:rsidRPr="00DD4AA7">
        <w:rPr>
          <w:rFonts w:ascii="Arial" w:hAnsi="Arial" w:cs="Arial"/>
          <w:b/>
          <w:bCs/>
          <w:sz w:val="20"/>
          <w:szCs w:val="20"/>
          <w:lang w:val="en-US"/>
        </w:rPr>
        <w:t xml:space="preserve">Provisional </w:t>
      </w:r>
      <w:r w:rsidR="00DD4AA7">
        <w:rPr>
          <w:rFonts w:ascii="Arial" w:hAnsi="Arial" w:cs="Arial"/>
          <w:b/>
          <w:bCs/>
          <w:sz w:val="20"/>
          <w:szCs w:val="20"/>
          <w:lang w:val="en-US"/>
        </w:rPr>
        <w:t>T</w:t>
      </w:r>
      <w:r w:rsidR="00DD4AA7" w:rsidRPr="00DD4AA7">
        <w:rPr>
          <w:rFonts w:ascii="Arial" w:hAnsi="Arial" w:cs="Arial"/>
          <w:b/>
          <w:bCs/>
          <w:sz w:val="20"/>
          <w:szCs w:val="20"/>
          <w:lang w:val="en-US"/>
        </w:rPr>
        <w:t xml:space="preserve">olerable </w:t>
      </w:r>
      <w:r w:rsidR="00DD4AA7">
        <w:rPr>
          <w:rFonts w:ascii="Arial" w:hAnsi="Arial" w:cs="Arial"/>
          <w:b/>
          <w:bCs/>
          <w:sz w:val="20"/>
          <w:szCs w:val="20"/>
          <w:lang w:val="en-US"/>
        </w:rPr>
        <w:t>W</w:t>
      </w:r>
      <w:r w:rsidR="00DD4AA7" w:rsidRPr="00DD4AA7">
        <w:rPr>
          <w:rFonts w:ascii="Arial" w:hAnsi="Arial" w:cs="Arial"/>
          <w:b/>
          <w:bCs/>
          <w:sz w:val="20"/>
          <w:szCs w:val="20"/>
          <w:lang w:val="en-US"/>
        </w:rPr>
        <w:t xml:space="preserve">eekly </w:t>
      </w:r>
      <w:r w:rsidR="00DD4AA7">
        <w:rPr>
          <w:rFonts w:ascii="Arial" w:hAnsi="Arial" w:cs="Arial"/>
          <w:b/>
          <w:bCs/>
          <w:sz w:val="20"/>
          <w:szCs w:val="20"/>
          <w:lang w:val="en-US"/>
        </w:rPr>
        <w:t>I</w:t>
      </w:r>
      <w:r w:rsidR="00DD4AA7" w:rsidRPr="00DD4AA7">
        <w:rPr>
          <w:rFonts w:ascii="Arial" w:hAnsi="Arial" w:cs="Arial"/>
          <w:b/>
          <w:bCs/>
          <w:sz w:val="20"/>
          <w:szCs w:val="20"/>
          <w:lang w:val="en-US"/>
        </w:rPr>
        <w:t>ntake (PTWI) values for metals.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675"/>
        <w:gridCol w:w="1788"/>
        <w:gridCol w:w="3625"/>
        <w:gridCol w:w="1417"/>
      </w:tblGrid>
      <w:tr w:rsidR="00214477" w:rsidRPr="00865D96" w14:paraId="296F7AED" w14:textId="57A23E35" w:rsidTr="006909EA">
        <w:trPr>
          <w:trHeight w:val="838"/>
        </w:trPr>
        <w:tc>
          <w:tcPr>
            <w:tcW w:w="1129" w:type="dxa"/>
            <w:tcBorders>
              <w:top w:val="single" w:sz="12" w:space="0" w:color="auto"/>
              <w:bottom w:val="single" w:sz="12" w:space="0" w:color="auto"/>
            </w:tcBorders>
            <w:vAlign w:val="center"/>
          </w:tcPr>
          <w:p w14:paraId="0E73DD5E" w14:textId="69AA675D" w:rsidR="00214477" w:rsidRPr="00865D96" w:rsidRDefault="00214477" w:rsidP="00C752F5">
            <w:pPr>
              <w:spacing w:line="276" w:lineRule="auto"/>
              <w:jc w:val="center"/>
              <w:rPr>
                <w:rFonts w:ascii="Arial" w:hAnsi="Arial" w:cs="Arial"/>
                <w:sz w:val="20"/>
                <w:szCs w:val="20"/>
                <w:lang w:val="en-US"/>
              </w:rPr>
            </w:pPr>
            <w:bookmarkStart w:id="5" w:name="_Hlk196057481"/>
            <w:r w:rsidRPr="00865D96">
              <w:rPr>
                <w:rFonts w:ascii="Arial" w:hAnsi="Arial" w:cs="Arial"/>
                <w:sz w:val="20"/>
                <w:szCs w:val="20"/>
                <w:lang w:val="en-US"/>
              </w:rPr>
              <w:lastRenderedPageBreak/>
              <w:t>Element (mg/Kg)</w:t>
            </w:r>
          </w:p>
        </w:tc>
        <w:tc>
          <w:tcPr>
            <w:tcW w:w="1675" w:type="dxa"/>
            <w:tcBorders>
              <w:top w:val="single" w:sz="12" w:space="0" w:color="auto"/>
              <w:bottom w:val="single" w:sz="12" w:space="0" w:color="auto"/>
            </w:tcBorders>
            <w:vAlign w:val="center"/>
          </w:tcPr>
          <w:p w14:paraId="363E7A1F" w14:textId="454644CA" w:rsidR="00214477" w:rsidRPr="00865D96" w:rsidRDefault="00214477" w:rsidP="00C752F5">
            <w:pPr>
              <w:spacing w:line="276" w:lineRule="auto"/>
              <w:jc w:val="center"/>
              <w:rPr>
                <w:rFonts w:ascii="Arial" w:hAnsi="Arial" w:cs="Arial"/>
                <w:sz w:val="20"/>
                <w:szCs w:val="20"/>
                <w:lang w:val="en-US"/>
              </w:rPr>
            </w:pPr>
            <w:r w:rsidRPr="00865D96">
              <w:rPr>
                <w:rFonts w:ascii="Arial" w:hAnsi="Arial" w:cs="Arial"/>
                <w:sz w:val="20"/>
                <w:szCs w:val="20"/>
                <w:lang w:val="en-US"/>
              </w:rPr>
              <w:t xml:space="preserve">Hullet millet </w:t>
            </w:r>
          </w:p>
        </w:tc>
        <w:tc>
          <w:tcPr>
            <w:tcW w:w="1788" w:type="dxa"/>
            <w:tcBorders>
              <w:top w:val="single" w:sz="12" w:space="0" w:color="auto"/>
              <w:bottom w:val="single" w:sz="12" w:space="0" w:color="auto"/>
            </w:tcBorders>
            <w:vAlign w:val="center"/>
          </w:tcPr>
          <w:p w14:paraId="15DFD11B" w14:textId="33C9C3F0" w:rsidR="00214477" w:rsidRPr="00865D96" w:rsidRDefault="00214477" w:rsidP="00C752F5">
            <w:pPr>
              <w:spacing w:line="276" w:lineRule="auto"/>
              <w:jc w:val="center"/>
              <w:rPr>
                <w:rFonts w:ascii="Arial" w:hAnsi="Arial" w:cs="Arial"/>
                <w:sz w:val="20"/>
                <w:szCs w:val="20"/>
                <w:lang w:val="en-US"/>
              </w:rPr>
            </w:pPr>
            <w:proofErr w:type="spellStart"/>
            <w:r w:rsidRPr="00865D96">
              <w:rPr>
                <w:rFonts w:ascii="Arial" w:hAnsi="Arial" w:cs="Arial"/>
                <w:sz w:val="20"/>
                <w:szCs w:val="20"/>
                <w:lang w:val="en-US"/>
              </w:rPr>
              <w:t>Unhullet</w:t>
            </w:r>
            <w:proofErr w:type="spellEnd"/>
            <w:r w:rsidRPr="00865D96">
              <w:rPr>
                <w:rFonts w:ascii="Arial" w:hAnsi="Arial" w:cs="Arial"/>
                <w:sz w:val="20"/>
                <w:szCs w:val="20"/>
                <w:lang w:val="en-US"/>
              </w:rPr>
              <w:t xml:space="preserve"> millet </w:t>
            </w:r>
          </w:p>
        </w:tc>
        <w:tc>
          <w:tcPr>
            <w:tcW w:w="3625" w:type="dxa"/>
            <w:tcBorders>
              <w:top w:val="single" w:sz="12" w:space="0" w:color="auto"/>
              <w:bottom w:val="single" w:sz="12" w:space="0" w:color="auto"/>
            </w:tcBorders>
            <w:vAlign w:val="center"/>
          </w:tcPr>
          <w:p w14:paraId="4665A41E" w14:textId="2D4ADF44" w:rsidR="00214477" w:rsidRPr="00865D96" w:rsidRDefault="007C4856" w:rsidP="00C752F5">
            <w:pPr>
              <w:spacing w:line="276" w:lineRule="auto"/>
              <w:jc w:val="center"/>
              <w:rPr>
                <w:rFonts w:ascii="Arial" w:hAnsi="Arial" w:cs="Arial"/>
                <w:sz w:val="20"/>
                <w:szCs w:val="20"/>
                <w:highlight w:val="yellow"/>
                <w:lang w:val="en-US"/>
              </w:rPr>
            </w:pPr>
            <w:r>
              <w:rPr>
                <w:rFonts w:ascii="Arial" w:hAnsi="Arial" w:cs="Arial"/>
                <w:sz w:val="20"/>
                <w:szCs w:val="20"/>
                <w:lang w:val="en-US"/>
              </w:rPr>
              <w:t>PTWI f</w:t>
            </w:r>
            <w:r w:rsidR="00214477" w:rsidRPr="00865D96">
              <w:rPr>
                <w:rFonts w:ascii="Arial" w:hAnsi="Arial" w:cs="Arial"/>
                <w:sz w:val="20"/>
                <w:szCs w:val="20"/>
                <w:lang w:val="en-US"/>
              </w:rPr>
              <w:t>or a 70-kg Individual (mg/week)</w:t>
            </w:r>
          </w:p>
        </w:tc>
        <w:tc>
          <w:tcPr>
            <w:tcW w:w="1417" w:type="dxa"/>
            <w:tcBorders>
              <w:top w:val="single" w:sz="12" w:space="0" w:color="auto"/>
              <w:bottom w:val="single" w:sz="12" w:space="0" w:color="auto"/>
            </w:tcBorders>
            <w:vAlign w:val="center"/>
          </w:tcPr>
          <w:p w14:paraId="06395D89" w14:textId="3E8A90F1" w:rsidR="00214477" w:rsidRPr="00865D96" w:rsidRDefault="00214477" w:rsidP="00C752F5">
            <w:pPr>
              <w:spacing w:line="276" w:lineRule="auto"/>
              <w:jc w:val="center"/>
              <w:rPr>
                <w:rFonts w:ascii="Arial" w:hAnsi="Arial" w:cs="Arial"/>
                <w:sz w:val="20"/>
                <w:szCs w:val="20"/>
                <w:lang w:val="en-US"/>
              </w:rPr>
            </w:pPr>
            <w:r w:rsidRPr="00865D96">
              <w:rPr>
                <w:rFonts w:ascii="Arial" w:hAnsi="Arial" w:cs="Arial"/>
                <w:sz w:val="20"/>
                <w:szCs w:val="20"/>
                <w:lang w:val="en-US"/>
              </w:rPr>
              <w:t>LOD (mg/l)</w:t>
            </w:r>
          </w:p>
        </w:tc>
      </w:tr>
      <w:tr w:rsidR="00495C9F" w:rsidRPr="00865D96" w14:paraId="19D725B2" w14:textId="56EA92BA" w:rsidTr="006909EA">
        <w:tc>
          <w:tcPr>
            <w:tcW w:w="1129" w:type="dxa"/>
            <w:tcBorders>
              <w:top w:val="single" w:sz="12" w:space="0" w:color="auto"/>
            </w:tcBorders>
          </w:tcPr>
          <w:p w14:paraId="26A7E46E" w14:textId="7DBBE855"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Na</w:t>
            </w:r>
          </w:p>
        </w:tc>
        <w:tc>
          <w:tcPr>
            <w:tcW w:w="1675" w:type="dxa"/>
            <w:tcBorders>
              <w:top w:val="single" w:sz="12" w:space="0" w:color="auto"/>
            </w:tcBorders>
          </w:tcPr>
          <w:p w14:paraId="4F19256A" w14:textId="0185C198"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4</w:t>
            </w:r>
            <w:r w:rsidR="00DC26D3">
              <w:rPr>
                <w:rFonts w:ascii="Arial" w:hAnsi="Arial" w:cs="Arial"/>
                <w:sz w:val="20"/>
                <w:szCs w:val="20"/>
                <w:lang w:val="en-US"/>
              </w:rPr>
              <w:t>5</w:t>
            </w:r>
            <w:r w:rsidRPr="00865D96">
              <w:rPr>
                <w:rFonts w:ascii="Arial" w:hAnsi="Arial" w:cs="Arial"/>
                <w:sz w:val="20"/>
                <w:szCs w:val="20"/>
                <w:lang w:val="en-US"/>
              </w:rPr>
              <w:t>.</w:t>
            </w:r>
            <w:r w:rsidR="00DC26D3">
              <w:rPr>
                <w:rFonts w:ascii="Arial" w:hAnsi="Arial" w:cs="Arial"/>
                <w:sz w:val="20"/>
                <w:szCs w:val="20"/>
                <w:lang w:val="en-US"/>
              </w:rPr>
              <w:t>1</w:t>
            </w:r>
            <w:r w:rsidRPr="00865D96">
              <w:rPr>
                <w:rFonts w:ascii="Arial" w:hAnsi="Arial" w:cs="Arial"/>
                <w:sz w:val="20"/>
                <w:szCs w:val="20"/>
                <w:lang w:val="en-US"/>
              </w:rPr>
              <w:t xml:space="preserve"> ± 0.0</w:t>
            </w:r>
            <w:r w:rsidR="00DC26D3">
              <w:rPr>
                <w:rFonts w:ascii="Arial" w:hAnsi="Arial" w:cs="Arial"/>
                <w:sz w:val="20"/>
                <w:szCs w:val="20"/>
                <w:lang w:val="en-US"/>
              </w:rPr>
              <w:t>1</w:t>
            </w:r>
            <w:r w:rsidRPr="00865D96">
              <w:rPr>
                <w:rFonts w:ascii="Arial" w:hAnsi="Arial" w:cs="Arial"/>
                <w:sz w:val="20"/>
                <w:szCs w:val="20"/>
                <w:lang w:val="en-US"/>
              </w:rPr>
              <w:t>2</w:t>
            </w:r>
          </w:p>
        </w:tc>
        <w:tc>
          <w:tcPr>
            <w:tcW w:w="1788" w:type="dxa"/>
            <w:tcBorders>
              <w:top w:val="single" w:sz="12" w:space="0" w:color="auto"/>
            </w:tcBorders>
          </w:tcPr>
          <w:p w14:paraId="12BD2FE6" w14:textId="17F54570"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64.5</w:t>
            </w:r>
            <w:r w:rsidR="001F45C5">
              <w:rPr>
                <w:rFonts w:ascii="Arial" w:hAnsi="Arial" w:cs="Arial"/>
                <w:sz w:val="20"/>
                <w:szCs w:val="20"/>
                <w:lang w:val="en-US"/>
              </w:rPr>
              <w:t>00</w:t>
            </w:r>
            <w:r w:rsidRPr="00865D96">
              <w:rPr>
                <w:rFonts w:ascii="Arial" w:hAnsi="Arial" w:cs="Arial"/>
                <w:sz w:val="20"/>
                <w:szCs w:val="20"/>
                <w:lang w:val="en-US"/>
              </w:rPr>
              <w:t>± 0.0</w:t>
            </w:r>
            <w:r w:rsidR="001F45C5">
              <w:rPr>
                <w:rFonts w:ascii="Arial" w:hAnsi="Arial" w:cs="Arial"/>
                <w:sz w:val="20"/>
                <w:szCs w:val="20"/>
                <w:lang w:val="en-US"/>
              </w:rPr>
              <w:t>0</w:t>
            </w:r>
            <w:r w:rsidRPr="00865D96">
              <w:rPr>
                <w:rFonts w:ascii="Arial" w:hAnsi="Arial" w:cs="Arial"/>
                <w:sz w:val="20"/>
                <w:szCs w:val="20"/>
                <w:lang w:val="en-US"/>
              </w:rPr>
              <w:t>2</w:t>
            </w:r>
          </w:p>
        </w:tc>
        <w:tc>
          <w:tcPr>
            <w:tcW w:w="3625" w:type="dxa"/>
            <w:tcBorders>
              <w:top w:val="single" w:sz="12" w:space="0" w:color="auto"/>
            </w:tcBorders>
          </w:tcPr>
          <w:p w14:paraId="408D8BCC" w14:textId="2008782D" w:rsidR="00495C9F" w:rsidRPr="00A46346" w:rsidRDefault="004729EB" w:rsidP="00C752F5">
            <w:pPr>
              <w:spacing w:line="276" w:lineRule="auto"/>
              <w:ind w:left="962"/>
              <w:rPr>
                <w:rFonts w:ascii="Arial" w:hAnsi="Arial" w:cs="Arial"/>
                <w:sz w:val="20"/>
                <w:szCs w:val="20"/>
                <w:lang w:val="en-US"/>
              </w:rPr>
            </w:pPr>
            <w:r w:rsidRPr="00A46346">
              <w:rPr>
                <w:rFonts w:ascii="Arial" w:hAnsi="Arial" w:cs="Arial"/>
                <w:sz w:val="20"/>
                <w:szCs w:val="20"/>
                <w:lang w:val="en-US"/>
              </w:rPr>
              <w:t>14</w:t>
            </w:r>
            <w:r w:rsidR="00495C9F" w:rsidRPr="00A46346">
              <w:rPr>
                <w:rFonts w:ascii="Arial" w:hAnsi="Arial" w:cs="Arial"/>
                <w:sz w:val="20"/>
                <w:szCs w:val="20"/>
                <w:lang w:val="en-US"/>
              </w:rPr>
              <w:t>000</w:t>
            </w:r>
            <w:r w:rsidR="00A46346" w:rsidRPr="00A46346">
              <w:rPr>
                <w:rFonts w:ascii="Arial" w:hAnsi="Arial" w:cs="Arial"/>
                <w:sz w:val="20"/>
                <w:szCs w:val="20"/>
                <w:lang w:val="en-US"/>
              </w:rPr>
              <w:t xml:space="preserve"> </w:t>
            </w:r>
            <w:r w:rsidR="00C94195" w:rsidRPr="00A46346">
              <w:rPr>
                <w:rFonts w:ascii="Arial" w:hAnsi="Arial" w:cs="Arial"/>
                <w:sz w:val="20"/>
                <w:szCs w:val="20"/>
                <w:lang w:val="en-US"/>
              </w:rPr>
              <w:fldChar w:fldCharType="begin"/>
            </w:r>
            <w:r w:rsidR="00C94195" w:rsidRPr="00A46346">
              <w:rPr>
                <w:rFonts w:ascii="Arial" w:hAnsi="Arial" w:cs="Arial"/>
                <w:sz w:val="20"/>
                <w:szCs w:val="20"/>
                <w:lang w:val="en-US"/>
              </w:rPr>
              <w:instrText xml:space="preserve"> ADDIN ZOTERO_ITEM CSL_CITATION {"citationID":"PB6SeQIz","properties":{"formattedCitation":"\\super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C94195" w:rsidRPr="00A46346">
              <w:rPr>
                <w:rFonts w:ascii="Arial" w:hAnsi="Arial" w:cs="Arial"/>
                <w:sz w:val="20"/>
                <w:szCs w:val="20"/>
                <w:lang w:val="en-US"/>
              </w:rPr>
              <w:fldChar w:fldCharType="separate"/>
            </w:r>
            <w:r w:rsidR="00C94195" w:rsidRPr="00A46346">
              <w:rPr>
                <w:rFonts w:ascii="Arial" w:hAnsi="Arial" w:cs="Arial"/>
                <w:kern w:val="0"/>
                <w:sz w:val="20"/>
                <w:szCs w:val="20"/>
                <w:vertAlign w:val="superscript"/>
              </w:rPr>
              <w:t>13</w:t>
            </w:r>
            <w:r w:rsidR="00C94195" w:rsidRPr="00A46346">
              <w:rPr>
                <w:rFonts w:ascii="Arial" w:hAnsi="Arial" w:cs="Arial"/>
                <w:sz w:val="20"/>
                <w:szCs w:val="20"/>
                <w:lang w:val="en-US"/>
              </w:rPr>
              <w:fldChar w:fldCharType="end"/>
            </w:r>
          </w:p>
        </w:tc>
        <w:tc>
          <w:tcPr>
            <w:tcW w:w="1417" w:type="dxa"/>
            <w:tcBorders>
              <w:top w:val="single" w:sz="12" w:space="0" w:color="auto"/>
            </w:tcBorders>
          </w:tcPr>
          <w:p w14:paraId="000BD28D" w14:textId="2F4A2A27" w:rsidR="00495C9F" w:rsidRPr="0040470D" w:rsidRDefault="00346FE3" w:rsidP="00C752F5">
            <w:pPr>
              <w:spacing w:line="276" w:lineRule="auto"/>
              <w:ind w:left="316"/>
              <w:rPr>
                <w:rFonts w:ascii="Arial" w:hAnsi="Arial" w:cs="Arial"/>
                <w:sz w:val="20"/>
                <w:szCs w:val="20"/>
                <w:lang w:val="en-US"/>
              </w:rPr>
            </w:pPr>
            <w:r w:rsidRPr="0040470D">
              <w:rPr>
                <w:rFonts w:ascii="Arial" w:hAnsi="Arial" w:cs="Arial"/>
                <w:sz w:val="20"/>
                <w:szCs w:val="20"/>
                <w:lang w:val="en-US"/>
              </w:rPr>
              <w:t>0.030</w:t>
            </w:r>
          </w:p>
        </w:tc>
      </w:tr>
      <w:tr w:rsidR="00495C9F" w:rsidRPr="00865D96" w14:paraId="06961514" w14:textId="60990AB1" w:rsidTr="006909EA">
        <w:tc>
          <w:tcPr>
            <w:tcW w:w="1129" w:type="dxa"/>
          </w:tcPr>
          <w:p w14:paraId="6DCDDDA6" w14:textId="010223FC"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K</w:t>
            </w:r>
          </w:p>
        </w:tc>
        <w:tc>
          <w:tcPr>
            <w:tcW w:w="1675" w:type="dxa"/>
          </w:tcPr>
          <w:p w14:paraId="1B049DDA" w14:textId="4816E96C" w:rsidR="00495C9F" w:rsidRPr="00865D96" w:rsidRDefault="00BB7FCE" w:rsidP="00C752F5">
            <w:pPr>
              <w:spacing w:line="276" w:lineRule="auto"/>
              <w:rPr>
                <w:rFonts w:ascii="Arial" w:hAnsi="Arial" w:cs="Arial"/>
                <w:sz w:val="20"/>
                <w:szCs w:val="20"/>
                <w:lang w:val="en-US"/>
              </w:rPr>
            </w:pPr>
            <w:r>
              <w:rPr>
                <w:rFonts w:ascii="Arial" w:hAnsi="Arial" w:cs="Arial"/>
                <w:sz w:val="20"/>
                <w:szCs w:val="20"/>
                <w:lang w:val="en-US"/>
              </w:rPr>
              <w:t>350</w:t>
            </w:r>
            <w:r w:rsidR="00495C9F" w:rsidRPr="00865D96">
              <w:rPr>
                <w:rFonts w:ascii="Arial" w:hAnsi="Arial" w:cs="Arial"/>
                <w:sz w:val="20"/>
                <w:szCs w:val="20"/>
                <w:lang w:val="en-US"/>
              </w:rPr>
              <w:t>0.</w:t>
            </w:r>
            <w:r w:rsidR="0036713F">
              <w:rPr>
                <w:rFonts w:ascii="Arial" w:hAnsi="Arial" w:cs="Arial"/>
                <w:sz w:val="20"/>
                <w:szCs w:val="20"/>
                <w:lang w:val="en-US"/>
              </w:rPr>
              <w:t>9</w:t>
            </w:r>
            <w:r w:rsidR="00495C9F" w:rsidRPr="00865D96">
              <w:rPr>
                <w:rFonts w:ascii="Arial" w:hAnsi="Arial" w:cs="Arial"/>
                <w:sz w:val="20"/>
                <w:szCs w:val="20"/>
                <w:lang w:val="en-US"/>
              </w:rPr>
              <w:t xml:space="preserve"> ± </w:t>
            </w:r>
            <w:r w:rsidR="0036713F">
              <w:rPr>
                <w:rFonts w:ascii="Arial" w:hAnsi="Arial" w:cs="Arial"/>
                <w:sz w:val="20"/>
                <w:szCs w:val="20"/>
                <w:lang w:val="en-US"/>
              </w:rPr>
              <w:t>0.0001</w:t>
            </w:r>
          </w:p>
        </w:tc>
        <w:tc>
          <w:tcPr>
            <w:tcW w:w="1788" w:type="dxa"/>
          </w:tcPr>
          <w:p w14:paraId="1B28790F" w14:textId="3E5A4C50"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4519.5 ± 0.015</w:t>
            </w:r>
          </w:p>
        </w:tc>
        <w:tc>
          <w:tcPr>
            <w:tcW w:w="3625" w:type="dxa"/>
          </w:tcPr>
          <w:p w14:paraId="505AEC49" w14:textId="7FF71881" w:rsidR="00495C9F" w:rsidRPr="00A46346" w:rsidRDefault="004729EB" w:rsidP="00C752F5">
            <w:pPr>
              <w:spacing w:line="276" w:lineRule="auto"/>
              <w:ind w:left="962"/>
              <w:rPr>
                <w:rFonts w:ascii="Arial" w:hAnsi="Arial" w:cs="Arial"/>
                <w:sz w:val="20"/>
                <w:szCs w:val="20"/>
                <w:lang w:val="en-US"/>
              </w:rPr>
            </w:pPr>
            <w:r w:rsidRPr="00A46346">
              <w:rPr>
                <w:rFonts w:ascii="Arial" w:hAnsi="Arial" w:cs="Arial"/>
                <w:sz w:val="20"/>
                <w:szCs w:val="20"/>
                <w:lang w:val="en-US"/>
              </w:rPr>
              <w:t>2</w:t>
            </w:r>
            <w:r w:rsidR="00A9598E" w:rsidRPr="00A46346">
              <w:rPr>
                <w:rFonts w:ascii="Arial" w:hAnsi="Arial" w:cs="Arial"/>
                <w:sz w:val="20"/>
                <w:szCs w:val="20"/>
                <w:lang w:val="en-US"/>
              </w:rPr>
              <w:t>45</w:t>
            </w:r>
            <w:r w:rsidR="00C853A1" w:rsidRPr="00A46346">
              <w:rPr>
                <w:rFonts w:ascii="Arial" w:hAnsi="Arial" w:cs="Arial"/>
                <w:sz w:val="20"/>
                <w:szCs w:val="20"/>
                <w:lang w:val="en-US"/>
              </w:rPr>
              <w:t>0</w:t>
            </w:r>
            <w:r w:rsidRPr="00A46346">
              <w:rPr>
                <w:rFonts w:ascii="Arial" w:hAnsi="Arial" w:cs="Arial"/>
                <w:sz w:val="20"/>
                <w:szCs w:val="20"/>
                <w:lang w:val="en-US"/>
              </w:rPr>
              <w:t>0</w:t>
            </w:r>
            <w:r w:rsidR="00A46346" w:rsidRPr="00A46346">
              <w:rPr>
                <w:rFonts w:ascii="Arial" w:hAnsi="Arial" w:cs="Arial"/>
                <w:sz w:val="20"/>
                <w:szCs w:val="20"/>
                <w:lang w:val="en-US"/>
              </w:rPr>
              <w:t xml:space="preserve"> </w:t>
            </w:r>
            <w:r w:rsidR="00C94195" w:rsidRPr="00A46346">
              <w:rPr>
                <w:rFonts w:ascii="Arial" w:hAnsi="Arial" w:cs="Arial"/>
                <w:sz w:val="20"/>
                <w:szCs w:val="20"/>
                <w:lang w:val="en-US"/>
              </w:rPr>
              <w:fldChar w:fldCharType="begin"/>
            </w:r>
            <w:r w:rsidR="00C94195" w:rsidRPr="00A46346">
              <w:rPr>
                <w:rFonts w:ascii="Arial" w:hAnsi="Arial" w:cs="Arial"/>
                <w:sz w:val="20"/>
                <w:szCs w:val="20"/>
                <w:lang w:val="en-US"/>
              </w:rPr>
              <w:instrText xml:space="preserve"> ADDIN ZOTERO_ITEM CSL_CITATION {"citationID":"PB6SeQIz","properties":{"formattedCitation":"\\super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C94195" w:rsidRPr="00A46346">
              <w:rPr>
                <w:rFonts w:ascii="Arial" w:hAnsi="Arial" w:cs="Arial"/>
                <w:sz w:val="20"/>
                <w:szCs w:val="20"/>
                <w:lang w:val="en-US"/>
              </w:rPr>
              <w:fldChar w:fldCharType="separate"/>
            </w:r>
            <w:r w:rsidR="00C94195" w:rsidRPr="00A46346">
              <w:rPr>
                <w:rFonts w:ascii="Arial" w:hAnsi="Arial" w:cs="Arial"/>
                <w:kern w:val="0"/>
                <w:sz w:val="20"/>
                <w:szCs w:val="20"/>
                <w:vertAlign w:val="superscript"/>
              </w:rPr>
              <w:t>14</w:t>
            </w:r>
            <w:r w:rsidR="00C94195" w:rsidRPr="00A46346">
              <w:rPr>
                <w:rFonts w:ascii="Arial" w:hAnsi="Arial" w:cs="Arial"/>
                <w:sz w:val="20"/>
                <w:szCs w:val="20"/>
                <w:lang w:val="en-US"/>
              </w:rPr>
              <w:fldChar w:fldCharType="end"/>
            </w:r>
          </w:p>
        </w:tc>
        <w:tc>
          <w:tcPr>
            <w:tcW w:w="1417" w:type="dxa"/>
          </w:tcPr>
          <w:p w14:paraId="6A3C0D3A" w14:textId="39942F5E" w:rsidR="00495C9F" w:rsidRPr="0040470D" w:rsidRDefault="00346FE3" w:rsidP="00C752F5">
            <w:pPr>
              <w:spacing w:line="276" w:lineRule="auto"/>
              <w:ind w:left="316"/>
              <w:rPr>
                <w:rFonts w:ascii="Arial" w:hAnsi="Arial" w:cs="Arial"/>
                <w:sz w:val="20"/>
                <w:szCs w:val="20"/>
                <w:lang w:val="en-US"/>
              </w:rPr>
            </w:pPr>
            <w:r w:rsidRPr="0040470D">
              <w:rPr>
                <w:rFonts w:ascii="Arial" w:hAnsi="Arial" w:cs="Arial"/>
                <w:sz w:val="20"/>
                <w:szCs w:val="20"/>
                <w:lang w:val="en-US"/>
              </w:rPr>
              <w:t>0.2</w:t>
            </w:r>
          </w:p>
        </w:tc>
      </w:tr>
      <w:tr w:rsidR="00495C9F" w:rsidRPr="00865D96" w14:paraId="0086BD68" w14:textId="1CD46B40" w:rsidTr="006909EA">
        <w:tc>
          <w:tcPr>
            <w:tcW w:w="1129" w:type="dxa"/>
          </w:tcPr>
          <w:p w14:paraId="46B350E5" w14:textId="2A2D1B95"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Mg</w:t>
            </w:r>
          </w:p>
        </w:tc>
        <w:tc>
          <w:tcPr>
            <w:tcW w:w="1675" w:type="dxa"/>
          </w:tcPr>
          <w:p w14:paraId="7B4D3398" w14:textId="312ED39B" w:rsidR="00495C9F" w:rsidRPr="00865D96" w:rsidRDefault="00213D0C" w:rsidP="00C752F5">
            <w:pPr>
              <w:spacing w:line="276" w:lineRule="auto"/>
              <w:rPr>
                <w:rFonts w:ascii="Arial" w:hAnsi="Arial" w:cs="Arial"/>
                <w:sz w:val="20"/>
                <w:szCs w:val="20"/>
                <w:lang w:val="en-US"/>
              </w:rPr>
            </w:pPr>
            <w:r>
              <w:rPr>
                <w:rFonts w:ascii="Arial" w:hAnsi="Arial" w:cs="Arial"/>
                <w:sz w:val="20"/>
                <w:szCs w:val="20"/>
                <w:lang w:val="en-US"/>
              </w:rPr>
              <w:t>1250.4</w:t>
            </w:r>
            <w:r w:rsidR="00495C9F" w:rsidRPr="00865D96">
              <w:rPr>
                <w:rFonts w:ascii="Arial" w:hAnsi="Arial" w:cs="Arial"/>
                <w:sz w:val="20"/>
                <w:szCs w:val="20"/>
                <w:lang w:val="en-US"/>
              </w:rPr>
              <w:t xml:space="preserve"> ± 0.0</w:t>
            </w:r>
            <w:r w:rsidR="00164362">
              <w:rPr>
                <w:rFonts w:ascii="Arial" w:hAnsi="Arial" w:cs="Arial"/>
                <w:sz w:val="20"/>
                <w:szCs w:val="20"/>
                <w:lang w:val="en-US"/>
              </w:rPr>
              <w:t>101</w:t>
            </w:r>
          </w:p>
        </w:tc>
        <w:tc>
          <w:tcPr>
            <w:tcW w:w="1788" w:type="dxa"/>
          </w:tcPr>
          <w:p w14:paraId="5BC14B6C" w14:textId="292E6950"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1476.7 ± 0.102</w:t>
            </w:r>
          </w:p>
        </w:tc>
        <w:tc>
          <w:tcPr>
            <w:tcW w:w="3625" w:type="dxa"/>
          </w:tcPr>
          <w:p w14:paraId="498AA45D" w14:textId="30E8715F" w:rsidR="00495C9F" w:rsidRPr="00A46346" w:rsidRDefault="00240D75" w:rsidP="00C752F5">
            <w:pPr>
              <w:spacing w:line="276" w:lineRule="auto"/>
              <w:ind w:left="962"/>
              <w:rPr>
                <w:rFonts w:ascii="Arial" w:hAnsi="Arial" w:cs="Arial"/>
                <w:sz w:val="20"/>
                <w:szCs w:val="20"/>
                <w:lang w:val="en-US"/>
              </w:rPr>
            </w:pPr>
            <w:r w:rsidRPr="00A46346">
              <w:rPr>
                <w:rFonts w:ascii="Arial" w:hAnsi="Arial" w:cs="Arial"/>
                <w:sz w:val="20"/>
                <w:szCs w:val="20"/>
                <w:lang w:val="en-US"/>
              </w:rPr>
              <w:t>2</w:t>
            </w:r>
            <w:r w:rsidR="00FA7C53" w:rsidRPr="00A46346">
              <w:rPr>
                <w:rFonts w:ascii="Arial" w:hAnsi="Arial" w:cs="Arial"/>
                <w:sz w:val="20"/>
                <w:szCs w:val="20"/>
                <w:lang w:val="en-US"/>
              </w:rPr>
              <w:t>940</w:t>
            </w:r>
            <w:r w:rsidR="00A46346" w:rsidRPr="00A46346">
              <w:rPr>
                <w:rFonts w:ascii="Arial" w:hAnsi="Arial" w:cs="Arial"/>
                <w:sz w:val="20"/>
                <w:szCs w:val="20"/>
                <w:lang w:val="en-US"/>
              </w:rPr>
              <w:t xml:space="preserve"> </w:t>
            </w:r>
            <w:r w:rsidR="00A46346" w:rsidRPr="00A46346">
              <w:rPr>
                <w:rFonts w:ascii="Arial" w:hAnsi="Arial" w:cs="Arial"/>
                <w:kern w:val="0"/>
                <w:sz w:val="20"/>
                <w:szCs w:val="20"/>
                <w:vertAlign w:val="superscript"/>
              </w:rPr>
              <w:t>15</w:t>
            </w:r>
          </w:p>
        </w:tc>
        <w:tc>
          <w:tcPr>
            <w:tcW w:w="1417" w:type="dxa"/>
          </w:tcPr>
          <w:p w14:paraId="1C232F6C" w14:textId="7C695073" w:rsidR="00495C9F" w:rsidRPr="0040470D" w:rsidRDefault="00346FE3" w:rsidP="00C752F5">
            <w:pPr>
              <w:spacing w:line="276" w:lineRule="auto"/>
              <w:ind w:left="316"/>
              <w:rPr>
                <w:rFonts w:ascii="Arial" w:hAnsi="Arial" w:cs="Arial"/>
                <w:sz w:val="20"/>
                <w:szCs w:val="20"/>
                <w:lang w:val="en-US"/>
              </w:rPr>
            </w:pPr>
            <w:r w:rsidRPr="0040470D">
              <w:rPr>
                <w:rFonts w:ascii="Arial" w:hAnsi="Arial" w:cs="Arial"/>
                <w:sz w:val="20"/>
                <w:szCs w:val="20"/>
                <w:lang w:val="en-US"/>
              </w:rPr>
              <w:t>0.0008</w:t>
            </w:r>
          </w:p>
        </w:tc>
      </w:tr>
      <w:tr w:rsidR="00495C9F" w:rsidRPr="00865D96" w14:paraId="43ED38CB" w14:textId="0CDF0C6B" w:rsidTr="006909EA">
        <w:tc>
          <w:tcPr>
            <w:tcW w:w="1129" w:type="dxa"/>
          </w:tcPr>
          <w:p w14:paraId="4C1CEFEF" w14:textId="1756E93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Ca</w:t>
            </w:r>
          </w:p>
        </w:tc>
        <w:tc>
          <w:tcPr>
            <w:tcW w:w="1675" w:type="dxa"/>
          </w:tcPr>
          <w:p w14:paraId="6D5D7263" w14:textId="78248ED7" w:rsidR="00495C9F" w:rsidRPr="00865D96" w:rsidRDefault="00F6696D" w:rsidP="00C752F5">
            <w:pPr>
              <w:spacing w:line="276" w:lineRule="auto"/>
              <w:rPr>
                <w:rFonts w:ascii="Arial" w:hAnsi="Arial" w:cs="Arial"/>
                <w:sz w:val="20"/>
                <w:szCs w:val="20"/>
                <w:lang w:val="en-US"/>
              </w:rPr>
            </w:pPr>
            <w:r>
              <w:rPr>
                <w:rFonts w:ascii="Arial" w:hAnsi="Arial" w:cs="Arial"/>
                <w:sz w:val="20"/>
                <w:szCs w:val="20"/>
                <w:lang w:val="en-US"/>
              </w:rPr>
              <w:t>11.8</w:t>
            </w:r>
            <w:r w:rsidR="00FC5649">
              <w:rPr>
                <w:rFonts w:ascii="Arial" w:hAnsi="Arial" w:cs="Arial"/>
                <w:sz w:val="20"/>
                <w:szCs w:val="20"/>
                <w:lang w:val="en-US"/>
              </w:rPr>
              <w:t>0</w:t>
            </w:r>
            <w:r w:rsidR="00495C9F" w:rsidRPr="00865D96">
              <w:rPr>
                <w:rFonts w:ascii="Arial" w:hAnsi="Arial" w:cs="Arial"/>
                <w:sz w:val="20"/>
                <w:szCs w:val="20"/>
                <w:lang w:val="en-US"/>
              </w:rPr>
              <w:t xml:space="preserve"> ± 0.002</w:t>
            </w:r>
          </w:p>
        </w:tc>
        <w:tc>
          <w:tcPr>
            <w:tcW w:w="1788" w:type="dxa"/>
          </w:tcPr>
          <w:p w14:paraId="34FA21F9" w14:textId="3EF5B6E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14.2 ± 0.0052</w:t>
            </w:r>
          </w:p>
        </w:tc>
        <w:tc>
          <w:tcPr>
            <w:tcW w:w="3625" w:type="dxa"/>
          </w:tcPr>
          <w:p w14:paraId="6567B4FB" w14:textId="1F4FB4F1" w:rsidR="00495C9F" w:rsidRPr="00A46346" w:rsidRDefault="00EC68E1" w:rsidP="00C752F5">
            <w:pPr>
              <w:spacing w:line="276" w:lineRule="auto"/>
              <w:ind w:left="962"/>
              <w:rPr>
                <w:rFonts w:ascii="Arial" w:hAnsi="Arial" w:cs="Arial"/>
                <w:sz w:val="20"/>
                <w:szCs w:val="20"/>
                <w:lang w:val="en-US"/>
              </w:rPr>
            </w:pPr>
            <w:r w:rsidRPr="00A46346">
              <w:rPr>
                <w:rFonts w:ascii="Arial" w:hAnsi="Arial" w:cs="Arial"/>
                <w:sz w:val="20"/>
                <w:szCs w:val="20"/>
                <w:lang w:val="en-US"/>
              </w:rPr>
              <w:t>8400</w:t>
            </w:r>
            <w:r w:rsidR="00A46346" w:rsidRPr="00A46346">
              <w:rPr>
                <w:rFonts w:ascii="Arial" w:hAnsi="Arial" w:cs="Arial"/>
                <w:sz w:val="20"/>
                <w:szCs w:val="20"/>
                <w:lang w:val="en-US"/>
              </w:rPr>
              <w:t xml:space="preserve"> </w:t>
            </w:r>
            <w:r w:rsidR="00A46346" w:rsidRPr="00A46346">
              <w:rPr>
                <w:rFonts w:ascii="Arial" w:hAnsi="Arial" w:cs="Arial"/>
                <w:kern w:val="0"/>
                <w:sz w:val="20"/>
                <w:szCs w:val="20"/>
                <w:vertAlign w:val="superscript"/>
              </w:rPr>
              <w:t>15</w:t>
            </w:r>
          </w:p>
        </w:tc>
        <w:tc>
          <w:tcPr>
            <w:tcW w:w="1417" w:type="dxa"/>
          </w:tcPr>
          <w:p w14:paraId="63EC119A" w14:textId="5501166C" w:rsidR="00495C9F" w:rsidRPr="00865D96" w:rsidRDefault="0040470D" w:rsidP="00C752F5">
            <w:pPr>
              <w:spacing w:line="276" w:lineRule="auto"/>
              <w:ind w:left="316"/>
              <w:rPr>
                <w:rFonts w:ascii="Arial" w:hAnsi="Arial" w:cs="Arial"/>
                <w:sz w:val="20"/>
                <w:szCs w:val="20"/>
                <w:lang w:val="en-US"/>
              </w:rPr>
            </w:pPr>
            <w:r w:rsidRPr="0040470D">
              <w:rPr>
                <w:rFonts w:ascii="Arial" w:hAnsi="Arial" w:cs="Arial"/>
                <w:sz w:val="20"/>
                <w:szCs w:val="20"/>
                <w:lang w:val="en-US"/>
              </w:rPr>
              <w:t>0.0007</w:t>
            </w:r>
          </w:p>
        </w:tc>
      </w:tr>
      <w:tr w:rsidR="00495C9F" w:rsidRPr="00865D96" w14:paraId="17D0722E" w14:textId="726C2BA4" w:rsidTr="006909EA">
        <w:tc>
          <w:tcPr>
            <w:tcW w:w="1129" w:type="dxa"/>
          </w:tcPr>
          <w:p w14:paraId="7EA8963D" w14:textId="3F44F1C8"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Cr</w:t>
            </w:r>
          </w:p>
        </w:tc>
        <w:tc>
          <w:tcPr>
            <w:tcW w:w="1675" w:type="dxa"/>
          </w:tcPr>
          <w:p w14:paraId="4426B4D7" w14:textId="6424C32C"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1788" w:type="dxa"/>
          </w:tcPr>
          <w:p w14:paraId="1BF4714D" w14:textId="2BD95E44"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3625" w:type="dxa"/>
          </w:tcPr>
          <w:p w14:paraId="7799219A" w14:textId="11E9B7CD"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1.631</w:t>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{"citationID":"PB6SeQIz","properties":{"formattedCitation":"\\super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Pr="00865D96">
              <w:rPr>
                <w:rFonts w:ascii="Arial" w:hAnsi="Arial" w:cs="Arial"/>
                <w:sz w:val="20"/>
                <w:szCs w:val="20"/>
                <w:lang w:val="en-US"/>
              </w:rPr>
              <w:fldChar w:fldCharType="end"/>
            </w:r>
          </w:p>
        </w:tc>
        <w:tc>
          <w:tcPr>
            <w:tcW w:w="1417" w:type="dxa"/>
          </w:tcPr>
          <w:p w14:paraId="3AD32598" w14:textId="0E0317F2"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0.005</w:t>
            </w:r>
          </w:p>
        </w:tc>
      </w:tr>
      <w:tr w:rsidR="00495C9F" w:rsidRPr="00865D96" w14:paraId="303FCEA7" w14:textId="51560B2A" w:rsidTr="006909EA">
        <w:tc>
          <w:tcPr>
            <w:tcW w:w="1129" w:type="dxa"/>
          </w:tcPr>
          <w:p w14:paraId="126D1B19" w14:textId="453D7539"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Fe</w:t>
            </w:r>
          </w:p>
        </w:tc>
        <w:tc>
          <w:tcPr>
            <w:tcW w:w="1675" w:type="dxa"/>
          </w:tcPr>
          <w:p w14:paraId="1AA8CE65" w14:textId="5C8C2B3C"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w:t>
            </w:r>
            <w:r w:rsidR="00721C21">
              <w:rPr>
                <w:rFonts w:ascii="Arial" w:hAnsi="Arial" w:cs="Arial"/>
                <w:sz w:val="20"/>
                <w:szCs w:val="20"/>
                <w:lang w:val="en-US"/>
              </w:rPr>
              <w:t>4</w:t>
            </w:r>
            <w:r w:rsidRPr="00865D96">
              <w:rPr>
                <w:rFonts w:ascii="Arial" w:hAnsi="Arial" w:cs="Arial"/>
                <w:sz w:val="20"/>
                <w:szCs w:val="20"/>
                <w:lang w:val="en-US"/>
              </w:rPr>
              <w:t>.</w:t>
            </w:r>
            <w:r w:rsidR="00721C21">
              <w:rPr>
                <w:rFonts w:ascii="Arial" w:hAnsi="Arial" w:cs="Arial"/>
                <w:sz w:val="20"/>
                <w:szCs w:val="20"/>
                <w:lang w:val="en-US"/>
              </w:rPr>
              <w:t>9</w:t>
            </w:r>
            <w:r w:rsidRPr="00865D96">
              <w:rPr>
                <w:rFonts w:ascii="Arial" w:hAnsi="Arial" w:cs="Arial"/>
                <w:sz w:val="20"/>
                <w:szCs w:val="20"/>
                <w:lang w:val="en-US"/>
              </w:rPr>
              <w:t xml:space="preserve"> ± 0.006</w:t>
            </w:r>
          </w:p>
        </w:tc>
        <w:tc>
          <w:tcPr>
            <w:tcW w:w="1788" w:type="dxa"/>
          </w:tcPr>
          <w:p w14:paraId="5902A9D8" w14:textId="5F4270A3"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16.9 ± 0.002</w:t>
            </w:r>
          </w:p>
        </w:tc>
        <w:tc>
          <w:tcPr>
            <w:tcW w:w="3625" w:type="dxa"/>
          </w:tcPr>
          <w:p w14:paraId="66086D30" w14:textId="08F5D329"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392 </w:t>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{"citationID":"ne3D5wZy","properties":{"formattedCitation":"\\super 13\\nosupersub{}","plainCitation":"13","dontUpdate":true,"noteIndex":0},"citationItems":[{"id":3136,"uris":["http://zotero.org/users/local/JzcqJHT8/items/ZDU557CW"],"itemData":{"id":3136,"type":"article-journal","abstract":"This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{"citationID":"tQkulfDQ","properties":{"formattedCitation":"\\super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Pr="00865D96">
              <w:rPr>
                <w:rFonts w:ascii="Arial" w:hAnsi="Arial" w:cs="Arial"/>
                <w:sz w:val="20"/>
                <w:szCs w:val="20"/>
                <w:lang w:val="en-US"/>
              </w:rPr>
              <w:fldChar w:fldCharType="end"/>
            </w:r>
            <w:r w:rsidRPr="00865D96">
              <w:rPr>
                <w:rFonts w:ascii="Arial" w:hAnsi="Arial" w:cs="Arial"/>
                <w:sz w:val="20"/>
                <w:szCs w:val="20"/>
                <w:lang w:val="en-US"/>
              </w:rPr>
              <w:fldChar w:fldCharType="end"/>
            </w:r>
          </w:p>
        </w:tc>
        <w:tc>
          <w:tcPr>
            <w:tcW w:w="1417" w:type="dxa"/>
          </w:tcPr>
          <w:p w14:paraId="6CF72704" w14:textId="7AC8CB81"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w:t>
            </w:r>
          </w:p>
        </w:tc>
      </w:tr>
      <w:tr w:rsidR="00495C9F" w:rsidRPr="00865D96" w14:paraId="32526AFA" w14:textId="60A0BFB5" w:rsidTr="006909EA">
        <w:tc>
          <w:tcPr>
            <w:tcW w:w="1129" w:type="dxa"/>
          </w:tcPr>
          <w:p w14:paraId="1AE7988A" w14:textId="10C611ED"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Ni</w:t>
            </w:r>
          </w:p>
        </w:tc>
        <w:tc>
          <w:tcPr>
            <w:tcW w:w="1675" w:type="dxa"/>
          </w:tcPr>
          <w:p w14:paraId="342E165E" w14:textId="2AD48B8D"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 xml:space="preserve">0.000 </w:t>
            </w:r>
          </w:p>
        </w:tc>
        <w:tc>
          <w:tcPr>
            <w:tcW w:w="1788" w:type="dxa"/>
          </w:tcPr>
          <w:p w14:paraId="671CD2B6" w14:textId="36FA5772"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3625" w:type="dxa"/>
          </w:tcPr>
          <w:p w14:paraId="1542D082" w14:textId="4488B48C"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2.450 </w:t>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Pr="00865D96">
              <w:rPr>
                <w:rFonts w:ascii="Arial" w:hAnsi="Arial" w:cs="Arial"/>
                <w:sz w:val="20"/>
                <w:szCs w:val="20"/>
                <w:lang w:val="en-US"/>
              </w:rPr>
              <w:fldChar w:fldCharType="end"/>
            </w:r>
          </w:p>
        </w:tc>
        <w:tc>
          <w:tcPr>
            <w:tcW w:w="1417" w:type="dxa"/>
          </w:tcPr>
          <w:p w14:paraId="11E77B51" w14:textId="59E56B58"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0.0012</w:t>
            </w:r>
          </w:p>
        </w:tc>
      </w:tr>
      <w:tr w:rsidR="00495C9F" w:rsidRPr="00865D96" w14:paraId="3005D9CB" w14:textId="78728FDD" w:rsidTr="006909EA">
        <w:tc>
          <w:tcPr>
            <w:tcW w:w="1129" w:type="dxa"/>
          </w:tcPr>
          <w:p w14:paraId="1EDEB6F0" w14:textId="00CA15D8"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Cu</w:t>
            </w:r>
          </w:p>
        </w:tc>
        <w:tc>
          <w:tcPr>
            <w:tcW w:w="1675" w:type="dxa"/>
          </w:tcPr>
          <w:p w14:paraId="7C212AEE" w14:textId="16D14851"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0.9 ± 0.002</w:t>
            </w:r>
          </w:p>
        </w:tc>
        <w:tc>
          <w:tcPr>
            <w:tcW w:w="1788" w:type="dxa"/>
          </w:tcPr>
          <w:p w14:paraId="1F78F249" w14:textId="6C2815C7"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1.1 ± 0.000</w:t>
            </w:r>
          </w:p>
        </w:tc>
        <w:tc>
          <w:tcPr>
            <w:tcW w:w="3625" w:type="dxa"/>
          </w:tcPr>
          <w:p w14:paraId="732D3FFD" w14:textId="62492D82"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245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Pr>
          <w:p w14:paraId="5E060F63" w14:textId="26F74CB5"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w:t>
            </w:r>
          </w:p>
        </w:tc>
      </w:tr>
      <w:tr w:rsidR="00495C9F" w:rsidRPr="00865D96" w14:paraId="054E9690" w14:textId="29893DC8" w:rsidTr="006909EA">
        <w:tc>
          <w:tcPr>
            <w:tcW w:w="1129" w:type="dxa"/>
          </w:tcPr>
          <w:p w14:paraId="6B8117E3" w14:textId="0B1B0197"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Zn</w:t>
            </w:r>
          </w:p>
        </w:tc>
        <w:tc>
          <w:tcPr>
            <w:tcW w:w="1675" w:type="dxa"/>
          </w:tcPr>
          <w:p w14:paraId="4B43644F" w14:textId="4966DF1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14.2 ± 0.004</w:t>
            </w:r>
          </w:p>
        </w:tc>
        <w:tc>
          <w:tcPr>
            <w:tcW w:w="1788" w:type="dxa"/>
          </w:tcPr>
          <w:p w14:paraId="736C02E3" w14:textId="58D8524D"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16.1 ± 0.005</w:t>
            </w:r>
          </w:p>
        </w:tc>
        <w:tc>
          <w:tcPr>
            <w:tcW w:w="3625" w:type="dxa"/>
          </w:tcPr>
          <w:p w14:paraId="613BEFF4" w14:textId="27311006"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490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Pr>
          <w:p w14:paraId="1113DBF4" w14:textId="058D88F5"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w:t>
            </w:r>
          </w:p>
        </w:tc>
      </w:tr>
      <w:tr w:rsidR="00495C9F" w:rsidRPr="00865D96" w14:paraId="3FB0A4EC" w14:textId="41E9DF41" w:rsidTr="006909EA">
        <w:tc>
          <w:tcPr>
            <w:tcW w:w="1129" w:type="dxa"/>
          </w:tcPr>
          <w:p w14:paraId="7DF10219" w14:textId="678C21B7"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Cd</w:t>
            </w:r>
          </w:p>
        </w:tc>
        <w:tc>
          <w:tcPr>
            <w:tcW w:w="1675" w:type="dxa"/>
          </w:tcPr>
          <w:p w14:paraId="05C5073F" w14:textId="7E49B933"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0.01 ± 0.001</w:t>
            </w:r>
          </w:p>
        </w:tc>
        <w:tc>
          <w:tcPr>
            <w:tcW w:w="1788" w:type="dxa"/>
          </w:tcPr>
          <w:p w14:paraId="72B3C0D1" w14:textId="4F08450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0.02 ± 0.000</w:t>
            </w:r>
          </w:p>
        </w:tc>
        <w:tc>
          <w:tcPr>
            <w:tcW w:w="3625" w:type="dxa"/>
          </w:tcPr>
          <w:p w14:paraId="3E529B30" w14:textId="6A36E746"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0.490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Pr>
          <w:p w14:paraId="4426A29F" w14:textId="48AA1AA0"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0.0004</w:t>
            </w:r>
          </w:p>
        </w:tc>
      </w:tr>
      <w:tr w:rsidR="00495C9F" w:rsidRPr="00865D96" w14:paraId="67347224" w14:textId="193977B8" w:rsidTr="006909EA">
        <w:tc>
          <w:tcPr>
            <w:tcW w:w="1129" w:type="dxa"/>
            <w:tcBorders>
              <w:bottom w:val="single" w:sz="12" w:space="0" w:color="auto"/>
            </w:tcBorders>
          </w:tcPr>
          <w:p w14:paraId="32F2CEEE" w14:textId="2593A381"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Pb</w:t>
            </w:r>
          </w:p>
        </w:tc>
        <w:tc>
          <w:tcPr>
            <w:tcW w:w="1675" w:type="dxa"/>
            <w:tcBorders>
              <w:bottom w:val="single" w:sz="12" w:space="0" w:color="auto"/>
            </w:tcBorders>
          </w:tcPr>
          <w:p w14:paraId="5962335C" w14:textId="18F2BB45"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1788" w:type="dxa"/>
            <w:tcBorders>
              <w:bottom w:val="single" w:sz="12" w:space="0" w:color="auto"/>
            </w:tcBorders>
          </w:tcPr>
          <w:p w14:paraId="27593966" w14:textId="33070083"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3625" w:type="dxa"/>
            <w:tcBorders>
              <w:bottom w:val="single" w:sz="12" w:space="0" w:color="auto"/>
            </w:tcBorders>
          </w:tcPr>
          <w:p w14:paraId="79385F63" w14:textId="28E45730"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1.750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Borders>
              <w:bottom w:val="single" w:sz="12" w:space="0" w:color="auto"/>
            </w:tcBorders>
          </w:tcPr>
          <w:p w14:paraId="4CB28C09" w14:textId="46D1A629"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0.005</w:t>
            </w:r>
          </w:p>
        </w:tc>
      </w:tr>
    </w:tbl>
    <w:bookmarkEnd w:id="4"/>
    <w:bookmarkEnd w:id="5"/>
    <w:p w14:paraId="2115480F" w14:textId="237163FE" w:rsidR="00A73BD1" w:rsidRPr="006D32B4" w:rsidRDefault="00A73BD1" w:rsidP="00A73BD1">
      <w:pPr>
        <w:pStyle w:val="Heading1"/>
        <w:rPr>
          <w:lang w:val="en-US"/>
        </w:rPr>
      </w:pPr>
      <w:r w:rsidRPr="006D32B4">
        <w:rPr>
          <w:lang w:val="en-US"/>
        </w:rPr>
        <w:t>Results and Discussion</w:t>
      </w:r>
    </w:p>
    <w:p w14:paraId="7CE5AC6B" w14:textId="50CD0A2C" w:rsidR="001E56E7" w:rsidRDefault="001E56E7" w:rsidP="001E56E7">
      <w:pPr>
        <w:pStyle w:val="Heading3"/>
        <w:rPr>
          <w:lang w:val="en-US"/>
        </w:rPr>
      </w:pPr>
      <w:r>
        <w:rPr>
          <w:lang w:val="en-US"/>
        </w:rPr>
        <w:t>Levels of mineral in millet seeds</w:t>
      </w:r>
    </w:p>
    <w:p w14:paraId="3FDE30F1" w14:textId="4C52B5A9" w:rsidR="001F1A49" w:rsidRPr="00865D96" w:rsidRDefault="002D220B" w:rsidP="00C752F5">
      <w:pPr>
        <w:spacing w:line="276" w:lineRule="auto"/>
        <w:rPr>
          <w:rFonts w:ascii="Arial" w:hAnsi="Arial" w:cs="Arial"/>
          <w:sz w:val="20"/>
          <w:szCs w:val="20"/>
          <w:lang w:val="en-US"/>
        </w:rPr>
      </w:pPr>
      <w:commentRangeStart w:id="6"/>
      <w:r w:rsidRPr="00865D96">
        <w:rPr>
          <w:rFonts w:ascii="Arial" w:hAnsi="Arial" w:cs="Arial"/>
          <w:sz w:val="20"/>
          <w:szCs w:val="20"/>
          <w:lang w:val="en-US"/>
        </w:rPr>
        <w:t xml:space="preserve">Both samples contain important minerals at varying levels (Table 2). </w:t>
      </w:r>
      <w:r w:rsidR="00DB4B18" w:rsidRPr="00865D96">
        <w:rPr>
          <w:rFonts w:ascii="Arial" w:hAnsi="Arial" w:cs="Arial"/>
          <w:sz w:val="20"/>
          <w:szCs w:val="20"/>
          <w:lang w:val="en-US"/>
        </w:rPr>
        <w:t xml:space="preserve">Hulled millet contains less sodium than </w:t>
      </w:r>
      <w:proofErr w:type="spellStart"/>
      <w:r w:rsidR="00DB4B18" w:rsidRPr="00865D96">
        <w:rPr>
          <w:rFonts w:ascii="Arial" w:hAnsi="Arial" w:cs="Arial"/>
          <w:sz w:val="20"/>
          <w:szCs w:val="20"/>
          <w:lang w:val="en-US"/>
        </w:rPr>
        <w:t>unhulled</w:t>
      </w:r>
      <w:proofErr w:type="spellEnd"/>
      <w:r w:rsidR="00DB4B18" w:rsidRPr="00865D96">
        <w:rPr>
          <w:rFonts w:ascii="Arial" w:hAnsi="Arial" w:cs="Arial"/>
          <w:sz w:val="20"/>
          <w:szCs w:val="20"/>
          <w:lang w:val="en-US"/>
        </w:rPr>
        <w:t xml:space="preserve"> millet with contents of 4</w:t>
      </w:r>
      <w:r w:rsidR="00536151">
        <w:rPr>
          <w:rFonts w:ascii="Arial" w:hAnsi="Arial" w:cs="Arial"/>
          <w:sz w:val="20"/>
          <w:szCs w:val="20"/>
          <w:lang w:val="en-US"/>
        </w:rPr>
        <w:t>5</w:t>
      </w:r>
      <w:r w:rsidR="00DB4B18" w:rsidRPr="00865D96">
        <w:rPr>
          <w:rFonts w:ascii="Arial" w:hAnsi="Arial" w:cs="Arial"/>
          <w:sz w:val="20"/>
          <w:szCs w:val="20"/>
          <w:lang w:val="en-US"/>
        </w:rPr>
        <w:t>.</w:t>
      </w:r>
      <w:r w:rsidR="00536151">
        <w:rPr>
          <w:rFonts w:ascii="Arial" w:hAnsi="Arial" w:cs="Arial"/>
          <w:sz w:val="20"/>
          <w:szCs w:val="20"/>
          <w:lang w:val="en-US"/>
        </w:rPr>
        <w:t>1</w:t>
      </w:r>
      <w:r w:rsidR="00DB4B18" w:rsidRPr="00865D96">
        <w:rPr>
          <w:rFonts w:ascii="Arial" w:hAnsi="Arial" w:cs="Arial"/>
          <w:sz w:val="20"/>
          <w:szCs w:val="20"/>
          <w:lang w:val="en-US"/>
        </w:rPr>
        <w:t xml:space="preserve"> mg/Kg and 64.5 mg/Kg (Table 2). This content of hulled millet is in the range [39.60 mg/Kg-44.8 mg/Kg] reported for two millet varieties grown in northern Cameroon </w:t>
      </w:r>
      <w:r w:rsidR="007E0277" w:rsidRPr="00865D96">
        <w:rPr>
          <w:rFonts w:ascii="Arial" w:hAnsi="Arial" w:cs="Arial"/>
          <w:sz w:val="20"/>
          <w:szCs w:val="20"/>
          <w:lang w:val="en-US"/>
        </w:rPr>
        <w:fldChar w:fldCharType="begin"/>
      </w:r>
      <w:r w:rsidR="007E0277" w:rsidRPr="00865D96">
        <w:rPr>
          <w:rFonts w:ascii="Arial" w:hAnsi="Arial" w:cs="Arial"/>
          <w:sz w:val="20"/>
          <w:szCs w:val="20"/>
          <w:lang w:val="en-US"/>
        </w:rPr>
        <w:instrText xml:space="preserve"> ADDIN ZOTERO_ITEM CSL_CITATION {"citationID":"0OvzXptp","properties":{"formattedCitation":"\\super 15\\nosupersub{}","plainCitation":"15","noteIndex":0},"citationItems":[{"id":3140,"uris":["http://zotero.org/users/local/JzcqJHT8/items/WYVGJN52"],"itemData":{"id":3140,"type":"article-journal","abstract":"Sorghum and pearl millet are grain crops that can grow in semi-arid climates, with nutritional and bioactive properties superior to those of major cereals such as rice, wheat, and maize. However, these properties vary a lot, depending on the genetic factors, growing conditions, and place of cultivation. Four sorghum and two pearl millet grains cultivars grown in the Far-North region of Cameroon were screened for their chemical composition and antioxidant profile. The proximate and mineral analyses were performed using AOAC standard methods. The antioxidant profile was assayed spectrophotometrically and details on the phenolic compounds were investigated using HPLC. The pearl millet cultivars, especially mouri, showed higher contents of proteins, lipids, ash, calcium, copper, iron, and zinc. The red sorghum specifically exhibited the greatest amounts of total polyphenols (82.22 mg GAE/g DE), total flavonoids (23.82 mg CE/g DE), and total 3-deoxyanthocyanidin (9.06 mg/g DE). The most abundant phenolic compound was gallic acid, while the most frequent were chlorogenic and ferulic acids. The maximum antioxidant activity against DPPH was observed in yellow-pale sorghum (87.71%), followed by red sorghum (81.15%). Among the studied varieties of cereals, mouri pearl millet and red sorghum were the best sources of nutrients and bioactive compounds, respectively. Their consumption should be encouraged to tackle nutrient deficiencies and non-communicable diseases within local populations.","container-title":"Foods","DOI":"10.3390/foods11142026","ISSN":"2304-8158","issue":"14","language":"en","license":"http://creativecommons.org/licenses/by/3.0/","note":"number: 14\npublisher: Multidisciplinary Digital Publishing Institute","page":"2026","source":"www.mdpi.com","title":"Chemical Composition and Antioxidant Profile of Sorghum (Sorghumbicolor (L.) Moench) and Pearl Millet (Pennisetumglaucum (L.) R.Br.) Grains Cultivated in the Far-North Region of Cameroon","volume":"11","author":[{"family":"Mawouma","given":"Saliou"},{"family":"Condurache","given":"Nina Nicoleta"},{"family":"Turturică","given":"Mihaela"},{"family":"Constantin","given":"Oana Emilia"},{"family":"Croitoru","given":"Constantin"},{"family":"Rapeanu","given":"Gabriela"}],"issued":{"date-parts":[["2022",1]]}}}],"schema":"https://github.com/citation-style-language/schema/raw/master/csl-citation.json"} </w:instrText>
      </w:r>
      <w:r w:rsidR="007E0277" w:rsidRPr="00865D96">
        <w:rPr>
          <w:rFonts w:ascii="Arial" w:hAnsi="Arial" w:cs="Arial"/>
          <w:sz w:val="20"/>
          <w:szCs w:val="20"/>
          <w:lang w:val="en-US"/>
        </w:rPr>
        <w:fldChar w:fldCharType="separate"/>
      </w:r>
      <w:r w:rsidR="007E0277" w:rsidRPr="00865D96">
        <w:rPr>
          <w:rFonts w:ascii="Arial" w:hAnsi="Arial" w:cs="Arial"/>
          <w:kern w:val="0"/>
          <w:sz w:val="20"/>
          <w:szCs w:val="20"/>
          <w:vertAlign w:val="superscript"/>
        </w:rPr>
        <w:t>1</w:t>
      </w:r>
      <w:r w:rsidR="003335A2">
        <w:rPr>
          <w:rFonts w:ascii="Arial" w:hAnsi="Arial" w:cs="Arial"/>
          <w:kern w:val="0"/>
          <w:sz w:val="20"/>
          <w:szCs w:val="20"/>
          <w:vertAlign w:val="superscript"/>
        </w:rPr>
        <w:t>8</w:t>
      </w:r>
      <w:r w:rsidR="007E0277" w:rsidRPr="00865D96">
        <w:rPr>
          <w:rFonts w:ascii="Arial" w:hAnsi="Arial" w:cs="Arial"/>
          <w:sz w:val="20"/>
          <w:szCs w:val="20"/>
          <w:lang w:val="en-US"/>
        </w:rPr>
        <w:fldChar w:fldCharType="end"/>
      </w:r>
      <w:r w:rsidR="00047E68" w:rsidRPr="00865D96">
        <w:rPr>
          <w:rFonts w:ascii="Arial" w:hAnsi="Arial" w:cs="Arial"/>
          <w:sz w:val="20"/>
          <w:szCs w:val="20"/>
          <w:lang w:val="en-US"/>
        </w:rPr>
        <w:t xml:space="preserve">. </w:t>
      </w:r>
      <w:r w:rsidR="00393F5E" w:rsidRPr="00865D96">
        <w:rPr>
          <w:rFonts w:ascii="Arial" w:hAnsi="Arial" w:cs="Arial"/>
          <w:sz w:val="20"/>
          <w:szCs w:val="20"/>
          <w:lang w:val="en-US"/>
        </w:rPr>
        <w:t xml:space="preserve">The plant based </w:t>
      </w:r>
      <w:r w:rsidR="0004477E" w:rsidRPr="00865D96">
        <w:rPr>
          <w:rFonts w:ascii="Arial" w:hAnsi="Arial" w:cs="Arial"/>
          <w:sz w:val="20"/>
          <w:szCs w:val="20"/>
          <w:lang w:val="en-US"/>
        </w:rPr>
        <w:t>food</w:t>
      </w:r>
      <w:r w:rsidR="00393F5E" w:rsidRPr="00865D96">
        <w:rPr>
          <w:rFonts w:ascii="Arial" w:hAnsi="Arial" w:cs="Arial"/>
          <w:sz w:val="20"/>
          <w:szCs w:val="20"/>
          <w:lang w:val="en-US"/>
        </w:rPr>
        <w:t xml:space="preserve"> are </w:t>
      </w:r>
      <w:r w:rsidR="00654795" w:rsidRPr="00865D96">
        <w:rPr>
          <w:rFonts w:ascii="Arial" w:hAnsi="Arial" w:cs="Arial"/>
          <w:sz w:val="20"/>
          <w:szCs w:val="20"/>
          <w:lang w:val="en-US"/>
        </w:rPr>
        <w:t xml:space="preserve">generally </w:t>
      </w:r>
      <w:r w:rsidR="00393F5E" w:rsidRPr="00865D96">
        <w:rPr>
          <w:rFonts w:ascii="Arial" w:hAnsi="Arial" w:cs="Arial"/>
          <w:sz w:val="20"/>
          <w:szCs w:val="20"/>
          <w:lang w:val="en-US"/>
        </w:rPr>
        <w:t xml:space="preserve">low in Na element as </w:t>
      </w:r>
      <w:r w:rsidR="00654795" w:rsidRPr="00865D96">
        <w:rPr>
          <w:rFonts w:ascii="Arial" w:hAnsi="Arial" w:cs="Arial"/>
          <w:sz w:val="20"/>
          <w:szCs w:val="20"/>
          <w:lang w:val="en-US"/>
        </w:rPr>
        <w:t>reported by</w:t>
      </w:r>
      <w:r w:rsidR="00BC3DD6" w:rsidRPr="00865D96">
        <w:rPr>
          <w:rFonts w:ascii="Arial" w:hAnsi="Arial" w:cs="Arial"/>
          <w:sz w:val="20"/>
          <w:szCs w:val="20"/>
          <w:lang w:val="en-US"/>
        </w:rPr>
        <w:t xml:space="preserve"> </w:t>
      </w:r>
      <w:proofErr w:type="spellStart"/>
      <w:r w:rsidR="00BC3DD6" w:rsidRPr="00865D96">
        <w:rPr>
          <w:rFonts w:ascii="Arial" w:hAnsi="Arial" w:cs="Arial"/>
          <w:sz w:val="20"/>
          <w:szCs w:val="20"/>
          <w:lang w:val="en-US"/>
        </w:rPr>
        <w:t>Olaofe</w:t>
      </w:r>
      <w:proofErr w:type="spellEnd"/>
      <w:r w:rsidR="00BC3DD6" w:rsidRPr="00865D96">
        <w:rPr>
          <w:rFonts w:ascii="Arial" w:hAnsi="Arial" w:cs="Arial"/>
          <w:sz w:val="20"/>
          <w:szCs w:val="20"/>
          <w:lang w:val="en-US"/>
        </w:rPr>
        <w:t xml:space="preserve"> et </w:t>
      </w:r>
      <w:r w:rsidR="00BC3DD6" w:rsidRPr="00865D96">
        <w:rPr>
          <w:rFonts w:ascii="Arial" w:hAnsi="Arial" w:cs="Arial"/>
          <w:i/>
          <w:iCs/>
          <w:sz w:val="20"/>
          <w:szCs w:val="20"/>
          <w:lang w:val="en-US"/>
        </w:rPr>
        <w:t>al</w:t>
      </w:r>
      <w:r w:rsidR="00BC3DD6" w:rsidRPr="00865D96">
        <w:rPr>
          <w:rFonts w:ascii="Arial" w:hAnsi="Arial" w:cs="Arial"/>
          <w:sz w:val="20"/>
          <w:szCs w:val="20"/>
          <w:lang w:val="en-US"/>
        </w:rPr>
        <w:t>.</w:t>
      </w:r>
      <w:r w:rsidR="00D46DC7" w:rsidRPr="00865D96">
        <w:rPr>
          <w:rFonts w:ascii="Arial" w:hAnsi="Arial" w:cs="Arial"/>
          <w:sz w:val="20"/>
          <w:szCs w:val="20"/>
          <w:lang w:val="en-US"/>
        </w:rPr>
        <w:t xml:space="preserve"> </w:t>
      </w:r>
      <w:r w:rsidR="00550A53" w:rsidRPr="00865D96">
        <w:rPr>
          <w:rFonts w:ascii="Arial" w:hAnsi="Arial" w:cs="Arial"/>
          <w:sz w:val="20"/>
          <w:szCs w:val="20"/>
          <w:lang w:val="en-US"/>
        </w:rPr>
        <w:fldChar w:fldCharType="begin"/>
      </w:r>
      <w:r w:rsidR="00550A53" w:rsidRPr="00865D96">
        <w:rPr>
          <w:rFonts w:ascii="Arial" w:hAnsi="Arial" w:cs="Arial"/>
          <w:sz w:val="20"/>
          <w:szCs w:val="20"/>
          <w:lang w:val="en-US"/>
        </w:rPr>
        <w:instrText xml:space="preserve"> ADDIN ZOTERO_ITEM CSL_CITATION {"citationID":"TbvjJBMK","properties":{"formattedCitation":"\\super 16\\nosupersub{}","plainCitation":"16","noteIndex":0},"citationItems":[{"id":3142,"uris":["http://zotero.org/users/local/JzcqJHT8/items/92MEHPXZ"],"itemData":{"id":3142,"type":"article-journal","abstract":"Mineral contents of agricultural products (maize, sorghum, cowpea, soybean, cassava, sweet potato, water yam and white yam) grown in Ilorin, Kwara State, Nigeria, were determined by the use of atomic absorption spectrophotometric and colorimetric methods. The grains (maize, sorghum, cowpea and soybean) had low moisture levels (7·8–15·3%) while the tubers (cassava, sweet potato, water yam and white yam) had high moisture levels (56·8–81·2%). The ash content of the samples varied between 0·6–6·2%. Magnesium and potassium contents varied between 377–4510 mg/100 g food sample. All other minerals (iron, calcium, zinc, manganese) were present in low amounts compared with potassium and magnesium. Mercury and lead contents were found to be below 0·1 mg/100 g food sample. Cowpea was found to have the highest level of mineral nutrients of the grain samples, while sweet potato was found to have the highest level of mineral nutrients of the tuber samples.","container-title":"Food Chemistry","DOI":"10.1016/0308-8146(88)90026-X","ISSN":"0308-8146","issue":"1","journalAbbreviation":"Food Chemistry","page":"73-77","source":"ScienceDirect","title":"Mineral contents of agricultural products","volume":"30","author":[{"family":"Olaofe","given":"O."},{"family":"Sanni","given":"C. O."}],"issued":{"date-parts":[["1988",1,1]]}}}],"schema":"https://github.com/citation-style-language/schema/raw/master/csl-citation.json"} </w:instrText>
      </w:r>
      <w:r w:rsidR="00550A53" w:rsidRPr="00865D96">
        <w:rPr>
          <w:rFonts w:ascii="Arial" w:hAnsi="Arial" w:cs="Arial"/>
          <w:sz w:val="20"/>
          <w:szCs w:val="20"/>
          <w:lang w:val="en-US"/>
        </w:rPr>
        <w:fldChar w:fldCharType="separate"/>
      </w:r>
      <w:r w:rsidR="00550A53" w:rsidRPr="00865D96">
        <w:rPr>
          <w:rFonts w:ascii="Arial" w:hAnsi="Arial" w:cs="Arial"/>
          <w:kern w:val="0"/>
          <w:sz w:val="20"/>
          <w:szCs w:val="20"/>
          <w:vertAlign w:val="superscript"/>
        </w:rPr>
        <w:t>1</w:t>
      </w:r>
      <w:r w:rsidR="003335A2">
        <w:rPr>
          <w:rFonts w:ascii="Arial" w:hAnsi="Arial" w:cs="Arial"/>
          <w:kern w:val="0"/>
          <w:sz w:val="20"/>
          <w:szCs w:val="20"/>
          <w:vertAlign w:val="superscript"/>
        </w:rPr>
        <w:t>9</w:t>
      </w:r>
      <w:r w:rsidR="00550A53" w:rsidRPr="00865D96">
        <w:rPr>
          <w:rFonts w:ascii="Arial" w:hAnsi="Arial" w:cs="Arial"/>
          <w:sz w:val="20"/>
          <w:szCs w:val="20"/>
          <w:lang w:val="en-US"/>
        </w:rPr>
        <w:fldChar w:fldCharType="end"/>
      </w:r>
      <w:r w:rsidR="00BC3DD6" w:rsidRPr="00865D96">
        <w:rPr>
          <w:rFonts w:ascii="Arial" w:hAnsi="Arial" w:cs="Arial"/>
          <w:sz w:val="20"/>
          <w:szCs w:val="20"/>
          <w:lang w:val="en-US"/>
        </w:rPr>
        <w:t xml:space="preserve">. </w:t>
      </w:r>
      <w:r w:rsidR="00047E68" w:rsidRPr="00865D96">
        <w:rPr>
          <w:rFonts w:ascii="Arial" w:hAnsi="Arial" w:cs="Arial"/>
          <w:sz w:val="20"/>
          <w:szCs w:val="20"/>
          <w:lang w:val="en-US"/>
        </w:rPr>
        <w:t xml:space="preserve">The potassium concentration is the highest with </w:t>
      </w:r>
      <w:r w:rsidR="004032F2" w:rsidRPr="00865D96">
        <w:rPr>
          <w:rFonts w:ascii="Arial" w:hAnsi="Arial" w:cs="Arial"/>
          <w:sz w:val="20"/>
          <w:szCs w:val="20"/>
          <w:lang w:val="en-US"/>
        </w:rPr>
        <w:t xml:space="preserve">values of </w:t>
      </w:r>
      <w:r w:rsidR="00920782">
        <w:rPr>
          <w:rFonts w:ascii="Arial" w:hAnsi="Arial" w:cs="Arial"/>
          <w:sz w:val="20"/>
          <w:szCs w:val="20"/>
          <w:lang w:val="en-US"/>
        </w:rPr>
        <w:t>3500.9</w:t>
      </w:r>
      <w:r w:rsidR="004032F2" w:rsidRPr="00865D96">
        <w:rPr>
          <w:rFonts w:ascii="Arial" w:hAnsi="Arial" w:cs="Arial"/>
          <w:sz w:val="20"/>
          <w:szCs w:val="20"/>
          <w:lang w:val="en-US"/>
        </w:rPr>
        <w:t xml:space="preserve"> mg/Kg and </w:t>
      </w:r>
      <w:r w:rsidRPr="00865D96">
        <w:rPr>
          <w:rFonts w:ascii="Arial" w:hAnsi="Arial" w:cs="Arial"/>
          <w:sz w:val="20"/>
          <w:szCs w:val="20"/>
          <w:lang w:val="en-US"/>
        </w:rPr>
        <w:t>4519.5 mg/Kg, respectively</w:t>
      </w:r>
      <w:r w:rsidR="00826D9A" w:rsidRPr="00865D96">
        <w:rPr>
          <w:rFonts w:ascii="Arial" w:hAnsi="Arial" w:cs="Arial"/>
          <w:sz w:val="20"/>
          <w:szCs w:val="20"/>
          <w:lang w:val="en-US"/>
        </w:rPr>
        <w:t>,</w:t>
      </w:r>
      <w:r w:rsidRPr="00865D96">
        <w:rPr>
          <w:rFonts w:ascii="Arial" w:hAnsi="Arial" w:cs="Arial"/>
          <w:sz w:val="20"/>
          <w:szCs w:val="20"/>
          <w:lang w:val="en-US"/>
        </w:rPr>
        <w:t xml:space="preserve"> for hulled and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Potassium is the most abundant mineral. This fact is corroborated by the results of other researchers who indicated that potassium is the most abundant mineral in agricultural products</w:t>
      </w:r>
      <w:r w:rsidR="00C9580D" w:rsidRPr="00865D96">
        <w:rPr>
          <w:rFonts w:ascii="Arial" w:hAnsi="Arial" w:cs="Arial"/>
          <w:sz w:val="20"/>
          <w:szCs w:val="20"/>
          <w:lang w:val="en-US"/>
        </w:rPr>
        <w:t xml:space="preserve"> </w:t>
      </w:r>
      <w:r w:rsidR="00C9580D" w:rsidRPr="00865D96">
        <w:rPr>
          <w:rFonts w:ascii="Arial" w:hAnsi="Arial" w:cs="Arial"/>
          <w:sz w:val="20"/>
          <w:szCs w:val="20"/>
          <w:lang w:val="en-US"/>
        </w:rPr>
        <w:fldChar w:fldCharType="begin"/>
      </w:r>
      <w:r w:rsidR="00C9580D" w:rsidRPr="00865D96">
        <w:rPr>
          <w:rFonts w:ascii="Arial" w:hAnsi="Arial" w:cs="Arial"/>
          <w:sz w:val="20"/>
          <w:szCs w:val="20"/>
          <w:lang w:val="en-US"/>
        </w:rPr>
        <w:instrText xml:space="preserve"> ADDIN ZOTERO_ITEM CSL_CITATION {"citationID":"bIDvRVXI","properties":{"formattedCitation":"\\super 17\\nosupersub{}","plainCitation":"17","noteIndex":0},"citationItems":[{"id":3144,"uris":["http://zotero.org/users/local/JzcqJHT8/items/75GZVUUX"],"itemData":{"id":3144,"type":"article-journal","abstract":"Proximate, mineral and amino acid compositions of raw and processed red kidney bean (Phaseolus vulgaris L.) flour were investigated on dry weight bases with a view to finding alternative and cheaper sources of protein to solve the problem of malnutrition due to inadequate protein in nutrition which is a prevalent problem in developing world, especially in Nigeria. Processing methods (cooking, boiling, roasting, sprouting and fermenting) were adopted using the standard analytical techniques. The processing methods showed deviations in nutrient content from the raw seeds. Crude fat was reduced by some processing methods particularly cooking and boiling while crude protein was enhanced in this order: Roasting &gt; fermenting &gt; boiling &gt; sprouting &gt; cooking. Processing significantly affected the mineral content of the red kidney bean flour (p&lt;0.05). Boiling and roasting reduced the content of magnesium by 4.7 and 10.3%, respectively. All the processing methods reduced calcium content. Processed red kidney bean seed flour was found to be a good source of essential minerals, while harmful heavy metals such as lead and cadmium were not detected. The amino acid profile revealed cooking, roasting, sprouting and fermenting to have enhanced Total Amino Acid (TAA), while Total Essential Amino Acid (TEAA) and Total Sulphur Amino Acid (TSAA) were reduced by all the processing methods. After processing of the red kidney bean seed sufficient amount of essential amino acids were retained to meet FAO dietary requirement, but supplementation may be done for raw in Ile, Met + Cys, Thr and Val; boiled (Ile, Met + Cys and Thr); cooked (Met Cys and Val); roasted (Ile, Met + Cys and Val); sprouted and fermented (Met + Cys, Thr and Val).","container-title":"Pakistan Journal of Nutrition","DOI":"10.3923/pjn.2011.1069.1075","issue":"11","language":"en-gb","page":"1069-1075","source":"scialert.net","title":"Effect of Processing on Chemical Composition of Red Kidney Bean (Phaseolus vulgaris L.) Flour","volume":"10","author":[{"family":"Audu","given":"S. S."},{"family":"Aremu","given":"M. O."}],"issued":{"date-parts":[["2012",5,2]]}}}],"schema":"https://github.com/citation-style-language/schema/raw/master/csl-citation.json"} </w:instrText>
      </w:r>
      <w:r w:rsidR="00C9580D" w:rsidRPr="00865D96">
        <w:rPr>
          <w:rFonts w:ascii="Arial" w:hAnsi="Arial" w:cs="Arial"/>
          <w:sz w:val="20"/>
          <w:szCs w:val="20"/>
          <w:lang w:val="en-US"/>
        </w:rPr>
        <w:fldChar w:fldCharType="separate"/>
      </w:r>
      <w:r w:rsidR="003335A2">
        <w:rPr>
          <w:rFonts w:ascii="Arial" w:hAnsi="Arial" w:cs="Arial"/>
          <w:kern w:val="0"/>
          <w:sz w:val="20"/>
          <w:szCs w:val="20"/>
          <w:vertAlign w:val="superscript"/>
        </w:rPr>
        <w:t>20</w:t>
      </w:r>
      <w:r w:rsidR="00C9580D" w:rsidRPr="00865D96">
        <w:rPr>
          <w:rFonts w:ascii="Arial" w:hAnsi="Arial" w:cs="Arial"/>
          <w:sz w:val="20"/>
          <w:szCs w:val="20"/>
          <w:lang w:val="en-US"/>
        </w:rPr>
        <w:fldChar w:fldCharType="end"/>
      </w:r>
      <w:r w:rsidR="002167CF" w:rsidRPr="00865D96">
        <w:rPr>
          <w:rFonts w:ascii="Arial" w:hAnsi="Arial" w:cs="Arial"/>
          <w:sz w:val="20"/>
          <w:szCs w:val="20"/>
          <w:lang w:val="en-US"/>
        </w:rPr>
        <w:t xml:space="preserve">. </w:t>
      </w:r>
      <w:r w:rsidR="00C906DC" w:rsidRPr="00865D96">
        <w:rPr>
          <w:rFonts w:ascii="Arial" w:hAnsi="Arial" w:cs="Arial"/>
          <w:sz w:val="20"/>
          <w:szCs w:val="20"/>
          <w:lang w:val="en-US"/>
        </w:rPr>
        <w:t xml:space="preserve">These potassium contents are comparable to the values obtained (2766.8 mg/Kg – 3287 mg/Kg) for varieties cultivated in the north of Cameroon </w:t>
      </w:r>
      <w:r w:rsidR="00C40661" w:rsidRPr="00865D96">
        <w:rPr>
          <w:rFonts w:ascii="Arial" w:hAnsi="Arial" w:cs="Arial"/>
          <w:sz w:val="20"/>
          <w:szCs w:val="20"/>
          <w:lang w:val="en-US"/>
        </w:rPr>
        <w:fldChar w:fldCharType="begin"/>
      </w:r>
      <w:r w:rsidR="00C40661" w:rsidRPr="00865D96">
        <w:rPr>
          <w:rFonts w:ascii="Arial" w:hAnsi="Arial" w:cs="Arial"/>
          <w:sz w:val="20"/>
          <w:szCs w:val="20"/>
          <w:lang w:val="en-US"/>
        </w:rPr>
        <w:instrText xml:space="preserve"> ADDIN ZOTERO_ITEM CSL_CITATION {"citationID":"aWrk9xcM","properties":{"formattedCitation":"\\super 15\\nosupersub{}","plainCitation":"15","noteIndex":0},"citationItems":[{"id":3140,"uris":["http://zotero.org/users/local/JzcqJHT8/items/WYVGJN52"],"itemData":{"id":3140,"type":"article-journal","abstract":"Sorghum and pearl millet are grain crops that can grow in semi-arid climates, with nutritional and bioactive properties superior to those of major cereals such as rice, wheat, and maize. However, these properties vary a lot, depending on the genetic factors, growing conditions, and place of cultivation. Four sorghum and two pearl millet grains cultivars grown in the Far-North region of Cameroon were screened for their chemical composition and antioxidant profile. The proximate and mineral analyses were performed using AOAC standard methods. The antioxidant profile was assayed spectrophotometrically and details on the phenolic compounds were investigated using HPLC. The pearl millet cultivars, especially mouri, showed higher contents of proteins, lipids, ash, calcium, copper, iron, and zinc. The red sorghum specifically exhibited the greatest amounts of total polyphenols (82.22 mg GAE/g DE), total flavonoids (23.82 mg CE/g DE), and total 3-deoxyanthocyanidin (9.06 mg/g DE). The most abundant phenolic compound was gallic acid, while the most frequent were chlorogenic and ferulic acids. The maximum antioxidant activity against DPPH was observed in yellow-pale sorghum (87.71%), followed by red sorghum (81.15%). Among the studied varieties of cereals, mouri pearl millet and red sorghum were the best sources of nutrients and bioactive compounds, respectively. Their consumption should be encouraged to tackle nutrient deficiencies and non-communicable diseases within local populations.","container-title":"Foods","DOI":"10.3390/foods11142026","ISSN":"2304-8158","issue":"14","language":"en","license":"http://creativecommons.org/licenses/by/3.0/","note":"number: 14\npublisher: Multidisciplinary Digital Publishing Institute","page":"2026","source":"www.mdpi.com","title":"Chemical Composition and Antioxidant Profile of Sorghum (Sorghumbicolor (L.) Moench) and Pearl Millet (Pennisetumglaucum (L.) R.Br.) Grains Cultivated in the Far-North Region of Cameroon","volume":"11","author":[{"family":"Mawouma","given":"Saliou"},{"family":"Condurache","given":"Nina Nicoleta"},{"family":"Turturică","given":"Mihaela"},{"family":"Constantin","given":"Oana Emilia"},{"family":"Croitoru","given":"Constantin"},{"family":"Rapeanu","given":"Gabriela"}],"issued":{"date-parts":[["2022",1]]}}}],"schema":"https://github.com/citation-style-language/schema/raw/master/csl-citation.json"} </w:instrText>
      </w:r>
      <w:r w:rsidR="00C40661" w:rsidRPr="00865D96">
        <w:rPr>
          <w:rFonts w:ascii="Arial" w:hAnsi="Arial" w:cs="Arial"/>
          <w:sz w:val="20"/>
          <w:szCs w:val="20"/>
          <w:lang w:val="en-US"/>
        </w:rPr>
        <w:fldChar w:fldCharType="separate"/>
      </w:r>
      <w:r w:rsidR="00C40661" w:rsidRPr="00865D96">
        <w:rPr>
          <w:rFonts w:ascii="Arial" w:hAnsi="Arial" w:cs="Arial"/>
          <w:kern w:val="0"/>
          <w:sz w:val="20"/>
          <w:szCs w:val="20"/>
          <w:vertAlign w:val="superscript"/>
        </w:rPr>
        <w:t>1</w:t>
      </w:r>
      <w:r w:rsidR="003335A2">
        <w:rPr>
          <w:rFonts w:ascii="Arial" w:hAnsi="Arial" w:cs="Arial"/>
          <w:kern w:val="0"/>
          <w:sz w:val="20"/>
          <w:szCs w:val="20"/>
          <w:vertAlign w:val="superscript"/>
        </w:rPr>
        <w:t>8</w:t>
      </w:r>
      <w:r w:rsidR="00C40661" w:rsidRPr="00865D96">
        <w:rPr>
          <w:rFonts w:ascii="Arial" w:hAnsi="Arial" w:cs="Arial"/>
          <w:sz w:val="20"/>
          <w:szCs w:val="20"/>
          <w:lang w:val="en-US"/>
        </w:rPr>
        <w:fldChar w:fldCharType="end"/>
      </w:r>
      <w:r w:rsidR="002167CF" w:rsidRPr="00865D96">
        <w:rPr>
          <w:rFonts w:ascii="Arial" w:hAnsi="Arial" w:cs="Arial"/>
          <w:sz w:val="20"/>
          <w:szCs w:val="20"/>
          <w:lang w:val="en-US"/>
        </w:rPr>
        <w:t>.</w:t>
      </w:r>
      <w:r w:rsidR="007E2063" w:rsidRPr="00865D96">
        <w:rPr>
          <w:rFonts w:ascii="Arial" w:hAnsi="Arial" w:cs="Arial"/>
          <w:sz w:val="20"/>
          <w:szCs w:val="20"/>
          <w:lang w:val="en-US"/>
        </w:rPr>
        <w:t xml:space="preserve"> </w:t>
      </w:r>
      <w:r w:rsidR="001F1A49" w:rsidRPr="00865D96">
        <w:rPr>
          <w:rFonts w:ascii="Arial" w:hAnsi="Arial" w:cs="Arial"/>
          <w:sz w:val="20"/>
          <w:szCs w:val="20"/>
          <w:lang w:val="en-US"/>
        </w:rPr>
        <w:t xml:space="preserve">Sodium and potassium are important minerals for proper metabolism. They are necessary for maintaining the osmotic balance of body fluids, body pH, proper functioning of the muscular and nervous systems, glucose absorption, and normal protein retention during growth </w:t>
      </w:r>
      <w:r w:rsidR="00F66361"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{"citationID":"4n6mEdVv","properties":{"formattedCitation":"\\super 18\\nosupersub{}","plainCitation":"18","noteIndex":0},"citationItems":[{"id":3145,"uris":["http://zotero.org/users/local/JzcqJHT8/items/GGJRZF58"],"itemData":{"id":3145,"type":"article-journal","container-title":"National Research Council","issue":"1989","page":"25144070","title":"National Research Council (US) Subcommittee on the Tenth Edition of the Recommended Dietary Allowances . Recommended Dietary Allowances: 10th Edition. Washington (DC): National Academies Press (US); 1989. PMID: 25144070","volume":"251","author":[{"family":"Academies","given":"Press"}],"issued":{"date-parts":[["1989"]]}}}],"schema":"https://github.com/citation-style-language/schema/raw/master/csl-citation.json"} </w:instrText>
      </w:r>
      <w:r w:rsidR="00F66361" w:rsidRPr="00865D96">
        <w:rPr>
          <w:rFonts w:ascii="Arial" w:hAnsi="Arial" w:cs="Arial"/>
          <w:sz w:val="20"/>
          <w:szCs w:val="20"/>
          <w:lang w:val="en-US"/>
        </w:rPr>
        <w:fldChar w:fldCharType="separate"/>
      </w:r>
      <w:r w:rsidR="003335A2">
        <w:rPr>
          <w:rFonts w:ascii="Arial" w:hAnsi="Arial" w:cs="Arial"/>
          <w:kern w:val="0"/>
          <w:sz w:val="20"/>
          <w:szCs w:val="20"/>
          <w:vertAlign w:val="superscript"/>
        </w:rPr>
        <w:t>21</w:t>
      </w:r>
      <w:r w:rsidR="00F66361" w:rsidRPr="00865D96">
        <w:rPr>
          <w:rFonts w:ascii="Arial" w:hAnsi="Arial" w:cs="Arial"/>
          <w:sz w:val="20"/>
          <w:szCs w:val="20"/>
          <w:lang w:val="en-US"/>
        </w:rPr>
        <w:fldChar w:fldCharType="end"/>
      </w:r>
      <w:r w:rsidR="001F1A49" w:rsidRPr="00865D96">
        <w:rPr>
          <w:rFonts w:ascii="Arial" w:hAnsi="Arial" w:cs="Arial"/>
          <w:sz w:val="20"/>
          <w:szCs w:val="20"/>
          <w:lang w:val="en-US"/>
        </w:rPr>
        <w:t>. The sodium/potassium ratio is an important factor in the prevention of high blood pressure. A Na/K ratio of less than 1 is recommended. In both our samples, the Na/K ratios were well below the recommended value (</w:t>
      </w:r>
      <w:r w:rsidR="00D77782" w:rsidRPr="00865D96">
        <w:rPr>
          <w:rFonts w:ascii="Arial" w:hAnsi="Arial" w:cs="Arial"/>
          <w:sz w:val="20"/>
          <w:szCs w:val="20"/>
          <w:lang w:val="en-US"/>
        </w:rPr>
        <w:t>0.</w:t>
      </w:r>
      <w:r w:rsidR="004D31E8">
        <w:rPr>
          <w:rFonts w:ascii="Arial" w:hAnsi="Arial" w:cs="Arial"/>
          <w:sz w:val="20"/>
          <w:szCs w:val="20"/>
          <w:lang w:val="en-US"/>
        </w:rPr>
        <w:t>0</w:t>
      </w:r>
      <w:r w:rsidR="00D77782" w:rsidRPr="00865D96">
        <w:rPr>
          <w:rFonts w:ascii="Arial" w:hAnsi="Arial" w:cs="Arial"/>
          <w:sz w:val="20"/>
          <w:szCs w:val="20"/>
          <w:lang w:val="en-US"/>
        </w:rPr>
        <w:t>1</w:t>
      </w:r>
      <w:r w:rsidR="00535DE0">
        <w:rPr>
          <w:rFonts w:ascii="Arial" w:hAnsi="Arial" w:cs="Arial"/>
          <w:sz w:val="20"/>
          <w:szCs w:val="20"/>
          <w:lang w:val="en-US"/>
        </w:rPr>
        <w:t>3</w:t>
      </w:r>
      <w:r w:rsidR="00D77782" w:rsidRPr="00865D96">
        <w:rPr>
          <w:rFonts w:ascii="Arial" w:hAnsi="Arial" w:cs="Arial"/>
          <w:sz w:val="20"/>
          <w:szCs w:val="20"/>
          <w:lang w:val="en-US"/>
        </w:rPr>
        <w:t xml:space="preserve"> for </w:t>
      </w:r>
      <w:r w:rsidR="00D77782" w:rsidRPr="00865D96">
        <w:rPr>
          <w:rFonts w:ascii="Arial" w:hAnsi="Arial" w:cs="Arial"/>
          <w:b/>
          <w:bCs/>
          <w:sz w:val="20"/>
          <w:szCs w:val="20"/>
          <w:lang w:val="en-US"/>
        </w:rPr>
        <w:t>I</w:t>
      </w:r>
      <w:r w:rsidR="00D77782" w:rsidRPr="00865D96">
        <w:rPr>
          <w:rFonts w:ascii="Arial" w:hAnsi="Arial" w:cs="Arial"/>
          <w:sz w:val="20"/>
          <w:szCs w:val="20"/>
          <w:lang w:val="en-US"/>
        </w:rPr>
        <w:t xml:space="preserve"> and 0.014 for </w:t>
      </w:r>
      <w:r w:rsidR="00D77782" w:rsidRPr="00865D96">
        <w:rPr>
          <w:rFonts w:ascii="Arial" w:hAnsi="Arial" w:cs="Arial"/>
          <w:b/>
          <w:bCs/>
          <w:sz w:val="20"/>
          <w:szCs w:val="20"/>
          <w:lang w:val="en-US"/>
        </w:rPr>
        <w:t>II</w:t>
      </w:r>
      <w:r w:rsidR="001F1A49" w:rsidRPr="00865D96">
        <w:rPr>
          <w:rFonts w:ascii="Arial" w:hAnsi="Arial" w:cs="Arial"/>
          <w:sz w:val="20"/>
          <w:szCs w:val="20"/>
          <w:lang w:val="en-US"/>
        </w:rPr>
        <w:t xml:space="preserve">). This suggests that hulled or </w:t>
      </w:r>
      <w:proofErr w:type="spellStart"/>
      <w:r w:rsidR="001F1A49" w:rsidRPr="00865D96">
        <w:rPr>
          <w:rFonts w:ascii="Arial" w:hAnsi="Arial" w:cs="Arial"/>
          <w:sz w:val="20"/>
          <w:szCs w:val="20"/>
          <w:lang w:val="en-US"/>
        </w:rPr>
        <w:t>unhulled</w:t>
      </w:r>
      <w:proofErr w:type="spellEnd"/>
      <w:r w:rsidR="001F1A49" w:rsidRPr="00865D96">
        <w:rPr>
          <w:rFonts w:ascii="Arial" w:hAnsi="Arial" w:cs="Arial"/>
          <w:sz w:val="20"/>
          <w:szCs w:val="20"/>
          <w:lang w:val="en-US"/>
        </w:rPr>
        <w:t xml:space="preserve"> millet may have the potential to prevent high blood pressure.</w:t>
      </w:r>
    </w:p>
    <w:p w14:paraId="5C1F3153" w14:textId="68AC5CDD" w:rsidR="00B97C3E" w:rsidRPr="00865D96" w:rsidRDefault="00B97C3E" w:rsidP="00C752F5">
      <w:pPr>
        <w:spacing w:line="276" w:lineRule="auto"/>
        <w:rPr>
          <w:rFonts w:ascii="Arial" w:hAnsi="Arial" w:cs="Arial"/>
          <w:color w:val="000000" w:themeColor="text1"/>
          <w:sz w:val="20"/>
          <w:szCs w:val="20"/>
          <w:lang w:val="en-US"/>
        </w:rPr>
      </w:pPr>
      <w:r w:rsidRPr="00865D96">
        <w:rPr>
          <w:rFonts w:ascii="Arial" w:hAnsi="Arial" w:cs="Arial"/>
          <w:sz w:val="20"/>
          <w:szCs w:val="20"/>
          <w:lang w:val="en-US"/>
        </w:rPr>
        <w:t>The calcium concentrations of the two samples are very close: 1</w:t>
      </w:r>
      <w:r w:rsidR="00853A5E">
        <w:rPr>
          <w:rFonts w:ascii="Arial" w:hAnsi="Arial" w:cs="Arial"/>
          <w:sz w:val="20"/>
          <w:szCs w:val="20"/>
          <w:lang w:val="en-US"/>
        </w:rPr>
        <w:t>1</w:t>
      </w:r>
      <w:r w:rsidRPr="00865D96">
        <w:rPr>
          <w:rFonts w:ascii="Arial" w:hAnsi="Arial" w:cs="Arial"/>
          <w:sz w:val="20"/>
          <w:szCs w:val="20"/>
          <w:lang w:val="en-US"/>
        </w:rPr>
        <w:t xml:space="preserve">.8 mg/Kg for hulled millet and 14.2 mg/Kg for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This mineral is the least present. The levels found for both samples are lower than those reported (100.22 mg/Kg – 112.23 mg/Kg) for several varieties grown in China </w:t>
      </w:r>
      <w:r w:rsidR="00F66361" w:rsidRPr="00865D96">
        <w:rPr>
          <w:rFonts w:ascii="Arial" w:hAnsi="Arial" w:cs="Arial"/>
          <w:sz w:val="20"/>
          <w:szCs w:val="20"/>
          <w:lang w:val="en-US"/>
        </w:rPr>
        <w:fldChar w:fldCharType="begin"/>
      </w:r>
      <w:r w:rsidR="00F66361" w:rsidRPr="00865D96">
        <w:rPr>
          <w:rFonts w:ascii="Arial" w:hAnsi="Arial" w:cs="Arial"/>
          <w:sz w:val="20"/>
          <w:szCs w:val="20"/>
          <w:lang w:val="en-US"/>
        </w:rPr>
        <w:instrText xml:space="preserve"> ADDIN ZOTERO_ITEM CSL_CITATION {"citationID":"WCM2Zo70","properties":{"formattedCitation":"\\super 19\\nosupersub{}","plainCitation":"19","noteIndex":0},"citationItems":[{"id":3146,"uris":["http://zotero.org/users/local/JzcqJHT8/items/ZJPIUAZP"],"itemData":{"id":3146,"type":"article-journal","abstract":"The potential approach of classifying foxtail millet according to geographical origin was investigated using mineral element and chemical composition analysis of samples from various provinces in China. Total 16 mineral elements and five chemical compositions of foxtail millets were analyzed. There were significant differences in 12 elements of millets from different regions. Notable differences were also observed for chemical composition, with Hebei samples showing higher protein content, Henan samples showing higher fat and ash contents and Shandong samples showed higher dietary fiber and amylose contents. Based on the combination of both methods, discriminant analysis provided optimal discrimination among the various geographical origins with a 95.2% classification rate. Our study provides an effective tool to trace the foxtail millet geographic origin through a combination of multi-element and chemical composition analysis.","container-title":"International Journal of Food Properties","DOI":"10.1080/10942912.2018.1506479","ISSN":"1094-2912","issue":"1","note":"publisher: Taylor &amp; Francis\n_eprint: https://doi.org/10.1080/10942912.2018.1506479","page":"1769-1777","source":"Taylor and Francis+NEJM","title":"Geographical origin traceability of foxtail millet based on the combination of multi-element and chemical composition analysis","volume":"21","author":[{"family":"Liang","given":"Kehong"},{"family":"","given":"Liang ,Shan"},{"family":"","given":"Lu ,Lingang"},{"family":"","given":"Zhu ,Dazhou"},{"family":"Cheng","given":"Lei","non-dropping-particle":"and"}],"issued":{"date-parts":[["2018",1,1]]}}}],"schema":"https://github.com/citation-style-language/schema/raw/master/csl-citation.json"} </w:instrText>
      </w:r>
      <w:r w:rsidR="00F66361" w:rsidRPr="00865D96">
        <w:rPr>
          <w:rFonts w:ascii="Arial" w:hAnsi="Arial" w:cs="Arial"/>
          <w:sz w:val="20"/>
          <w:szCs w:val="20"/>
          <w:lang w:val="en-US"/>
        </w:rPr>
        <w:fldChar w:fldCharType="separate"/>
      </w:r>
      <w:r w:rsidR="00944BC6">
        <w:rPr>
          <w:rFonts w:ascii="Arial" w:hAnsi="Arial" w:cs="Arial"/>
          <w:kern w:val="0"/>
          <w:sz w:val="20"/>
          <w:szCs w:val="20"/>
          <w:vertAlign w:val="superscript"/>
        </w:rPr>
        <w:t>22</w:t>
      </w:r>
      <w:r w:rsidR="00F66361" w:rsidRPr="00865D96">
        <w:rPr>
          <w:rFonts w:ascii="Arial" w:hAnsi="Arial" w:cs="Arial"/>
          <w:sz w:val="20"/>
          <w:szCs w:val="20"/>
          <w:lang w:val="en-US"/>
        </w:rPr>
        <w:fldChar w:fldCharType="end"/>
      </w:r>
      <w:r w:rsidRPr="00865D96">
        <w:rPr>
          <w:rFonts w:ascii="Arial" w:hAnsi="Arial" w:cs="Arial"/>
          <w:sz w:val="20"/>
          <w:szCs w:val="20"/>
          <w:lang w:val="en-US"/>
        </w:rPr>
        <w:t xml:space="preserve">. The magnesium concentration is </w:t>
      </w:r>
      <w:r w:rsidR="00853A5E">
        <w:rPr>
          <w:rFonts w:ascii="Arial" w:hAnsi="Arial" w:cs="Arial"/>
          <w:sz w:val="20"/>
          <w:szCs w:val="20"/>
          <w:lang w:val="en-US"/>
        </w:rPr>
        <w:t>1250.4</w:t>
      </w:r>
      <w:r w:rsidRPr="00865D96">
        <w:rPr>
          <w:rFonts w:ascii="Arial" w:hAnsi="Arial" w:cs="Arial"/>
          <w:sz w:val="20"/>
          <w:szCs w:val="20"/>
          <w:lang w:val="en-US"/>
        </w:rPr>
        <w:t xml:space="preserve"> mg/Kg for hulled and 1476.7 mg for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w:t>
      </w:r>
      <w:proofErr w:type="gramStart"/>
      <w:r w:rsidRPr="00865D96">
        <w:rPr>
          <w:rFonts w:ascii="Arial" w:hAnsi="Arial" w:cs="Arial"/>
          <w:sz w:val="20"/>
          <w:szCs w:val="20"/>
          <w:lang w:val="en-US"/>
        </w:rPr>
        <w:t xml:space="preserve">millet </w:t>
      </w:r>
      <w:r w:rsidRPr="00865D96">
        <w:rPr>
          <w:rFonts w:ascii="Arial" w:hAnsi="Arial" w:cs="Arial"/>
          <w:color w:val="000000" w:themeColor="text1"/>
          <w:sz w:val="20"/>
          <w:szCs w:val="20"/>
          <w:lang w:val="en-US"/>
        </w:rPr>
        <w:t>.</w:t>
      </w:r>
      <w:proofErr w:type="gramEnd"/>
      <w:r w:rsidRPr="00865D96">
        <w:rPr>
          <w:rFonts w:ascii="Arial" w:hAnsi="Arial" w:cs="Arial"/>
          <w:color w:val="000000" w:themeColor="text1"/>
          <w:sz w:val="20"/>
          <w:szCs w:val="20"/>
          <w:lang w:val="en-US"/>
        </w:rPr>
        <w:t xml:space="preserve"> These values are comparable to the value of 1129.71 mg/Kg reported for a variety of millet grown in China </w:t>
      </w:r>
      <w:r w:rsidR="00100BD7" w:rsidRPr="00865D96">
        <w:rPr>
          <w:rFonts w:ascii="Arial" w:hAnsi="Arial" w:cs="Arial"/>
          <w:color w:val="000000" w:themeColor="text1"/>
          <w:sz w:val="20"/>
          <w:szCs w:val="20"/>
          <w:lang w:val="en-US"/>
        </w:rPr>
        <w:fldChar w:fldCharType="begin"/>
      </w:r>
      <w:r w:rsidR="00100BD7" w:rsidRPr="00865D96">
        <w:rPr>
          <w:rFonts w:ascii="Arial" w:hAnsi="Arial" w:cs="Arial"/>
          <w:color w:val="000000" w:themeColor="text1"/>
          <w:sz w:val="20"/>
          <w:szCs w:val="20"/>
          <w:lang w:val="en-US"/>
        </w:rPr>
        <w:instrText xml:space="preserve"> ADDIN ZOTERO_ITEM CSL_CITATION {"citationID":"EpzmtShZ","properties":{"formattedCitation":"\\super 20\\nosupersub{}","plainCitation":"20","noteIndex":0},"citationItems":[{"id":3148,"uris":["http://zotero.org/users/local/JzcqJHT8/items/NCQ7XTD8"],"itemData":{"id":3148,"type":"article-journal","abstract":"Mineral elements are essential components for human health from food, but their contents in wheat, millet, corn and soybean have not been compared. Contents of mineral elements in wheat, millet, corn and soybean from Beijing market of China were detected by ICP-MS. The RSDs (relative standard deviation) range from 0.85% to 3.52% and the detecting limits range from 0.13 to 0.85μg/L, which showed that this method is accurate and precise to detect mineral elements in grains simultaneously. The data showed that (1) ICP-MS is a simple and precise method to determine many mineral elements in grains simultaneously. (2) Elements followed by descending order in four grains are usually K&gt;Mg&gt;Ca&gt;Fe&gt;Zn&gt;Mn&gt;Cu&gt;Mo&gt;Li, and grains arranged in order from high to low levels of mineral elements are usually soybean&gt;millet&gt;wheat≈corn. So we should take in more minor grains, such as soybean and millet on daily diet.","container-title":"Journal of Saudi Chemical Society","DOI":"10.1016/j.jscs.2010.10.014","ISSN":"1319-6103","issue":"1","journalAbbreviation":"Journal of Saudi Chemical Society","page":"31-33","source":"ScienceDirect","title":"Determining mineral elements in four kinds of grains from Beijing market by ICP-MS simultaneously","volume":"16","author":[{"family":"Zhang","given":"Hongxing"},{"family":"Rui","given":"Yu-Kui"}],"issued":{"date-parts":[["2012",1,1]]}}}],"schema":"https://github.com/citation-style-language/schema/raw/master/csl-citation.json"} </w:instrText>
      </w:r>
      <w:r w:rsidR="00100BD7" w:rsidRPr="00865D96">
        <w:rPr>
          <w:rFonts w:ascii="Arial" w:hAnsi="Arial" w:cs="Arial"/>
          <w:color w:val="000000" w:themeColor="text1"/>
          <w:sz w:val="20"/>
          <w:szCs w:val="20"/>
          <w:lang w:val="en-US"/>
        </w:rPr>
        <w:fldChar w:fldCharType="separate"/>
      </w:r>
      <w:r w:rsidR="00100BD7" w:rsidRPr="00865D96">
        <w:rPr>
          <w:rFonts w:ascii="Arial" w:hAnsi="Arial" w:cs="Arial"/>
          <w:kern w:val="0"/>
          <w:sz w:val="20"/>
          <w:szCs w:val="20"/>
          <w:vertAlign w:val="superscript"/>
        </w:rPr>
        <w:t>2</w:t>
      </w:r>
      <w:r w:rsidR="00944BC6">
        <w:rPr>
          <w:rFonts w:ascii="Arial" w:hAnsi="Arial" w:cs="Arial"/>
          <w:kern w:val="0"/>
          <w:sz w:val="20"/>
          <w:szCs w:val="20"/>
          <w:vertAlign w:val="superscript"/>
        </w:rPr>
        <w:t>3</w:t>
      </w:r>
      <w:r w:rsidR="00100BD7" w:rsidRPr="00865D96">
        <w:rPr>
          <w:rFonts w:ascii="Arial" w:hAnsi="Arial" w:cs="Arial"/>
          <w:color w:val="000000" w:themeColor="text1"/>
          <w:sz w:val="20"/>
          <w:szCs w:val="20"/>
          <w:lang w:val="en-US"/>
        </w:rPr>
        <w:fldChar w:fldCharType="end"/>
      </w:r>
      <w:r w:rsidRPr="00865D96">
        <w:rPr>
          <w:rFonts w:ascii="Arial" w:hAnsi="Arial" w:cs="Arial"/>
          <w:sz w:val="20"/>
          <w:szCs w:val="20"/>
          <w:lang w:val="en-US"/>
        </w:rPr>
        <w:t xml:space="preserve">. The calcium and magnesium contents indicate that millet can contribute to ensuring the necessary daily intake of these two micronutrients. </w:t>
      </w:r>
      <w:r w:rsidRPr="00865D96">
        <w:rPr>
          <w:rFonts w:ascii="Arial" w:hAnsi="Arial" w:cs="Arial"/>
          <w:color w:val="000000" w:themeColor="text1"/>
          <w:sz w:val="20"/>
          <w:szCs w:val="20"/>
          <w:lang w:val="en-US"/>
        </w:rPr>
        <w:t>Calcium and magnesium are micronutrients essential for the development and maintenance of normal bones and teeth. Both contribute to normal muscle function and energy metabolism while playing an important role in cellular metabolism. A Ca/Mg ratio between 2 and 1 is recommended for a good balance. The Ca/Mg ratio are lower than the recommended value of 1 (0.0</w:t>
      </w:r>
      <w:r w:rsidR="00240CCD">
        <w:rPr>
          <w:rFonts w:ascii="Arial" w:hAnsi="Arial" w:cs="Arial"/>
          <w:color w:val="000000" w:themeColor="text1"/>
          <w:sz w:val="20"/>
          <w:szCs w:val="20"/>
          <w:lang w:val="en-US"/>
        </w:rPr>
        <w:t>09</w:t>
      </w:r>
      <w:r w:rsidR="005A3F2A">
        <w:rPr>
          <w:rFonts w:ascii="Arial" w:hAnsi="Arial" w:cs="Arial"/>
          <w:color w:val="000000" w:themeColor="text1"/>
          <w:sz w:val="20"/>
          <w:szCs w:val="20"/>
          <w:lang w:val="en-US"/>
        </w:rPr>
        <w:t>4</w:t>
      </w:r>
      <w:r w:rsidRPr="00865D96">
        <w:rPr>
          <w:rFonts w:ascii="Arial" w:hAnsi="Arial" w:cs="Arial"/>
          <w:color w:val="000000" w:themeColor="text1"/>
          <w:sz w:val="20"/>
          <w:szCs w:val="20"/>
          <w:lang w:val="en-US"/>
        </w:rPr>
        <w:t xml:space="preserve"> for I and </w:t>
      </w:r>
      <w:proofErr w:type="gramStart"/>
      <w:r w:rsidRPr="00865D96">
        <w:rPr>
          <w:rFonts w:ascii="Arial" w:hAnsi="Arial" w:cs="Arial"/>
          <w:color w:val="000000" w:themeColor="text1"/>
          <w:sz w:val="20"/>
          <w:szCs w:val="20"/>
          <w:lang w:val="en-US"/>
        </w:rPr>
        <w:t>0.0</w:t>
      </w:r>
      <w:r w:rsidR="005A3F2A">
        <w:rPr>
          <w:rFonts w:ascii="Arial" w:hAnsi="Arial" w:cs="Arial"/>
          <w:color w:val="000000" w:themeColor="text1"/>
          <w:sz w:val="20"/>
          <w:szCs w:val="20"/>
          <w:lang w:val="en-US"/>
        </w:rPr>
        <w:t>096</w:t>
      </w:r>
      <w:r w:rsidRPr="00865D96">
        <w:rPr>
          <w:rFonts w:ascii="Arial" w:hAnsi="Arial" w:cs="Arial"/>
          <w:color w:val="000000" w:themeColor="text1"/>
          <w:sz w:val="20"/>
          <w:szCs w:val="20"/>
          <w:lang w:val="en-US"/>
        </w:rPr>
        <w:t xml:space="preserve">  for</w:t>
      </w:r>
      <w:proofErr w:type="gramEnd"/>
      <w:r w:rsidRPr="00865D96">
        <w:rPr>
          <w:rFonts w:ascii="Arial" w:hAnsi="Arial" w:cs="Arial"/>
          <w:color w:val="000000" w:themeColor="text1"/>
          <w:sz w:val="20"/>
          <w:szCs w:val="20"/>
          <w:lang w:val="en-US"/>
        </w:rPr>
        <w:t xml:space="preserve"> II). This suggests that a diet exclusively based on our two samples is not recommended or should be supplemented. </w:t>
      </w:r>
    </w:p>
    <w:p w14:paraId="59ED1B5C" w14:textId="54A7C278" w:rsidR="00C83B8C" w:rsidRPr="00865D96" w:rsidRDefault="00C83B8C" w:rsidP="00C752F5">
      <w:pPr>
        <w:spacing w:line="276" w:lineRule="auto"/>
        <w:rPr>
          <w:rFonts w:ascii="Arial" w:hAnsi="Arial" w:cs="Arial"/>
          <w:sz w:val="20"/>
          <w:szCs w:val="20"/>
          <w:lang w:val="en-US"/>
        </w:rPr>
      </w:pPr>
      <w:r w:rsidRPr="00865D96">
        <w:rPr>
          <w:rFonts w:ascii="Arial" w:hAnsi="Arial" w:cs="Arial"/>
          <w:sz w:val="20"/>
          <w:szCs w:val="20"/>
          <w:lang w:val="en-US"/>
        </w:rPr>
        <w:t xml:space="preserve">Human exposure to chromium can occur in several ways: through food or drink consumption, through breathing or through skin contact. Absorption of less than 200 </w:t>
      </w:r>
      <w:r w:rsidR="00574D8A" w:rsidRPr="00865D96">
        <w:rPr>
          <w:rFonts w:ascii="Arial" w:hAnsi="Arial" w:cs="Arial"/>
          <w:sz w:val="20"/>
          <w:szCs w:val="20"/>
          <w:lang w:val="en-US"/>
        </w:rPr>
        <w:sym w:font="Symbol" w:char="F06D"/>
      </w:r>
      <w:r w:rsidR="00574D8A" w:rsidRPr="00865D96">
        <w:rPr>
          <w:rFonts w:ascii="Arial" w:hAnsi="Arial" w:cs="Arial"/>
          <w:sz w:val="20"/>
          <w:szCs w:val="20"/>
          <w:lang w:val="en-US"/>
        </w:rPr>
        <w:t xml:space="preserve">g per day is essential for certain </w:t>
      </w:r>
      <w:commentRangeEnd w:id="6"/>
      <w:r w:rsidR="00454B4B">
        <w:rPr>
          <w:rStyle w:val="CommentReference"/>
        </w:rPr>
        <w:lastRenderedPageBreak/>
        <w:commentReference w:id="6"/>
      </w:r>
      <w:proofErr w:type="gramStart"/>
      <w:r w:rsidR="00574D8A" w:rsidRPr="00865D96">
        <w:rPr>
          <w:rFonts w:ascii="Arial" w:hAnsi="Arial" w:cs="Arial"/>
          <w:sz w:val="20"/>
          <w:szCs w:val="20"/>
          <w:lang w:val="en-US"/>
        </w:rPr>
        <w:t>metabolisms</w:t>
      </w:r>
      <w:proofErr w:type="gramEnd"/>
      <w:r w:rsidR="00574D8A" w:rsidRPr="00865D96">
        <w:rPr>
          <w:rFonts w:ascii="Arial" w:hAnsi="Arial" w:cs="Arial"/>
          <w:sz w:val="20"/>
          <w:szCs w:val="20"/>
          <w:lang w:val="en-US"/>
        </w:rPr>
        <w:t xml:space="preserve"> such as lipids or carbohydrates</w:t>
      </w:r>
      <w:r w:rsidR="00A53CD3" w:rsidRPr="00865D96">
        <w:rPr>
          <w:rFonts w:ascii="Arial" w:hAnsi="Arial" w:cs="Arial"/>
          <w:sz w:val="20"/>
          <w:szCs w:val="20"/>
          <w:lang w:val="en-US"/>
        </w:rPr>
        <w:t xml:space="preserve">. Absorption of large quantities can lead to more or less serious disturbances such as dermatitis, kidney damage, attacks on the respiratory, nervous or blood systems </w:t>
      </w:r>
      <w:r w:rsidR="00D6487C" w:rsidRPr="00865D96">
        <w:rPr>
          <w:rFonts w:ascii="Arial" w:hAnsi="Arial" w:cs="Arial"/>
          <w:sz w:val="20"/>
          <w:szCs w:val="20"/>
          <w:lang w:val="en-US"/>
        </w:rPr>
        <w:fldChar w:fldCharType="begin"/>
      </w:r>
      <w:r w:rsidR="00D6487C" w:rsidRPr="00865D96">
        <w:rPr>
          <w:rFonts w:ascii="Arial" w:hAnsi="Arial" w:cs="Arial"/>
          <w:sz w:val="20"/>
          <w:szCs w:val="20"/>
          <w:lang w:val="en-US"/>
        </w:rPr>
        <w:instrText xml:space="preserve"> ADDIN ZOTERO_ITEM CSL_CITATION {"citationID":"r4DowBXc","properties":{"formattedCitation":"\\super 21\\nosupersub{}","plainCitation":"21","noteIndex":0},"citationItems":[{"id":3152,"uris":["http://zotero.org/users/local/JzcqJHT8/items/KTSYQJ9S"],"itemData":{"id":3152,"type":"article-journal","abstract":"Introduction: Panax Ginseng C. A. Meyer, belonging to the Araliaceae family, is a perennial plant with fleshy roots that grows in Korea and northern China. Panax Ginseng has been regarded as a medicinal plant in traditional oriental medicine. The root of Panax Ginseng is commonly used as herbal medicine. However, little is known about the contents and origin of heavy metals in the samples of herbal plants being sold in local herbal markets in Iran. The objective of the present research was to determine the level of Cadmium, Lead, Zinc, Nickl, Copper and Chromium contents in Panax Ginseng samples purchased from Tehran and Beijing local herbal markets and to find the possible process of contamination. Material and methods: To examine these metal contents in Panax Ginseng, 100 samples from Tehran and 100 samples from Beijing local herbal markets were purchased from 20 and 25 different local herbal markets in Beijing and Tehran respectively in 2012. A certain weight of each sample was determined and then analyzed by atomic absorption spectrophotometer. The concentration levels of heavy metals on the samples were determined as mean ± SD (mg/kg dry weight) of three replicates in each test. Results: Results showed a significant increase in lead, Cadmium and Chromium contents in Tehran’s marketscompared to the samples purchased from Beijing markets (p&lt;0.05). Since the amount of heavy metals in the ginseng samples obtained from Iranian markets is much higher than the corresponding figure in the ginseng supplied in the Chinese markets. Discussion: It may be concluded that the ginseng samples could be contaminated in different stages of transportation and storage. The contamination of medicinal herbs by toxic heavy metals results in serious safety issues due to the increasing popularity of herbal remedies in the world. Therefore, it is critical to analyze heavy metals in herbal medicine in order to assure that the levels of heavy metals do not exceed the required limits established by regulations.","container-title":"Journal of Environmental and Analytical Toxicology","DOI":"10.4172/2161-0525.1000183","ISSN":"2161-0525","issue":"5","language":"en","note":"publisher: OMICS International","page":"1-4","source":"scispace.com","title":"Comparing Heavy Metal Contents of Panax Ginseng Samples from Selected Markets in Tehran and Beijing","volume":"3","issued":{"date-parts":[["2013",7,30]]}}}],"schema":"https://github.com/citation-style-language/schema/raw/master/csl-citation.json"} </w:instrText>
      </w:r>
      <w:r w:rsidR="00D6487C" w:rsidRPr="00865D96">
        <w:rPr>
          <w:rFonts w:ascii="Arial" w:hAnsi="Arial" w:cs="Arial"/>
          <w:sz w:val="20"/>
          <w:szCs w:val="20"/>
          <w:lang w:val="en-US"/>
        </w:rPr>
        <w:fldChar w:fldCharType="separate"/>
      </w:r>
      <w:r w:rsidR="00D6487C" w:rsidRPr="00865D96">
        <w:rPr>
          <w:rFonts w:ascii="Arial" w:hAnsi="Arial" w:cs="Arial"/>
          <w:kern w:val="0"/>
          <w:sz w:val="20"/>
          <w:szCs w:val="20"/>
          <w:vertAlign w:val="superscript"/>
        </w:rPr>
        <w:t>2</w:t>
      </w:r>
      <w:r w:rsidR="00944BC6">
        <w:rPr>
          <w:rFonts w:ascii="Arial" w:hAnsi="Arial" w:cs="Arial"/>
          <w:kern w:val="0"/>
          <w:sz w:val="20"/>
          <w:szCs w:val="20"/>
          <w:vertAlign w:val="superscript"/>
        </w:rPr>
        <w:t>4</w:t>
      </w:r>
      <w:r w:rsidR="00D6487C" w:rsidRPr="00865D96">
        <w:rPr>
          <w:rFonts w:ascii="Arial" w:hAnsi="Arial" w:cs="Arial"/>
          <w:sz w:val="20"/>
          <w:szCs w:val="20"/>
          <w:lang w:val="en-US"/>
        </w:rPr>
        <w:fldChar w:fldCharType="end"/>
      </w:r>
      <w:r w:rsidR="007A0F1B" w:rsidRPr="00865D96">
        <w:rPr>
          <w:rFonts w:ascii="Arial" w:hAnsi="Arial" w:cs="Arial"/>
          <w:sz w:val="20"/>
          <w:szCs w:val="20"/>
          <w:lang w:val="en-US"/>
        </w:rPr>
        <w:t xml:space="preserve">. In this study, the chromium levels in millet samples were found to be zero for both hulled and </w:t>
      </w:r>
      <w:proofErr w:type="spellStart"/>
      <w:r w:rsidR="007A0F1B" w:rsidRPr="00865D96">
        <w:rPr>
          <w:rFonts w:ascii="Arial" w:hAnsi="Arial" w:cs="Arial"/>
          <w:sz w:val="20"/>
          <w:szCs w:val="20"/>
          <w:lang w:val="en-US"/>
        </w:rPr>
        <w:t>unhulled</w:t>
      </w:r>
      <w:proofErr w:type="spellEnd"/>
      <w:r w:rsidR="007A0F1B" w:rsidRPr="00865D96">
        <w:rPr>
          <w:rFonts w:ascii="Arial" w:hAnsi="Arial" w:cs="Arial"/>
          <w:sz w:val="20"/>
          <w:szCs w:val="20"/>
          <w:lang w:val="en-US"/>
        </w:rPr>
        <w:t xml:space="preserve"> millet and below the permissible level set by WHO (2011) which is 1 mg/kg </w:t>
      </w:r>
      <w:r w:rsidR="0086134F"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{"citationID":"82qNYhcW","properties":{"formattedCitation":"\\super 22\\nosupersub{}","plainCitation":"22","noteIndex":0},"citationItems":[{"id":3154,"uris":["http://zotero.org/users/local/JzcqJHT8/items/RTVZFHZ3"],"itemData":{"id":3154,"type":"article-journal","container-title":"WHO","page":"2011","title":"World Health Organization (WHO). Permissible Limits of Heavy Metals in Soil and Plants. Geneva, Switzerland: WHO; 2011","volume":"2011","author":[{"family":"World","given":"Health"}],"issued":{"date-parts":[["2011"]]}}}],"schema":"https://github.com/citation-style-language/schema/raw/master/csl-citation.json"} </w:instrText>
      </w:r>
      <w:r w:rsidR="0086134F" w:rsidRPr="00865D96">
        <w:rPr>
          <w:rFonts w:ascii="Arial" w:hAnsi="Arial" w:cs="Arial"/>
          <w:sz w:val="20"/>
          <w:szCs w:val="20"/>
          <w:lang w:val="en-US"/>
        </w:rPr>
        <w:fldChar w:fldCharType="separate"/>
      </w:r>
      <w:r w:rsidR="0086134F" w:rsidRPr="00865D96">
        <w:rPr>
          <w:rFonts w:ascii="Arial" w:hAnsi="Arial" w:cs="Arial"/>
          <w:kern w:val="0"/>
          <w:sz w:val="20"/>
          <w:szCs w:val="20"/>
          <w:vertAlign w:val="superscript"/>
        </w:rPr>
        <w:t>2</w:t>
      </w:r>
      <w:r w:rsidR="00944BC6">
        <w:rPr>
          <w:rFonts w:ascii="Arial" w:hAnsi="Arial" w:cs="Arial"/>
          <w:kern w:val="0"/>
          <w:sz w:val="20"/>
          <w:szCs w:val="20"/>
          <w:vertAlign w:val="superscript"/>
        </w:rPr>
        <w:t>5</w:t>
      </w:r>
      <w:r w:rsidR="0086134F" w:rsidRPr="00865D96">
        <w:rPr>
          <w:rFonts w:ascii="Arial" w:hAnsi="Arial" w:cs="Arial"/>
          <w:sz w:val="20"/>
          <w:szCs w:val="20"/>
          <w:lang w:val="en-US"/>
        </w:rPr>
        <w:fldChar w:fldCharType="end"/>
      </w:r>
      <w:r w:rsidR="00500DC1" w:rsidRPr="00865D96">
        <w:rPr>
          <w:rFonts w:ascii="Arial" w:hAnsi="Arial" w:cs="Arial"/>
          <w:sz w:val="20"/>
          <w:szCs w:val="20"/>
          <w:lang w:val="en-US"/>
        </w:rPr>
        <w:t>.</w:t>
      </w:r>
      <w:r w:rsidRPr="00865D96">
        <w:rPr>
          <w:rFonts w:ascii="Arial" w:hAnsi="Arial" w:cs="Arial"/>
          <w:sz w:val="20"/>
          <w:szCs w:val="20"/>
          <w:lang w:val="en-US"/>
        </w:rPr>
        <w:t xml:space="preserve"> </w:t>
      </w:r>
      <w:r w:rsidR="00444150" w:rsidRPr="00865D96">
        <w:rPr>
          <w:rFonts w:ascii="Arial" w:hAnsi="Arial" w:cs="Arial"/>
          <w:sz w:val="20"/>
          <w:szCs w:val="20"/>
          <w:lang w:val="en-US"/>
        </w:rPr>
        <w:t xml:space="preserve">The absence of Cr in these hulled and </w:t>
      </w:r>
      <w:proofErr w:type="spellStart"/>
      <w:r w:rsidR="00444150" w:rsidRPr="00865D96">
        <w:rPr>
          <w:rFonts w:ascii="Arial" w:hAnsi="Arial" w:cs="Arial"/>
          <w:sz w:val="20"/>
          <w:szCs w:val="20"/>
          <w:lang w:val="en-US"/>
        </w:rPr>
        <w:t>unhulled</w:t>
      </w:r>
      <w:proofErr w:type="spellEnd"/>
      <w:r w:rsidR="00444150" w:rsidRPr="00865D96">
        <w:rPr>
          <w:rFonts w:ascii="Arial" w:hAnsi="Arial" w:cs="Arial"/>
          <w:sz w:val="20"/>
          <w:szCs w:val="20"/>
          <w:lang w:val="en-US"/>
        </w:rPr>
        <w:t xml:space="preserve"> millet crops makes both forms of millet suitable for human and animal consumption.</w:t>
      </w:r>
    </w:p>
    <w:p w14:paraId="25FBBF26" w14:textId="11434BCC" w:rsidR="00864728" w:rsidRPr="00865D96" w:rsidRDefault="002167CF" w:rsidP="00C370EA">
      <w:pPr>
        <w:spacing w:line="276" w:lineRule="auto"/>
        <w:rPr>
          <w:rFonts w:ascii="Arial" w:hAnsi="Arial" w:cs="Arial"/>
          <w:sz w:val="20"/>
          <w:szCs w:val="20"/>
          <w:lang w:val="en-US"/>
        </w:rPr>
      </w:pPr>
      <w:r w:rsidRPr="00865D96">
        <w:rPr>
          <w:rFonts w:ascii="Arial" w:hAnsi="Arial" w:cs="Arial"/>
          <w:sz w:val="20"/>
          <w:szCs w:val="20"/>
          <w:lang w:val="en-US"/>
        </w:rPr>
        <w:t>I</w:t>
      </w:r>
      <w:r w:rsidR="00620476" w:rsidRPr="00865D96">
        <w:rPr>
          <w:rFonts w:ascii="Arial" w:hAnsi="Arial" w:cs="Arial"/>
          <w:sz w:val="20"/>
          <w:szCs w:val="20"/>
          <w:lang w:val="en-US"/>
        </w:rPr>
        <w:t xml:space="preserve">ron is an essential nutrient for the growth and development of living organisms. It is present in several molecules of the biological system and its deficiency induces a malfunction of these molecules </w:t>
      </w:r>
      <w:r w:rsidR="00D50EEB" w:rsidRPr="00865D96">
        <w:rPr>
          <w:rFonts w:ascii="Arial" w:hAnsi="Arial" w:cs="Arial"/>
          <w:sz w:val="20"/>
          <w:szCs w:val="20"/>
          <w:lang w:val="en-US"/>
        </w:rPr>
        <w:fldChar w:fldCharType="begin"/>
      </w:r>
      <w:r w:rsidR="00D50EEB" w:rsidRPr="00865D96">
        <w:rPr>
          <w:rFonts w:ascii="Arial" w:hAnsi="Arial" w:cs="Arial"/>
          <w:sz w:val="20"/>
          <w:szCs w:val="20"/>
          <w:lang w:val="en-US"/>
        </w:rPr>
        <w:instrText xml:space="preserve"> ADDIN ZOTERO_ITEM CSL_CITATION {"citationID":"ykPP5P2o","properties":{"formattedCitation":"\\super 23\\nosupersub{}","plainCitation":"23","noteIndex":0},"citationItems":[{"id":3155,"uris":["http://zotero.org/users/local/JzcqJHT8/items/S8ZHFXJL"],"itemData":{"id":3155,"type":"article","abstract":"The main force behind Ethiopia's economic growth and long-term food security is agriculture. It generates around 45% of the GDP, 90% of the revenues from foreign exchange, and 85% of all employment. Soil fertility depletion is the fundamental biophysical root cause for declining per capital food production in Sub-Saharan African countries in general and in Ethiopia in particular. The deficiency of micronutrients, particularly in pastoral communities, might be severe due to poor diets mitigated by poor healthcare access, drought, and poverty. Therefore, soil fertility evaluation is one area that needs immediate attention since the reduction in the productivity of several crops is due to ever-decreasing soil fertility on one hand and an imbalanced application of plant nutrients on the other. However, there is very little information available in the country about soil nutrients availability, or the levels of nutrients that are needed to produce economically optimal yields of the crops. We need to pay more attention to fertilizer-use efficiency of the limited amounts that farmers can buy, instead of basing fertilizer recommendations on the face value of agronomic responses, which often suggests large requirements for inorganic fertilizers. Therefore, future research should focus on assessing the availability of these and other micronutrients by collecting large number of soil and plant samples and conducting field trials in the area.","event-place":"Rochester, NY","genre":"SSRN Scholarly Paper","language":"en","number":"4574688","publisher":"Social Science Research Network","publisher-place":"Rochester, NY","source":"papers.ssrn.com","title":"Review on Role of Micronutrients, Current Status, and Knowledge Gaps in Ethiopian Agriculture for Ensuring Food Security","URL":"https://papers.ssrn.com/abstract=4574688","author":[{"family":"Hussien Siraj","given":"Tofik"}],"accessed":{"date-parts":[["2025",4,21]]},"issued":{"date-parts":[["2023",8,1]]}}}],"schema":"https://github.com/citation-style-language/schema/raw/master/csl-citation.json"} </w:instrText>
      </w:r>
      <w:r w:rsidR="00D50EEB" w:rsidRPr="00865D96">
        <w:rPr>
          <w:rFonts w:ascii="Arial" w:hAnsi="Arial" w:cs="Arial"/>
          <w:sz w:val="20"/>
          <w:szCs w:val="20"/>
          <w:lang w:val="en-US"/>
        </w:rPr>
        <w:fldChar w:fldCharType="separate"/>
      </w:r>
      <w:r w:rsidR="00D50EEB" w:rsidRPr="00865D96">
        <w:rPr>
          <w:rFonts w:ascii="Arial" w:hAnsi="Arial" w:cs="Arial"/>
          <w:kern w:val="0"/>
          <w:sz w:val="20"/>
          <w:szCs w:val="20"/>
          <w:vertAlign w:val="superscript"/>
        </w:rPr>
        <w:t>2</w:t>
      </w:r>
      <w:r w:rsidR="00944BC6">
        <w:rPr>
          <w:rFonts w:ascii="Arial" w:hAnsi="Arial" w:cs="Arial"/>
          <w:kern w:val="0"/>
          <w:sz w:val="20"/>
          <w:szCs w:val="20"/>
          <w:vertAlign w:val="superscript"/>
        </w:rPr>
        <w:t>6</w:t>
      </w:r>
      <w:r w:rsidR="00D50EEB" w:rsidRPr="00865D96">
        <w:rPr>
          <w:rFonts w:ascii="Arial" w:hAnsi="Arial" w:cs="Arial"/>
          <w:sz w:val="20"/>
          <w:szCs w:val="20"/>
          <w:lang w:val="en-US"/>
        </w:rPr>
        <w:fldChar w:fldCharType="end"/>
      </w:r>
      <w:r w:rsidR="005A622D" w:rsidRPr="00865D96">
        <w:rPr>
          <w:rFonts w:ascii="Arial" w:hAnsi="Arial" w:cs="Arial"/>
          <w:sz w:val="20"/>
          <w:szCs w:val="20"/>
          <w:lang w:val="en-US"/>
        </w:rPr>
        <w:t xml:space="preserve">. The excessive presence of iron is associated with the development of certain types of diseases such as cancers, diabetes, heart or liver diseases </w:t>
      </w:r>
      <w:r w:rsidR="00D50EEB" w:rsidRPr="00865D96">
        <w:rPr>
          <w:rFonts w:ascii="Arial" w:hAnsi="Arial" w:cs="Arial"/>
          <w:sz w:val="20"/>
          <w:szCs w:val="20"/>
          <w:lang w:val="en-US"/>
        </w:rPr>
        <w:fldChar w:fldCharType="begin"/>
      </w:r>
      <w:r w:rsidR="00D50EEB" w:rsidRPr="00865D96">
        <w:rPr>
          <w:rFonts w:ascii="Arial" w:hAnsi="Arial" w:cs="Arial"/>
          <w:sz w:val="20"/>
          <w:szCs w:val="20"/>
          <w:lang w:val="en-US"/>
        </w:rPr>
        <w:instrText xml:space="preserve"> ADDIN ZOTERO_ITEM CSL_CITATION {"citationID":"Cf9OeREV","properties":{"formattedCitation":"\\super 24\\nosupersub{}","plainCitation":"24","noteIndex":0},"citationItems":[{"id":3157,"uris":["http://zotero.org/users/local/JzcqJHT8/items/R46PP6C2"],"itemData":{"id":3157,"type":"article-journal","abstract":"Iron is an essential nutrient for the growth, development, and long-term survival of most organisms. High tissue iron concentrations have been associated with the development and progression of several pathological conditions, including certain cancers, liver and heart disease, diabetes, hormonal abnormalities, and immune system dysfunctions. In this review we discuss the relevance of iron toxicity on free radical-mediated tissue damage, and how iron interactions with nutrient antioxidants and other metals can affect the extent of oxidative damage to different biomolecules. It can be concluded that the ingestion of antioxidant rich foods may prevent or delay primary and secondary effects associated with iron overload-related diseases.","container-title":"Toxicology","DOI":"10.1016/S0300-483X(02)00379-7","ISSN":"0300-483X","issue":"1","journalAbbreviation":"Toxicology","page":"23-32","source":"ScienceDirect","title":"Iron toxicity and antioxidant nutrients","volume":"180","author":[{"family":"Fraga","given":"Cesar G."},{"family":"Oteiza","given":"Patricia I."}],"issued":{"date-parts":[["2002",10,30]]}}}],"schema":"https://github.com/citation-style-language/schema/raw/master/csl-citation.json"} </w:instrText>
      </w:r>
      <w:r w:rsidR="00D50EEB" w:rsidRPr="00865D96">
        <w:rPr>
          <w:rFonts w:ascii="Arial" w:hAnsi="Arial" w:cs="Arial"/>
          <w:sz w:val="20"/>
          <w:szCs w:val="20"/>
          <w:lang w:val="en-US"/>
        </w:rPr>
        <w:fldChar w:fldCharType="separate"/>
      </w:r>
      <w:r w:rsidR="00D50EEB" w:rsidRPr="00865D96">
        <w:rPr>
          <w:rFonts w:ascii="Arial" w:hAnsi="Arial" w:cs="Arial"/>
          <w:kern w:val="0"/>
          <w:sz w:val="20"/>
          <w:szCs w:val="20"/>
          <w:vertAlign w:val="superscript"/>
        </w:rPr>
        <w:t>2</w:t>
      </w:r>
      <w:r w:rsidR="00944BC6">
        <w:rPr>
          <w:rFonts w:ascii="Arial" w:hAnsi="Arial" w:cs="Arial"/>
          <w:kern w:val="0"/>
          <w:sz w:val="20"/>
          <w:szCs w:val="20"/>
          <w:vertAlign w:val="superscript"/>
        </w:rPr>
        <w:t>7</w:t>
      </w:r>
      <w:r w:rsidR="00D50EEB" w:rsidRPr="00865D96">
        <w:rPr>
          <w:rFonts w:ascii="Arial" w:hAnsi="Arial" w:cs="Arial"/>
          <w:sz w:val="20"/>
          <w:szCs w:val="20"/>
          <w:lang w:val="en-US"/>
        </w:rPr>
        <w:fldChar w:fldCharType="end"/>
      </w:r>
      <w:r w:rsidR="00D50EEB" w:rsidRPr="00865D96">
        <w:rPr>
          <w:rFonts w:ascii="Arial" w:hAnsi="Arial" w:cs="Arial"/>
          <w:sz w:val="20"/>
          <w:szCs w:val="20"/>
          <w:lang w:val="en-US"/>
        </w:rPr>
        <w:t xml:space="preserve">. </w:t>
      </w:r>
      <w:r w:rsidR="00620476" w:rsidRPr="00865D96">
        <w:rPr>
          <w:rFonts w:ascii="Arial" w:hAnsi="Arial" w:cs="Arial"/>
          <w:sz w:val="20"/>
          <w:szCs w:val="20"/>
          <w:lang w:val="en-US"/>
        </w:rPr>
        <w:t xml:space="preserve">The two samples of hulled and </w:t>
      </w:r>
      <w:proofErr w:type="spellStart"/>
      <w:r w:rsidR="00620476" w:rsidRPr="00865D96">
        <w:rPr>
          <w:rFonts w:ascii="Arial" w:hAnsi="Arial" w:cs="Arial"/>
          <w:sz w:val="20"/>
          <w:szCs w:val="20"/>
          <w:lang w:val="en-US"/>
        </w:rPr>
        <w:t>unhulled</w:t>
      </w:r>
      <w:proofErr w:type="spellEnd"/>
      <w:r w:rsidR="00620476" w:rsidRPr="00865D96">
        <w:rPr>
          <w:rFonts w:ascii="Arial" w:hAnsi="Arial" w:cs="Arial"/>
          <w:sz w:val="20"/>
          <w:szCs w:val="20"/>
          <w:lang w:val="en-US"/>
        </w:rPr>
        <w:t xml:space="preserve"> millet have iron concentrations of 1</w:t>
      </w:r>
      <w:r w:rsidR="00E3525A">
        <w:rPr>
          <w:rFonts w:ascii="Arial" w:hAnsi="Arial" w:cs="Arial"/>
          <w:sz w:val="20"/>
          <w:szCs w:val="20"/>
          <w:lang w:val="en-US"/>
        </w:rPr>
        <w:t>4</w:t>
      </w:r>
      <w:r w:rsidR="00620476" w:rsidRPr="00865D96">
        <w:rPr>
          <w:rFonts w:ascii="Arial" w:hAnsi="Arial" w:cs="Arial"/>
          <w:sz w:val="20"/>
          <w:szCs w:val="20"/>
          <w:lang w:val="en-US"/>
        </w:rPr>
        <w:t>.</w:t>
      </w:r>
      <w:r w:rsidR="00E3525A">
        <w:rPr>
          <w:rFonts w:ascii="Arial" w:hAnsi="Arial" w:cs="Arial"/>
          <w:sz w:val="20"/>
          <w:szCs w:val="20"/>
          <w:lang w:val="en-US"/>
        </w:rPr>
        <w:t>9</w:t>
      </w:r>
      <w:r w:rsidR="00620476" w:rsidRPr="00865D96">
        <w:rPr>
          <w:rFonts w:ascii="Arial" w:hAnsi="Arial" w:cs="Arial"/>
          <w:sz w:val="20"/>
          <w:szCs w:val="20"/>
          <w:lang w:val="en-US"/>
        </w:rPr>
        <w:t xml:space="preserve"> mg/Kg and 16.9 mg/Kg, respectively, indicating that </w:t>
      </w:r>
      <w:r w:rsidR="009A44DB">
        <w:rPr>
          <w:rFonts w:ascii="Arial" w:hAnsi="Arial" w:cs="Arial"/>
          <w:sz w:val="20"/>
          <w:szCs w:val="20"/>
          <w:lang w:val="en-US"/>
        </w:rPr>
        <w:t>11</w:t>
      </w:r>
      <w:r w:rsidR="00620476" w:rsidRPr="00865D96">
        <w:rPr>
          <w:rFonts w:ascii="Arial" w:hAnsi="Arial" w:cs="Arial"/>
          <w:sz w:val="20"/>
          <w:szCs w:val="20"/>
          <w:lang w:val="en-US"/>
        </w:rPr>
        <w:t>.</w:t>
      </w:r>
      <w:r w:rsidR="009A44DB">
        <w:rPr>
          <w:rFonts w:ascii="Arial" w:hAnsi="Arial" w:cs="Arial"/>
          <w:sz w:val="20"/>
          <w:szCs w:val="20"/>
          <w:lang w:val="en-US"/>
        </w:rPr>
        <w:t>8</w:t>
      </w:r>
      <w:r w:rsidR="00620476" w:rsidRPr="00865D96">
        <w:rPr>
          <w:rFonts w:ascii="Arial" w:hAnsi="Arial" w:cs="Arial"/>
          <w:sz w:val="20"/>
          <w:szCs w:val="20"/>
          <w:lang w:val="en-US"/>
        </w:rPr>
        <w:t>5% of the iron is concentrated on the</w:t>
      </w:r>
      <w:r w:rsidR="00276CBF" w:rsidRPr="00865D96">
        <w:rPr>
          <w:rFonts w:ascii="Arial" w:hAnsi="Arial" w:cs="Arial"/>
          <w:sz w:val="20"/>
          <w:szCs w:val="20"/>
          <w:lang w:val="en-US"/>
        </w:rPr>
        <w:t xml:space="preserve"> protective</w:t>
      </w:r>
      <w:r w:rsidR="00620476" w:rsidRPr="00865D96">
        <w:rPr>
          <w:rFonts w:ascii="Arial" w:hAnsi="Arial" w:cs="Arial"/>
          <w:sz w:val="20"/>
          <w:szCs w:val="20"/>
          <w:lang w:val="en-US"/>
        </w:rPr>
        <w:t xml:space="preserve"> </w:t>
      </w:r>
      <w:r w:rsidR="00276CBF" w:rsidRPr="00865D96">
        <w:rPr>
          <w:rFonts w:ascii="Arial" w:hAnsi="Arial" w:cs="Arial"/>
          <w:sz w:val="20"/>
          <w:szCs w:val="20"/>
          <w:lang w:val="en-US"/>
        </w:rPr>
        <w:t>film</w:t>
      </w:r>
      <w:r w:rsidR="00620476" w:rsidRPr="00865D96">
        <w:rPr>
          <w:rFonts w:ascii="Arial" w:hAnsi="Arial" w:cs="Arial"/>
          <w:sz w:val="20"/>
          <w:szCs w:val="20"/>
          <w:lang w:val="en-US"/>
        </w:rPr>
        <w:t xml:space="preserve"> of millet seeds. These values are lower than the limit value of </w:t>
      </w:r>
      <w:r w:rsidR="006578C2">
        <w:rPr>
          <w:rFonts w:ascii="Arial" w:hAnsi="Arial" w:cs="Arial"/>
          <w:sz w:val="20"/>
          <w:szCs w:val="20"/>
          <w:lang w:val="en-US"/>
        </w:rPr>
        <w:t>392</w:t>
      </w:r>
      <w:r w:rsidR="00620476" w:rsidRPr="00865D96">
        <w:rPr>
          <w:rFonts w:ascii="Arial" w:hAnsi="Arial" w:cs="Arial"/>
          <w:sz w:val="20"/>
          <w:szCs w:val="20"/>
          <w:lang w:val="en-US"/>
        </w:rPr>
        <w:t xml:space="preserve"> mg/Kg, defined by WHO /FAO</w:t>
      </w:r>
      <w:r w:rsidR="003B757F" w:rsidRPr="00865D96">
        <w:rPr>
          <w:rFonts w:ascii="Arial" w:hAnsi="Arial" w:cs="Arial"/>
          <w:sz w:val="20"/>
          <w:szCs w:val="20"/>
          <w:lang w:val="en-US"/>
        </w:rPr>
        <w:t xml:space="preserve"> </w:t>
      </w:r>
      <w:r w:rsidR="00B02C04"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{"citationID":"GA4bFnUB","properties":{"formattedCitation":"\\super 25\\nosupersub{}","plainCitation":"25","noteIndex":0},"citationItems":[{"id":3159,"uris":["http://zotero.org/users/local/JzcqJHT8/items/BT34ER4C"],"itemData":{"id":3159,"type":"article-journal","container-title":"WHO/FAO","issue":"1","page":"1-289","title":"FAO/WHO. Codex Alimentarius Commission. Food additives and contaminants. Joint FAO. WHO Food Standards Program. 2001;1:1–289","volume":"1","author":[{"family":"WHO","given":"FAO"}],"issued":{"date-parts":[["2011"]]}}}],"schema":"https://github.com/citation-style-language/schema/raw/master/csl-citation.json"} </w:instrText>
      </w:r>
      <w:r w:rsidR="00B02C04" w:rsidRPr="00865D96">
        <w:rPr>
          <w:rFonts w:ascii="Arial" w:hAnsi="Arial" w:cs="Arial"/>
          <w:sz w:val="20"/>
          <w:szCs w:val="20"/>
          <w:lang w:val="en-US"/>
        </w:rPr>
        <w:fldChar w:fldCharType="separate"/>
      </w:r>
      <w:r w:rsidR="003B757F" w:rsidRPr="00865D96">
        <w:rPr>
          <w:rFonts w:ascii="Arial" w:hAnsi="Arial" w:cs="Arial"/>
          <w:kern w:val="0"/>
          <w:sz w:val="20"/>
          <w:szCs w:val="20"/>
          <w:vertAlign w:val="superscript"/>
        </w:rPr>
        <w:t>2</w:t>
      </w:r>
      <w:r w:rsidR="00944BC6">
        <w:rPr>
          <w:rFonts w:ascii="Arial" w:hAnsi="Arial" w:cs="Arial"/>
          <w:kern w:val="0"/>
          <w:sz w:val="20"/>
          <w:szCs w:val="20"/>
          <w:vertAlign w:val="superscript"/>
        </w:rPr>
        <w:t>8</w:t>
      </w:r>
      <w:r w:rsidR="00B02C04" w:rsidRPr="00865D96">
        <w:rPr>
          <w:rFonts w:ascii="Arial" w:hAnsi="Arial" w:cs="Arial"/>
          <w:sz w:val="20"/>
          <w:szCs w:val="20"/>
          <w:lang w:val="en-US"/>
        </w:rPr>
        <w:fldChar w:fldCharType="end"/>
      </w:r>
      <w:r w:rsidR="00500DC1" w:rsidRPr="00865D96">
        <w:rPr>
          <w:rFonts w:ascii="Arial" w:hAnsi="Arial" w:cs="Arial"/>
          <w:sz w:val="20"/>
          <w:szCs w:val="20"/>
          <w:lang w:val="en-US"/>
        </w:rPr>
        <w:t xml:space="preserve">, </w:t>
      </w:r>
      <w:r w:rsidR="00864728" w:rsidRPr="00865D96">
        <w:rPr>
          <w:rFonts w:ascii="Arial" w:hAnsi="Arial" w:cs="Arial"/>
          <w:sz w:val="20"/>
          <w:szCs w:val="20"/>
          <w:lang w:val="en-US"/>
        </w:rPr>
        <w:t xml:space="preserve">the iron concentration is not of concern from the point of view of toxicity of hulled and </w:t>
      </w:r>
      <w:proofErr w:type="spellStart"/>
      <w:r w:rsidR="00864728" w:rsidRPr="00865D96">
        <w:rPr>
          <w:rFonts w:ascii="Arial" w:hAnsi="Arial" w:cs="Arial"/>
          <w:sz w:val="20"/>
          <w:szCs w:val="20"/>
          <w:lang w:val="en-US"/>
        </w:rPr>
        <w:t>unhulled</w:t>
      </w:r>
      <w:proofErr w:type="spellEnd"/>
      <w:r w:rsidR="00864728" w:rsidRPr="00865D96">
        <w:rPr>
          <w:rFonts w:ascii="Arial" w:hAnsi="Arial" w:cs="Arial"/>
          <w:sz w:val="20"/>
          <w:szCs w:val="20"/>
          <w:lang w:val="en-US"/>
        </w:rPr>
        <w:t xml:space="preserve"> millet used for consumption.</w:t>
      </w:r>
    </w:p>
    <w:p w14:paraId="3596B475" w14:textId="64365F30" w:rsidR="004E4EE9" w:rsidRPr="00865D96" w:rsidRDefault="00456AEB" w:rsidP="00C370EA">
      <w:pPr>
        <w:spacing w:line="276" w:lineRule="auto"/>
        <w:rPr>
          <w:rFonts w:ascii="Arial" w:hAnsi="Arial" w:cs="Arial"/>
          <w:sz w:val="20"/>
          <w:szCs w:val="20"/>
          <w:lang w:val="en-US"/>
        </w:rPr>
      </w:pPr>
      <w:r w:rsidRPr="00865D96">
        <w:rPr>
          <w:rFonts w:ascii="Arial" w:hAnsi="Arial" w:cs="Arial"/>
          <w:sz w:val="20"/>
          <w:szCs w:val="20"/>
          <w:lang w:val="en-US"/>
        </w:rPr>
        <w:t xml:space="preserve">Nickel toxicity is assessed based on the state of the element, the solubility of the chemical matrix and the form of exposure </w:t>
      </w:r>
      <w:r w:rsidR="007D7BA5" w:rsidRPr="00865D96">
        <w:rPr>
          <w:rFonts w:ascii="Arial" w:hAnsi="Arial" w:cs="Arial"/>
          <w:sz w:val="20"/>
          <w:szCs w:val="20"/>
          <w:lang w:val="en-US"/>
        </w:rPr>
        <w:fldChar w:fldCharType="begin"/>
      </w:r>
      <w:r w:rsidR="007D7BA5" w:rsidRPr="00865D96">
        <w:rPr>
          <w:rFonts w:ascii="Arial" w:hAnsi="Arial" w:cs="Arial"/>
          <w:sz w:val="20"/>
          <w:szCs w:val="20"/>
          <w:lang w:val="en-US"/>
        </w:rPr>
        <w:instrText xml:space="preserve"> ADDIN ZOTERO_ITEM CSL_CITATION {"citationID":"g2Pu626I","properties":{"formattedCitation":"\\super 26\\nosupersub{}","plainCitation":"26","noteIndex":0},"citationItems":[{"id":3160,"uris":["http://zotero.org/users/local/JzcqJHT8/items/9CI8V8KX"],"itemData":{"id":3160,"type":"article-journal","abstract":"Nickel is a transition element extensively distributed in the environment, air, water, and soil. It may derive from natural sources and anthropogenic activity. Although nickel is ubiquitous in the environment, its functional role as a trace element for animals and human beings has not been yet recognized. Environmental pollution from nickel may be due to industry, the use of liquid and solid fuels, as well as municipal and industrial waste. Nickel contact can cause a variety of side effects on human health, such as allergy, cardiovascular and kidney diseases, lung fibrosis, lung and nasal cancer. Although the molecular mechanisms of nickel-induced toxicity are not yet clear, mitochondrial dysfunctions and oxidative stress are thought to have a primary and crucial role in the toxicity of this metal. Recently, researchers, trying to characterize the capability of nickel to induce cancer, have found out that epigenetic alterations induced by nickel exposure can perturb the genome. The purpose of this review is to describe the chemical features of nickel in human beings and the mechanisms of its toxicity. Furthermore, the attention is focused on strategies to remove nickel from the environment, such as phytoremediation and phytomining.","container-title":"International Journal of Environmental Research and Public Health","DOI":"10.3390/ijerph17030679","ISSN":"1660-4601","issue":"3","journalAbbreviation":"Int J Environ Res Public Health","language":"eng","note":"PMID: 31973020\nPMCID: PMC7037090","page":"679","source":"PubMed","title":"Nickel: Human Health and Environmental Toxicology","title-short":"Nickel","volume":"17","author":[{"family":"Genchi","given":"Giuseppe"},{"family":"Carocci","given":"Alessia"},{"family":"Lauria","given":"Graziantonio"},{"family":"Sinicropi","given":"Maria Stefania"},{"family":"Catalano","given":"Alessia"}],"issued":{"date-parts":[["2020",1,21]]}}}],"schema":"https://github.com/citation-style-language/schema/raw/master/csl-citation.json"} </w:instrText>
      </w:r>
      <w:r w:rsidR="007D7BA5" w:rsidRPr="00865D96">
        <w:rPr>
          <w:rFonts w:ascii="Arial" w:hAnsi="Arial" w:cs="Arial"/>
          <w:sz w:val="20"/>
          <w:szCs w:val="20"/>
          <w:lang w:val="en-US"/>
        </w:rPr>
        <w:fldChar w:fldCharType="separate"/>
      </w:r>
      <w:r w:rsidR="007D7BA5" w:rsidRPr="00865D96">
        <w:rPr>
          <w:rFonts w:ascii="Arial" w:hAnsi="Arial" w:cs="Arial"/>
          <w:kern w:val="0"/>
          <w:sz w:val="20"/>
          <w:szCs w:val="20"/>
          <w:vertAlign w:val="superscript"/>
        </w:rPr>
        <w:t>2</w:t>
      </w:r>
      <w:r w:rsidR="00944BC6">
        <w:rPr>
          <w:rFonts w:ascii="Arial" w:hAnsi="Arial" w:cs="Arial"/>
          <w:kern w:val="0"/>
          <w:sz w:val="20"/>
          <w:szCs w:val="20"/>
          <w:vertAlign w:val="superscript"/>
        </w:rPr>
        <w:t>9</w:t>
      </w:r>
      <w:r w:rsidR="007D7BA5" w:rsidRPr="00865D96">
        <w:rPr>
          <w:rFonts w:ascii="Arial" w:hAnsi="Arial" w:cs="Arial"/>
          <w:sz w:val="20"/>
          <w:szCs w:val="20"/>
          <w:lang w:val="en-US"/>
        </w:rPr>
        <w:fldChar w:fldCharType="end"/>
      </w:r>
      <w:r w:rsidR="007D7BA5" w:rsidRPr="00865D96">
        <w:rPr>
          <w:rFonts w:ascii="Arial" w:hAnsi="Arial" w:cs="Arial"/>
          <w:sz w:val="20"/>
          <w:szCs w:val="20"/>
          <w:lang w:val="en-US"/>
        </w:rPr>
        <w:t>.</w:t>
      </w:r>
      <w:r w:rsidRPr="00865D96">
        <w:rPr>
          <w:rFonts w:ascii="Arial" w:hAnsi="Arial" w:cs="Arial"/>
          <w:color w:val="FF0000"/>
          <w:sz w:val="20"/>
          <w:szCs w:val="20"/>
          <w:lang w:val="en-US"/>
        </w:rPr>
        <w:t xml:space="preserve"> </w:t>
      </w:r>
      <w:r w:rsidR="00E17F28" w:rsidRPr="00865D96">
        <w:rPr>
          <w:rFonts w:ascii="Arial" w:hAnsi="Arial" w:cs="Arial"/>
          <w:sz w:val="20"/>
          <w:szCs w:val="20"/>
          <w:lang w:val="en-US"/>
        </w:rPr>
        <w:t xml:space="preserve">Damage may be noted irreversible in internal tissues causing certain types of cancers or on the skin </w:t>
      </w:r>
      <w:r w:rsidR="00B11B42" w:rsidRPr="00865D96">
        <w:rPr>
          <w:rFonts w:ascii="Arial" w:hAnsi="Arial" w:cs="Arial"/>
          <w:sz w:val="20"/>
          <w:szCs w:val="20"/>
          <w:lang w:val="en-US"/>
        </w:rPr>
        <w:fldChar w:fldCharType="begin"/>
      </w:r>
      <w:r w:rsidR="00B11B42" w:rsidRPr="00865D96">
        <w:rPr>
          <w:rFonts w:ascii="Arial" w:hAnsi="Arial" w:cs="Arial"/>
          <w:sz w:val="20"/>
          <w:szCs w:val="20"/>
          <w:lang w:val="en-US"/>
        </w:rPr>
        <w:instrText xml:space="preserve"> ADDIN ZOTERO_ITEM CSL_CITATION {"citationID":"VNWiXEw3","properties":{"formattedCitation":"\\super 27\\nosupersub{}","plainCitation":"27","noteIndex":0},"citationItems":[{"id":3166,"uris":["http://zotero.org/users/local/JzcqJHT8/items/DP43V4PK"],"itemData":{"id":3166,"type":"webpage","title":"Scientific Opinion on the risks to public health related to the presence of nickel in food and drinking water - - 2015 - EFSA Journal - Wiley Online Library","URL":"https://efsa.onlinelibrary.wiley.com/doi/10.2903/j.efsa.2015.4002","accessed":{"date-parts":[["2025",4,21]]}}}],"schema":"https://github.com/citation-style-language/schema/raw/master/csl-citation.json"} </w:instrText>
      </w:r>
      <w:r w:rsidR="00B11B42" w:rsidRPr="00865D96">
        <w:rPr>
          <w:rFonts w:ascii="Arial" w:hAnsi="Arial" w:cs="Arial"/>
          <w:sz w:val="20"/>
          <w:szCs w:val="20"/>
          <w:lang w:val="en-US"/>
        </w:rPr>
        <w:fldChar w:fldCharType="separate"/>
      </w:r>
      <w:r w:rsidR="00B0253A">
        <w:rPr>
          <w:rFonts w:ascii="Arial" w:hAnsi="Arial" w:cs="Arial"/>
          <w:kern w:val="0"/>
          <w:sz w:val="20"/>
          <w:szCs w:val="20"/>
          <w:vertAlign w:val="superscript"/>
        </w:rPr>
        <w:t>30</w:t>
      </w:r>
      <w:r w:rsidR="00B11B42" w:rsidRPr="00865D96">
        <w:rPr>
          <w:rFonts w:ascii="Arial" w:hAnsi="Arial" w:cs="Arial"/>
          <w:sz w:val="20"/>
          <w:szCs w:val="20"/>
          <w:lang w:val="en-US"/>
        </w:rPr>
        <w:fldChar w:fldCharType="end"/>
      </w:r>
      <w:r w:rsidR="00B11B42" w:rsidRPr="00865D96">
        <w:rPr>
          <w:rFonts w:ascii="Arial" w:hAnsi="Arial" w:cs="Arial"/>
          <w:sz w:val="20"/>
          <w:szCs w:val="20"/>
          <w:lang w:val="en-US"/>
        </w:rPr>
        <w:t xml:space="preserve">. </w:t>
      </w:r>
      <w:r w:rsidRPr="00865D96">
        <w:rPr>
          <w:rFonts w:ascii="Arial" w:hAnsi="Arial" w:cs="Arial"/>
          <w:sz w:val="20"/>
          <w:szCs w:val="20"/>
          <w:lang w:val="en-US"/>
        </w:rPr>
        <w:t xml:space="preserve">The most noted effect is allergic contact dermatitis </w:t>
      </w:r>
      <w:r w:rsidR="00C9663F" w:rsidRPr="00865D96">
        <w:rPr>
          <w:rFonts w:ascii="Arial" w:hAnsi="Arial" w:cs="Arial"/>
          <w:sz w:val="20"/>
          <w:szCs w:val="20"/>
          <w:lang w:val="en-US"/>
        </w:rPr>
        <w:fldChar w:fldCharType="begin"/>
      </w:r>
      <w:r w:rsidR="00C9663F" w:rsidRPr="00865D96">
        <w:rPr>
          <w:rFonts w:ascii="Arial" w:hAnsi="Arial" w:cs="Arial"/>
          <w:sz w:val="20"/>
          <w:szCs w:val="20"/>
          <w:lang w:val="en-US"/>
        </w:rPr>
        <w:instrText xml:space="preserve"> ADDIN ZOTERO_ITEM CSL_CITATION {"citationID":"skvsxCW4","properties":{"formattedCitation":"\\super 28\\nosupersub{}","plainCitation":"28","noteIndex":0},"citationItems":[{"id":3168,"uris":["http://zotero.org/users/local/JzcqJHT8/items/X58KGHI8"],"itemData":{"id":3168,"type":"article-journal","container-title":"Przemysł Spożywczy","DOI":"10.15199/65.2016.8.6","ISSN":"0033-250X","issue":"08","language":"PL","note":"publisher: -","source":"agro.icm.edu.pl","title":"Nikiel w środkach spożywczych","URL":"http://agro.icm.edu.pl/agro/element/bwmeta1.element.agro-a8b2729e-25a5-452e-b473-44547035966d","volume":"70","author":[{"family":"Mania","given":"M."},{"family":"Szynal","given":"T."},{"family":"Wojciechowska-Mazurek","given":"M."},{"family":"Rebeniak","given":"M."}],"accessed":{"date-parts":[["2025",4,21]]},"issued":{"date-parts":[["2016"]]}}}],"schema":"https://github.com/citation-style-language/schema/raw/master/csl-citation.json"} </w:instrText>
      </w:r>
      <w:r w:rsidR="00C9663F" w:rsidRPr="00865D96">
        <w:rPr>
          <w:rFonts w:ascii="Arial" w:hAnsi="Arial" w:cs="Arial"/>
          <w:sz w:val="20"/>
          <w:szCs w:val="20"/>
          <w:lang w:val="en-US"/>
        </w:rPr>
        <w:fldChar w:fldCharType="separate"/>
      </w:r>
      <w:r w:rsidR="00B0253A">
        <w:rPr>
          <w:rFonts w:ascii="Arial" w:hAnsi="Arial" w:cs="Arial"/>
          <w:kern w:val="0"/>
          <w:sz w:val="20"/>
          <w:szCs w:val="20"/>
          <w:vertAlign w:val="superscript"/>
        </w:rPr>
        <w:t>31</w:t>
      </w:r>
      <w:r w:rsidR="00C9663F" w:rsidRPr="00865D96">
        <w:rPr>
          <w:rFonts w:ascii="Arial" w:hAnsi="Arial" w:cs="Arial"/>
          <w:sz w:val="20"/>
          <w:szCs w:val="20"/>
          <w:lang w:val="en-US"/>
        </w:rPr>
        <w:fldChar w:fldCharType="end"/>
      </w:r>
      <w:r w:rsidR="00500DC1" w:rsidRPr="00865D96">
        <w:rPr>
          <w:rFonts w:ascii="Arial" w:hAnsi="Arial" w:cs="Arial"/>
          <w:sz w:val="20"/>
          <w:szCs w:val="20"/>
          <w:lang w:val="en-US"/>
        </w:rPr>
        <w:t>.</w:t>
      </w:r>
      <w:r w:rsidRPr="00865D96">
        <w:rPr>
          <w:rFonts w:ascii="Arial" w:hAnsi="Arial" w:cs="Arial"/>
          <w:sz w:val="20"/>
          <w:szCs w:val="20"/>
          <w:lang w:val="en-US"/>
        </w:rPr>
        <w:t xml:space="preserve"> In this study, the complete absence of Ni in both hulled and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was noted. Although the WHO has not established any standards for this metal, some authors have estimated the daily dietary intake of nickel between 70 μg and 400 μg </w:t>
      </w:r>
      <w:r w:rsidR="00F40DDF" w:rsidRPr="00865D96">
        <w:rPr>
          <w:rFonts w:ascii="Arial" w:hAnsi="Arial" w:cs="Arial"/>
          <w:sz w:val="20"/>
          <w:szCs w:val="20"/>
          <w:lang w:val="en-US"/>
        </w:rPr>
        <w:fldChar w:fldCharType="begin"/>
      </w:r>
      <w:r w:rsidR="00F40DDF" w:rsidRPr="00865D96">
        <w:rPr>
          <w:rFonts w:ascii="Arial" w:hAnsi="Arial" w:cs="Arial"/>
          <w:sz w:val="20"/>
          <w:szCs w:val="20"/>
          <w:lang w:val="en-US"/>
        </w:rPr>
        <w:instrText xml:space="preserve"> ADDIN ZOTERO_ITEM CSL_CITATION {"citationID":"gQuxH3UA","properties":{"formattedCitation":"\\super 29\\nosupersub{}","plainCitation":"29","noteIndex":0},"citationItems":[{"id":3170,"uris":["http://zotero.org/users/local/JzcqJHT8/items/VJUX6MMB"],"itemData":{"id":3170,"type":"article-journal","container-title":"Advances in Nutrition","DOI":"10.1093/advances/nmaa154","ISSN":"2161-8313","issue":"1","journalAbbreviation":"Advances in Nutrition","page":"281-282","source":"ScienceDirect","title":"Nickel","volume":"12","author":[{"family":"Nielsen","given":"Forrest"}],"issued":{"date-parts":[["2021",1,1]]}}}],"schema":"https://github.com/citation-style-language/schema/raw/master/csl-citation.json"} </w:instrText>
      </w:r>
      <w:r w:rsidR="00F40DDF" w:rsidRPr="00865D96">
        <w:rPr>
          <w:rFonts w:ascii="Arial" w:hAnsi="Arial" w:cs="Arial"/>
          <w:sz w:val="20"/>
          <w:szCs w:val="20"/>
          <w:lang w:val="en-US"/>
        </w:rPr>
        <w:fldChar w:fldCharType="separate"/>
      </w:r>
      <w:r w:rsidR="00B0253A">
        <w:rPr>
          <w:rFonts w:ascii="Arial" w:hAnsi="Arial" w:cs="Arial"/>
          <w:kern w:val="0"/>
          <w:sz w:val="20"/>
          <w:szCs w:val="20"/>
          <w:vertAlign w:val="superscript"/>
        </w:rPr>
        <w:t>32</w:t>
      </w:r>
      <w:r w:rsidR="00F40DDF" w:rsidRPr="00865D96">
        <w:rPr>
          <w:rFonts w:ascii="Arial" w:hAnsi="Arial" w:cs="Arial"/>
          <w:sz w:val="20"/>
          <w:szCs w:val="20"/>
          <w:lang w:val="en-US"/>
        </w:rPr>
        <w:fldChar w:fldCharType="end"/>
      </w:r>
      <w:r w:rsidR="009333AC" w:rsidRPr="00865D96">
        <w:rPr>
          <w:rFonts w:ascii="Arial" w:hAnsi="Arial" w:cs="Arial"/>
          <w:sz w:val="20"/>
          <w:szCs w:val="20"/>
          <w:lang w:val="en-US"/>
        </w:rPr>
        <w:t>.</w:t>
      </w:r>
    </w:p>
    <w:p w14:paraId="77627BE0" w14:textId="2257CCEF" w:rsidR="00C83B8C" w:rsidRPr="00865D96" w:rsidRDefault="00B35C7F" w:rsidP="00C370EA">
      <w:pPr>
        <w:spacing w:line="276" w:lineRule="auto"/>
        <w:rPr>
          <w:rFonts w:ascii="Arial" w:hAnsi="Arial" w:cs="Arial"/>
          <w:sz w:val="20"/>
          <w:szCs w:val="20"/>
          <w:lang w:val="en-US"/>
        </w:rPr>
      </w:pPr>
      <w:r w:rsidRPr="00865D96">
        <w:rPr>
          <w:rFonts w:ascii="Arial" w:hAnsi="Arial" w:cs="Arial"/>
          <w:sz w:val="20"/>
          <w:szCs w:val="20"/>
          <w:lang w:val="en-US"/>
        </w:rPr>
        <w:t xml:space="preserve">Exposure to copper, which is an essential element for many biological processes, can lead to health risks when levels are very high. Irreversible complications can be observed during copper poisoning </w:t>
      </w:r>
      <w:r w:rsidR="00F40DDF" w:rsidRPr="00865D96">
        <w:rPr>
          <w:rFonts w:ascii="Arial" w:hAnsi="Arial" w:cs="Arial"/>
          <w:sz w:val="20"/>
          <w:szCs w:val="20"/>
          <w:lang w:val="en-US"/>
        </w:rPr>
        <w:fldChar w:fldCharType="begin"/>
      </w:r>
      <w:r w:rsidR="00C7513B" w:rsidRPr="00865D96">
        <w:rPr>
          <w:rFonts w:ascii="Arial" w:hAnsi="Arial" w:cs="Arial"/>
          <w:sz w:val="20"/>
          <w:szCs w:val="20"/>
          <w:lang w:val="en-US"/>
        </w:rPr>
        <w:instrText xml:space="preserve"> ADDIN ZOTERO_ITEM CSL_CITATION {"citationID":"ziJZcdSe","properties":{"formattedCitation":"\\super 30\\nosupersub{}","plainCitation":"30","noteIndex":0},"citationItems":[{"id":3173,"uris":["http://zotero.org/users/local/JzcqJHT8/items/QQT2KIN8"],"itemData":{"id":3173,"type":"article-journal","abstract":"Higher eukaryotes' life is impossible without copper redox activity and, literally, every breath we take biochemically demonstrates this. However, this dependence comes at a considerable price to ensure target-oriented copper action. Thereto its uptake, distribution but also excretion are executed by specialized proteins with high affinity for the transition metal. Consequently, malfunction of copper enzymes/transporters, as is the case in hereditary Wilson disease that affects the intracellular copper transporter ATP7B, comes with serious cellular damage. One hallmark of this disease is the progressive copper accumulation, primarily in liver but also brain that becomes deadly if left untreated. Such excess copper toxicity may also result from accidental ingestion or attempted suicide. Recent research has shed new light into the cell-toxic mechanisms and primarily affected intracellular targets and processes of such excess copper that may even be exploited with respect to cancer therapy. Moreover, new therapies are currently under development to fight against deadly toxic copper.","container-title":"Redox Biology","DOI":"10.1016/j.redox.2024.103256","ISSN":"2213-2317","journalAbbreviation":"Redox Biol","language":"eng","note":"PMID: 38959622\nPMCID: PMC11269798","page":"103256","source":"PubMed","title":"Deadly excess copper","volume":"75","author":[{"family":"Sailer","given":"Judith"},{"family":"Nagel","given":"Judith"},{"family":"Akdogan","given":"Banu"},{"family":"Jauch","given":"Adrian T."},{"family":"Engler","given":"Jonas"},{"family":"Knolle","given":"Percy A."},{"family":"Zischka","given":"Hans"}],"issued":{"date-parts":[["2024",9]]}}}],"schema":"https://github.com/citation-style-language/schema/raw/master/csl-citation.json"} </w:instrText>
      </w:r>
      <w:r w:rsidR="00F40DDF" w:rsidRPr="00865D96">
        <w:rPr>
          <w:rFonts w:ascii="Arial" w:hAnsi="Arial" w:cs="Arial"/>
          <w:sz w:val="20"/>
          <w:szCs w:val="20"/>
          <w:lang w:val="en-US"/>
        </w:rPr>
        <w:fldChar w:fldCharType="separate"/>
      </w:r>
      <w:r w:rsidR="00C7513B" w:rsidRPr="00865D96">
        <w:rPr>
          <w:rFonts w:ascii="Arial" w:hAnsi="Arial" w:cs="Arial"/>
          <w:kern w:val="0"/>
          <w:sz w:val="20"/>
          <w:szCs w:val="20"/>
          <w:vertAlign w:val="superscript"/>
        </w:rPr>
        <w:t>3</w:t>
      </w:r>
      <w:r w:rsidR="00280DEB">
        <w:rPr>
          <w:rFonts w:ascii="Arial" w:hAnsi="Arial" w:cs="Arial"/>
          <w:kern w:val="0"/>
          <w:sz w:val="20"/>
          <w:szCs w:val="20"/>
          <w:vertAlign w:val="superscript"/>
        </w:rPr>
        <w:t>3</w:t>
      </w:r>
      <w:r w:rsidR="00F40DDF" w:rsidRPr="00865D96">
        <w:rPr>
          <w:rFonts w:ascii="Arial" w:hAnsi="Arial" w:cs="Arial"/>
          <w:sz w:val="20"/>
          <w:szCs w:val="20"/>
          <w:lang w:val="en-US"/>
        </w:rPr>
        <w:fldChar w:fldCharType="end"/>
      </w:r>
      <w:r w:rsidR="00C7513B" w:rsidRPr="00865D96">
        <w:rPr>
          <w:rFonts w:ascii="Arial" w:hAnsi="Arial" w:cs="Arial"/>
          <w:sz w:val="20"/>
          <w:szCs w:val="20"/>
          <w:lang w:val="en-US"/>
        </w:rPr>
        <w:t xml:space="preserve">. </w:t>
      </w:r>
      <w:r w:rsidR="003247CB" w:rsidRPr="00865D96">
        <w:rPr>
          <w:rFonts w:ascii="Arial" w:hAnsi="Arial" w:cs="Arial"/>
          <w:sz w:val="20"/>
          <w:szCs w:val="20"/>
          <w:lang w:val="en-US"/>
        </w:rPr>
        <w:t xml:space="preserve">Biological development </w:t>
      </w:r>
      <w:r w:rsidRPr="00865D96">
        <w:rPr>
          <w:rFonts w:ascii="Arial" w:hAnsi="Arial" w:cs="Arial"/>
          <w:sz w:val="20"/>
          <w:szCs w:val="20"/>
          <w:lang w:val="en-US"/>
        </w:rPr>
        <w:t xml:space="preserve">requires </w:t>
      </w:r>
      <w:r w:rsidR="00307B7E" w:rsidRPr="00865D96">
        <w:rPr>
          <w:rFonts w:ascii="Arial" w:hAnsi="Arial" w:cs="Arial"/>
          <w:sz w:val="20"/>
          <w:szCs w:val="20"/>
          <w:lang w:val="en-US"/>
        </w:rPr>
        <w:t xml:space="preserve">the presence of many enzymes containing the element copper </w:t>
      </w:r>
      <w:r w:rsidR="00C7513B" w:rsidRPr="00865D96">
        <w:rPr>
          <w:rFonts w:ascii="Arial" w:hAnsi="Arial" w:cs="Arial"/>
          <w:sz w:val="20"/>
          <w:szCs w:val="20"/>
          <w:lang w:val="en-US"/>
        </w:rPr>
        <w:fldChar w:fldCharType="begin"/>
      </w:r>
      <w:r w:rsidR="00C7513B" w:rsidRPr="00865D96">
        <w:rPr>
          <w:rFonts w:ascii="Arial" w:hAnsi="Arial" w:cs="Arial"/>
          <w:sz w:val="20"/>
          <w:szCs w:val="20"/>
          <w:lang w:val="en-US"/>
        </w:rPr>
        <w:instrText xml:space="preserve"> ADDIN ZOTERO_ITEM CSL_CITATION {"citationID":"xXn8B25F","properties":{"formattedCitation":"\\super 31\\nosupersub{}","plainCitation":"31","noteIndex":0},"citationItems":[{"id":3176,"uris":["http://zotero.org/users/local/JzcqJHT8/items/HBZ646IZ"],"itemData":{"id":3176,"type":"article-journal","abstract":"As an essential micronutrient, copper is required for a wide range of physiological processes in virtually all cell types. Because the accumulation of intracellular copper can induce oxidative stress and perturbing cellular function, copper homeostasis is tightly regulated. Recent studies identified a novel copper-dependent form of cell death called cuproptosis, which is distinct from all other known pathways underlying cell death. Cuproptosis occurs via copper binding to lipoylated enzymes in the tricarboxylic acid (TCA) cycle, which leads to subsequent protein aggregation, proteotoxic stress, and ultimately cell death. Here, we summarize our current knowledge regarding copper metabolism, copper-related disease, the characteristics of cuproptosis, and the mechanisms that regulate cuproptosis. In addition, we discuss the implications of cuproptosis in the pathogenesis of various disease conditions, including Wilson's disease, neurodegenerative diseases, and cancer, and we discuss the therapeutic potential of targeting cuproptosis.","container-title":"Signal Transduction and Targeted Therapy","DOI":"10.1038/s41392-022-01229-y","ISSN":"2059-3635","issue":"1","journalAbbreviation":"Signal Transduct Target Ther","language":"eng","note":"PMID: 36414625\nPMCID: PMC9681860","page":"378","source":"PubMed","title":"Copper homeostasis and cuproptosis in health and disease","volume":"7","author":[{"family":"Chen","given":"Liyun"},{"family":"Min","given":"Junxia"},{"family":"Wang","given":"Fudi"}],"issued":{"date-parts":[["2022",11,23]]}}}],"schema":"https://github.com/citation-style-language/schema/raw/master/csl-citation.json"} </w:instrText>
      </w:r>
      <w:r w:rsidR="00C7513B" w:rsidRPr="00865D96">
        <w:rPr>
          <w:rFonts w:ascii="Arial" w:hAnsi="Arial" w:cs="Arial"/>
          <w:sz w:val="20"/>
          <w:szCs w:val="20"/>
          <w:lang w:val="en-US"/>
        </w:rPr>
        <w:fldChar w:fldCharType="separate"/>
      </w:r>
      <w:r w:rsidR="00C7513B" w:rsidRPr="00865D96">
        <w:rPr>
          <w:rFonts w:ascii="Arial" w:hAnsi="Arial" w:cs="Arial"/>
          <w:kern w:val="0"/>
          <w:sz w:val="20"/>
          <w:szCs w:val="20"/>
          <w:vertAlign w:val="superscript"/>
        </w:rPr>
        <w:t>3</w:t>
      </w:r>
      <w:r w:rsidR="00280DEB">
        <w:rPr>
          <w:rFonts w:ascii="Arial" w:hAnsi="Arial" w:cs="Arial"/>
          <w:kern w:val="0"/>
          <w:sz w:val="20"/>
          <w:szCs w:val="20"/>
          <w:vertAlign w:val="superscript"/>
        </w:rPr>
        <w:t>4</w:t>
      </w:r>
      <w:r w:rsidR="00C7513B" w:rsidRPr="00865D96">
        <w:rPr>
          <w:rFonts w:ascii="Arial" w:hAnsi="Arial" w:cs="Arial"/>
          <w:sz w:val="20"/>
          <w:szCs w:val="20"/>
          <w:lang w:val="en-US"/>
        </w:rPr>
        <w:fldChar w:fldCharType="end"/>
      </w:r>
      <w:r w:rsidRPr="00865D96">
        <w:rPr>
          <w:rFonts w:ascii="Arial" w:hAnsi="Arial" w:cs="Arial"/>
          <w:sz w:val="20"/>
          <w:szCs w:val="20"/>
          <w:lang w:val="en-US"/>
        </w:rPr>
        <w:t xml:space="preserve">. Both hulled and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samples have similar copper concentrations of 0.9 mg/Kg and 1.1 mg/Kg, respectively. Most of the copper is concentrated inside the seed and not on the </w:t>
      </w:r>
      <w:r w:rsidR="003C6041" w:rsidRPr="00865D96">
        <w:rPr>
          <w:rFonts w:ascii="Arial" w:hAnsi="Arial" w:cs="Arial"/>
          <w:sz w:val="20"/>
          <w:szCs w:val="20"/>
          <w:lang w:val="en-US"/>
        </w:rPr>
        <w:t xml:space="preserve">seed </w:t>
      </w:r>
      <w:r w:rsidRPr="00865D96">
        <w:rPr>
          <w:rFonts w:ascii="Arial" w:hAnsi="Arial" w:cs="Arial"/>
          <w:sz w:val="20"/>
          <w:szCs w:val="20"/>
          <w:lang w:val="en-US"/>
        </w:rPr>
        <w:t xml:space="preserve">pellicle. These values are lower than the limit value of 20 mg/Kg, defined by WHO /FAO </w:t>
      </w:r>
      <w:r w:rsidR="00BD7E15" w:rsidRPr="00865D96">
        <w:rPr>
          <w:rFonts w:ascii="Arial" w:hAnsi="Arial" w:cs="Arial"/>
          <w:sz w:val="20"/>
          <w:szCs w:val="20"/>
          <w:lang w:val="en-US"/>
        </w:rPr>
        <w:fldChar w:fldCharType="begin"/>
      </w:r>
      <w:r w:rsidR="00BD7E15" w:rsidRPr="00865D96">
        <w:rPr>
          <w:rFonts w:ascii="Arial" w:hAnsi="Arial" w:cs="Arial"/>
          <w:sz w:val="20"/>
          <w:szCs w:val="20"/>
          <w:lang w:val="en-US"/>
        </w:rPr>
        <w:instrText xml:space="preserve"> ADDIN ZOTERO_ITEM CSL_CITATION {"citationID":"El6xDC8u","properties":{"formattedCitation":"\\super 32\\nosupersub{}","plainCitation":"32","noteIndex":0},"citationItems":[{"id":3180,"uris":["http://zotero.org/users/local/JzcqJHT8/items/JWCH2VK4"],"itemData":{"id":3180,"type":"article-journal","abstract":"Journal of the Chemical Society of Pakistan (JCSP) is a bimonthly Journal which publishes results of original, unpublished research work and review articles in all fields of Chemistry.","container-title":"Journal of The Chemical Society of Pakistan","issue":"6","journalAbbreviation":"JCSP","page":"1091","source":"jcsp.org.pk","title":"Heavy Metals in Chinese Therapeutic Foods and Herbs","volume":"34","author":[{"family":"Li","given":"Shu-Mei"},{"family":"Fang","given":"Yang"},{"family":"Wu","given":"Hong-Mei Ning and Ying Xia"}],"issued":{"date-parts":[["2013",1,30]]}}}],"schema":"https://github.com/citation-style-language/schema/raw/master/csl-citation.json"} </w:instrText>
      </w:r>
      <w:r w:rsidR="00BD7E15" w:rsidRPr="00865D96">
        <w:rPr>
          <w:rFonts w:ascii="Arial" w:hAnsi="Arial" w:cs="Arial"/>
          <w:sz w:val="20"/>
          <w:szCs w:val="20"/>
          <w:lang w:val="en-US"/>
        </w:rPr>
        <w:fldChar w:fldCharType="separate"/>
      </w:r>
      <w:r w:rsidR="00BD7E15" w:rsidRPr="00865D96">
        <w:rPr>
          <w:rFonts w:ascii="Arial" w:hAnsi="Arial" w:cs="Arial"/>
          <w:kern w:val="0"/>
          <w:sz w:val="20"/>
          <w:szCs w:val="20"/>
          <w:vertAlign w:val="superscript"/>
        </w:rPr>
        <w:t>3</w:t>
      </w:r>
      <w:r w:rsidR="00280DEB">
        <w:rPr>
          <w:rFonts w:ascii="Arial" w:hAnsi="Arial" w:cs="Arial"/>
          <w:kern w:val="0"/>
          <w:sz w:val="20"/>
          <w:szCs w:val="20"/>
          <w:vertAlign w:val="superscript"/>
        </w:rPr>
        <w:t>5</w:t>
      </w:r>
      <w:r w:rsidR="00BD7E15" w:rsidRPr="00865D96">
        <w:rPr>
          <w:rFonts w:ascii="Arial" w:hAnsi="Arial" w:cs="Arial"/>
          <w:sz w:val="20"/>
          <w:szCs w:val="20"/>
          <w:lang w:val="en-US"/>
        </w:rPr>
        <w:fldChar w:fldCharType="end"/>
      </w:r>
      <w:r w:rsidRPr="00865D96">
        <w:rPr>
          <w:rFonts w:ascii="Arial" w:hAnsi="Arial" w:cs="Arial"/>
          <w:sz w:val="20"/>
          <w:szCs w:val="20"/>
          <w:lang w:val="en-US"/>
        </w:rPr>
        <w:t xml:space="preserve">, the copper concentration is not of concern from the point of view of toxicity of hulled and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used for consumption.</w:t>
      </w:r>
    </w:p>
    <w:p w14:paraId="11D99FB5" w14:textId="6480BAAA" w:rsidR="002E1822" w:rsidRPr="00865D96" w:rsidRDefault="005D23E6" w:rsidP="00C370EA">
      <w:pPr>
        <w:spacing w:line="276" w:lineRule="auto"/>
        <w:rPr>
          <w:rFonts w:ascii="Arial" w:hAnsi="Arial" w:cs="Arial"/>
          <w:sz w:val="20"/>
          <w:szCs w:val="20"/>
          <w:lang w:val="en-US"/>
        </w:rPr>
      </w:pPr>
      <w:r w:rsidRPr="00865D96">
        <w:rPr>
          <w:rFonts w:ascii="Arial" w:hAnsi="Arial" w:cs="Arial"/>
          <w:sz w:val="20"/>
          <w:szCs w:val="20"/>
          <w:lang w:val="en-US"/>
        </w:rPr>
        <w:t xml:space="preserve">Although essential for </w:t>
      </w:r>
      <w:r w:rsidR="005B5153" w:rsidRPr="00865D96">
        <w:rPr>
          <w:rFonts w:ascii="Arial" w:hAnsi="Arial" w:cs="Arial"/>
          <w:sz w:val="20"/>
          <w:szCs w:val="20"/>
          <w:lang w:val="en-US"/>
        </w:rPr>
        <w:t>human</w:t>
      </w:r>
      <w:r w:rsidRPr="00865D96">
        <w:rPr>
          <w:rFonts w:ascii="Arial" w:hAnsi="Arial" w:cs="Arial"/>
          <w:sz w:val="20"/>
          <w:szCs w:val="20"/>
          <w:lang w:val="en-US"/>
        </w:rPr>
        <w:t xml:space="preserve"> metabolism, zinc is dangerous at high levels.</w:t>
      </w:r>
      <w:r w:rsidR="006F02C8" w:rsidRPr="00865D96">
        <w:rPr>
          <w:rFonts w:ascii="Arial" w:hAnsi="Arial" w:cs="Arial"/>
          <w:sz w:val="20"/>
          <w:szCs w:val="20"/>
          <w:lang w:val="en-US"/>
        </w:rPr>
        <w:t xml:space="preserve"> </w:t>
      </w:r>
      <w:r w:rsidR="0055013E" w:rsidRPr="00865D96">
        <w:rPr>
          <w:rFonts w:ascii="Arial" w:hAnsi="Arial" w:cs="Arial"/>
          <w:sz w:val="20"/>
          <w:szCs w:val="20"/>
          <w:lang w:val="en-US"/>
        </w:rPr>
        <w:t xml:space="preserve">Zinc is essential for many physiological functions. Several metalloenzymes contain zinc which is essential for their functioning such as in enzymatic catalysis </w:t>
      </w:r>
      <w:r w:rsidR="00BD7E15" w:rsidRPr="00865D96">
        <w:rPr>
          <w:rFonts w:ascii="Arial" w:hAnsi="Arial" w:cs="Arial"/>
          <w:sz w:val="20"/>
          <w:szCs w:val="20"/>
          <w:lang w:val="en-US"/>
        </w:rPr>
        <w:fldChar w:fldCharType="begin"/>
      </w:r>
      <w:r w:rsidR="00BD7E15" w:rsidRPr="00865D96">
        <w:rPr>
          <w:rFonts w:ascii="Arial" w:hAnsi="Arial" w:cs="Arial"/>
          <w:sz w:val="20"/>
          <w:szCs w:val="20"/>
          <w:lang w:val="en-US"/>
        </w:rPr>
        <w:instrText xml:space="preserve"> ADDIN ZOTERO_ITEM CSL_CITATION {"citationID":"pSyYcrAY","properties":{"formattedCitation":"\\super 33\\nosupersub{}","plainCitation":"33","noteIndex":0},"citationItems":[{"id":3182,"uris":["http://zotero.org/users/local/JzcqJHT8/items/ZJMWYK44"],"itemData":{"id":3182,"type":"article-journal","abstract":"Metalloenzymes are essential to cellular function, and their overexpression or enhanced activation are potential therapeutic targets. However, the study of metalloenzymes in vitro presents various challenges, leading many to develop tools to study them in their native cellular environment. Small-molecule fluorescence probes are commonly used to monitor metalloenzyme function, activity, and distribution in situ. These include probes that are activity-based (fluorescence is mediated by enzyme activity) or binding-based (fluorescence is mediated by interactions with the enzyme upon binding its metal cofactor). We discuss recent innovations that overcome key design challenges, such as the rapid diffusion of activity-based probes, the difficulty of probing redox-active enzymes, the selectivity of binding-based probes, and the poor penetration depth of fluorescence, and describe novel applications of these tools.","container-title":"Current Opinion in Chemical Biology","DOI":"10.1016/j.cbpa.2024.102475","ISSN":"1367-5931","journalAbbreviation":"Current Opinion in Chemical Biology","page":"102475","source":"ScienceDirect","title":"Probing metalloenzyme dynamics in living systems: Contemporary advances in fluorescence imaging tools and applications","title-short":"Probing metalloenzyme dynamics in living systems","volume":"81","author":[{"family":"Price","given":"Sky"},{"family":"Que","given":"Emily L."}],"issued":{"date-parts":[["2024",8,1]]}}}],"schema":"https://github.com/citation-style-language/schema/raw/master/csl-citation.json"} </w:instrText>
      </w:r>
      <w:r w:rsidR="00BD7E15" w:rsidRPr="00865D96">
        <w:rPr>
          <w:rFonts w:ascii="Arial" w:hAnsi="Arial" w:cs="Arial"/>
          <w:sz w:val="20"/>
          <w:szCs w:val="20"/>
          <w:lang w:val="en-US"/>
        </w:rPr>
        <w:fldChar w:fldCharType="separate"/>
      </w:r>
      <w:r w:rsidR="00BD7E15" w:rsidRPr="00865D96">
        <w:rPr>
          <w:rFonts w:ascii="Arial" w:hAnsi="Arial" w:cs="Arial"/>
          <w:kern w:val="0"/>
          <w:sz w:val="20"/>
          <w:szCs w:val="20"/>
          <w:vertAlign w:val="superscript"/>
        </w:rPr>
        <w:t>3</w:t>
      </w:r>
      <w:r w:rsidR="00280DEB">
        <w:rPr>
          <w:rFonts w:ascii="Arial" w:hAnsi="Arial" w:cs="Arial"/>
          <w:kern w:val="0"/>
          <w:sz w:val="20"/>
          <w:szCs w:val="20"/>
          <w:vertAlign w:val="superscript"/>
        </w:rPr>
        <w:t>6</w:t>
      </w:r>
      <w:r w:rsidR="00BD7E15" w:rsidRPr="00865D96">
        <w:rPr>
          <w:rFonts w:ascii="Arial" w:hAnsi="Arial" w:cs="Arial"/>
          <w:sz w:val="20"/>
          <w:szCs w:val="20"/>
          <w:lang w:val="en-US"/>
        </w:rPr>
        <w:fldChar w:fldCharType="end"/>
      </w:r>
      <w:r w:rsidR="00BD7E15" w:rsidRPr="00865D96">
        <w:rPr>
          <w:rFonts w:ascii="Arial" w:hAnsi="Arial" w:cs="Arial"/>
          <w:sz w:val="20"/>
          <w:szCs w:val="20"/>
          <w:lang w:val="en-US"/>
        </w:rPr>
        <w:t xml:space="preserve">. </w:t>
      </w:r>
      <w:r w:rsidR="005602E0" w:rsidRPr="00865D96">
        <w:rPr>
          <w:rFonts w:ascii="Arial" w:hAnsi="Arial" w:cs="Arial"/>
          <w:sz w:val="20"/>
          <w:szCs w:val="20"/>
          <w:lang w:val="en-US"/>
        </w:rPr>
        <w:t xml:space="preserve">Ingestion of massive doses of zinc over a short period induces acute toxicity depending on the mode of contact. Exposure to low doses over longer periods is also harmful to health </w:t>
      </w:r>
      <w:r w:rsidR="00E262D5" w:rsidRPr="00865D96">
        <w:rPr>
          <w:rFonts w:ascii="Arial" w:hAnsi="Arial" w:cs="Arial"/>
          <w:sz w:val="20"/>
          <w:szCs w:val="20"/>
          <w:lang w:val="en-US"/>
        </w:rPr>
        <w:fldChar w:fldCharType="begin"/>
      </w:r>
      <w:r w:rsidR="00E262D5" w:rsidRPr="00865D96">
        <w:rPr>
          <w:rFonts w:ascii="Arial" w:hAnsi="Arial" w:cs="Arial"/>
          <w:sz w:val="20"/>
          <w:szCs w:val="20"/>
          <w:lang w:val="en-US"/>
        </w:rPr>
        <w:instrText xml:space="preserve"> ADDIN ZOTERO_ITEM CSL_CITATION {"citationID":"UcofNceq","properties":{"formattedCitation":"\\super 34\\nosupersub{}","plainCitation":"34","noteIndex":0},"citationItems":[{"id":3184,"uris":["http://zotero.org/users/local/JzcqJHT8/items/85DTGJ9W"],"itemData":{"id":3184,"type":"chapter","abstract":"Zinc excess and insufficiency can moderate a cascade of metabolic processes that adversely affect the health of human beings and other organisms. Exposure to elevated levels of zinc and zinc-containing compounds can result in a variety of adverse effects in the gastrointestinal, hematological, and respiratory systems along with alterations in the cardiovascular and neurological systems of humans. In spite of the thousands of papers that have been published on biological effects of zinc, the challenge of quantifying the range of exposure doses that constitute zinc deficiency versus excess remains unresolved and some recent studies have pointed to a considerable overlap between what has generally been considered to be the essential dose and toxic dose, suggesting that the dose–response curve for zinc may not be a ‘U’ but a ‘V’. The limited margin of safety should be of some concern since millions of people are currently being exposed to various levels of zinc through food supplements and additives, medicines, disinfectants, antiseptic and deodorant preparations, and dental cement.","container-title":"Encyclopedia of Environmental Health","event-place":"Burlington","ISBN":"978-0-444-52272-6","note":"DOI: 10.1016/B978-0-444-52272-6.00675-9","page":"801-807","publisher":"Elsevier","publisher-place":"Burlington","source":"ScienceDirect","title":"Zinc Toxicity in Humans","URL":"https://www.sciencedirect.com/science/article/pii/B9780444522726006759","author":[{"family":"Nriagu","given":"J."}],"editor":[{"family":"Nriagu","given":"J. O."}],"accessed":{"date-parts":[["2025",4,21]]},"issued":{"date-parts":[["2011",1,1]]}}}],"schema":"https://github.com/citation-style-language/schema/raw/master/csl-citation.json"} </w:instrText>
      </w:r>
      <w:r w:rsidR="00E262D5" w:rsidRPr="00865D96">
        <w:rPr>
          <w:rFonts w:ascii="Arial" w:hAnsi="Arial" w:cs="Arial"/>
          <w:sz w:val="20"/>
          <w:szCs w:val="20"/>
          <w:lang w:val="en-US"/>
        </w:rPr>
        <w:fldChar w:fldCharType="separate"/>
      </w:r>
      <w:r w:rsidR="00E262D5" w:rsidRPr="00865D96">
        <w:rPr>
          <w:rFonts w:ascii="Arial" w:hAnsi="Arial" w:cs="Arial"/>
          <w:kern w:val="0"/>
          <w:sz w:val="20"/>
          <w:szCs w:val="20"/>
          <w:vertAlign w:val="superscript"/>
        </w:rPr>
        <w:t>3</w:t>
      </w:r>
      <w:r w:rsidR="00277B0D">
        <w:rPr>
          <w:rFonts w:ascii="Arial" w:hAnsi="Arial" w:cs="Arial"/>
          <w:kern w:val="0"/>
          <w:sz w:val="20"/>
          <w:szCs w:val="20"/>
          <w:vertAlign w:val="superscript"/>
        </w:rPr>
        <w:t>7</w:t>
      </w:r>
      <w:r w:rsidR="00E262D5" w:rsidRPr="00865D96">
        <w:rPr>
          <w:rFonts w:ascii="Arial" w:hAnsi="Arial" w:cs="Arial"/>
          <w:sz w:val="20"/>
          <w:szCs w:val="20"/>
          <w:lang w:val="en-US"/>
        </w:rPr>
        <w:fldChar w:fldCharType="end"/>
      </w:r>
      <w:r w:rsidR="00E262D5" w:rsidRPr="00865D96">
        <w:rPr>
          <w:rFonts w:ascii="Arial" w:hAnsi="Arial" w:cs="Arial"/>
          <w:sz w:val="20"/>
          <w:szCs w:val="20"/>
          <w:lang w:val="en-US"/>
        </w:rPr>
        <w:t>.</w:t>
      </w:r>
      <w:r w:rsidR="001A0F29" w:rsidRPr="00865D96">
        <w:rPr>
          <w:rFonts w:ascii="Arial" w:hAnsi="Arial" w:cs="Arial"/>
          <w:sz w:val="20"/>
          <w:szCs w:val="20"/>
          <w:lang w:val="en-US"/>
        </w:rPr>
        <w:t xml:space="preserve"> </w:t>
      </w:r>
    </w:p>
    <w:p w14:paraId="06A281BF" w14:textId="2CF6ADE0" w:rsidR="006139D4" w:rsidRPr="00865D96" w:rsidRDefault="001A0F29" w:rsidP="00C752F5">
      <w:pPr>
        <w:spacing w:line="276" w:lineRule="auto"/>
        <w:rPr>
          <w:rFonts w:ascii="Arial" w:hAnsi="Arial" w:cs="Arial"/>
          <w:sz w:val="20"/>
          <w:szCs w:val="20"/>
          <w:lang w:val="en-US"/>
        </w:rPr>
      </w:pPr>
      <w:r w:rsidRPr="00865D96">
        <w:rPr>
          <w:rFonts w:ascii="Arial" w:hAnsi="Arial" w:cs="Arial"/>
          <w:sz w:val="20"/>
          <w:szCs w:val="20"/>
          <w:lang w:val="en-US"/>
        </w:rPr>
        <w:t xml:space="preserve">In this study, the zinc levels of </w:t>
      </w:r>
      <w:r w:rsidR="006139D4" w:rsidRPr="00865D96">
        <w:rPr>
          <w:rFonts w:ascii="Arial" w:hAnsi="Arial" w:cs="Arial"/>
          <w:sz w:val="20"/>
          <w:szCs w:val="20"/>
          <w:lang w:val="en-US"/>
        </w:rPr>
        <w:t xml:space="preserve">both hulled and </w:t>
      </w:r>
      <w:proofErr w:type="spellStart"/>
      <w:r w:rsidR="006139D4" w:rsidRPr="00865D96">
        <w:rPr>
          <w:rFonts w:ascii="Arial" w:hAnsi="Arial" w:cs="Arial"/>
          <w:sz w:val="20"/>
          <w:szCs w:val="20"/>
          <w:lang w:val="en-US"/>
        </w:rPr>
        <w:t>unhulled</w:t>
      </w:r>
      <w:proofErr w:type="spellEnd"/>
      <w:r w:rsidR="006139D4" w:rsidRPr="00865D96">
        <w:rPr>
          <w:rFonts w:ascii="Arial" w:hAnsi="Arial" w:cs="Arial"/>
          <w:sz w:val="20"/>
          <w:szCs w:val="20"/>
          <w:lang w:val="en-US"/>
        </w:rPr>
        <w:t xml:space="preserve"> millet samples had similar concentrations of 14.2 mg/kg and 16.1 mg/kg, respectively. Most of the zinc is concentrated inside the seed and not on the </w:t>
      </w:r>
      <w:r w:rsidR="00081545" w:rsidRPr="00865D96">
        <w:rPr>
          <w:rFonts w:ascii="Arial" w:hAnsi="Arial" w:cs="Arial"/>
          <w:sz w:val="20"/>
          <w:szCs w:val="20"/>
          <w:lang w:val="en-US"/>
        </w:rPr>
        <w:t>protective film of millet seeds</w:t>
      </w:r>
      <w:r w:rsidR="006139D4" w:rsidRPr="00865D96">
        <w:rPr>
          <w:rFonts w:ascii="Arial" w:hAnsi="Arial" w:cs="Arial"/>
          <w:sz w:val="20"/>
          <w:szCs w:val="20"/>
          <w:lang w:val="en-US"/>
        </w:rPr>
        <w:t>. These levels are well below the limit of 50 mg/kg recommended by the WHO. The zinc concentration of these samples does not pose any particular risk for the consumption of this cereal.</w:t>
      </w:r>
    </w:p>
    <w:p w14:paraId="33866559" w14:textId="1614F1A6" w:rsidR="006F02C8" w:rsidRPr="00865D96" w:rsidRDefault="006F02C8" w:rsidP="00C370EA">
      <w:pPr>
        <w:spacing w:line="276" w:lineRule="auto"/>
        <w:rPr>
          <w:rFonts w:ascii="Arial" w:hAnsi="Arial" w:cs="Arial"/>
          <w:sz w:val="20"/>
          <w:szCs w:val="20"/>
          <w:lang w:val="en-US"/>
        </w:rPr>
      </w:pPr>
      <w:r w:rsidRPr="00865D96">
        <w:rPr>
          <w:rFonts w:ascii="Arial" w:hAnsi="Arial" w:cs="Arial"/>
          <w:sz w:val="20"/>
          <w:szCs w:val="20"/>
          <w:lang w:val="en-US"/>
        </w:rPr>
        <w:t xml:space="preserve">Cadmium metal, which is not essential for metabolism, is slowly eliminated if ingested and is highly toxic. Its presence in crops is a major concern. Cadmium poisoning can cause serious damage to the lungs, kidneys, and skeleton </w:t>
      </w:r>
      <w:r w:rsidR="003A7429" w:rsidRPr="00865D96">
        <w:rPr>
          <w:rFonts w:ascii="Arial" w:hAnsi="Arial" w:cs="Arial"/>
          <w:sz w:val="20"/>
          <w:szCs w:val="20"/>
          <w:lang w:val="en-US"/>
        </w:rPr>
        <w:fldChar w:fldCharType="begin"/>
      </w:r>
      <w:r w:rsidR="003A7429" w:rsidRPr="00865D96">
        <w:rPr>
          <w:rFonts w:ascii="Arial" w:hAnsi="Arial" w:cs="Arial"/>
          <w:sz w:val="20"/>
          <w:szCs w:val="20"/>
          <w:lang w:val="en-US"/>
        </w:rPr>
        <w:instrText xml:space="preserve"> ADDIN ZOTERO_ITEM CSL_CITATION {"citationID":"qy02QcI5","properties":{"formattedCitation":"\\super 35\\nosupersub{}","plainCitation":"35","noteIndex":0},"citationItems":[{"id":3186,"uris":["http://zotero.org/users/local/JzcqJHT8/items/TUP2N2CC"],"itemData":{"id":3186,"type":"article-journal","abstract":"Objective\nTo estimate the heavy metal content in soil and selected medicinal plants procured from environmentally different sites of the same city.\nMethods\nSoil and plant samples of Abutilon indicum, Calotropis procera, Euphorbia hirta, Peristrophe bycaliculata, and Tinospora cordifolia were collected from 3 environmentally different sites of the city: heavy traffic area (HTA), industrial area (IA), and residential area (ra). Pb, Cd, Cr, and Ni were estimated in soil and plant samples by inductively coupled plasma emission spectrometry and compared.\nResults\nThe level of heavy metal was higher in soil than in plant parts studied. Accumulation of heavy metals varied from plant to plant. Pb was the highest in Calotropis procera root from hta site and the lowest in Peristrophe bycaliculata whole plant from ia site. It was also lower in residential area than in heavy traffic area.\nConclusion\nThe level of heavy metal content differed in the same medicinal plant collected from environmentally different sites of the same city. Thus, it reiterates our belief that every medicinal plant sample should be tested for contaminant load before processing it further for medication.","container-title":"Biomedical and Environmental Sciences","DOI":"10.1016/S0895-3988(08)60049-5","ISSN":"0895-3988","issue":"4","journalAbbreviation":"Biomedical and Environmental Sciences","page":"319-324","source":"ScienceDirect","title":"Heavy Metal Accumulation in Medicinal Plants Collected from Environmentally Different Sites","volume":"21","author":[{"family":"Barthwal","given":"Jyoti"},{"family":"Nair","given":"Smitha"},{"family":"Kakkar","given":"Poonam"}],"issued":{"date-parts":[["2008",8,1]]}}}],"schema":"https://github.com/citation-style-language/schema/raw/master/csl-citation.json"} </w:instrText>
      </w:r>
      <w:r w:rsidR="003A7429" w:rsidRPr="00865D96">
        <w:rPr>
          <w:rFonts w:ascii="Arial" w:hAnsi="Arial" w:cs="Arial"/>
          <w:sz w:val="20"/>
          <w:szCs w:val="20"/>
          <w:lang w:val="en-US"/>
        </w:rPr>
        <w:fldChar w:fldCharType="separate"/>
      </w:r>
      <w:r w:rsidR="003A7429" w:rsidRPr="00865D96">
        <w:rPr>
          <w:rFonts w:ascii="Arial" w:hAnsi="Arial" w:cs="Arial"/>
          <w:kern w:val="0"/>
          <w:sz w:val="20"/>
          <w:szCs w:val="20"/>
          <w:vertAlign w:val="superscript"/>
        </w:rPr>
        <w:t>3</w:t>
      </w:r>
      <w:r w:rsidR="00277B0D">
        <w:rPr>
          <w:rFonts w:ascii="Arial" w:hAnsi="Arial" w:cs="Arial"/>
          <w:kern w:val="0"/>
          <w:sz w:val="20"/>
          <w:szCs w:val="20"/>
          <w:vertAlign w:val="superscript"/>
        </w:rPr>
        <w:t>8</w:t>
      </w:r>
      <w:r w:rsidR="003A7429" w:rsidRPr="00865D96">
        <w:rPr>
          <w:rFonts w:ascii="Arial" w:hAnsi="Arial" w:cs="Arial"/>
          <w:sz w:val="20"/>
          <w:szCs w:val="20"/>
          <w:lang w:val="en-US"/>
        </w:rPr>
        <w:fldChar w:fldCharType="end"/>
      </w:r>
      <w:r w:rsidR="003A7429" w:rsidRPr="00865D96">
        <w:rPr>
          <w:rFonts w:ascii="Arial" w:hAnsi="Arial" w:cs="Arial"/>
          <w:sz w:val="20"/>
          <w:szCs w:val="20"/>
          <w:lang w:val="en-US"/>
        </w:rPr>
        <w:t xml:space="preserve">. </w:t>
      </w:r>
      <w:r w:rsidRPr="00865D96">
        <w:rPr>
          <w:rFonts w:ascii="Arial" w:hAnsi="Arial" w:cs="Arial"/>
          <w:sz w:val="20"/>
          <w:szCs w:val="20"/>
          <w:lang w:val="en-US"/>
        </w:rPr>
        <w:t xml:space="preserve"> In this study, the cadmium concentrations in hulled and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were 0.</w:t>
      </w:r>
      <w:r w:rsidR="00176C1D">
        <w:rPr>
          <w:rFonts w:ascii="Arial" w:hAnsi="Arial" w:cs="Arial"/>
          <w:sz w:val="20"/>
          <w:szCs w:val="20"/>
          <w:lang w:val="en-US"/>
        </w:rPr>
        <w:t>01</w:t>
      </w:r>
      <w:r w:rsidRPr="00865D96">
        <w:rPr>
          <w:rFonts w:ascii="Arial" w:hAnsi="Arial" w:cs="Arial"/>
          <w:sz w:val="20"/>
          <w:szCs w:val="20"/>
          <w:lang w:val="en-US"/>
        </w:rPr>
        <w:t xml:space="preserve"> mg/Kg and 0.</w:t>
      </w:r>
      <w:r w:rsidR="00176C1D">
        <w:rPr>
          <w:rFonts w:ascii="Arial" w:hAnsi="Arial" w:cs="Arial"/>
          <w:sz w:val="20"/>
          <w:szCs w:val="20"/>
          <w:lang w:val="en-US"/>
        </w:rPr>
        <w:t>02</w:t>
      </w:r>
      <w:r w:rsidRPr="00865D96">
        <w:rPr>
          <w:rFonts w:ascii="Arial" w:hAnsi="Arial" w:cs="Arial"/>
          <w:sz w:val="20"/>
          <w:szCs w:val="20"/>
          <w:lang w:val="en-US"/>
        </w:rPr>
        <w:t xml:space="preserve"> mg/Kg, respectively. The cadmium concentration in </w:t>
      </w:r>
      <w:proofErr w:type="spellStart"/>
      <w:r w:rsidRPr="00865D96">
        <w:rPr>
          <w:rFonts w:ascii="Arial" w:hAnsi="Arial" w:cs="Arial"/>
          <w:sz w:val="20"/>
          <w:szCs w:val="20"/>
          <w:lang w:val="en-US"/>
        </w:rPr>
        <w:t>unhulled</w:t>
      </w:r>
      <w:proofErr w:type="spellEnd"/>
      <w:r w:rsidRPr="00865D96">
        <w:rPr>
          <w:rFonts w:ascii="Arial" w:hAnsi="Arial" w:cs="Arial"/>
          <w:sz w:val="20"/>
          <w:szCs w:val="20"/>
          <w:lang w:val="en-US"/>
        </w:rPr>
        <w:t xml:space="preserve"> millet was 2 times higher than that in hulled millet. We believe that half of the cadmium is present on the surface of the seed and that hulling removes 50 % of the initial content. However, these values are lower than the value set by the WHO which is 0.</w:t>
      </w:r>
      <w:r w:rsidR="00F4361D">
        <w:rPr>
          <w:rFonts w:ascii="Arial" w:hAnsi="Arial" w:cs="Arial"/>
          <w:sz w:val="20"/>
          <w:szCs w:val="20"/>
          <w:lang w:val="en-US"/>
        </w:rPr>
        <w:t>490</w:t>
      </w:r>
      <w:r w:rsidRPr="00865D96">
        <w:rPr>
          <w:rFonts w:ascii="Arial" w:hAnsi="Arial" w:cs="Arial"/>
          <w:sz w:val="20"/>
          <w:szCs w:val="20"/>
          <w:lang w:val="en-US"/>
        </w:rPr>
        <w:t xml:space="preserve"> mg/Kg </w:t>
      </w:r>
      <w:r w:rsidR="000444AA"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{"citationID":"Hm7sofYC","properties":{"formattedCitation":"\\super 36\\nosupersub{}","plainCitation":"36","noteIndex":0},"citationItems":[{"id":3188,"uris":["http://zotero.org/users/local/JzcqJHT8/items/6UWM5FVX"],"itemData":{"id":3188,"type":"article-journal","container-title":"FAO/WHO","page":"2006","title":"Food and Agriculture Organization /World Health Organization . Joint FAO/WHO Expert Committee on Food Additives. Evaluation of Certain Additives and Contaminants, 2006, 67th Joint FAO/WHO Expert Committee on Food Additives; WHO Technical Report Series; FAO/WHO: Rome, Italy, 2006","volume":"2006","author":[{"family":"FAO","given":"WHO"}],"issued":{"date-parts":[["2006"]]}}}],"schema":"https://github.com/citation-style-language/schema/raw/master/csl-citation.json"} </w:instrText>
      </w:r>
      <w:r w:rsidR="000444AA" w:rsidRPr="00865D96">
        <w:rPr>
          <w:rFonts w:ascii="Arial" w:hAnsi="Arial" w:cs="Arial"/>
          <w:sz w:val="20"/>
          <w:szCs w:val="20"/>
          <w:lang w:val="en-US"/>
        </w:rPr>
        <w:fldChar w:fldCharType="separate"/>
      </w:r>
      <w:r w:rsidR="000444AA" w:rsidRPr="00865D96">
        <w:rPr>
          <w:rFonts w:ascii="Arial" w:hAnsi="Arial" w:cs="Arial"/>
          <w:kern w:val="0"/>
          <w:sz w:val="20"/>
          <w:szCs w:val="20"/>
          <w:vertAlign w:val="superscript"/>
        </w:rPr>
        <w:t>3</w:t>
      </w:r>
      <w:r w:rsidR="00277B0D">
        <w:rPr>
          <w:rFonts w:ascii="Arial" w:hAnsi="Arial" w:cs="Arial"/>
          <w:kern w:val="0"/>
          <w:sz w:val="20"/>
          <w:szCs w:val="20"/>
          <w:vertAlign w:val="superscript"/>
        </w:rPr>
        <w:t>9</w:t>
      </w:r>
      <w:r w:rsidR="000444AA" w:rsidRPr="00865D96">
        <w:rPr>
          <w:rFonts w:ascii="Arial" w:hAnsi="Arial" w:cs="Arial"/>
          <w:sz w:val="20"/>
          <w:szCs w:val="20"/>
          <w:lang w:val="en-US"/>
        </w:rPr>
        <w:fldChar w:fldCharType="end"/>
      </w:r>
      <w:r w:rsidR="00A0009F" w:rsidRPr="00865D96">
        <w:rPr>
          <w:rFonts w:ascii="Arial" w:hAnsi="Arial" w:cs="Arial"/>
          <w:sz w:val="20"/>
          <w:szCs w:val="20"/>
          <w:lang w:val="en-US"/>
        </w:rPr>
        <w:t xml:space="preserve">. </w:t>
      </w:r>
      <w:r w:rsidRPr="00865D96">
        <w:rPr>
          <w:rFonts w:ascii="Arial" w:hAnsi="Arial" w:cs="Arial"/>
          <w:sz w:val="20"/>
          <w:szCs w:val="20"/>
          <w:lang w:val="en-US"/>
        </w:rPr>
        <w:t>There is no risk for human or animal consumption of the millet crops studied in this work.</w:t>
      </w:r>
    </w:p>
    <w:p w14:paraId="3A9654A4" w14:textId="494D8B31" w:rsidR="00673B18" w:rsidRPr="00865D96" w:rsidRDefault="00D74CB4" w:rsidP="00C370EA">
      <w:pPr>
        <w:spacing w:line="276" w:lineRule="auto"/>
        <w:rPr>
          <w:rFonts w:ascii="Arial" w:hAnsi="Arial" w:cs="Arial"/>
          <w:sz w:val="20"/>
          <w:szCs w:val="20"/>
          <w:lang w:val="en-US"/>
        </w:rPr>
      </w:pPr>
      <w:r w:rsidRPr="00865D96">
        <w:rPr>
          <w:rFonts w:ascii="Arial" w:hAnsi="Arial" w:cs="Arial"/>
          <w:sz w:val="20"/>
          <w:szCs w:val="20"/>
          <w:lang w:val="en-US"/>
        </w:rPr>
        <w:t xml:space="preserve">Lead is a toxic element and is known to cause severe anemia, kidney damage, nervous system and liver damage. It can also negatively affect the reproductive system by causing decreased and impaired sperm in men and miscarriages in women </w:t>
      </w:r>
      <w:r w:rsidR="006B5D69" w:rsidRPr="00865D96">
        <w:rPr>
          <w:rFonts w:ascii="Arial" w:hAnsi="Arial" w:cs="Arial"/>
          <w:sz w:val="20"/>
          <w:szCs w:val="20"/>
          <w:lang w:val="en-US"/>
        </w:rPr>
        <w:fldChar w:fldCharType="begin"/>
      </w:r>
      <w:r w:rsidR="006B5D69" w:rsidRPr="00865D96">
        <w:rPr>
          <w:rFonts w:ascii="Arial" w:hAnsi="Arial" w:cs="Arial"/>
          <w:sz w:val="20"/>
          <w:szCs w:val="20"/>
          <w:lang w:val="en-US"/>
        </w:rPr>
        <w:instrText xml:space="preserve"> ADDIN ZOTERO_ITEM CSL_CITATION {"citationID":"uzlV6Mrx","properties":{"formattedCitation":"\\super 37\\nosupersub{}","plainCitation":"37","noteIndex":0},"citationItems":[{"id":3189,"uris":["http://zotero.org/users/local/JzcqJHT8/items/IE3D7NRS"],"itemData":{"id":3189,"type":"article-journal","container-title":"ATSDR","issue":"2007","title":"ATSDR (2007) Toxicological Profile for Lead. Agency for Toxic Substances and Disease Registry: US Department of Health and Human Services, Public Health Service, Atlanta, GA, United States.","volume":"2007","author":[{"family":"ATD","given":"SR"}]}}],"schema":"https://github.com/citation-style-language/schema/raw/master/csl-citation.json"} </w:instrText>
      </w:r>
      <w:r w:rsidR="006B5D69" w:rsidRPr="00865D96">
        <w:rPr>
          <w:rFonts w:ascii="Arial" w:hAnsi="Arial" w:cs="Arial"/>
          <w:sz w:val="20"/>
          <w:szCs w:val="20"/>
          <w:lang w:val="en-US"/>
        </w:rPr>
        <w:fldChar w:fldCharType="separate"/>
      </w:r>
      <w:r w:rsidR="00277B0D">
        <w:rPr>
          <w:rFonts w:ascii="Arial" w:hAnsi="Arial" w:cs="Arial"/>
          <w:kern w:val="0"/>
          <w:sz w:val="20"/>
          <w:szCs w:val="20"/>
          <w:vertAlign w:val="superscript"/>
        </w:rPr>
        <w:t>40</w:t>
      </w:r>
      <w:r w:rsidR="006B5D69" w:rsidRPr="00865D96">
        <w:rPr>
          <w:rFonts w:ascii="Arial" w:hAnsi="Arial" w:cs="Arial"/>
          <w:sz w:val="20"/>
          <w:szCs w:val="20"/>
          <w:lang w:val="en-US"/>
        </w:rPr>
        <w:fldChar w:fldCharType="end"/>
      </w:r>
      <w:r w:rsidR="006B5D69" w:rsidRPr="00865D96">
        <w:rPr>
          <w:rFonts w:ascii="Arial" w:hAnsi="Arial" w:cs="Arial"/>
          <w:sz w:val="20"/>
          <w:szCs w:val="20"/>
          <w:lang w:val="en-US"/>
        </w:rPr>
        <w:t xml:space="preserve">. </w:t>
      </w:r>
      <w:r w:rsidR="00C83B8C" w:rsidRPr="00865D96">
        <w:rPr>
          <w:rFonts w:ascii="Arial" w:hAnsi="Arial" w:cs="Arial"/>
          <w:sz w:val="20"/>
          <w:szCs w:val="20"/>
          <w:lang w:val="en-US"/>
        </w:rPr>
        <w:t xml:space="preserve">The results show that the lead levels in hulled and </w:t>
      </w:r>
      <w:proofErr w:type="spellStart"/>
      <w:r w:rsidR="00C83B8C" w:rsidRPr="00865D96">
        <w:rPr>
          <w:rFonts w:ascii="Arial" w:hAnsi="Arial" w:cs="Arial"/>
          <w:sz w:val="20"/>
          <w:szCs w:val="20"/>
          <w:lang w:val="en-US"/>
        </w:rPr>
        <w:t>unhulled</w:t>
      </w:r>
      <w:proofErr w:type="spellEnd"/>
      <w:r w:rsidR="00C83B8C" w:rsidRPr="00865D96">
        <w:rPr>
          <w:rFonts w:ascii="Arial" w:hAnsi="Arial" w:cs="Arial"/>
          <w:sz w:val="20"/>
          <w:szCs w:val="20"/>
          <w:lang w:val="en-US"/>
        </w:rPr>
        <w:t xml:space="preserve"> millet are 0.000 mg/kg. This value is lower than the limit value of 1 mg/kg recommended by the WHO </w:t>
      </w:r>
      <w:r w:rsidR="000444AA"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{"citationID":"LN6IwoVq","properties":{"formattedCitation":"\\super 36\\nosupersub{}","plainCitation":"36","noteIndex":0},"citationItems":[{"id":3188,"uris":["http://zotero.org/users/local/JzcqJHT8/items/6UWM5FVX"],"itemData":{"id":3188,"type":"article-journal","container-title":"FAO/WHO","page":"2006","title":"Food and Agriculture Organization /World Health Organization . Joint FAO/WHO Expert Committee on Food Additives. Evaluation of Certain Additives and Contaminants, 2006, 67th Joint FAO/WHO Expert Committee on Food Additives; WHO Technical Report Series; FAO/WHO: Rome, Italy, 2006","volume":"2006","author":[{"family":"FAO","given":"WHO"}],"issued":{"date-parts":[["2006"]]}}}],"schema":"https://github.com/citation-style-language/schema/raw/master/csl-citation.json"} </w:instrText>
      </w:r>
      <w:r w:rsidR="000444AA" w:rsidRPr="00865D96">
        <w:rPr>
          <w:rFonts w:ascii="Arial" w:hAnsi="Arial" w:cs="Arial"/>
          <w:sz w:val="20"/>
          <w:szCs w:val="20"/>
          <w:lang w:val="en-US"/>
        </w:rPr>
        <w:fldChar w:fldCharType="separate"/>
      </w:r>
      <w:r w:rsidR="00A0009F" w:rsidRPr="00865D96">
        <w:rPr>
          <w:rFonts w:ascii="Arial" w:hAnsi="Arial" w:cs="Arial"/>
          <w:kern w:val="0"/>
          <w:sz w:val="20"/>
          <w:szCs w:val="20"/>
          <w:vertAlign w:val="superscript"/>
        </w:rPr>
        <w:t>3</w:t>
      </w:r>
      <w:r w:rsidR="00277B0D">
        <w:rPr>
          <w:rFonts w:ascii="Arial" w:hAnsi="Arial" w:cs="Arial"/>
          <w:kern w:val="0"/>
          <w:sz w:val="20"/>
          <w:szCs w:val="20"/>
          <w:vertAlign w:val="superscript"/>
        </w:rPr>
        <w:t>9</w:t>
      </w:r>
      <w:r w:rsidR="000444AA" w:rsidRPr="00865D96">
        <w:rPr>
          <w:rFonts w:ascii="Arial" w:hAnsi="Arial" w:cs="Arial"/>
          <w:sz w:val="20"/>
          <w:szCs w:val="20"/>
          <w:lang w:val="en-US"/>
        </w:rPr>
        <w:fldChar w:fldCharType="end"/>
      </w:r>
      <w:r w:rsidR="00A0009F" w:rsidRPr="00865D96">
        <w:rPr>
          <w:rFonts w:ascii="Arial" w:hAnsi="Arial" w:cs="Arial"/>
          <w:sz w:val="20"/>
          <w:szCs w:val="20"/>
          <w:lang w:val="en-US"/>
        </w:rPr>
        <w:t>.</w:t>
      </w:r>
    </w:p>
    <w:p w14:paraId="2D822C75" w14:textId="77777777" w:rsidR="00673B18" w:rsidRPr="00865D96" w:rsidRDefault="00673B18" w:rsidP="00C752F5">
      <w:pPr>
        <w:spacing w:line="276" w:lineRule="auto"/>
        <w:rPr>
          <w:rFonts w:ascii="Arial" w:hAnsi="Arial" w:cs="Arial"/>
          <w:sz w:val="20"/>
          <w:szCs w:val="20"/>
          <w:lang w:val="en-US"/>
        </w:rPr>
      </w:pPr>
    </w:p>
    <w:p w14:paraId="23E2DA34" w14:textId="77777777" w:rsidR="007A32D7" w:rsidRPr="00865D96" w:rsidRDefault="007A32D7" w:rsidP="00C752F5">
      <w:pPr>
        <w:pStyle w:val="Heading3"/>
        <w:spacing w:before="0" w:after="0" w:line="276" w:lineRule="auto"/>
        <w:rPr>
          <w:rFonts w:cs="Arial"/>
          <w:sz w:val="20"/>
          <w:szCs w:val="20"/>
          <w:lang w:val="en-US"/>
        </w:rPr>
      </w:pPr>
      <w:r w:rsidRPr="00865D96">
        <w:rPr>
          <w:rFonts w:cs="Arial"/>
          <w:sz w:val="20"/>
          <w:szCs w:val="20"/>
          <w:lang w:val="en-US"/>
        </w:rPr>
        <w:lastRenderedPageBreak/>
        <w:t>Intake of heavy metal</w:t>
      </w:r>
    </w:p>
    <w:p w14:paraId="69317CBA" w14:textId="77777777" w:rsidR="00C0712C" w:rsidRDefault="00C0712C" w:rsidP="00C752F5">
      <w:pPr>
        <w:pStyle w:val="Bibliography"/>
        <w:tabs>
          <w:tab w:val="clear" w:pos="264"/>
        </w:tabs>
        <w:spacing w:after="0" w:line="276" w:lineRule="auto"/>
        <w:ind w:left="0" w:right="-138" w:firstLine="0"/>
        <w:rPr>
          <w:rFonts w:ascii="Arial" w:hAnsi="Arial" w:cs="Arial"/>
          <w:color w:val="000000" w:themeColor="text1"/>
          <w:sz w:val="20"/>
          <w:szCs w:val="20"/>
          <w:lang w:val="en-US"/>
        </w:rPr>
      </w:pPr>
    </w:p>
    <w:p w14:paraId="50D9B756" w14:textId="43B58B75" w:rsidR="007A32D7" w:rsidRPr="00865D96" w:rsidRDefault="007A32D7" w:rsidP="00C752F5">
      <w:pPr>
        <w:pStyle w:val="Bibliography"/>
        <w:tabs>
          <w:tab w:val="clear" w:pos="264"/>
        </w:tabs>
        <w:spacing w:after="0" w:line="276" w:lineRule="auto"/>
        <w:ind w:left="0" w:right="-138" w:firstLine="0"/>
        <w:rPr>
          <w:rFonts w:ascii="Arial" w:hAnsi="Arial" w:cs="Arial"/>
          <w:color w:val="000000" w:themeColor="text1"/>
          <w:sz w:val="20"/>
          <w:szCs w:val="20"/>
          <w:lang w:val="en-US"/>
        </w:rPr>
      </w:pPr>
      <w:r w:rsidRPr="00865D96">
        <w:rPr>
          <w:rFonts w:ascii="Arial" w:hAnsi="Arial" w:cs="Arial"/>
          <w:color w:val="000000" w:themeColor="text1"/>
          <w:sz w:val="20"/>
          <w:szCs w:val="20"/>
          <w:lang w:val="en-US"/>
        </w:rPr>
        <w:t xml:space="preserve">Weekly intakes of metals through consumption of </w:t>
      </w:r>
      <w:r w:rsidRPr="00865D96">
        <w:rPr>
          <w:rFonts w:ascii="Arial" w:hAnsi="Arial" w:cs="Arial"/>
          <w:b/>
          <w:bCs/>
          <w:color w:val="000000" w:themeColor="text1"/>
          <w:sz w:val="20"/>
          <w:szCs w:val="20"/>
          <w:lang w:val="en-US"/>
        </w:rPr>
        <w:t>I</w:t>
      </w:r>
      <w:r w:rsidRPr="00865D96">
        <w:rPr>
          <w:rFonts w:ascii="Arial" w:hAnsi="Arial" w:cs="Arial"/>
          <w:color w:val="000000" w:themeColor="text1"/>
          <w:sz w:val="20"/>
          <w:szCs w:val="20"/>
          <w:lang w:val="en-US"/>
        </w:rPr>
        <w:t xml:space="preserve"> and </w:t>
      </w:r>
      <w:r w:rsidRPr="00865D96">
        <w:rPr>
          <w:rFonts w:ascii="Arial" w:hAnsi="Arial" w:cs="Arial"/>
          <w:b/>
          <w:bCs/>
          <w:color w:val="000000" w:themeColor="text1"/>
          <w:sz w:val="20"/>
          <w:szCs w:val="20"/>
          <w:lang w:val="en-US"/>
        </w:rPr>
        <w:t>II</w:t>
      </w:r>
      <w:r w:rsidRPr="00865D96">
        <w:rPr>
          <w:rFonts w:ascii="Arial" w:hAnsi="Arial" w:cs="Arial"/>
          <w:i/>
          <w:iCs/>
          <w:color w:val="000000" w:themeColor="text1"/>
          <w:sz w:val="20"/>
          <w:szCs w:val="20"/>
          <w:lang w:val="en-US"/>
        </w:rPr>
        <w:t xml:space="preserve"> </w:t>
      </w:r>
      <w:r w:rsidRPr="00865D96">
        <w:rPr>
          <w:rFonts w:ascii="Arial" w:hAnsi="Arial" w:cs="Arial"/>
          <w:color w:val="000000" w:themeColor="text1"/>
          <w:sz w:val="20"/>
          <w:szCs w:val="20"/>
          <w:lang w:val="en-US"/>
        </w:rPr>
        <w:t>were calculated assuming a daily consumption</w:t>
      </w:r>
      <w:r w:rsidR="003D4934"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t xml:space="preserve">of </w:t>
      </w:r>
      <w:r w:rsidR="00092B5E" w:rsidRPr="00865D96">
        <w:rPr>
          <w:rFonts w:ascii="Arial" w:hAnsi="Arial" w:cs="Arial"/>
          <w:color w:val="000000" w:themeColor="text1"/>
          <w:sz w:val="20"/>
          <w:szCs w:val="20"/>
          <w:lang w:val="en-US"/>
        </w:rPr>
        <w:t>75</w:t>
      </w:r>
      <w:r w:rsidRPr="00865D96">
        <w:rPr>
          <w:rFonts w:ascii="Arial" w:hAnsi="Arial" w:cs="Arial"/>
          <w:color w:val="000000" w:themeColor="text1"/>
          <w:sz w:val="20"/>
          <w:szCs w:val="20"/>
          <w:lang w:val="en-US"/>
        </w:rPr>
        <w:t xml:space="preserve"> g of milled (Table 3). Tolerable Maximum Weekly Intake (TMWI) (70 Kg body weight) is calculated using the method described in the literature </w:t>
      </w:r>
      <w:r w:rsidR="006B5D69" w:rsidRPr="00865D96">
        <w:rPr>
          <w:rFonts w:ascii="Arial" w:hAnsi="Arial" w:cs="Arial"/>
          <w:color w:val="000000" w:themeColor="text1"/>
          <w:sz w:val="20"/>
          <w:szCs w:val="20"/>
          <w:lang w:val="en-US"/>
        </w:rPr>
        <w:fldChar w:fldCharType="begin"/>
      </w:r>
      <w:r w:rsidR="006B5D69" w:rsidRPr="00865D96">
        <w:rPr>
          <w:rFonts w:ascii="Arial" w:hAnsi="Arial" w:cs="Arial"/>
          <w:color w:val="000000" w:themeColor="text1"/>
          <w:sz w:val="20"/>
          <w:szCs w:val="20"/>
          <w:lang w:val="en-US"/>
        </w:rPr>
        <w:instrText xml:space="preserve"> ADDIN ZOTERO_ITEM CSL_CITATION {"citationID":"73QbgJOB","properties":{"formattedCitation":"\\super 38\\nosupersub{}","plainCitation":"38","noteIndex":0},"citationItems":[{"id":2570,"uris":["http://zotero.org/users/local/JzcqJHT8/items/Q6RLJN6X"],"itemData":{"id":2570,"type":"chapter","container-title":"Adverse Effects of Herbal Drugs","edition":"Berlin","publisher":"Springer-verlag","title":"Adverse Effects of Herbal Drugs","volume":"1","author":[{"family":"De Smet","given":"P. A. G. M."},{"family":"Kelle","given":"K."},{"family":"Hansel","given":"R."},{"family":"Chandler","given":"R. F."}],"issued":{"date-parts":[["1992"]]}}}],"schema":"https://github.com/citation-style-language/schema/raw/master/csl-citation.json"} </w:instrText>
      </w:r>
      <w:r w:rsidR="006B5D69" w:rsidRPr="00865D96">
        <w:rPr>
          <w:rFonts w:ascii="Arial" w:hAnsi="Arial" w:cs="Arial"/>
          <w:color w:val="000000" w:themeColor="text1"/>
          <w:sz w:val="20"/>
          <w:szCs w:val="20"/>
          <w:lang w:val="en-US"/>
        </w:rPr>
        <w:fldChar w:fldCharType="separate"/>
      </w:r>
      <w:r w:rsidR="00277B0D">
        <w:rPr>
          <w:rFonts w:ascii="Arial" w:hAnsi="Arial" w:cs="Arial"/>
          <w:kern w:val="0"/>
          <w:sz w:val="20"/>
          <w:szCs w:val="20"/>
          <w:vertAlign w:val="superscript"/>
        </w:rPr>
        <w:t>41</w:t>
      </w:r>
      <w:r w:rsidR="006B5D69" w:rsidRPr="00865D96">
        <w:rPr>
          <w:rFonts w:ascii="Arial" w:hAnsi="Arial" w:cs="Arial"/>
          <w:color w:val="000000" w:themeColor="text1"/>
          <w:sz w:val="20"/>
          <w:szCs w:val="20"/>
          <w:lang w:val="en-US"/>
        </w:rPr>
        <w:fldChar w:fldCharType="end"/>
      </w:r>
      <w:r w:rsidR="006B5D69"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t xml:space="preserve"> The results are presented in Table </w:t>
      </w:r>
      <w:r w:rsidR="0017755B" w:rsidRPr="00865D96">
        <w:rPr>
          <w:rFonts w:ascii="Arial" w:hAnsi="Arial" w:cs="Arial"/>
          <w:color w:val="000000" w:themeColor="text1"/>
          <w:sz w:val="20"/>
          <w:szCs w:val="20"/>
          <w:lang w:val="en-US"/>
        </w:rPr>
        <w:t>3</w:t>
      </w:r>
      <w:r w:rsidRPr="00865D96">
        <w:rPr>
          <w:rFonts w:ascii="Arial" w:hAnsi="Arial" w:cs="Arial"/>
          <w:color w:val="000000" w:themeColor="text1"/>
          <w:sz w:val="20"/>
          <w:szCs w:val="20"/>
          <w:lang w:val="en-US"/>
        </w:rPr>
        <w:t xml:space="preserve">. The maximum intake reached </w:t>
      </w:r>
      <w:r w:rsidR="00411F95" w:rsidRPr="00865D96">
        <w:rPr>
          <w:rFonts w:ascii="Arial" w:hAnsi="Arial" w:cs="Arial"/>
          <w:color w:val="000000" w:themeColor="text1"/>
          <w:sz w:val="20"/>
          <w:szCs w:val="20"/>
          <w:lang w:val="en-US"/>
        </w:rPr>
        <w:t>5565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of </w:t>
      </w:r>
      <w:r w:rsidR="00092B5E" w:rsidRPr="00865D96">
        <w:rPr>
          <w:rFonts w:ascii="Arial" w:hAnsi="Arial" w:cs="Arial"/>
          <w:color w:val="000000" w:themeColor="text1"/>
          <w:sz w:val="20"/>
          <w:szCs w:val="20"/>
          <w:lang w:val="en-US"/>
        </w:rPr>
        <w:t>iron</w:t>
      </w:r>
      <w:r w:rsidRPr="00865D96">
        <w:rPr>
          <w:rFonts w:ascii="Arial" w:hAnsi="Arial" w:cs="Arial"/>
          <w:color w:val="000000" w:themeColor="text1"/>
          <w:sz w:val="20"/>
          <w:szCs w:val="20"/>
          <w:lang w:val="en-US"/>
        </w:rPr>
        <w:t xml:space="preserve"> for consumers of </w:t>
      </w:r>
      <w:r w:rsidRPr="00865D96">
        <w:rPr>
          <w:rFonts w:ascii="Arial" w:hAnsi="Arial" w:cs="Arial"/>
          <w:b/>
          <w:bCs/>
          <w:color w:val="000000" w:themeColor="text1"/>
          <w:sz w:val="20"/>
          <w:szCs w:val="20"/>
          <w:lang w:val="en-US"/>
        </w:rPr>
        <w:t xml:space="preserve">I </w:t>
      </w:r>
      <w:r w:rsidRPr="00865D96">
        <w:rPr>
          <w:rFonts w:ascii="Arial" w:hAnsi="Arial" w:cs="Arial"/>
          <w:color w:val="000000" w:themeColor="text1"/>
          <w:sz w:val="20"/>
          <w:szCs w:val="20"/>
          <w:lang w:val="en-US"/>
        </w:rPr>
        <w:t xml:space="preserve">and </w:t>
      </w:r>
      <w:r w:rsidR="00227301" w:rsidRPr="00865D96">
        <w:rPr>
          <w:rFonts w:ascii="Arial" w:hAnsi="Arial" w:cs="Arial"/>
          <w:color w:val="000000" w:themeColor="text1"/>
          <w:sz w:val="20"/>
          <w:szCs w:val="20"/>
          <w:lang w:val="en-US"/>
        </w:rPr>
        <w:t>8875.5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users of </w:t>
      </w:r>
      <w:r w:rsidRPr="00865D96">
        <w:rPr>
          <w:rFonts w:ascii="Arial" w:hAnsi="Arial" w:cs="Arial"/>
          <w:b/>
          <w:bCs/>
          <w:color w:val="000000" w:themeColor="text1"/>
          <w:sz w:val="20"/>
          <w:szCs w:val="20"/>
          <w:lang w:val="en-US"/>
        </w:rPr>
        <w:t>II</w:t>
      </w:r>
      <w:r w:rsidRPr="00865D96">
        <w:rPr>
          <w:rFonts w:ascii="Arial" w:hAnsi="Arial" w:cs="Arial"/>
          <w:color w:val="000000" w:themeColor="text1"/>
          <w:sz w:val="20"/>
          <w:szCs w:val="20"/>
          <w:lang w:val="en-US"/>
        </w:rPr>
        <w:t xml:space="preserve">. The maximum intake of </w:t>
      </w:r>
      <w:r w:rsidR="004607C3" w:rsidRPr="00865D96">
        <w:rPr>
          <w:rFonts w:ascii="Arial" w:hAnsi="Arial" w:cs="Arial"/>
          <w:color w:val="000000" w:themeColor="text1"/>
          <w:sz w:val="20"/>
          <w:szCs w:val="20"/>
          <w:lang w:val="en-US"/>
        </w:rPr>
        <w:t>copper</w:t>
      </w:r>
      <w:r w:rsidRPr="00865D96">
        <w:rPr>
          <w:rFonts w:ascii="Arial" w:hAnsi="Arial" w:cs="Arial"/>
          <w:color w:val="000000" w:themeColor="text1"/>
          <w:sz w:val="20"/>
          <w:szCs w:val="20"/>
          <w:lang w:val="en-US"/>
        </w:rPr>
        <w:t xml:space="preserve"> and zinc are, respectively, </w:t>
      </w:r>
      <w:r w:rsidR="00227301" w:rsidRPr="00865D96">
        <w:rPr>
          <w:rFonts w:ascii="Arial" w:hAnsi="Arial" w:cs="Arial"/>
          <w:color w:val="000000" w:themeColor="text1"/>
          <w:sz w:val="20"/>
          <w:szCs w:val="20"/>
          <w:lang w:val="en-US"/>
        </w:rPr>
        <w:t>472.5</w:t>
      </w:r>
      <w:r w:rsidRPr="00865D96">
        <w:rPr>
          <w:rFonts w:ascii="Arial" w:hAnsi="Arial" w:cs="Arial"/>
          <w:color w:val="000000" w:themeColor="text1"/>
          <w:sz w:val="20"/>
          <w:szCs w:val="20"/>
          <w:lang w:val="en-US"/>
        </w:rPr>
        <w:t xml:space="preserve"> and </w:t>
      </w:r>
      <w:r w:rsidR="00227301" w:rsidRPr="00865D96">
        <w:rPr>
          <w:rFonts w:ascii="Arial" w:hAnsi="Arial" w:cs="Arial"/>
          <w:color w:val="000000" w:themeColor="text1"/>
          <w:sz w:val="20"/>
          <w:szCs w:val="20"/>
          <w:lang w:val="en-US"/>
        </w:rPr>
        <w:t>7455</w:t>
      </w:r>
      <w:r w:rsidR="00CC6ECB"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w:t>
      </w:r>
      <w:r w:rsidRPr="00865D96">
        <w:rPr>
          <w:rFonts w:ascii="Arial" w:hAnsi="Arial" w:cs="Arial"/>
          <w:b/>
          <w:bCs/>
          <w:color w:val="000000" w:themeColor="text1"/>
          <w:sz w:val="20"/>
          <w:szCs w:val="20"/>
          <w:lang w:val="en-US"/>
        </w:rPr>
        <w:t xml:space="preserve">I </w:t>
      </w:r>
      <w:r w:rsidRPr="00865D96">
        <w:rPr>
          <w:rFonts w:ascii="Arial" w:hAnsi="Arial" w:cs="Arial"/>
          <w:color w:val="000000" w:themeColor="text1"/>
          <w:sz w:val="20"/>
          <w:szCs w:val="20"/>
          <w:lang w:val="en-US"/>
        </w:rPr>
        <w:t xml:space="preserve">and </w:t>
      </w:r>
      <w:r w:rsidR="00221CB7" w:rsidRPr="00865D96">
        <w:rPr>
          <w:rFonts w:ascii="Arial" w:hAnsi="Arial" w:cs="Arial"/>
          <w:color w:val="000000" w:themeColor="text1"/>
          <w:sz w:val="20"/>
          <w:szCs w:val="20"/>
          <w:lang w:val="en-US"/>
        </w:rPr>
        <w:t>577.5</w:t>
      </w:r>
      <w:r w:rsidR="00395D52"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t xml:space="preserve">and </w:t>
      </w:r>
      <w:r w:rsidR="00221CB7" w:rsidRPr="00865D96">
        <w:rPr>
          <w:rFonts w:ascii="Arial" w:hAnsi="Arial" w:cs="Arial"/>
          <w:color w:val="000000" w:themeColor="text1"/>
          <w:sz w:val="20"/>
          <w:szCs w:val="20"/>
          <w:lang w:val="en-US"/>
        </w:rPr>
        <w:t>8452.5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w:t>
      </w:r>
      <w:r w:rsidRPr="00865D96">
        <w:rPr>
          <w:rFonts w:ascii="Arial" w:hAnsi="Arial" w:cs="Arial"/>
          <w:b/>
          <w:bCs/>
          <w:color w:val="000000" w:themeColor="text1"/>
          <w:sz w:val="20"/>
          <w:szCs w:val="20"/>
          <w:lang w:val="en-US"/>
        </w:rPr>
        <w:t>II</w:t>
      </w:r>
      <w:r w:rsidRPr="00865D96">
        <w:rPr>
          <w:rFonts w:ascii="Arial" w:hAnsi="Arial" w:cs="Arial"/>
          <w:color w:val="000000" w:themeColor="text1"/>
          <w:sz w:val="20"/>
          <w:szCs w:val="20"/>
          <w:lang w:val="en-US"/>
        </w:rPr>
        <w:t xml:space="preserve">. The weekly doses of </w:t>
      </w:r>
      <w:r w:rsidR="00221CB7" w:rsidRPr="00865D96">
        <w:rPr>
          <w:rFonts w:ascii="Arial" w:hAnsi="Arial" w:cs="Arial"/>
          <w:color w:val="000000" w:themeColor="text1"/>
          <w:sz w:val="20"/>
          <w:szCs w:val="20"/>
          <w:lang w:val="en-US"/>
        </w:rPr>
        <w:t>cadmium</w:t>
      </w:r>
      <w:r w:rsidRPr="00865D96">
        <w:rPr>
          <w:rFonts w:ascii="Arial" w:hAnsi="Arial" w:cs="Arial"/>
          <w:color w:val="000000" w:themeColor="text1"/>
          <w:sz w:val="20"/>
          <w:szCs w:val="20"/>
          <w:lang w:val="en-US"/>
        </w:rPr>
        <w:t xml:space="preserve"> are not </w:t>
      </w:r>
      <w:proofErr w:type="gramStart"/>
      <w:r w:rsidRPr="00865D96">
        <w:rPr>
          <w:rFonts w:ascii="Arial" w:hAnsi="Arial" w:cs="Arial"/>
          <w:color w:val="000000" w:themeColor="text1"/>
          <w:sz w:val="20"/>
          <w:szCs w:val="20"/>
          <w:lang w:val="en-US"/>
        </w:rPr>
        <w:t xml:space="preserve">significant </w:t>
      </w:r>
      <w:r w:rsidR="00523589" w:rsidRPr="00865D96">
        <w:rPr>
          <w:rFonts w:ascii="Arial" w:hAnsi="Arial" w:cs="Arial"/>
          <w:color w:val="000000" w:themeColor="text1"/>
          <w:sz w:val="20"/>
          <w:szCs w:val="20"/>
          <w:lang w:val="en-US"/>
        </w:rPr>
        <w:t>:</w:t>
      </w:r>
      <w:proofErr w:type="gramEnd"/>
      <w:r w:rsidR="00523589" w:rsidRPr="00865D96">
        <w:rPr>
          <w:rFonts w:ascii="Arial" w:hAnsi="Arial" w:cs="Arial"/>
          <w:color w:val="000000" w:themeColor="text1"/>
          <w:sz w:val="20"/>
          <w:szCs w:val="20"/>
          <w:lang w:val="en-US"/>
        </w:rPr>
        <w:t xml:space="preserve"> </w:t>
      </w:r>
      <w:r w:rsidR="005A4BF2" w:rsidRPr="00865D96">
        <w:rPr>
          <w:rFonts w:ascii="Arial" w:hAnsi="Arial" w:cs="Arial"/>
          <w:color w:val="000000" w:themeColor="text1"/>
          <w:sz w:val="20"/>
          <w:szCs w:val="20"/>
          <w:lang w:val="en-US"/>
        </w:rPr>
        <w:t>5.25</w:t>
      </w:r>
      <w:r w:rsidRPr="00865D96">
        <w:rPr>
          <w:rFonts w:ascii="Arial" w:hAnsi="Arial" w:cs="Arial"/>
          <w:color w:val="000000" w:themeColor="text1"/>
          <w:sz w:val="20"/>
          <w:szCs w:val="20"/>
          <w:lang w:val="en-US"/>
        </w:rPr>
        <w:t xml:space="preserve"> and </w:t>
      </w:r>
      <w:r w:rsidR="005A4BF2" w:rsidRPr="00865D96">
        <w:rPr>
          <w:rFonts w:ascii="Arial" w:hAnsi="Arial" w:cs="Arial"/>
          <w:color w:val="000000" w:themeColor="text1"/>
          <w:sz w:val="20"/>
          <w:szCs w:val="20"/>
          <w:lang w:val="en-US"/>
        </w:rPr>
        <w:t>10.5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w:t>
      </w:r>
      <w:r w:rsidRPr="00865D96">
        <w:rPr>
          <w:rFonts w:ascii="Arial" w:hAnsi="Arial" w:cs="Arial"/>
          <w:b/>
          <w:bCs/>
          <w:color w:val="000000" w:themeColor="text1"/>
          <w:sz w:val="20"/>
          <w:szCs w:val="20"/>
          <w:lang w:val="en-US"/>
        </w:rPr>
        <w:t xml:space="preserve">I </w:t>
      </w:r>
      <w:r w:rsidRPr="00865D96">
        <w:rPr>
          <w:rFonts w:ascii="Arial" w:hAnsi="Arial" w:cs="Arial"/>
          <w:color w:val="000000" w:themeColor="text1"/>
          <w:sz w:val="20"/>
          <w:szCs w:val="20"/>
          <w:lang w:val="en-US"/>
        </w:rPr>
        <w:t xml:space="preserve">and </w:t>
      </w:r>
      <w:r w:rsidRPr="00865D96">
        <w:rPr>
          <w:rFonts w:ascii="Arial" w:hAnsi="Arial" w:cs="Arial"/>
          <w:b/>
          <w:bCs/>
          <w:color w:val="000000" w:themeColor="text1"/>
          <w:sz w:val="20"/>
          <w:szCs w:val="20"/>
          <w:lang w:val="en-US"/>
        </w:rPr>
        <w:t>II</w:t>
      </w:r>
      <w:r w:rsidRPr="00865D96">
        <w:rPr>
          <w:rFonts w:ascii="Arial" w:hAnsi="Arial" w:cs="Arial"/>
          <w:color w:val="000000" w:themeColor="text1"/>
          <w:sz w:val="20"/>
          <w:szCs w:val="20"/>
          <w:lang w:val="en-US"/>
        </w:rPr>
        <w:t xml:space="preserve">, respectively. Comparing the provisional tolerable weekly intakes </w:t>
      </w:r>
      <w:r w:rsidR="00B04B62" w:rsidRPr="00865D96">
        <w:rPr>
          <w:rFonts w:ascii="Arial" w:hAnsi="Arial" w:cs="Arial"/>
          <w:color w:val="000000" w:themeColor="text1"/>
          <w:sz w:val="20"/>
          <w:szCs w:val="20"/>
          <w:lang w:val="en-US"/>
        </w:rPr>
        <w:t xml:space="preserve">(Table 3) </w:t>
      </w:r>
      <w:r w:rsidRPr="00865D96">
        <w:rPr>
          <w:rFonts w:ascii="Arial" w:hAnsi="Arial" w:cs="Arial"/>
          <w:color w:val="000000" w:themeColor="text1"/>
          <w:sz w:val="20"/>
          <w:szCs w:val="20"/>
          <w:lang w:val="en-US"/>
        </w:rPr>
        <w:t xml:space="preserve">of FAO/WHO and other organizations </w:t>
      </w:r>
      <w:r w:rsidR="00AD5131" w:rsidRPr="00865D96">
        <w:rPr>
          <w:rFonts w:ascii="Arial" w:hAnsi="Arial" w:cs="Arial"/>
          <w:color w:val="000000" w:themeColor="text1"/>
          <w:sz w:val="20"/>
          <w:szCs w:val="20"/>
          <w:lang w:val="en-US"/>
        </w:rPr>
        <w:fldChar w:fldCharType="begin"/>
      </w:r>
      <w:r w:rsidR="002B2218" w:rsidRPr="00865D96">
        <w:rPr>
          <w:rFonts w:ascii="Arial" w:hAnsi="Arial" w:cs="Arial"/>
          <w:color w:val="000000" w:themeColor="text1"/>
          <w:sz w:val="20"/>
          <w:szCs w:val="20"/>
          <w:lang w:val="en-US"/>
        </w:rPr>
        <w:instrText xml:space="preserve"> ADDIN ZOTERO_ITEM CSL_CITATION {"citationID":"wNoMhySF","properties":{"formattedCitation":"\\super 39,40\\nosupersub{}","plainCitation":"39,40","noteIndex":0},"citationItems":[{"id":2567,"uris":["http://zotero.org/users/local/JzcqJHT8/items/CFFU3ULB"],"itemData":{"id":2567,"type":"article-journal","abstract":"This study provides the dietary intakes of six trace elements (cadmium, chromium, copper, manganese, selenium and zinc), generally characterized by both nutritional and toxicological features depending on their exposure. Being diet the most relevant source of exposure to trace elements in non-professionally exposed subjects, we measured content of these trace elements in foods composing the typical Italian diet using inductively coupled plasma-mass spectrometry, and assessing dietary habits using a validated semi-quantitative food frequency questionnaire we eventually estimated dietary daily intake of trace elements in a Northern Italian community. In the 890 analyzed food samples, the main contributors to cadmium intake are cereals, vegetables and sweets, while cereals, beverages and vegetable are to primary source of manganese. The primary contributors for copper are cereals, fresh fruits and vegetables, while for chromium are beverages, cereals and meat. The main source of selenium intake are cereals and meat, followed by fish, seafood and milk and dairy products, while of zinc intake are meat, cereals, milk and dairy products. In our Italian population sample, the estimated median (interquartile range) dietary daily intakes are 5.00 (3.17–7.65), 56.70 (36.08–86.70) and 66.53 (40.04–101.32) μg/day for cadmium, chromium and selenium, and corresponding figures are 0.98 (0.61–1.49), 2.34 (1.46–3.52) and 8.50 (5.21–12.48) mg/day for copper, manganese and zinc. The estimated intakes are generally within the average intake reported in other European populations, and in such cases well above the daily dietary intakes recommended by national international agencies, avoiding the risk of excess or deficiency. The present estimated intake data can be used to examine a specific trace element of interest and would afford enhanced health protection from those trace elements characterized by both nutritional and toxicological effects.","container-title":"Journal of Trace Elements in Medicine and Biology","DOI":"https://doi.org/10.1016/j.jtemb.2018.03.001","ISSN":"0946-672X","page":"508-517","title":"Dietary intake of cadmium, chromium, copper, manganese, selenium and zinc in a Northern Italy community","volume":"50","author":[{"family":"Filippini","given":"Tommaso"},{"family":"Cilloni","given":"Silvia"},{"family":"Malavolti","given":"Marcella"},{"family":"Violi","given":"Federica"},{"family":"Malagoli","given":"Carlotta"},{"family":"Tesauro","given":"Marina"},{"family":"Bottecchi","given":"Ilaria"},{"family":"Ferrari","given":"Angela"},{"family":"Vescovi","given":"Luciano"},{"family":"Vinceti","given":"Marco"}],"issued":{"date-parts":[["2018"]]}},"label":"page"},{"id":2566,"uris":["http://zotero.org/users/local/JzcqJHT8/items/4Q9U4HUV"],"itemData":{"id":2566,"type":"article-journal","abstract":"Abstract A duplicate diet meal study was carried out with a group of university students living in a hostel, in order to estimate the intake of Zn, Cd, Co, Cu, Fe, Mn, Ni and Pb. Zn, Cu, Fe, Mn and Ni were determined by flame atomic absorption spectrophotometry and Cd, Co and Pb by graphite furnace atomic absorption spectrophotometry after a nitric acid wet digestion procedure. The estimated intake values from the contents of breakfast, lunch, dinner and drinks were compared with the values of the Provisional Tolerable Daily Intake (PTDI) in the case of Cd and Pb, Recommended Dietary Allowances (RDA) of Co, Fe and Zn and Estimated Safe and Adequate Dietetic Daily Intake (ESADDI) of Cu and Mn. Neither excessive intake of Pb and Cd nor deficiencies in Zn, Co, Fe, Mn or Ni were observed, but Cu intake was lower than the ESADDI.","container-title":"Food / Nahrung","DOI":"https://doi.org/10.1002/food.19930370308","issue":"3","note":"_eprint: https://onlinelibrary.wiley.com/doi/pdf/10.1002/food.19930370308","page":"241-245","title":"Oral intake of cadmium, cobalt, copper, iron, lead, nickel, manganese and zinc in the University student's diet","volume":"37","author":[{"family":"Barberá","given":"Reyes"},{"family":"Farré","given":"Rosaura"},{"family":"Mesado","given":"Delfina"}],"issued":{"date-parts":[["1993"]]}},"label":"page"}],"schema":"https://github.com/citation-style-language/schema/raw/master/csl-citation.json"} </w:instrText>
      </w:r>
      <w:r w:rsidR="00AD5131" w:rsidRPr="00865D96">
        <w:rPr>
          <w:rFonts w:ascii="Arial" w:hAnsi="Arial" w:cs="Arial"/>
          <w:color w:val="000000" w:themeColor="text1"/>
          <w:sz w:val="20"/>
          <w:szCs w:val="20"/>
          <w:lang w:val="en-US"/>
        </w:rPr>
        <w:fldChar w:fldCharType="separate"/>
      </w:r>
      <w:r w:rsidR="00C03A65">
        <w:rPr>
          <w:rFonts w:ascii="Arial" w:hAnsi="Arial" w:cs="Arial"/>
          <w:kern w:val="0"/>
          <w:sz w:val="20"/>
          <w:szCs w:val="20"/>
          <w:vertAlign w:val="superscript"/>
        </w:rPr>
        <w:t>42</w:t>
      </w:r>
      <w:r w:rsidR="002B2218" w:rsidRPr="00865D96">
        <w:rPr>
          <w:rFonts w:ascii="Arial" w:hAnsi="Arial" w:cs="Arial"/>
          <w:kern w:val="0"/>
          <w:sz w:val="20"/>
          <w:szCs w:val="20"/>
          <w:vertAlign w:val="superscript"/>
        </w:rPr>
        <w:t>,4</w:t>
      </w:r>
      <w:r w:rsidR="00C03A65">
        <w:rPr>
          <w:rFonts w:ascii="Arial" w:hAnsi="Arial" w:cs="Arial"/>
          <w:kern w:val="0"/>
          <w:sz w:val="20"/>
          <w:szCs w:val="20"/>
          <w:vertAlign w:val="superscript"/>
        </w:rPr>
        <w:t>3</w:t>
      </w:r>
      <w:r w:rsidR="00AD5131" w:rsidRPr="00865D96">
        <w:rPr>
          <w:rFonts w:ascii="Arial" w:hAnsi="Arial" w:cs="Arial"/>
          <w:color w:val="000000" w:themeColor="text1"/>
          <w:sz w:val="20"/>
          <w:szCs w:val="20"/>
          <w:lang w:val="en-US"/>
        </w:rPr>
        <w:fldChar w:fldCharType="end"/>
      </w:r>
      <w:r w:rsidRPr="00865D96">
        <w:rPr>
          <w:rFonts w:ascii="Arial" w:hAnsi="Arial" w:cs="Arial"/>
          <w:color w:val="000000" w:themeColor="text1"/>
          <w:sz w:val="20"/>
          <w:szCs w:val="20"/>
          <w:lang w:val="en-US"/>
        </w:rPr>
        <w:t xml:space="preserve"> and the doses found in the study, it can be concluded that the consumption of </w:t>
      </w:r>
      <w:r w:rsidR="00EF2D6F" w:rsidRPr="00865D96">
        <w:rPr>
          <w:rFonts w:ascii="Arial" w:hAnsi="Arial" w:cs="Arial"/>
          <w:color w:val="000000" w:themeColor="text1"/>
          <w:sz w:val="20"/>
          <w:szCs w:val="20"/>
          <w:lang w:val="en-US"/>
        </w:rPr>
        <w:t>decorticated and non-decorticated millet</w:t>
      </w:r>
      <w:r w:rsidRPr="00865D96">
        <w:rPr>
          <w:rFonts w:ascii="Arial" w:hAnsi="Arial" w:cs="Arial"/>
          <w:i/>
          <w:iCs/>
          <w:color w:val="000000" w:themeColor="text1"/>
          <w:sz w:val="20"/>
          <w:szCs w:val="20"/>
          <w:lang w:val="en-US"/>
        </w:rPr>
        <w:t xml:space="preserve"> </w:t>
      </w:r>
      <w:r w:rsidRPr="00865D96">
        <w:rPr>
          <w:rFonts w:ascii="Arial" w:hAnsi="Arial" w:cs="Arial"/>
          <w:color w:val="000000" w:themeColor="text1"/>
          <w:sz w:val="20"/>
          <w:szCs w:val="20"/>
          <w:lang w:val="en-US"/>
        </w:rPr>
        <w:t>will not affect human health.</w:t>
      </w:r>
    </w:p>
    <w:p w14:paraId="4B5B2BCB" w14:textId="77777777" w:rsidR="007A32D7" w:rsidRPr="00865D96" w:rsidRDefault="007A32D7" w:rsidP="00C752F5">
      <w:pPr>
        <w:spacing w:line="276" w:lineRule="auto"/>
        <w:ind w:right="288"/>
        <w:rPr>
          <w:rFonts w:ascii="Arial" w:hAnsi="Arial" w:cs="Arial"/>
          <w:color w:val="000000" w:themeColor="text1"/>
          <w:sz w:val="20"/>
          <w:szCs w:val="20"/>
          <w:lang w:val="en-US"/>
        </w:rPr>
      </w:pPr>
    </w:p>
    <w:p w14:paraId="534C3B64" w14:textId="77777777" w:rsidR="00572358" w:rsidRPr="00865D96" w:rsidRDefault="00572358" w:rsidP="00C752F5">
      <w:pPr>
        <w:spacing w:line="276" w:lineRule="auto"/>
        <w:ind w:right="288"/>
        <w:rPr>
          <w:rFonts w:ascii="Arial" w:hAnsi="Arial" w:cs="Arial"/>
          <w:color w:val="000000" w:themeColor="text1"/>
          <w:sz w:val="20"/>
          <w:szCs w:val="20"/>
          <w:lang w:val="en-US"/>
        </w:rPr>
      </w:pPr>
    </w:p>
    <w:p w14:paraId="03ABE484" w14:textId="6A3B4FD8" w:rsidR="007A32D7" w:rsidRPr="00865D96" w:rsidRDefault="007A32D7" w:rsidP="00C752F5">
      <w:pPr>
        <w:spacing w:line="276" w:lineRule="auto"/>
        <w:ind w:right="288"/>
        <w:rPr>
          <w:rFonts w:ascii="Arial" w:hAnsi="Arial" w:cs="Arial"/>
          <w:b/>
          <w:bCs/>
          <w:sz w:val="20"/>
          <w:szCs w:val="20"/>
          <w:lang w:val="en-US"/>
        </w:rPr>
      </w:pPr>
      <w:r w:rsidRPr="00865D96">
        <w:rPr>
          <w:rFonts w:ascii="Arial" w:hAnsi="Arial" w:cs="Arial"/>
          <w:b/>
          <w:bCs/>
          <w:sz w:val="20"/>
          <w:szCs w:val="20"/>
          <w:lang w:val="en-US"/>
        </w:rPr>
        <w:t>Table 3. Possible maximum intake of heavy metal through the consumption of</w:t>
      </w:r>
      <w:r w:rsidRPr="00865D96">
        <w:rPr>
          <w:rFonts w:ascii="Arial" w:hAnsi="Arial" w:cs="Arial"/>
          <w:b/>
          <w:bCs/>
          <w:i/>
          <w:iCs/>
          <w:sz w:val="20"/>
          <w:szCs w:val="20"/>
          <w:lang w:val="en-US"/>
        </w:rPr>
        <w:t xml:space="preserve"> </w:t>
      </w:r>
      <w:r w:rsidR="00A05787" w:rsidRPr="00865D96">
        <w:rPr>
          <w:rFonts w:ascii="Arial" w:hAnsi="Arial" w:cs="Arial"/>
          <w:b/>
          <w:bCs/>
          <w:sz w:val="20"/>
          <w:szCs w:val="20"/>
          <w:lang w:val="en-US"/>
        </w:rPr>
        <w:t>decorticated</w:t>
      </w:r>
      <w:r w:rsidR="00C86A1D" w:rsidRPr="00865D96">
        <w:rPr>
          <w:rFonts w:ascii="Arial" w:hAnsi="Arial" w:cs="Arial"/>
          <w:b/>
          <w:bCs/>
          <w:sz w:val="20"/>
          <w:szCs w:val="20"/>
          <w:lang w:val="en-US"/>
        </w:rPr>
        <w:t xml:space="preserve"> millet (I) and </w:t>
      </w:r>
      <w:r w:rsidR="00A05787" w:rsidRPr="00865D96">
        <w:rPr>
          <w:rFonts w:ascii="Arial" w:hAnsi="Arial" w:cs="Arial"/>
          <w:b/>
          <w:bCs/>
          <w:sz w:val="20"/>
          <w:szCs w:val="20"/>
          <w:lang w:val="en-US"/>
        </w:rPr>
        <w:t xml:space="preserve">non-decorticated </w:t>
      </w:r>
      <w:r w:rsidR="00C86A1D" w:rsidRPr="00865D96">
        <w:rPr>
          <w:rFonts w:ascii="Arial" w:hAnsi="Arial" w:cs="Arial"/>
          <w:b/>
          <w:bCs/>
          <w:sz w:val="20"/>
          <w:szCs w:val="20"/>
          <w:lang w:val="en-US"/>
        </w:rPr>
        <w:t>millet (II)</w:t>
      </w:r>
      <w:r w:rsidRPr="00865D96">
        <w:rPr>
          <w:rFonts w:ascii="Arial" w:hAnsi="Arial" w:cs="Arial"/>
          <w:b/>
          <w:bCs/>
          <w:sz w:val="20"/>
          <w:szCs w:val="20"/>
          <w:lang w:val="en-US"/>
        </w:rPr>
        <w:t>.</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1559"/>
      </w:tblGrid>
      <w:tr w:rsidR="007A32D7" w:rsidRPr="00865D96" w14:paraId="2AEA78F8" w14:textId="77777777">
        <w:tc>
          <w:tcPr>
            <w:tcW w:w="2410" w:type="dxa"/>
            <w:tcBorders>
              <w:top w:val="single" w:sz="12" w:space="0" w:color="auto"/>
              <w:bottom w:val="single" w:sz="12" w:space="0" w:color="auto"/>
            </w:tcBorders>
            <w:shd w:val="clear" w:color="auto" w:fill="auto"/>
          </w:tcPr>
          <w:p w14:paraId="2B315AC2" w14:textId="77777777" w:rsidR="007A32D7" w:rsidRPr="00865D96" w:rsidRDefault="007A32D7" w:rsidP="00C752F5">
            <w:pPr>
              <w:spacing w:line="276" w:lineRule="auto"/>
              <w:rPr>
                <w:rFonts w:ascii="Arial" w:hAnsi="Arial" w:cs="Arial"/>
                <w:b/>
                <w:bCs/>
                <w:sz w:val="20"/>
                <w:szCs w:val="20"/>
                <w:lang w:val="en-US"/>
              </w:rPr>
            </w:pPr>
            <w:r w:rsidRPr="00865D96">
              <w:rPr>
                <w:rFonts w:ascii="Arial" w:hAnsi="Arial" w:cs="Arial"/>
                <w:b/>
                <w:bCs/>
                <w:sz w:val="20"/>
                <w:szCs w:val="20"/>
                <w:lang w:val="en-US"/>
              </w:rPr>
              <w:t>Sample</w:t>
            </w:r>
          </w:p>
        </w:tc>
        <w:tc>
          <w:tcPr>
            <w:tcW w:w="2268" w:type="dxa"/>
            <w:tcBorders>
              <w:top w:val="single" w:sz="12" w:space="0" w:color="auto"/>
              <w:bottom w:val="single" w:sz="12" w:space="0" w:color="auto"/>
            </w:tcBorders>
            <w:shd w:val="clear" w:color="auto" w:fill="auto"/>
          </w:tcPr>
          <w:p w14:paraId="1F739254" w14:textId="0ACC8388" w:rsidR="007A32D7" w:rsidRPr="00865D96" w:rsidRDefault="007A32D7" w:rsidP="00C752F5">
            <w:pPr>
              <w:spacing w:line="276" w:lineRule="auto"/>
              <w:rPr>
                <w:rFonts w:ascii="Arial" w:hAnsi="Arial" w:cs="Arial"/>
                <w:b/>
                <w:bCs/>
                <w:sz w:val="20"/>
                <w:szCs w:val="20"/>
                <w:lang w:val="en-US"/>
              </w:rPr>
            </w:pPr>
            <w:r w:rsidRPr="00865D96">
              <w:rPr>
                <w:rFonts w:ascii="Arial" w:hAnsi="Arial" w:cs="Arial"/>
                <w:b/>
                <w:bCs/>
                <w:sz w:val="20"/>
                <w:szCs w:val="20"/>
                <w:lang w:val="en-US"/>
              </w:rPr>
              <w:t>I</w:t>
            </w:r>
          </w:p>
        </w:tc>
        <w:tc>
          <w:tcPr>
            <w:tcW w:w="1559" w:type="dxa"/>
            <w:tcBorders>
              <w:top w:val="single" w:sz="12" w:space="0" w:color="auto"/>
              <w:bottom w:val="single" w:sz="12" w:space="0" w:color="auto"/>
            </w:tcBorders>
            <w:shd w:val="clear" w:color="auto" w:fill="auto"/>
          </w:tcPr>
          <w:p w14:paraId="2FC16FCB" w14:textId="62DEA25D" w:rsidR="007A32D7" w:rsidRPr="00865D96" w:rsidRDefault="007A32D7" w:rsidP="00C752F5">
            <w:pPr>
              <w:spacing w:line="276" w:lineRule="auto"/>
              <w:rPr>
                <w:rFonts w:ascii="Arial" w:hAnsi="Arial" w:cs="Arial"/>
                <w:b/>
                <w:bCs/>
                <w:sz w:val="20"/>
                <w:szCs w:val="20"/>
                <w:lang w:val="en-US"/>
              </w:rPr>
            </w:pPr>
            <w:r w:rsidRPr="00865D96">
              <w:rPr>
                <w:rFonts w:ascii="Arial" w:hAnsi="Arial" w:cs="Arial"/>
                <w:b/>
                <w:bCs/>
                <w:sz w:val="20"/>
                <w:szCs w:val="20"/>
                <w:lang w:val="en-US"/>
              </w:rPr>
              <w:t>II</w:t>
            </w:r>
          </w:p>
        </w:tc>
      </w:tr>
      <w:tr w:rsidR="007A32D7" w:rsidRPr="00865D96" w14:paraId="0DDC43D5" w14:textId="77777777">
        <w:tc>
          <w:tcPr>
            <w:tcW w:w="2410" w:type="dxa"/>
            <w:tcBorders>
              <w:top w:val="single" w:sz="12" w:space="0" w:color="auto"/>
            </w:tcBorders>
            <w:shd w:val="clear" w:color="auto" w:fill="auto"/>
          </w:tcPr>
          <w:p w14:paraId="002F7ABE" w14:textId="57E44065" w:rsidR="007A32D7" w:rsidRPr="00865D96" w:rsidRDefault="00733C69" w:rsidP="00C752F5">
            <w:pPr>
              <w:spacing w:line="276" w:lineRule="auto"/>
              <w:rPr>
                <w:rFonts w:ascii="Arial" w:hAnsi="Arial" w:cs="Arial"/>
                <w:sz w:val="20"/>
                <w:szCs w:val="20"/>
                <w:lang w:val="en-US"/>
              </w:rPr>
            </w:pPr>
            <w:r w:rsidRPr="00865D96">
              <w:rPr>
                <w:rFonts w:ascii="Arial" w:hAnsi="Arial" w:cs="Arial"/>
                <w:sz w:val="20"/>
                <w:szCs w:val="20"/>
                <w:lang w:val="en-US"/>
              </w:rPr>
              <w:t>Fe</w:t>
            </w:r>
            <w:r w:rsidR="007A32D7" w:rsidRPr="00865D96">
              <w:rPr>
                <w:rFonts w:ascii="Arial" w:hAnsi="Arial" w:cs="Arial"/>
                <w:sz w:val="20"/>
                <w:szCs w:val="20"/>
                <w:lang w:val="en-US"/>
              </w:rPr>
              <w:t xml:space="preserve"> (μg/week)</w:t>
            </w:r>
            <w:r w:rsidR="007A32D7" w:rsidRPr="00865D96">
              <w:rPr>
                <w:rFonts w:ascii="Arial" w:hAnsi="Arial" w:cs="Arial"/>
                <w:sz w:val="20"/>
                <w:szCs w:val="20"/>
                <w:vertAlign w:val="superscript"/>
                <w:lang w:val="en-US"/>
              </w:rPr>
              <w:t>a</w:t>
            </w:r>
          </w:p>
        </w:tc>
        <w:tc>
          <w:tcPr>
            <w:tcW w:w="2268" w:type="dxa"/>
            <w:tcBorders>
              <w:top w:val="single" w:sz="12" w:space="0" w:color="auto"/>
            </w:tcBorders>
            <w:shd w:val="clear" w:color="auto" w:fill="auto"/>
          </w:tcPr>
          <w:p w14:paraId="38848ACA" w14:textId="3D943BE4" w:rsidR="007A32D7" w:rsidRPr="00865D96" w:rsidRDefault="00A8734A" w:rsidP="00C752F5">
            <w:pPr>
              <w:spacing w:line="276" w:lineRule="auto"/>
              <w:rPr>
                <w:rFonts w:ascii="Arial" w:hAnsi="Arial" w:cs="Arial"/>
                <w:sz w:val="20"/>
                <w:szCs w:val="20"/>
                <w:lang w:val="en-US"/>
              </w:rPr>
            </w:pPr>
            <w:r>
              <w:rPr>
                <w:rFonts w:ascii="Arial" w:hAnsi="Arial" w:cs="Arial"/>
                <w:sz w:val="20"/>
                <w:szCs w:val="20"/>
                <w:lang w:val="en-US"/>
              </w:rPr>
              <w:t>7822.5</w:t>
            </w:r>
          </w:p>
        </w:tc>
        <w:tc>
          <w:tcPr>
            <w:tcW w:w="1559" w:type="dxa"/>
            <w:tcBorders>
              <w:top w:val="single" w:sz="12" w:space="0" w:color="auto"/>
            </w:tcBorders>
            <w:shd w:val="clear" w:color="auto" w:fill="auto"/>
          </w:tcPr>
          <w:p w14:paraId="4FCD30F7" w14:textId="320B8370"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8875.5</w:t>
            </w:r>
          </w:p>
        </w:tc>
      </w:tr>
      <w:tr w:rsidR="007A32D7" w:rsidRPr="00865D96" w14:paraId="61F802EC" w14:textId="77777777">
        <w:tc>
          <w:tcPr>
            <w:tcW w:w="2410" w:type="dxa"/>
            <w:tcBorders>
              <w:bottom w:val="single" w:sz="12" w:space="0" w:color="auto"/>
            </w:tcBorders>
            <w:shd w:val="clear" w:color="auto" w:fill="auto"/>
          </w:tcPr>
          <w:p w14:paraId="5622FC86" w14:textId="7B5E5F7C" w:rsidR="007A32D7" w:rsidRPr="00865D96" w:rsidRDefault="007A32D7"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173E78B9" w14:textId="333BF4A8"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1.</w:t>
            </w:r>
            <w:r w:rsidR="00D64CA0">
              <w:rPr>
                <w:rFonts w:ascii="Arial" w:hAnsi="Arial" w:cs="Arial"/>
                <w:sz w:val="20"/>
                <w:szCs w:val="20"/>
                <w:lang w:val="en-US"/>
              </w:rPr>
              <w:t>99</w:t>
            </w:r>
          </w:p>
        </w:tc>
        <w:tc>
          <w:tcPr>
            <w:tcW w:w="1559" w:type="dxa"/>
            <w:tcBorders>
              <w:bottom w:val="single" w:sz="12" w:space="0" w:color="auto"/>
            </w:tcBorders>
            <w:shd w:val="clear" w:color="auto" w:fill="auto"/>
          </w:tcPr>
          <w:p w14:paraId="52AA1517" w14:textId="06C02527"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2.26</w:t>
            </w:r>
          </w:p>
        </w:tc>
      </w:tr>
      <w:tr w:rsidR="008843BA" w:rsidRPr="00865D96" w14:paraId="4DA02288" w14:textId="77777777">
        <w:tc>
          <w:tcPr>
            <w:tcW w:w="2410" w:type="dxa"/>
            <w:tcBorders>
              <w:top w:val="single" w:sz="12" w:space="0" w:color="auto"/>
            </w:tcBorders>
            <w:shd w:val="clear" w:color="auto" w:fill="auto"/>
          </w:tcPr>
          <w:p w14:paraId="02950356" w14:textId="0A041DFF"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Cu (μg/week)</w:t>
            </w:r>
            <w:r w:rsidRPr="00865D96">
              <w:rPr>
                <w:rFonts w:ascii="Arial" w:hAnsi="Arial" w:cs="Arial"/>
                <w:sz w:val="20"/>
                <w:szCs w:val="20"/>
                <w:vertAlign w:val="superscript"/>
                <w:lang w:val="en-US"/>
              </w:rPr>
              <w:t>a</w:t>
            </w:r>
          </w:p>
        </w:tc>
        <w:tc>
          <w:tcPr>
            <w:tcW w:w="2268" w:type="dxa"/>
            <w:tcBorders>
              <w:top w:val="single" w:sz="12" w:space="0" w:color="auto"/>
            </w:tcBorders>
            <w:shd w:val="clear" w:color="auto" w:fill="auto"/>
          </w:tcPr>
          <w:p w14:paraId="29ADA76D" w14:textId="7FBC8838"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472.5</w:t>
            </w:r>
          </w:p>
        </w:tc>
        <w:tc>
          <w:tcPr>
            <w:tcW w:w="1559" w:type="dxa"/>
            <w:tcBorders>
              <w:top w:val="single" w:sz="12" w:space="0" w:color="auto"/>
            </w:tcBorders>
            <w:shd w:val="clear" w:color="auto" w:fill="auto"/>
          </w:tcPr>
          <w:p w14:paraId="05FCC863" w14:textId="0EF7CD99"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577.5</w:t>
            </w:r>
          </w:p>
        </w:tc>
      </w:tr>
      <w:tr w:rsidR="008843BA" w:rsidRPr="00865D96" w14:paraId="4B99B899" w14:textId="77777777">
        <w:tc>
          <w:tcPr>
            <w:tcW w:w="2410" w:type="dxa"/>
            <w:tcBorders>
              <w:bottom w:val="single" w:sz="12" w:space="0" w:color="auto"/>
            </w:tcBorders>
            <w:shd w:val="clear" w:color="auto" w:fill="auto"/>
          </w:tcPr>
          <w:p w14:paraId="13598776" w14:textId="70317DA4"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6CAE7B5A" w14:textId="66344A1A"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0.19</w:t>
            </w:r>
          </w:p>
        </w:tc>
        <w:tc>
          <w:tcPr>
            <w:tcW w:w="1559" w:type="dxa"/>
            <w:tcBorders>
              <w:bottom w:val="single" w:sz="12" w:space="0" w:color="auto"/>
            </w:tcBorders>
            <w:shd w:val="clear" w:color="auto" w:fill="auto"/>
          </w:tcPr>
          <w:p w14:paraId="7CBF2274" w14:textId="00C08AF3"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0.24</w:t>
            </w:r>
          </w:p>
        </w:tc>
      </w:tr>
      <w:tr w:rsidR="007A32D7" w:rsidRPr="00865D96" w14:paraId="6280BA4B" w14:textId="77777777">
        <w:tc>
          <w:tcPr>
            <w:tcW w:w="2410" w:type="dxa"/>
            <w:tcBorders>
              <w:top w:val="single" w:sz="12" w:space="0" w:color="auto"/>
            </w:tcBorders>
            <w:shd w:val="clear" w:color="auto" w:fill="auto"/>
          </w:tcPr>
          <w:p w14:paraId="634B942E" w14:textId="51FF5679" w:rsidR="007A32D7" w:rsidRPr="00865D96" w:rsidRDefault="00614712" w:rsidP="00C752F5">
            <w:pPr>
              <w:spacing w:line="276" w:lineRule="auto"/>
              <w:rPr>
                <w:rFonts w:ascii="Arial" w:hAnsi="Arial" w:cs="Arial"/>
                <w:sz w:val="20"/>
                <w:szCs w:val="20"/>
                <w:lang w:val="en-US"/>
              </w:rPr>
            </w:pPr>
            <w:r w:rsidRPr="00865D96">
              <w:rPr>
                <w:rFonts w:ascii="Arial" w:hAnsi="Arial" w:cs="Arial"/>
                <w:sz w:val="20"/>
                <w:szCs w:val="20"/>
                <w:lang w:val="en-US"/>
              </w:rPr>
              <w:t>Zn</w:t>
            </w:r>
            <w:r w:rsidR="007A32D7" w:rsidRPr="00865D96">
              <w:rPr>
                <w:rFonts w:ascii="Arial" w:hAnsi="Arial" w:cs="Arial"/>
                <w:sz w:val="20"/>
                <w:szCs w:val="20"/>
                <w:lang w:val="en-US"/>
              </w:rPr>
              <w:t xml:space="preserve"> (μg/week)</w:t>
            </w:r>
            <w:r w:rsidR="007A32D7" w:rsidRPr="00865D96">
              <w:rPr>
                <w:rFonts w:ascii="Arial" w:hAnsi="Arial" w:cs="Arial"/>
                <w:sz w:val="20"/>
                <w:szCs w:val="20"/>
                <w:vertAlign w:val="superscript"/>
                <w:lang w:val="en-US"/>
              </w:rPr>
              <w:t>a</w:t>
            </w:r>
          </w:p>
        </w:tc>
        <w:tc>
          <w:tcPr>
            <w:tcW w:w="2268" w:type="dxa"/>
            <w:tcBorders>
              <w:top w:val="single" w:sz="12" w:space="0" w:color="auto"/>
            </w:tcBorders>
            <w:shd w:val="clear" w:color="auto" w:fill="auto"/>
          </w:tcPr>
          <w:p w14:paraId="6580974E" w14:textId="5B36006E"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7455</w:t>
            </w:r>
          </w:p>
        </w:tc>
        <w:tc>
          <w:tcPr>
            <w:tcW w:w="1559" w:type="dxa"/>
            <w:tcBorders>
              <w:top w:val="single" w:sz="12" w:space="0" w:color="auto"/>
            </w:tcBorders>
            <w:shd w:val="clear" w:color="auto" w:fill="auto"/>
          </w:tcPr>
          <w:p w14:paraId="11396913" w14:textId="7231B20E" w:rsidR="007A32D7" w:rsidRPr="00865D96" w:rsidRDefault="00411F95" w:rsidP="00C752F5">
            <w:pPr>
              <w:spacing w:line="276" w:lineRule="auto"/>
              <w:rPr>
                <w:rFonts w:ascii="Arial" w:hAnsi="Arial" w:cs="Arial"/>
                <w:sz w:val="20"/>
                <w:szCs w:val="20"/>
                <w:lang w:val="en-US"/>
              </w:rPr>
            </w:pPr>
            <w:r w:rsidRPr="00865D96">
              <w:rPr>
                <w:rFonts w:ascii="Arial" w:hAnsi="Arial" w:cs="Arial"/>
                <w:sz w:val="20"/>
                <w:szCs w:val="20"/>
                <w:lang w:val="en-US"/>
              </w:rPr>
              <w:t>8452.5</w:t>
            </w:r>
          </w:p>
        </w:tc>
      </w:tr>
      <w:tr w:rsidR="007A32D7" w:rsidRPr="00865D96" w14:paraId="5C2742CC" w14:textId="77777777">
        <w:tc>
          <w:tcPr>
            <w:tcW w:w="2410" w:type="dxa"/>
            <w:tcBorders>
              <w:bottom w:val="single" w:sz="12" w:space="0" w:color="auto"/>
            </w:tcBorders>
            <w:shd w:val="clear" w:color="auto" w:fill="auto"/>
          </w:tcPr>
          <w:p w14:paraId="7F77B884" w14:textId="11BA98B3" w:rsidR="007A32D7" w:rsidRPr="00865D96" w:rsidRDefault="007A32D7"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2EEEA806" w14:textId="0D4075FC"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1.52</w:t>
            </w:r>
          </w:p>
        </w:tc>
        <w:tc>
          <w:tcPr>
            <w:tcW w:w="1559" w:type="dxa"/>
            <w:tcBorders>
              <w:bottom w:val="single" w:sz="12" w:space="0" w:color="auto"/>
            </w:tcBorders>
            <w:shd w:val="clear" w:color="auto" w:fill="auto"/>
          </w:tcPr>
          <w:p w14:paraId="14B0C2A0" w14:textId="5A829E9C" w:rsidR="007A32D7" w:rsidRPr="00865D96" w:rsidRDefault="00411F95" w:rsidP="00C752F5">
            <w:pPr>
              <w:spacing w:line="276" w:lineRule="auto"/>
              <w:rPr>
                <w:rFonts w:ascii="Arial" w:hAnsi="Arial" w:cs="Arial"/>
                <w:sz w:val="20"/>
                <w:szCs w:val="20"/>
                <w:lang w:val="en-US"/>
              </w:rPr>
            </w:pPr>
            <w:r w:rsidRPr="00865D96">
              <w:rPr>
                <w:rFonts w:ascii="Arial" w:hAnsi="Arial" w:cs="Arial"/>
                <w:sz w:val="20"/>
                <w:szCs w:val="20"/>
                <w:lang w:val="en-US"/>
              </w:rPr>
              <w:t>1.75</w:t>
            </w:r>
          </w:p>
        </w:tc>
      </w:tr>
      <w:tr w:rsidR="007A32D7" w:rsidRPr="00865D96" w14:paraId="338BFC5F" w14:textId="77777777">
        <w:tc>
          <w:tcPr>
            <w:tcW w:w="2410" w:type="dxa"/>
            <w:tcBorders>
              <w:top w:val="single" w:sz="12" w:space="0" w:color="auto"/>
            </w:tcBorders>
            <w:shd w:val="clear" w:color="auto" w:fill="auto"/>
          </w:tcPr>
          <w:p w14:paraId="693A81AB" w14:textId="047E89F3" w:rsidR="007A32D7" w:rsidRPr="00865D96" w:rsidRDefault="00B92FA3" w:rsidP="00C752F5">
            <w:pPr>
              <w:spacing w:line="276" w:lineRule="auto"/>
              <w:rPr>
                <w:rFonts w:ascii="Arial" w:hAnsi="Arial" w:cs="Arial"/>
                <w:sz w:val="20"/>
                <w:szCs w:val="20"/>
                <w:lang w:val="en-US"/>
              </w:rPr>
            </w:pPr>
            <w:r w:rsidRPr="00865D96">
              <w:rPr>
                <w:rFonts w:ascii="Arial" w:hAnsi="Arial" w:cs="Arial"/>
                <w:sz w:val="20"/>
                <w:szCs w:val="20"/>
                <w:lang w:val="en-US"/>
              </w:rPr>
              <w:t>Cd</w:t>
            </w:r>
            <w:r w:rsidR="007A32D7" w:rsidRPr="00865D96">
              <w:rPr>
                <w:rFonts w:ascii="Arial" w:hAnsi="Arial" w:cs="Arial"/>
                <w:sz w:val="20"/>
                <w:szCs w:val="20"/>
                <w:lang w:val="en-US"/>
              </w:rPr>
              <w:t xml:space="preserve"> (μg/week)</w:t>
            </w:r>
            <w:r w:rsidR="007A32D7" w:rsidRPr="00865D96">
              <w:rPr>
                <w:rFonts w:ascii="Arial" w:hAnsi="Arial" w:cs="Arial"/>
                <w:sz w:val="20"/>
                <w:szCs w:val="20"/>
                <w:vertAlign w:val="superscript"/>
                <w:lang w:val="en-US"/>
              </w:rPr>
              <w:t>a</w:t>
            </w:r>
          </w:p>
        </w:tc>
        <w:tc>
          <w:tcPr>
            <w:tcW w:w="2268" w:type="dxa"/>
            <w:tcBorders>
              <w:top w:val="single" w:sz="12" w:space="0" w:color="auto"/>
            </w:tcBorders>
            <w:shd w:val="clear" w:color="auto" w:fill="auto"/>
          </w:tcPr>
          <w:p w14:paraId="048D7D1A" w14:textId="1E2ABF92"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5.25</w:t>
            </w:r>
          </w:p>
        </w:tc>
        <w:tc>
          <w:tcPr>
            <w:tcW w:w="1559" w:type="dxa"/>
            <w:tcBorders>
              <w:top w:val="single" w:sz="12" w:space="0" w:color="auto"/>
            </w:tcBorders>
            <w:shd w:val="clear" w:color="auto" w:fill="auto"/>
          </w:tcPr>
          <w:p w14:paraId="43050B36" w14:textId="0C0566AD"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10.5</w:t>
            </w:r>
          </w:p>
        </w:tc>
      </w:tr>
      <w:tr w:rsidR="007A32D7" w:rsidRPr="00865D96" w14:paraId="625874E3" w14:textId="77777777">
        <w:tc>
          <w:tcPr>
            <w:tcW w:w="2410" w:type="dxa"/>
            <w:tcBorders>
              <w:bottom w:val="single" w:sz="12" w:space="0" w:color="auto"/>
            </w:tcBorders>
            <w:shd w:val="clear" w:color="auto" w:fill="auto"/>
          </w:tcPr>
          <w:p w14:paraId="1C5D959E" w14:textId="79996B27" w:rsidR="007A32D7" w:rsidRPr="00865D96" w:rsidRDefault="007A32D7"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4D417E5A" w14:textId="2B22D116"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1.07</w:t>
            </w:r>
          </w:p>
        </w:tc>
        <w:tc>
          <w:tcPr>
            <w:tcW w:w="1559" w:type="dxa"/>
            <w:tcBorders>
              <w:bottom w:val="single" w:sz="12" w:space="0" w:color="auto"/>
            </w:tcBorders>
            <w:shd w:val="clear" w:color="auto" w:fill="auto"/>
          </w:tcPr>
          <w:p w14:paraId="64992620" w14:textId="5E7A510F"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2.14</w:t>
            </w:r>
          </w:p>
        </w:tc>
      </w:tr>
    </w:tbl>
    <w:p w14:paraId="15E166DB" w14:textId="57911B24" w:rsidR="007A32D7" w:rsidRDefault="007A32D7" w:rsidP="00C752F5">
      <w:pPr>
        <w:spacing w:line="276" w:lineRule="auto"/>
        <w:ind w:right="288"/>
        <w:rPr>
          <w:rFonts w:ascii="Arial" w:hAnsi="Arial" w:cs="Arial"/>
          <w:sz w:val="20"/>
          <w:szCs w:val="20"/>
          <w:lang w:val="en-US"/>
        </w:rPr>
      </w:pPr>
      <w:proofErr w:type="spellStart"/>
      <w:r w:rsidRPr="00865D96">
        <w:rPr>
          <w:rFonts w:ascii="Arial" w:hAnsi="Arial" w:cs="Arial"/>
          <w:sz w:val="20"/>
          <w:szCs w:val="20"/>
          <w:vertAlign w:val="superscript"/>
          <w:lang w:val="en-US"/>
        </w:rPr>
        <w:t>a</w:t>
      </w:r>
      <w:r w:rsidRPr="00865D96">
        <w:rPr>
          <w:rFonts w:ascii="Arial" w:hAnsi="Arial" w:cs="Arial"/>
          <w:sz w:val="20"/>
          <w:szCs w:val="20"/>
          <w:lang w:val="en-US"/>
        </w:rPr>
        <w:t>Calculated</w:t>
      </w:r>
      <w:proofErr w:type="spellEnd"/>
      <w:r w:rsidRPr="00865D96">
        <w:rPr>
          <w:rFonts w:ascii="Arial" w:hAnsi="Arial" w:cs="Arial"/>
          <w:sz w:val="20"/>
          <w:szCs w:val="20"/>
          <w:lang w:val="en-US"/>
        </w:rPr>
        <w:t xml:space="preserve"> using the level in each </w:t>
      </w:r>
      <w:r w:rsidR="00C86A1D" w:rsidRPr="00865D96">
        <w:rPr>
          <w:rFonts w:ascii="Arial" w:hAnsi="Arial" w:cs="Arial"/>
          <w:sz w:val="20"/>
          <w:szCs w:val="20"/>
          <w:lang w:val="en-US"/>
        </w:rPr>
        <w:t>sample</w:t>
      </w:r>
      <w:r w:rsidRPr="00865D96">
        <w:rPr>
          <w:rFonts w:ascii="Arial" w:hAnsi="Arial" w:cs="Arial"/>
          <w:sz w:val="20"/>
          <w:szCs w:val="20"/>
          <w:lang w:val="en-US"/>
        </w:rPr>
        <w:t xml:space="preserve"> (Table </w:t>
      </w:r>
      <w:r w:rsidR="00A05787" w:rsidRPr="00865D96">
        <w:rPr>
          <w:rFonts w:ascii="Arial" w:hAnsi="Arial" w:cs="Arial"/>
          <w:sz w:val="20"/>
          <w:szCs w:val="20"/>
          <w:lang w:val="en-US"/>
        </w:rPr>
        <w:t>2</w:t>
      </w:r>
      <w:r w:rsidRPr="00865D96">
        <w:rPr>
          <w:rFonts w:ascii="Arial" w:hAnsi="Arial" w:cs="Arial"/>
          <w:sz w:val="20"/>
          <w:szCs w:val="20"/>
          <w:lang w:val="en-US"/>
        </w:rPr>
        <w:t xml:space="preserve">) and assuming an average daily consumption of </w:t>
      </w:r>
      <w:r w:rsidR="00393E6E" w:rsidRPr="00865D96">
        <w:rPr>
          <w:rFonts w:ascii="Arial" w:hAnsi="Arial" w:cs="Arial"/>
          <w:sz w:val="20"/>
          <w:szCs w:val="20"/>
          <w:lang w:val="en-US"/>
        </w:rPr>
        <w:t>75 g</w:t>
      </w:r>
      <w:r w:rsidRPr="00865D96">
        <w:rPr>
          <w:rFonts w:ascii="Arial" w:hAnsi="Arial" w:cs="Arial"/>
          <w:sz w:val="20"/>
          <w:szCs w:val="20"/>
          <w:lang w:val="en-US"/>
        </w:rPr>
        <w:t xml:space="preserve"> of </w:t>
      </w:r>
      <w:r w:rsidR="00393E6E" w:rsidRPr="00865D96">
        <w:rPr>
          <w:rFonts w:ascii="Arial" w:hAnsi="Arial" w:cs="Arial"/>
          <w:sz w:val="20"/>
          <w:szCs w:val="20"/>
          <w:lang w:val="en-US"/>
        </w:rPr>
        <w:t>milled for a personal weight of 70 Kg</w:t>
      </w:r>
      <w:r w:rsidRPr="00865D96">
        <w:rPr>
          <w:rFonts w:ascii="Arial" w:hAnsi="Arial" w:cs="Arial"/>
          <w:sz w:val="20"/>
          <w:szCs w:val="20"/>
          <w:lang w:val="en-US"/>
        </w:rPr>
        <w:t>.</w:t>
      </w:r>
    </w:p>
    <w:p w14:paraId="58E8D1AD" w14:textId="219403A1" w:rsidR="00A73BD1" w:rsidRDefault="00771ED6" w:rsidP="00C752F5">
      <w:pPr>
        <w:spacing w:line="276" w:lineRule="auto"/>
        <w:ind w:right="288"/>
        <w:rPr>
          <w:rFonts w:ascii="Arial" w:hAnsi="Arial" w:cs="Arial"/>
          <w:sz w:val="20"/>
          <w:szCs w:val="20"/>
          <w:lang w:val="en-US"/>
        </w:rPr>
      </w:pPr>
      <w:r>
        <w:rPr>
          <w:rFonts w:ascii="Arial" w:hAnsi="Arial" w:cs="Arial"/>
          <w:sz w:val="20"/>
          <w:szCs w:val="20"/>
          <w:lang w:val="en-US"/>
        </w:rPr>
        <w:t xml:space="preserve">  </w:t>
      </w:r>
    </w:p>
    <w:p w14:paraId="5DE4A8A1" w14:textId="4591C6C8" w:rsidR="00A73BD1" w:rsidRDefault="00A73BD1" w:rsidP="00A73BD1">
      <w:pPr>
        <w:pStyle w:val="Heading1"/>
      </w:pPr>
      <w:r>
        <w:t>Conclusion</w:t>
      </w:r>
    </w:p>
    <w:p w14:paraId="3D4470B9" w14:textId="5DFF2324" w:rsidR="003C66FF" w:rsidRPr="008F0F29" w:rsidRDefault="008F0F29" w:rsidP="00C752F5">
      <w:pPr>
        <w:spacing w:line="276" w:lineRule="auto"/>
        <w:ind w:right="288"/>
        <w:rPr>
          <w:rFonts w:ascii="Arial" w:hAnsi="Arial" w:cs="Arial"/>
          <w:sz w:val="20"/>
          <w:szCs w:val="20"/>
          <w:lang w:val="en-US"/>
        </w:rPr>
      </w:pPr>
      <w:r w:rsidRPr="008F0F29">
        <w:rPr>
          <w:rFonts w:ascii="Arial" w:hAnsi="Arial" w:cs="Arial"/>
          <w:sz w:val="20"/>
          <w:szCs w:val="20"/>
          <w:lang w:val="en-US"/>
        </w:rPr>
        <w:t xml:space="preserve">In conclusion, the periodic assessment of metal concentrations in millet crops in Senegal and the creation of quality control criteria for cereals, due to contamination with undesirable minerals, are important in terms of food safety for these consumer products. In addition, it is necessary to conduct a comprehensive risk assessment of toxic elements in future studies to assess risks to consumer health. In the study, it was identified that heavy metals are present in relatively low quantities and do not pose health problems, both for hulled and </w:t>
      </w:r>
      <w:proofErr w:type="spellStart"/>
      <w:r w:rsidRPr="008F0F29">
        <w:rPr>
          <w:rFonts w:ascii="Arial" w:hAnsi="Arial" w:cs="Arial"/>
          <w:sz w:val="20"/>
          <w:szCs w:val="20"/>
          <w:lang w:val="en-US"/>
        </w:rPr>
        <w:t>unhulled</w:t>
      </w:r>
      <w:proofErr w:type="spellEnd"/>
      <w:r w:rsidRPr="008F0F29">
        <w:rPr>
          <w:rFonts w:ascii="Arial" w:hAnsi="Arial" w:cs="Arial"/>
          <w:sz w:val="20"/>
          <w:szCs w:val="20"/>
          <w:lang w:val="en-US"/>
        </w:rPr>
        <w:t xml:space="preserve"> millet, for consumers. Therefore, it seems necessary to extend the study to all areas where this cereal is grown. Indeed, areas close to major traffic routes, which are often more contaminated with heavy metals, can produce crops at high risk of accumulation of heavy elements that are dangerous to the health of millet consumers. Despite the levels found in this study, monitoring must be carried out on all harvests of the different cereals grown and consumed in </w:t>
      </w:r>
      <w:commentRangeStart w:id="8"/>
      <w:r w:rsidRPr="008F0F29">
        <w:rPr>
          <w:rFonts w:ascii="Arial" w:hAnsi="Arial" w:cs="Arial"/>
          <w:sz w:val="20"/>
          <w:szCs w:val="20"/>
          <w:lang w:val="en-US"/>
        </w:rPr>
        <w:t>Senegal</w:t>
      </w:r>
      <w:commentRangeEnd w:id="8"/>
      <w:r w:rsidR="007076F5">
        <w:rPr>
          <w:rStyle w:val="CommentReference"/>
        </w:rPr>
        <w:commentReference w:id="8"/>
      </w:r>
      <w:r w:rsidRPr="008F0F29">
        <w:rPr>
          <w:rFonts w:ascii="Arial" w:hAnsi="Arial" w:cs="Arial"/>
          <w:sz w:val="20"/>
          <w:szCs w:val="20"/>
          <w:lang w:val="en-US"/>
        </w:rPr>
        <w:t>.</w:t>
      </w:r>
    </w:p>
    <w:p w14:paraId="2F9FB0D2" w14:textId="77777777" w:rsidR="003C66FF" w:rsidRPr="008F0F29" w:rsidRDefault="003C66FF" w:rsidP="00C752F5">
      <w:pPr>
        <w:spacing w:line="276" w:lineRule="auto"/>
        <w:ind w:right="288"/>
        <w:rPr>
          <w:rFonts w:ascii="Arial" w:hAnsi="Arial" w:cs="Arial"/>
          <w:sz w:val="20"/>
          <w:szCs w:val="20"/>
          <w:lang w:val="en-US"/>
        </w:rPr>
      </w:pPr>
    </w:p>
    <w:p w14:paraId="03339164" w14:textId="77777777" w:rsidR="007A32D7" w:rsidRPr="008F0F29" w:rsidRDefault="007A32D7" w:rsidP="00C752F5">
      <w:pPr>
        <w:spacing w:line="276" w:lineRule="auto"/>
        <w:ind w:right="288"/>
        <w:rPr>
          <w:rFonts w:ascii="Arial" w:hAnsi="Arial" w:cs="Arial"/>
          <w:sz w:val="20"/>
          <w:szCs w:val="20"/>
          <w:lang w:val="en-US"/>
        </w:rPr>
      </w:pPr>
    </w:p>
    <w:tbl>
      <w:tblPr>
        <w:tblStyle w:val="TableGrid"/>
        <w:tblW w:w="0" w:type="auto"/>
        <w:tblLook w:val="04A0" w:firstRow="1" w:lastRow="0" w:firstColumn="1" w:lastColumn="0" w:noHBand="0" w:noVBand="1"/>
      </w:tblPr>
      <w:tblGrid>
        <w:gridCol w:w="4419"/>
        <w:gridCol w:w="4931"/>
      </w:tblGrid>
      <w:tr w:rsidR="00EF4E21" w:rsidRPr="00865D96" w14:paraId="15B1A3CE" w14:textId="77777777" w:rsidTr="00E4169F">
        <w:tc>
          <w:tcPr>
            <w:tcW w:w="4419" w:type="dxa"/>
            <w:tcBorders>
              <w:top w:val="nil"/>
              <w:left w:val="nil"/>
              <w:bottom w:val="nil"/>
              <w:right w:val="nil"/>
            </w:tcBorders>
          </w:tcPr>
          <w:p w14:paraId="50C101CD" w14:textId="3625E5ED" w:rsidR="00A3387F" w:rsidRPr="00865D96" w:rsidRDefault="007E31D9"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lastRenderedPageBreak/>
              <w:drawing>
                <wp:inline distT="0" distB="0" distL="0" distR="0" wp14:anchorId="1AD29D64" wp14:editId="483A1849">
                  <wp:extent cx="2073600" cy="1440000"/>
                  <wp:effectExtent l="0" t="0" r="3175" b="8255"/>
                  <wp:docPr id="16651715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3600" cy="1440000"/>
                          </a:xfrm>
                          <a:prstGeom prst="rect">
                            <a:avLst/>
                          </a:prstGeom>
                          <a:noFill/>
                        </pic:spPr>
                      </pic:pic>
                    </a:graphicData>
                  </a:graphic>
                </wp:inline>
              </w:drawing>
            </w:r>
          </w:p>
        </w:tc>
        <w:tc>
          <w:tcPr>
            <w:tcW w:w="4931" w:type="dxa"/>
            <w:tcBorders>
              <w:top w:val="nil"/>
              <w:left w:val="nil"/>
              <w:bottom w:val="nil"/>
              <w:right w:val="nil"/>
            </w:tcBorders>
          </w:tcPr>
          <w:p w14:paraId="176EEE1E" w14:textId="0BEE48F2" w:rsidR="00A3387F" w:rsidRPr="00865D96" w:rsidRDefault="00A33EC6"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6BF2BC8D" wp14:editId="7778105D">
                  <wp:extent cx="2427051" cy="1439545"/>
                  <wp:effectExtent l="0" t="0" r="0" b="8255"/>
                  <wp:docPr id="1341537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837"/>
                          <a:stretch/>
                        </pic:blipFill>
                        <pic:spPr bwMode="auto">
                          <a:xfrm>
                            <a:off x="0" y="0"/>
                            <a:ext cx="2427818" cy="144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4E21" w:rsidRPr="00865D96" w14:paraId="0C21691C" w14:textId="77777777" w:rsidTr="00E4169F">
        <w:tc>
          <w:tcPr>
            <w:tcW w:w="4419" w:type="dxa"/>
            <w:tcBorders>
              <w:top w:val="nil"/>
              <w:left w:val="nil"/>
              <w:bottom w:val="nil"/>
              <w:right w:val="nil"/>
            </w:tcBorders>
          </w:tcPr>
          <w:p w14:paraId="5AE5E46F" w14:textId="44283B17" w:rsidR="00A3387F" w:rsidRPr="00865D96" w:rsidRDefault="00C21C60" w:rsidP="00C752F5">
            <w:pPr>
              <w:spacing w:line="276" w:lineRule="auto"/>
              <w:jc w:val="center"/>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3F240B53" wp14:editId="6439E7B6">
                  <wp:extent cx="2363822" cy="1439545"/>
                  <wp:effectExtent l="0" t="0" r="0" b="8255"/>
                  <wp:docPr id="7978278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97" r="925" b="-12"/>
                          <a:stretch/>
                        </pic:blipFill>
                        <pic:spPr bwMode="auto">
                          <a:xfrm>
                            <a:off x="0" y="0"/>
                            <a:ext cx="2364569"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1" w:type="dxa"/>
            <w:tcBorders>
              <w:top w:val="nil"/>
              <w:left w:val="nil"/>
              <w:bottom w:val="nil"/>
              <w:right w:val="nil"/>
            </w:tcBorders>
          </w:tcPr>
          <w:p w14:paraId="407964EB" w14:textId="2C626B98" w:rsidR="00A3387F" w:rsidRPr="00865D96" w:rsidRDefault="001754FC"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6D59EE4A" wp14:editId="3CEC9AB8">
                  <wp:extent cx="2413440" cy="1440000"/>
                  <wp:effectExtent l="0" t="0" r="6350" b="8255"/>
                  <wp:docPr id="3133845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440" cy="1440000"/>
                          </a:xfrm>
                          <a:prstGeom prst="rect">
                            <a:avLst/>
                          </a:prstGeom>
                          <a:noFill/>
                        </pic:spPr>
                      </pic:pic>
                    </a:graphicData>
                  </a:graphic>
                </wp:inline>
              </w:drawing>
            </w:r>
          </w:p>
        </w:tc>
      </w:tr>
      <w:tr w:rsidR="00EF4E21" w:rsidRPr="00865D96" w14:paraId="48E8B046" w14:textId="77777777" w:rsidTr="00E4169F">
        <w:tc>
          <w:tcPr>
            <w:tcW w:w="4419" w:type="dxa"/>
            <w:tcBorders>
              <w:top w:val="nil"/>
              <w:left w:val="nil"/>
              <w:bottom w:val="nil"/>
              <w:right w:val="nil"/>
            </w:tcBorders>
          </w:tcPr>
          <w:p w14:paraId="78CA1390" w14:textId="4A5FD86E" w:rsidR="00A3387F" w:rsidRPr="00865D96" w:rsidRDefault="00D40DF2"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65C94777" wp14:editId="46985F4F">
                  <wp:extent cx="2617200" cy="1440000"/>
                  <wp:effectExtent l="0" t="0" r="0" b="8255"/>
                  <wp:docPr id="203934342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7200" cy="1440000"/>
                          </a:xfrm>
                          <a:prstGeom prst="rect">
                            <a:avLst/>
                          </a:prstGeom>
                          <a:noFill/>
                        </pic:spPr>
                      </pic:pic>
                    </a:graphicData>
                  </a:graphic>
                </wp:inline>
              </w:drawing>
            </w:r>
          </w:p>
        </w:tc>
        <w:tc>
          <w:tcPr>
            <w:tcW w:w="4931" w:type="dxa"/>
            <w:tcBorders>
              <w:top w:val="nil"/>
              <w:left w:val="nil"/>
              <w:bottom w:val="nil"/>
              <w:right w:val="nil"/>
            </w:tcBorders>
          </w:tcPr>
          <w:p w14:paraId="7B5D6495" w14:textId="58107ADA" w:rsidR="00A3387F" w:rsidRPr="00865D96" w:rsidRDefault="00542C7B"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39A06843" wp14:editId="6CDBEA26">
                  <wp:extent cx="2579740" cy="1440000"/>
                  <wp:effectExtent l="0" t="0" r="0" b="8255"/>
                  <wp:docPr id="177780185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9740" cy="1440000"/>
                          </a:xfrm>
                          <a:prstGeom prst="rect">
                            <a:avLst/>
                          </a:prstGeom>
                          <a:noFill/>
                        </pic:spPr>
                      </pic:pic>
                    </a:graphicData>
                  </a:graphic>
                </wp:inline>
              </w:drawing>
            </w:r>
          </w:p>
        </w:tc>
      </w:tr>
      <w:tr w:rsidR="00EF4E21" w:rsidRPr="00865D96" w14:paraId="0C298CA6" w14:textId="77777777" w:rsidTr="00E4169F">
        <w:tc>
          <w:tcPr>
            <w:tcW w:w="4419" w:type="dxa"/>
            <w:tcBorders>
              <w:top w:val="nil"/>
              <w:left w:val="nil"/>
              <w:bottom w:val="nil"/>
              <w:right w:val="nil"/>
            </w:tcBorders>
          </w:tcPr>
          <w:p w14:paraId="21BF48EB" w14:textId="3F6E5DD2" w:rsidR="00A3387F" w:rsidRPr="00865D96" w:rsidRDefault="00696755"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36974624" wp14:editId="05988627">
                  <wp:extent cx="2568103" cy="1439545"/>
                  <wp:effectExtent l="0" t="0" r="3810" b="8255"/>
                  <wp:docPr id="123891781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024" r="1763" b="1024"/>
                          <a:stretch/>
                        </pic:blipFill>
                        <pic:spPr bwMode="auto">
                          <a:xfrm>
                            <a:off x="0" y="0"/>
                            <a:ext cx="2568915"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1" w:type="dxa"/>
            <w:tcBorders>
              <w:top w:val="nil"/>
              <w:left w:val="nil"/>
              <w:bottom w:val="nil"/>
              <w:right w:val="nil"/>
            </w:tcBorders>
          </w:tcPr>
          <w:p w14:paraId="425D30E5" w14:textId="321AC4B7" w:rsidR="00A3387F" w:rsidRPr="00865D96" w:rsidRDefault="00AB4540"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0224C6DF" wp14:editId="733E28B9">
                  <wp:extent cx="2594880" cy="1440000"/>
                  <wp:effectExtent l="0" t="0" r="0" b="8255"/>
                  <wp:docPr id="98408793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4880" cy="1440000"/>
                          </a:xfrm>
                          <a:prstGeom prst="rect">
                            <a:avLst/>
                          </a:prstGeom>
                          <a:noFill/>
                        </pic:spPr>
                      </pic:pic>
                    </a:graphicData>
                  </a:graphic>
                </wp:inline>
              </w:drawing>
            </w:r>
          </w:p>
        </w:tc>
      </w:tr>
      <w:tr w:rsidR="00EF4E21" w:rsidRPr="00865D96" w14:paraId="42775BD3" w14:textId="77777777" w:rsidTr="00E4169F">
        <w:tc>
          <w:tcPr>
            <w:tcW w:w="4419" w:type="dxa"/>
            <w:tcBorders>
              <w:top w:val="nil"/>
              <w:left w:val="nil"/>
              <w:bottom w:val="nil"/>
              <w:right w:val="nil"/>
            </w:tcBorders>
          </w:tcPr>
          <w:p w14:paraId="31056C69" w14:textId="5CD7BE12" w:rsidR="00A3387F" w:rsidRPr="00865D96" w:rsidRDefault="0042014A"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50CF1D4C" wp14:editId="505E7C04">
                  <wp:extent cx="2467494" cy="1440000"/>
                  <wp:effectExtent l="0" t="0" r="0" b="8255"/>
                  <wp:docPr id="126755724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7494" cy="1440000"/>
                          </a:xfrm>
                          <a:prstGeom prst="rect">
                            <a:avLst/>
                          </a:prstGeom>
                          <a:noFill/>
                        </pic:spPr>
                      </pic:pic>
                    </a:graphicData>
                  </a:graphic>
                </wp:inline>
              </w:drawing>
            </w:r>
          </w:p>
        </w:tc>
        <w:tc>
          <w:tcPr>
            <w:tcW w:w="4931" w:type="dxa"/>
            <w:tcBorders>
              <w:top w:val="nil"/>
              <w:left w:val="nil"/>
              <w:bottom w:val="nil"/>
              <w:right w:val="nil"/>
            </w:tcBorders>
          </w:tcPr>
          <w:p w14:paraId="381CC326" w14:textId="2DEF6E90" w:rsidR="00A3387F" w:rsidRPr="00865D96" w:rsidRDefault="0042014A"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275C05AD" wp14:editId="6FBC82B6">
                  <wp:extent cx="2438400" cy="1438910"/>
                  <wp:effectExtent l="0" t="0" r="0" b="8890"/>
                  <wp:docPr id="74531443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1438910"/>
                          </a:xfrm>
                          <a:prstGeom prst="rect">
                            <a:avLst/>
                          </a:prstGeom>
                          <a:noFill/>
                        </pic:spPr>
                      </pic:pic>
                    </a:graphicData>
                  </a:graphic>
                </wp:inline>
              </w:drawing>
            </w:r>
          </w:p>
        </w:tc>
      </w:tr>
      <w:tr w:rsidR="00EF4E21" w:rsidRPr="00865D96" w14:paraId="2D63CF38" w14:textId="77777777" w:rsidTr="00E4169F">
        <w:tc>
          <w:tcPr>
            <w:tcW w:w="4419" w:type="dxa"/>
            <w:tcBorders>
              <w:top w:val="nil"/>
              <w:left w:val="nil"/>
              <w:bottom w:val="nil"/>
              <w:right w:val="nil"/>
            </w:tcBorders>
          </w:tcPr>
          <w:p w14:paraId="31DD73DA" w14:textId="2185677B" w:rsidR="00522951" w:rsidRPr="00865D96" w:rsidRDefault="00EF4E21" w:rsidP="00C752F5">
            <w:pPr>
              <w:spacing w:line="276" w:lineRule="auto"/>
              <w:rPr>
                <w:rStyle w:val="label"/>
                <w:rFonts w:ascii="Arial" w:hAnsi="Arial" w:cs="Arial"/>
                <w:noProof/>
                <w:color w:val="1F1F1F"/>
                <w:sz w:val="20"/>
                <w:szCs w:val="20"/>
                <w:lang w:val="en-US"/>
              </w:rPr>
            </w:pPr>
            <w:r w:rsidRPr="00865D96">
              <w:rPr>
                <w:rStyle w:val="label"/>
                <w:rFonts w:ascii="Arial" w:hAnsi="Arial" w:cs="Arial"/>
                <w:noProof/>
                <w:color w:val="1F1F1F"/>
                <w:sz w:val="20"/>
                <w:szCs w:val="20"/>
                <w:lang w:val="en-US"/>
              </w:rPr>
              <w:lastRenderedPageBreak/>
              <w:drawing>
                <wp:inline distT="0" distB="0" distL="0" distR="0" wp14:anchorId="48F7E74F" wp14:editId="48C03345">
                  <wp:extent cx="2449987" cy="1440000"/>
                  <wp:effectExtent l="0" t="0" r="7620" b="8255"/>
                  <wp:docPr id="135699773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9987" cy="1440000"/>
                          </a:xfrm>
                          <a:prstGeom prst="rect">
                            <a:avLst/>
                          </a:prstGeom>
                          <a:noFill/>
                        </pic:spPr>
                      </pic:pic>
                    </a:graphicData>
                  </a:graphic>
                </wp:inline>
              </w:drawing>
            </w:r>
          </w:p>
        </w:tc>
        <w:tc>
          <w:tcPr>
            <w:tcW w:w="4931" w:type="dxa"/>
            <w:tcBorders>
              <w:top w:val="nil"/>
              <w:left w:val="nil"/>
              <w:bottom w:val="nil"/>
              <w:right w:val="nil"/>
            </w:tcBorders>
          </w:tcPr>
          <w:p w14:paraId="17B2473E" w14:textId="107BBE94" w:rsidR="00522951" w:rsidRPr="00865D96" w:rsidRDefault="00522951" w:rsidP="00C752F5">
            <w:pPr>
              <w:spacing w:line="276" w:lineRule="auto"/>
              <w:rPr>
                <w:rStyle w:val="label"/>
                <w:rFonts w:ascii="Arial" w:hAnsi="Arial" w:cs="Arial"/>
                <w:noProof/>
                <w:color w:val="1F1F1F"/>
                <w:sz w:val="20"/>
                <w:szCs w:val="20"/>
                <w:lang w:val="en-US"/>
              </w:rPr>
            </w:pPr>
          </w:p>
        </w:tc>
      </w:tr>
    </w:tbl>
    <w:p w14:paraId="06206D66" w14:textId="77777777" w:rsidR="00B20BD5" w:rsidRPr="00865D96" w:rsidRDefault="00B20BD5" w:rsidP="00C752F5">
      <w:pPr>
        <w:spacing w:line="276" w:lineRule="auto"/>
        <w:rPr>
          <w:rFonts w:ascii="Arial" w:hAnsi="Arial" w:cs="Arial"/>
          <w:b/>
          <w:bCs/>
          <w:sz w:val="20"/>
          <w:szCs w:val="20"/>
          <w:lang w:val="en-US"/>
        </w:rPr>
      </w:pPr>
      <w:r w:rsidRPr="00865D96">
        <w:rPr>
          <w:rFonts w:ascii="Arial" w:hAnsi="Arial" w:cs="Arial"/>
          <w:b/>
          <w:bCs/>
          <w:sz w:val="20"/>
          <w:szCs w:val="20"/>
          <w:lang w:val="en-US"/>
        </w:rPr>
        <w:t>Figure 1: Calibration curves for determination of Na, K, Ca, Mg, Cr, Fe, Ni, Cu, Zn Pb and Cd.</w:t>
      </w:r>
    </w:p>
    <w:p w14:paraId="6C7C7651" w14:textId="77777777" w:rsidR="00C83B8C" w:rsidRPr="00865D96" w:rsidRDefault="00C83B8C" w:rsidP="00C752F5">
      <w:pPr>
        <w:spacing w:line="276" w:lineRule="auto"/>
        <w:rPr>
          <w:rFonts w:ascii="Arial" w:hAnsi="Arial" w:cs="Arial"/>
          <w:sz w:val="20"/>
          <w:szCs w:val="20"/>
          <w:lang w:val="en-US"/>
        </w:rPr>
      </w:pPr>
    </w:p>
    <w:p w14:paraId="2BA773DA" w14:textId="77777777" w:rsidR="002B2218" w:rsidRPr="00865D96" w:rsidRDefault="002B2218" w:rsidP="00C752F5">
      <w:pPr>
        <w:spacing w:line="276" w:lineRule="auto"/>
        <w:rPr>
          <w:rFonts w:ascii="Arial" w:hAnsi="Arial" w:cs="Arial"/>
          <w:sz w:val="20"/>
          <w:szCs w:val="20"/>
          <w:lang w:val="en-US"/>
        </w:rPr>
      </w:pPr>
    </w:p>
    <w:p w14:paraId="6E70F58D" w14:textId="77777777" w:rsidR="002B2218" w:rsidRPr="00865D96" w:rsidRDefault="002B2218" w:rsidP="00C752F5">
      <w:pPr>
        <w:spacing w:line="276" w:lineRule="auto"/>
        <w:rPr>
          <w:rFonts w:ascii="Arial" w:hAnsi="Arial" w:cs="Arial"/>
          <w:sz w:val="20"/>
          <w:szCs w:val="20"/>
          <w:lang w:val="en-US"/>
        </w:rPr>
      </w:pPr>
    </w:p>
    <w:p w14:paraId="2F3FF658" w14:textId="77777777" w:rsidR="003C66FF" w:rsidRDefault="003C66FF" w:rsidP="00C752F5">
      <w:pPr>
        <w:spacing w:line="276" w:lineRule="auto"/>
        <w:rPr>
          <w:rFonts w:ascii="Arial" w:hAnsi="Arial" w:cs="Arial"/>
          <w:b/>
          <w:bCs/>
          <w:sz w:val="20"/>
          <w:szCs w:val="20"/>
          <w:lang w:val="en-US"/>
        </w:rPr>
      </w:pPr>
    </w:p>
    <w:p w14:paraId="6482F3DA" w14:textId="33005815" w:rsidR="003D1D42" w:rsidRDefault="003D1D42" w:rsidP="00C752F5">
      <w:pPr>
        <w:spacing w:line="276" w:lineRule="auto"/>
        <w:rPr>
          <w:rFonts w:ascii="Arial" w:hAnsi="Arial" w:cs="Arial"/>
          <w:b/>
          <w:bCs/>
          <w:sz w:val="20"/>
          <w:szCs w:val="20"/>
          <w:lang w:val="en-US"/>
        </w:rPr>
      </w:pPr>
      <w:r w:rsidRPr="00865D96">
        <w:rPr>
          <w:rFonts w:ascii="Arial" w:hAnsi="Arial" w:cs="Arial"/>
          <w:b/>
          <w:bCs/>
          <w:sz w:val="20"/>
          <w:szCs w:val="20"/>
          <w:lang w:val="en-US"/>
        </w:rPr>
        <w:t>References</w:t>
      </w:r>
    </w:p>
    <w:p w14:paraId="3F39F4AA" w14:textId="77777777" w:rsidR="004E01D0" w:rsidRPr="00865D96" w:rsidRDefault="004E01D0" w:rsidP="00C752F5">
      <w:pPr>
        <w:spacing w:line="276" w:lineRule="auto"/>
        <w:rPr>
          <w:rFonts w:ascii="Arial" w:hAnsi="Arial" w:cs="Arial"/>
          <w:b/>
          <w:bCs/>
          <w:sz w:val="20"/>
          <w:szCs w:val="20"/>
          <w:lang w:val="en-US"/>
        </w:rPr>
      </w:pPr>
    </w:p>
    <w:p w14:paraId="0ED1D4A8" w14:textId="387772AB"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b/>
          <w:bCs/>
          <w:sz w:val="20"/>
          <w:szCs w:val="20"/>
          <w:lang w:val="en-US"/>
        </w:rPr>
        <w:fldChar w:fldCharType="begin"/>
      </w:r>
      <w:r w:rsidRPr="00865D96">
        <w:rPr>
          <w:rFonts w:ascii="Arial" w:hAnsi="Arial" w:cs="Arial"/>
          <w:b/>
          <w:bCs/>
          <w:sz w:val="20"/>
          <w:szCs w:val="20"/>
          <w:lang w:val="en-US"/>
        </w:rPr>
        <w:instrText xml:space="preserve"> ADDIN ZOTERO_BIBL {"uncited":[],"omitted":[],"custom":[]} CSL_BIBLIOGRAPHY </w:instrText>
      </w:r>
      <w:r w:rsidRPr="00865D96">
        <w:rPr>
          <w:rFonts w:ascii="Arial" w:hAnsi="Arial" w:cs="Arial"/>
          <w:b/>
          <w:bCs/>
          <w:sz w:val="20"/>
          <w:szCs w:val="20"/>
          <w:lang w:val="en-US"/>
        </w:rPr>
        <w:fldChar w:fldCharType="separate"/>
      </w:r>
      <w:r w:rsidRPr="00865D96">
        <w:rPr>
          <w:rFonts w:ascii="Arial" w:hAnsi="Arial" w:cs="Arial"/>
          <w:sz w:val="20"/>
          <w:szCs w:val="20"/>
          <w:lang w:val="en-US"/>
        </w:rPr>
        <w:t>1.</w:t>
      </w:r>
      <w:r w:rsidRPr="00865D96">
        <w:rPr>
          <w:rFonts w:ascii="Arial" w:hAnsi="Arial" w:cs="Arial"/>
          <w:sz w:val="20"/>
          <w:szCs w:val="20"/>
          <w:lang w:val="en-US"/>
        </w:rPr>
        <w:tab/>
      </w:r>
      <w:r w:rsidR="00C752F5" w:rsidRPr="00865D96">
        <w:rPr>
          <w:rFonts w:ascii="Arial" w:hAnsi="Arial" w:cs="Arial"/>
          <w:sz w:val="20"/>
          <w:szCs w:val="20"/>
          <w:lang w:val="en-US"/>
        </w:rPr>
        <w:tab/>
      </w:r>
      <w:r w:rsidRPr="00865D96">
        <w:rPr>
          <w:rFonts w:ascii="Arial" w:hAnsi="Arial" w:cs="Arial"/>
          <w:sz w:val="20"/>
          <w:szCs w:val="20"/>
          <w:lang w:val="en-US"/>
        </w:rPr>
        <w:t xml:space="preserve">Yadav DN, Chhikara N, Anand T, </w:t>
      </w:r>
      <w:r w:rsidRPr="00865D96">
        <w:rPr>
          <w:rFonts w:ascii="Arial" w:hAnsi="Arial" w:cs="Arial"/>
          <w:sz w:val="20"/>
          <w:szCs w:val="20"/>
        </w:rPr>
        <w:t>Sharma M, Singh AK</w:t>
      </w:r>
      <w:r w:rsidRPr="00865D96">
        <w:rPr>
          <w:rFonts w:ascii="Arial" w:hAnsi="Arial" w:cs="Arial"/>
          <w:sz w:val="20"/>
          <w:szCs w:val="20"/>
          <w:lang w:val="en-US"/>
        </w:rPr>
        <w:t xml:space="preserve">. </w:t>
      </w:r>
      <w:r w:rsidRPr="00865D96">
        <w:rPr>
          <w:rFonts w:ascii="Arial" w:hAnsi="Arial" w:cs="Arial"/>
          <w:sz w:val="20"/>
          <w:szCs w:val="20"/>
        </w:rPr>
        <w:t>Rheological quality of pearl millet porridge as affected by grits size. Journal of Food Science and Technology 2014;51(9):2169–2175.</w:t>
      </w:r>
    </w:p>
    <w:p w14:paraId="22D7D812" w14:textId="426FF664"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https://doi.org/10.1007/s13197-013-1252-z</w:t>
      </w:r>
    </w:p>
    <w:p w14:paraId="4D88F65E" w14:textId="5C4C33CB"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 xml:space="preserve">Wang Y, Compaoré-Sérémé D, Sawadogo-Lingani H, </w:t>
      </w:r>
      <w:r w:rsidRPr="00865D96">
        <w:rPr>
          <w:rFonts w:ascii="Arial" w:hAnsi="Arial" w:cs="Arial"/>
          <w:sz w:val="20"/>
          <w:szCs w:val="20"/>
          <w:lang w:val="en-US"/>
        </w:rPr>
        <w:t>Coda R, Katina K, Maina NH</w:t>
      </w:r>
      <w:r w:rsidRPr="00865D96">
        <w:rPr>
          <w:rFonts w:ascii="Arial" w:hAnsi="Arial" w:cs="Arial"/>
          <w:sz w:val="20"/>
          <w:szCs w:val="20"/>
        </w:rPr>
        <w:t>. Influence of dextran synthesized in situ on the rheological, technological and nutritional properties of whole grain pearl millet bread. Food Chemistry 2019;285:221–230.</w:t>
      </w:r>
    </w:p>
    <w:p w14:paraId="1A604719" w14:textId="2BE2302F"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https://doi.org/10.1016/j.foodchem.2019.01.126</w:t>
      </w:r>
    </w:p>
    <w:p w14:paraId="7A94407A" w14:textId="1F5F476E"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Hayes AMR, Swackhamer C, Mennah-Govela YA,</w:t>
      </w:r>
      <w:r w:rsidRPr="00865D96">
        <w:rPr>
          <w:rFonts w:ascii="Arial" w:hAnsi="Arial" w:cs="Arial"/>
          <w:sz w:val="20"/>
          <w:szCs w:val="20"/>
          <w:lang w:val="en-US"/>
        </w:rPr>
        <w:t xml:space="preserve"> Martinez MM, Diatta A, Bornhorst GM,   Hamaker  BR</w:t>
      </w:r>
      <w:r w:rsidRPr="00865D96">
        <w:rPr>
          <w:rFonts w:ascii="Arial" w:hAnsi="Arial" w:cs="Arial"/>
          <w:sz w:val="20"/>
          <w:szCs w:val="20"/>
        </w:rPr>
        <w:t>. Pearl millet (Pennisetum glaucum) couscous breaks down faster than wheat couscous in the Human Gastric Simulator, though has slower starch hydrolysis. Food Funct 2020;11(1):111–122.</w:t>
      </w:r>
    </w:p>
    <w:p w14:paraId="247A8394" w14:textId="3C728648"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https://doi.org/10.1039/C9FO01461F</w:t>
      </w:r>
    </w:p>
    <w:p w14:paraId="0B1696F7" w14:textId="77777777" w:rsidR="003D1D42" w:rsidRPr="00865D96" w:rsidRDefault="003D1D42" w:rsidP="00C752F5">
      <w:pPr>
        <w:spacing w:line="276" w:lineRule="auto"/>
        <w:ind w:left="705" w:hanging="705"/>
        <w:rPr>
          <w:rFonts w:ascii="Arial" w:hAnsi="Arial" w:cs="Arial"/>
          <w:sz w:val="20"/>
          <w:szCs w:val="20"/>
        </w:rPr>
      </w:pPr>
      <w:r w:rsidRPr="00865D96">
        <w:rPr>
          <w:rFonts w:ascii="Arial" w:hAnsi="Arial" w:cs="Arial"/>
          <w:sz w:val="20"/>
          <w:szCs w:val="20"/>
        </w:rPr>
        <w:t>4.</w:t>
      </w:r>
      <w:r w:rsidRPr="00865D96">
        <w:rPr>
          <w:rFonts w:ascii="Arial" w:hAnsi="Arial" w:cs="Arial"/>
          <w:sz w:val="20"/>
          <w:szCs w:val="20"/>
        </w:rPr>
        <w:tab/>
        <w:t xml:space="preserve">Moussa M, Ponrajan A, Campanella OH, </w:t>
      </w:r>
      <w:r w:rsidRPr="00865D96">
        <w:rPr>
          <w:rFonts w:ascii="Arial" w:hAnsi="Arial" w:cs="Arial"/>
          <w:sz w:val="20"/>
          <w:szCs w:val="20"/>
          <w:lang w:val="en-US"/>
        </w:rPr>
        <w:t>Okos MR, Martinez MM, Hamaker BR</w:t>
      </w:r>
      <w:r w:rsidRPr="00865D96">
        <w:rPr>
          <w:rFonts w:ascii="Arial" w:hAnsi="Arial" w:cs="Arial"/>
          <w:sz w:val="20"/>
          <w:szCs w:val="20"/>
        </w:rPr>
        <w:t>. Novel pearl millet couscous process for West African markets using a low-cost single-screw extruder. International Journal of Food Science and Technology 2022;57(7):4594–4601.</w:t>
      </w:r>
    </w:p>
    <w:p w14:paraId="7CAA3F2B" w14:textId="717B5951"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https://doi.org/10.1111/ijfs.15797</w:t>
      </w:r>
    </w:p>
    <w:p w14:paraId="2A4652BA" w14:textId="241E5E7B"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5.</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Tanwar R, Panghal A, Kumari A, Chhikara N. Nutritional, Phytochemical and Functional Potential of Pearl Millet: A Review. Chemistry &amp; Biodiversity 2025; e202402437.</w:t>
      </w:r>
    </w:p>
    <w:p w14:paraId="66E07805" w14:textId="7FF6842E"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https://doi.org/10.1002/cbdv.202402437</w:t>
      </w:r>
    </w:p>
    <w:p w14:paraId="4C693879" w14:textId="77777777" w:rsidR="003D1D42" w:rsidRPr="00865D96" w:rsidRDefault="003D1D42" w:rsidP="00C752F5">
      <w:pPr>
        <w:spacing w:line="276" w:lineRule="auto"/>
        <w:ind w:left="705" w:hanging="705"/>
        <w:rPr>
          <w:rFonts w:ascii="Arial" w:hAnsi="Arial" w:cs="Arial"/>
          <w:sz w:val="20"/>
          <w:szCs w:val="20"/>
        </w:rPr>
      </w:pPr>
      <w:r w:rsidRPr="00865D96">
        <w:rPr>
          <w:rFonts w:ascii="Arial" w:hAnsi="Arial" w:cs="Arial"/>
          <w:sz w:val="20"/>
          <w:szCs w:val="20"/>
        </w:rPr>
        <w:t>6.</w:t>
      </w:r>
      <w:r w:rsidRPr="00865D96">
        <w:rPr>
          <w:rFonts w:ascii="Arial" w:hAnsi="Arial" w:cs="Arial"/>
          <w:sz w:val="20"/>
          <w:szCs w:val="20"/>
        </w:rPr>
        <w:tab/>
        <w:t xml:space="preserve">Onyeoziri IO, Torres-Aguilar P, Hamaker BR, </w:t>
      </w:r>
      <w:r w:rsidRPr="00865D96">
        <w:rPr>
          <w:rFonts w:ascii="Arial" w:hAnsi="Arial" w:cs="Arial"/>
          <w:sz w:val="20"/>
          <w:szCs w:val="20"/>
          <w:lang w:val="en-US"/>
        </w:rPr>
        <w:t>Taylor JRN, de Kock HL</w:t>
      </w:r>
      <w:r w:rsidRPr="00865D96">
        <w:rPr>
          <w:rFonts w:ascii="Arial" w:hAnsi="Arial" w:cs="Arial"/>
          <w:sz w:val="20"/>
          <w:szCs w:val="20"/>
        </w:rPr>
        <w:t>. Descriptive sensory analysis of instant porridge from stored wholegrain and decorticated pearl millet flour cooked, stabilized and improved by using a low-cost extruder. Journal of Food Science 2021;86(9):3824–3838.</w:t>
      </w:r>
    </w:p>
    <w:p w14:paraId="7BA85FEE" w14:textId="34A7A958"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https://doi.org/10.1111/1750-3841.15862</w:t>
      </w:r>
    </w:p>
    <w:p w14:paraId="057535D6" w14:textId="1F186059" w:rsidR="003D1D42" w:rsidRPr="00865D96" w:rsidRDefault="003D1D42" w:rsidP="00C752F5">
      <w:pPr>
        <w:pStyle w:val="Bibliography"/>
        <w:spacing w:after="0" w:line="276" w:lineRule="auto"/>
        <w:ind w:left="705" w:hanging="705"/>
        <w:rPr>
          <w:rFonts w:ascii="Arial" w:hAnsi="Arial" w:cs="Arial"/>
          <w:sz w:val="20"/>
          <w:szCs w:val="20"/>
          <w:lang w:val="en-US"/>
        </w:rPr>
      </w:pPr>
      <w:r w:rsidRPr="00865D96">
        <w:rPr>
          <w:rFonts w:ascii="Arial" w:hAnsi="Arial" w:cs="Arial"/>
          <w:sz w:val="20"/>
          <w:szCs w:val="20"/>
        </w:rPr>
        <w:t>7.</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 xml:space="preserve">Ntare BR. Intercropping Morphologically Different Cowpeas With Pearl Millet in a Short Season Environment in the Sahel. </w:t>
      </w:r>
      <w:r w:rsidRPr="00865D96">
        <w:rPr>
          <w:rFonts w:ascii="Arial" w:hAnsi="Arial" w:cs="Arial"/>
          <w:sz w:val="20"/>
          <w:szCs w:val="20"/>
          <w:lang w:val="en-US"/>
        </w:rPr>
        <w:t>Experimental Agriculture 1990;26(1):41–47.</w:t>
      </w:r>
    </w:p>
    <w:p w14:paraId="7C9EF654" w14:textId="5E2D8B80" w:rsidR="003D1D42" w:rsidRPr="00865D96" w:rsidRDefault="00C752F5" w:rsidP="00C752F5">
      <w:pPr>
        <w:pStyle w:val="Bibliography"/>
        <w:spacing w:after="0" w:line="276" w:lineRule="auto"/>
        <w:rPr>
          <w:rFonts w:ascii="Arial" w:hAnsi="Arial" w:cs="Arial"/>
          <w:sz w:val="20"/>
          <w:szCs w:val="20"/>
          <w:lang w:val="en-US"/>
        </w:rPr>
      </w:pPr>
      <w:r w:rsidRPr="00865D96">
        <w:rPr>
          <w:rFonts w:ascii="Arial" w:hAnsi="Arial" w:cs="Arial"/>
          <w:sz w:val="20"/>
          <w:szCs w:val="20"/>
          <w:lang w:val="en-US"/>
        </w:rPr>
        <w:tab/>
      </w:r>
      <w:r w:rsidRPr="00865D96">
        <w:rPr>
          <w:rFonts w:ascii="Arial" w:hAnsi="Arial" w:cs="Arial"/>
          <w:sz w:val="20"/>
          <w:szCs w:val="20"/>
          <w:lang w:val="en-US"/>
        </w:rPr>
        <w:tab/>
      </w:r>
      <w:r w:rsidR="003D1D42" w:rsidRPr="00865D96">
        <w:rPr>
          <w:rFonts w:ascii="Arial" w:hAnsi="Arial" w:cs="Arial"/>
          <w:sz w:val="20"/>
          <w:szCs w:val="20"/>
          <w:lang w:val="en-US"/>
        </w:rPr>
        <w:t>https://doi.org/10.1017/S0014479700015386</w:t>
      </w:r>
    </w:p>
    <w:p w14:paraId="795CFF6E" w14:textId="26B3DB33" w:rsidR="003D1D42" w:rsidRPr="00865D96" w:rsidRDefault="003D1D42" w:rsidP="00C752F5">
      <w:pPr>
        <w:pStyle w:val="Bibliography"/>
        <w:spacing w:after="0" w:line="276" w:lineRule="auto"/>
        <w:ind w:left="705" w:hanging="705"/>
        <w:rPr>
          <w:rFonts w:ascii="Arial" w:hAnsi="Arial" w:cs="Arial"/>
          <w:sz w:val="20"/>
          <w:szCs w:val="20"/>
          <w:lang w:val="en-US"/>
        </w:rPr>
      </w:pPr>
      <w:r w:rsidRPr="00865D96">
        <w:rPr>
          <w:rFonts w:ascii="Arial" w:hAnsi="Arial" w:cs="Arial"/>
          <w:sz w:val="20"/>
          <w:szCs w:val="20"/>
          <w:lang w:val="en-US"/>
        </w:rPr>
        <w:t>8.</w:t>
      </w:r>
      <w:r w:rsidRPr="00865D96">
        <w:rPr>
          <w:rFonts w:ascii="Arial" w:hAnsi="Arial" w:cs="Arial"/>
          <w:sz w:val="20"/>
          <w:szCs w:val="20"/>
          <w:lang w:val="en-US"/>
        </w:rPr>
        <w:tab/>
      </w:r>
      <w:r w:rsidR="00C03A65">
        <w:rPr>
          <w:rFonts w:ascii="Arial" w:hAnsi="Arial" w:cs="Arial"/>
          <w:sz w:val="20"/>
          <w:szCs w:val="20"/>
          <w:lang w:val="en-US"/>
        </w:rPr>
        <w:tab/>
      </w:r>
      <w:r w:rsidRPr="00865D96">
        <w:rPr>
          <w:rFonts w:ascii="Arial" w:hAnsi="Arial" w:cs="Arial"/>
          <w:sz w:val="20"/>
          <w:szCs w:val="20"/>
          <w:lang w:val="en-US"/>
        </w:rPr>
        <w:t xml:space="preserve">Marteau R, Sultan B, Moron V, Alhassane A, Baron C, Traoré SB. </w:t>
      </w:r>
      <w:r w:rsidRPr="00865D96">
        <w:rPr>
          <w:rFonts w:ascii="Arial" w:hAnsi="Arial" w:cs="Arial"/>
          <w:sz w:val="20"/>
          <w:szCs w:val="20"/>
        </w:rPr>
        <w:t xml:space="preserve">The onset of the rainy season and farmers’ sowing strategy for pearl millet cultivation in Southwest Niger. </w:t>
      </w:r>
      <w:r w:rsidRPr="00865D96">
        <w:rPr>
          <w:rFonts w:ascii="Arial" w:hAnsi="Arial" w:cs="Arial"/>
          <w:sz w:val="20"/>
          <w:szCs w:val="20"/>
          <w:lang w:val="en-US"/>
        </w:rPr>
        <w:t>Agricultural and Forest Meteorology 2011;151(10):1356–1369.</w:t>
      </w:r>
    </w:p>
    <w:p w14:paraId="7FC0162B" w14:textId="7D70152A" w:rsidR="003D1D42" w:rsidRPr="00865D96" w:rsidRDefault="00C752F5" w:rsidP="00C752F5">
      <w:pPr>
        <w:pStyle w:val="Bibliography"/>
        <w:spacing w:after="0" w:line="276" w:lineRule="auto"/>
        <w:ind w:left="0" w:firstLine="0"/>
        <w:rPr>
          <w:rFonts w:ascii="Arial" w:hAnsi="Arial" w:cs="Arial"/>
          <w:sz w:val="20"/>
          <w:szCs w:val="20"/>
          <w:lang w:val="en-US"/>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w:t>
      </w:r>
      <w:r w:rsidR="003D1D42" w:rsidRPr="00865D96">
        <w:rPr>
          <w:rFonts w:ascii="Arial" w:hAnsi="Arial" w:cs="Arial"/>
          <w:sz w:val="20"/>
          <w:szCs w:val="20"/>
          <w:lang w:val="en-US"/>
        </w:rPr>
        <w:t>10.1016/j.agrformet.2011.05.018</w:t>
      </w:r>
    </w:p>
    <w:p w14:paraId="071F6F87" w14:textId="148D8151" w:rsidR="003D1D42" w:rsidRPr="00865D96" w:rsidRDefault="003D1D42" w:rsidP="00C752F5">
      <w:pPr>
        <w:pStyle w:val="Bibliography"/>
        <w:spacing w:after="0" w:line="276" w:lineRule="auto"/>
        <w:ind w:left="705" w:hanging="705"/>
        <w:rPr>
          <w:rFonts w:ascii="Arial" w:hAnsi="Arial" w:cs="Arial"/>
          <w:sz w:val="20"/>
          <w:szCs w:val="20"/>
          <w:lang w:val="fr-CA"/>
        </w:rPr>
      </w:pPr>
      <w:r w:rsidRPr="00865D96">
        <w:rPr>
          <w:rFonts w:ascii="Arial" w:hAnsi="Arial" w:cs="Arial"/>
          <w:sz w:val="20"/>
          <w:szCs w:val="20"/>
          <w:lang w:val="en-US"/>
        </w:rPr>
        <w:t>9.</w:t>
      </w:r>
      <w:r w:rsidRPr="00865D96">
        <w:rPr>
          <w:rFonts w:ascii="Arial" w:hAnsi="Arial" w:cs="Arial"/>
          <w:sz w:val="20"/>
          <w:szCs w:val="20"/>
          <w:lang w:val="en-US"/>
        </w:rPr>
        <w:tab/>
      </w:r>
      <w:r w:rsidR="00C752F5" w:rsidRPr="00865D96">
        <w:rPr>
          <w:rFonts w:ascii="Arial" w:hAnsi="Arial" w:cs="Arial"/>
          <w:sz w:val="20"/>
          <w:szCs w:val="20"/>
          <w:lang w:val="en-US"/>
        </w:rPr>
        <w:tab/>
      </w:r>
      <w:r w:rsidRPr="00865D96">
        <w:rPr>
          <w:rFonts w:ascii="Arial" w:hAnsi="Arial" w:cs="Arial"/>
          <w:sz w:val="20"/>
          <w:szCs w:val="20"/>
          <w:lang w:val="en-US"/>
        </w:rPr>
        <w:t xml:space="preserve">ANSD 2020. </w:t>
      </w:r>
      <w:r w:rsidRPr="00865D96">
        <w:rPr>
          <w:rFonts w:ascii="Arial" w:hAnsi="Arial" w:cs="Arial"/>
          <w:sz w:val="20"/>
          <w:szCs w:val="20"/>
          <w:lang w:val="fr-CA"/>
        </w:rPr>
        <w:t xml:space="preserve">Rapport Sur Les Résultats Définitifs de l’Enquête Agricole Annuelle (EAA) Dakar 105 p. ANSD. (2022). « Bulletin Mensuel Des Statistiques Economiques et Financières de Juillet </w:t>
      </w:r>
      <w:r w:rsidRPr="00865D96">
        <w:rPr>
          <w:rFonts w:ascii="Arial" w:hAnsi="Arial" w:cs="Arial"/>
          <w:sz w:val="20"/>
          <w:szCs w:val="20"/>
          <w:lang w:val="fr-CA"/>
        </w:rPr>
        <w:lastRenderedPageBreak/>
        <w:t>2022 ». Résultats Définitifs de La Campagne Agricole 2021/2022. ISSN 0850–1467. Http://Www.Ansd.Sn, Chrome-Extension://Efaidnbmnnnibpcajpcglclefindmkaj/Https://Www.Ansd.Sn/Sites/Default/Files/2022-11/BULLETIN_JUILLET_2022_0.Pdf. (accessed April 25, 2025)</w:t>
      </w:r>
    </w:p>
    <w:p w14:paraId="5C0643EA" w14:textId="77777777"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10.</w:t>
      </w:r>
      <w:r w:rsidRPr="00865D96">
        <w:rPr>
          <w:rFonts w:ascii="Arial" w:hAnsi="Arial" w:cs="Arial"/>
          <w:sz w:val="20"/>
          <w:szCs w:val="20"/>
        </w:rPr>
        <w:tab/>
        <w:t>Yassen AA, Nadia BM, Zaghloul SM. Role of some organic residues as tools for reducing heavy metals hazards in plant. World Journal of Agricultural Sciences 2007;3(2):204–209.</w:t>
      </w:r>
    </w:p>
    <w:p w14:paraId="776858D9" w14:textId="77777777" w:rsidR="003D1D42" w:rsidRPr="00865D96" w:rsidRDefault="003D1D42" w:rsidP="00C752F5">
      <w:pPr>
        <w:pStyle w:val="Bibliography"/>
        <w:spacing w:after="0" w:line="276" w:lineRule="auto"/>
        <w:ind w:left="705" w:hanging="705"/>
        <w:rPr>
          <w:rFonts w:ascii="Arial" w:hAnsi="Arial" w:cs="Arial"/>
          <w:sz w:val="20"/>
          <w:szCs w:val="20"/>
          <w:lang w:val="en-US"/>
        </w:rPr>
      </w:pPr>
      <w:r w:rsidRPr="00865D96">
        <w:rPr>
          <w:rFonts w:ascii="Arial" w:hAnsi="Arial" w:cs="Arial"/>
          <w:sz w:val="20"/>
          <w:szCs w:val="20"/>
        </w:rPr>
        <w:t>11.</w:t>
      </w:r>
      <w:r w:rsidRPr="00865D96">
        <w:rPr>
          <w:rFonts w:ascii="Arial" w:hAnsi="Arial" w:cs="Arial"/>
          <w:sz w:val="20"/>
          <w:szCs w:val="20"/>
        </w:rPr>
        <w:tab/>
        <w:t xml:space="preserve">Gzik A, Kuehling M, Schneider I,  Tschochner B. Heavy metal contamination of soils in a mining area in South Africa and its impact on some biotic systems. </w:t>
      </w:r>
      <w:r w:rsidRPr="00865D96">
        <w:rPr>
          <w:rFonts w:ascii="Arial" w:hAnsi="Arial" w:cs="Arial"/>
          <w:sz w:val="20"/>
          <w:szCs w:val="20"/>
          <w:lang w:val="en-US"/>
        </w:rPr>
        <w:t>J Soils &amp; Sediments 2003;3(1):29–34.</w:t>
      </w:r>
    </w:p>
    <w:p w14:paraId="79256BCC" w14:textId="01F9B07B" w:rsidR="003D1D42" w:rsidRPr="00865D96" w:rsidRDefault="00C752F5" w:rsidP="00C752F5">
      <w:pPr>
        <w:pStyle w:val="Bibliography"/>
        <w:spacing w:after="0" w:line="276" w:lineRule="auto"/>
        <w:rPr>
          <w:rFonts w:ascii="Arial" w:hAnsi="Arial" w:cs="Arial"/>
          <w:sz w:val="20"/>
          <w:szCs w:val="20"/>
          <w:lang w:val="en-US"/>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w:t>
      </w:r>
      <w:r w:rsidR="003D1D42" w:rsidRPr="00865D96">
        <w:rPr>
          <w:rFonts w:ascii="Arial" w:hAnsi="Arial" w:cs="Arial"/>
          <w:sz w:val="20"/>
          <w:szCs w:val="20"/>
          <w:lang w:val="en-US"/>
        </w:rPr>
        <w:t>10.1007/BF02989466</w:t>
      </w:r>
    </w:p>
    <w:p w14:paraId="2BA571C3" w14:textId="77777777" w:rsidR="003D1D42" w:rsidRPr="00865D96" w:rsidRDefault="003D1D42" w:rsidP="00C752F5">
      <w:pPr>
        <w:spacing w:line="276" w:lineRule="auto"/>
        <w:ind w:left="705" w:hanging="705"/>
        <w:rPr>
          <w:rFonts w:ascii="Arial" w:hAnsi="Arial" w:cs="Arial"/>
          <w:sz w:val="20"/>
          <w:szCs w:val="20"/>
          <w:lang w:val="en-US"/>
        </w:rPr>
      </w:pPr>
      <w:r w:rsidRPr="00865D96">
        <w:rPr>
          <w:rFonts w:ascii="Arial" w:hAnsi="Arial" w:cs="Arial"/>
          <w:sz w:val="20"/>
          <w:szCs w:val="20"/>
          <w:lang w:val="en-US"/>
        </w:rPr>
        <w:t>12.</w:t>
      </w:r>
      <w:r w:rsidRPr="00865D96">
        <w:rPr>
          <w:rFonts w:ascii="Arial" w:hAnsi="Arial" w:cs="Arial"/>
          <w:sz w:val="20"/>
          <w:szCs w:val="20"/>
          <w:lang w:val="en-US"/>
        </w:rPr>
        <w:tab/>
        <w:t xml:space="preserve">Shen W, Feng Z, Song H, Jin D,  Fu Y, Cheng F. </w:t>
      </w:r>
      <w:r w:rsidRPr="00865D96">
        <w:rPr>
          <w:rFonts w:ascii="Arial" w:hAnsi="Arial" w:cs="Arial"/>
          <w:sz w:val="20"/>
          <w:szCs w:val="20"/>
        </w:rPr>
        <w:t>Effects of solid waste-based soil conditioner and arbuscular mycorrhizal fungi on crop productivity and heavy metal distribution in foxtail millet (</w:t>
      </w:r>
      <w:r w:rsidRPr="00865D96">
        <w:rPr>
          <w:rFonts w:ascii="Arial" w:hAnsi="Arial" w:cs="Arial"/>
          <w:i/>
          <w:iCs/>
          <w:sz w:val="20"/>
          <w:szCs w:val="20"/>
        </w:rPr>
        <w:t>Setaria italica</w:t>
      </w:r>
      <w:r w:rsidRPr="00865D96">
        <w:rPr>
          <w:rFonts w:ascii="Arial" w:hAnsi="Arial" w:cs="Arial"/>
          <w:sz w:val="20"/>
          <w:szCs w:val="20"/>
        </w:rPr>
        <w:t xml:space="preserve">). </w:t>
      </w:r>
      <w:r w:rsidRPr="00865D96">
        <w:rPr>
          <w:rFonts w:ascii="Arial" w:hAnsi="Arial" w:cs="Arial"/>
          <w:sz w:val="20"/>
          <w:szCs w:val="20"/>
          <w:lang w:val="en-US"/>
        </w:rPr>
        <w:t>Journal of Environmental Management 2022;313:114974.</w:t>
      </w:r>
    </w:p>
    <w:p w14:paraId="050A1B0A" w14:textId="1AB79473" w:rsidR="003D1D42" w:rsidRDefault="00C752F5" w:rsidP="00C752F5">
      <w:pPr>
        <w:pStyle w:val="Bibliography"/>
        <w:spacing w:after="0" w:line="276" w:lineRule="auto"/>
        <w:rPr>
          <w:rFonts w:ascii="Arial" w:hAnsi="Arial" w:cs="Arial"/>
          <w:sz w:val="20"/>
          <w:szCs w:val="20"/>
          <w:lang w:val="en-US"/>
        </w:rPr>
      </w:pPr>
      <w:r w:rsidRPr="00865D96">
        <w:rPr>
          <w:rFonts w:ascii="Arial" w:hAnsi="Arial" w:cs="Arial"/>
          <w:sz w:val="20"/>
          <w:szCs w:val="20"/>
          <w:lang w:val="en-US"/>
        </w:rPr>
        <w:tab/>
      </w:r>
      <w:r w:rsidRPr="00865D96">
        <w:rPr>
          <w:rFonts w:ascii="Arial" w:hAnsi="Arial" w:cs="Arial"/>
          <w:sz w:val="20"/>
          <w:szCs w:val="20"/>
          <w:lang w:val="en-US"/>
        </w:rPr>
        <w:tab/>
      </w:r>
      <w:r w:rsidR="003D1D42" w:rsidRPr="00865D96">
        <w:rPr>
          <w:rFonts w:ascii="Arial" w:hAnsi="Arial" w:cs="Arial"/>
          <w:sz w:val="20"/>
          <w:szCs w:val="20"/>
          <w:lang w:val="en-US"/>
        </w:rPr>
        <w:t>https://doi.org/10.1016/j.jenvman.2022.114974</w:t>
      </w:r>
    </w:p>
    <w:p w14:paraId="7BC7667B" w14:textId="2FB12988" w:rsidR="008414EC" w:rsidRDefault="008414EC" w:rsidP="008414EC">
      <w:pPr>
        <w:spacing w:line="276" w:lineRule="auto"/>
        <w:ind w:left="705" w:hanging="705"/>
        <w:rPr>
          <w:rFonts w:ascii="Arial" w:hAnsi="Arial" w:cs="Arial"/>
          <w:sz w:val="20"/>
          <w:szCs w:val="20"/>
          <w:lang w:val="en-US"/>
        </w:rPr>
      </w:pPr>
      <w:r>
        <w:rPr>
          <w:rFonts w:ascii="Arial" w:hAnsi="Arial" w:cs="Arial"/>
          <w:sz w:val="20"/>
          <w:szCs w:val="20"/>
          <w:lang w:val="en-US"/>
        </w:rPr>
        <w:t xml:space="preserve">13. </w:t>
      </w:r>
      <w:r>
        <w:rPr>
          <w:rFonts w:ascii="Arial" w:hAnsi="Arial" w:cs="Arial"/>
          <w:sz w:val="20"/>
          <w:szCs w:val="20"/>
          <w:lang w:val="en-US"/>
        </w:rPr>
        <w:tab/>
      </w:r>
      <w:r w:rsidRPr="001C1640">
        <w:rPr>
          <w:rFonts w:ascii="Arial" w:hAnsi="Arial" w:cs="Arial"/>
          <w:sz w:val="20"/>
          <w:szCs w:val="20"/>
          <w:lang w:val="en-US"/>
        </w:rPr>
        <w:t xml:space="preserve">WHO. </w:t>
      </w:r>
      <w:r w:rsidRPr="00B07CC5">
        <w:rPr>
          <w:rFonts w:ascii="Arial" w:hAnsi="Arial" w:cs="Arial"/>
          <w:sz w:val="20"/>
          <w:szCs w:val="20"/>
          <w:lang w:val="en-US"/>
        </w:rPr>
        <w:t>Guideline: Potassium Intake for Adults and Children</w:t>
      </w:r>
      <w:r w:rsidRPr="001C1640">
        <w:rPr>
          <w:rFonts w:ascii="Arial" w:hAnsi="Arial" w:cs="Arial"/>
          <w:sz w:val="20"/>
          <w:szCs w:val="20"/>
          <w:lang w:val="en-US"/>
        </w:rPr>
        <w:t>. Geneva:</w:t>
      </w:r>
      <w:r>
        <w:rPr>
          <w:rFonts w:ascii="Arial" w:hAnsi="Arial" w:cs="Arial"/>
          <w:sz w:val="20"/>
          <w:szCs w:val="20"/>
          <w:lang w:val="en-US"/>
        </w:rPr>
        <w:t xml:space="preserve"> </w:t>
      </w:r>
      <w:r w:rsidRPr="001C1640">
        <w:rPr>
          <w:rFonts w:ascii="Arial" w:hAnsi="Arial" w:cs="Arial"/>
          <w:sz w:val="20"/>
          <w:szCs w:val="20"/>
          <w:lang w:val="en-US"/>
        </w:rPr>
        <w:t>World Health Organization (WHO); 2012.</w:t>
      </w:r>
    </w:p>
    <w:p w14:paraId="2BB376AB" w14:textId="3A9312E9" w:rsidR="008414EC" w:rsidRPr="00DB5727" w:rsidRDefault="008414EC" w:rsidP="008414EC">
      <w:pPr>
        <w:spacing w:line="276" w:lineRule="auto"/>
        <w:ind w:left="705" w:hanging="705"/>
        <w:rPr>
          <w:rFonts w:ascii="Arial" w:hAnsi="Arial" w:cs="Arial"/>
          <w:sz w:val="20"/>
          <w:szCs w:val="20"/>
          <w:lang w:val="en-US"/>
        </w:rPr>
      </w:pPr>
      <w:r>
        <w:rPr>
          <w:rFonts w:ascii="Arial" w:hAnsi="Arial" w:cs="Arial"/>
          <w:sz w:val="20"/>
          <w:szCs w:val="20"/>
          <w:lang w:val="en-US"/>
        </w:rPr>
        <w:t>14.</w:t>
      </w:r>
      <w:r>
        <w:rPr>
          <w:rFonts w:ascii="Arial" w:hAnsi="Arial" w:cs="Arial"/>
          <w:sz w:val="20"/>
          <w:szCs w:val="20"/>
          <w:lang w:val="en-US"/>
        </w:rPr>
        <w:tab/>
      </w:r>
      <w:r w:rsidRPr="00B07CC5">
        <w:rPr>
          <w:rFonts w:ascii="Arial" w:hAnsi="Arial" w:cs="Arial"/>
          <w:sz w:val="20"/>
          <w:szCs w:val="20"/>
          <w:lang w:val="en-US"/>
        </w:rPr>
        <w:t>W</w:t>
      </w:r>
      <w:r w:rsidRPr="00DB5727">
        <w:rPr>
          <w:rFonts w:ascii="Arial" w:hAnsi="Arial" w:cs="Arial"/>
          <w:sz w:val="20"/>
          <w:szCs w:val="20"/>
          <w:lang w:val="en-US"/>
        </w:rPr>
        <w:t xml:space="preserve">HO. </w:t>
      </w:r>
      <w:r w:rsidRPr="00B07CC5">
        <w:rPr>
          <w:rFonts w:ascii="Arial" w:hAnsi="Arial" w:cs="Arial"/>
          <w:sz w:val="20"/>
          <w:szCs w:val="20"/>
          <w:lang w:val="en-US"/>
        </w:rPr>
        <w:t>Guideline: Sodium Intake for Adults and Children</w:t>
      </w:r>
      <w:r w:rsidRPr="00DB5727">
        <w:rPr>
          <w:rFonts w:ascii="Arial" w:hAnsi="Arial" w:cs="Arial"/>
          <w:sz w:val="20"/>
          <w:szCs w:val="20"/>
          <w:lang w:val="en-US"/>
        </w:rPr>
        <w:t>.Geneva: World</w:t>
      </w:r>
      <w:r>
        <w:rPr>
          <w:rFonts w:ascii="Arial" w:hAnsi="Arial" w:cs="Arial"/>
          <w:sz w:val="20"/>
          <w:szCs w:val="20"/>
          <w:lang w:val="en-US"/>
        </w:rPr>
        <w:t xml:space="preserve"> </w:t>
      </w:r>
      <w:r w:rsidRPr="00DB5727">
        <w:rPr>
          <w:rFonts w:ascii="Arial" w:hAnsi="Arial" w:cs="Arial"/>
          <w:sz w:val="20"/>
          <w:szCs w:val="20"/>
          <w:lang w:val="en-US"/>
        </w:rPr>
        <w:t>Health Organization (WHO); 2012.</w:t>
      </w:r>
    </w:p>
    <w:p w14:paraId="1EDC4CE0" w14:textId="77777777" w:rsidR="008414EC" w:rsidRPr="001C1640" w:rsidRDefault="008414EC" w:rsidP="008414EC">
      <w:pPr>
        <w:spacing w:line="276" w:lineRule="auto"/>
        <w:rPr>
          <w:rFonts w:ascii="Arial" w:hAnsi="Arial" w:cs="Arial"/>
          <w:sz w:val="20"/>
          <w:szCs w:val="20"/>
          <w:lang w:val="en-US"/>
        </w:rPr>
      </w:pPr>
    </w:p>
    <w:p w14:paraId="047DDD2F" w14:textId="291B50BD" w:rsidR="008414EC" w:rsidRDefault="008414EC" w:rsidP="008414EC">
      <w:pPr>
        <w:spacing w:line="276" w:lineRule="auto"/>
        <w:ind w:left="705" w:hanging="705"/>
        <w:rPr>
          <w:rFonts w:ascii="Arial" w:hAnsi="Arial" w:cs="Arial"/>
          <w:sz w:val="20"/>
          <w:szCs w:val="20"/>
          <w:lang w:val="en-US"/>
        </w:rPr>
      </w:pPr>
      <w:r>
        <w:rPr>
          <w:rFonts w:ascii="Arial" w:hAnsi="Arial" w:cs="Arial"/>
          <w:sz w:val="20"/>
          <w:szCs w:val="20"/>
          <w:lang w:val="en-US"/>
        </w:rPr>
        <w:t>15.</w:t>
      </w:r>
      <w:r>
        <w:rPr>
          <w:rFonts w:ascii="Arial" w:hAnsi="Arial" w:cs="Arial"/>
          <w:sz w:val="20"/>
          <w:szCs w:val="20"/>
          <w:lang w:val="en-US"/>
        </w:rPr>
        <w:tab/>
      </w:r>
      <w:r w:rsidRPr="00B07CC5">
        <w:rPr>
          <w:rFonts w:ascii="Arial" w:hAnsi="Arial" w:cs="Arial"/>
          <w:sz w:val="20"/>
          <w:szCs w:val="20"/>
          <w:lang w:val="en-US"/>
        </w:rPr>
        <w:t>Institute of Medicine (US) Standing Committee on the Scientific Evaluation of Dietary Reference Intakes. Dietary Reference Intakes for Calcium, Phosphorus, Magnesium, Vitamin D, and Fluoride. Washington (DC): National Academies Press (US); 1997. PMID: 23115811.</w:t>
      </w:r>
    </w:p>
    <w:p w14:paraId="6FBBEFE6" w14:textId="00497044"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lang w:val="en-US"/>
        </w:rPr>
        <w:t>1</w:t>
      </w:r>
      <w:r w:rsidR="008414EC">
        <w:rPr>
          <w:rFonts w:ascii="Arial" w:hAnsi="Arial" w:cs="Arial"/>
          <w:sz w:val="20"/>
          <w:szCs w:val="20"/>
          <w:lang w:val="en-US"/>
        </w:rPr>
        <w:t>6</w:t>
      </w:r>
      <w:r w:rsidRPr="00865D96">
        <w:rPr>
          <w:rFonts w:ascii="Arial" w:hAnsi="Arial" w:cs="Arial"/>
          <w:sz w:val="20"/>
          <w:szCs w:val="20"/>
          <w:lang w:val="en-US"/>
        </w:rPr>
        <w:t>.</w:t>
      </w:r>
      <w:r w:rsidRPr="00865D96">
        <w:rPr>
          <w:rFonts w:ascii="Arial" w:hAnsi="Arial" w:cs="Arial"/>
          <w:sz w:val="20"/>
          <w:szCs w:val="20"/>
          <w:lang w:val="en-US"/>
        </w:rPr>
        <w:tab/>
        <w:t xml:space="preserve">Larsen K-V, Cobbina SJ, Ofori SA, Addo D. </w:t>
      </w:r>
      <w:r w:rsidRPr="00865D96">
        <w:rPr>
          <w:rFonts w:ascii="Arial" w:hAnsi="Arial" w:cs="Arial"/>
          <w:sz w:val="20"/>
          <w:szCs w:val="20"/>
        </w:rPr>
        <w:t>Quantification and health risk assessment of heavy metals in milled maize and millet in the Tolon District, Northern Ghana. Food Science &amp; Nutrition 2020;8(8):4205–4213.</w:t>
      </w:r>
    </w:p>
    <w:p w14:paraId="17EF3D46" w14:textId="57E5731B"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https://doi.org/10.1002/fsn3.1714</w:t>
      </w:r>
    </w:p>
    <w:p w14:paraId="500E5D80" w14:textId="591CBFD1"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1</w:t>
      </w:r>
      <w:r w:rsidR="008414EC">
        <w:rPr>
          <w:rFonts w:ascii="Arial" w:hAnsi="Arial" w:cs="Arial"/>
          <w:sz w:val="20"/>
          <w:szCs w:val="20"/>
        </w:rPr>
        <w:t>7</w:t>
      </w:r>
      <w:r w:rsidRPr="00865D96">
        <w:rPr>
          <w:rFonts w:ascii="Arial" w:hAnsi="Arial" w:cs="Arial"/>
          <w:sz w:val="20"/>
          <w:szCs w:val="20"/>
        </w:rPr>
        <w:t>.</w:t>
      </w:r>
      <w:r w:rsidRPr="00865D96">
        <w:rPr>
          <w:rFonts w:ascii="Arial" w:hAnsi="Arial" w:cs="Arial"/>
          <w:sz w:val="20"/>
          <w:szCs w:val="20"/>
        </w:rPr>
        <w:tab/>
        <w:t>Geneva: FAO and W. FAO/WHO. 2004. Safety evaluation of certain food additives and contaminants / prepared by the sixty-first meeting of the Joint FAO/WHO Expert Committee on Food Additives (JEFCA). Geneva: FAO and WHO. https://apps.who.int/ iris/handle/10665/43038. FAO/WHO 2004 (accessed April 25, 2025).</w:t>
      </w:r>
    </w:p>
    <w:p w14:paraId="5225E4BF" w14:textId="3974CF27"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1</w:t>
      </w:r>
      <w:r w:rsidR="008414EC">
        <w:rPr>
          <w:rFonts w:ascii="Arial" w:hAnsi="Arial" w:cs="Arial"/>
          <w:sz w:val="20"/>
          <w:szCs w:val="20"/>
        </w:rPr>
        <w:t>8</w:t>
      </w:r>
      <w:r w:rsidRPr="00865D96">
        <w:rPr>
          <w:rFonts w:ascii="Arial" w:hAnsi="Arial" w:cs="Arial"/>
          <w:sz w:val="20"/>
          <w:szCs w:val="20"/>
        </w:rPr>
        <w:t>.</w:t>
      </w:r>
      <w:r w:rsidRPr="00865D96">
        <w:rPr>
          <w:rFonts w:ascii="Arial" w:hAnsi="Arial" w:cs="Arial"/>
          <w:sz w:val="20"/>
          <w:szCs w:val="20"/>
        </w:rPr>
        <w:tab/>
        <w:t xml:space="preserve">Mawouma S, Condurache NN, Turturică M, </w:t>
      </w:r>
      <w:r w:rsidRPr="00865D96">
        <w:rPr>
          <w:rFonts w:ascii="Arial" w:hAnsi="Arial" w:cs="Arial"/>
          <w:sz w:val="20"/>
          <w:szCs w:val="20"/>
          <w:lang w:val="en-US"/>
        </w:rPr>
        <w:t>Constantin OE, Croitoru C, Rapeanu G</w:t>
      </w:r>
      <w:r w:rsidRPr="00865D96">
        <w:rPr>
          <w:rFonts w:ascii="Arial" w:hAnsi="Arial" w:cs="Arial"/>
          <w:sz w:val="20"/>
          <w:szCs w:val="20"/>
        </w:rPr>
        <w:t>. Chemical Composition and Antioxidant Profile of Sorghum (Sorghumbicolor (L.) Moench) and Pearl Millet (Pennisetumglaucum (L.) R.Br.) Grains Cultivated in the Far-North Region of Cameroon. Foods 2022;11(14):2026.</w:t>
      </w:r>
    </w:p>
    <w:p w14:paraId="12C546C9" w14:textId="2CC1BB06"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https://doi.org/10.3390/foods11142026</w:t>
      </w:r>
    </w:p>
    <w:p w14:paraId="353946DD" w14:textId="01041875"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1</w:t>
      </w:r>
      <w:r w:rsidR="008414EC">
        <w:rPr>
          <w:rFonts w:ascii="Arial" w:hAnsi="Arial" w:cs="Arial"/>
          <w:sz w:val="20"/>
          <w:szCs w:val="20"/>
        </w:rPr>
        <w:t>9</w:t>
      </w:r>
      <w:r w:rsidRPr="00865D96">
        <w:rPr>
          <w:rFonts w:ascii="Arial" w:hAnsi="Arial" w:cs="Arial"/>
          <w:sz w:val="20"/>
          <w:szCs w:val="20"/>
        </w:rPr>
        <w:t>.</w:t>
      </w:r>
      <w:r w:rsidRPr="00865D96">
        <w:rPr>
          <w:rFonts w:ascii="Arial" w:hAnsi="Arial" w:cs="Arial"/>
          <w:sz w:val="20"/>
          <w:szCs w:val="20"/>
        </w:rPr>
        <w:tab/>
        <w:t>Olaofe O, Sanni CO. Mineral contents of agricultural products. Food Chemistry 1988;30(1):73–77.</w:t>
      </w:r>
    </w:p>
    <w:p w14:paraId="71606ED0" w14:textId="40B5ABD2"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https://doi.org/10.1016/0308-8146(88)90026-X.</w:t>
      </w:r>
    </w:p>
    <w:p w14:paraId="1B881C4C" w14:textId="0CA33B02" w:rsidR="003D1D42" w:rsidRPr="00865D96" w:rsidRDefault="008414EC" w:rsidP="00C752F5">
      <w:pPr>
        <w:pStyle w:val="Bibliography"/>
        <w:spacing w:after="0" w:line="276" w:lineRule="auto"/>
        <w:ind w:left="705" w:hanging="705"/>
        <w:rPr>
          <w:rFonts w:ascii="Arial" w:hAnsi="Arial" w:cs="Arial"/>
          <w:sz w:val="20"/>
          <w:szCs w:val="20"/>
        </w:rPr>
      </w:pPr>
      <w:r>
        <w:rPr>
          <w:rFonts w:ascii="Arial" w:hAnsi="Arial" w:cs="Arial"/>
          <w:sz w:val="20"/>
          <w:szCs w:val="20"/>
        </w:rPr>
        <w:t>20</w:t>
      </w:r>
      <w:r w:rsidR="003D1D42" w:rsidRPr="00865D96">
        <w:rPr>
          <w:rFonts w:ascii="Arial" w:hAnsi="Arial" w:cs="Arial"/>
          <w:sz w:val="20"/>
          <w:szCs w:val="20"/>
        </w:rPr>
        <w:t>.</w:t>
      </w:r>
      <w:r w:rsidR="003D1D42" w:rsidRPr="00865D96">
        <w:rPr>
          <w:rFonts w:ascii="Arial" w:hAnsi="Arial" w:cs="Arial"/>
          <w:sz w:val="20"/>
          <w:szCs w:val="20"/>
        </w:rPr>
        <w:tab/>
        <w:t>Audu SS, Aremu MO. Effect of Processing on Chemical Composition of Red Kidney Bean (Phaseolus vulgaris L.) Flour. Pakistan Journal of Nutrition 2012;10(11):1069–1075.</w:t>
      </w:r>
    </w:p>
    <w:p w14:paraId="4FB25777" w14:textId="27C8BABC"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https://doi.org/10.3923/pjn.2011.1069.1075.</w:t>
      </w:r>
    </w:p>
    <w:p w14:paraId="07D2517E" w14:textId="067E6332" w:rsidR="003D1D42" w:rsidRPr="00865D96" w:rsidRDefault="008414EC" w:rsidP="00C752F5">
      <w:pPr>
        <w:pStyle w:val="Bibliography"/>
        <w:spacing w:after="0" w:line="276" w:lineRule="auto"/>
        <w:ind w:left="705" w:hanging="705"/>
        <w:rPr>
          <w:rFonts w:ascii="Arial" w:hAnsi="Arial" w:cs="Arial"/>
          <w:sz w:val="20"/>
          <w:szCs w:val="20"/>
        </w:rPr>
      </w:pPr>
      <w:r>
        <w:rPr>
          <w:rFonts w:ascii="Arial" w:hAnsi="Arial" w:cs="Arial"/>
          <w:sz w:val="20"/>
          <w:szCs w:val="20"/>
        </w:rPr>
        <w:t>21</w:t>
      </w:r>
      <w:r w:rsidR="003D1D42" w:rsidRPr="00865D96">
        <w:rPr>
          <w:rFonts w:ascii="Arial" w:hAnsi="Arial" w:cs="Arial"/>
          <w:sz w:val="20"/>
          <w:szCs w:val="20"/>
        </w:rPr>
        <w:t>.</w:t>
      </w:r>
      <w:r w:rsidR="003D1D42" w:rsidRPr="00865D96">
        <w:rPr>
          <w:rFonts w:ascii="Arial" w:hAnsi="Arial" w:cs="Arial"/>
          <w:sz w:val="20"/>
          <w:szCs w:val="20"/>
        </w:rPr>
        <w:tab/>
        <w:t>Academies P. National Research Council (US) Subcommittee on the Tenth Edition of the Recommended Dietary Allowances. Recommended Dietary Allowances: 10th Edition. Washington (DC): National Academies Press (US); 1989. PMID: 25144070.</w:t>
      </w:r>
    </w:p>
    <w:p w14:paraId="2A8CF969" w14:textId="499E783D" w:rsidR="003D1D42" w:rsidRPr="00865D96" w:rsidRDefault="008414EC" w:rsidP="00C752F5">
      <w:pPr>
        <w:pStyle w:val="Bibliography"/>
        <w:spacing w:after="0" w:line="276" w:lineRule="auto"/>
        <w:ind w:left="705" w:hanging="705"/>
        <w:rPr>
          <w:rFonts w:ascii="Arial" w:hAnsi="Arial" w:cs="Arial"/>
          <w:sz w:val="20"/>
          <w:szCs w:val="20"/>
        </w:rPr>
      </w:pPr>
      <w:r>
        <w:rPr>
          <w:rFonts w:ascii="Arial" w:hAnsi="Arial" w:cs="Arial"/>
          <w:sz w:val="20"/>
          <w:szCs w:val="20"/>
          <w:lang w:val="en-US"/>
        </w:rPr>
        <w:t>22</w:t>
      </w:r>
      <w:r w:rsidR="003D1D42" w:rsidRPr="00865D96">
        <w:rPr>
          <w:rFonts w:ascii="Arial" w:hAnsi="Arial" w:cs="Arial"/>
          <w:sz w:val="20"/>
          <w:szCs w:val="20"/>
          <w:lang w:val="en-US"/>
        </w:rPr>
        <w:t>.</w:t>
      </w:r>
      <w:r w:rsidR="003D1D42" w:rsidRPr="00865D96">
        <w:rPr>
          <w:rFonts w:ascii="Arial" w:hAnsi="Arial" w:cs="Arial"/>
          <w:sz w:val="20"/>
          <w:szCs w:val="20"/>
          <w:lang w:val="en-US"/>
        </w:rPr>
        <w:tab/>
        <w:t xml:space="preserve">Liang K, Liang S, Lu L, Zhu D, Cheng L. </w:t>
      </w:r>
      <w:r w:rsidR="003D1D42" w:rsidRPr="00865D96">
        <w:rPr>
          <w:rFonts w:ascii="Arial" w:hAnsi="Arial" w:cs="Arial"/>
          <w:sz w:val="20"/>
          <w:szCs w:val="20"/>
        </w:rPr>
        <w:t>Geographical origin traceability of foxtail millet based on the combination of multi-element and chemical composition analysis. International Journal of Food Properties 2018;21(1):1769–1777.</w:t>
      </w:r>
    </w:p>
    <w:p w14:paraId="7D48F22E" w14:textId="6920945A"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https://doi.org/10.1080/10942912.2018.1506479.</w:t>
      </w:r>
    </w:p>
    <w:p w14:paraId="727FC206" w14:textId="0CA22E91" w:rsidR="003D1D42" w:rsidRPr="00865D96" w:rsidRDefault="003D1D42" w:rsidP="00C752F5">
      <w:pPr>
        <w:pStyle w:val="Bibliography"/>
        <w:spacing w:after="0" w:line="276" w:lineRule="auto"/>
        <w:ind w:left="705" w:hanging="705"/>
        <w:rPr>
          <w:rFonts w:ascii="Arial" w:hAnsi="Arial" w:cs="Arial"/>
          <w:sz w:val="20"/>
          <w:szCs w:val="20"/>
        </w:rPr>
      </w:pPr>
      <w:r w:rsidRPr="00DC26D3">
        <w:rPr>
          <w:rFonts w:ascii="Arial" w:hAnsi="Arial" w:cs="Arial"/>
          <w:sz w:val="20"/>
          <w:szCs w:val="20"/>
          <w:lang w:val="en-US"/>
        </w:rPr>
        <w:t>2</w:t>
      </w:r>
      <w:r w:rsidR="008414EC" w:rsidRPr="00DC26D3">
        <w:rPr>
          <w:rFonts w:ascii="Arial" w:hAnsi="Arial" w:cs="Arial"/>
          <w:sz w:val="20"/>
          <w:szCs w:val="20"/>
          <w:lang w:val="en-US"/>
        </w:rPr>
        <w:t>3</w:t>
      </w:r>
      <w:r w:rsidRPr="00DC26D3">
        <w:rPr>
          <w:rFonts w:ascii="Arial" w:hAnsi="Arial" w:cs="Arial"/>
          <w:sz w:val="20"/>
          <w:szCs w:val="20"/>
          <w:lang w:val="en-US"/>
        </w:rPr>
        <w:t>.</w:t>
      </w:r>
      <w:r w:rsidRPr="00DC26D3">
        <w:rPr>
          <w:rFonts w:ascii="Arial" w:hAnsi="Arial" w:cs="Arial"/>
          <w:sz w:val="20"/>
          <w:szCs w:val="20"/>
          <w:lang w:val="en-US"/>
        </w:rPr>
        <w:tab/>
        <w:t xml:space="preserve">Zhang H, Rui Y-K. </w:t>
      </w:r>
      <w:r w:rsidRPr="00865D96">
        <w:rPr>
          <w:rFonts w:ascii="Arial" w:hAnsi="Arial" w:cs="Arial"/>
          <w:sz w:val="20"/>
          <w:szCs w:val="20"/>
        </w:rPr>
        <w:t>Determining mineral elements in four kinds of grains from Beijing market by ICP-MS simultaneously. Journal of Saudi Chemical Society 2012;16(1):31–33</w:t>
      </w:r>
    </w:p>
    <w:p w14:paraId="2A434F00" w14:textId="798D4ECD"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https://doi.org/10.1016/j.jscs.2010.10.014.</w:t>
      </w:r>
    </w:p>
    <w:p w14:paraId="733A7F59" w14:textId="0F035D83"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lastRenderedPageBreak/>
        <w:t>2</w:t>
      </w:r>
      <w:r w:rsidR="008414EC">
        <w:rPr>
          <w:rFonts w:ascii="Arial" w:hAnsi="Arial" w:cs="Arial"/>
          <w:sz w:val="20"/>
          <w:szCs w:val="20"/>
        </w:rPr>
        <w:t>4</w:t>
      </w:r>
      <w:r w:rsidRPr="00865D96">
        <w:rPr>
          <w:rFonts w:ascii="Arial" w:hAnsi="Arial" w:cs="Arial"/>
          <w:sz w:val="20"/>
          <w:szCs w:val="20"/>
        </w:rPr>
        <w:t>.</w:t>
      </w:r>
      <w:r w:rsidRPr="00865D96">
        <w:rPr>
          <w:rFonts w:ascii="Arial" w:hAnsi="Arial" w:cs="Arial"/>
          <w:sz w:val="20"/>
          <w:szCs w:val="20"/>
        </w:rPr>
        <w:tab/>
        <w:t>Ziarati, P. Comparing Heavy Metal Contents of Panax Ginseng Samples from Selected Markets in Tehran and Beijing. Journal of Environmental and Analytical Toxicology 2013;3(5):1–4.</w:t>
      </w:r>
    </w:p>
    <w:p w14:paraId="26347D0F" w14:textId="564755EC"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https://doi.org/10.4172/2161-0525.1000183.</w:t>
      </w:r>
    </w:p>
    <w:p w14:paraId="46AE6883" w14:textId="6B7CBB0D"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5</w:t>
      </w:r>
      <w:r w:rsidRPr="00865D96">
        <w:rPr>
          <w:rFonts w:ascii="Arial" w:hAnsi="Arial" w:cs="Arial"/>
          <w:sz w:val="20"/>
          <w:szCs w:val="20"/>
        </w:rPr>
        <w:t>.</w:t>
      </w:r>
      <w:r w:rsidRPr="00865D96">
        <w:rPr>
          <w:rFonts w:ascii="Arial" w:hAnsi="Arial" w:cs="Arial"/>
          <w:sz w:val="20"/>
          <w:szCs w:val="20"/>
        </w:rPr>
        <w:tab/>
        <w:t xml:space="preserve">World H. World Health Organization (WHO). Permissible Limits of Heavy Metals in Soil and Plants. Geneva, Switzerland: WHO; 2011. </w:t>
      </w:r>
    </w:p>
    <w:p w14:paraId="2BEC4F0B" w14:textId="25B667CC"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6</w:t>
      </w:r>
      <w:r w:rsidRPr="00865D96">
        <w:rPr>
          <w:rFonts w:ascii="Arial" w:hAnsi="Arial" w:cs="Arial"/>
          <w:sz w:val="20"/>
          <w:szCs w:val="20"/>
        </w:rPr>
        <w:t>.</w:t>
      </w:r>
      <w:r w:rsidRPr="00865D96">
        <w:rPr>
          <w:rFonts w:ascii="Arial" w:hAnsi="Arial" w:cs="Arial"/>
          <w:sz w:val="20"/>
          <w:szCs w:val="20"/>
        </w:rPr>
        <w:tab/>
        <w:t>Hussien Siraj T. Review on Role of Micronutrients, Current Status, and Knowledge Gaps in Ethiopian Agriculture for Ensuring Food Security. International Journal of Novel Research and Development 2023; 8(9):b735-b744.</w:t>
      </w:r>
    </w:p>
    <w:p w14:paraId="23A13097" w14:textId="08A57646"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7</w:t>
      </w:r>
      <w:r w:rsidRPr="00865D96">
        <w:rPr>
          <w:rFonts w:ascii="Arial" w:hAnsi="Arial" w:cs="Arial"/>
          <w:sz w:val="20"/>
          <w:szCs w:val="20"/>
        </w:rPr>
        <w:t>.</w:t>
      </w:r>
      <w:r w:rsidRPr="00865D96">
        <w:rPr>
          <w:rFonts w:ascii="Arial" w:hAnsi="Arial" w:cs="Arial"/>
          <w:sz w:val="20"/>
          <w:szCs w:val="20"/>
        </w:rPr>
        <w:tab/>
        <w:t>Fraga CG, Oteiza PI. Iron toxicity and antioxidant nutrients. Toxicology 2002;180(1):23–32.</w:t>
      </w:r>
    </w:p>
    <w:p w14:paraId="79D1D14A" w14:textId="4A242CA7"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https://doi.org/10.1016/S0300-483X(02)00379-7.</w:t>
      </w:r>
    </w:p>
    <w:p w14:paraId="01570C2E" w14:textId="62B7A9F0"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8</w:t>
      </w:r>
      <w:r w:rsidRPr="00865D96">
        <w:rPr>
          <w:rFonts w:ascii="Arial" w:hAnsi="Arial" w:cs="Arial"/>
          <w:sz w:val="20"/>
          <w:szCs w:val="20"/>
        </w:rPr>
        <w:t>.</w:t>
      </w:r>
      <w:r w:rsidRPr="00865D96">
        <w:rPr>
          <w:rFonts w:ascii="Arial" w:hAnsi="Arial" w:cs="Arial"/>
          <w:sz w:val="20"/>
          <w:szCs w:val="20"/>
        </w:rPr>
        <w:tab/>
        <w:t>Codex Alimentarius Commission. Food additives and contaminants. Joint FAO. WHO Food Standards Program. 2001;1:1–289.</w:t>
      </w:r>
    </w:p>
    <w:p w14:paraId="037B03C7" w14:textId="70042B75"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lang w:val="en-US"/>
        </w:rPr>
        <w:t>2</w:t>
      </w:r>
      <w:r w:rsidR="008414EC">
        <w:rPr>
          <w:rFonts w:ascii="Arial" w:hAnsi="Arial" w:cs="Arial"/>
          <w:sz w:val="20"/>
          <w:szCs w:val="20"/>
          <w:lang w:val="en-US"/>
        </w:rPr>
        <w:t>9</w:t>
      </w:r>
      <w:r w:rsidRPr="00865D96">
        <w:rPr>
          <w:rFonts w:ascii="Arial" w:hAnsi="Arial" w:cs="Arial"/>
          <w:sz w:val="20"/>
          <w:szCs w:val="20"/>
          <w:lang w:val="en-US"/>
        </w:rPr>
        <w:t>.</w:t>
      </w:r>
      <w:r w:rsidRPr="00865D96">
        <w:rPr>
          <w:rFonts w:ascii="Arial" w:hAnsi="Arial" w:cs="Arial"/>
          <w:sz w:val="20"/>
          <w:szCs w:val="20"/>
          <w:lang w:val="en-US"/>
        </w:rPr>
        <w:tab/>
        <w:t xml:space="preserve">Genchi G, Carocci A, Lauria G, Sinicropi MS, Catalano A. </w:t>
      </w:r>
      <w:r w:rsidRPr="00865D96">
        <w:rPr>
          <w:rFonts w:ascii="Arial" w:hAnsi="Arial" w:cs="Arial"/>
          <w:sz w:val="20"/>
          <w:szCs w:val="20"/>
        </w:rPr>
        <w:t>Nickel: Human Health and Environmental Toxicology. Int J Environ Res Public Health 2020;17(3):679.</w:t>
      </w:r>
    </w:p>
    <w:p w14:paraId="214C8C37" w14:textId="429366A9"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https://doi.org/10.3390/ijerph17030679.</w:t>
      </w:r>
    </w:p>
    <w:p w14:paraId="10ABCB52" w14:textId="28AF2558" w:rsidR="003D1D42" w:rsidRPr="00865D96" w:rsidRDefault="008414EC" w:rsidP="00C752F5">
      <w:pPr>
        <w:pStyle w:val="Bibliography"/>
        <w:spacing w:after="0" w:line="276" w:lineRule="auto"/>
        <w:ind w:left="705" w:hanging="705"/>
        <w:rPr>
          <w:rFonts w:ascii="Arial" w:hAnsi="Arial" w:cs="Arial"/>
          <w:sz w:val="20"/>
          <w:szCs w:val="20"/>
          <w:lang w:val="en-US"/>
        </w:rPr>
      </w:pPr>
      <w:r>
        <w:rPr>
          <w:rFonts w:ascii="Arial" w:hAnsi="Arial" w:cs="Arial"/>
          <w:sz w:val="20"/>
          <w:szCs w:val="20"/>
        </w:rPr>
        <w:t>30</w:t>
      </w:r>
      <w:r w:rsidR="003D1D42" w:rsidRPr="00865D96">
        <w:rPr>
          <w:rFonts w:ascii="Arial" w:hAnsi="Arial" w:cs="Arial"/>
          <w:sz w:val="20"/>
          <w:szCs w:val="20"/>
        </w:rPr>
        <w:t>.</w:t>
      </w:r>
      <w:r w:rsidR="003D1D42" w:rsidRPr="00865D96">
        <w:rPr>
          <w:rFonts w:ascii="Arial" w:hAnsi="Arial" w:cs="Arial"/>
          <w:sz w:val="20"/>
          <w:szCs w:val="20"/>
        </w:rPr>
        <w:tab/>
        <w:t xml:space="preserve">Scientific Opinion on the Risks to Public Health Related to the Presence of Nickel in Food and Drinking Water, 2015 - EFSA Panel on Contaminants in the Food Chain (CONTAM). EFSA Journal - Wiley Online Library. </w:t>
      </w:r>
    </w:p>
    <w:p w14:paraId="29A3B8DB" w14:textId="09AB5DC6"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lang w:val="en-US"/>
        </w:rPr>
        <w:tab/>
      </w:r>
      <w:r w:rsidRPr="00865D96">
        <w:rPr>
          <w:rFonts w:ascii="Arial" w:hAnsi="Arial" w:cs="Arial"/>
          <w:sz w:val="20"/>
          <w:szCs w:val="20"/>
          <w:lang w:val="en-US"/>
        </w:rPr>
        <w:tab/>
      </w:r>
      <w:r w:rsidR="003D1D42" w:rsidRPr="00865D96">
        <w:rPr>
          <w:rFonts w:ascii="Arial" w:hAnsi="Arial" w:cs="Arial"/>
          <w:sz w:val="20"/>
          <w:szCs w:val="20"/>
          <w:lang w:val="en-US"/>
        </w:rPr>
        <w:t>https://doi.org/10.2903/j.efsa.2015.4002</w:t>
      </w:r>
    </w:p>
    <w:p w14:paraId="08F78443" w14:textId="2FAF6BEF" w:rsidR="003D1D42" w:rsidRPr="00865D96" w:rsidRDefault="008414EC" w:rsidP="00C752F5">
      <w:pPr>
        <w:pStyle w:val="Bibliography"/>
        <w:spacing w:after="0" w:line="276" w:lineRule="auto"/>
        <w:ind w:left="705" w:hanging="705"/>
        <w:rPr>
          <w:rFonts w:ascii="Arial" w:hAnsi="Arial" w:cs="Arial"/>
          <w:sz w:val="20"/>
          <w:szCs w:val="20"/>
        </w:rPr>
      </w:pPr>
      <w:r>
        <w:rPr>
          <w:rFonts w:ascii="Arial" w:hAnsi="Arial" w:cs="Arial"/>
          <w:sz w:val="20"/>
          <w:szCs w:val="20"/>
        </w:rPr>
        <w:t>31</w:t>
      </w:r>
      <w:r w:rsidR="003D1D42" w:rsidRPr="00865D96">
        <w:rPr>
          <w:rFonts w:ascii="Arial" w:hAnsi="Arial" w:cs="Arial"/>
          <w:sz w:val="20"/>
          <w:szCs w:val="20"/>
        </w:rPr>
        <w:t>.</w:t>
      </w:r>
      <w:r w:rsidR="003D1D42" w:rsidRPr="00865D96">
        <w:rPr>
          <w:rFonts w:ascii="Arial" w:hAnsi="Arial" w:cs="Arial"/>
          <w:sz w:val="20"/>
          <w:szCs w:val="20"/>
        </w:rPr>
        <w:tab/>
        <w:t>Mania M, Szynal T, Wojciechowska-Mazurek M, Rebeniak M. Nikiel w środkach spożywczych. Przemysł Spożywczy 2016;70(08).</w:t>
      </w:r>
    </w:p>
    <w:p w14:paraId="1A99C03E" w14:textId="07DAC6C0"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https://doi.org/10.15199/65.2016.8.6</w:t>
      </w:r>
    </w:p>
    <w:p w14:paraId="1770C7B5" w14:textId="3093462D" w:rsidR="003D1D42" w:rsidRPr="00865D96" w:rsidRDefault="008414EC" w:rsidP="00C752F5">
      <w:pPr>
        <w:pStyle w:val="Bibliography"/>
        <w:spacing w:after="0" w:line="276" w:lineRule="auto"/>
        <w:rPr>
          <w:rFonts w:ascii="Arial" w:hAnsi="Arial" w:cs="Arial"/>
          <w:sz w:val="20"/>
          <w:szCs w:val="20"/>
        </w:rPr>
      </w:pPr>
      <w:r>
        <w:rPr>
          <w:rFonts w:ascii="Arial" w:hAnsi="Arial" w:cs="Arial"/>
          <w:sz w:val="20"/>
          <w:szCs w:val="20"/>
        </w:rPr>
        <w:t>32</w:t>
      </w:r>
      <w:r w:rsidR="003D1D42" w:rsidRPr="00865D96">
        <w:rPr>
          <w:rFonts w:ascii="Arial" w:hAnsi="Arial" w:cs="Arial"/>
          <w:sz w:val="20"/>
          <w:szCs w:val="20"/>
        </w:rPr>
        <w:t>.</w:t>
      </w:r>
      <w:r w:rsidR="003D1D42" w:rsidRPr="00865D96">
        <w:rPr>
          <w:rFonts w:ascii="Arial" w:hAnsi="Arial" w:cs="Arial"/>
          <w:sz w:val="20"/>
          <w:szCs w:val="20"/>
        </w:rPr>
        <w:tab/>
        <w:t>Nielsen F. Nickel. Advances in Nutrition 2021;12(1):281–282.</w:t>
      </w:r>
    </w:p>
    <w:p w14:paraId="5CAA16EC" w14:textId="0A9B3DD4"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https://doi.org/10.1093/advances/nmaa154.</w:t>
      </w:r>
    </w:p>
    <w:p w14:paraId="043E4BB8" w14:textId="6ECAD6DF" w:rsidR="003D1D42" w:rsidRPr="00865D96" w:rsidRDefault="003D1D42" w:rsidP="00C752F5">
      <w:pPr>
        <w:pStyle w:val="Bibliography"/>
        <w:spacing w:after="0" w:line="276" w:lineRule="auto"/>
        <w:ind w:left="705" w:hanging="705"/>
        <w:rPr>
          <w:rFonts w:ascii="Arial" w:hAnsi="Arial" w:cs="Arial"/>
          <w:sz w:val="20"/>
          <w:szCs w:val="20"/>
          <w:lang w:val="en-US"/>
        </w:rPr>
      </w:pPr>
      <w:r w:rsidRPr="00865D96">
        <w:rPr>
          <w:rFonts w:ascii="Arial" w:hAnsi="Arial" w:cs="Arial"/>
          <w:sz w:val="20"/>
          <w:szCs w:val="20"/>
        </w:rPr>
        <w:t>3</w:t>
      </w:r>
      <w:r w:rsidR="008414EC">
        <w:rPr>
          <w:rFonts w:ascii="Arial" w:hAnsi="Arial" w:cs="Arial"/>
          <w:sz w:val="20"/>
          <w:szCs w:val="20"/>
        </w:rPr>
        <w:t>3</w:t>
      </w:r>
      <w:r w:rsidRPr="00865D96">
        <w:rPr>
          <w:rFonts w:ascii="Arial" w:hAnsi="Arial" w:cs="Arial"/>
          <w:sz w:val="20"/>
          <w:szCs w:val="20"/>
        </w:rPr>
        <w:t>.</w:t>
      </w:r>
      <w:r w:rsidRPr="00865D96">
        <w:rPr>
          <w:rFonts w:ascii="Arial" w:hAnsi="Arial" w:cs="Arial"/>
          <w:sz w:val="20"/>
          <w:szCs w:val="20"/>
        </w:rPr>
        <w:tab/>
        <w:t xml:space="preserve">Sailer J, Nagel J, Akdogan B, </w:t>
      </w:r>
      <w:r w:rsidRPr="00865D96">
        <w:rPr>
          <w:rFonts w:ascii="Arial" w:hAnsi="Arial" w:cs="Arial"/>
          <w:sz w:val="20"/>
          <w:szCs w:val="20"/>
          <w:lang w:val="en-US"/>
        </w:rPr>
        <w:t>Jauch AT ,  Engler J,  Knolle PA,  Zischka H</w:t>
      </w:r>
      <w:r w:rsidRPr="00865D96">
        <w:rPr>
          <w:rFonts w:ascii="Arial" w:hAnsi="Arial" w:cs="Arial"/>
          <w:sz w:val="20"/>
          <w:szCs w:val="20"/>
        </w:rPr>
        <w:t xml:space="preserve">. Deadly excess copper. </w:t>
      </w:r>
      <w:r w:rsidRPr="00865D96">
        <w:rPr>
          <w:rFonts w:ascii="Arial" w:hAnsi="Arial" w:cs="Arial"/>
          <w:sz w:val="20"/>
          <w:szCs w:val="20"/>
          <w:lang w:val="en-US"/>
        </w:rPr>
        <w:t>Redox Biol 2024;75:103256.</w:t>
      </w:r>
    </w:p>
    <w:p w14:paraId="64EB83E5" w14:textId="6428BF15" w:rsidR="003D1D42" w:rsidRPr="00865D96" w:rsidRDefault="00C752F5" w:rsidP="00C752F5">
      <w:pPr>
        <w:pStyle w:val="Bibliography"/>
        <w:spacing w:after="0" w:line="276" w:lineRule="auto"/>
        <w:rPr>
          <w:rFonts w:ascii="Arial" w:hAnsi="Arial" w:cs="Arial"/>
          <w:sz w:val="20"/>
          <w:szCs w:val="20"/>
          <w:lang w:val="en-US"/>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w:t>
      </w:r>
      <w:r w:rsidR="003D1D42" w:rsidRPr="00865D96">
        <w:rPr>
          <w:rFonts w:ascii="Arial" w:hAnsi="Arial" w:cs="Arial"/>
          <w:sz w:val="20"/>
          <w:szCs w:val="20"/>
          <w:lang w:val="en-US"/>
        </w:rPr>
        <w:t>10.1016/j.redox.2024.103256</w:t>
      </w:r>
    </w:p>
    <w:p w14:paraId="3A2FCEEB" w14:textId="425F5F68"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8414EC">
        <w:rPr>
          <w:rFonts w:ascii="Arial" w:hAnsi="Arial" w:cs="Arial"/>
          <w:sz w:val="20"/>
          <w:szCs w:val="20"/>
        </w:rPr>
        <w:t>4</w:t>
      </w:r>
      <w:r w:rsidRPr="00865D96">
        <w:rPr>
          <w:rFonts w:ascii="Arial" w:hAnsi="Arial" w:cs="Arial"/>
          <w:sz w:val="20"/>
          <w:szCs w:val="20"/>
        </w:rPr>
        <w:t>.</w:t>
      </w:r>
      <w:r w:rsidRPr="00865D96">
        <w:rPr>
          <w:rFonts w:ascii="Arial" w:hAnsi="Arial" w:cs="Arial"/>
          <w:sz w:val="20"/>
          <w:szCs w:val="20"/>
        </w:rPr>
        <w:tab/>
        <w:t>Chen L, Min J, Wang F. Copper homeostasis and cuproptosis in health and disease. Signal Transduct Target Ther 2022;7(1):378.</w:t>
      </w:r>
    </w:p>
    <w:p w14:paraId="5721E855" w14:textId="52D9936B"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https://doi.org/10.1038/s41392-022-01229-y.</w:t>
      </w:r>
    </w:p>
    <w:p w14:paraId="4ADAF259" w14:textId="38532BAE"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5</w:t>
      </w:r>
      <w:r w:rsidRPr="00865D96">
        <w:rPr>
          <w:rFonts w:ascii="Arial" w:hAnsi="Arial" w:cs="Arial"/>
          <w:sz w:val="20"/>
          <w:szCs w:val="20"/>
        </w:rPr>
        <w:t>.</w:t>
      </w:r>
      <w:r w:rsidRPr="00865D96">
        <w:rPr>
          <w:rFonts w:ascii="Arial" w:hAnsi="Arial" w:cs="Arial"/>
          <w:sz w:val="20"/>
          <w:szCs w:val="20"/>
        </w:rPr>
        <w:tab/>
        <w:t>Li S-M, Fang Y, Wu H-MN and YX. Heavy Metals in Chinese Therapeutic Foods and Herbs. Journal of the Chemical Society of Pakistan 2012;34(5):1091.</w:t>
      </w:r>
    </w:p>
    <w:p w14:paraId="4C9028A2" w14:textId="7341ADD7"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6</w:t>
      </w:r>
      <w:r w:rsidRPr="00865D96">
        <w:rPr>
          <w:rFonts w:ascii="Arial" w:hAnsi="Arial" w:cs="Arial"/>
          <w:sz w:val="20"/>
          <w:szCs w:val="20"/>
        </w:rPr>
        <w:t>.</w:t>
      </w:r>
      <w:r w:rsidRPr="00865D96">
        <w:rPr>
          <w:rFonts w:ascii="Arial" w:hAnsi="Arial" w:cs="Arial"/>
          <w:sz w:val="20"/>
          <w:szCs w:val="20"/>
        </w:rPr>
        <w:tab/>
        <w:t>Price S, Que EL. Probing metalloenzyme dynamics in living systems: Contemporary advances in fluorescence imaging tools and applications. Current Opinion in Chemical Biology 2024;81:102475.</w:t>
      </w:r>
    </w:p>
    <w:p w14:paraId="5173A2B2" w14:textId="1BCC82ED"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https://doi.org/10.1016/j.cbpa.2024.102475.</w:t>
      </w:r>
    </w:p>
    <w:p w14:paraId="5C356A51" w14:textId="400B8AD7"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7</w:t>
      </w:r>
      <w:r w:rsidRPr="00865D96">
        <w:rPr>
          <w:rFonts w:ascii="Arial" w:hAnsi="Arial" w:cs="Arial"/>
          <w:sz w:val="20"/>
          <w:szCs w:val="20"/>
        </w:rPr>
        <w:t>.</w:t>
      </w:r>
      <w:r w:rsidRPr="00865D96">
        <w:rPr>
          <w:rFonts w:ascii="Arial" w:hAnsi="Arial" w:cs="Arial"/>
          <w:sz w:val="20"/>
          <w:szCs w:val="20"/>
        </w:rPr>
        <w:tab/>
        <w:t>Nriagu J. Zinc Toxicity in Humans. In: Encyclopedia of Environmental Health. (Nriagu JO. ed) Elsevier: Burlington; 2011; pp. 801–807.</w:t>
      </w:r>
    </w:p>
    <w:p w14:paraId="083C9599" w14:textId="74484472"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https://doi.org/10.1016/B978-0-444-52272-6.00675-9.</w:t>
      </w:r>
    </w:p>
    <w:p w14:paraId="1743BED7" w14:textId="711B64A8"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8</w:t>
      </w:r>
      <w:r w:rsidRPr="00865D96">
        <w:rPr>
          <w:rFonts w:ascii="Arial" w:hAnsi="Arial" w:cs="Arial"/>
          <w:sz w:val="20"/>
          <w:szCs w:val="20"/>
        </w:rPr>
        <w:t>.</w:t>
      </w:r>
      <w:r w:rsidRPr="00865D96">
        <w:rPr>
          <w:rFonts w:ascii="Arial" w:hAnsi="Arial" w:cs="Arial"/>
          <w:sz w:val="20"/>
          <w:szCs w:val="20"/>
        </w:rPr>
        <w:tab/>
        <w:t>Barthwal J, Nair S, Kakkar P. Heavy Metal Accumulation in Medicinal Plants Collected from Environmentally Different Sites. Biomedical and Environmental Sciences 2008;21(4):319–324.</w:t>
      </w:r>
    </w:p>
    <w:p w14:paraId="1CFCF0AF" w14:textId="4F77C044"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https://doi.org/10.1016/S0895-3988(08)60049-5.</w:t>
      </w:r>
    </w:p>
    <w:p w14:paraId="2EAA345B" w14:textId="46A144FD"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9</w:t>
      </w:r>
      <w:r w:rsidRPr="00865D96">
        <w:rPr>
          <w:rFonts w:ascii="Arial" w:hAnsi="Arial" w:cs="Arial"/>
          <w:sz w:val="20"/>
          <w:szCs w:val="20"/>
        </w:rPr>
        <w:t>.</w:t>
      </w:r>
      <w:r w:rsidRPr="00865D96">
        <w:rPr>
          <w:rFonts w:ascii="Arial" w:hAnsi="Arial" w:cs="Arial"/>
          <w:sz w:val="20"/>
          <w:szCs w:val="20"/>
        </w:rPr>
        <w:tab/>
        <w:t>Food and Agriculture Organization /World Health Organization . Joint FAO/WHO Expert Committee on Food Additives. Evaluation of Certain Additives and Contaminants, 2006, 67th Joint FAO/WHO Expert Committee on Food Additives; WHO Technical Report Series; FAO/WHO: Rome, Italy, 2006.</w:t>
      </w:r>
    </w:p>
    <w:p w14:paraId="52A7452C" w14:textId="65A837DB" w:rsidR="003D1D42" w:rsidRPr="00865D96" w:rsidRDefault="003C66FF" w:rsidP="00C752F5">
      <w:pPr>
        <w:pStyle w:val="Bibliography"/>
        <w:spacing w:after="0" w:line="276" w:lineRule="auto"/>
        <w:ind w:left="705" w:hanging="705"/>
        <w:rPr>
          <w:rFonts w:ascii="Arial" w:hAnsi="Arial" w:cs="Arial"/>
          <w:sz w:val="20"/>
          <w:szCs w:val="20"/>
          <w:lang w:val="en-US"/>
        </w:rPr>
      </w:pPr>
      <w:r>
        <w:rPr>
          <w:rFonts w:ascii="Arial" w:hAnsi="Arial" w:cs="Arial"/>
          <w:sz w:val="20"/>
          <w:szCs w:val="20"/>
        </w:rPr>
        <w:t>40</w:t>
      </w:r>
      <w:r w:rsidR="003D1D42" w:rsidRPr="00865D96">
        <w:rPr>
          <w:rFonts w:ascii="Arial" w:hAnsi="Arial" w:cs="Arial"/>
          <w:sz w:val="20"/>
          <w:szCs w:val="20"/>
        </w:rPr>
        <w:t>.</w:t>
      </w:r>
      <w:r w:rsidR="003D1D42" w:rsidRPr="00865D96">
        <w:rPr>
          <w:rFonts w:ascii="Arial" w:hAnsi="Arial" w:cs="Arial"/>
          <w:sz w:val="20"/>
          <w:szCs w:val="20"/>
        </w:rPr>
        <w:tab/>
        <w:t>ATSDR (2007) Toxicological Profile for Lead. Agency for Toxic Substances and Disease Registry: US Department of Health and Human Services, Public Health Service, Atlanta, GA, United States.</w:t>
      </w:r>
    </w:p>
    <w:p w14:paraId="76159913" w14:textId="5B67A619" w:rsidR="003D1D42" w:rsidRPr="00865D96" w:rsidRDefault="003C66FF" w:rsidP="00C752F5">
      <w:pPr>
        <w:pStyle w:val="Bibliography"/>
        <w:spacing w:after="0" w:line="276" w:lineRule="auto"/>
        <w:ind w:left="705" w:hanging="705"/>
        <w:rPr>
          <w:rFonts w:ascii="Arial" w:hAnsi="Arial" w:cs="Arial"/>
          <w:sz w:val="20"/>
          <w:szCs w:val="20"/>
        </w:rPr>
      </w:pPr>
      <w:r>
        <w:rPr>
          <w:rFonts w:ascii="Arial" w:hAnsi="Arial" w:cs="Arial"/>
          <w:sz w:val="20"/>
          <w:szCs w:val="20"/>
          <w:lang w:val="fr-CA"/>
        </w:rPr>
        <w:lastRenderedPageBreak/>
        <w:t>41</w:t>
      </w:r>
      <w:r w:rsidR="003D1D42" w:rsidRPr="00865D96">
        <w:rPr>
          <w:rFonts w:ascii="Arial" w:hAnsi="Arial" w:cs="Arial"/>
          <w:sz w:val="20"/>
          <w:szCs w:val="20"/>
          <w:lang w:val="fr-CA"/>
        </w:rPr>
        <w:t>.</w:t>
      </w:r>
      <w:r w:rsidR="003D1D42" w:rsidRPr="00865D96">
        <w:rPr>
          <w:rFonts w:ascii="Arial" w:hAnsi="Arial" w:cs="Arial"/>
          <w:sz w:val="20"/>
          <w:szCs w:val="20"/>
          <w:lang w:val="fr-CA"/>
        </w:rPr>
        <w:tab/>
        <w:t xml:space="preserve">De Smet PAGM, Kelle K, Hansel R, Hänsel R, Chandler RF. </w:t>
      </w:r>
      <w:r w:rsidR="003D1D42" w:rsidRPr="00865D96">
        <w:rPr>
          <w:rFonts w:ascii="Arial" w:hAnsi="Arial" w:cs="Arial"/>
          <w:sz w:val="20"/>
          <w:szCs w:val="20"/>
        </w:rPr>
        <w:t>Adverse Effects of Herbal Drugs. In: Adverse Effects of Herbal Drugs Springer-verlag; 1992.</w:t>
      </w:r>
    </w:p>
    <w:p w14:paraId="359E63EA" w14:textId="679FA607" w:rsidR="003D1D42" w:rsidRPr="00865D96" w:rsidRDefault="003C66FF" w:rsidP="00C752F5">
      <w:pPr>
        <w:pStyle w:val="Bibliography"/>
        <w:spacing w:after="0" w:line="276" w:lineRule="auto"/>
        <w:ind w:left="705" w:hanging="705"/>
        <w:rPr>
          <w:rFonts w:ascii="Arial" w:hAnsi="Arial" w:cs="Arial"/>
          <w:sz w:val="20"/>
          <w:szCs w:val="20"/>
        </w:rPr>
      </w:pPr>
      <w:r>
        <w:rPr>
          <w:rFonts w:ascii="Arial" w:hAnsi="Arial" w:cs="Arial"/>
          <w:sz w:val="20"/>
          <w:szCs w:val="20"/>
        </w:rPr>
        <w:t>42</w:t>
      </w:r>
      <w:r w:rsidR="003D1D42" w:rsidRPr="00865D96">
        <w:rPr>
          <w:rFonts w:ascii="Arial" w:hAnsi="Arial" w:cs="Arial"/>
          <w:sz w:val="20"/>
          <w:szCs w:val="20"/>
        </w:rPr>
        <w:t>.</w:t>
      </w:r>
      <w:r w:rsidR="003D1D42" w:rsidRPr="00865D96">
        <w:rPr>
          <w:rFonts w:ascii="Arial" w:hAnsi="Arial" w:cs="Arial"/>
          <w:sz w:val="20"/>
          <w:szCs w:val="20"/>
        </w:rPr>
        <w:tab/>
        <w:t xml:space="preserve">Filippini T, Cilloni S, Malavolti M, </w:t>
      </w:r>
      <w:r w:rsidR="003D1D42" w:rsidRPr="00865D96">
        <w:rPr>
          <w:rFonts w:ascii="Arial" w:hAnsi="Arial" w:cs="Arial"/>
          <w:sz w:val="20"/>
          <w:szCs w:val="20"/>
          <w:lang w:val="en-US"/>
        </w:rPr>
        <w:t>Tesauro M,  Bottecchi I,  Ferrari A,  Vescovi L,  Vinceti M.</w:t>
      </w:r>
      <w:r w:rsidR="003D1D42" w:rsidRPr="00865D96">
        <w:rPr>
          <w:rFonts w:ascii="Arial" w:hAnsi="Arial" w:cs="Arial"/>
          <w:sz w:val="20"/>
          <w:szCs w:val="20"/>
        </w:rPr>
        <w:t xml:space="preserve"> Dietary intake of cadmium, chromium, copper, manganese, selenium and zinc in a Northern Italy community. Journal of Trace Elements in Medicine and Biology 2018;50:508–517.</w:t>
      </w:r>
    </w:p>
    <w:p w14:paraId="186BE525" w14:textId="6B746BA8"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https://doi.org/10.1016/j.jtemb.2018.03.001</w:t>
      </w:r>
    </w:p>
    <w:p w14:paraId="7E428DCF" w14:textId="17E7CF17" w:rsidR="003D1D42" w:rsidRPr="00865D96" w:rsidRDefault="003D1D42" w:rsidP="00C752F5">
      <w:pPr>
        <w:pStyle w:val="Bibliography"/>
        <w:spacing w:after="0" w:line="276" w:lineRule="auto"/>
        <w:ind w:left="705" w:hanging="705"/>
        <w:rPr>
          <w:rFonts w:ascii="Arial" w:hAnsi="Arial" w:cs="Arial"/>
          <w:sz w:val="20"/>
          <w:szCs w:val="20"/>
        </w:rPr>
      </w:pPr>
      <w:r w:rsidRPr="00865D96">
        <w:rPr>
          <w:rFonts w:ascii="Arial" w:hAnsi="Arial" w:cs="Arial"/>
          <w:sz w:val="20"/>
          <w:szCs w:val="20"/>
        </w:rPr>
        <w:t>4</w:t>
      </w:r>
      <w:r w:rsidR="003C66FF">
        <w:rPr>
          <w:rFonts w:ascii="Arial" w:hAnsi="Arial" w:cs="Arial"/>
          <w:sz w:val="20"/>
          <w:szCs w:val="20"/>
        </w:rPr>
        <w:t>3</w:t>
      </w:r>
      <w:r w:rsidRPr="00865D96">
        <w:rPr>
          <w:rFonts w:ascii="Arial" w:hAnsi="Arial" w:cs="Arial"/>
          <w:sz w:val="20"/>
          <w:szCs w:val="20"/>
        </w:rPr>
        <w:t>.</w:t>
      </w:r>
      <w:r w:rsidRPr="00865D96">
        <w:rPr>
          <w:rFonts w:ascii="Arial" w:hAnsi="Arial" w:cs="Arial"/>
          <w:sz w:val="20"/>
          <w:szCs w:val="20"/>
        </w:rPr>
        <w:tab/>
        <w:t>Barberá R, Farré R, Mesado D. Oral intake of cadmium, cobalt, copper, iron, lead, nickel, manganese and zinc in the University student’s diet. Food / Nahrung 1993;37(3):241–245.</w:t>
      </w:r>
    </w:p>
    <w:p w14:paraId="5A474871" w14:textId="486552FD" w:rsidR="003D1D42" w:rsidRPr="00865D96" w:rsidRDefault="00C752F5" w:rsidP="00C752F5">
      <w:pPr>
        <w:pStyle w:val="Bibliography"/>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https://doi.org/10.1002/food.19930370308.</w:t>
      </w:r>
    </w:p>
    <w:p w14:paraId="7BB2F5D5" w14:textId="77777777" w:rsidR="003D1D42" w:rsidRPr="00865D96" w:rsidRDefault="003D1D42" w:rsidP="00C752F5">
      <w:pPr>
        <w:spacing w:line="276" w:lineRule="auto"/>
        <w:ind w:left="705"/>
        <w:rPr>
          <w:rFonts w:ascii="Arial" w:hAnsi="Arial" w:cs="Arial"/>
          <w:b/>
          <w:bCs/>
          <w:sz w:val="20"/>
          <w:szCs w:val="20"/>
          <w:lang w:val="en-US"/>
        </w:rPr>
      </w:pPr>
      <w:r w:rsidRPr="00865D96">
        <w:rPr>
          <w:rFonts w:ascii="Arial" w:hAnsi="Arial" w:cs="Arial"/>
          <w:b/>
          <w:bCs/>
          <w:sz w:val="20"/>
          <w:szCs w:val="20"/>
          <w:lang w:val="en-US"/>
        </w:rPr>
        <w:fldChar w:fldCharType="end"/>
      </w:r>
    </w:p>
    <w:p w14:paraId="1B8DE3F8" w14:textId="77777777" w:rsidR="003D1D42" w:rsidRPr="00865D96" w:rsidRDefault="003D1D42" w:rsidP="00C752F5">
      <w:pPr>
        <w:spacing w:line="276" w:lineRule="auto"/>
        <w:rPr>
          <w:rFonts w:ascii="Arial" w:hAnsi="Arial" w:cs="Arial"/>
          <w:sz w:val="20"/>
          <w:szCs w:val="20"/>
        </w:rPr>
      </w:pPr>
    </w:p>
    <w:p w14:paraId="2955A473" w14:textId="5CD14CFA" w:rsidR="002B2218" w:rsidRPr="00865D96" w:rsidRDefault="002B2218" w:rsidP="00C752F5">
      <w:pPr>
        <w:spacing w:line="276" w:lineRule="auto"/>
        <w:rPr>
          <w:rFonts w:ascii="Arial" w:hAnsi="Arial" w:cs="Arial"/>
          <w:b/>
          <w:bCs/>
          <w:sz w:val="20"/>
          <w:szCs w:val="20"/>
          <w:lang w:val="en-US"/>
        </w:rPr>
      </w:pPr>
    </w:p>
    <w:sectPr w:rsidR="002B2218" w:rsidRPr="00865D96" w:rsidSect="00216F21">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ALHA" w:date="2025-04-29T09:08:00Z" w:initials="S">
    <w:p w14:paraId="6F8660E5" w14:textId="1FAE3964" w:rsidR="009A56D7" w:rsidRDefault="009A56D7">
      <w:pPr>
        <w:pStyle w:val="CommentText"/>
      </w:pPr>
      <w:r>
        <w:rPr>
          <w:rStyle w:val="CommentReference"/>
        </w:rPr>
        <w:annotationRef/>
      </w:r>
      <w:r>
        <w:t xml:space="preserve">Put four words </w:t>
      </w:r>
    </w:p>
  </w:comment>
  <w:comment w:id="2" w:author="SALHA" w:date="2025-04-29T10:14:00Z" w:initials="S">
    <w:p w14:paraId="2A90B3E5" w14:textId="46FA5E3A" w:rsidR="00A136C4" w:rsidRDefault="00A136C4">
      <w:pPr>
        <w:pStyle w:val="CommentText"/>
      </w:pPr>
      <w:r>
        <w:rPr>
          <w:rStyle w:val="CommentReference"/>
        </w:rPr>
        <w:annotationRef/>
      </w:r>
      <w:proofErr w:type="gramStart"/>
      <w:r>
        <w:t>good</w:t>
      </w:r>
      <w:proofErr w:type="gramEnd"/>
    </w:p>
  </w:comment>
  <w:comment w:id="3" w:author="SALHA" w:date="2025-04-29T10:56:00Z" w:initials="S">
    <w:p w14:paraId="379B51F9" w14:textId="519ED8DC" w:rsidR="00DA08E0" w:rsidRDefault="00DA08E0">
      <w:pPr>
        <w:pStyle w:val="CommentText"/>
      </w:pPr>
      <w:r>
        <w:rPr>
          <w:rStyle w:val="CommentReference"/>
        </w:rPr>
        <w:annotationRef/>
      </w:r>
      <w:proofErr w:type="gramStart"/>
      <w:r>
        <w:t>reference</w:t>
      </w:r>
      <w:proofErr w:type="gramEnd"/>
      <w:r>
        <w:t>?</w:t>
      </w:r>
    </w:p>
  </w:comment>
  <w:comment w:id="6" w:author="SALHA" w:date="2025-04-29T14:24:00Z" w:initials="S">
    <w:p w14:paraId="0372A0A1" w14:textId="12C29B4B" w:rsidR="00454B4B" w:rsidRDefault="00454B4B">
      <w:pPr>
        <w:pStyle w:val="CommentText"/>
      </w:pPr>
      <w:r>
        <w:rPr>
          <w:rStyle w:val="CommentReference"/>
        </w:rPr>
        <w:annotationRef/>
      </w:r>
      <w:r>
        <w:t xml:space="preserve">Nice work, </w:t>
      </w:r>
      <w:proofErr w:type="spellStart"/>
      <w:r>
        <w:t>atleast</w:t>
      </w:r>
      <w:proofErr w:type="spellEnd"/>
      <w:r>
        <w:t xml:space="preserve"> put it into meaningful paragraphs that are seen do not compile it all in one place</w:t>
      </w:r>
      <w:bookmarkStart w:id="7" w:name="_GoBack"/>
      <w:bookmarkEnd w:id="7"/>
    </w:p>
  </w:comment>
  <w:comment w:id="8" w:author="SALHA" w:date="2025-04-29T14:23:00Z" w:initials="S">
    <w:p w14:paraId="53CD25E8" w14:textId="1DB9FEDA" w:rsidR="007076F5" w:rsidRDefault="007076F5">
      <w:pPr>
        <w:pStyle w:val="CommentText"/>
      </w:pPr>
      <w:r>
        <w:rPr>
          <w:rStyle w:val="CommentReference"/>
        </w:rPr>
        <w:annotationRef/>
      </w:r>
      <w:r>
        <w:t xml:space="preserve">Does this mean </w:t>
      </w:r>
      <w:proofErr w:type="gramStart"/>
      <w:r>
        <w:t xml:space="preserve">that </w:t>
      </w:r>
      <w:r w:rsidR="00454B4B">
        <w:t xml:space="preserve"> this</w:t>
      </w:r>
      <w:proofErr w:type="gramEnd"/>
      <w:r w:rsidR="00454B4B">
        <w:t xml:space="preserve"> study has not found any significant  effect of the minerals?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FCD5A" w14:textId="77777777" w:rsidR="002C7DE9" w:rsidRDefault="002C7DE9" w:rsidP="004D2E4F">
      <w:pPr>
        <w:spacing w:line="240" w:lineRule="auto"/>
      </w:pPr>
      <w:r>
        <w:separator/>
      </w:r>
    </w:p>
  </w:endnote>
  <w:endnote w:type="continuationSeparator" w:id="0">
    <w:p w14:paraId="1EB808D3" w14:textId="77777777" w:rsidR="002C7DE9" w:rsidRDefault="002C7DE9" w:rsidP="004D2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5951F" w14:textId="77777777" w:rsidR="00DD08BD" w:rsidRDefault="00DD0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1DC5" w14:textId="77777777" w:rsidR="00DD08BD" w:rsidRDefault="00DD08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EBAD" w14:textId="77777777" w:rsidR="00DD08BD" w:rsidRDefault="00DD0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6F63E" w14:textId="77777777" w:rsidR="002C7DE9" w:rsidRDefault="002C7DE9" w:rsidP="004D2E4F">
      <w:pPr>
        <w:spacing w:line="240" w:lineRule="auto"/>
      </w:pPr>
      <w:r>
        <w:separator/>
      </w:r>
    </w:p>
  </w:footnote>
  <w:footnote w:type="continuationSeparator" w:id="0">
    <w:p w14:paraId="3830112F" w14:textId="77777777" w:rsidR="002C7DE9" w:rsidRDefault="002C7DE9" w:rsidP="004D2E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B10D2" w14:textId="6A639C59" w:rsidR="00DD08BD" w:rsidRDefault="002C7DE9">
    <w:pPr>
      <w:pStyle w:val="Header"/>
    </w:pPr>
    <w:r>
      <w:rPr>
        <w:noProof/>
      </w:rPr>
      <w:pict w14:anchorId="1DC00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13110"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C37A" w14:textId="060B0FEF" w:rsidR="00DD08BD" w:rsidRDefault="002C7DE9">
    <w:pPr>
      <w:pStyle w:val="Header"/>
    </w:pPr>
    <w:r>
      <w:rPr>
        <w:noProof/>
      </w:rPr>
      <w:pict w14:anchorId="0791F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13111"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FC003" w14:textId="1CB19569" w:rsidR="00DD08BD" w:rsidRDefault="002C7DE9">
    <w:pPr>
      <w:pStyle w:val="Header"/>
    </w:pPr>
    <w:r>
      <w:rPr>
        <w:noProof/>
      </w:rPr>
      <w:pict w14:anchorId="1068B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13109"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CA8"/>
    <w:multiLevelType w:val="multilevel"/>
    <w:tmpl w:val="9A9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76B88"/>
    <w:multiLevelType w:val="hybridMultilevel"/>
    <w:tmpl w:val="150819E2"/>
    <w:lvl w:ilvl="0" w:tplc="36C20914">
      <w:start w:val="1"/>
      <w:numFmt w:val="decimal"/>
      <w:pStyle w:val="Heading2"/>
      <w:lvlText w:val="2.%1"/>
      <w:lvlJc w:val="left"/>
      <w:pPr>
        <w:ind w:left="646" w:hanging="36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
    <w:nsid w:val="2A5A08AA"/>
    <w:multiLevelType w:val="multilevel"/>
    <w:tmpl w:val="1348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C0B54"/>
    <w:multiLevelType w:val="hybridMultilevel"/>
    <w:tmpl w:val="5A90C2AC"/>
    <w:lvl w:ilvl="0" w:tplc="E16698EA">
      <w:start w:val="1"/>
      <w:numFmt w:val="decimal"/>
      <w:pStyle w:val="Heading1"/>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3D617097"/>
    <w:multiLevelType w:val="hybridMultilevel"/>
    <w:tmpl w:val="5890E0DA"/>
    <w:lvl w:ilvl="0" w:tplc="3AC0693C">
      <w:start w:val="1"/>
      <w:numFmt w:val="decimal"/>
      <w:pStyle w:val="Heading3"/>
      <w:lvlText w:val="3.%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nsid w:val="57006FE0"/>
    <w:multiLevelType w:val="multilevel"/>
    <w:tmpl w:val="4566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E2"/>
    <w:rsid w:val="000037AF"/>
    <w:rsid w:val="00006522"/>
    <w:rsid w:val="00006C86"/>
    <w:rsid w:val="0001058B"/>
    <w:rsid w:val="00012B26"/>
    <w:rsid w:val="00026C87"/>
    <w:rsid w:val="0003126E"/>
    <w:rsid w:val="00035F27"/>
    <w:rsid w:val="000444AA"/>
    <w:rsid w:val="0004477E"/>
    <w:rsid w:val="0004770E"/>
    <w:rsid w:val="00047E68"/>
    <w:rsid w:val="0005271F"/>
    <w:rsid w:val="00053FCA"/>
    <w:rsid w:val="000556FD"/>
    <w:rsid w:val="000562D6"/>
    <w:rsid w:val="00056BA1"/>
    <w:rsid w:val="00071AB9"/>
    <w:rsid w:val="00073FFA"/>
    <w:rsid w:val="00081545"/>
    <w:rsid w:val="000831C0"/>
    <w:rsid w:val="00092B5E"/>
    <w:rsid w:val="000942BF"/>
    <w:rsid w:val="000A7929"/>
    <w:rsid w:val="000B7B69"/>
    <w:rsid w:val="000C2DE5"/>
    <w:rsid w:val="000D1EE9"/>
    <w:rsid w:val="000D3D01"/>
    <w:rsid w:val="000E090A"/>
    <w:rsid w:val="000E0C00"/>
    <w:rsid w:val="000E77E5"/>
    <w:rsid w:val="000F2279"/>
    <w:rsid w:val="000F25DE"/>
    <w:rsid w:val="000F5687"/>
    <w:rsid w:val="000F5981"/>
    <w:rsid w:val="000F6C50"/>
    <w:rsid w:val="00100BD7"/>
    <w:rsid w:val="0010388A"/>
    <w:rsid w:val="0011048B"/>
    <w:rsid w:val="001108FE"/>
    <w:rsid w:val="00115DEB"/>
    <w:rsid w:val="00117FCD"/>
    <w:rsid w:val="00123C2D"/>
    <w:rsid w:val="00124ACF"/>
    <w:rsid w:val="0012653E"/>
    <w:rsid w:val="00127450"/>
    <w:rsid w:val="001322FB"/>
    <w:rsid w:val="00144C16"/>
    <w:rsid w:val="00144CBC"/>
    <w:rsid w:val="001503C7"/>
    <w:rsid w:val="001570AD"/>
    <w:rsid w:val="00160DD2"/>
    <w:rsid w:val="00164362"/>
    <w:rsid w:val="00171A2A"/>
    <w:rsid w:val="001735A6"/>
    <w:rsid w:val="00174096"/>
    <w:rsid w:val="001754FC"/>
    <w:rsid w:val="00176339"/>
    <w:rsid w:val="00176C1D"/>
    <w:rsid w:val="0017738D"/>
    <w:rsid w:val="0017755B"/>
    <w:rsid w:val="00180294"/>
    <w:rsid w:val="001835D5"/>
    <w:rsid w:val="00184096"/>
    <w:rsid w:val="0018532A"/>
    <w:rsid w:val="00193E03"/>
    <w:rsid w:val="00194B8E"/>
    <w:rsid w:val="001967FE"/>
    <w:rsid w:val="001A0F29"/>
    <w:rsid w:val="001A626E"/>
    <w:rsid w:val="001B6823"/>
    <w:rsid w:val="001C0281"/>
    <w:rsid w:val="001C1640"/>
    <w:rsid w:val="001C2501"/>
    <w:rsid w:val="001C3EFD"/>
    <w:rsid w:val="001C52A5"/>
    <w:rsid w:val="001D1013"/>
    <w:rsid w:val="001D49C8"/>
    <w:rsid w:val="001E36D0"/>
    <w:rsid w:val="001E53DD"/>
    <w:rsid w:val="001E55ED"/>
    <w:rsid w:val="001E56E7"/>
    <w:rsid w:val="001E7366"/>
    <w:rsid w:val="001F1A49"/>
    <w:rsid w:val="001F37A4"/>
    <w:rsid w:val="001F45C5"/>
    <w:rsid w:val="001F5990"/>
    <w:rsid w:val="00202392"/>
    <w:rsid w:val="002032B5"/>
    <w:rsid w:val="002061FA"/>
    <w:rsid w:val="00213D0C"/>
    <w:rsid w:val="00214477"/>
    <w:rsid w:val="002167CF"/>
    <w:rsid w:val="00216F21"/>
    <w:rsid w:val="00221CB7"/>
    <w:rsid w:val="00224541"/>
    <w:rsid w:val="00227301"/>
    <w:rsid w:val="0023050B"/>
    <w:rsid w:val="00240CCD"/>
    <w:rsid w:val="00240D75"/>
    <w:rsid w:val="00252422"/>
    <w:rsid w:val="00254283"/>
    <w:rsid w:val="002608D9"/>
    <w:rsid w:val="00261094"/>
    <w:rsid w:val="00267980"/>
    <w:rsid w:val="00271A94"/>
    <w:rsid w:val="00275A58"/>
    <w:rsid w:val="00276CBF"/>
    <w:rsid w:val="0027781A"/>
    <w:rsid w:val="00277B0D"/>
    <w:rsid w:val="00280DEB"/>
    <w:rsid w:val="00283CDE"/>
    <w:rsid w:val="00285878"/>
    <w:rsid w:val="002866DC"/>
    <w:rsid w:val="00290D10"/>
    <w:rsid w:val="002A2861"/>
    <w:rsid w:val="002A64C8"/>
    <w:rsid w:val="002B2218"/>
    <w:rsid w:val="002C7DE9"/>
    <w:rsid w:val="002C7E04"/>
    <w:rsid w:val="002D220B"/>
    <w:rsid w:val="002D4860"/>
    <w:rsid w:val="002E1822"/>
    <w:rsid w:val="002E49E8"/>
    <w:rsid w:val="002F11B4"/>
    <w:rsid w:val="002F57E1"/>
    <w:rsid w:val="002F7A23"/>
    <w:rsid w:val="0030467B"/>
    <w:rsid w:val="003067A2"/>
    <w:rsid w:val="00307B7E"/>
    <w:rsid w:val="0031171E"/>
    <w:rsid w:val="00311AB5"/>
    <w:rsid w:val="00313E59"/>
    <w:rsid w:val="0031478C"/>
    <w:rsid w:val="003247CB"/>
    <w:rsid w:val="00326F6E"/>
    <w:rsid w:val="003307F8"/>
    <w:rsid w:val="003335A2"/>
    <w:rsid w:val="0033429A"/>
    <w:rsid w:val="00337A14"/>
    <w:rsid w:val="00346FE3"/>
    <w:rsid w:val="00354D47"/>
    <w:rsid w:val="00356A17"/>
    <w:rsid w:val="00360369"/>
    <w:rsid w:val="00361F72"/>
    <w:rsid w:val="003645E0"/>
    <w:rsid w:val="00364636"/>
    <w:rsid w:val="00364D34"/>
    <w:rsid w:val="00366C15"/>
    <w:rsid w:val="0036713F"/>
    <w:rsid w:val="00374C8D"/>
    <w:rsid w:val="00383259"/>
    <w:rsid w:val="003913A2"/>
    <w:rsid w:val="00393E6E"/>
    <w:rsid w:val="00393F5E"/>
    <w:rsid w:val="00395D52"/>
    <w:rsid w:val="00396BEC"/>
    <w:rsid w:val="00397959"/>
    <w:rsid w:val="003A587B"/>
    <w:rsid w:val="003A58EC"/>
    <w:rsid w:val="003A5965"/>
    <w:rsid w:val="003A6FF4"/>
    <w:rsid w:val="003A7429"/>
    <w:rsid w:val="003B1698"/>
    <w:rsid w:val="003B1F52"/>
    <w:rsid w:val="003B757F"/>
    <w:rsid w:val="003C6041"/>
    <w:rsid w:val="003C66FF"/>
    <w:rsid w:val="003C681C"/>
    <w:rsid w:val="003D03F5"/>
    <w:rsid w:val="003D1C7E"/>
    <w:rsid w:val="003D1D42"/>
    <w:rsid w:val="003D4934"/>
    <w:rsid w:val="003F2F9B"/>
    <w:rsid w:val="003F4191"/>
    <w:rsid w:val="003F76A3"/>
    <w:rsid w:val="00401FF1"/>
    <w:rsid w:val="004032F2"/>
    <w:rsid w:val="0040470D"/>
    <w:rsid w:val="00411F95"/>
    <w:rsid w:val="004146B5"/>
    <w:rsid w:val="0041714B"/>
    <w:rsid w:val="0042014A"/>
    <w:rsid w:val="00420910"/>
    <w:rsid w:val="0042313F"/>
    <w:rsid w:val="0042370B"/>
    <w:rsid w:val="00426748"/>
    <w:rsid w:val="00433742"/>
    <w:rsid w:val="004355A9"/>
    <w:rsid w:val="00436ABC"/>
    <w:rsid w:val="004378E2"/>
    <w:rsid w:val="00437A37"/>
    <w:rsid w:val="0044080C"/>
    <w:rsid w:val="00442EC6"/>
    <w:rsid w:val="00443C85"/>
    <w:rsid w:val="00444150"/>
    <w:rsid w:val="00446BF0"/>
    <w:rsid w:val="00451664"/>
    <w:rsid w:val="00452335"/>
    <w:rsid w:val="004548C4"/>
    <w:rsid w:val="00454B4B"/>
    <w:rsid w:val="00455E7B"/>
    <w:rsid w:val="00456AEB"/>
    <w:rsid w:val="004607C3"/>
    <w:rsid w:val="004622C7"/>
    <w:rsid w:val="00462782"/>
    <w:rsid w:val="004729EB"/>
    <w:rsid w:val="004776AC"/>
    <w:rsid w:val="00480C52"/>
    <w:rsid w:val="00490924"/>
    <w:rsid w:val="00495C9F"/>
    <w:rsid w:val="004A08A5"/>
    <w:rsid w:val="004B0DBB"/>
    <w:rsid w:val="004B3198"/>
    <w:rsid w:val="004B5C82"/>
    <w:rsid w:val="004B727B"/>
    <w:rsid w:val="004B76D9"/>
    <w:rsid w:val="004D268F"/>
    <w:rsid w:val="004D2E4F"/>
    <w:rsid w:val="004D31E8"/>
    <w:rsid w:val="004D4FBF"/>
    <w:rsid w:val="004D7D4A"/>
    <w:rsid w:val="004E01D0"/>
    <w:rsid w:val="004E1D69"/>
    <w:rsid w:val="004E3D91"/>
    <w:rsid w:val="004E4EE9"/>
    <w:rsid w:val="004F24EB"/>
    <w:rsid w:val="004F390F"/>
    <w:rsid w:val="004F5081"/>
    <w:rsid w:val="00500DC1"/>
    <w:rsid w:val="00504394"/>
    <w:rsid w:val="00504A06"/>
    <w:rsid w:val="00505456"/>
    <w:rsid w:val="0050689E"/>
    <w:rsid w:val="00512B87"/>
    <w:rsid w:val="005167AB"/>
    <w:rsid w:val="00522951"/>
    <w:rsid w:val="00523589"/>
    <w:rsid w:val="005312C7"/>
    <w:rsid w:val="00532A83"/>
    <w:rsid w:val="00534960"/>
    <w:rsid w:val="0053520D"/>
    <w:rsid w:val="00535597"/>
    <w:rsid w:val="00535DE0"/>
    <w:rsid w:val="00536151"/>
    <w:rsid w:val="00536980"/>
    <w:rsid w:val="00536C4B"/>
    <w:rsid w:val="00542276"/>
    <w:rsid w:val="00542B33"/>
    <w:rsid w:val="00542C7B"/>
    <w:rsid w:val="0055013E"/>
    <w:rsid w:val="00550A53"/>
    <w:rsid w:val="0055217B"/>
    <w:rsid w:val="00553CB6"/>
    <w:rsid w:val="00554471"/>
    <w:rsid w:val="00554491"/>
    <w:rsid w:val="00556CCD"/>
    <w:rsid w:val="005602E0"/>
    <w:rsid w:val="005666D0"/>
    <w:rsid w:val="00572358"/>
    <w:rsid w:val="005741C9"/>
    <w:rsid w:val="00574D8A"/>
    <w:rsid w:val="005769B7"/>
    <w:rsid w:val="00577B08"/>
    <w:rsid w:val="00580EB3"/>
    <w:rsid w:val="00582018"/>
    <w:rsid w:val="0058233C"/>
    <w:rsid w:val="005830BC"/>
    <w:rsid w:val="0058668F"/>
    <w:rsid w:val="0059142E"/>
    <w:rsid w:val="005A3F2A"/>
    <w:rsid w:val="005A40C3"/>
    <w:rsid w:val="005A4170"/>
    <w:rsid w:val="005A4BF2"/>
    <w:rsid w:val="005A55C3"/>
    <w:rsid w:val="005A622D"/>
    <w:rsid w:val="005B4EE9"/>
    <w:rsid w:val="005B5153"/>
    <w:rsid w:val="005B630F"/>
    <w:rsid w:val="005C7BE4"/>
    <w:rsid w:val="005D0430"/>
    <w:rsid w:val="005D23E6"/>
    <w:rsid w:val="005D3A89"/>
    <w:rsid w:val="005D3DAA"/>
    <w:rsid w:val="005D4753"/>
    <w:rsid w:val="005D4DB5"/>
    <w:rsid w:val="005D4F6C"/>
    <w:rsid w:val="005D7CD6"/>
    <w:rsid w:val="005E0F63"/>
    <w:rsid w:val="005E56F5"/>
    <w:rsid w:val="005E7360"/>
    <w:rsid w:val="005E7DB2"/>
    <w:rsid w:val="0060071A"/>
    <w:rsid w:val="00603F48"/>
    <w:rsid w:val="0060634C"/>
    <w:rsid w:val="006128B4"/>
    <w:rsid w:val="00612FE3"/>
    <w:rsid w:val="006139D4"/>
    <w:rsid w:val="00614712"/>
    <w:rsid w:val="006148CF"/>
    <w:rsid w:val="006201F3"/>
    <w:rsid w:val="00620476"/>
    <w:rsid w:val="006224BD"/>
    <w:rsid w:val="00622AEE"/>
    <w:rsid w:val="00626F95"/>
    <w:rsid w:val="006302D2"/>
    <w:rsid w:val="00633D3A"/>
    <w:rsid w:val="00635724"/>
    <w:rsid w:val="006401D0"/>
    <w:rsid w:val="00642050"/>
    <w:rsid w:val="006437CA"/>
    <w:rsid w:val="006473E5"/>
    <w:rsid w:val="00654795"/>
    <w:rsid w:val="006578C2"/>
    <w:rsid w:val="00660971"/>
    <w:rsid w:val="00662A88"/>
    <w:rsid w:val="00663BAD"/>
    <w:rsid w:val="00663EE5"/>
    <w:rsid w:val="00664028"/>
    <w:rsid w:val="00667A29"/>
    <w:rsid w:val="00671395"/>
    <w:rsid w:val="00671DB2"/>
    <w:rsid w:val="00673719"/>
    <w:rsid w:val="00673B18"/>
    <w:rsid w:val="00677519"/>
    <w:rsid w:val="0068082D"/>
    <w:rsid w:val="006853F1"/>
    <w:rsid w:val="00686754"/>
    <w:rsid w:val="006908B1"/>
    <w:rsid w:val="006909EA"/>
    <w:rsid w:val="00693D4F"/>
    <w:rsid w:val="0069442A"/>
    <w:rsid w:val="00694C72"/>
    <w:rsid w:val="006950C8"/>
    <w:rsid w:val="00696755"/>
    <w:rsid w:val="0069735B"/>
    <w:rsid w:val="006B5D69"/>
    <w:rsid w:val="006C25F4"/>
    <w:rsid w:val="006C3303"/>
    <w:rsid w:val="006D01E2"/>
    <w:rsid w:val="006D0E77"/>
    <w:rsid w:val="006D1299"/>
    <w:rsid w:val="006D32B4"/>
    <w:rsid w:val="006E03BB"/>
    <w:rsid w:val="006E0C8B"/>
    <w:rsid w:val="006E38F2"/>
    <w:rsid w:val="006F02C8"/>
    <w:rsid w:val="006F24A8"/>
    <w:rsid w:val="006F2D5C"/>
    <w:rsid w:val="006F7854"/>
    <w:rsid w:val="00701870"/>
    <w:rsid w:val="007076F5"/>
    <w:rsid w:val="007105EF"/>
    <w:rsid w:val="007109B7"/>
    <w:rsid w:val="007112BC"/>
    <w:rsid w:val="00721C21"/>
    <w:rsid w:val="00722288"/>
    <w:rsid w:val="00733C3B"/>
    <w:rsid w:val="00733C69"/>
    <w:rsid w:val="00754BDF"/>
    <w:rsid w:val="00766C59"/>
    <w:rsid w:val="00771195"/>
    <w:rsid w:val="00771ED6"/>
    <w:rsid w:val="00781FF9"/>
    <w:rsid w:val="00783E5F"/>
    <w:rsid w:val="00785030"/>
    <w:rsid w:val="00787577"/>
    <w:rsid w:val="0079277A"/>
    <w:rsid w:val="007A0F1B"/>
    <w:rsid w:val="007A32D7"/>
    <w:rsid w:val="007A33FC"/>
    <w:rsid w:val="007A3652"/>
    <w:rsid w:val="007A5F25"/>
    <w:rsid w:val="007B336D"/>
    <w:rsid w:val="007B69E7"/>
    <w:rsid w:val="007C4856"/>
    <w:rsid w:val="007C5190"/>
    <w:rsid w:val="007C6DF1"/>
    <w:rsid w:val="007D4695"/>
    <w:rsid w:val="007D7BA5"/>
    <w:rsid w:val="007E0277"/>
    <w:rsid w:val="007E2063"/>
    <w:rsid w:val="007E26C0"/>
    <w:rsid w:val="007E31D9"/>
    <w:rsid w:val="007F0C13"/>
    <w:rsid w:val="007F0C26"/>
    <w:rsid w:val="007F4227"/>
    <w:rsid w:val="007F5B0B"/>
    <w:rsid w:val="00801124"/>
    <w:rsid w:val="00805D33"/>
    <w:rsid w:val="00807CEF"/>
    <w:rsid w:val="00825024"/>
    <w:rsid w:val="00826D9A"/>
    <w:rsid w:val="008276C7"/>
    <w:rsid w:val="00831A3C"/>
    <w:rsid w:val="00833254"/>
    <w:rsid w:val="008343AC"/>
    <w:rsid w:val="00840442"/>
    <w:rsid w:val="008414EC"/>
    <w:rsid w:val="00852B6F"/>
    <w:rsid w:val="00853A5E"/>
    <w:rsid w:val="00853FF2"/>
    <w:rsid w:val="008564A6"/>
    <w:rsid w:val="00860876"/>
    <w:rsid w:val="0086134F"/>
    <w:rsid w:val="008639A4"/>
    <w:rsid w:val="00864728"/>
    <w:rsid w:val="00865D96"/>
    <w:rsid w:val="00876C32"/>
    <w:rsid w:val="008843BA"/>
    <w:rsid w:val="008910C9"/>
    <w:rsid w:val="00891B55"/>
    <w:rsid w:val="008924B7"/>
    <w:rsid w:val="00893264"/>
    <w:rsid w:val="00897456"/>
    <w:rsid w:val="008A1E02"/>
    <w:rsid w:val="008A2850"/>
    <w:rsid w:val="008A6E81"/>
    <w:rsid w:val="008B0F78"/>
    <w:rsid w:val="008B392A"/>
    <w:rsid w:val="008C0C7D"/>
    <w:rsid w:val="008C687F"/>
    <w:rsid w:val="008D7F9F"/>
    <w:rsid w:val="008F0F29"/>
    <w:rsid w:val="00915454"/>
    <w:rsid w:val="00916D1A"/>
    <w:rsid w:val="00917567"/>
    <w:rsid w:val="00920782"/>
    <w:rsid w:val="00922A8E"/>
    <w:rsid w:val="009258A2"/>
    <w:rsid w:val="00925EA9"/>
    <w:rsid w:val="00926DA3"/>
    <w:rsid w:val="00931305"/>
    <w:rsid w:val="009333AC"/>
    <w:rsid w:val="00935648"/>
    <w:rsid w:val="00935853"/>
    <w:rsid w:val="00940FE2"/>
    <w:rsid w:val="00944692"/>
    <w:rsid w:val="00944BC6"/>
    <w:rsid w:val="009464F5"/>
    <w:rsid w:val="009472A1"/>
    <w:rsid w:val="0096183A"/>
    <w:rsid w:val="00962348"/>
    <w:rsid w:val="0096505B"/>
    <w:rsid w:val="00971B05"/>
    <w:rsid w:val="00985761"/>
    <w:rsid w:val="0099226F"/>
    <w:rsid w:val="0099251C"/>
    <w:rsid w:val="00996E66"/>
    <w:rsid w:val="009A182E"/>
    <w:rsid w:val="009A1FBD"/>
    <w:rsid w:val="009A36C1"/>
    <w:rsid w:val="009A44DB"/>
    <w:rsid w:val="009A56D7"/>
    <w:rsid w:val="009C02BD"/>
    <w:rsid w:val="009C4DA8"/>
    <w:rsid w:val="009C62C8"/>
    <w:rsid w:val="009E31C0"/>
    <w:rsid w:val="009E6015"/>
    <w:rsid w:val="009E7A4E"/>
    <w:rsid w:val="009F2C13"/>
    <w:rsid w:val="00A0009F"/>
    <w:rsid w:val="00A03990"/>
    <w:rsid w:val="00A05787"/>
    <w:rsid w:val="00A06CE4"/>
    <w:rsid w:val="00A113A2"/>
    <w:rsid w:val="00A11FD2"/>
    <w:rsid w:val="00A12E3F"/>
    <w:rsid w:val="00A136C4"/>
    <w:rsid w:val="00A15BC9"/>
    <w:rsid w:val="00A20B38"/>
    <w:rsid w:val="00A24E86"/>
    <w:rsid w:val="00A3387F"/>
    <w:rsid w:val="00A33EC6"/>
    <w:rsid w:val="00A44607"/>
    <w:rsid w:val="00A46346"/>
    <w:rsid w:val="00A53CD3"/>
    <w:rsid w:val="00A61B02"/>
    <w:rsid w:val="00A63361"/>
    <w:rsid w:val="00A714FD"/>
    <w:rsid w:val="00A73BD1"/>
    <w:rsid w:val="00A741DB"/>
    <w:rsid w:val="00A746BA"/>
    <w:rsid w:val="00A81A30"/>
    <w:rsid w:val="00A8734A"/>
    <w:rsid w:val="00A9598E"/>
    <w:rsid w:val="00A9624D"/>
    <w:rsid w:val="00AA1B70"/>
    <w:rsid w:val="00AA57C7"/>
    <w:rsid w:val="00AB4540"/>
    <w:rsid w:val="00AB4F43"/>
    <w:rsid w:val="00AB76C3"/>
    <w:rsid w:val="00AD5131"/>
    <w:rsid w:val="00AE20E7"/>
    <w:rsid w:val="00AE234A"/>
    <w:rsid w:val="00AE26D8"/>
    <w:rsid w:val="00AE39DD"/>
    <w:rsid w:val="00AE73E2"/>
    <w:rsid w:val="00AE78E2"/>
    <w:rsid w:val="00AF01BE"/>
    <w:rsid w:val="00AF28A1"/>
    <w:rsid w:val="00AF7797"/>
    <w:rsid w:val="00B0253A"/>
    <w:rsid w:val="00B02C04"/>
    <w:rsid w:val="00B04B62"/>
    <w:rsid w:val="00B06D10"/>
    <w:rsid w:val="00B07CC5"/>
    <w:rsid w:val="00B11B42"/>
    <w:rsid w:val="00B13EAA"/>
    <w:rsid w:val="00B20914"/>
    <w:rsid w:val="00B20BD5"/>
    <w:rsid w:val="00B24E92"/>
    <w:rsid w:val="00B339D4"/>
    <w:rsid w:val="00B35C7F"/>
    <w:rsid w:val="00B35E40"/>
    <w:rsid w:val="00B45AF5"/>
    <w:rsid w:val="00B54D48"/>
    <w:rsid w:val="00B6445E"/>
    <w:rsid w:val="00B73A9A"/>
    <w:rsid w:val="00B7445B"/>
    <w:rsid w:val="00B75044"/>
    <w:rsid w:val="00B7617E"/>
    <w:rsid w:val="00B80011"/>
    <w:rsid w:val="00B8330B"/>
    <w:rsid w:val="00B857B6"/>
    <w:rsid w:val="00B85FCC"/>
    <w:rsid w:val="00B92FA3"/>
    <w:rsid w:val="00B93B2F"/>
    <w:rsid w:val="00B972C4"/>
    <w:rsid w:val="00B97C3E"/>
    <w:rsid w:val="00BB1257"/>
    <w:rsid w:val="00BB7FCE"/>
    <w:rsid w:val="00BC24D7"/>
    <w:rsid w:val="00BC32FD"/>
    <w:rsid w:val="00BC3DD6"/>
    <w:rsid w:val="00BC70CC"/>
    <w:rsid w:val="00BC7B56"/>
    <w:rsid w:val="00BD7218"/>
    <w:rsid w:val="00BD7E15"/>
    <w:rsid w:val="00BD7E73"/>
    <w:rsid w:val="00BF0F05"/>
    <w:rsid w:val="00BF11BD"/>
    <w:rsid w:val="00C02958"/>
    <w:rsid w:val="00C03A65"/>
    <w:rsid w:val="00C042BF"/>
    <w:rsid w:val="00C0712C"/>
    <w:rsid w:val="00C07CCD"/>
    <w:rsid w:val="00C12C64"/>
    <w:rsid w:val="00C1357F"/>
    <w:rsid w:val="00C15C6B"/>
    <w:rsid w:val="00C17476"/>
    <w:rsid w:val="00C20BCF"/>
    <w:rsid w:val="00C20EBA"/>
    <w:rsid w:val="00C21C60"/>
    <w:rsid w:val="00C24411"/>
    <w:rsid w:val="00C24A1D"/>
    <w:rsid w:val="00C32482"/>
    <w:rsid w:val="00C336E2"/>
    <w:rsid w:val="00C34892"/>
    <w:rsid w:val="00C354FE"/>
    <w:rsid w:val="00C369AC"/>
    <w:rsid w:val="00C370EA"/>
    <w:rsid w:val="00C3724E"/>
    <w:rsid w:val="00C40661"/>
    <w:rsid w:val="00C4157F"/>
    <w:rsid w:val="00C42E7B"/>
    <w:rsid w:val="00C60164"/>
    <w:rsid w:val="00C7513B"/>
    <w:rsid w:val="00C752F5"/>
    <w:rsid w:val="00C81489"/>
    <w:rsid w:val="00C814E8"/>
    <w:rsid w:val="00C83B8C"/>
    <w:rsid w:val="00C847CD"/>
    <w:rsid w:val="00C847DF"/>
    <w:rsid w:val="00C853A1"/>
    <w:rsid w:val="00C86A1D"/>
    <w:rsid w:val="00C86D5C"/>
    <w:rsid w:val="00C906DC"/>
    <w:rsid w:val="00C9354E"/>
    <w:rsid w:val="00C94195"/>
    <w:rsid w:val="00C95525"/>
    <w:rsid w:val="00C9580D"/>
    <w:rsid w:val="00C95E9B"/>
    <w:rsid w:val="00C9663F"/>
    <w:rsid w:val="00C97C60"/>
    <w:rsid w:val="00CA1B58"/>
    <w:rsid w:val="00CA2136"/>
    <w:rsid w:val="00CA479F"/>
    <w:rsid w:val="00CB04D7"/>
    <w:rsid w:val="00CB385A"/>
    <w:rsid w:val="00CB55ED"/>
    <w:rsid w:val="00CB7974"/>
    <w:rsid w:val="00CC61B6"/>
    <w:rsid w:val="00CC6ECB"/>
    <w:rsid w:val="00CC71F0"/>
    <w:rsid w:val="00CC7BF5"/>
    <w:rsid w:val="00CD030D"/>
    <w:rsid w:val="00CF0CAE"/>
    <w:rsid w:val="00CF65F5"/>
    <w:rsid w:val="00D04D9D"/>
    <w:rsid w:val="00D07166"/>
    <w:rsid w:val="00D1238B"/>
    <w:rsid w:val="00D17505"/>
    <w:rsid w:val="00D205CF"/>
    <w:rsid w:val="00D2213A"/>
    <w:rsid w:val="00D2295C"/>
    <w:rsid w:val="00D23134"/>
    <w:rsid w:val="00D272DB"/>
    <w:rsid w:val="00D2772B"/>
    <w:rsid w:val="00D31A65"/>
    <w:rsid w:val="00D323D3"/>
    <w:rsid w:val="00D33E28"/>
    <w:rsid w:val="00D40DF2"/>
    <w:rsid w:val="00D464A2"/>
    <w:rsid w:val="00D46DC7"/>
    <w:rsid w:val="00D50963"/>
    <w:rsid w:val="00D50EEB"/>
    <w:rsid w:val="00D63BA7"/>
    <w:rsid w:val="00D6487C"/>
    <w:rsid w:val="00D64CA0"/>
    <w:rsid w:val="00D64DAA"/>
    <w:rsid w:val="00D654B3"/>
    <w:rsid w:val="00D70140"/>
    <w:rsid w:val="00D74CB4"/>
    <w:rsid w:val="00D77782"/>
    <w:rsid w:val="00D862F8"/>
    <w:rsid w:val="00D86416"/>
    <w:rsid w:val="00DA08E0"/>
    <w:rsid w:val="00DA4532"/>
    <w:rsid w:val="00DA6130"/>
    <w:rsid w:val="00DB4B18"/>
    <w:rsid w:val="00DB5727"/>
    <w:rsid w:val="00DB5DE5"/>
    <w:rsid w:val="00DC1CBB"/>
    <w:rsid w:val="00DC26D3"/>
    <w:rsid w:val="00DC4D4B"/>
    <w:rsid w:val="00DC61D6"/>
    <w:rsid w:val="00DD08BD"/>
    <w:rsid w:val="00DD4AA7"/>
    <w:rsid w:val="00DE0158"/>
    <w:rsid w:val="00DE1F64"/>
    <w:rsid w:val="00DE6C99"/>
    <w:rsid w:val="00DF01CF"/>
    <w:rsid w:val="00DF036F"/>
    <w:rsid w:val="00DF0E9A"/>
    <w:rsid w:val="00DF52FD"/>
    <w:rsid w:val="00DF57DB"/>
    <w:rsid w:val="00E02C63"/>
    <w:rsid w:val="00E04BE2"/>
    <w:rsid w:val="00E11C5B"/>
    <w:rsid w:val="00E13B67"/>
    <w:rsid w:val="00E14880"/>
    <w:rsid w:val="00E1583A"/>
    <w:rsid w:val="00E15F48"/>
    <w:rsid w:val="00E178B6"/>
    <w:rsid w:val="00E17F28"/>
    <w:rsid w:val="00E23118"/>
    <w:rsid w:val="00E262D5"/>
    <w:rsid w:val="00E3525A"/>
    <w:rsid w:val="00E405C6"/>
    <w:rsid w:val="00E4169F"/>
    <w:rsid w:val="00E41CE3"/>
    <w:rsid w:val="00E4274D"/>
    <w:rsid w:val="00E42F73"/>
    <w:rsid w:val="00E46104"/>
    <w:rsid w:val="00E5474E"/>
    <w:rsid w:val="00E54934"/>
    <w:rsid w:val="00E57801"/>
    <w:rsid w:val="00E62257"/>
    <w:rsid w:val="00E6529E"/>
    <w:rsid w:val="00E8025D"/>
    <w:rsid w:val="00E804EB"/>
    <w:rsid w:val="00E84790"/>
    <w:rsid w:val="00E852E1"/>
    <w:rsid w:val="00E90B01"/>
    <w:rsid w:val="00EA49DF"/>
    <w:rsid w:val="00EA7C37"/>
    <w:rsid w:val="00EC0999"/>
    <w:rsid w:val="00EC3160"/>
    <w:rsid w:val="00EC68E1"/>
    <w:rsid w:val="00ED04A5"/>
    <w:rsid w:val="00ED1244"/>
    <w:rsid w:val="00ED62D7"/>
    <w:rsid w:val="00ED6EFD"/>
    <w:rsid w:val="00EE4DA3"/>
    <w:rsid w:val="00EF1913"/>
    <w:rsid w:val="00EF2D6F"/>
    <w:rsid w:val="00EF32BF"/>
    <w:rsid w:val="00EF4855"/>
    <w:rsid w:val="00EF4E21"/>
    <w:rsid w:val="00F042C9"/>
    <w:rsid w:val="00F15942"/>
    <w:rsid w:val="00F159CA"/>
    <w:rsid w:val="00F16DD7"/>
    <w:rsid w:val="00F17C6C"/>
    <w:rsid w:val="00F229BF"/>
    <w:rsid w:val="00F26BB4"/>
    <w:rsid w:val="00F2703F"/>
    <w:rsid w:val="00F316AE"/>
    <w:rsid w:val="00F3574A"/>
    <w:rsid w:val="00F3589D"/>
    <w:rsid w:val="00F37481"/>
    <w:rsid w:val="00F40DDF"/>
    <w:rsid w:val="00F4361D"/>
    <w:rsid w:val="00F45496"/>
    <w:rsid w:val="00F5004A"/>
    <w:rsid w:val="00F57C6F"/>
    <w:rsid w:val="00F62C6A"/>
    <w:rsid w:val="00F66361"/>
    <w:rsid w:val="00F6696D"/>
    <w:rsid w:val="00F67200"/>
    <w:rsid w:val="00F673C5"/>
    <w:rsid w:val="00F67E35"/>
    <w:rsid w:val="00F70B01"/>
    <w:rsid w:val="00F70BE6"/>
    <w:rsid w:val="00F72410"/>
    <w:rsid w:val="00F76ED6"/>
    <w:rsid w:val="00F94C64"/>
    <w:rsid w:val="00FA255E"/>
    <w:rsid w:val="00FA6D3E"/>
    <w:rsid w:val="00FA7C53"/>
    <w:rsid w:val="00FB6F2C"/>
    <w:rsid w:val="00FC4A40"/>
    <w:rsid w:val="00FC5649"/>
    <w:rsid w:val="00FC666C"/>
    <w:rsid w:val="00FD04C8"/>
    <w:rsid w:val="00FD11C8"/>
    <w:rsid w:val="00FD28BB"/>
    <w:rsid w:val="00FD63A1"/>
    <w:rsid w:val="00FD65A3"/>
    <w:rsid w:val="00FD6F9F"/>
    <w:rsid w:val="00FD794F"/>
    <w:rsid w:val="00FE1324"/>
    <w:rsid w:val="00FE2530"/>
    <w:rsid w:val="00FE3865"/>
    <w:rsid w:val="00FF37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D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eastAsia="en-US" w:bidi="ar-SA"/>
        <w14:ligatures w14:val="standardContextua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9A"/>
    <w:rPr>
      <w:rFonts w:ascii="Times New Roman" w:hAnsi="Times New Roman"/>
      <w:sz w:val="24"/>
    </w:rPr>
  </w:style>
  <w:style w:type="paragraph" w:styleId="Heading1">
    <w:name w:val="heading 1"/>
    <w:basedOn w:val="Normal"/>
    <w:next w:val="Normal"/>
    <w:link w:val="Heading1Char"/>
    <w:autoRedefine/>
    <w:uiPriority w:val="9"/>
    <w:qFormat/>
    <w:rsid w:val="00A73BD1"/>
    <w:pPr>
      <w:keepNext/>
      <w:keepLines/>
      <w:numPr>
        <w:numId w:val="4"/>
      </w:numPr>
      <w:spacing w:before="240" w:after="240" w:line="240" w:lineRule="auto"/>
      <w:ind w:left="357" w:hanging="357"/>
      <w:outlineLvl w:val="0"/>
    </w:pPr>
    <w:rPr>
      <w:rFonts w:ascii="Arial" w:eastAsiaTheme="majorEastAsia" w:hAnsi="Arial" w:cstheme="majorBidi"/>
      <w:b/>
      <w:caps/>
      <w:color w:val="000000" w:themeColor="text1"/>
      <w:sz w:val="22"/>
      <w:szCs w:val="40"/>
      <w:lang w:val="fr-FR"/>
    </w:rPr>
  </w:style>
  <w:style w:type="paragraph" w:styleId="Heading2">
    <w:name w:val="heading 2"/>
    <w:basedOn w:val="Normal"/>
    <w:next w:val="Normal"/>
    <w:link w:val="Heading2Char"/>
    <w:autoRedefine/>
    <w:uiPriority w:val="9"/>
    <w:unhideWhenUsed/>
    <w:qFormat/>
    <w:rsid w:val="00C17476"/>
    <w:pPr>
      <w:keepNext/>
      <w:keepLines/>
      <w:numPr>
        <w:numId w:val="5"/>
      </w:numPr>
      <w:spacing w:before="240" w:after="240" w:line="240" w:lineRule="auto"/>
      <w:ind w:left="283" w:right="289" w:hanging="357"/>
      <w:outlineLvl w:val="1"/>
    </w:pPr>
    <w:rPr>
      <w:rFonts w:ascii="Arial" w:eastAsiaTheme="majorEastAsia" w:hAnsi="Arial" w:cstheme="majorBidi"/>
      <w:b/>
      <w:color w:val="000000" w:themeColor="text1"/>
      <w:sz w:val="22"/>
      <w:szCs w:val="32"/>
    </w:rPr>
  </w:style>
  <w:style w:type="paragraph" w:styleId="Heading3">
    <w:name w:val="heading 3"/>
    <w:basedOn w:val="Normal"/>
    <w:next w:val="Normal"/>
    <w:link w:val="Heading3Char"/>
    <w:uiPriority w:val="9"/>
    <w:unhideWhenUsed/>
    <w:qFormat/>
    <w:rsid w:val="001E56E7"/>
    <w:pPr>
      <w:keepNext/>
      <w:keepLines/>
      <w:numPr>
        <w:numId w:val="6"/>
      </w:numPr>
      <w:spacing w:before="240" w:after="240" w:line="240" w:lineRule="auto"/>
      <w:ind w:left="283" w:right="289" w:hanging="357"/>
      <w:outlineLvl w:val="2"/>
    </w:pPr>
    <w:rPr>
      <w:rFonts w:ascii="Arial" w:eastAsiaTheme="majorEastAsia" w:hAnsi="Arial" w:cstheme="majorBidi"/>
      <w:b/>
      <w:color w:val="000000" w:themeColor="text1"/>
      <w:sz w:val="22"/>
      <w:szCs w:val="28"/>
    </w:rPr>
  </w:style>
  <w:style w:type="paragraph" w:styleId="Heading4">
    <w:name w:val="heading 4"/>
    <w:basedOn w:val="Normal"/>
    <w:next w:val="Normal"/>
    <w:link w:val="Heading4Char"/>
    <w:uiPriority w:val="9"/>
    <w:semiHidden/>
    <w:unhideWhenUsed/>
    <w:qFormat/>
    <w:rsid w:val="00AE78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78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78E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78E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78E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78E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D1"/>
    <w:rPr>
      <w:rFonts w:ascii="Arial" w:eastAsiaTheme="majorEastAsia" w:hAnsi="Arial" w:cstheme="majorBidi"/>
      <w:b/>
      <w:caps/>
      <w:color w:val="000000" w:themeColor="text1"/>
      <w:szCs w:val="40"/>
      <w:lang w:val="fr-FR"/>
    </w:rPr>
  </w:style>
  <w:style w:type="character" w:customStyle="1" w:styleId="Heading2Char">
    <w:name w:val="Heading 2 Char"/>
    <w:basedOn w:val="DefaultParagraphFont"/>
    <w:link w:val="Heading2"/>
    <w:uiPriority w:val="9"/>
    <w:rsid w:val="00C17476"/>
    <w:rPr>
      <w:rFonts w:ascii="Arial" w:eastAsiaTheme="majorEastAsia" w:hAnsi="Arial" w:cstheme="majorBidi"/>
      <w:b/>
      <w:color w:val="000000" w:themeColor="text1"/>
      <w:szCs w:val="32"/>
    </w:rPr>
  </w:style>
  <w:style w:type="character" w:customStyle="1" w:styleId="Heading3Char">
    <w:name w:val="Heading 3 Char"/>
    <w:basedOn w:val="DefaultParagraphFont"/>
    <w:link w:val="Heading3"/>
    <w:uiPriority w:val="9"/>
    <w:rsid w:val="001E56E7"/>
    <w:rPr>
      <w:rFonts w:ascii="Arial" w:eastAsiaTheme="majorEastAsia" w:hAnsi="Arial" w:cstheme="majorBidi"/>
      <w:b/>
      <w:color w:val="000000" w:themeColor="text1"/>
      <w:szCs w:val="28"/>
    </w:rPr>
  </w:style>
  <w:style w:type="character" w:customStyle="1" w:styleId="Heading4Char">
    <w:name w:val="Heading 4 Char"/>
    <w:basedOn w:val="DefaultParagraphFont"/>
    <w:link w:val="Heading4"/>
    <w:uiPriority w:val="9"/>
    <w:semiHidden/>
    <w:rsid w:val="00AE78E2"/>
    <w:rPr>
      <w:rFonts w:eastAsiaTheme="majorEastAsia" w:cstheme="majorBidi"/>
      <w:i/>
      <w:iCs/>
      <w:color w:val="0F4761" w:themeColor="accent1" w:themeShade="BF"/>
      <w:sz w:val="24"/>
      <w:lang/>
    </w:rPr>
  </w:style>
  <w:style w:type="character" w:customStyle="1" w:styleId="Heading5Char">
    <w:name w:val="Heading 5 Char"/>
    <w:basedOn w:val="DefaultParagraphFont"/>
    <w:link w:val="Heading5"/>
    <w:uiPriority w:val="9"/>
    <w:semiHidden/>
    <w:rsid w:val="00AE78E2"/>
    <w:rPr>
      <w:rFonts w:eastAsiaTheme="majorEastAsia" w:cstheme="majorBidi"/>
      <w:color w:val="0F4761" w:themeColor="accent1" w:themeShade="BF"/>
      <w:sz w:val="24"/>
      <w:lang/>
    </w:rPr>
  </w:style>
  <w:style w:type="character" w:customStyle="1" w:styleId="Heading6Char">
    <w:name w:val="Heading 6 Char"/>
    <w:basedOn w:val="DefaultParagraphFont"/>
    <w:link w:val="Heading6"/>
    <w:uiPriority w:val="9"/>
    <w:semiHidden/>
    <w:rsid w:val="00AE78E2"/>
    <w:rPr>
      <w:rFonts w:eastAsiaTheme="majorEastAsia" w:cstheme="majorBidi"/>
      <w:i/>
      <w:iCs/>
      <w:color w:val="595959" w:themeColor="text1" w:themeTint="A6"/>
      <w:sz w:val="24"/>
      <w:lang/>
    </w:rPr>
  </w:style>
  <w:style w:type="character" w:customStyle="1" w:styleId="Heading7Char">
    <w:name w:val="Heading 7 Char"/>
    <w:basedOn w:val="DefaultParagraphFont"/>
    <w:link w:val="Heading7"/>
    <w:uiPriority w:val="9"/>
    <w:semiHidden/>
    <w:rsid w:val="00AE78E2"/>
    <w:rPr>
      <w:rFonts w:eastAsiaTheme="majorEastAsia" w:cstheme="majorBidi"/>
      <w:color w:val="595959" w:themeColor="text1" w:themeTint="A6"/>
      <w:sz w:val="24"/>
      <w:lang/>
    </w:rPr>
  </w:style>
  <w:style w:type="character" w:customStyle="1" w:styleId="Heading8Char">
    <w:name w:val="Heading 8 Char"/>
    <w:basedOn w:val="DefaultParagraphFont"/>
    <w:link w:val="Heading8"/>
    <w:uiPriority w:val="9"/>
    <w:semiHidden/>
    <w:rsid w:val="00AE78E2"/>
    <w:rPr>
      <w:rFonts w:eastAsiaTheme="majorEastAsia" w:cstheme="majorBidi"/>
      <w:i/>
      <w:iCs/>
      <w:color w:val="272727" w:themeColor="text1" w:themeTint="D8"/>
      <w:sz w:val="24"/>
      <w:lang/>
    </w:rPr>
  </w:style>
  <w:style w:type="character" w:customStyle="1" w:styleId="Heading9Char">
    <w:name w:val="Heading 9 Char"/>
    <w:basedOn w:val="DefaultParagraphFont"/>
    <w:link w:val="Heading9"/>
    <w:uiPriority w:val="9"/>
    <w:semiHidden/>
    <w:rsid w:val="00AE78E2"/>
    <w:rPr>
      <w:rFonts w:eastAsiaTheme="majorEastAsia" w:cstheme="majorBidi"/>
      <w:color w:val="272727" w:themeColor="text1" w:themeTint="D8"/>
      <w:sz w:val="24"/>
      <w:lang/>
    </w:rPr>
  </w:style>
  <w:style w:type="paragraph" w:styleId="Title">
    <w:name w:val="Title"/>
    <w:basedOn w:val="Normal"/>
    <w:next w:val="Normal"/>
    <w:link w:val="TitleChar"/>
    <w:uiPriority w:val="10"/>
    <w:qFormat/>
    <w:rsid w:val="00AE7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8E2"/>
    <w:rPr>
      <w:rFonts w:asciiTheme="majorHAnsi" w:eastAsiaTheme="majorEastAsia" w:hAnsiTheme="majorHAnsi" w:cstheme="majorBidi"/>
      <w:spacing w:val="-10"/>
      <w:kern w:val="28"/>
      <w:sz w:val="56"/>
      <w:szCs w:val="56"/>
      <w:lang/>
    </w:rPr>
  </w:style>
  <w:style w:type="paragraph" w:styleId="Subtitle">
    <w:name w:val="Subtitle"/>
    <w:basedOn w:val="Normal"/>
    <w:next w:val="Normal"/>
    <w:link w:val="SubtitleChar"/>
    <w:uiPriority w:val="11"/>
    <w:qFormat/>
    <w:rsid w:val="00AE78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8E2"/>
    <w:rPr>
      <w:rFonts w:eastAsiaTheme="majorEastAsia" w:cstheme="majorBidi"/>
      <w:color w:val="595959" w:themeColor="text1" w:themeTint="A6"/>
      <w:spacing w:val="15"/>
      <w:sz w:val="28"/>
      <w:szCs w:val="28"/>
      <w:lang/>
    </w:rPr>
  </w:style>
  <w:style w:type="paragraph" w:styleId="Quote">
    <w:name w:val="Quote"/>
    <w:basedOn w:val="Normal"/>
    <w:next w:val="Normal"/>
    <w:link w:val="QuoteChar"/>
    <w:uiPriority w:val="29"/>
    <w:qFormat/>
    <w:rsid w:val="00AE78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78E2"/>
    <w:rPr>
      <w:rFonts w:ascii="Times New Roman" w:hAnsi="Times New Roman"/>
      <w:i/>
      <w:iCs/>
      <w:color w:val="404040" w:themeColor="text1" w:themeTint="BF"/>
      <w:sz w:val="24"/>
      <w:lang/>
    </w:rPr>
  </w:style>
  <w:style w:type="paragraph" w:styleId="ListParagraph">
    <w:name w:val="List Paragraph"/>
    <w:basedOn w:val="Normal"/>
    <w:uiPriority w:val="34"/>
    <w:qFormat/>
    <w:rsid w:val="00AE78E2"/>
    <w:pPr>
      <w:ind w:left="720"/>
      <w:contextualSpacing/>
    </w:pPr>
  </w:style>
  <w:style w:type="character" w:styleId="IntenseEmphasis">
    <w:name w:val="Intense Emphasis"/>
    <w:basedOn w:val="DefaultParagraphFont"/>
    <w:uiPriority w:val="21"/>
    <w:qFormat/>
    <w:rsid w:val="00AE78E2"/>
    <w:rPr>
      <w:i/>
      <w:iCs/>
      <w:color w:val="0F4761" w:themeColor="accent1" w:themeShade="BF"/>
    </w:rPr>
  </w:style>
  <w:style w:type="paragraph" w:styleId="IntenseQuote">
    <w:name w:val="Intense Quote"/>
    <w:basedOn w:val="Normal"/>
    <w:next w:val="Normal"/>
    <w:link w:val="IntenseQuoteChar"/>
    <w:uiPriority w:val="30"/>
    <w:qFormat/>
    <w:rsid w:val="00AE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8E2"/>
    <w:rPr>
      <w:rFonts w:ascii="Times New Roman" w:hAnsi="Times New Roman"/>
      <w:i/>
      <w:iCs/>
      <w:color w:val="0F4761" w:themeColor="accent1" w:themeShade="BF"/>
      <w:sz w:val="24"/>
      <w:lang/>
    </w:rPr>
  </w:style>
  <w:style w:type="character" w:styleId="IntenseReference">
    <w:name w:val="Intense Reference"/>
    <w:basedOn w:val="DefaultParagraphFont"/>
    <w:uiPriority w:val="32"/>
    <w:qFormat/>
    <w:rsid w:val="00AE78E2"/>
    <w:rPr>
      <w:b/>
      <w:bCs/>
      <w:smallCaps/>
      <w:color w:val="0F4761" w:themeColor="accent1" w:themeShade="BF"/>
      <w:spacing w:val="5"/>
    </w:rPr>
  </w:style>
  <w:style w:type="table" w:styleId="TableGrid">
    <w:name w:val="Table Grid"/>
    <w:basedOn w:val="TableNormal"/>
    <w:uiPriority w:val="39"/>
    <w:rsid w:val="006357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jlv">
    <w:name w:val="c-pjlv"/>
    <w:basedOn w:val="DefaultParagraphFont"/>
    <w:rsid w:val="00E6529E"/>
  </w:style>
  <w:style w:type="character" w:customStyle="1" w:styleId="label">
    <w:name w:val="label"/>
    <w:basedOn w:val="DefaultParagraphFont"/>
    <w:rsid w:val="00E6529E"/>
  </w:style>
  <w:style w:type="character" w:styleId="Hyperlink">
    <w:name w:val="Hyperlink"/>
    <w:basedOn w:val="DefaultParagraphFont"/>
    <w:uiPriority w:val="99"/>
    <w:unhideWhenUsed/>
    <w:rsid w:val="00E6529E"/>
    <w:rPr>
      <w:color w:val="0000FF"/>
      <w:u w:val="single"/>
    </w:rPr>
  </w:style>
  <w:style w:type="character" w:customStyle="1" w:styleId="UnresolvedMention">
    <w:name w:val="Unresolved Mention"/>
    <w:basedOn w:val="DefaultParagraphFont"/>
    <w:uiPriority w:val="99"/>
    <w:semiHidden/>
    <w:unhideWhenUsed/>
    <w:rsid w:val="00290D10"/>
    <w:rPr>
      <w:color w:val="605E5C"/>
      <w:shd w:val="clear" w:color="auto" w:fill="E1DFDD"/>
    </w:rPr>
  </w:style>
  <w:style w:type="paragraph" w:styleId="Bibliography">
    <w:name w:val="Bibliography"/>
    <w:basedOn w:val="Normal"/>
    <w:next w:val="Normal"/>
    <w:uiPriority w:val="37"/>
    <w:unhideWhenUsed/>
    <w:rsid w:val="00F94C64"/>
    <w:pPr>
      <w:tabs>
        <w:tab w:val="left" w:pos="264"/>
      </w:tabs>
      <w:spacing w:after="240" w:line="240" w:lineRule="auto"/>
      <w:ind w:left="264" w:hanging="264"/>
    </w:pPr>
  </w:style>
  <w:style w:type="character" w:styleId="FollowedHyperlink">
    <w:name w:val="FollowedHyperlink"/>
    <w:basedOn w:val="DefaultParagraphFont"/>
    <w:uiPriority w:val="99"/>
    <w:semiHidden/>
    <w:unhideWhenUsed/>
    <w:rsid w:val="0023050B"/>
    <w:rPr>
      <w:color w:val="96607D" w:themeColor="followedHyperlink"/>
      <w:u w:val="single"/>
    </w:rPr>
  </w:style>
  <w:style w:type="paragraph" w:styleId="FootnoteText">
    <w:name w:val="footnote text"/>
    <w:basedOn w:val="Normal"/>
    <w:link w:val="FootnoteTextChar"/>
    <w:uiPriority w:val="99"/>
    <w:semiHidden/>
    <w:unhideWhenUsed/>
    <w:rsid w:val="004D2E4F"/>
    <w:pPr>
      <w:widowControl w:val="0"/>
      <w:suppressAutoHyphens/>
      <w:spacing w:line="240" w:lineRule="auto"/>
      <w:contextualSpacing/>
    </w:pPr>
    <w:rPr>
      <w:sz w:val="20"/>
      <w:szCs w:val="20"/>
    </w:rPr>
  </w:style>
  <w:style w:type="character" w:customStyle="1" w:styleId="FootnoteTextChar">
    <w:name w:val="Footnote Text Char"/>
    <w:basedOn w:val="DefaultParagraphFont"/>
    <w:link w:val="FootnoteText"/>
    <w:uiPriority w:val="99"/>
    <w:semiHidden/>
    <w:rsid w:val="004D2E4F"/>
    <w:rPr>
      <w:rFonts w:ascii="Times New Roman" w:hAnsi="Times New Roman"/>
      <w:sz w:val="20"/>
      <w:szCs w:val="20"/>
    </w:rPr>
  </w:style>
  <w:style w:type="character" w:styleId="FootnoteReference">
    <w:name w:val="footnote reference"/>
    <w:basedOn w:val="DefaultParagraphFont"/>
    <w:uiPriority w:val="99"/>
    <w:semiHidden/>
    <w:unhideWhenUsed/>
    <w:rsid w:val="004D2E4F"/>
    <w:rPr>
      <w:vertAlign w:val="superscript"/>
    </w:rPr>
  </w:style>
  <w:style w:type="paragraph" w:styleId="Header">
    <w:name w:val="header"/>
    <w:basedOn w:val="Normal"/>
    <w:link w:val="HeaderChar"/>
    <w:uiPriority w:val="99"/>
    <w:unhideWhenUsed/>
    <w:rsid w:val="00DD08BD"/>
    <w:pPr>
      <w:tabs>
        <w:tab w:val="center" w:pos="4680"/>
        <w:tab w:val="right" w:pos="9360"/>
      </w:tabs>
      <w:spacing w:line="240" w:lineRule="auto"/>
    </w:pPr>
  </w:style>
  <w:style w:type="character" w:customStyle="1" w:styleId="HeaderChar">
    <w:name w:val="Header Char"/>
    <w:basedOn w:val="DefaultParagraphFont"/>
    <w:link w:val="Header"/>
    <w:uiPriority w:val="99"/>
    <w:rsid w:val="00DD08BD"/>
    <w:rPr>
      <w:rFonts w:ascii="Times New Roman" w:hAnsi="Times New Roman"/>
      <w:sz w:val="24"/>
    </w:rPr>
  </w:style>
  <w:style w:type="paragraph" w:styleId="Footer">
    <w:name w:val="footer"/>
    <w:basedOn w:val="Normal"/>
    <w:link w:val="FooterChar"/>
    <w:uiPriority w:val="99"/>
    <w:unhideWhenUsed/>
    <w:rsid w:val="00DD08BD"/>
    <w:pPr>
      <w:tabs>
        <w:tab w:val="center" w:pos="4680"/>
        <w:tab w:val="right" w:pos="9360"/>
      </w:tabs>
      <w:spacing w:line="240" w:lineRule="auto"/>
    </w:pPr>
  </w:style>
  <w:style w:type="character" w:customStyle="1" w:styleId="FooterChar">
    <w:name w:val="Footer Char"/>
    <w:basedOn w:val="DefaultParagraphFont"/>
    <w:link w:val="Footer"/>
    <w:uiPriority w:val="99"/>
    <w:rsid w:val="00DD08BD"/>
    <w:rPr>
      <w:rFonts w:ascii="Times New Roman" w:hAnsi="Times New Roman"/>
      <w:sz w:val="24"/>
    </w:rPr>
  </w:style>
  <w:style w:type="paragraph" w:styleId="BalloonText">
    <w:name w:val="Balloon Text"/>
    <w:basedOn w:val="Normal"/>
    <w:link w:val="BalloonTextChar"/>
    <w:uiPriority w:val="99"/>
    <w:semiHidden/>
    <w:unhideWhenUsed/>
    <w:rsid w:val="009A56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D7"/>
    <w:rPr>
      <w:rFonts w:ascii="Tahoma" w:hAnsi="Tahoma" w:cs="Tahoma"/>
      <w:sz w:val="16"/>
      <w:szCs w:val="16"/>
    </w:rPr>
  </w:style>
  <w:style w:type="character" w:styleId="CommentReference">
    <w:name w:val="annotation reference"/>
    <w:basedOn w:val="DefaultParagraphFont"/>
    <w:uiPriority w:val="99"/>
    <w:semiHidden/>
    <w:unhideWhenUsed/>
    <w:rsid w:val="009A56D7"/>
    <w:rPr>
      <w:sz w:val="16"/>
      <w:szCs w:val="16"/>
    </w:rPr>
  </w:style>
  <w:style w:type="paragraph" w:styleId="CommentText">
    <w:name w:val="annotation text"/>
    <w:basedOn w:val="Normal"/>
    <w:link w:val="CommentTextChar"/>
    <w:uiPriority w:val="99"/>
    <w:semiHidden/>
    <w:unhideWhenUsed/>
    <w:rsid w:val="009A56D7"/>
    <w:pPr>
      <w:spacing w:line="240" w:lineRule="auto"/>
    </w:pPr>
    <w:rPr>
      <w:sz w:val="20"/>
      <w:szCs w:val="20"/>
    </w:rPr>
  </w:style>
  <w:style w:type="character" w:customStyle="1" w:styleId="CommentTextChar">
    <w:name w:val="Comment Text Char"/>
    <w:basedOn w:val="DefaultParagraphFont"/>
    <w:link w:val="CommentText"/>
    <w:uiPriority w:val="99"/>
    <w:semiHidden/>
    <w:rsid w:val="009A56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56D7"/>
    <w:rPr>
      <w:b/>
      <w:bCs/>
    </w:rPr>
  </w:style>
  <w:style w:type="character" w:customStyle="1" w:styleId="CommentSubjectChar">
    <w:name w:val="Comment Subject Char"/>
    <w:basedOn w:val="CommentTextChar"/>
    <w:link w:val="CommentSubject"/>
    <w:uiPriority w:val="99"/>
    <w:semiHidden/>
    <w:rsid w:val="009A56D7"/>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eastAsia="en-US" w:bidi="ar-SA"/>
        <w14:ligatures w14:val="standardContextua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9A"/>
    <w:rPr>
      <w:rFonts w:ascii="Times New Roman" w:hAnsi="Times New Roman"/>
      <w:sz w:val="24"/>
    </w:rPr>
  </w:style>
  <w:style w:type="paragraph" w:styleId="Heading1">
    <w:name w:val="heading 1"/>
    <w:basedOn w:val="Normal"/>
    <w:next w:val="Normal"/>
    <w:link w:val="Heading1Char"/>
    <w:autoRedefine/>
    <w:uiPriority w:val="9"/>
    <w:qFormat/>
    <w:rsid w:val="00A73BD1"/>
    <w:pPr>
      <w:keepNext/>
      <w:keepLines/>
      <w:numPr>
        <w:numId w:val="4"/>
      </w:numPr>
      <w:spacing w:before="240" w:after="240" w:line="240" w:lineRule="auto"/>
      <w:ind w:left="357" w:hanging="357"/>
      <w:outlineLvl w:val="0"/>
    </w:pPr>
    <w:rPr>
      <w:rFonts w:ascii="Arial" w:eastAsiaTheme="majorEastAsia" w:hAnsi="Arial" w:cstheme="majorBidi"/>
      <w:b/>
      <w:caps/>
      <w:color w:val="000000" w:themeColor="text1"/>
      <w:sz w:val="22"/>
      <w:szCs w:val="40"/>
      <w:lang w:val="fr-FR"/>
    </w:rPr>
  </w:style>
  <w:style w:type="paragraph" w:styleId="Heading2">
    <w:name w:val="heading 2"/>
    <w:basedOn w:val="Normal"/>
    <w:next w:val="Normal"/>
    <w:link w:val="Heading2Char"/>
    <w:autoRedefine/>
    <w:uiPriority w:val="9"/>
    <w:unhideWhenUsed/>
    <w:qFormat/>
    <w:rsid w:val="00C17476"/>
    <w:pPr>
      <w:keepNext/>
      <w:keepLines/>
      <w:numPr>
        <w:numId w:val="5"/>
      </w:numPr>
      <w:spacing w:before="240" w:after="240" w:line="240" w:lineRule="auto"/>
      <w:ind w:left="283" w:right="289" w:hanging="357"/>
      <w:outlineLvl w:val="1"/>
    </w:pPr>
    <w:rPr>
      <w:rFonts w:ascii="Arial" w:eastAsiaTheme="majorEastAsia" w:hAnsi="Arial" w:cstheme="majorBidi"/>
      <w:b/>
      <w:color w:val="000000" w:themeColor="text1"/>
      <w:sz w:val="22"/>
      <w:szCs w:val="32"/>
    </w:rPr>
  </w:style>
  <w:style w:type="paragraph" w:styleId="Heading3">
    <w:name w:val="heading 3"/>
    <w:basedOn w:val="Normal"/>
    <w:next w:val="Normal"/>
    <w:link w:val="Heading3Char"/>
    <w:uiPriority w:val="9"/>
    <w:unhideWhenUsed/>
    <w:qFormat/>
    <w:rsid w:val="001E56E7"/>
    <w:pPr>
      <w:keepNext/>
      <w:keepLines/>
      <w:numPr>
        <w:numId w:val="6"/>
      </w:numPr>
      <w:spacing w:before="240" w:after="240" w:line="240" w:lineRule="auto"/>
      <w:ind w:left="283" w:right="289" w:hanging="357"/>
      <w:outlineLvl w:val="2"/>
    </w:pPr>
    <w:rPr>
      <w:rFonts w:ascii="Arial" w:eastAsiaTheme="majorEastAsia" w:hAnsi="Arial" w:cstheme="majorBidi"/>
      <w:b/>
      <w:color w:val="000000" w:themeColor="text1"/>
      <w:sz w:val="22"/>
      <w:szCs w:val="28"/>
    </w:rPr>
  </w:style>
  <w:style w:type="paragraph" w:styleId="Heading4">
    <w:name w:val="heading 4"/>
    <w:basedOn w:val="Normal"/>
    <w:next w:val="Normal"/>
    <w:link w:val="Heading4Char"/>
    <w:uiPriority w:val="9"/>
    <w:semiHidden/>
    <w:unhideWhenUsed/>
    <w:qFormat/>
    <w:rsid w:val="00AE78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78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78E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78E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78E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78E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D1"/>
    <w:rPr>
      <w:rFonts w:ascii="Arial" w:eastAsiaTheme="majorEastAsia" w:hAnsi="Arial" w:cstheme="majorBidi"/>
      <w:b/>
      <w:caps/>
      <w:color w:val="000000" w:themeColor="text1"/>
      <w:szCs w:val="40"/>
      <w:lang w:val="fr-FR"/>
    </w:rPr>
  </w:style>
  <w:style w:type="character" w:customStyle="1" w:styleId="Heading2Char">
    <w:name w:val="Heading 2 Char"/>
    <w:basedOn w:val="DefaultParagraphFont"/>
    <w:link w:val="Heading2"/>
    <w:uiPriority w:val="9"/>
    <w:rsid w:val="00C17476"/>
    <w:rPr>
      <w:rFonts w:ascii="Arial" w:eastAsiaTheme="majorEastAsia" w:hAnsi="Arial" w:cstheme="majorBidi"/>
      <w:b/>
      <w:color w:val="000000" w:themeColor="text1"/>
      <w:szCs w:val="32"/>
    </w:rPr>
  </w:style>
  <w:style w:type="character" w:customStyle="1" w:styleId="Heading3Char">
    <w:name w:val="Heading 3 Char"/>
    <w:basedOn w:val="DefaultParagraphFont"/>
    <w:link w:val="Heading3"/>
    <w:uiPriority w:val="9"/>
    <w:rsid w:val="001E56E7"/>
    <w:rPr>
      <w:rFonts w:ascii="Arial" w:eastAsiaTheme="majorEastAsia" w:hAnsi="Arial" w:cstheme="majorBidi"/>
      <w:b/>
      <w:color w:val="000000" w:themeColor="text1"/>
      <w:szCs w:val="28"/>
    </w:rPr>
  </w:style>
  <w:style w:type="character" w:customStyle="1" w:styleId="Heading4Char">
    <w:name w:val="Heading 4 Char"/>
    <w:basedOn w:val="DefaultParagraphFont"/>
    <w:link w:val="Heading4"/>
    <w:uiPriority w:val="9"/>
    <w:semiHidden/>
    <w:rsid w:val="00AE78E2"/>
    <w:rPr>
      <w:rFonts w:eastAsiaTheme="majorEastAsia" w:cstheme="majorBidi"/>
      <w:i/>
      <w:iCs/>
      <w:color w:val="0F4761" w:themeColor="accent1" w:themeShade="BF"/>
      <w:sz w:val="24"/>
      <w:lang/>
    </w:rPr>
  </w:style>
  <w:style w:type="character" w:customStyle="1" w:styleId="Heading5Char">
    <w:name w:val="Heading 5 Char"/>
    <w:basedOn w:val="DefaultParagraphFont"/>
    <w:link w:val="Heading5"/>
    <w:uiPriority w:val="9"/>
    <w:semiHidden/>
    <w:rsid w:val="00AE78E2"/>
    <w:rPr>
      <w:rFonts w:eastAsiaTheme="majorEastAsia" w:cstheme="majorBidi"/>
      <w:color w:val="0F4761" w:themeColor="accent1" w:themeShade="BF"/>
      <w:sz w:val="24"/>
      <w:lang/>
    </w:rPr>
  </w:style>
  <w:style w:type="character" w:customStyle="1" w:styleId="Heading6Char">
    <w:name w:val="Heading 6 Char"/>
    <w:basedOn w:val="DefaultParagraphFont"/>
    <w:link w:val="Heading6"/>
    <w:uiPriority w:val="9"/>
    <w:semiHidden/>
    <w:rsid w:val="00AE78E2"/>
    <w:rPr>
      <w:rFonts w:eastAsiaTheme="majorEastAsia" w:cstheme="majorBidi"/>
      <w:i/>
      <w:iCs/>
      <w:color w:val="595959" w:themeColor="text1" w:themeTint="A6"/>
      <w:sz w:val="24"/>
      <w:lang/>
    </w:rPr>
  </w:style>
  <w:style w:type="character" w:customStyle="1" w:styleId="Heading7Char">
    <w:name w:val="Heading 7 Char"/>
    <w:basedOn w:val="DefaultParagraphFont"/>
    <w:link w:val="Heading7"/>
    <w:uiPriority w:val="9"/>
    <w:semiHidden/>
    <w:rsid w:val="00AE78E2"/>
    <w:rPr>
      <w:rFonts w:eastAsiaTheme="majorEastAsia" w:cstheme="majorBidi"/>
      <w:color w:val="595959" w:themeColor="text1" w:themeTint="A6"/>
      <w:sz w:val="24"/>
      <w:lang/>
    </w:rPr>
  </w:style>
  <w:style w:type="character" w:customStyle="1" w:styleId="Heading8Char">
    <w:name w:val="Heading 8 Char"/>
    <w:basedOn w:val="DefaultParagraphFont"/>
    <w:link w:val="Heading8"/>
    <w:uiPriority w:val="9"/>
    <w:semiHidden/>
    <w:rsid w:val="00AE78E2"/>
    <w:rPr>
      <w:rFonts w:eastAsiaTheme="majorEastAsia" w:cstheme="majorBidi"/>
      <w:i/>
      <w:iCs/>
      <w:color w:val="272727" w:themeColor="text1" w:themeTint="D8"/>
      <w:sz w:val="24"/>
      <w:lang/>
    </w:rPr>
  </w:style>
  <w:style w:type="character" w:customStyle="1" w:styleId="Heading9Char">
    <w:name w:val="Heading 9 Char"/>
    <w:basedOn w:val="DefaultParagraphFont"/>
    <w:link w:val="Heading9"/>
    <w:uiPriority w:val="9"/>
    <w:semiHidden/>
    <w:rsid w:val="00AE78E2"/>
    <w:rPr>
      <w:rFonts w:eastAsiaTheme="majorEastAsia" w:cstheme="majorBidi"/>
      <w:color w:val="272727" w:themeColor="text1" w:themeTint="D8"/>
      <w:sz w:val="24"/>
      <w:lang/>
    </w:rPr>
  </w:style>
  <w:style w:type="paragraph" w:styleId="Title">
    <w:name w:val="Title"/>
    <w:basedOn w:val="Normal"/>
    <w:next w:val="Normal"/>
    <w:link w:val="TitleChar"/>
    <w:uiPriority w:val="10"/>
    <w:qFormat/>
    <w:rsid w:val="00AE7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8E2"/>
    <w:rPr>
      <w:rFonts w:asciiTheme="majorHAnsi" w:eastAsiaTheme="majorEastAsia" w:hAnsiTheme="majorHAnsi" w:cstheme="majorBidi"/>
      <w:spacing w:val="-10"/>
      <w:kern w:val="28"/>
      <w:sz w:val="56"/>
      <w:szCs w:val="56"/>
      <w:lang/>
    </w:rPr>
  </w:style>
  <w:style w:type="paragraph" w:styleId="Subtitle">
    <w:name w:val="Subtitle"/>
    <w:basedOn w:val="Normal"/>
    <w:next w:val="Normal"/>
    <w:link w:val="SubtitleChar"/>
    <w:uiPriority w:val="11"/>
    <w:qFormat/>
    <w:rsid w:val="00AE78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8E2"/>
    <w:rPr>
      <w:rFonts w:eastAsiaTheme="majorEastAsia" w:cstheme="majorBidi"/>
      <w:color w:val="595959" w:themeColor="text1" w:themeTint="A6"/>
      <w:spacing w:val="15"/>
      <w:sz w:val="28"/>
      <w:szCs w:val="28"/>
      <w:lang/>
    </w:rPr>
  </w:style>
  <w:style w:type="paragraph" w:styleId="Quote">
    <w:name w:val="Quote"/>
    <w:basedOn w:val="Normal"/>
    <w:next w:val="Normal"/>
    <w:link w:val="QuoteChar"/>
    <w:uiPriority w:val="29"/>
    <w:qFormat/>
    <w:rsid w:val="00AE78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78E2"/>
    <w:rPr>
      <w:rFonts w:ascii="Times New Roman" w:hAnsi="Times New Roman"/>
      <w:i/>
      <w:iCs/>
      <w:color w:val="404040" w:themeColor="text1" w:themeTint="BF"/>
      <w:sz w:val="24"/>
      <w:lang/>
    </w:rPr>
  </w:style>
  <w:style w:type="paragraph" w:styleId="ListParagraph">
    <w:name w:val="List Paragraph"/>
    <w:basedOn w:val="Normal"/>
    <w:uiPriority w:val="34"/>
    <w:qFormat/>
    <w:rsid w:val="00AE78E2"/>
    <w:pPr>
      <w:ind w:left="720"/>
      <w:contextualSpacing/>
    </w:pPr>
  </w:style>
  <w:style w:type="character" w:styleId="IntenseEmphasis">
    <w:name w:val="Intense Emphasis"/>
    <w:basedOn w:val="DefaultParagraphFont"/>
    <w:uiPriority w:val="21"/>
    <w:qFormat/>
    <w:rsid w:val="00AE78E2"/>
    <w:rPr>
      <w:i/>
      <w:iCs/>
      <w:color w:val="0F4761" w:themeColor="accent1" w:themeShade="BF"/>
    </w:rPr>
  </w:style>
  <w:style w:type="paragraph" w:styleId="IntenseQuote">
    <w:name w:val="Intense Quote"/>
    <w:basedOn w:val="Normal"/>
    <w:next w:val="Normal"/>
    <w:link w:val="IntenseQuoteChar"/>
    <w:uiPriority w:val="30"/>
    <w:qFormat/>
    <w:rsid w:val="00AE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8E2"/>
    <w:rPr>
      <w:rFonts w:ascii="Times New Roman" w:hAnsi="Times New Roman"/>
      <w:i/>
      <w:iCs/>
      <w:color w:val="0F4761" w:themeColor="accent1" w:themeShade="BF"/>
      <w:sz w:val="24"/>
      <w:lang/>
    </w:rPr>
  </w:style>
  <w:style w:type="character" w:styleId="IntenseReference">
    <w:name w:val="Intense Reference"/>
    <w:basedOn w:val="DefaultParagraphFont"/>
    <w:uiPriority w:val="32"/>
    <w:qFormat/>
    <w:rsid w:val="00AE78E2"/>
    <w:rPr>
      <w:b/>
      <w:bCs/>
      <w:smallCaps/>
      <w:color w:val="0F4761" w:themeColor="accent1" w:themeShade="BF"/>
      <w:spacing w:val="5"/>
    </w:rPr>
  </w:style>
  <w:style w:type="table" w:styleId="TableGrid">
    <w:name w:val="Table Grid"/>
    <w:basedOn w:val="TableNormal"/>
    <w:uiPriority w:val="39"/>
    <w:rsid w:val="006357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jlv">
    <w:name w:val="c-pjlv"/>
    <w:basedOn w:val="DefaultParagraphFont"/>
    <w:rsid w:val="00E6529E"/>
  </w:style>
  <w:style w:type="character" w:customStyle="1" w:styleId="label">
    <w:name w:val="label"/>
    <w:basedOn w:val="DefaultParagraphFont"/>
    <w:rsid w:val="00E6529E"/>
  </w:style>
  <w:style w:type="character" w:styleId="Hyperlink">
    <w:name w:val="Hyperlink"/>
    <w:basedOn w:val="DefaultParagraphFont"/>
    <w:uiPriority w:val="99"/>
    <w:unhideWhenUsed/>
    <w:rsid w:val="00E6529E"/>
    <w:rPr>
      <w:color w:val="0000FF"/>
      <w:u w:val="single"/>
    </w:rPr>
  </w:style>
  <w:style w:type="character" w:customStyle="1" w:styleId="UnresolvedMention">
    <w:name w:val="Unresolved Mention"/>
    <w:basedOn w:val="DefaultParagraphFont"/>
    <w:uiPriority w:val="99"/>
    <w:semiHidden/>
    <w:unhideWhenUsed/>
    <w:rsid w:val="00290D10"/>
    <w:rPr>
      <w:color w:val="605E5C"/>
      <w:shd w:val="clear" w:color="auto" w:fill="E1DFDD"/>
    </w:rPr>
  </w:style>
  <w:style w:type="paragraph" w:styleId="Bibliography">
    <w:name w:val="Bibliography"/>
    <w:basedOn w:val="Normal"/>
    <w:next w:val="Normal"/>
    <w:uiPriority w:val="37"/>
    <w:unhideWhenUsed/>
    <w:rsid w:val="00F94C64"/>
    <w:pPr>
      <w:tabs>
        <w:tab w:val="left" w:pos="264"/>
      </w:tabs>
      <w:spacing w:after="240" w:line="240" w:lineRule="auto"/>
      <w:ind w:left="264" w:hanging="264"/>
    </w:pPr>
  </w:style>
  <w:style w:type="character" w:styleId="FollowedHyperlink">
    <w:name w:val="FollowedHyperlink"/>
    <w:basedOn w:val="DefaultParagraphFont"/>
    <w:uiPriority w:val="99"/>
    <w:semiHidden/>
    <w:unhideWhenUsed/>
    <w:rsid w:val="0023050B"/>
    <w:rPr>
      <w:color w:val="96607D" w:themeColor="followedHyperlink"/>
      <w:u w:val="single"/>
    </w:rPr>
  </w:style>
  <w:style w:type="paragraph" w:styleId="FootnoteText">
    <w:name w:val="footnote text"/>
    <w:basedOn w:val="Normal"/>
    <w:link w:val="FootnoteTextChar"/>
    <w:uiPriority w:val="99"/>
    <w:semiHidden/>
    <w:unhideWhenUsed/>
    <w:rsid w:val="004D2E4F"/>
    <w:pPr>
      <w:widowControl w:val="0"/>
      <w:suppressAutoHyphens/>
      <w:spacing w:line="240" w:lineRule="auto"/>
      <w:contextualSpacing/>
    </w:pPr>
    <w:rPr>
      <w:sz w:val="20"/>
      <w:szCs w:val="20"/>
    </w:rPr>
  </w:style>
  <w:style w:type="character" w:customStyle="1" w:styleId="FootnoteTextChar">
    <w:name w:val="Footnote Text Char"/>
    <w:basedOn w:val="DefaultParagraphFont"/>
    <w:link w:val="FootnoteText"/>
    <w:uiPriority w:val="99"/>
    <w:semiHidden/>
    <w:rsid w:val="004D2E4F"/>
    <w:rPr>
      <w:rFonts w:ascii="Times New Roman" w:hAnsi="Times New Roman"/>
      <w:sz w:val="20"/>
      <w:szCs w:val="20"/>
    </w:rPr>
  </w:style>
  <w:style w:type="character" w:styleId="FootnoteReference">
    <w:name w:val="footnote reference"/>
    <w:basedOn w:val="DefaultParagraphFont"/>
    <w:uiPriority w:val="99"/>
    <w:semiHidden/>
    <w:unhideWhenUsed/>
    <w:rsid w:val="004D2E4F"/>
    <w:rPr>
      <w:vertAlign w:val="superscript"/>
    </w:rPr>
  </w:style>
  <w:style w:type="paragraph" w:styleId="Header">
    <w:name w:val="header"/>
    <w:basedOn w:val="Normal"/>
    <w:link w:val="HeaderChar"/>
    <w:uiPriority w:val="99"/>
    <w:unhideWhenUsed/>
    <w:rsid w:val="00DD08BD"/>
    <w:pPr>
      <w:tabs>
        <w:tab w:val="center" w:pos="4680"/>
        <w:tab w:val="right" w:pos="9360"/>
      </w:tabs>
      <w:spacing w:line="240" w:lineRule="auto"/>
    </w:pPr>
  </w:style>
  <w:style w:type="character" w:customStyle="1" w:styleId="HeaderChar">
    <w:name w:val="Header Char"/>
    <w:basedOn w:val="DefaultParagraphFont"/>
    <w:link w:val="Header"/>
    <w:uiPriority w:val="99"/>
    <w:rsid w:val="00DD08BD"/>
    <w:rPr>
      <w:rFonts w:ascii="Times New Roman" w:hAnsi="Times New Roman"/>
      <w:sz w:val="24"/>
    </w:rPr>
  </w:style>
  <w:style w:type="paragraph" w:styleId="Footer">
    <w:name w:val="footer"/>
    <w:basedOn w:val="Normal"/>
    <w:link w:val="FooterChar"/>
    <w:uiPriority w:val="99"/>
    <w:unhideWhenUsed/>
    <w:rsid w:val="00DD08BD"/>
    <w:pPr>
      <w:tabs>
        <w:tab w:val="center" w:pos="4680"/>
        <w:tab w:val="right" w:pos="9360"/>
      </w:tabs>
      <w:spacing w:line="240" w:lineRule="auto"/>
    </w:pPr>
  </w:style>
  <w:style w:type="character" w:customStyle="1" w:styleId="FooterChar">
    <w:name w:val="Footer Char"/>
    <w:basedOn w:val="DefaultParagraphFont"/>
    <w:link w:val="Footer"/>
    <w:uiPriority w:val="99"/>
    <w:rsid w:val="00DD08BD"/>
    <w:rPr>
      <w:rFonts w:ascii="Times New Roman" w:hAnsi="Times New Roman"/>
      <w:sz w:val="24"/>
    </w:rPr>
  </w:style>
  <w:style w:type="paragraph" w:styleId="BalloonText">
    <w:name w:val="Balloon Text"/>
    <w:basedOn w:val="Normal"/>
    <w:link w:val="BalloonTextChar"/>
    <w:uiPriority w:val="99"/>
    <w:semiHidden/>
    <w:unhideWhenUsed/>
    <w:rsid w:val="009A56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D7"/>
    <w:rPr>
      <w:rFonts w:ascii="Tahoma" w:hAnsi="Tahoma" w:cs="Tahoma"/>
      <w:sz w:val="16"/>
      <w:szCs w:val="16"/>
    </w:rPr>
  </w:style>
  <w:style w:type="character" w:styleId="CommentReference">
    <w:name w:val="annotation reference"/>
    <w:basedOn w:val="DefaultParagraphFont"/>
    <w:uiPriority w:val="99"/>
    <w:semiHidden/>
    <w:unhideWhenUsed/>
    <w:rsid w:val="009A56D7"/>
    <w:rPr>
      <w:sz w:val="16"/>
      <w:szCs w:val="16"/>
    </w:rPr>
  </w:style>
  <w:style w:type="paragraph" w:styleId="CommentText">
    <w:name w:val="annotation text"/>
    <w:basedOn w:val="Normal"/>
    <w:link w:val="CommentTextChar"/>
    <w:uiPriority w:val="99"/>
    <w:semiHidden/>
    <w:unhideWhenUsed/>
    <w:rsid w:val="009A56D7"/>
    <w:pPr>
      <w:spacing w:line="240" w:lineRule="auto"/>
    </w:pPr>
    <w:rPr>
      <w:sz w:val="20"/>
      <w:szCs w:val="20"/>
    </w:rPr>
  </w:style>
  <w:style w:type="character" w:customStyle="1" w:styleId="CommentTextChar">
    <w:name w:val="Comment Text Char"/>
    <w:basedOn w:val="DefaultParagraphFont"/>
    <w:link w:val="CommentText"/>
    <w:uiPriority w:val="99"/>
    <w:semiHidden/>
    <w:rsid w:val="009A56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56D7"/>
    <w:rPr>
      <w:b/>
      <w:bCs/>
    </w:rPr>
  </w:style>
  <w:style w:type="character" w:customStyle="1" w:styleId="CommentSubjectChar">
    <w:name w:val="Comment Subject Char"/>
    <w:basedOn w:val="CommentTextChar"/>
    <w:link w:val="CommentSubject"/>
    <w:uiPriority w:val="99"/>
    <w:semiHidden/>
    <w:rsid w:val="009A56D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251">
      <w:bodyDiv w:val="1"/>
      <w:marLeft w:val="0"/>
      <w:marRight w:val="0"/>
      <w:marTop w:val="0"/>
      <w:marBottom w:val="0"/>
      <w:divBdr>
        <w:top w:val="none" w:sz="0" w:space="0" w:color="auto"/>
        <w:left w:val="none" w:sz="0" w:space="0" w:color="auto"/>
        <w:bottom w:val="none" w:sz="0" w:space="0" w:color="auto"/>
        <w:right w:val="none" w:sz="0" w:space="0" w:color="auto"/>
      </w:divBdr>
      <w:divsChild>
        <w:div w:id="376009446">
          <w:marLeft w:val="0"/>
          <w:marRight w:val="0"/>
          <w:marTop w:val="0"/>
          <w:marBottom w:val="0"/>
          <w:divBdr>
            <w:top w:val="none" w:sz="0" w:space="0" w:color="auto"/>
            <w:left w:val="none" w:sz="0" w:space="0" w:color="auto"/>
            <w:bottom w:val="none" w:sz="0" w:space="0" w:color="auto"/>
            <w:right w:val="none" w:sz="0" w:space="0" w:color="auto"/>
          </w:divBdr>
        </w:div>
      </w:divsChild>
    </w:div>
    <w:div w:id="167064558">
      <w:bodyDiv w:val="1"/>
      <w:marLeft w:val="0"/>
      <w:marRight w:val="0"/>
      <w:marTop w:val="0"/>
      <w:marBottom w:val="0"/>
      <w:divBdr>
        <w:top w:val="none" w:sz="0" w:space="0" w:color="auto"/>
        <w:left w:val="none" w:sz="0" w:space="0" w:color="auto"/>
        <w:bottom w:val="none" w:sz="0" w:space="0" w:color="auto"/>
        <w:right w:val="none" w:sz="0" w:space="0" w:color="auto"/>
      </w:divBdr>
    </w:div>
    <w:div w:id="312225655">
      <w:bodyDiv w:val="1"/>
      <w:marLeft w:val="0"/>
      <w:marRight w:val="0"/>
      <w:marTop w:val="0"/>
      <w:marBottom w:val="0"/>
      <w:divBdr>
        <w:top w:val="none" w:sz="0" w:space="0" w:color="auto"/>
        <w:left w:val="none" w:sz="0" w:space="0" w:color="auto"/>
        <w:bottom w:val="none" w:sz="0" w:space="0" w:color="auto"/>
        <w:right w:val="none" w:sz="0" w:space="0" w:color="auto"/>
      </w:divBdr>
    </w:div>
    <w:div w:id="547104244">
      <w:bodyDiv w:val="1"/>
      <w:marLeft w:val="0"/>
      <w:marRight w:val="0"/>
      <w:marTop w:val="0"/>
      <w:marBottom w:val="0"/>
      <w:divBdr>
        <w:top w:val="none" w:sz="0" w:space="0" w:color="auto"/>
        <w:left w:val="none" w:sz="0" w:space="0" w:color="auto"/>
        <w:bottom w:val="none" w:sz="0" w:space="0" w:color="auto"/>
        <w:right w:val="none" w:sz="0" w:space="0" w:color="auto"/>
      </w:divBdr>
      <w:divsChild>
        <w:div w:id="48504331">
          <w:marLeft w:val="0"/>
          <w:marRight w:val="0"/>
          <w:marTop w:val="0"/>
          <w:marBottom w:val="0"/>
          <w:divBdr>
            <w:top w:val="none" w:sz="0" w:space="0" w:color="auto"/>
            <w:left w:val="none" w:sz="0" w:space="0" w:color="auto"/>
            <w:bottom w:val="none" w:sz="0" w:space="0" w:color="auto"/>
            <w:right w:val="none" w:sz="0" w:space="0" w:color="auto"/>
          </w:divBdr>
        </w:div>
      </w:divsChild>
    </w:div>
    <w:div w:id="565144971">
      <w:bodyDiv w:val="1"/>
      <w:marLeft w:val="0"/>
      <w:marRight w:val="0"/>
      <w:marTop w:val="0"/>
      <w:marBottom w:val="0"/>
      <w:divBdr>
        <w:top w:val="none" w:sz="0" w:space="0" w:color="auto"/>
        <w:left w:val="none" w:sz="0" w:space="0" w:color="auto"/>
        <w:bottom w:val="none" w:sz="0" w:space="0" w:color="auto"/>
        <w:right w:val="none" w:sz="0" w:space="0" w:color="auto"/>
      </w:divBdr>
    </w:div>
    <w:div w:id="649482557">
      <w:bodyDiv w:val="1"/>
      <w:marLeft w:val="0"/>
      <w:marRight w:val="0"/>
      <w:marTop w:val="0"/>
      <w:marBottom w:val="0"/>
      <w:divBdr>
        <w:top w:val="none" w:sz="0" w:space="0" w:color="auto"/>
        <w:left w:val="none" w:sz="0" w:space="0" w:color="auto"/>
        <w:bottom w:val="none" w:sz="0" w:space="0" w:color="auto"/>
        <w:right w:val="none" w:sz="0" w:space="0" w:color="auto"/>
      </w:divBdr>
    </w:div>
    <w:div w:id="661541508">
      <w:bodyDiv w:val="1"/>
      <w:marLeft w:val="0"/>
      <w:marRight w:val="0"/>
      <w:marTop w:val="0"/>
      <w:marBottom w:val="0"/>
      <w:divBdr>
        <w:top w:val="none" w:sz="0" w:space="0" w:color="auto"/>
        <w:left w:val="none" w:sz="0" w:space="0" w:color="auto"/>
        <w:bottom w:val="none" w:sz="0" w:space="0" w:color="auto"/>
        <w:right w:val="none" w:sz="0" w:space="0" w:color="auto"/>
      </w:divBdr>
    </w:div>
    <w:div w:id="981619921">
      <w:bodyDiv w:val="1"/>
      <w:marLeft w:val="0"/>
      <w:marRight w:val="0"/>
      <w:marTop w:val="0"/>
      <w:marBottom w:val="0"/>
      <w:divBdr>
        <w:top w:val="none" w:sz="0" w:space="0" w:color="auto"/>
        <w:left w:val="none" w:sz="0" w:space="0" w:color="auto"/>
        <w:bottom w:val="none" w:sz="0" w:space="0" w:color="auto"/>
        <w:right w:val="none" w:sz="0" w:space="0" w:color="auto"/>
      </w:divBdr>
    </w:div>
    <w:div w:id="1008485542">
      <w:bodyDiv w:val="1"/>
      <w:marLeft w:val="0"/>
      <w:marRight w:val="0"/>
      <w:marTop w:val="0"/>
      <w:marBottom w:val="0"/>
      <w:divBdr>
        <w:top w:val="none" w:sz="0" w:space="0" w:color="auto"/>
        <w:left w:val="none" w:sz="0" w:space="0" w:color="auto"/>
        <w:bottom w:val="none" w:sz="0" w:space="0" w:color="auto"/>
        <w:right w:val="none" w:sz="0" w:space="0" w:color="auto"/>
      </w:divBdr>
    </w:div>
    <w:div w:id="1077021314">
      <w:bodyDiv w:val="1"/>
      <w:marLeft w:val="0"/>
      <w:marRight w:val="0"/>
      <w:marTop w:val="0"/>
      <w:marBottom w:val="0"/>
      <w:divBdr>
        <w:top w:val="none" w:sz="0" w:space="0" w:color="auto"/>
        <w:left w:val="none" w:sz="0" w:space="0" w:color="auto"/>
        <w:bottom w:val="none" w:sz="0" w:space="0" w:color="auto"/>
        <w:right w:val="none" w:sz="0" w:space="0" w:color="auto"/>
      </w:divBdr>
      <w:divsChild>
        <w:div w:id="318777382">
          <w:marLeft w:val="0"/>
          <w:marRight w:val="0"/>
          <w:marTop w:val="0"/>
          <w:marBottom w:val="0"/>
          <w:divBdr>
            <w:top w:val="none" w:sz="0" w:space="0" w:color="auto"/>
            <w:left w:val="none" w:sz="0" w:space="0" w:color="auto"/>
            <w:bottom w:val="none" w:sz="0" w:space="0" w:color="auto"/>
            <w:right w:val="none" w:sz="0" w:space="0" w:color="auto"/>
          </w:divBdr>
        </w:div>
      </w:divsChild>
    </w:div>
    <w:div w:id="1089277531">
      <w:bodyDiv w:val="1"/>
      <w:marLeft w:val="0"/>
      <w:marRight w:val="0"/>
      <w:marTop w:val="0"/>
      <w:marBottom w:val="0"/>
      <w:divBdr>
        <w:top w:val="none" w:sz="0" w:space="0" w:color="auto"/>
        <w:left w:val="none" w:sz="0" w:space="0" w:color="auto"/>
        <w:bottom w:val="none" w:sz="0" w:space="0" w:color="auto"/>
        <w:right w:val="none" w:sz="0" w:space="0" w:color="auto"/>
      </w:divBdr>
      <w:divsChild>
        <w:div w:id="1611207987">
          <w:marLeft w:val="0"/>
          <w:marRight w:val="0"/>
          <w:marTop w:val="0"/>
          <w:marBottom w:val="0"/>
          <w:divBdr>
            <w:top w:val="none" w:sz="0" w:space="0" w:color="auto"/>
            <w:left w:val="none" w:sz="0" w:space="0" w:color="auto"/>
            <w:bottom w:val="none" w:sz="0" w:space="0" w:color="auto"/>
            <w:right w:val="none" w:sz="0" w:space="0" w:color="auto"/>
          </w:divBdr>
        </w:div>
      </w:divsChild>
    </w:div>
    <w:div w:id="1182546041">
      <w:bodyDiv w:val="1"/>
      <w:marLeft w:val="0"/>
      <w:marRight w:val="0"/>
      <w:marTop w:val="0"/>
      <w:marBottom w:val="0"/>
      <w:divBdr>
        <w:top w:val="none" w:sz="0" w:space="0" w:color="auto"/>
        <w:left w:val="none" w:sz="0" w:space="0" w:color="auto"/>
        <w:bottom w:val="none" w:sz="0" w:space="0" w:color="auto"/>
        <w:right w:val="none" w:sz="0" w:space="0" w:color="auto"/>
      </w:divBdr>
      <w:divsChild>
        <w:div w:id="1806194159">
          <w:marLeft w:val="0"/>
          <w:marRight w:val="0"/>
          <w:marTop w:val="0"/>
          <w:marBottom w:val="0"/>
          <w:divBdr>
            <w:top w:val="none" w:sz="0" w:space="0" w:color="auto"/>
            <w:left w:val="none" w:sz="0" w:space="0" w:color="auto"/>
            <w:bottom w:val="none" w:sz="0" w:space="0" w:color="auto"/>
            <w:right w:val="none" w:sz="0" w:space="0" w:color="auto"/>
          </w:divBdr>
        </w:div>
      </w:divsChild>
    </w:div>
    <w:div w:id="1230112320">
      <w:bodyDiv w:val="1"/>
      <w:marLeft w:val="0"/>
      <w:marRight w:val="0"/>
      <w:marTop w:val="0"/>
      <w:marBottom w:val="0"/>
      <w:divBdr>
        <w:top w:val="none" w:sz="0" w:space="0" w:color="auto"/>
        <w:left w:val="none" w:sz="0" w:space="0" w:color="auto"/>
        <w:bottom w:val="none" w:sz="0" w:space="0" w:color="auto"/>
        <w:right w:val="none" w:sz="0" w:space="0" w:color="auto"/>
      </w:divBdr>
    </w:div>
    <w:div w:id="1391418014">
      <w:bodyDiv w:val="1"/>
      <w:marLeft w:val="0"/>
      <w:marRight w:val="0"/>
      <w:marTop w:val="0"/>
      <w:marBottom w:val="0"/>
      <w:divBdr>
        <w:top w:val="none" w:sz="0" w:space="0" w:color="auto"/>
        <w:left w:val="none" w:sz="0" w:space="0" w:color="auto"/>
        <w:bottom w:val="none" w:sz="0" w:space="0" w:color="auto"/>
        <w:right w:val="none" w:sz="0" w:space="0" w:color="auto"/>
      </w:divBdr>
    </w:div>
    <w:div w:id="1416393551">
      <w:bodyDiv w:val="1"/>
      <w:marLeft w:val="0"/>
      <w:marRight w:val="0"/>
      <w:marTop w:val="0"/>
      <w:marBottom w:val="0"/>
      <w:divBdr>
        <w:top w:val="none" w:sz="0" w:space="0" w:color="auto"/>
        <w:left w:val="none" w:sz="0" w:space="0" w:color="auto"/>
        <w:bottom w:val="none" w:sz="0" w:space="0" w:color="auto"/>
        <w:right w:val="none" w:sz="0" w:space="0" w:color="auto"/>
      </w:divBdr>
      <w:divsChild>
        <w:div w:id="1343313678">
          <w:marLeft w:val="0"/>
          <w:marRight w:val="0"/>
          <w:marTop w:val="0"/>
          <w:marBottom w:val="0"/>
          <w:divBdr>
            <w:top w:val="none" w:sz="0" w:space="0" w:color="auto"/>
            <w:left w:val="none" w:sz="0" w:space="0" w:color="auto"/>
            <w:bottom w:val="none" w:sz="0" w:space="0" w:color="auto"/>
            <w:right w:val="none" w:sz="0" w:space="0" w:color="auto"/>
          </w:divBdr>
        </w:div>
      </w:divsChild>
    </w:div>
    <w:div w:id="1496727830">
      <w:bodyDiv w:val="1"/>
      <w:marLeft w:val="0"/>
      <w:marRight w:val="0"/>
      <w:marTop w:val="0"/>
      <w:marBottom w:val="0"/>
      <w:divBdr>
        <w:top w:val="none" w:sz="0" w:space="0" w:color="auto"/>
        <w:left w:val="none" w:sz="0" w:space="0" w:color="auto"/>
        <w:bottom w:val="none" w:sz="0" w:space="0" w:color="auto"/>
        <w:right w:val="none" w:sz="0" w:space="0" w:color="auto"/>
      </w:divBdr>
    </w:div>
    <w:div w:id="1664314953">
      <w:bodyDiv w:val="1"/>
      <w:marLeft w:val="0"/>
      <w:marRight w:val="0"/>
      <w:marTop w:val="0"/>
      <w:marBottom w:val="0"/>
      <w:divBdr>
        <w:top w:val="none" w:sz="0" w:space="0" w:color="auto"/>
        <w:left w:val="none" w:sz="0" w:space="0" w:color="auto"/>
        <w:bottom w:val="none" w:sz="0" w:space="0" w:color="auto"/>
        <w:right w:val="none" w:sz="0" w:space="0" w:color="auto"/>
      </w:divBdr>
    </w:div>
    <w:div w:id="1776901046">
      <w:bodyDiv w:val="1"/>
      <w:marLeft w:val="0"/>
      <w:marRight w:val="0"/>
      <w:marTop w:val="0"/>
      <w:marBottom w:val="0"/>
      <w:divBdr>
        <w:top w:val="none" w:sz="0" w:space="0" w:color="auto"/>
        <w:left w:val="none" w:sz="0" w:space="0" w:color="auto"/>
        <w:bottom w:val="none" w:sz="0" w:space="0" w:color="auto"/>
        <w:right w:val="none" w:sz="0" w:space="0" w:color="auto"/>
      </w:divBdr>
    </w:div>
    <w:div w:id="2010014464">
      <w:bodyDiv w:val="1"/>
      <w:marLeft w:val="0"/>
      <w:marRight w:val="0"/>
      <w:marTop w:val="0"/>
      <w:marBottom w:val="0"/>
      <w:divBdr>
        <w:top w:val="none" w:sz="0" w:space="0" w:color="auto"/>
        <w:left w:val="none" w:sz="0" w:space="0" w:color="auto"/>
        <w:bottom w:val="none" w:sz="0" w:space="0" w:color="auto"/>
        <w:right w:val="none" w:sz="0" w:space="0" w:color="auto"/>
      </w:divBdr>
    </w:div>
    <w:div w:id="2025203783">
      <w:bodyDiv w:val="1"/>
      <w:marLeft w:val="0"/>
      <w:marRight w:val="0"/>
      <w:marTop w:val="0"/>
      <w:marBottom w:val="0"/>
      <w:divBdr>
        <w:top w:val="none" w:sz="0" w:space="0" w:color="auto"/>
        <w:left w:val="none" w:sz="0" w:space="0" w:color="auto"/>
        <w:bottom w:val="none" w:sz="0" w:space="0" w:color="auto"/>
        <w:right w:val="none" w:sz="0" w:space="0" w:color="auto"/>
      </w:divBdr>
    </w:div>
    <w:div w:id="20321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19477</Words>
  <Characters>111021</Characters>
  <Application>Microsoft Office Word</Application>
  <DocSecurity>0</DocSecurity>
  <Lines>925</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Lamine Gaye</dc:creator>
  <cp:lastModifiedBy>SALHA</cp:lastModifiedBy>
  <cp:revision>2</cp:revision>
  <dcterms:created xsi:type="dcterms:W3CDTF">2025-04-29T11:28:00Z</dcterms:created>
  <dcterms:modified xsi:type="dcterms:W3CDTF">2025-04-29T11:28:00Z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id="WFuHtuwP"/&gt;&lt;style id="http://www.zotero.org/styles/3d-printing-and-additive-manufacturing" hasBibliography="1" bibliographyStyleHasBeenSet="1"/&gt;&lt;prefs&gt;&lt;pref name="fieldType" value="Field"/&gt;&lt;/pref</vt:lpwstr>
  </property>
  <property fmtid="{D5CDD505-2E9C-101B-9397-08002B2CF9AE}" pid="3" name="ZOTERO_PREF_2">
    <vt:lpwstr>s&gt;&lt;/data&gt;</vt:lpwstr>
  </property>
</Properties>
</file>