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B6E31" w14:textId="77777777" w:rsidR="0069775F" w:rsidRDefault="004D7A71">
      <w:pPr>
        <w:spacing w:after="120" w:line="240" w:lineRule="auto"/>
        <w:jc w:val="center"/>
        <w:rPr>
          <w:rFonts w:ascii="Times New Roman" w:eastAsia="Times New Roman" w:hAnsi="Times New Roman"/>
          <w:b/>
          <w:bCs/>
          <w:sz w:val="28"/>
          <w:szCs w:val="28"/>
        </w:rPr>
      </w:pPr>
      <w:commentRangeStart w:id="0"/>
      <w:r>
        <w:rPr>
          <w:rFonts w:ascii="Times New Roman" w:eastAsia="Times New Roman" w:hAnsi="Times New Roman"/>
          <w:b/>
          <w:bCs/>
          <w:sz w:val="28"/>
          <w:szCs w:val="28"/>
        </w:rPr>
        <w:t xml:space="preserve">Histological Based Sub-Chronic Toxicity Testing of Target Heavy Metals in Fresh Water; Using </w:t>
      </w:r>
      <w:proofErr w:type="gramStart"/>
      <w:r>
        <w:rPr>
          <w:rFonts w:ascii="Times New Roman" w:eastAsia="Times New Roman" w:hAnsi="Times New Roman"/>
          <w:b/>
          <w:bCs/>
          <w:sz w:val="28"/>
          <w:szCs w:val="28"/>
        </w:rPr>
        <w:t>The</w:t>
      </w:r>
      <w:proofErr w:type="gramEnd"/>
      <w:r>
        <w:rPr>
          <w:rFonts w:ascii="Times New Roman" w:eastAsia="Times New Roman" w:hAnsi="Times New Roman"/>
          <w:b/>
          <w:bCs/>
          <w:sz w:val="28"/>
          <w:szCs w:val="28"/>
        </w:rPr>
        <w:t xml:space="preserve"> </w:t>
      </w:r>
      <w:proofErr w:type="spellStart"/>
      <w:r>
        <w:rPr>
          <w:rFonts w:ascii="Times New Roman" w:eastAsia="Times New Roman" w:hAnsi="Times New Roman"/>
          <w:b/>
          <w:bCs/>
          <w:sz w:val="28"/>
          <w:szCs w:val="28"/>
        </w:rPr>
        <w:t>Histo</w:t>
      </w:r>
      <w:proofErr w:type="spellEnd"/>
      <w:r>
        <w:rPr>
          <w:rFonts w:ascii="Times New Roman" w:eastAsia="Times New Roman" w:hAnsi="Times New Roman"/>
          <w:b/>
          <w:bCs/>
          <w:sz w:val="28"/>
          <w:szCs w:val="28"/>
        </w:rPr>
        <w:t xml:space="preserve">-Morphometry of Gills Of </w:t>
      </w:r>
      <w:proofErr w:type="spellStart"/>
      <w:r>
        <w:rPr>
          <w:rFonts w:ascii="Times New Roman" w:eastAsia="Times New Roman" w:hAnsi="Times New Roman"/>
          <w:b/>
          <w:bCs/>
          <w:i/>
          <w:sz w:val="28"/>
          <w:szCs w:val="28"/>
        </w:rPr>
        <w:t>Coptodon</w:t>
      </w:r>
      <w:proofErr w:type="spellEnd"/>
      <w:r>
        <w:rPr>
          <w:rFonts w:ascii="Times New Roman" w:eastAsia="Times New Roman" w:hAnsi="Times New Roman"/>
          <w:b/>
          <w:bCs/>
          <w:i/>
          <w:sz w:val="28"/>
          <w:szCs w:val="28"/>
        </w:rPr>
        <w:t xml:space="preserve"> </w:t>
      </w:r>
      <w:proofErr w:type="spellStart"/>
      <w:r>
        <w:rPr>
          <w:rFonts w:ascii="Times New Roman" w:eastAsia="Times New Roman" w:hAnsi="Times New Roman"/>
          <w:b/>
          <w:bCs/>
          <w:i/>
          <w:sz w:val="28"/>
          <w:szCs w:val="28"/>
        </w:rPr>
        <w:t>zillii</w:t>
      </w:r>
      <w:commentRangeEnd w:id="0"/>
      <w:proofErr w:type="spellEnd"/>
      <w:r w:rsidR="00CD1BE8">
        <w:rPr>
          <w:rStyle w:val="a9"/>
        </w:rPr>
        <w:commentReference w:id="0"/>
      </w:r>
    </w:p>
    <w:p w14:paraId="44A890F9" w14:textId="77777777" w:rsidR="00BD0DA5" w:rsidRDefault="00BD0DA5" w:rsidP="00BD0DA5">
      <w:pPr>
        <w:spacing w:after="120" w:line="240" w:lineRule="auto"/>
        <w:rPr>
          <w:rFonts w:ascii="Times New Roman" w:eastAsia="Times New Roman" w:hAnsi="Times New Roman"/>
          <w:b/>
          <w:bCs/>
          <w:iCs/>
          <w:sz w:val="24"/>
          <w:szCs w:val="24"/>
        </w:rPr>
      </w:pPr>
    </w:p>
    <w:p w14:paraId="3A4EE81C" w14:textId="21F915B2" w:rsidR="00625089" w:rsidRPr="00C72F49" w:rsidRDefault="00625089" w:rsidP="00625089">
      <w:pPr>
        <w:spacing w:after="12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p w14:paraId="01FF1390"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319E32E9" w14:textId="77777777" w:rsidR="0069775F" w:rsidRDefault="004D7A71">
      <w:pPr>
        <w:spacing w:after="120" w:line="240" w:lineRule="auto"/>
        <w:jc w:val="both"/>
        <w:rPr>
          <w:rFonts w:ascii="Times New Roman" w:eastAsia="Times New Roman" w:hAnsi="Times New Roman"/>
          <w:i/>
          <w:iCs/>
          <w:sz w:val="24"/>
          <w:szCs w:val="24"/>
        </w:rPr>
      </w:pPr>
      <w:r>
        <w:rPr>
          <w:rFonts w:ascii="Times New Roman" w:eastAsia="Times New Roman" w:hAnsi="Times New Roman"/>
          <w:b/>
          <w:iCs/>
          <w:sz w:val="24"/>
          <w:szCs w:val="24"/>
        </w:rPr>
        <w:t>Abstract</w:t>
      </w:r>
      <w:r>
        <w:rPr>
          <w:rFonts w:ascii="Times New Roman" w:eastAsia="Times New Roman" w:hAnsi="Times New Roman"/>
          <w:i/>
          <w:iCs/>
          <w:sz w:val="24"/>
          <w:szCs w:val="24"/>
        </w:rPr>
        <w:t xml:space="preserve">: This histology based toxicological study is aimed to advance the histopathological characteristics of fish gills exposed to some known crude oil spill heavy metals. Based on literature review on the environmental crude oil spill burdens of Niger Delta region of </w:t>
      </w:r>
      <w:proofErr w:type="gramStart"/>
      <w:r>
        <w:rPr>
          <w:rFonts w:ascii="Times New Roman" w:eastAsia="Times New Roman" w:hAnsi="Times New Roman"/>
          <w:i/>
          <w:iCs/>
          <w:sz w:val="24"/>
          <w:szCs w:val="24"/>
        </w:rPr>
        <w:t>Nigeria ,</w:t>
      </w:r>
      <w:proofErr w:type="gramEnd"/>
      <w:r>
        <w:rPr>
          <w:rFonts w:ascii="Times New Roman" w:eastAsia="Times New Roman" w:hAnsi="Times New Roman"/>
          <w:i/>
          <w:iCs/>
          <w:sz w:val="24"/>
          <w:szCs w:val="24"/>
        </w:rPr>
        <w:t xml:space="preserve"> the following target chemicals (TC) were selected for the study: Cadmium (Cd), Chromium (Cr), Copper (Cu), Nickel (Ni) and Lead (Pb). The experimental type is a sub-chronicity fish exposure testing for </w:t>
      </w:r>
      <w:proofErr w:type="gramStart"/>
      <w:r>
        <w:rPr>
          <w:rFonts w:ascii="Times New Roman" w:eastAsia="Times New Roman" w:hAnsi="Times New Roman"/>
          <w:i/>
          <w:iCs/>
          <w:sz w:val="24"/>
          <w:szCs w:val="24"/>
        </w:rPr>
        <w:t>twenty eight</w:t>
      </w:r>
      <w:proofErr w:type="gramEnd"/>
      <w:r>
        <w:rPr>
          <w:rFonts w:ascii="Times New Roman" w:eastAsia="Times New Roman" w:hAnsi="Times New Roman"/>
          <w:i/>
          <w:iCs/>
          <w:sz w:val="24"/>
          <w:szCs w:val="24"/>
        </w:rPr>
        <w:t xml:space="preserve"> (28) days duration. The experimental set up involves a twenty two pieces (22) of twenty liter (20l) tanks of four (4) replicate tanks per target chemical (TC) containing </w:t>
      </w:r>
      <w:proofErr w:type="gramStart"/>
      <w:r>
        <w:rPr>
          <w:rFonts w:ascii="Times New Roman" w:eastAsia="Times New Roman" w:hAnsi="Times New Roman"/>
          <w:i/>
          <w:iCs/>
          <w:sz w:val="24"/>
          <w:szCs w:val="24"/>
        </w:rPr>
        <w:t>ten(</w:t>
      </w:r>
      <w:proofErr w:type="gramEnd"/>
      <w:r>
        <w:rPr>
          <w:rFonts w:ascii="Times New Roman" w:eastAsia="Times New Roman" w:hAnsi="Times New Roman"/>
          <w:i/>
          <w:iCs/>
          <w:sz w:val="24"/>
          <w:szCs w:val="24"/>
        </w:rPr>
        <w:t xml:space="preserve">10) juvenile study fish per tank in a semi-static tank testing system. TC exposure concentrations above maximum allowable toxicant concentration (MATC) for fresh water were used for the study. Quality histologically results showed alteration which were consistent with heavy metal exposure studies. Semi-quantitative assessment showed significant difference between control and experimental gills organ histopathological indices. The study further validates MATC fresh water guideline use for toxicity certification in Cr, Cd and Ni exposure. </w:t>
      </w:r>
    </w:p>
    <w:p w14:paraId="1D13E5F2" w14:textId="77777777" w:rsidR="0069775F" w:rsidRDefault="0069775F">
      <w:pPr>
        <w:spacing w:after="120" w:line="240" w:lineRule="auto"/>
        <w:jc w:val="both"/>
        <w:rPr>
          <w:rFonts w:ascii="Times New Roman" w:eastAsia="Times New Roman" w:hAnsi="Times New Roman"/>
          <w:i/>
          <w:iCs/>
          <w:sz w:val="24"/>
          <w:szCs w:val="24"/>
        </w:rPr>
      </w:pPr>
    </w:p>
    <w:p w14:paraId="1F694278" w14:textId="77777777" w:rsidR="0069775F" w:rsidRDefault="004D7A71">
      <w:pPr>
        <w:spacing w:after="120" w:line="240" w:lineRule="auto"/>
        <w:jc w:val="both"/>
        <w:rPr>
          <w:rFonts w:ascii="Times New Roman" w:eastAsia="Times New Roman" w:hAnsi="Times New Roman"/>
          <w:sz w:val="24"/>
          <w:szCs w:val="24"/>
        </w:rPr>
      </w:pPr>
      <w:r>
        <w:rPr>
          <w:rFonts w:ascii="Times New Roman" w:eastAsia="Times New Roman" w:hAnsi="Times New Roman"/>
          <w:b/>
          <w:bCs/>
          <w:iCs/>
          <w:sz w:val="24"/>
          <w:szCs w:val="24"/>
        </w:rPr>
        <w:t>Keywords</w:t>
      </w:r>
      <w:r>
        <w:rPr>
          <w:rFonts w:ascii="Times New Roman" w:eastAsia="Times New Roman" w:hAnsi="Times New Roman"/>
          <w:i/>
          <w:iCs/>
          <w:sz w:val="24"/>
          <w:szCs w:val="24"/>
        </w:rPr>
        <w:t>: Histology, Toxicity, Toxicology, Sub-chronic, Heavy Metals and Fish Gills.</w:t>
      </w:r>
    </w:p>
    <w:p w14:paraId="2427A8FF"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208B0958" w14:textId="77777777" w:rsidR="0069775F" w:rsidRDefault="004D7A71">
      <w:pPr>
        <w:spacing w:after="12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Introduction</w:t>
      </w:r>
    </w:p>
    <w:p w14:paraId="10F22C1F"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Toxicology is a branch of biology, chemistry, and medicine concerned with the study of the adverse effects of chemicals on living organism (</w:t>
      </w:r>
      <w:commentRangeStart w:id="1"/>
      <w:r>
        <w:rPr>
          <w:rFonts w:ascii="Times New Roman" w:eastAsia="Times New Roman" w:hAnsi="Times New Roman"/>
          <w:sz w:val="24"/>
          <w:szCs w:val="24"/>
        </w:rPr>
        <w:t>Schrager</w:t>
      </w:r>
      <w:commentRangeEnd w:id="1"/>
      <w:r w:rsidR="0063687E">
        <w:rPr>
          <w:rStyle w:val="a9"/>
        </w:rPr>
        <w:commentReference w:id="1"/>
      </w:r>
      <w:r>
        <w:rPr>
          <w:rFonts w:ascii="Times New Roman" w:eastAsia="Times New Roman" w:hAnsi="Times New Roman"/>
          <w:sz w:val="24"/>
          <w:szCs w:val="24"/>
        </w:rPr>
        <w:t>, 2006). It also studies the harmful effects of chemical, biological and physical agents in a biological system to establish the extent of damage in living organisms. Toxicity is the inherent property of a substance to cause adverse biological effect at specific concentration (ECETOC, 1986). Toxicity tests are used to expose test organisms to a medium—water, sediment, or soil—and evaluate the effects of contamination on behavioral, physiological, biochemical and histological end points. These tests may help to determine whether the contaminant concentrations in a site’s media are high enough to cause adverse effects in organisms. Generally, toxicity tests involve collecting samples of media from a site and sending them to a toxicity laboratory, where the tests are performed.</w:t>
      </w:r>
    </w:p>
    <w:p w14:paraId="359348C0"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goal of toxicity assessment is to identify adverse effects of a substance. Adverse effects depend on two main factors (</w:t>
      </w:r>
      <w:commentRangeStart w:id="2"/>
      <w:r>
        <w:rPr>
          <w:rFonts w:ascii="Times New Roman" w:eastAsia="Times New Roman" w:hAnsi="Times New Roman"/>
          <w:sz w:val="24"/>
          <w:szCs w:val="24"/>
        </w:rPr>
        <w:t>Ottoboni</w:t>
      </w:r>
      <w:commentRangeEnd w:id="2"/>
      <w:r w:rsidR="0063687E">
        <w:rPr>
          <w:rStyle w:val="a9"/>
        </w:rPr>
        <w:commentReference w:id="2"/>
      </w:r>
      <w:r>
        <w:rPr>
          <w:rFonts w:ascii="Times New Roman" w:eastAsia="Times New Roman" w:hAnsi="Times New Roman"/>
          <w:sz w:val="24"/>
          <w:szCs w:val="24"/>
        </w:rPr>
        <w:t>, 1991);</w:t>
      </w:r>
    </w:p>
    <w:p w14:paraId="6E5ABD06" w14:textId="77777777" w:rsidR="0069775F" w:rsidRDefault="004D7A71">
      <w:pPr>
        <w:pStyle w:val="ListParagraphdaeebebf-f101-4889-831f-2692a0b491de"/>
        <w:numPr>
          <w:ilvl w:val="0"/>
          <w:numId w:val="1"/>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Dosage: has to do with duration and concentration of exposure. Both large single exposures (acute) and continuous small exposures (chronic) are studied.</w:t>
      </w:r>
    </w:p>
    <w:p w14:paraId="2A126FC4" w14:textId="77777777" w:rsidR="0069775F" w:rsidRDefault="004D7A71">
      <w:pPr>
        <w:pStyle w:val="ListParagraphdaeebebf-f101-4889-831f-2692a0b491de"/>
        <w:numPr>
          <w:ilvl w:val="0"/>
          <w:numId w:val="1"/>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Route of exposure: The routes of exposure are Ingestion (oral), inhalation or skin absorption (dermal).</w:t>
      </w:r>
    </w:p>
    <w:p w14:paraId="20566AED" w14:textId="77777777" w:rsidR="0069775F" w:rsidRDefault="004D7A71">
      <w:pPr>
        <w:pStyle w:val="ListParagraphdaeebebf-f101-4889-831f-2692a0b491de"/>
        <w:numPr>
          <w:ilvl w:val="0"/>
          <w:numId w:val="1"/>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Other factors are species, age, sex, health, environment and individual characteristics.</w:t>
      </w:r>
    </w:p>
    <w:p w14:paraId="2E50CCD5"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Toxicity tests can measure lethal and/or sublethal effects. These effects are known as measurement endpoints: that is, they are ecological attributes that may be adversely affected by </w:t>
      </w:r>
      <w:r>
        <w:rPr>
          <w:rFonts w:ascii="Times New Roman" w:eastAsia="Times New Roman" w:hAnsi="Times New Roman"/>
          <w:sz w:val="24"/>
          <w:szCs w:val="24"/>
        </w:rPr>
        <w:lastRenderedPageBreak/>
        <w:t xml:space="preserve">exposure to site contaminants and </w:t>
      </w:r>
      <w:r>
        <w:rPr>
          <w:rFonts w:ascii="Times New Roman" w:eastAsia="Times New Roman" w:hAnsi="Times New Roman"/>
          <w:color w:val="FF0000"/>
          <w:sz w:val="24"/>
          <w:szCs w:val="24"/>
        </w:rPr>
        <w:t>(</w:t>
      </w:r>
      <w:r>
        <w:rPr>
          <w:rFonts w:ascii="Times New Roman" w:eastAsia="Times New Roman" w:hAnsi="Times New Roman"/>
          <w:sz w:val="24"/>
          <w:szCs w:val="24"/>
        </w:rPr>
        <w:t>that</w:t>
      </w:r>
      <w:r>
        <w:rPr>
          <w:rFonts w:ascii="Times New Roman" w:eastAsia="Times New Roman" w:hAnsi="Times New Roman"/>
          <w:color w:val="FF0000"/>
          <w:sz w:val="24"/>
          <w:szCs w:val="24"/>
        </w:rPr>
        <w:t>)</w:t>
      </w:r>
      <w:r>
        <w:rPr>
          <w:rFonts w:ascii="Times New Roman" w:eastAsia="Times New Roman" w:hAnsi="Times New Roman"/>
          <w:sz w:val="24"/>
          <w:szCs w:val="24"/>
        </w:rPr>
        <w:t xml:space="preserve"> are readily measurable. In addition, each measurement endpoint is closely related to an assessment endpoint. Because of this close relationship, a measurement endpoint can approximate or represent the assessment endpoint if the assessment endpoint is not amenable to direct measurement (USEPA, 1992). Based on the measured end points, toxicity testing divided into Acute, Sub-Chronic and Chronic toxicity testing (USEPA, 1994:</w:t>
      </w:r>
    </w:p>
    <w:p w14:paraId="6CCECCD6" w14:textId="77777777" w:rsidR="0069775F" w:rsidRDefault="004D7A71">
      <w:pPr>
        <w:pStyle w:val="ListParagraphdaeebebf-f101-4889-831f-2692a0b491de"/>
        <w:numPr>
          <w:ilvl w:val="0"/>
          <w:numId w:val="2"/>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Acute toxicity tests: are short-term tests that measure the effects of exposure to relatively high concentrations of chemicals. The measurement endpoint generally reflects the extent of lethality (USEPA, 1994). </w:t>
      </w:r>
    </w:p>
    <w:p w14:paraId="54951631" w14:textId="77777777" w:rsidR="0069775F" w:rsidRDefault="004D7A71">
      <w:pPr>
        <w:pStyle w:val="ListParagraphdaeebebf-f101-4889-831f-2692a0b491de"/>
        <w:numPr>
          <w:ilvl w:val="0"/>
          <w:numId w:val="2"/>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Sub-Chronic Toxicity Testing: A toxicity test designed to investigate possible adverse effect occurring as a result of continuous or repeated exposure of several groups of experimental </w:t>
      </w:r>
      <w:proofErr w:type="gramStart"/>
      <w:r>
        <w:rPr>
          <w:rFonts w:ascii="Times New Roman" w:eastAsia="Times New Roman" w:hAnsi="Times New Roman"/>
          <w:sz w:val="24"/>
          <w:szCs w:val="24"/>
        </w:rPr>
        <w:t>animal</w:t>
      </w:r>
      <w:proofErr w:type="gramEnd"/>
      <w:r>
        <w:rPr>
          <w:rFonts w:ascii="Times New Roman" w:eastAsia="Times New Roman" w:hAnsi="Times New Roman"/>
          <w:sz w:val="24"/>
          <w:szCs w:val="24"/>
        </w:rPr>
        <w:t xml:space="preserve"> to a series of concentration of the test chemical for part (no exceeding 10%) of their life span (ECETOC. 1986)</w:t>
      </w:r>
    </w:p>
    <w:p w14:paraId="768137BB" w14:textId="77777777" w:rsidR="0069775F" w:rsidRDefault="004D7A71">
      <w:pPr>
        <w:pStyle w:val="ListParagraphdaeebebf-f101-4889-831f-2692a0b491de"/>
        <w:numPr>
          <w:ilvl w:val="0"/>
          <w:numId w:val="2"/>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Chronic toxicity tests, on the other hand, generally are longer-term tests that measure the effects of exposure to relatively lower, less toxic concentrations. For a chronic toxicity test, the measurement endpoint concerns a sublethal effect (e.g., reproduction, growth) or both lethality and sub- lethal effect (USEPA, 1994). Results can be analyzed in several ways. One is simply by a direct comparison between percent effects occurring in organisms exposed to site media and those exposed to uncontaminated media. </w:t>
      </w:r>
    </w:p>
    <w:p w14:paraId="5643EA48" w14:textId="77777777" w:rsidR="0069775F" w:rsidRDefault="004D7A71">
      <w:pPr>
        <w:pStyle w:val="ListParagraphdaeebebf-f101-4889-831f-2692a0b491de"/>
        <w:numPr>
          <w:ilvl w:val="0"/>
          <w:numId w:val="2"/>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Other approaches to analysis determine the effect concentration on fifty percent (50%) of the sample (EC50) and the lowest observed effective concentration (LOEC), or the no observed effect concentration (NOEC). The effect, “E” in the aforementioned acronyms can be any of the following end points: mortality, morbidity, inhibition of growth and/ or reproduction.</w:t>
      </w:r>
    </w:p>
    <w:p w14:paraId="067FB4FC"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Heavy metal contamination of aquatic ecosystem has attracted great attention of researchers over the last few decades (Farombi et al., 2007).  Metal in the aquatic environment are bioaccumulated by organisms either passively from water or by facilitated uptake. Excess metal concentration in an organism must be actively excreted, compartmentalized in cells or tissues, or metabolically immobilized. Some metal escape all these actions causing toxic and other adverse effects (Chapman et al., 1996; Rand et al., 1985). Some heavy metals, Chromium (Cr), cadmium (Cd), copper (Cu), lead (Pb), nickel (Ni) and zinc (Zn), are found in the list of organic and inorganic hazardous pollutants which is prepared by the United States Environmental Protection Agency (USEPA) (Akar and </w:t>
      </w:r>
      <w:proofErr w:type="spellStart"/>
      <w:r>
        <w:rPr>
          <w:rFonts w:ascii="Times New Roman" w:eastAsia="Times New Roman" w:hAnsi="Times New Roman"/>
          <w:sz w:val="24"/>
          <w:szCs w:val="24"/>
        </w:rPr>
        <w:t>Tunali</w:t>
      </w:r>
      <w:proofErr w:type="spellEnd"/>
      <w:r>
        <w:rPr>
          <w:rFonts w:ascii="Times New Roman" w:eastAsia="Times New Roman" w:hAnsi="Times New Roman"/>
          <w:sz w:val="24"/>
          <w:szCs w:val="24"/>
        </w:rPr>
        <w:t>, 2005).  However, it is important to note that most essential metals may be toxic when present in concentrations that are in excess of the guideline levels (</w:t>
      </w:r>
      <w:proofErr w:type="spellStart"/>
      <w:r>
        <w:rPr>
          <w:rFonts w:ascii="Times New Roman" w:eastAsia="Times New Roman" w:hAnsi="Times New Roman"/>
          <w:sz w:val="24"/>
          <w:szCs w:val="24"/>
        </w:rPr>
        <w:t>Agbozu</w:t>
      </w:r>
      <w:proofErr w:type="spellEnd"/>
      <w:r>
        <w:rPr>
          <w:rFonts w:ascii="Times New Roman" w:eastAsia="Times New Roman" w:hAnsi="Times New Roman"/>
          <w:sz w:val="24"/>
          <w:szCs w:val="24"/>
        </w:rPr>
        <w:t xml:space="preserve"> et al., 2007). According to Roberts (1989 and 2001) Cu, Pb, mercury (Hg), Zn, Cr, manganese (Mn) and iron (Fe) are the most common cause of metal poisoning.  </w:t>
      </w:r>
      <w:proofErr w:type="spellStart"/>
      <w:r>
        <w:rPr>
          <w:rFonts w:ascii="Times New Roman" w:eastAsia="Times New Roman" w:hAnsi="Times New Roman"/>
          <w:sz w:val="24"/>
          <w:szCs w:val="24"/>
        </w:rPr>
        <w:t>Jarup</w:t>
      </w:r>
      <w:proofErr w:type="spellEnd"/>
      <w:r>
        <w:rPr>
          <w:rFonts w:ascii="Times New Roman" w:eastAsia="Times New Roman" w:hAnsi="Times New Roman"/>
          <w:sz w:val="24"/>
          <w:szCs w:val="24"/>
        </w:rPr>
        <w:t xml:space="preserve"> (2003) documented that the main threat to human health from heavy metals are associated with exposure to Pb, Cd, Hg, and arsenic (As) (arsenic is a metalloid but is usually classified as a heavy metal).</w:t>
      </w:r>
    </w:p>
    <w:p w14:paraId="6C4EDF71"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Gerhardt (2004) established that bioindicators are organisms or communities of organisms which reactions are observed representatively to evaluate a situation, giving clues for the condition of the whole ecosystem; Gerhardt also indicate that bioindicators are species reacting to </w:t>
      </w:r>
      <w:proofErr w:type="spellStart"/>
      <w:r>
        <w:rPr>
          <w:rFonts w:ascii="Times New Roman" w:eastAsia="Times New Roman" w:hAnsi="Times New Roman"/>
          <w:sz w:val="24"/>
          <w:szCs w:val="24"/>
        </w:rPr>
        <w:t>anthropogenical</w:t>
      </w:r>
      <w:proofErr w:type="spellEnd"/>
      <w:r>
        <w:rPr>
          <w:rFonts w:ascii="Times New Roman" w:eastAsia="Times New Roman" w:hAnsi="Times New Roman"/>
          <w:sz w:val="24"/>
          <w:szCs w:val="24"/>
        </w:rPr>
        <w:t xml:space="preserve"> effects on the environment, concluding that a biological indicator would be: a species or group of species that readily reflects the abiotic or biotic state of an environment, represents the impact of environmental change on a habitat, community or ecosystem or is indicative of the diversity of a subset of taxa or the whole diversity within an area. In this sense, </w:t>
      </w:r>
      <w:r>
        <w:rPr>
          <w:rFonts w:ascii="Times New Roman" w:eastAsia="Times New Roman" w:hAnsi="Times New Roman"/>
          <w:sz w:val="24"/>
          <w:szCs w:val="24"/>
        </w:rPr>
        <w:lastRenderedPageBreak/>
        <w:t>the primary role of ecological indicators is to measure the response of the ecosystem to anthropogenic disturbances (</w:t>
      </w:r>
      <w:commentRangeStart w:id="3"/>
      <w:r>
        <w:rPr>
          <w:rFonts w:ascii="Times New Roman" w:eastAsia="Times New Roman" w:hAnsi="Times New Roman"/>
          <w:sz w:val="24"/>
          <w:szCs w:val="24"/>
        </w:rPr>
        <w:t>Niemi and McDonald, 2004</w:t>
      </w:r>
      <w:commentRangeEnd w:id="3"/>
      <w:r w:rsidR="002A36F0">
        <w:rPr>
          <w:rStyle w:val="a9"/>
          <w:rtl/>
        </w:rPr>
        <w:commentReference w:id="3"/>
      </w:r>
      <w:r>
        <w:rPr>
          <w:rFonts w:ascii="Times New Roman" w:eastAsia="Times New Roman" w:hAnsi="Times New Roman"/>
          <w:sz w:val="24"/>
          <w:szCs w:val="24"/>
        </w:rPr>
        <w:t>).</w:t>
      </w:r>
    </w:p>
    <w:p w14:paraId="28DEDF39"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Fish gills are used as biomarker for this study. Gills are critical organs for their respiratory, (gas exchange) osmoregulatory (acid-base balance/ionic regulation) and excretory (excretion of nitrogenous waste) functions (Mallat, 1985; </w:t>
      </w:r>
      <w:commentRangeStart w:id="4"/>
      <w:proofErr w:type="spellStart"/>
      <w:r>
        <w:rPr>
          <w:rFonts w:ascii="Times New Roman" w:eastAsia="Times New Roman" w:hAnsi="Times New Roman"/>
          <w:sz w:val="24"/>
          <w:szCs w:val="24"/>
        </w:rPr>
        <w:t>Thopon</w:t>
      </w:r>
      <w:proofErr w:type="spellEnd"/>
      <w:r>
        <w:rPr>
          <w:rFonts w:ascii="Times New Roman" w:eastAsia="Times New Roman" w:hAnsi="Times New Roman"/>
          <w:sz w:val="24"/>
          <w:szCs w:val="24"/>
        </w:rPr>
        <w:t xml:space="preserve"> et al., 2003</w:t>
      </w:r>
      <w:commentRangeEnd w:id="4"/>
      <w:r w:rsidR="002A36F0">
        <w:rPr>
          <w:rStyle w:val="a9"/>
          <w:rtl/>
        </w:rPr>
        <w:commentReference w:id="4"/>
      </w:r>
      <w:r>
        <w:rPr>
          <w:rFonts w:ascii="Times New Roman" w:eastAsia="Times New Roman" w:hAnsi="Times New Roman"/>
          <w:sz w:val="24"/>
          <w:szCs w:val="24"/>
        </w:rPr>
        <w:t>). The gill surface is more than half of the entire body surface area, with an epithelial layer of only a few microns separating the interior of the fish from the external environment (</w:t>
      </w:r>
      <w:proofErr w:type="spellStart"/>
      <w:r>
        <w:rPr>
          <w:rFonts w:ascii="Times New Roman" w:eastAsia="Times New Roman" w:hAnsi="Times New Roman"/>
          <w:sz w:val="24"/>
          <w:szCs w:val="24"/>
        </w:rPr>
        <w:t>Pawert</w:t>
      </w:r>
      <w:proofErr w:type="spellEnd"/>
      <w:r>
        <w:rPr>
          <w:rFonts w:ascii="Times New Roman" w:eastAsia="Times New Roman" w:hAnsi="Times New Roman"/>
          <w:sz w:val="24"/>
          <w:szCs w:val="24"/>
        </w:rPr>
        <w:t xml:space="preserve"> et al., 1998; Cengiz, 2006). As a result of this, a close association between water and blood occur making gills strongly affected by environmental contaminants (Rombough and Garside, 1977). Yasutake and Wales (1983) stated that gill is a system for bringing the blood </w:t>
      </w:r>
      <w:proofErr w:type="spellStart"/>
      <w:r>
        <w:rPr>
          <w:rFonts w:ascii="Times New Roman" w:eastAsia="Times New Roman" w:hAnsi="Times New Roman"/>
          <w:sz w:val="24"/>
          <w:szCs w:val="24"/>
        </w:rPr>
        <w:t>haemoglobin</w:t>
      </w:r>
      <w:proofErr w:type="spellEnd"/>
      <w:r>
        <w:rPr>
          <w:rFonts w:ascii="Times New Roman" w:eastAsia="Times New Roman" w:hAnsi="Times New Roman"/>
          <w:sz w:val="24"/>
          <w:szCs w:val="24"/>
        </w:rPr>
        <w:t xml:space="preserve"> into close contact with water so that oxygen can be absorbed and carbon dioxide released.</w:t>
      </w:r>
    </w:p>
    <w:p w14:paraId="09265A36"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Irritation from contaminants, abrasive particles or parasitic organism can adversely affect the gill epithelium and reduce respiratory efficiency (Yasutake and Wales, 1983). Respiratory distress is one of the early symptoms of gill’s toxicity (McDonald, 1983). According to Skidmore and </w:t>
      </w:r>
      <w:proofErr w:type="spellStart"/>
      <w:r>
        <w:rPr>
          <w:rFonts w:ascii="Times New Roman" w:eastAsia="Times New Roman" w:hAnsi="Times New Roman"/>
          <w:sz w:val="24"/>
          <w:szCs w:val="24"/>
        </w:rPr>
        <w:t>Tovell</w:t>
      </w:r>
      <w:proofErr w:type="spellEnd"/>
      <w:r>
        <w:rPr>
          <w:rFonts w:ascii="Times New Roman" w:eastAsia="Times New Roman" w:hAnsi="Times New Roman"/>
          <w:sz w:val="24"/>
          <w:szCs w:val="24"/>
        </w:rPr>
        <w:t xml:space="preserve"> (1972) in gills, toxicants appear to break down the adhesion between epithelial branchial cells and underlying pillar cells. This is accompanied by a collapse of structural integrity of the secondary lamellae and subsequent failure of the respiratory functioning of the gills. Gills appear to be the most affected organ during acute toxicity, and will become blunt and thickened and lose ability to regulate body fluid ion concentrations (</w:t>
      </w:r>
      <w:proofErr w:type="spellStart"/>
      <w:r>
        <w:rPr>
          <w:rFonts w:ascii="Times New Roman" w:eastAsia="Times New Roman" w:hAnsi="Times New Roman"/>
          <w:sz w:val="24"/>
          <w:szCs w:val="24"/>
        </w:rPr>
        <w:t>Yanong</w:t>
      </w:r>
      <w:proofErr w:type="spellEnd"/>
      <w:r>
        <w:rPr>
          <w:rFonts w:ascii="Times New Roman" w:eastAsia="Times New Roman" w:hAnsi="Times New Roman"/>
          <w:sz w:val="24"/>
          <w:szCs w:val="24"/>
        </w:rPr>
        <w:t xml:space="preserve">, </w:t>
      </w:r>
      <w:commentRangeStart w:id="5"/>
      <w:r>
        <w:rPr>
          <w:rFonts w:ascii="Times New Roman" w:eastAsia="Times New Roman" w:hAnsi="Times New Roman"/>
          <w:sz w:val="24"/>
          <w:szCs w:val="24"/>
        </w:rPr>
        <w:t>R.</w:t>
      </w:r>
      <w:proofErr w:type="gramStart"/>
      <w:r>
        <w:rPr>
          <w:rFonts w:ascii="Times New Roman" w:eastAsia="Times New Roman" w:hAnsi="Times New Roman"/>
          <w:sz w:val="24"/>
          <w:szCs w:val="24"/>
        </w:rPr>
        <w:t>P.E</w:t>
      </w:r>
      <w:commentRangeEnd w:id="5"/>
      <w:proofErr w:type="gramEnd"/>
      <w:r w:rsidR="002A36F0">
        <w:rPr>
          <w:rStyle w:val="a9"/>
          <w:rtl/>
        </w:rPr>
        <w:commentReference w:id="5"/>
      </w:r>
      <w:r>
        <w:rPr>
          <w:rFonts w:ascii="Times New Roman" w:eastAsia="Times New Roman" w:hAnsi="Times New Roman"/>
          <w:sz w:val="24"/>
          <w:szCs w:val="24"/>
        </w:rPr>
        <w:t>., 2010)</w:t>
      </w:r>
    </w:p>
    <w:p w14:paraId="1F5F8E8E"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Environmental contaminants are known to induce measurable biochemical changes in exposed aquatic organisms. Likewise, stressors can load or limit physiological systems, reduce growth, impair reproduction and predispose aquatic organisms to disease and reduce their capacity to tolerate additional stressors. Thus, the response of aquatic organisms to the effects of contaminants may manifest at all levels of biological organization, in a hierarchical scale that can be at cellular level, organisms, populations, communities, and ecosystems. In this way, the measuring of a suite of indicators across such levels of organization is often necessary to assess ecological integrity; these indicators usually include biochemical, physiological, morphological (histology), population, community, and ecosystem responses. Biological indicators allow us to isolate key aspects of the environment from an overwhelming array of signals. Biological indicators of an ecology can therefore be defined as measurable alterations in </w:t>
      </w:r>
      <w:proofErr w:type="gramStart"/>
      <w:r>
        <w:rPr>
          <w:rFonts w:ascii="Times New Roman" w:eastAsia="Times New Roman" w:hAnsi="Times New Roman"/>
          <w:sz w:val="24"/>
          <w:szCs w:val="24"/>
        </w:rPr>
        <w:t>an</w:t>
      </w:r>
      <w:proofErr w:type="gramEnd"/>
      <w:r>
        <w:rPr>
          <w:rFonts w:ascii="Times New Roman" w:eastAsia="Times New Roman" w:hAnsi="Times New Roman"/>
          <w:sz w:val="24"/>
          <w:szCs w:val="24"/>
        </w:rPr>
        <w:t xml:space="preserve"> sentinel organism, which include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physiological, biochemical and morphological tissue changes.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physiological and biochemical changes results in the production of stressors that cause lesions or pathology in an organism. In-so-far that lesion </w:t>
      </w:r>
      <w:proofErr w:type="gramStart"/>
      <w:r>
        <w:rPr>
          <w:rFonts w:ascii="Times New Roman" w:eastAsia="Times New Roman" w:hAnsi="Times New Roman"/>
          <w:sz w:val="24"/>
          <w:szCs w:val="24"/>
        </w:rPr>
        <w:t>are</w:t>
      </w:r>
      <w:proofErr w:type="gramEnd"/>
      <w:r>
        <w:rPr>
          <w:rFonts w:ascii="Times New Roman" w:eastAsia="Times New Roman" w:hAnsi="Times New Roman"/>
          <w:sz w:val="24"/>
          <w:szCs w:val="24"/>
        </w:rPr>
        <w:t xml:space="preserve"> defined are areas of abnormal tissue changes, and histopathology is the science of micro-anatomical alterations, histology therefore is a gold standard in assessment sub-lethal effect of contaminants.</w:t>
      </w:r>
    </w:p>
    <w:p w14:paraId="2FEC9542"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Histology is the study of the structure of normal tissue while histopathology is the study of the structure of abnormal, diseased tissue. According to Hinton and Lauren (1990) histological alterations are the overall result of </w:t>
      </w:r>
      <w:proofErr w:type="spellStart"/>
      <w:r>
        <w:rPr>
          <w:rFonts w:ascii="Times New Roman" w:eastAsia="Times New Roman" w:hAnsi="Times New Roman"/>
          <w:sz w:val="24"/>
          <w:szCs w:val="24"/>
        </w:rPr>
        <w:t>unfavourable</w:t>
      </w:r>
      <w:proofErr w:type="spellEnd"/>
      <w:r>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physiological and biochemical alterations in an organism. They may be used to foresee the effects of alterations on processes or activities such as predator avoidance, growth, reproduction, and population stability that occur at higher levels of biological organization (Meyers and Hendricks, 1985). Negative effects as a result of toxicity generally begin at the cellular or tissue level long before the obvious signs such as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changes, loss of appetite, discoloration, or death occur. This is where histology and histopathology could be useful tools in toxicity studies. Histopathology was introduced in studies where more detailed information was needed for further description or screening for early </w:t>
      </w:r>
      <w:r>
        <w:rPr>
          <w:rFonts w:ascii="Times New Roman" w:eastAsia="Times New Roman" w:hAnsi="Times New Roman"/>
          <w:sz w:val="24"/>
          <w:szCs w:val="24"/>
        </w:rPr>
        <w:lastRenderedPageBreak/>
        <w:t>preneoplastic changes (Wester et al., 2002). Histopathological characteristics of specific organs express condition and represent time integrated endogenous and exogenous impacts on the organism stemming from alterations at lower levels of biological organization (Hinton and Lauren, 1990; Swee et at., 1996).</w:t>
      </w:r>
    </w:p>
    <w:p w14:paraId="2226DD3F"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The capability to qualitatively or quantitatively measure physiological, biochemical or morphological alterations before death occurs can present early signs of toxicity and important insights into the mechanisms of toxicity (Meyers and Hendricks, 1985). Critical and unfavorable biological effects may go unnoticed in the context of classical toxicological testing using fish. Histological monitoring (a biomarker of effect) allows for a greater sensitivity as effects will be seen at a smaller dosage in comparison to that of toxicological endpoints like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changes or death (Wester et al., 2002). </w:t>
      </w:r>
    </w:p>
    <w:p w14:paraId="48026C50"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Histopathology alone has diagnostic strength. When combined with other disciplines such as analytical chemistry or xenobiotic physiology, histopathology may also reconstruct possible etiologies for the lesions found (Hinton and Lauren, 1990). </w:t>
      </w:r>
      <w:proofErr w:type="gramStart"/>
      <w:r>
        <w:rPr>
          <w:rFonts w:ascii="Times New Roman" w:eastAsia="Times New Roman" w:hAnsi="Times New Roman"/>
          <w:sz w:val="24"/>
          <w:szCs w:val="24"/>
        </w:rPr>
        <w:t>Furthermore</w:t>
      </w:r>
      <w:proofErr w:type="gramEnd"/>
      <w:r>
        <w:rPr>
          <w:rFonts w:ascii="Times New Roman" w:eastAsia="Times New Roman" w:hAnsi="Times New Roman"/>
          <w:sz w:val="24"/>
          <w:szCs w:val="24"/>
        </w:rPr>
        <w:t xml:space="preserve"> histological techniques like immunohistochemistry for vitellogenin (VTG) identification or histomorphometry that can help to detect microscopic effects early on, not visual during inspection, may greatly enhance this strength (Wester et al., 2002).</w:t>
      </w:r>
    </w:p>
    <w:p w14:paraId="20021C45"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Direct exposures to various toxic pollutants may result in abnormalities and pathological alterations in fish (Bernet et al., 1999). Therefore, to determine and simulate the effects of some target heavy metals exposed to </w:t>
      </w:r>
      <w:commentRangeStart w:id="6"/>
      <w:proofErr w:type="spellStart"/>
      <w:r>
        <w:rPr>
          <w:rFonts w:ascii="Times New Roman" w:eastAsia="Times New Roman" w:hAnsi="Times New Roman"/>
          <w:sz w:val="24"/>
          <w:szCs w:val="24"/>
        </w:rPr>
        <w:t>Coptodon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zillii</w:t>
      </w:r>
      <w:commentRangeEnd w:id="6"/>
      <w:proofErr w:type="spellEnd"/>
      <w:r w:rsidR="00B4110D">
        <w:rPr>
          <w:rStyle w:val="a9"/>
          <w:rtl/>
        </w:rPr>
        <w:commentReference w:id="6"/>
      </w:r>
      <w:r>
        <w:rPr>
          <w:rFonts w:ascii="Times New Roman" w:eastAsia="Times New Roman" w:hAnsi="Times New Roman"/>
          <w:sz w:val="24"/>
          <w:szCs w:val="24"/>
        </w:rPr>
        <w:t>, a histology-based fish health assessment protocol was used to evaluate the bio-indicator fish, using the gills as a histologic biomarker.</w:t>
      </w:r>
    </w:p>
    <w:p w14:paraId="0C03496D" w14:textId="77777777" w:rsidR="0069775F" w:rsidRDefault="0069775F">
      <w:pPr>
        <w:spacing w:after="120" w:line="240" w:lineRule="auto"/>
        <w:rPr>
          <w:rFonts w:ascii="Times New Roman" w:eastAsia="Times New Roman" w:hAnsi="Times New Roman"/>
          <w:sz w:val="24"/>
          <w:szCs w:val="24"/>
        </w:rPr>
      </w:pPr>
    </w:p>
    <w:p w14:paraId="7524A393" w14:textId="77777777" w:rsidR="0069775F" w:rsidRDefault="004D7A71">
      <w:pPr>
        <w:spacing w:after="12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Materials and Method</w:t>
      </w:r>
    </w:p>
    <w:p w14:paraId="19A43B76" w14:textId="77777777" w:rsidR="0069775F" w:rsidRDefault="004D7A71">
      <w:pPr>
        <w:spacing w:after="12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Study Location</w:t>
      </w:r>
    </w:p>
    <w:p w14:paraId="4C89D77D" w14:textId="77777777" w:rsidR="0069775F" w:rsidRDefault="004D7A71">
      <w:pPr>
        <w:spacing w:after="120" w:line="240" w:lineRule="auto"/>
        <w:jc w:val="both"/>
        <w:rPr>
          <w:rFonts w:ascii="Times New Roman" w:eastAsia="Times New Roman" w:hAnsi="Times New Roman"/>
          <w:b/>
          <w:bCs/>
          <w:sz w:val="24"/>
          <w:szCs w:val="24"/>
        </w:rPr>
      </w:pPr>
      <w:r>
        <w:rPr>
          <w:rFonts w:ascii="Times New Roman" w:eastAsia="Times New Roman" w:hAnsi="Times New Roman"/>
          <w:bCs/>
          <w:sz w:val="24"/>
          <w:szCs w:val="24"/>
        </w:rPr>
        <w:t xml:space="preserve">The fish toxicity testing was done in a Wet laboratory of the Department of Aquaculture and Fisheries Management, Faculty of Agriculture, University of Benin, Nigeria. The department undertakes high level human resource development through research, training and technology transfer to ensure sustainable development of forest resources as well as the environmental and social impact on these resources.  </w:t>
      </w:r>
    </w:p>
    <w:p w14:paraId="5F1CA409" w14:textId="77777777" w:rsidR="0069775F" w:rsidRDefault="0069775F">
      <w:pPr>
        <w:spacing w:after="120" w:line="240" w:lineRule="auto"/>
        <w:jc w:val="both"/>
        <w:rPr>
          <w:rFonts w:ascii="Times New Roman" w:eastAsia="Times New Roman" w:hAnsi="Times New Roman"/>
          <w:sz w:val="24"/>
          <w:szCs w:val="24"/>
        </w:rPr>
      </w:pPr>
    </w:p>
    <w:p w14:paraId="68CDCE00" w14:textId="77777777" w:rsidR="0069775F" w:rsidRDefault="004D7A71">
      <w:pPr>
        <w:spacing w:after="12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Study Specie </w:t>
      </w:r>
    </w:p>
    <w:p w14:paraId="3A64C2F2" w14:textId="77777777" w:rsidR="0069775F" w:rsidRDefault="004D7A71">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Fish selection: </w:t>
      </w:r>
      <w:r>
        <w:rPr>
          <w:rFonts w:ascii="Times New Roman" w:eastAsia="Times New Roman" w:hAnsi="Times New Roman"/>
          <w:sz w:val="24"/>
          <w:szCs w:val="24"/>
        </w:rPr>
        <w:t xml:space="preserve">EROCIPS (Emergency Response to coastal Oil, Chemical and Inert Pollution from Shipping), (2006), “Protocol for Selection of Sentinel Species” was basically used to select the appropriate sentinel specie for this study. The resident fish species,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eastAsia="Times New Roman" w:hAnsi="Times New Roman"/>
          <w:sz w:val="24"/>
          <w:szCs w:val="24"/>
        </w:rPr>
        <w:t xml:space="preserve"> because it is a widely studied fish </w:t>
      </w:r>
      <w:proofErr w:type="gramStart"/>
      <w:r>
        <w:rPr>
          <w:rFonts w:ascii="Times New Roman" w:eastAsia="Times New Roman" w:hAnsi="Times New Roman"/>
          <w:sz w:val="24"/>
          <w:szCs w:val="24"/>
        </w:rPr>
        <w:t>species  (</w:t>
      </w:r>
      <w:proofErr w:type="gramEnd"/>
      <w:r>
        <w:rPr>
          <w:rFonts w:ascii="Times New Roman" w:eastAsia="Times New Roman" w:hAnsi="Times New Roman"/>
          <w:sz w:val="24"/>
          <w:szCs w:val="24"/>
        </w:rPr>
        <w:t xml:space="preserve">Harvey et al., 1999; </w:t>
      </w:r>
      <w:proofErr w:type="spellStart"/>
      <w:r>
        <w:rPr>
          <w:rFonts w:ascii="Times New Roman" w:eastAsia="Times New Roman" w:hAnsi="Times New Roman"/>
          <w:sz w:val="24"/>
          <w:szCs w:val="24"/>
        </w:rPr>
        <w:t>Pietrapiana</w:t>
      </w:r>
      <w:proofErr w:type="spellEnd"/>
      <w:r>
        <w:rPr>
          <w:rFonts w:ascii="Times New Roman" w:eastAsia="Times New Roman" w:hAnsi="Times New Roman"/>
          <w:sz w:val="24"/>
          <w:szCs w:val="24"/>
        </w:rPr>
        <w:t xml:space="preserve"> et al., 2002; Budzinski et al., 2004; EROCIPS, 2006; </w:t>
      </w:r>
      <w:proofErr w:type="spellStart"/>
      <w:r>
        <w:rPr>
          <w:rFonts w:ascii="Times New Roman" w:eastAsia="Times New Roman" w:hAnsi="Times New Roman"/>
          <w:sz w:val="24"/>
          <w:szCs w:val="24"/>
        </w:rPr>
        <w:t>Marigo´mez</w:t>
      </w:r>
      <w:proofErr w:type="spellEnd"/>
      <w:r>
        <w:rPr>
          <w:rFonts w:ascii="Times New Roman" w:eastAsia="Times New Roman" w:hAnsi="Times New Roman"/>
          <w:sz w:val="24"/>
          <w:szCs w:val="24"/>
        </w:rPr>
        <w:t xml:space="preserve"> et al., 2006; </w:t>
      </w:r>
      <w:proofErr w:type="spellStart"/>
      <w:r>
        <w:rPr>
          <w:rFonts w:ascii="Times New Roman" w:eastAsia="Times New Roman" w:hAnsi="Times New Roman"/>
          <w:sz w:val="24"/>
          <w:szCs w:val="24"/>
        </w:rPr>
        <w:t>Martı´nez-Go´mez</w:t>
      </w:r>
      <w:proofErr w:type="spellEnd"/>
      <w:r>
        <w:rPr>
          <w:rFonts w:ascii="Times New Roman" w:eastAsia="Times New Roman" w:hAnsi="Times New Roman"/>
          <w:sz w:val="24"/>
          <w:szCs w:val="24"/>
        </w:rPr>
        <w:t xml:space="preserve"> et al., 2006; Joly-</w:t>
      </w:r>
      <w:proofErr w:type="spellStart"/>
      <w:r>
        <w:rPr>
          <w:rFonts w:ascii="Times New Roman" w:eastAsia="Times New Roman" w:hAnsi="Times New Roman"/>
          <w:sz w:val="24"/>
          <w:szCs w:val="24"/>
        </w:rPr>
        <w:t>Turquin</w:t>
      </w:r>
      <w:proofErr w:type="spellEnd"/>
      <w:r>
        <w:rPr>
          <w:rFonts w:ascii="Times New Roman" w:eastAsia="Times New Roman" w:hAnsi="Times New Roman"/>
          <w:sz w:val="24"/>
          <w:szCs w:val="24"/>
        </w:rPr>
        <w:t xml:space="preserve"> et al., 2009), and it is a resident of the Niger Delta region of Nigeria. This region is crude oil production hub of Nigeria, with the highest level of crude oil spills and other crude oil related environmental crimes.</w:t>
      </w:r>
    </w:p>
    <w:p w14:paraId="46979BCD" w14:textId="77777777" w:rsidR="0069775F" w:rsidRDefault="0069775F">
      <w:pPr>
        <w:spacing w:after="120" w:line="240" w:lineRule="auto"/>
        <w:jc w:val="both"/>
        <w:rPr>
          <w:rFonts w:ascii="Times New Roman" w:eastAsia="Times New Roman" w:hAnsi="Times New Roman"/>
          <w:sz w:val="24"/>
          <w:szCs w:val="24"/>
        </w:rPr>
      </w:pPr>
    </w:p>
    <w:p w14:paraId="4140D1CD" w14:textId="77777777" w:rsidR="0069775F" w:rsidRDefault="004D7A71">
      <w:pPr>
        <w:spacing w:after="120" w:line="24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Fish Biodata: </w:t>
      </w:r>
      <w:r>
        <w:rPr>
          <w:rFonts w:ascii="Times New Roman" w:eastAsia="Times New Roman" w:hAnsi="Times New Roman"/>
          <w:sz w:val="24"/>
          <w:szCs w:val="24"/>
        </w:rPr>
        <w:t xml:space="preserve">The chosen bio-indicator fish </w:t>
      </w:r>
      <w:proofErr w:type="spellStart"/>
      <w:r>
        <w:rPr>
          <w:rFonts w:ascii="Times New Roman" w:eastAsia="Times New Roman" w:hAnsi="Times New Roman"/>
          <w:sz w:val="24"/>
          <w:szCs w:val="24"/>
        </w:rPr>
        <w:t>specie</w:t>
      </w:r>
      <w:proofErr w:type="spellEnd"/>
      <w:r>
        <w:rPr>
          <w:rFonts w:ascii="Times New Roman" w:eastAsia="Times New Roman" w:hAnsi="Times New Roman"/>
          <w:sz w:val="24"/>
          <w:szCs w:val="24"/>
        </w:rPr>
        <w:t xml:space="preserve"> for this study is</w:t>
      </w:r>
      <w:r>
        <w:rPr>
          <w:sz w:val="24"/>
          <w:szCs w:val="24"/>
        </w:rPr>
        <w:t xml:space="preserve"> </w:t>
      </w:r>
      <w:r>
        <w:rPr>
          <w:rFonts w:ascii="Times New Roman" w:eastAsia="Times New Roman" w:hAnsi="Times New Roman"/>
          <w:i/>
          <w:sz w:val="24"/>
          <w:szCs w:val="24"/>
        </w:rPr>
        <w:t xml:space="preserve">Tilapia </w:t>
      </w:r>
      <w:proofErr w:type="spellStart"/>
      <w:r>
        <w:rPr>
          <w:rFonts w:ascii="Times New Roman" w:eastAsia="Times New Roman" w:hAnsi="Times New Roman"/>
          <w:i/>
          <w:sz w:val="24"/>
          <w:szCs w:val="24"/>
        </w:rPr>
        <w:t>zillii</w:t>
      </w:r>
      <w:proofErr w:type="spellEnd"/>
      <w:r>
        <w:rPr>
          <w:rFonts w:ascii="Times New Roman" w:eastAsia="Times New Roman" w:hAnsi="Times New Roman"/>
          <w:sz w:val="24"/>
          <w:szCs w:val="24"/>
        </w:rPr>
        <w:t xml:space="preserve">, now known as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w:t>
      </w:r>
      <w:r>
        <w:rPr>
          <w:rFonts w:ascii="Times New Roman" w:eastAsia="Times New Roman" w:hAnsi="Times New Roman"/>
          <w:sz w:val="24"/>
          <w:szCs w:val="24"/>
        </w:rPr>
        <w:t xml:space="preserve"> The fish </w:t>
      </w:r>
      <w:proofErr w:type="spellStart"/>
      <w:r>
        <w:rPr>
          <w:rFonts w:ascii="Times New Roman" w:eastAsia="Times New Roman" w:hAnsi="Times New Roman"/>
          <w:sz w:val="24"/>
          <w:szCs w:val="24"/>
        </w:rPr>
        <w:t>specie</w:t>
      </w:r>
      <w:proofErr w:type="spellEnd"/>
      <w:r>
        <w:rPr>
          <w:rFonts w:ascii="Times New Roman" w:eastAsia="Times New Roman" w:hAnsi="Times New Roman"/>
          <w:sz w:val="24"/>
          <w:szCs w:val="24"/>
        </w:rPr>
        <w:t xml:space="preserve"> is a resident of the Niger Delta region of Nigeria.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has a maximum length of 40cm (SL) and a maximum published weight of 300 grams with a total of 13 to 16 Dorsal spines (GISD, 2019). The non-breeding </w:t>
      </w:r>
      <w:proofErr w:type="spellStart"/>
      <w:r>
        <w:rPr>
          <w:rFonts w:ascii="Times New Roman" w:eastAsia="Times New Roman" w:hAnsi="Times New Roman"/>
          <w:sz w:val="24"/>
          <w:szCs w:val="24"/>
        </w:rPr>
        <w:t>colouration</w:t>
      </w:r>
      <w:proofErr w:type="spellEnd"/>
      <w:r>
        <w:rPr>
          <w:rFonts w:ascii="Times New Roman" w:eastAsia="Times New Roman" w:hAnsi="Times New Roman"/>
          <w:sz w:val="24"/>
          <w:szCs w:val="24"/>
        </w:rPr>
        <w:t xml:space="preserve"> of </w:t>
      </w:r>
      <w:r>
        <w:rPr>
          <w:rFonts w:ascii="Times New Roman" w:eastAsia="Times New Roman" w:hAnsi="Times New Roman"/>
          <w:i/>
          <w:sz w:val="24"/>
          <w:szCs w:val="24"/>
        </w:rPr>
        <w:t xml:space="preserve">C.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is dark olive on top and light olive to yellow-brown on the sides, often with an iridescent blue sheen. Lips are bright green and the chest is pinkish. Six to seven dark vertical bars cross two horizontal stripes on the body and caudal peduncle. Fins are olivaceous, covered in yellow spots with the dorsal and anal fins displaying an outline of a thin orange band. Caudal fin often grey with pale interstices with dots covering the entire fin. Adults display a black spot outlined in yellow. </w:t>
      </w:r>
      <w:commentRangeStart w:id="7"/>
      <w:r>
        <w:rPr>
          <w:rFonts w:ascii="Times New Roman" w:eastAsia="Times New Roman" w:hAnsi="Times New Roman"/>
          <w:sz w:val="24"/>
          <w:szCs w:val="24"/>
        </w:rPr>
        <w:t xml:space="preserve">C. </w:t>
      </w:r>
      <w:proofErr w:type="spellStart"/>
      <w:r>
        <w:rPr>
          <w:rFonts w:ascii="Times New Roman" w:eastAsia="Times New Roman" w:hAnsi="Times New Roman"/>
          <w:sz w:val="24"/>
          <w:szCs w:val="24"/>
        </w:rPr>
        <w:t>zillii</w:t>
      </w:r>
      <w:proofErr w:type="spellEnd"/>
      <w:r>
        <w:rPr>
          <w:rFonts w:ascii="Times New Roman" w:eastAsia="Times New Roman" w:hAnsi="Times New Roman"/>
          <w:sz w:val="24"/>
          <w:szCs w:val="24"/>
        </w:rPr>
        <w:t xml:space="preserve"> </w:t>
      </w:r>
      <w:commentRangeEnd w:id="7"/>
      <w:r w:rsidR="00B4110D">
        <w:rPr>
          <w:rStyle w:val="a9"/>
          <w:rtl/>
        </w:rPr>
        <w:commentReference w:id="7"/>
      </w:r>
      <w:r>
        <w:rPr>
          <w:rFonts w:ascii="Times New Roman" w:eastAsia="Times New Roman" w:hAnsi="Times New Roman"/>
          <w:sz w:val="24"/>
          <w:szCs w:val="24"/>
        </w:rPr>
        <w:t>from 2 to 14cm (SL) have an entirely yellow to grey caudal fin with no dots, developing a greyish caudal fin with dots with increasing size. Spawning coloration is shiny dark green on top and sides, red and black on the throat and belly, and obvious vertical bands on the sides. Heads turn dark blue to black with blue-green spots. Eggs are green to olive green, sticky, 1-2 mm in diameter; relatively smaller than eggs of other cichlids (</w:t>
      </w:r>
      <w:proofErr w:type="spellStart"/>
      <w:r>
        <w:rPr>
          <w:rFonts w:ascii="Times New Roman" w:eastAsia="Times New Roman" w:hAnsi="Times New Roman"/>
          <w:sz w:val="24"/>
          <w:szCs w:val="24"/>
        </w:rPr>
        <w:t>FishBase</w:t>
      </w:r>
      <w:proofErr w:type="spellEnd"/>
      <w:r>
        <w:rPr>
          <w:rFonts w:ascii="Times New Roman" w:eastAsia="Times New Roman" w:hAnsi="Times New Roman"/>
          <w:sz w:val="24"/>
          <w:szCs w:val="24"/>
        </w:rPr>
        <w:t>, 2008; GISD, 2019</w:t>
      </w:r>
      <w:proofErr w:type="gramStart"/>
      <w:r>
        <w:rPr>
          <w:rFonts w:ascii="Times New Roman" w:eastAsia="Times New Roman" w:hAnsi="Times New Roman"/>
          <w:sz w:val="24"/>
          <w:szCs w:val="24"/>
        </w:rPr>
        <w:t>)..</w:t>
      </w:r>
      <w:proofErr w:type="gramEnd"/>
    </w:p>
    <w:p w14:paraId="6EBD8681"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r>
        <w:rPr>
          <w:rFonts w:ascii="Times New Roman" w:eastAsia="Times New Roman" w:hAnsi="Times New Roman"/>
          <w:noProof/>
          <w:sz w:val="24"/>
          <w:szCs w:val="24"/>
        </w:rPr>
        <w:drawing>
          <wp:inline distT="0" distB="0" distL="0" distR="0" wp14:anchorId="6A442AD7" wp14:editId="542C6E9E">
            <wp:extent cx="1409700" cy="1005840"/>
            <wp:effectExtent l="0" t="0" r="0" b="3810"/>
            <wp:docPr id="10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cstate="print"/>
                    <a:srcRect/>
                    <a:stretch/>
                  </pic:blipFill>
                  <pic:spPr>
                    <a:xfrm>
                      <a:off x="0" y="0"/>
                      <a:ext cx="1409700" cy="1005840"/>
                    </a:xfrm>
                    <a:prstGeom prst="rect">
                      <a:avLst/>
                    </a:prstGeom>
                  </pic:spPr>
                </pic:pic>
              </a:graphicData>
            </a:graphic>
          </wp:inline>
        </w:drawing>
      </w:r>
    </w:p>
    <w:p w14:paraId="77DDE551" w14:textId="77777777" w:rsidR="0069775F" w:rsidRDefault="004D7A71">
      <w:pPr>
        <w:spacing w:after="120" w:line="240" w:lineRule="auto"/>
        <w:jc w:val="both"/>
        <w:rPr>
          <w:rFonts w:ascii="Times New Roman" w:eastAsia="Times New Roman" w:hAnsi="Times New Roman"/>
          <w:b/>
          <w:sz w:val="20"/>
          <w:szCs w:val="28"/>
        </w:rPr>
      </w:pPr>
      <w:r>
        <w:rPr>
          <w:rFonts w:ascii="Times New Roman" w:eastAsia="Times New Roman" w:hAnsi="Times New Roman"/>
          <w:b/>
          <w:sz w:val="20"/>
          <w:szCs w:val="28"/>
        </w:rPr>
        <w:t xml:space="preserve">Plate 1. Picture of </w:t>
      </w:r>
      <w:r>
        <w:rPr>
          <w:rFonts w:ascii="Times New Roman" w:eastAsia="Times New Roman" w:hAnsi="Times New Roman"/>
          <w:b/>
          <w:i/>
          <w:sz w:val="20"/>
          <w:szCs w:val="28"/>
        </w:rPr>
        <w:t xml:space="preserve">C. </w:t>
      </w:r>
      <w:proofErr w:type="spellStart"/>
      <w:r>
        <w:rPr>
          <w:rFonts w:ascii="Times New Roman" w:eastAsia="Times New Roman" w:hAnsi="Times New Roman"/>
          <w:b/>
          <w:i/>
          <w:sz w:val="20"/>
          <w:szCs w:val="28"/>
        </w:rPr>
        <w:t>zillii</w:t>
      </w:r>
      <w:proofErr w:type="spellEnd"/>
      <w:r>
        <w:rPr>
          <w:rFonts w:ascii="Times New Roman" w:eastAsia="Times New Roman" w:hAnsi="Times New Roman"/>
          <w:b/>
          <w:sz w:val="20"/>
          <w:szCs w:val="28"/>
        </w:rPr>
        <w:t xml:space="preserve">   </w:t>
      </w:r>
    </w:p>
    <w:p w14:paraId="16B34858" w14:textId="77777777" w:rsidR="0069775F" w:rsidRDefault="004D7A71">
      <w:pPr>
        <w:spacing w:after="120" w:line="240" w:lineRule="auto"/>
        <w:jc w:val="both"/>
        <w:rPr>
          <w:rFonts w:ascii="Times New Roman" w:hAnsi="Times New Roman"/>
          <w:sz w:val="24"/>
          <w:szCs w:val="24"/>
        </w:rPr>
      </w:pPr>
      <w:r>
        <w:rPr>
          <w:rFonts w:ascii="Times New Roman" w:eastAsia="Times New Roman" w:hAnsi="Times New Roman"/>
          <w:b/>
          <w:bCs/>
          <w:sz w:val="24"/>
          <w:szCs w:val="24"/>
        </w:rPr>
        <w:t>Fish Source: T</w:t>
      </w:r>
      <w:r>
        <w:rPr>
          <w:rFonts w:ascii="Times New Roman" w:eastAsia="Times New Roman" w:hAnsi="Times New Roman"/>
          <w:bCs/>
          <w:sz w:val="24"/>
          <w:szCs w:val="24"/>
        </w:rPr>
        <w:t xml:space="preserve">he fish used for toxicity testing was acquired from Nigeria Institution for Oceanography and Maritime Research (NIORMR) in Sapele Delta State, Nigeria. The Institute is involved in farmers' field test and incubation validated research results and technologies. </w:t>
      </w:r>
      <w:r>
        <w:rPr>
          <w:rFonts w:ascii="Times New Roman" w:hAnsi="Times New Roman"/>
          <w:sz w:val="24"/>
          <w:szCs w:val="24"/>
        </w:rPr>
        <w:t>The test fish was positively identified by a taxonomist from NIOMR, to be the right species for the study. The test fish used was disease-free and appear healthy, behave normally, feed well, and had low mortality in cultures, during holding, and in test control. (USEPA, 2002).</w:t>
      </w:r>
    </w:p>
    <w:p w14:paraId="76EB0B71" w14:textId="77777777" w:rsidR="0069775F" w:rsidRDefault="004D7A71">
      <w:pPr>
        <w:spacing w:after="120" w:line="240" w:lineRule="auto"/>
        <w:rPr>
          <w:rFonts w:ascii="Times New Roman" w:hAnsi="Times New Roman"/>
          <w:sz w:val="24"/>
          <w:szCs w:val="24"/>
        </w:rPr>
      </w:pPr>
      <w:r>
        <w:rPr>
          <w:rFonts w:ascii="Times New Roman" w:eastAsia="Times New Roman" w:hAnsi="Times New Roman"/>
          <w:b/>
          <w:sz w:val="24"/>
          <w:szCs w:val="24"/>
        </w:rPr>
        <w:t xml:space="preserve">Test Fish Guidelines: </w:t>
      </w:r>
      <w:r>
        <w:rPr>
          <w:rFonts w:ascii="Times New Roman" w:hAnsi="Times New Roman"/>
          <w:sz w:val="24"/>
          <w:szCs w:val="24"/>
        </w:rPr>
        <w:t xml:space="preserve">Juveniles of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hAnsi="Times New Roman"/>
          <w:sz w:val="24"/>
          <w:szCs w:val="24"/>
        </w:rPr>
        <w:t xml:space="preserve"> were chosen for the study in tandem with ISO,1994 recommendation for chronic toxicity study (ISO, 1994; CEPA, 1999).   Young organisms are often more sensitive to toxicants than </w:t>
      </w:r>
      <w:r>
        <w:rPr>
          <w:rFonts w:ascii="Times New Roman" w:hAnsi="Times New Roman"/>
          <w:color w:val="FF0000"/>
          <w:sz w:val="24"/>
          <w:szCs w:val="24"/>
        </w:rPr>
        <w:t>(</w:t>
      </w:r>
      <w:r>
        <w:rPr>
          <w:rFonts w:ascii="Times New Roman" w:hAnsi="Times New Roman"/>
          <w:sz w:val="24"/>
          <w:szCs w:val="24"/>
        </w:rPr>
        <w:t>are</w:t>
      </w:r>
      <w:r>
        <w:rPr>
          <w:rFonts w:ascii="Times New Roman" w:hAnsi="Times New Roman"/>
          <w:color w:val="FF0000"/>
          <w:sz w:val="24"/>
          <w:szCs w:val="24"/>
        </w:rPr>
        <w:t>)</w:t>
      </w:r>
      <w:r>
        <w:rPr>
          <w:rFonts w:ascii="Times New Roman" w:hAnsi="Times New Roman"/>
          <w:sz w:val="24"/>
          <w:szCs w:val="24"/>
        </w:rPr>
        <w:t>adults. For this reason, the use of early life stages, such as juvenile is required for all tests (ISO, 1994; CEPA, 1999). Fish were approximately the same age and were gotten from the same source. Since age may affect the results of the tests, this would enhance the value and comparability of the data if the same species in the same life stages were used throughout a monitoring program at a given facility (ISO, 1994; CEPA, 1999).</w:t>
      </w:r>
    </w:p>
    <w:p w14:paraId="3222E616" w14:textId="77777777" w:rsidR="0069775F" w:rsidRDefault="004D7A71">
      <w:pPr>
        <w:spacing w:after="120" w:line="240" w:lineRule="auto"/>
        <w:jc w:val="both"/>
        <w:rPr>
          <w:rFonts w:ascii="Times New Roman" w:hAnsi="Times New Roman"/>
          <w:b/>
          <w:sz w:val="24"/>
          <w:szCs w:val="24"/>
        </w:rPr>
      </w:pPr>
      <w:r>
        <w:rPr>
          <w:rFonts w:ascii="Times New Roman" w:eastAsia="Times New Roman" w:hAnsi="Times New Roman"/>
          <w:b/>
          <w:sz w:val="24"/>
          <w:szCs w:val="24"/>
        </w:rPr>
        <w:t>Study Design</w:t>
      </w:r>
    </w:p>
    <w:p w14:paraId="7FE1B387"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Study Guideline: </w:t>
      </w:r>
      <w:r>
        <w:rPr>
          <w:rFonts w:ascii="Times New Roman" w:eastAsia="Times New Roman" w:hAnsi="Times New Roman"/>
          <w:sz w:val="24"/>
          <w:szCs w:val="24"/>
        </w:rPr>
        <w:t>International Standardization Organization (ISO) test guideline standard, ISO 10229:1994 – “Chronic Toxicity Test of Fish Water quality”, was used for the laboratory study (ISO, 1994). The standard specified the method for the determination of the long-term toxicity of substances (pure chemicals, mixtures, wastewater etc.). This Standard allows for the use of a semi-static method. The endpoint response was a measure of the morphological changes of test fish exposed to a test substance for a period of 14 to 28 days. The standard permits to adapt this method for use with a wide variety of freshwater, marine and brackish water fish with appropriate modifications in test conditions (temperature, food, fish marking technique).</w:t>
      </w:r>
    </w:p>
    <w:p w14:paraId="10B14492"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b/>
          <w:sz w:val="24"/>
          <w:szCs w:val="24"/>
        </w:rPr>
        <w:lastRenderedPageBreak/>
        <w:t xml:space="preserve">Experimental Set-up: </w:t>
      </w:r>
      <w:r>
        <w:rPr>
          <w:rFonts w:ascii="Times New Roman" w:eastAsia="Times New Roman" w:hAnsi="Times New Roman"/>
          <w:sz w:val="24"/>
          <w:szCs w:val="24"/>
        </w:rPr>
        <w:t xml:space="preserve">Sub-Chronic Toxicity studies were done in Department of Aquaculture and Fisheries Management, Faculty of Agriculture, University of Benin. The experimental duration was 28 days. </w:t>
      </w:r>
      <w:proofErr w:type="gramStart"/>
      <w:r>
        <w:rPr>
          <w:rFonts w:ascii="Times New Roman" w:eastAsia="Times New Roman" w:hAnsi="Times New Roman"/>
          <w:sz w:val="24"/>
          <w:szCs w:val="24"/>
        </w:rPr>
        <w:t>Twenty two</w:t>
      </w:r>
      <w:proofErr w:type="gramEnd"/>
      <w:r>
        <w:rPr>
          <w:rFonts w:ascii="Times New Roman" w:eastAsia="Times New Roman" w:hAnsi="Times New Roman"/>
          <w:sz w:val="24"/>
          <w:szCs w:val="24"/>
        </w:rPr>
        <w:t xml:space="preserve"> pieces (22) of twenty liter (20L) tanks were acquired for the experiment. Four replicate tanks per Target Chemical (TC) were labeled and used for the group treated. Hence, five TC of Copper, Cadmium, Chromium, Lead and Nickel, a total of Twenty (20) tanks were set up for the experiment.</w:t>
      </w:r>
    </w:p>
    <w:p w14:paraId="7BA058B2"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79C8E8C" wp14:editId="5C1560F5">
            <wp:extent cx="3761105" cy="2885440"/>
            <wp:effectExtent l="0" t="0" r="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3" cstate="print"/>
                    <a:srcRect/>
                    <a:stretch/>
                  </pic:blipFill>
                  <pic:spPr>
                    <a:xfrm>
                      <a:off x="0" y="0"/>
                      <a:ext cx="3761105" cy="2885440"/>
                    </a:xfrm>
                    <a:prstGeom prst="rect">
                      <a:avLst/>
                    </a:prstGeom>
                  </pic:spPr>
                </pic:pic>
              </a:graphicData>
            </a:graphic>
          </wp:inline>
        </w:drawing>
      </w:r>
    </w:p>
    <w:p w14:paraId="5177A5B1" w14:textId="77777777" w:rsidR="0069775F" w:rsidRDefault="004D7A71">
      <w:pPr>
        <w:spacing w:after="120" w:line="240" w:lineRule="auto"/>
        <w:rPr>
          <w:rFonts w:ascii="Times New Roman" w:eastAsia="Times New Roman" w:hAnsi="Times New Roman"/>
          <w:b/>
          <w:i/>
          <w:sz w:val="20"/>
          <w:szCs w:val="24"/>
        </w:rPr>
      </w:pPr>
      <w:r>
        <w:rPr>
          <w:rFonts w:ascii="Times New Roman" w:eastAsia="Times New Roman" w:hAnsi="Times New Roman"/>
          <w:b/>
          <w:i/>
          <w:sz w:val="20"/>
          <w:szCs w:val="24"/>
        </w:rPr>
        <w:t xml:space="preserve">Plate 2: Experimental set-up in the Wet-laboratory of the Department of Agriculture University of Benin. </w:t>
      </w:r>
    </w:p>
    <w:p w14:paraId="761C490B"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b/>
          <w:sz w:val="24"/>
          <w:szCs w:val="24"/>
        </w:rPr>
        <w:t xml:space="preserve">Test Chemical/Concentration: </w:t>
      </w:r>
      <w:r>
        <w:rPr>
          <w:rFonts w:ascii="Times New Roman" w:eastAsia="Times New Roman" w:hAnsi="Times New Roman"/>
          <w:sz w:val="24"/>
          <w:szCs w:val="24"/>
        </w:rPr>
        <w:t xml:space="preserve">Target Chemicals (TC), Cadmium (Cd0, Chromium (Cr), Copper (Cu), Nickel (Ni) and Lead (Pb) were chosen because of their cardiogenic quotient and presence in crude oil. A standard stock solution of 100mg/L of the TC (Cd, Cr, Cu, Ni and Pb) was prepared from analytical grade metallic salts </w:t>
      </w:r>
      <w:proofErr w:type="gramStart"/>
      <w:r>
        <w:rPr>
          <w:rFonts w:ascii="Times New Roman" w:eastAsia="Times New Roman" w:hAnsi="Times New Roman"/>
          <w:sz w:val="24"/>
          <w:szCs w:val="24"/>
        </w:rPr>
        <w:t>of  Cadmium</w:t>
      </w:r>
      <w:proofErr w:type="gramEnd"/>
      <w:r>
        <w:rPr>
          <w:rFonts w:ascii="Times New Roman" w:eastAsia="Times New Roman" w:hAnsi="Times New Roman"/>
          <w:sz w:val="24"/>
          <w:szCs w:val="24"/>
        </w:rPr>
        <w:t xml:space="preserve"> Chloride (CdCl2), Lead II Nitrate (Pb(NO3)2), Nickel II Sulphate (NiSO4.(H2O)6), Copper Sulphate (CuSO4) and Potassium Dichromate (K2Cr2O7). Stock solution was prepared with de-ionized water in I-L volumetric. The maximum acceptable toxicant concentration (MATC) for estuarine fresh water was set as the concentration of stock solutions for the laboratory testing (Gheorghe et al., 2017). Two concentrations below and above the estimated MATC were used for the testing (Gheorghe et al., 2017). </w:t>
      </w:r>
    </w:p>
    <w:p w14:paraId="362B31B8"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Table 1: Showing the results of TC doses applied for the fish toxicity study</w:t>
      </w:r>
    </w:p>
    <w:tbl>
      <w:tblPr>
        <w:tblW w:w="10008" w:type="dxa"/>
        <w:tblBorders>
          <w:top w:val="single" w:sz="8" w:space="0" w:color="000000"/>
          <w:bottom w:val="single" w:sz="8" w:space="0" w:color="000000"/>
        </w:tblBorders>
        <w:tblLayout w:type="fixed"/>
        <w:tblLook w:val="04A0" w:firstRow="1" w:lastRow="0" w:firstColumn="1" w:lastColumn="0" w:noHBand="0" w:noVBand="1"/>
      </w:tblPr>
      <w:tblGrid>
        <w:gridCol w:w="2808"/>
        <w:gridCol w:w="1620"/>
        <w:gridCol w:w="1260"/>
        <w:gridCol w:w="1332"/>
        <w:gridCol w:w="1409"/>
        <w:gridCol w:w="1579"/>
      </w:tblGrid>
      <w:tr w:rsidR="0069775F" w14:paraId="2EBBB2B1" w14:textId="77777777">
        <w:trPr>
          <w:trHeight w:val="303"/>
        </w:trPr>
        <w:tc>
          <w:tcPr>
            <w:tcW w:w="2808" w:type="dxa"/>
            <w:vMerge w:val="restart"/>
            <w:tcBorders>
              <w:top w:val="single" w:sz="8" w:space="0" w:color="000000"/>
              <w:left w:val="nil"/>
              <w:bottom w:val="single" w:sz="8" w:space="0" w:color="000000"/>
              <w:right w:val="nil"/>
            </w:tcBorders>
            <w:shd w:val="clear" w:color="auto" w:fill="auto"/>
          </w:tcPr>
          <w:p w14:paraId="321F2A19"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Target Chemicals (TC)</w:t>
            </w:r>
          </w:p>
        </w:tc>
        <w:tc>
          <w:tcPr>
            <w:tcW w:w="1620" w:type="dxa"/>
            <w:vMerge w:val="restart"/>
            <w:tcBorders>
              <w:top w:val="single" w:sz="8" w:space="0" w:color="000000"/>
              <w:left w:val="nil"/>
              <w:bottom w:val="single" w:sz="8" w:space="0" w:color="000000"/>
              <w:right w:val="nil"/>
            </w:tcBorders>
            <w:shd w:val="clear" w:color="auto" w:fill="auto"/>
          </w:tcPr>
          <w:p w14:paraId="709EDB25"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MATC (mg/L)</w:t>
            </w:r>
          </w:p>
        </w:tc>
        <w:tc>
          <w:tcPr>
            <w:tcW w:w="2592" w:type="dxa"/>
            <w:gridSpan w:val="2"/>
            <w:tcBorders>
              <w:top w:val="single" w:sz="8" w:space="0" w:color="000000"/>
              <w:left w:val="nil"/>
              <w:bottom w:val="single" w:sz="8" w:space="0" w:color="000000"/>
              <w:right w:val="nil"/>
            </w:tcBorders>
            <w:shd w:val="clear" w:color="auto" w:fill="auto"/>
          </w:tcPr>
          <w:p w14:paraId="194A0105"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FED: Dose above MATC (mg/L)</w:t>
            </w:r>
          </w:p>
        </w:tc>
        <w:tc>
          <w:tcPr>
            <w:tcW w:w="2988" w:type="dxa"/>
            <w:gridSpan w:val="2"/>
            <w:tcBorders>
              <w:top w:val="single" w:sz="8" w:space="0" w:color="000000"/>
              <w:left w:val="nil"/>
              <w:bottom w:val="single" w:sz="8" w:space="0" w:color="000000"/>
              <w:right w:val="nil"/>
            </w:tcBorders>
            <w:shd w:val="clear" w:color="auto" w:fill="auto"/>
          </w:tcPr>
          <w:p w14:paraId="4715E9EB"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FED: Dose below MATC (mg/L)</w:t>
            </w:r>
          </w:p>
        </w:tc>
      </w:tr>
      <w:tr w:rsidR="0069775F" w14:paraId="2663D583" w14:textId="77777777">
        <w:trPr>
          <w:trHeight w:val="253"/>
        </w:trPr>
        <w:tc>
          <w:tcPr>
            <w:tcW w:w="2808" w:type="dxa"/>
            <w:vMerge/>
            <w:tcBorders>
              <w:left w:val="nil"/>
              <w:right w:val="nil"/>
            </w:tcBorders>
            <w:shd w:val="clear" w:color="auto" w:fill="C0C0C0"/>
          </w:tcPr>
          <w:p w14:paraId="71C2ED5D" w14:textId="77777777" w:rsidR="0069775F" w:rsidRDefault="0069775F">
            <w:pPr>
              <w:spacing w:after="0" w:line="240" w:lineRule="auto"/>
              <w:rPr>
                <w:rFonts w:ascii="Times New Roman" w:eastAsia="Times New Roman" w:hAnsi="Times New Roman"/>
                <w:b/>
                <w:bCs/>
                <w:color w:val="000000"/>
                <w:sz w:val="20"/>
                <w:szCs w:val="20"/>
              </w:rPr>
            </w:pPr>
          </w:p>
        </w:tc>
        <w:tc>
          <w:tcPr>
            <w:tcW w:w="1620" w:type="dxa"/>
            <w:vMerge/>
            <w:tcBorders>
              <w:left w:val="nil"/>
              <w:right w:val="nil"/>
            </w:tcBorders>
            <w:shd w:val="clear" w:color="auto" w:fill="C0C0C0"/>
          </w:tcPr>
          <w:p w14:paraId="5E190A69" w14:textId="77777777" w:rsidR="0069775F" w:rsidRDefault="0069775F">
            <w:pPr>
              <w:spacing w:after="0" w:line="240" w:lineRule="auto"/>
              <w:rPr>
                <w:rFonts w:ascii="Times New Roman" w:eastAsia="Times New Roman" w:hAnsi="Times New Roman"/>
                <w:b/>
                <w:bCs/>
                <w:color w:val="000000"/>
                <w:sz w:val="20"/>
                <w:szCs w:val="20"/>
              </w:rPr>
            </w:pPr>
          </w:p>
        </w:tc>
        <w:tc>
          <w:tcPr>
            <w:tcW w:w="1260" w:type="dxa"/>
            <w:tcBorders>
              <w:left w:val="nil"/>
              <w:right w:val="nil"/>
            </w:tcBorders>
            <w:shd w:val="clear" w:color="auto" w:fill="C0C0C0"/>
          </w:tcPr>
          <w:p w14:paraId="01B14147"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C1</w:t>
            </w:r>
          </w:p>
        </w:tc>
        <w:tc>
          <w:tcPr>
            <w:tcW w:w="1332" w:type="dxa"/>
            <w:tcBorders>
              <w:left w:val="nil"/>
              <w:right w:val="nil"/>
            </w:tcBorders>
            <w:shd w:val="clear" w:color="auto" w:fill="C0C0C0"/>
          </w:tcPr>
          <w:p w14:paraId="08220030"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C2</w:t>
            </w:r>
          </w:p>
        </w:tc>
        <w:tc>
          <w:tcPr>
            <w:tcW w:w="1409" w:type="dxa"/>
            <w:tcBorders>
              <w:left w:val="nil"/>
              <w:right w:val="nil"/>
            </w:tcBorders>
            <w:shd w:val="clear" w:color="auto" w:fill="C0C0C0"/>
          </w:tcPr>
          <w:p w14:paraId="1B6DD82E"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C3</w:t>
            </w:r>
          </w:p>
        </w:tc>
        <w:tc>
          <w:tcPr>
            <w:tcW w:w="1579" w:type="dxa"/>
            <w:tcBorders>
              <w:left w:val="nil"/>
              <w:right w:val="nil"/>
            </w:tcBorders>
            <w:shd w:val="clear" w:color="auto" w:fill="C0C0C0"/>
          </w:tcPr>
          <w:p w14:paraId="600B23A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C4</w:t>
            </w:r>
          </w:p>
        </w:tc>
      </w:tr>
      <w:tr w:rsidR="0069775F" w14:paraId="5BD8F8E8" w14:textId="77777777">
        <w:tc>
          <w:tcPr>
            <w:tcW w:w="2808" w:type="dxa"/>
            <w:shd w:val="clear" w:color="auto" w:fill="auto"/>
          </w:tcPr>
          <w:p w14:paraId="5F02CCEB"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Cadmium (Cd)</w:t>
            </w:r>
          </w:p>
        </w:tc>
        <w:tc>
          <w:tcPr>
            <w:tcW w:w="1620" w:type="dxa"/>
            <w:shd w:val="clear" w:color="auto" w:fill="auto"/>
          </w:tcPr>
          <w:p w14:paraId="097C346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0.00001</w:t>
            </w:r>
          </w:p>
        </w:tc>
        <w:tc>
          <w:tcPr>
            <w:tcW w:w="1260" w:type="dxa"/>
            <w:shd w:val="clear" w:color="auto" w:fill="auto"/>
          </w:tcPr>
          <w:p w14:paraId="7CF335DF"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0.1</w:t>
            </w:r>
          </w:p>
        </w:tc>
        <w:tc>
          <w:tcPr>
            <w:tcW w:w="1332" w:type="dxa"/>
            <w:shd w:val="clear" w:color="auto" w:fill="auto"/>
          </w:tcPr>
          <w:p w14:paraId="19669FC7"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409" w:type="dxa"/>
            <w:shd w:val="clear" w:color="auto" w:fill="auto"/>
          </w:tcPr>
          <w:p w14:paraId="110C6133"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0.0001</w:t>
            </w:r>
          </w:p>
        </w:tc>
        <w:tc>
          <w:tcPr>
            <w:tcW w:w="1579" w:type="dxa"/>
            <w:shd w:val="clear" w:color="auto" w:fill="auto"/>
          </w:tcPr>
          <w:p w14:paraId="22F99515"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0.0001</w:t>
            </w:r>
          </w:p>
        </w:tc>
      </w:tr>
      <w:tr w:rsidR="0069775F" w14:paraId="077037DB" w14:textId="77777777">
        <w:tc>
          <w:tcPr>
            <w:tcW w:w="2808" w:type="dxa"/>
            <w:tcBorders>
              <w:left w:val="nil"/>
              <w:right w:val="nil"/>
            </w:tcBorders>
            <w:shd w:val="clear" w:color="auto" w:fill="C0C0C0"/>
          </w:tcPr>
          <w:p w14:paraId="2DD1B18D"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Chromium (Cr)</w:t>
            </w:r>
          </w:p>
        </w:tc>
        <w:tc>
          <w:tcPr>
            <w:tcW w:w="1620" w:type="dxa"/>
            <w:tcBorders>
              <w:left w:val="nil"/>
              <w:right w:val="nil"/>
            </w:tcBorders>
            <w:shd w:val="clear" w:color="auto" w:fill="C0C0C0"/>
          </w:tcPr>
          <w:p w14:paraId="60953CD2"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c>
          <w:tcPr>
            <w:tcW w:w="1260" w:type="dxa"/>
            <w:tcBorders>
              <w:left w:val="nil"/>
              <w:right w:val="nil"/>
            </w:tcBorders>
            <w:shd w:val="clear" w:color="auto" w:fill="C0C0C0"/>
          </w:tcPr>
          <w:p w14:paraId="584B32E2"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10.0</w:t>
            </w:r>
          </w:p>
        </w:tc>
        <w:tc>
          <w:tcPr>
            <w:tcW w:w="1332" w:type="dxa"/>
            <w:tcBorders>
              <w:left w:val="nil"/>
              <w:right w:val="nil"/>
            </w:tcBorders>
            <w:shd w:val="clear" w:color="auto" w:fill="C0C0C0"/>
          </w:tcPr>
          <w:p w14:paraId="57EBE5D6"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1409" w:type="dxa"/>
            <w:tcBorders>
              <w:left w:val="nil"/>
              <w:right w:val="nil"/>
            </w:tcBorders>
            <w:shd w:val="clear" w:color="auto" w:fill="C0C0C0"/>
          </w:tcPr>
          <w:p w14:paraId="0FDD2580"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579" w:type="dxa"/>
            <w:tcBorders>
              <w:left w:val="nil"/>
              <w:right w:val="nil"/>
            </w:tcBorders>
            <w:shd w:val="clear" w:color="auto" w:fill="C0C0C0"/>
          </w:tcPr>
          <w:p w14:paraId="31F4626A"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r>
      <w:tr w:rsidR="0069775F" w14:paraId="48EECCF2" w14:textId="77777777">
        <w:tc>
          <w:tcPr>
            <w:tcW w:w="2808" w:type="dxa"/>
            <w:shd w:val="clear" w:color="auto" w:fill="auto"/>
          </w:tcPr>
          <w:p w14:paraId="771B7AA3"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Copper (Cu)</w:t>
            </w:r>
          </w:p>
        </w:tc>
        <w:tc>
          <w:tcPr>
            <w:tcW w:w="1620" w:type="dxa"/>
            <w:shd w:val="clear" w:color="auto" w:fill="auto"/>
          </w:tcPr>
          <w:p w14:paraId="743CB440"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0.002</w:t>
            </w:r>
          </w:p>
        </w:tc>
        <w:tc>
          <w:tcPr>
            <w:tcW w:w="1260" w:type="dxa"/>
            <w:shd w:val="clear" w:color="auto" w:fill="auto"/>
          </w:tcPr>
          <w:p w14:paraId="57DBF0F6"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20.0</w:t>
            </w:r>
          </w:p>
        </w:tc>
        <w:tc>
          <w:tcPr>
            <w:tcW w:w="1332" w:type="dxa"/>
            <w:shd w:val="clear" w:color="auto" w:fill="auto"/>
          </w:tcPr>
          <w:p w14:paraId="2BB7F4FF"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c>
          <w:tcPr>
            <w:tcW w:w="1409" w:type="dxa"/>
            <w:shd w:val="clear" w:color="auto" w:fill="auto"/>
          </w:tcPr>
          <w:p w14:paraId="4B3E9621"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w:t>
            </w:r>
          </w:p>
        </w:tc>
        <w:tc>
          <w:tcPr>
            <w:tcW w:w="1579" w:type="dxa"/>
            <w:shd w:val="clear" w:color="auto" w:fill="auto"/>
          </w:tcPr>
          <w:p w14:paraId="3B12525F"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0.002</w:t>
            </w:r>
          </w:p>
        </w:tc>
      </w:tr>
      <w:tr w:rsidR="0069775F" w14:paraId="32E867B5" w14:textId="77777777">
        <w:tc>
          <w:tcPr>
            <w:tcW w:w="2808" w:type="dxa"/>
            <w:tcBorders>
              <w:left w:val="nil"/>
              <w:right w:val="nil"/>
            </w:tcBorders>
            <w:shd w:val="clear" w:color="auto" w:fill="C0C0C0"/>
          </w:tcPr>
          <w:p w14:paraId="0C392FDE"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Nickel (Ni)</w:t>
            </w:r>
          </w:p>
        </w:tc>
        <w:tc>
          <w:tcPr>
            <w:tcW w:w="1620" w:type="dxa"/>
            <w:tcBorders>
              <w:left w:val="nil"/>
              <w:right w:val="nil"/>
            </w:tcBorders>
            <w:shd w:val="clear" w:color="auto" w:fill="C0C0C0"/>
          </w:tcPr>
          <w:p w14:paraId="08EE03DC"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0.025</w:t>
            </w:r>
          </w:p>
        </w:tc>
        <w:tc>
          <w:tcPr>
            <w:tcW w:w="1260" w:type="dxa"/>
            <w:tcBorders>
              <w:left w:val="nil"/>
              <w:right w:val="nil"/>
            </w:tcBorders>
            <w:shd w:val="clear" w:color="auto" w:fill="C0C0C0"/>
          </w:tcPr>
          <w:p w14:paraId="2E16C8D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25.00</w:t>
            </w:r>
          </w:p>
        </w:tc>
        <w:tc>
          <w:tcPr>
            <w:tcW w:w="1332" w:type="dxa"/>
            <w:tcBorders>
              <w:left w:val="nil"/>
              <w:right w:val="nil"/>
            </w:tcBorders>
            <w:shd w:val="clear" w:color="auto" w:fill="C0C0C0"/>
          </w:tcPr>
          <w:p w14:paraId="3B23C99B"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2.5</w:t>
            </w:r>
          </w:p>
        </w:tc>
        <w:tc>
          <w:tcPr>
            <w:tcW w:w="1409" w:type="dxa"/>
            <w:tcBorders>
              <w:left w:val="nil"/>
              <w:right w:val="nil"/>
            </w:tcBorders>
            <w:shd w:val="clear" w:color="auto" w:fill="C0C0C0"/>
          </w:tcPr>
          <w:p w14:paraId="66FA0F8E"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0.05</w:t>
            </w:r>
          </w:p>
        </w:tc>
        <w:tc>
          <w:tcPr>
            <w:tcW w:w="1579" w:type="dxa"/>
            <w:tcBorders>
              <w:left w:val="nil"/>
              <w:right w:val="nil"/>
            </w:tcBorders>
            <w:shd w:val="clear" w:color="auto" w:fill="C0C0C0"/>
          </w:tcPr>
          <w:p w14:paraId="2233A90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0.025</w:t>
            </w:r>
          </w:p>
        </w:tc>
      </w:tr>
      <w:tr w:rsidR="0069775F" w14:paraId="6E66EF60" w14:textId="77777777">
        <w:tc>
          <w:tcPr>
            <w:tcW w:w="2808" w:type="dxa"/>
            <w:shd w:val="clear" w:color="auto" w:fill="auto"/>
          </w:tcPr>
          <w:p w14:paraId="18DF4F64"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Lead (Pb)</w:t>
            </w:r>
          </w:p>
        </w:tc>
        <w:tc>
          <w:tcPr>
            <w:tcW w:w="1620" w:type="dxa"/>
            <w:shd w:val="clear" w:color="auto" w:fill="auto"/>
          </w:tcPr>
          <w:p w14:paraId="49F5717D"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c>
          <w:tcPr>
            <w:tcW w:w="1260" w:type="dxa"/>
            <w:shd w:val="clear" w:color="auto" w:fill="auto"/>
          </w:tcPr>
          <w:p w14:paraId="680FB12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10.0</w:t>
            </w:r>
          </w:p>
        </w:tc>
        <w:tc>
          <w:tcPr>
            <w:tcW w:w="1332" w:type="dxa"/>
            <w:shd w:val="clear" w:color="auto" w:fill="auto"/>
          </w:tcPr>
          <w:p w14:paraId="3D0C4930"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1409" w:type="dxa"/>
            <w:shd w:val="clear" w:color="auto" w:fill="auto"/>
          </w:tcPr>
          <w:p w14:paraId="1B60815E"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579" w:type="dxa"/>
            <w:shd w:val="clear" w:color="auto" w:fill="auto"/>
          </w:tcPr>
          <w:p w14:paraId="604FBF33"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r>
    </w:tbl>
    <w:p w14:paraId="7DFA2CA2" w14:textId="77777777" w:rsidR="0069775F" w:rsidRDefault="0069775F">
      <w:pPr>
        <w:spacing w:after="120" w:line="240" w:lineRule="auto"/>
        <w:rPr>
          <w:rFonts w:ascii="Times New Roman" w:eastAsia="Times New Roman" w:hAnsi="Times New Roman"/>
          <w:sz w:val="24"/>
          <w:szCs w:val="24"/>
        </w:rPr>
      </w:pPr>
    </w:p>
    <w:p w14:paraId="018F3F50"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i/>
          <w:sz w:val="24"/>
          <w:szCs w:val="24"/>
        </w:rPr>
        <w:t>Key</w:t>
      </w:r>
      <w:r>
        <w:rPr>
          <w:rFonts w:ascii="Times New Roman" w:eastAsia="Times New Roman" w:hAnsi="Times New Roman"/>
          <w:sz w:val="24"/>
          <w:szCs w:val="24"/>
        </w:rPr>
        <w:t>: TC = Target Chemicals; FED = Fish Exposure Dose; C1, C2, C3 and, C4 = Dose Concentrations of Heavy metal applied per Fish Tank; MATA = CCME, 2001</w:t>
      </w:r>
    </w:p>
    <w:p w14:paraId="6F7C884C"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Test Chamber</w:t>
      </w:r>
    </w:p>
    <w:p w14:paraId="1785BA35"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Twenty (20) liters of chemically inert vessels (plastic Tanks) were used for the study. Each tanked was stocked with 25 fish, a stock capacity that was enough to allow for proper growth and maintenance of dissolved oxygen concentration. This is in compliance with the guideline loading rate criteria (OECD, 2013). The test chambers </w:t>
      </w:r>
      <w:proofErr w:type="gramStart"/>
      <w:r>
        <w:rPr>
          <w:rFonts w:ascii="Times New Roman" w:eastAsia="Times New Roman" w:hAnsi="Times New Roman"/>
          <w:sz w:val="24"/>
          <w:szCs w:val="24"/>
        </w:rPr>
        <w:t>was</w:t>
      </w:r>
      <w:proofErr w:type="gramEnd"/>
      <w:r>
        <w:rPr>
          <w:rFonts w:ascii="Times New Roman" w:eastAsia="Times New Roman" w:hAnsi="Times New Roman"/>
          <w:sz w:val="24"/>
          <w:szCs w:val="24"/>
        </w:rPr>
        <w:t xml:space="preserve"> randomly positioned in the test area and shielded from unwanted disturbance. The test was carried out without adjustment of </w:t>
      </w:r>
      <w:proofErr w:type="spellStart"/>
      <w:r>
        <w:rPr>
          <w:rFonts w:ascii="Times New Roman" w:eastAsia="Times New Roman" w:hAnsi="Times New Roman"/>
          <w:sz w:val="24"/>
          <w:szCs w:val="24"/>
        </w:rPr>
        <w:t>pH.</w:t>
      </w:r>
      <w:proofErr w:type="spellEnd"/>
      <w:r>
        <w:rPr>
          <w:rFonts w:ascii="Times New Roman" w:eastAsia="Times New Roman" w:hAnsi="Times New Roman"/>
          <w:sz w:val="24"/>
          <w:szCs w:val="24"/>
        </w:rPr>
        <w:t xml:space="preserve"> Nevertheless, where there is evidence of marked changed in the pH of the Tank water after addition of the test substance, the test would be repeated, adjusting the pH of the stock solution to the tank water before addition of the test substance. The PH adjustment will be made (preferably with HC1 or Na0H) in such a way that the stock solution concentration is not changed to any significant extent and that no chemical reaction or physical precipitation of the test substance is caused (ISO, 1994; CEPA, 2004; Gheorghe et al., 2017). </w:t>
      </w:r>
    </w:p>
    <w:p w14:paraId="0045462B"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Test Solution Conditions</w:t>
      </w:r>
    </w:p>
    <w:p w14:paraId="7CA19AF6"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test solution is fresh water, which was used to simulated fresh surface water. Water temperature was maintained between 20</w:t>
      </w:r>
      <w:r>
        <w:rPr>
          <w:rFonts w:ascii="Times New Roman" w:eastAsia="Times New Roman" w:hAnsi="Times New Roman"/>
          <w:sz w:val="24"/>
          <w:szCs w:val="24"/>
          <w:vertAlign w:val="superscript"/>
        </w:rPr>
        <w:t>O</w:t>
      </w:r>
      <w:r>
        <w:rPr>
          <w:rFonts w:ascii="Times New Roman" w:eastAsia="Times New Roman" w:hAnsi="Times New Roman"/>
          <w:sz w:val="24"/>
          <w:szCs w:val="24"/>
        </w:rPr>
        <w:t>C to 25</w:t>
      </w:r>
      <w:r>
        <w:rPr>
          <w:rFonts w:ascii="Times New Roman" w:eastAsia="Times New Roman" w:hAnsi="Times New Roman"/>
          <w:sz w:val="24"/>
          <w:szCs w:val="24"/>
          <w:vertAlign w:val="superscript"/>
        </w:rPr>
        <w:t>O</w:t>
      </w:r>
      <w:r>
        <w:rPr>
          <w:rFonts w:ascii="Times New Roman" w:eastAsia="Times New Roman" w:hAnsi="Times New Roman"/>
          <w:sz w:val="24"/>
          <w:szCs w:val="24"/>
        </w:rPr>
        <w:t xml:space="preserve">C (ISO, 1994; CEPA, 2004). The temperature of the test solutions was measured by placing a thermometer directly into the test solutions. Temperature was recorded continuously in at least one vessel during the duration of each. DO concentration was maintained at not less than 60% of the maximum air saturation value throughout the test. DO and pH was checked at the beginning of the test and daily, throughout the test period. Light quality was set at ambient laboratory illumination. Photoperiod was set at a minimum of ration of 12 hours light to 12hours dark, with a light intensity maintained at 10 to 20 </w:t>
      </w:r>
      <w:proofErr w:type="spellStart"/>
      <w:r>
        <w:rPr>
          <w:rFonts w:ascii="Times New Roman" w:eastAsia="Times New Roman" w:hAnsi="Times New Roman"/>
          <w:sz w:val="24"/>
          <w:szCs w:val="24"/>
        </w:rPr>
        <w:t>μE</w:t>
      </w:r>
      <w:proofErr w:type="spellEnd"/>
      <w:r>
        <w:rPr>
          <w:rFonts w:ascii="Times New Roman" w:eastAsia="Times New Roman" w:hAnsi="Times New Roman"/>
          <w:sz w:val="24"/>
          <w:szCs w:val="24"/>
        </w:rPr>
        <w:t>/m2/s. Feeding was at least once daily, the quantity of food being kept constant and related to the initial fish weight, at least 2% body weight (ISO, 1994; CEPA, 2004).</w:t>
      </w:r>
    </w:p>
    <w:p w14:paraId="5EC2CA2D"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Validity of Test</w:t>
      </w:r>
    </w:p>
    <w:p w14:paraId="71D2FD7B"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For the conditions of validity, ISO (1994) and OECD (2013) conditions for the validity of test were adopted for this study:</w:t>
      </w:r>
    </w:p>
    <w:p w14:paraId="46534F6B"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mortality in the controls should not exceed 10% at the end of test.</w:t>
      </w:r>
    </w:p>
    <w:p w14:paraId="051A9FE7"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dissolved oxygen concentration should be at least 60% of the air saturation value throughout the test</w:t>
      </w:r>
    </w:p>
    <w:p w14:paraId="69752733"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In semi-static procedures, aeration can be used, provided it does not lead to a significant loss of test substance</w:t>
      </w:r>
    </w:p>
    <w:p w14:paraId="4E6DB7E7"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There should be evidence that the concentration of the substance being tested has been satisfactorily maintained (it should be at least 80% of the nominal concentration) over the test period. The results should be based on measured concentration if the deviation from the nominal concentration is greater than 20%</w:t>
      </w:r>
    </w:p>
    <w:p w14:paraId="6234F3BB"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Histological Evaluation: </w:t>
      </w:r>
    </w:p>
    <w:p w14:paraId="24772C78"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sz w:val="24"/>
          <w:szCs w:val="24"/>
        </w:rPr>
        <w:t>At the end of the experiment, 5 fish from each tank was sacrificed and the target organ of gills were excised and preserved in 10% buffered formalin solution and sent to the laboratory for tissue preparation. Tissue preparation was done in accordance to Drury and Wallington (1980).  The following histological evaluations were made:</w:t>
      </w:r>
    </w:p>
    <w:p w14:paraId="0AF1C1C7" w14:textId="77777777" w:rsidR="0069775F" w:rsidRDefault="004D7A71">
      <w:pPr>
        <w:pStyle w:val="ListParagraphdaeebebf-f101-4889-831f-2692a0b491de"/>
        <w:numPr>
          <w:ilvl w:val="0"/>
          <w:numId w:val="4"/>
        </w:numPr>
        <w:spacing w:after="120" w:line="240" w:lineRule="auto"/>
        <w:rPr>
          <w:rFonts w:ascii="Times New Roman" w:eastAsia="Times New Roman" w:hAnsi="Times New Roman"/>
          <w:sz w:val="24"/>
          <w:szCs w:val="24"/>
        </w:rPr>
      </w:pPr>
      <w:r>
        <w:rPr>
          <w:rFonts w:ascii="Times New Roman" w:eastAsia="Times New Roman" w:hAnsi="Times New Roman"/>
          <w:b/>
          <w:sz w:val="24"/>
          <w:szCs w:val="24"/>
        </w:rPr>
        <w:t>Qualitative Analysis</w:t>
      </w:r>
      <w:r>
        <w:rPr>
          <w:rFonts w:ascii="Times New Roman" w:eastAsia="Times New Roman" w:hAnsi="Times New Roman"/>
          <w:sz w:val="24"/>
          <w:szCs w:val="24"/>
        </w:rPr>
        <w:t xml:space="preserve">: A Light microscopy (Olympus BH2) was used to identify and interpret (histological description) tissue slides and micrograph specimens at 40X, X100 and X400 magnification. The percentage prevalence of tissue histopathology was noted. </w:t>
      </w:r>
      <w:r>
        <w:rPr>
          <w:rFonts w:ascii="Times New Roman" w:eastAsia="Times New Roman" w:hAnsi="Times New Roman"/>
          <w:sz w:val="24"/>
          <w:szCs w:val="24"/>
        </w:rPr>
        <w:lastRenderedPageBreak/>
        <w:t>Histological findings in the prepared slides from Fish Exposed Dosage (FED) of TCs and control were noted.</w:t>
      </w:r>
    </w:p>
    <w:p w14:paraId="77A39C06" w14:textId="77777777" w:rsidR="0069775F" w:rsidRDefault="004D7A71">
      <w:pPr>
        <w:pStyle w:val="ListParagraphdaeebebf-f101-4889-831f-2692a0b491de"/>
        <w:numPr>
          <w:ilvl w:val="0"/>
          <w:numId w:val="4"/>
        </w:numPr>
        <w:spacing w:after="120" w:line="240" w:lineRule="auto"/>
        <w:rPr>
          <w:rFonts w:ascii="Times New Roman" w:eastAsia="Times New Roman" w:hAnsi="Times New Roman"/>
          <w:sz w:val="24"/>
          <w:szCs w:val="24"/>
        </w:rPr>
      </w:pPr>
      <w:r>
        <w:rPr>
          <w:rFonts w:ascii="Times New Roman" w:eastAsia="Times New Roman" w:hAnsi="Times New Roman"/>
          <w:b/>
          <w:sz w:val="24"/>
          <w:szCs w:val="24"/>
        </w:rPr>
        <w:t>Semi-quantitative analysis</w:t>
      </w:r>
      <w:r>
        <w:rPr>
          <w:rFonts w:ascii="Times New Roman" w:eastAsia="Times New Roman" w:hAnsi="Times New Roman"/>
          <w:sz w:val="24"/>
          <w:szCs w:val="24"/>
        </w:rPr>
        <w:t>: A standard semi-quantitative histological assessment according to the modified protocol of Bernet et al. (1999) modified by Van Dyk et al. (2009) was done to quantify the histopathological alterations observed in the gill of histology slides. This assessment is useful because it can be applied to any organ as well as allowing for standardized quantification of results. This assessment allows for the comparison of observed histopathologic lesions between the different Fish Exposure Dosage (FED) of TCs and controls (USEPA, 1994).</w:t>
      </w:r>
    </w:p>
    <w:p w14:paraId="5AA57CE0" w14:textId="77777777" w:rsidR="0069775F" w:rsidRDefault="0069775F">
      <w:pPr>
        <w:spacing w:after="120" w:line="240" w:lineRule="auto"/>
        <w:rPr>
          <w:rFonts w:ascii="Times New Roman" w:eastAsia="Times New Roman" w:hAnsi="Times New Roman"/>
          <w:sz w:val="24"/>
          <w:szCs w:val="24"/>
        </w:rPr>
      </w:pPr>
    </w:p>
    <w:p w14:paraId="19B49065" w14:textId="77777777" w:rsidR="0069775F" w:rsidRDefault="0069775F">
      <w:pPr>
        <w:spacing w:after="120" w:line="240" w:lineRule="auto"/>
        <w:rPr>
          <w:rFonts w:ascii="Times New Roman" w:eastAsia="Times New Roman" w:hAnsi="Times New Roman"/>
          <w:sz w:val="24"/>
          <w:szCs w:val="24"/>
        </w:rPr>
      </w:pPr>
    </w:p>
    <w:p w14:paraId="3F141F33" w14:textId="77777777" w:rsidR="0069775F" w:rsidRDefault="004D7A71">
      <w:pPr>
        <w:spacing w:after="120" w:line="240" w:lineRule="auto"/>
        <w:jc w:val="center"/>
        <w:rPr>
          <w:rFonts w:ascii="Times New Roman" w:eastAsia="Times New Roman" w:hAnsi="Times New Roman"/>
          <w:b/>
          <w:sz w:val="24"/>
          <w:szCs w:val="24"/>
        </w:rPr>
      </w:pPr>
      <w:commentRangeStart w:id="8"/>
      <w:r>
        <w:rPr>
          <w:rFonts w:ascii="Times New Roman" w:eastAsia="Times New Roman" w:hAnsi="Times New Roman"/>
          <w:b/>
          <w:sz w:val="24"/>
          <w:szCs w:val="24"/>
        </w:rPr>
        <w:t>Results</w:t>
      </w:r>
      <w:commentRangeEnd w:id="8"/>
      <w:r w:rsidR="00924F99">
        <w:rPr>
          <w:rStyle w:val="a9"/>
          <w:rtl/>
        </w:rPr>
        <w:commentReference w:id="8"/>
      </w:r>
    </w:p>
    <w:p w14:paraId="01FDBD53" w14:textId="77777777" w:rsidR="0069775F" w:rsidRDefault="004D7A71">
      <w:pPr>
        <w:spacing w:after="120" w:line="240" w:lineRule="auto"/>
        <w:rPr>
          <w:rFonts w:ascii="Times New Roman" w:eastAsia="Times New Roman" w:hAnsi="Times New Roman"/>
          <w:b/>
          <w:sz w:val="24"/>
          <w:szCs w:val="24"/>
        </w:rPr>
      </w:pPr>
      <w:commentRangeStart w:id="9"/>
      <w:r>
        <w:rPr>
          <w:rFonts w:ascii="Times New Roman" w:eastAsia="Times New Roman" w:hAnsi="Times New Roman"/>
          <w:b/>
          <w:sz w:val="24"/>
          <w:szCs w:val="24"/>
        </w:rPr>
        <w:t>Qualitative Histological Assessment</w:t>
      </w:r>
      <w:commentRangeEnd w:id="9"/>
      <w:r w:rsidR="00924F99">
        <w:rPr>
          <w:rStyle w:val="a9"/>
        </w:rPr>
        <w:commentReference w:id="9"/>
      </w:r>
    </w:p>
    <w:p w14:paraId="7E54CBCD" w14:textId="77777777" w:rsidR="0069775F" w:rsidRDefault="004D7A71">
      <w:pPr>
        <w:spacing w:after="120" w:line="240" w:lineRule="auto"/>
        <w:rPr>
          <w:rFonts w:ascii="Times New Roman" w:eastAsia="Times New Roman" w:hAnsi="Times New Roman"/>
          <w:sz w:val="24"/>
          <w:szCs w:val="24"/>
        </w:rPr>
      </w:pPr>
      <w:r>
        <w:rPr>
          <w:noProof/>
        </w:rPr>
        <w:drawing>
          <wp:inline distT="0" distB="0" distL="0" distR="0" wp14:anchorId="3B357783" wp14:editId="0D36B4A2">
            <wp:extent cx="6664325" cy="1828800"/>
            <wp:effectExtent l="0" t="0" r="3175" b="0"/>
            <wp:docPr id="102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8"/>
                    <pic:cNvPicPr/>
                  </pic:nvPicPr>
                  <pic:blipFill>
                    <a:blip r:embed="rId14" cstate="print"/>
                    <a:srcRect l="20175" t="61269" r="19302" b="9190"/>
                    <a:stretch/>
                  </pic:blipFill>
                  <pic:spPr>
                    <a:xfrm>
                      <a:off x="0" y="0"/>
                      <a:ext cx="6664325" cy="1828800"/>
                    </a:xfrm>
                    <a:prstGeom prst="rect">
                      <a:avLst/>
                    </a:prstGeom>
                    <a:ln>
                      <a:noFill/>
                    </a:ln>
                  </pic:spPr>
                </pic:pic>
              </a:graphicData>
            </a:graphic>
          </wp:inline>
        </w:drawing>
      </w:r>
    </w:p>
    <w:p w14:paraId="161B6F97"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b/>
          <w:i/>
          <w:sz w:val="20"/>
          <w:szCs w:val="24"/>
        </w:rPr>
        <w:t>Plate 3: Photomicrographs (H&amp;E:400X). (A) Normal Gills showing the Primary Lamella (PL) and Secondary Lamella (SL) (B) Showing marked Primary (PL) and its cartilage (</w:t>
      </w:r>
      <w:proofErr w:type="spellStart"/>
      <w:r>
        <w:rPr>
          <w:rFonts w:ascii="Times New Roman" w:eastAsia="Times New Roman" w:hAnsi="Times New Roman"/>
          <w:b/>
          <w:i/>
          <w:sz w:val="20"/>
          <w:szCs w:val="24"/>
        </w:rPr>
        <w:t>PLc</w:t>
      </w:r>
      <w:proofErr w:type="spellEnd"/>
      <w:r>
        <w:rPr>
          <w:rFonts w:ascii="Times New Roman" w:eastAsia="Times New Roman" w:hAnsi="Times New Roman"/>
          <w:b/>
          <w:i/>
          <w:sz w:val="20"/>
          <w:szCs w:val="24"/>
        </w:rPr>
        <w:t>), marked Inflammatory Cell infiltration of the Primary Lamella (IPL). (C) showing the Gill Arch cartilage (</w:t>
      </w:r>
      <w:proofErr w:type="spellStart"/>
      <w:r>
        <w:rPr>
          <w:rFonts w:ascii="Times New Roman" w:eastAsia="Times New Roman" w:hAnsi="Times New Roman"/>
          <w:b/>
          <w:i/>
          <w:sz w:val="20"/>
          <w:szCs w:val="24"/>
        </w:rPr>
        <w:t>Gca</w:t>
      </w:r>
      <w:proofErr w:type="spellEnd"/>
      <w:r>
        <w:rPr>
          <w:rFonts w:ascii="Times New Roman" w:eastAsia="Times New Roman" w:hAnsi="Times New Roman"/>
          <w:b/>
          <w:i/>
          <w:sz w:val="20"/>
          <w:szCs w:val="24"/>
        </w:rPr>
        <w:t>) with marked Inflammatory Cell infiltration of the Gill Arch (Iga) and the Primary Lamella (IPL). There is atrophy of the Secondary Lamella in A and B</w:t>
      </w:r>
      <w:r>
        <w:rPr>
          <w:rFonts w:ascii="Times New Roman" w:eastAsia="Times New Roman" w:hAnsi="Times New Roman"/>
          <w:sz w:val="24"/>
          <w:szCs w:val="24"/>
        </w:rPr>
        <w:t>.</w:t>
      </w:r>
    </w:p>
    <w:p w14:paraId="35949E7E"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Semi-Quantitative Histopathological Assessment</w:t>
      </w:r>
    </w:p>
    <w:p w14:paraId="219108D0" w14:textId="67BB9808"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Below (Table </w:t>
      </w:r>
      <w:r w:rsidR="000A327A">
        <w:rPr>
          <w:rFonts w:ascii="Times New Roman" w:eastAsia="Times New Roman" w:hAnsi="Times New Roman"/>
          <w:sz w:val="24"/>
          <w:szCs w:val="24"/>
        </w:rPr>
        <w:t>2</w:t>
      </w:r>
      <w:r>
        <w:rPr>
          <w:rFonts w:ascii="Times New Roman" w:eastAsia="Times New Roman" w:hAnsi="Times New Roman"/>
          <w:sz w:val="24"/>
          <w:szCs w:val="24"/>
        </w:rPr>
        <w:t>) is the gills histopathologic organ index (I</w:t>
      </w:r>
      <w:r>
        <w:rPr>
          <w:rFonts w:ascii="Times New Roman" w:eastAsia="Times New Roman" w:hAnsi="Times New Roman"/>
          <w:sz w:val="24"/>
          <w:szCs w:val="24"/>
          <w:vertAlign w:val="subscript"/>
        </w:rPr>
        <w:t>org</w:t>
      </w:r>
      <w:r>
        <w:rPr>
          <w:rFonts w:ascii="Times New Roman" w:eastAsia="Times New Roman" w:hAnsi="Times New Roman"/>
          <w:sz w:val="24"/>
          <w:szCs w:val="24"/>
        </w:rPr>
        <w:t>) result collected with a score chart quantified by Bernet et al. (1999) protocol (modified by Van Dyk et al., (2009a), showed that Gills I</w:t>
      </w:r>
      <w:r>
        <w:rPr>
          <w:rFonts w:ascii="Times New Roman" w:eastAsia="Times New Roman" w:hAnsi="Times New Roman"/>
          <w:sz w:val="24"/>
          <w:szCs w:val="24"/>
          <w:vertAlign w:val="subscript"/>
        </w:rPr>
        <w:t>org</w:t>
      </w:r>
      <w:r>
        <w:rPr>
          <w:rFonts w:ascii="Times New Roman" w:eastAsia="Times New Roman" w:hAnsi="Times New Roman"/>
          <w:sz w:val="24"/>
          <w:szCs w:val="24"/>
        </w:rPr>
        <w:t xml:space="preserve"> of Cd1, Cd2, Cr1-Cr3, Cu3, Ni3, Pb2 and Pb3 were above control.</w:t>
      </w:r>
    </w:p>
    <w:p w14:paraId="540BE083"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b/>
          <w:sz w:val="24"/>
          <w:szCs w:val="24"/>
        </w:rPr>
        <w:t>Table 2</w:t>
      </w:r>
      <w:r>
        <w:rPr>
          <w:rFonts w:ascii="Times New Roman" w:eastAsia="Times New Roman" w:hAnsi="Times New Roman"/>
          <w:sz w:val="24"/>
          <w:szCs w:val="24"/>
        </w:rPr>
        <w:t xml:space="preserve">: Showing the mean Organ and fish Indices of cultured fish lesions </w:t>
      </w:r>
    </w:p>
    <w:tbl>
      <w:tblPr>
        <w:tblStyle w:val="1-2"/>
        <w:tblW w:w="0" w:type="auto"/>
        <w:tblLayout w:type="fixed"/>
        <w:tblLook w:val="04A0" w:firstRow="1" w:lastRow="0" w:firstColumn="1" w:lastColumn="0" w:noHBand="0" w:noVBand="1"/>
      </w:tblPr>
      <w:tblGrid>
        <w:gridCol w:w="936"/>
        <w:gridCol w:w="696"/>
        <w:gridCol w:w="2005"/>
      </w:tblGrid>
      <w:tr w:rsidR="0069775F" w14:paraId="1EE4DD53" w14:textId="77777777" w:rsidTr="0069775F">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36" w:type="dxa"/>
          </w:tcPr>
          <w:p w14:paraId="66B0F055"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TC</w:t>
            </w:r>
          </w:p>
        </w:tc>
        <w:tc>
          <w:tcPr>
            <w:tcW w:w="696" w:type="dxa"/>
          </w:tcPr>
          <w:p w14:paraId="2D00D88D" w14:textId="77777777" w:rsidR="0069775F" w:rsidRDefault="004D7A71">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FEC</w:t>
            </w:r>
          </w:p>
        </w:tc>
        <w:tc>
          <w:tcPr>
            <w:tcW w:w="2005" w:type="dxa"/>
          </w:tcPr>
          <w:p w14:paraId="148073BD"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b w:val="0"/>
                <w:color w:val="000000"/>
                <w:sz w:val="24"/>
                <w:szCs w:val="24"/>
              </w:rPr>
              <w:t>Mean</w:t>
            </w:r>
            <w:r>
              <w:rPr>
                <w:rFonts w:ascii="Times New Roman" w:hAnsi="Times New Roman"/>
                <w:b w:val="0"/>
                <w:bCs w:val="0"/>
                <w:color w:val="000000"/>
                <w:sz w:val="24"/>
                <w:szCs w:val="24"/>
              </w:rPr>
              <w:t xml:space="preserve"> </w:t>
            </w:r>
            <w:r>
              <w:rPr>
                <w:rFonts w:ascii="Times New Roman" w:eastAsia="Times New Roman" w:hAnsi="Times New Roman"/>
                <w:b w:val="0"/>
                <w:sz w:val="24"/>
                <w:szCs w:val="24"/>
              </w:rPr>
              <w:t>Gills I</w:t>
            </w:r>
            <w:r>
              <w:rPr>
                <w:rFonts w:ascii="Times New Roman" w:eastAsia="Times New Roman" w:hAnsi="Times New Roman"/>
                <w:b w:val="0"/>
                <w:sz w:val="24"/>
                <w:szCs w:val="24"/>
                <w:vertAlign w:val="subscript"/>
              </w:rPr>
              <w:t>org</w:t>
            </w:r>
          </w:p>
        </w:tc>
      </w:tr>
      <w:tr w:rsidR="0069775F" w14:paraId="7D3E94F9" w14:textId="77777777" w:rsidTr="0069775F">
        <w:trPr>
          <w:trHeight w:val="88"/>
        </w:trPr>
        <w:tc>
          <w:tcPr>
            <w:cnfStyle w:val="001000000000" w:firstRow="0" w:lastRow="0" w:firstColumn="1" w:lastColumn="0" w:oddVBand="0" w:evenVBand="0" w:oddHBand="0" w:evenHBand="0" w:firstRowFirstColumn="0" w:firstRowLastColumn="0" w:lastRowFirstColumn="0" w:lastRowLastColumn="0"/>
            <w:tcW w:w="936" w:type="dxa"/>
          </w:tcPr>
          <w:p w14:paraId="4D0B6D74"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Con</w:t>
            </w:r>
          </w:p>
        </w:tc>
        <w:tc>
          <w:tcPr>
            <w:tcW w:w="696" w:type="dxa"/>
          </w:tcPr>
          <w:p w14:paraId="4A72CCBD" w14:textId="77777777" w:rsidR="0069775F" w:rsidRDefault="0069775F">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p>
        </w:tc>
        <w:tc>
          <w:tcPr>
            <w:tcW w:w="2005" w:type="dxa"/>
          </w:tcPr>
          <w:p w14:paraId="3125411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1.2</w:t>
            </w:r>
          </w:p>
        </w:tc>
      </w:tr>
      <w:tr w:rsidR="0069775F" w14:paraId="621F078C" w14:textId="77777777" w:rsidTr="0069775F">
        <w:trPr>
          <w:trHeight w:val="265"/>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64E60632"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Cd</w:t>
            </w:r>
          </w:p>
        </w:tc>
        <w:tc>
          <w:tcPr>
            <w:tcW w:w="696" w:type="dxa"/>
          </w:tcPr>
          <w:p w14:paraId="6788A22D"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Cd1</w:t>
            </w:r>
          </w:p>
        </w:tc>
        <w:tc>
          <w:tcPr>
            <w:tcW w:w="2005" w:type="dxa"/>
          </w:tcPr>
          <w:p w14:paraId="7FC27568"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18.8</w:t>
            </w:r>
          </w:p>
        </w:tc>
      </w:tr>
      <w:tr w:rsidR="0069775F" w14:paraId="6954789F" w14:textId="77777777" w:rsidTr="0069775F">
        <w:trPr>
          <w:trHeight w:val="261"/>
        </w:trPr>
        <w:tc>
          <w:tcPr>
            <w:cnfStyle w:val="001000000000" w:firstRow="0" w:lastRow="0" w:firstColumn="1" w:lastColumn="0" w:oddVBand="0" w:evenVBand="0" w:oddHBand="0" w:evenHBand="0" w:firstRowFirstColumn="0" w:firstRowLastColumn="0" w:lastRowFirstColumn="0" w:lastRowLastColumn="0"/>
            <w:tcW w:w="936" w:type="dxa"/>
            <w:vMerge/>
          </w:tcPr>
          <w:p w14:paraId="5B716DEF"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29934F21"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Cd2</w:t>
            </w:r>
          </w:p>
        </w:tc>
        <w:tc>
          <w:tcPr>
            <w:tcW w:w="2005" w:type="dxa"/>
          </w:tcPr>
          <w:p w14:paraId="134F6EA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13.4</w:t>
            </w:r>
          </w:p>
        </w:tc>
      </w:tr>
      <w:tr w:rsidR="0069775F" w14:paraId="10E79B7C"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68A44CF1" w14:textId="77777777" w:rsidR="0069775F" w:rsidRDefault="0069775F">
            <w:pPr>
              <w:spacing w:before="100" w:beforeAutospacing="1" w:after="100" w:afterAutospacing="1" w:line="240" w:lineRule="auto"/>
              <w:ind w:left="720" w:firstLine="720"/>
              <w:jc w:val="center"/>
              <w:rPr>
                <w:rFonts w:ascii="Times New Roman" w:hAnsi="Times New Roman"/>
                <w:color w:val="000000"/>
                <w:sz w:val="24"/>
                <w:szCs w:val="24"/>
              </w:rPr>
            </w:pPr>
          </w:p>
        </w:tc>
        <w:tc>
          <w:tcPr>
            <w:tcW w:w="696" w:type="dxa"/>
          </w:tcPr>
          <w:p w14:paraId="0228A9F3"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Cd3</w:t>
            </w:r>
          </w:p>
        </w:tc>
        <w:tc>
          <w:tcPr>
            <w:tcW w:w="2005" w:type="dxa"/>
          </w:tcPr>
          <w:p w14:paraId="6D0C6E12"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1.0</w:t>
            </w:r>
          </w:p>
        </w:tc>
      </w:tr>
      <w:tr w:rsidR="0069775F" w14:paraId="4BB519F4"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2044A0AB"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03D47194"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Cd4</w:t>
            </w:r>
          </w:p>
        </w:tc>
        <w:tc>
          <w:tcPr>
            <w:tcW w:w="2005" w:type="dxa"/>
          </w:tcPr>
          <w:p w14:paraId="0815E9C0"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0.4</w:t>
            </w:r>
          </w:p>
        </w:tc>
      </w:tr>
      <w:tr w:rsidR="0069775F" w14:paraId="28CB5E05" w14:textId="77777777" w:rsidTr="0069775F">
        <w:trPr>
          <w:trHeight w:val="265"/>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7DB1901C"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Cr</w:t>
            </w:r>
          </w:p>
        </w:tc>
        <w:tc>
          <w:tcPr>
            <w:tcW w:w="696" w:type="dxa"/>
          </w:tcPr>
          <w:p w14:paraId="1FF286A6"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Cr1</w:t>
            </w:r>
          </w:p>
        </w:tc>
        <w:tc>
          <w:tcPr>
            <w:tcW w:w="2005" w:type="dxa"/>
          </w:tcPr>
          <w:p w14:paraId="3624472D"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20.8</w:t>
            </w:r>
          </w:p>
        </w:tc>
      </w:tr>
      <w:tr w:rsidR="0069775F" w14:paraId="77EE8C6C" w14:textId="77777777" w:rsidTr="0069775F">
        <w:trPr>
          <w:trHeight w:val="261"/>
        </w:trPr>
        <w:tc>
          <w:tcPr>
            <w:cnfStyle w:val="001000000000" w:firstRow="0" w:lastRow="0" w:firstColumn="1" w:lastColumn="0" w:oddVBand="0" w:evenVBand="0" w:oddHBand="0" w:evenHBand="0" w:firstRowFirstColumn="0" w:firstRowLastColumn="0" w:lastRowFirstColumn="0" w:lastRowLastColumn="0"/>
            <w:tcW w:w="936" w:type="dxa"/>
            <w:vMerge/>
          </w:tcPr>
          <w:p w14:paraId="1CE2A309"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3D95531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Cr2</w:t>
            </w:r>
          </w:p>
        </w:tc>
        <w:tc>
          <w:tcPr>
            <w:tcW w:w="2005" w:type="dxa"/>
          </w:tcPr>
          <w:p w14:paraId="24A20D8C"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14.6</w:t>
            </w:r>
          </w:p>
        </w:tc>
      </w:tr>
      <w:tr w:rsidR="0069775F" w14:paraId="5A911F73"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158DFFE7"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039EED5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Cr3</w:t>
            </w:r>
          </w:p>
        </w:tc>
        <w:tc>
          <w:tcPr>
            <w:tcW w:w="2005" w:type="dxa"/>
          </w:tcPr>
          <w:p w14:paraId="03046486"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2.0</w:t>
            </w:r>
          </w:p>
        </w:tc>
      </w:tr>
      <w:tr w:rsidR="0069775F" w14:paraId="2E366406" w14:textId="77777777" w:rsidTr="0069775F">
        <w:trPr>
          <w:trHeight w:val="224"/>
        </w:trPr>
        <w:tc>
          <w:tcPr>
            <w:cnfStyle w:val="001000000000" w:firstRow="0" w:lastRow="0" w:firstColumn="1" w:lastColumn="0" w:oddVBand="0" w:evenVBand="0" w:oddHBand="0" w:evenHBand="0" w:firstRowFirstColumn="0" w:firstRowLastColumn="0" w:lastRowFirstColumn="0" w:lastRowLastColumn="0"/>
            <w:tcW w:w="936" w:type="dxa"/>
            <w:vMerge/>
          </w:tcPr>
          <w:p w14:paraId="0C707685"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517F7A79"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Cr4</w:t>
            </w:r>
          </w:p>
        </w:tc>
        <w:tc>
          <w:tcPr>
            <w:tcW w:w="2005" w:type="dxa"/>
          </w:tcPr>
          <w:p w14:paraId="228A499A"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0.8</w:t>
            </w:r>
          </w:p>
        </w:tc>
      </w:tr>
      <w:tr w:rsidR="0069775F" w14:paraId="3ED1281B" w14:textId="77777777" w:rsidTr="0069775F">
        <w:trPr>
          <w:trHeight w:val="366"/>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77A8142A"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Cu</w:t>
            </w:r>
          </w:p>
        </w:tc>
        <w:tc>
          <w:tcPr>
            <w:tcW w:w="696" w:type="dxa"/>
          </w:tcPr>
          <w:p w14:paraId="061A953C"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Cu1</w:t>
            </w:r>
          </w:p>
        </w:tc>
        <w:tc>
          <w:tcPr>
            <w:tcW w:w="2005" w:type="dxa"/>
          </w:tcPr>
          <w:p w14:paraId="44DBC99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6E86B6A9" w14:textId="77777777" w:rsidTr="0069775F">
        <w:trPr>
          <w:trHeight w:val="173"/>
        </w:trPr>
        <w:tc>
          <w:tcPr>
            <w:cnfStyle w:val="001000000000" w:firstRow="0" w:lastRow="0" w:firstColumn="1" w:lastColumn="0" w:oddVBand="0" w:evenVBand="0" w:oddHBand="0" w:evenHBand="0" w:firstRowFirstColumn="0" w:firstRowLastColumn="0" w:lastRowFirstColumn="0" w:lastRowLastColumn="0"/>
            <w:tcW w:w="936" w:type="dxa"/>
            <w:vMerge/>
          </w:tcPr>
          <w:p w14:paraId="78FC5884"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03DCAF73"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Cu2</w:t>
            </w:r>
          </w:p>
        </w:tc>
        <w:tc>
          <w:tcPr>
            <w:tcW w:w="2005" w:type="dxa"/>
          </w:tcPr>
          <w:p w14:paraId="44438D0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547D5399" w14:textId="77777777" w:rsidTr="0069775F">
        <w:trPr>
          <w:trHeight w:val="291"/>
        </w:trPr>
        <w:tc>
          <w:tcPr>
            <w:cnfStyle w:val="001000000000" w:firstRow="0" w:lastRow="0" w:firstColumn="1" w:lastColumn="0" w:oddVBand="0" w:evenVBand="0" w:oddHBand="0" w:evenHBand="0" w:firstRowFirstColumn="0" w:firstRowLastColumn="0" w:lastRowFirstColumn="0" w:lastRowLastColumn="0"/>
            <w:tcW w:w="936" w:type="dxa"/>
            <w:vMerge/>
          </w:tcPr>
          <w:p w14:paraId="411A5F2A"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2BC1AC2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Cu3</w:t>
            </w:r>
          </w:p>
        </w:tc>
        <w:tc>
          <w:tcPr>
            <w:tcW w:w="2005" w:type="dxa"/>
          </w:tcPr>
          <w:p w14:paraId="3FF5D1C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11.6</w:t>
            </w:r>
          </w:p>
        </w:tc>
      </w:tr>
      <w:tr w:rsidR="0069775F" w14:paraId="01AE4B08"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66FCF709"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119E0809"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Cu4</w:t>
            </w:r>
          </w:p>
        </w:tc>
        <w:tc>
          <w:tcPr>
            <w:tcW w:w="2005" w:type="dxa"/>
          </w:tcPr>
          <w:p w14:paraId="76A70D18"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1.6</w:t>
            </w:r>
          </w:p>
        </w:tc>
      </w:tr>
      <w:tr w:rsidR="0069775F" w14:paraId="1B0C86ED"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16812862"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Ni</w:t>
            </w:r>
          </w:p>
        </w:tc>
        <w:tc>
          <w:tcPr>
            <w:tcW w:w="696" w:type="dxa"/>
          </w:tcPr>
          <w:p w14:paraId="73F6ED1A"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Ni1</w:t>
            </w:r>
          </w:p>
        </w:tc>
        <w:tc>
          <w:tcPr>
            <w:tcW w:w="2005" w:type="dxa"/>
          </w:tcPr>
          <w:p w14:paraId="62F2E372"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7D26BDA5" w14:textId="77777777" w:rsidTr="0069775F">
        <w:trPr>
          <w:trHeight w:val="253"/>
        </w:trPr>
        <w:tc>
          <w:tcPr>
            <w:cnfStyle w:val="001000000000" w:firstRow="0" w:lastRow="0" w:firstColumn="1" w:lastColumn="0" w:oddVBand="0" w:evenVBand="0" w:oddHBand="0" w:evenHBand="0" w:firstRowFirstColumn="0" w:firstRowLastColumn="0" w:lastRowFirstColumn="0" w:lastRowLastColumn="0"/>
            <w:tcW w:w="936" w:type="dxa"/>
            <w:vMerge/>
          </w:tcPr>
          <w:p w14:paraId="4AA0E4E6"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197A2B3E"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Ni2</w:t>
            </w:r>
          </w:p>
        </w:tc>
        <w:tc>
          <w:tcPr>
            <w:tcW w:w="2005" w:type="dxa"/>
          </w:tcPr>
          <w:p w14:paraId="7ED99B46"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42810566" w14:textId="77777777" w:rsidTr="0069775F">
        <w:trPr>
          <w:trHeight w:val="240"/>
        </w:trPr>
        <w:tc>
          <w:tcPr>
            <w:cnfStyle w:val="001000000000" w:firstRow="0" w:lastRow="0" w:firstColumn="1" w:lastColumn="0" w:oddVBand="0" w:evenVBand="0" w:oddHBand="0" w:evenHBand="0" w:firstRowFirstColumn="0" w:firstRowLastColumn="0" w:lastRowFirstColumn="0" w:lastRowLastColumn="0"/>
            <w:tcW w:w="936" w:type="dxa"/>
            <w:vMerge/>
          </w:tcPr>
          <w:p w14:paraId="52464E76"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6E3CF7E1"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Ni3</w:t>
            </w:r>
          </w:p>
        </w:tc>
        <w:tc>
          <w:tcPr>
            <w:tcW w:w="2005" w:type="dxa"/>
          </w:tcPr>
          <w:p w14:paraId="33FE6BF9"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4.0</w:t>
            </w:r>
          </w:p>
        </w:tc>
      </w:tr>
      <w:tr w:rsidR="0069775F" w14:paraId="6D3EBA8E" w14:textId="77777777" w:rsidTr="0069775F">
        <w:trPr>
          <w:trHeight w:val="240"/>
        </w:trPr>
        <w:tc>
          <w:tcPr>
            <w:cnfStyle w:val="001000000000" w:firstRow="0" w:lastRow="0" w:firstColumn="1" w:lastColumn="0" w:oddVBand="0" w:evenVBand="0" w:oddHBand="0" w:evenHBand="0" w:firstRowFirstColumn="0" w:firstRowLastColumn="0" w:lastRowFirstColumn="0" w:lastRowLastColumn="0"/>
            <w:tcW w:w="936" w:type="dxa"/>
            <w:vMerge/>
          </w:tcPr>
          <w:p w14:paraId="6AB90101"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5668733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Ni4</w:t>
            </w:r>
          </w:p>
        </w:tc>
        <w:tc>
          <w:tcPr>
            <w:tcW w:w="2005" w:type="dxa"/>
          </w:tcPr>
          <w:p w14:paraId="00197F8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0.4</w:t>
            </w:r>
          </w:p>
        </w:tc>
      </w:tr>
      <w:tr w:rsidR="0069775F" w14:paraId="60332B9D" w14:textId="77777777" w:rsidTr="0069775F">
        <w:trPr>
          <w:trHeight w:val="211"/>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1A87C93C"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Pb</w:t>
            </w:r>
          </w:p>
        </w:tc>
        <w:tc>
          <w:tcPr>
            <w:tcW w:w="696" w:type="dxa"/>
          </w:tcPr>
          <w:p w14:paraId="663FB66C"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Pb1</w:t>
            </w:r>
          </w:p>
        </w:tc>
        <w:tc>
          <w:tcPr>
            <w:tcW w:w="2005" w:type="dxa"/>
          </w:tcPr>
          <w:p w14:paraId="35462CD8"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5CAC3564" w14:textId="77777777" w:rsidTr="0069775F">
        <w:trPr>
          <w:trHeight w:val="328"/>
        </w:trPr>
        <w:tc>
          <w:tcPr>
            <w:cnfStyle w:val="001000000000" w:firstRow="0" w:lastRow="0" w:firstColumn="1" w:lastColumn="0" w:oddVBand="0" w:evenVBand="0" w:oddHBand="0" w:evenHBand="0" w:firstRowFirstColumn="0" w:firstRowLastColumn="0" w:lastRowFirstColumn="0" w:lastRowLastColumn="0"/>
            <w:tcW w:w="936" w:type="dxa"/>
            <w:vMerge/>
          </w:tcPr>
          <w:p w14:paraId="261D1B60"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45AFF696"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Pb2</w:t>
            </w:r>
          </w:p>
        </w:tc>
        <w:tc>
          <w:tcPr>
            <w:tcW w:w="2005" w:type="dxa"/>
          </w:tcPr>
          <w:p w14:paraId="0A93A1A0"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14.8</w:t>
            </w:r>
          </w:p>
        </w:tc>
      </w:tr>
      <w:tr w:rsidR="0069775F" w14:paraId="58C0318F" w14:textId="77777777" w:rsidTr="0069775F">
        <w:trPr>
          <w:trHeight w:val="227"/>
        </w:trPr>
        <w:tc>
          <w:tcPr>
            <w:cnfStyle w:val="001000000000" w:firstRow="0" w:lastRow="0" w:firstColumn="1" w:lastColumn="0" w:oddVBand="0" w:evenVBand="0" w:oddHBand="0" w:evenHBand="0" w:firstRowFirstColumn="0" w:firstRowLastColumn="0" w:lastRowFirstColumn="0" w:lastRowLastColumn="0"/>
            <w:tcW w:w="936" w:type="dxa"/>
            <w:vMerge/>
          </w:tcPr>
          <w:p w14:paraId="558914FE"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06F7420C"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Pb3</w:t>
            </w:r>
          </w:p>
        </w:tc>
        <w:tc>
          <w:tcPr>
            <w:tcW w:w="2005" w:type="dxa"/>
          </w:tcPr>
          <w:p w14:paraId="56AD7DCE"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6.4</w:t>
            </w:r>
          </w:p>
        </w:tc>
      </w:tr>
      <w:tr w:rsidR="0069775F" w14:paraId="240EC22A" w14:textId="77777777" w:rsidTr="0069775F">
        <w:trPr>
          <w:trHeight w:val="316"/>
        </w:trPr>
        <w:tc>
          <w:tcPr>
            <w:cnfStyle w:val="001000000000" w:firstRow="0" w:lastRow="0" w:firstColumn="1" w:lastColumn="0" w:oddVBand="0" w:evenVBand="0" w:oddHBand="0" w:evenHBand="0" w:firstRowFirstColumn="0" w:firstRowLastColumn="0" w:lastRowFirstColumn="0" w:lastRowLastColumn="0"/>
            <w:tcW w:w="936" w:type="dxa"/>
            <w:vMerge/>
          </w:tcPr>
          <w:p w14:paraId="603A201A"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30EE6787"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Pb4</w:t>
            </w:r>
          </w:p>
        </w:tc>
        <w:tc>
          <w:tcPr>
            <w:tcW w:w="2005" w:type="dxa"/>
          </w:tcPr>
          <w:p w14:paraId="450676F7"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1.2</w:t>
            </w:r>
          </w:p>
        </w:tc>
      </w:tr>
    </w:tbl>
    <w:p w14:paraId="653B9654" w14:textId="77777777" w:rsidR="0069775F" w:rsidRDefault="0069775F">
      <w:pPr>
        <w:spacing w:after="120" w:line="240" w:lineRule="auto"/>
        <w:rPr>
          <w:rFonts w:ascii="Times New Roman" w:eastAsia="Times New Roman" w:hAnsi="Times New Roman"/>
          <w:sz w:val="24"/>
          <w:szCs w:val="24"/>
        </w:rPr>
      </w:pPr>
    </w:p>
    <w:p w14:paraId="3A0302E3" w14:textId="77777777" w:rsidR="0069775F" w:rsidRDefault="004D7A71">
      <w:pPr>
        <w:spacing w:after="12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Key: Cd1, Cd2…Cr1, Cr2… </w:t>
      </w:r>
      <w:proofErr w:type="spellStart"/>
      <w:r>
        <w:rPr>
          <w:rFonts w:ascii="Times New Roman" w:eastAsia="Times New Roman" w:hAnsi="Times New Roman"/>
          <w:i/>
          <w:sz w:val="24"/>
          <w:szCs w:val="24"/>
        </w:rPr>
        <w:t>etc</w:t>
      </w:r>
      <w:proofErr w:type="spellEnd"/>
      <w:r>
        <w:rPr>
          <w:rFonts w:ascii="Times New Roman" w:eastAsia="Times New Roman" w:hAnsi="Times New Roman"/>
          <w:i/>
          <w:sz w:val="24"/>
          <w:szCs w:val="24"/>
        </w:rPr>
        <w:t xml:space="preserve"> = Concentrations of Heavy metal applied per Fish Tank; Conc = Concentration: </w:t>
      </w:r>
      <w:r>
        <w:rPr>
          <w:rFonts w:ascii="Times New Roman" w:eastAsia="Times New Roman" w:hAnsi="Times New Roman"/>
          <w:i/>
          <w:color w:val="FF0000"/>
          <w:sz w:val="24"/>
          <w:szCs w:val="24"/>
        </w:rPr>
        <w:t xml:space="preserve">red </w:t>
      </w:r>
      <w:r>
        <w:rPr>
          <w:rFonts w:ascii="Times New Roman" w:eastAsia="Times New Roman" w:hAnsi="Times New Roman"/>
          <w:i/>
          <w:sz w:val="24"/>
          <w:szCs w:val="24"/>
        </w:rPr>
        <w:t xml:space="preserve">= values above the control values; FEC = Fish </w:t>
      </w:r>
      <w:proofErr w:type="gramStart"/>
      <w:r>
        <w:rPr>
          <w:rFonts w:ascii="Times New Roman" w:eastAsia="Times New Roman" w:hAnsi="Times New Roman"/>
          <w:i/>
          <w:sz w:val="24"/>
          <w:szCs w:val="24"/>
        </w:rPr>
        <w:t>Exposure  Concentration</w:t>
      </w:r>
      <w:proofErr w:type="gramEnd"/>
      <w:r>
        <w:rPr>
          <w:rFonts w:ascii="Times New Roman" w:eastAsia="Times New Roman" w:hAnsi="Times New Roman"/>
          <w:i/>
          <w:sz w:val="24"/>
          <w:szCs w:val="24"/>
        </w:rPr>
        <w:t>; Iorg = Organ Index; Nil – Fish in the test chamber did not survive the duration of the experiment</w:t>
      </w:r>
    </w:p>
    <w:p w14:paraId="2092874C" w14:textId="77777777" w:rsidR="0069775F" w:rsidRDefault="0069775F">
      <w:pPr>
        <w:spacing w:after="120" w:line="240" w:lineRule="auto"/>
        <w:rPr>
          <w:rFonts w:ascii="Times New Roman" w:eastAsia="Times New Roman" w:hAnsi="Times New Roman"/>
          <w:i/>
          <w:sz w:val="24"/>
          <w:szCs w:val="24"/>
        </w:rPr>
      </w:pPr>
    </w:p>
    <w:p w14:paraId="305D375E" w14:textId="77777777" w:rsidR="0069775F" w:rsidRDefault="004D7A71">
      <w:pPr>
        <w:rPr>
          <w:rFonts w:ascii="Times New Roman" w:hAnsi="Times New Roman"/>
          <w:sz w:val="28"/>
          <w:szCs w:val="28"/>
        </w:rPr>
      </w:pPr>
      <w:commentRangeStart w:id="10"/>
      <w:r>
        <w:rPr>
          <w:rFonts w:ascii="Times New Roman" w:hAnsi="Times New Roman"/>
          <w:sz w:val="28"/>
          <w:szCs w:val="28"/>
        </w:rPr>
        <w:t>Table 3: Gills Paired Sample T Test of the Fish Toxicity Study, comparing the mean Organ Indices (Iorg) of fish from the different FED tanks with the control fish.</w:t>
      </w:r>
      <w:commentRangeEnd w:id="10"/>
      <w:r w:rsidR="00CD1BE8">
        <w:rPr>
          <w:rStyle w:val="a9"/>
          <w:rtl/>
        </w:rPr>
        <w:commentReference w:id="10"/>
      </w:r>
    </w:p>
    <w:tbl>
      <w:tblPr>
        <w:tblStyle w:val="1-2"/>
        <w:tblW w:w="9980" w:type="dxa"/>
        <w:tblLayout w:type="fixed"/>
        <w:tblLook w:val="04A0" w:firstRow="1" w:lastRow="0" w:firstColumn="1" w:lastColumn="0" w:noHBand="0" w:noVBand="1"/>
      </w:tblPr>
      <w:tblGrid>
        <w:gridCol w:w="1057"/>
        <w:gridCol w:w="1198"/>
        <w:gridCol w:w="956"/>
        <w:gridCol w:w="1061"/>
        <w:gridCol w:w="952"/>
        <w:gridCol w:w="956"/>
        <w:gridCol w:w="953"/>
        <w:gridCol w:w="952"/>
        <w:gridCol w:w="941"/>
        <w:gridCol w:w="954"/>
      </w:tblGrid>
      <w:tr w:rsidR="0069775F" w14:paraId="178164B2" w14:textId="77777777" w:rsidTr="0069775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val="restart"/>
          </w:tcPr>
          <w:p w14:paraId="0321D2F1" w14:textId="77777777" w:rsidR="0069775F" w:rsidRDefault="004D7A71">
            <w:pPr>
              <w:spacing w:after="0" w:line="240" w:lineRule="auto"/>
              <w:rPr>
                <w:rFonts w:eastAsia="Times New Roman" w:cs="Calibri"/>
                <w:color w:val="000000"/>
                <w:sz w:val="20"/>
                <w:szCs w:val="20"/>
              </w:rPr>
            </w:pPr>
            <w:r>
              <w:rPr>
                <w:rFonts w:eastAsia="Times New Roman" w:cs="Calibri"/>
                <w:color w:val="000000"/>
                <w:sz w:val="20"/>
                <w:szCs w:val="20"/>
              </w:rPr>
              <w:t> </w:t>
            </w:r>
          </w:p>
        </w:tc>
        <w:tc>
          <w:tcPr>
            <w:tcW w:w="4879" w:type="dxa"/>
            <w:gridSpan w:val="5"/>
          </w:tcPr>
          <w:p w14:paraId="43A60718"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Paired Differences</w:t>
            </w:r>
          </w:p>
        </w:tc>
        <w:tc>
          <w:tcPr>
            <w:tcW w:w="952" w:type="dxa"/>
            <w:vMerge w:val="restart"/>
          </w:tcPr>
          <w:p w14:paraId="536B0F9E"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t</w:t>
            </w:r>
          </w:p>
        </w:tc>
        <w:tc>
          <w:tcPr>
            <w:tcW w:w="941" w:type="dxa"/>
            <w:vMerge w:val="restart"/>
          </w:tcPr>
          <w:p w14:paraId="4D430075"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df</w:t>
            </w:r>
          </w:p>
        </w:tc>
        <w:tc>
          <w:tcPr>
            <w:tcW w:w="954" w:type="dxa"/>
            <w:vMerge w:val="restart"/>
          </w:tcPr>
          <w:p w14:paraId="1E755D1A"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Sig. (2-tailed)</w:t>
            </w:r>
          </w:p>
        </w:tc>
      </w:tr>
      <w:tr w:rsidR="0069775F" w14:paraId="23BE1569"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tcPr>
          <w:p w14:paraId="5A00C79F" w14:textId="77777777" w:rsidR="0069775F" w:rsidRDefault="0069775F">
            <w:pPr>
              <w:spacing w:after="0" w:line="240" w:lineRule="auto"/>
              <w:rPr>
                <w:rFonts w:eastAsia="Times New Roman" w:cs="Calibri"/>
                <w:color w:val="000000"/>
                <w:sz w:val="20"/>
                <w:szCs w:val="20"/>
              </w:rPr>
            </w:pPr>
          </w:p>
        </w:tc>
        <w:tc>
          <w:tcPr>
            <w:tcW w:w="956" w:type="dxa"/>
            <w:vMerge w:val="restart"/>
          </w:tcPr>
          <w:p w14:paraId="6AF6F91F"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Mean</w:t>
            </w:r>
          </w:p>
        </w:tc>
        <w:tc>
          <w:tcPr>
            <w:tcW w:w="1062" w:type="dxa"/>
            <w:vMerge w:val="restart"/>
          </w:tcPr>
          <w:p w14:paraId="1FC01CB7"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Std. Deviation</w:t>
            </w:r>
          </w:p>
        </w:tc>
        <w:tc>
          <w:tcPr>
            <w:tcW w:w="952" w:type="dxa"/>
            <w:vMerge w:val="restart"/>
          </w:tcPr>
          <w:p w14:paraId="281A5519"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Std. Error Mean</w:t>
            </w:r>
          </w:p>
        </w:tc>
        <w:tc>
          <w:tcPr>
            <w:tcW w:w="1909" w:type="dxa"/>
            <w:gridSpan w:val="2"/>
          </w:tcPr>
          <w:p w14:paraId="153F77E7"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95% Confidence Interval of the Difference</w:t>
            </w:r>
          </w:p>
        </w:tc>
        <w:tc>
          <w:tcPr>
            <w:tcW w:w="952" w:type="dxa"/>
            <w:vMerge/>
          </w:tcPr>
          <w:p w14:paraId="3EE787E6"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941" w:type="dxa"/>
            <w:vMerge/>
          </w:tcPr>
          <w:p w14:paraId="5355581F"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954" w:type="dxa"/>
            <w:vMerge/>
          </w:tcPr>
          <w:p w14:paraId="0C2287BD"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r>
      <w:tr w:rsidR="0069775F" w14:paraId="5C135C8A"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tcPr>
          <w:p w14:paraId="4E481604" w14:textId="77777777" w:rsidR="0069775F" w:rsidRDefault="0069775F">
            <w:pPr>
              <w:spacing w:after="0" w:line="240" w:lineRule="auto"/>
              <w:rPr>
                <w:rFonts w:eastAsia="Times New Roman" w:cs="Calibri"/>
                <w:color w:val="000000"/>
                <w:sz w:val="20"/>
                <w:szCs w:val="20"/>
              </w:rPr>
            </w:pPr>
          </w:p>
        </w:tc>
        <w:tc>
          <w:tcPr>
            <w:tcW w:w="956" w:type="dxa"/>
            <w:vMerge/>
          </w:tcPr>
          <w:p w14:paraId="3E816C1F"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062" w:type="dxa"/>
            <w:vMerge/>
          </w:tcPr>
          <w:p w14:paraId="061DC4D8"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2" w:type="dxa"/>
            <w:vMerge/>
          </w:tcPr>
          <w:p w14:paraId="3F15554E"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6" w:type="dxa"/>
          </w:tcPr>
          <w:p w14:paraId="30766C13"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Lower</w:t>
            </w:r>
          </w:p>
        </w:tc>
        <w:tc>
          <w:tcPr>
            <w:tcW w:w="953" w:type="dxa"/>
          </w:tcPr>
          <w:p w14:paraId="4A1CED78"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Upper</w:t>
            </w:r>
          </w:p>
        </w:tc>
        <w:tc>
          <w:tcPr>
            <w:tcW w:w="952" w:type="dxa"/>
            <w:vMerge/>
          </w:tcPr>
          <w:p w14:paraId="52CEE2E5"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41" w:type="dxa"/>
            <w:vMerge/>
          </w:tcPr>
          <w:p w14:paraId="65E33DE9"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4" w:type="dxa"/>
            <w:vMerge/>
          </w:tcPr>
          <w:p w14:paraId="59CB01DD"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r>
      <w:tr w:rsidR="0069775F" w14:paraId="6234B362"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6DD2117E"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Cd</w:t>
            </w:r>
          </w:p>
        </w:tc>
        <w:tc>
          <w:tcPr>
            <w:tcW w:w="1200" w:type="dxa"/>
          </w:tcPr>
          <w:p w14:paraId="2EF5F62D"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Cd1</w:t>
            </w:r>
          </w:p>
        </w:tc>
        <w:tc>
          <w:tcPr>
            <w:tcW w:w="956" w:type="dxa"/>
          </w:tcPr>
          <w:p w14:paraId="2CF1E94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-18.200</w:t>
            </w:r>
          </w:p>
        </w:tc>
        <w:tc>
          <w:tcPr>
            <w:tcW w:w="1062" w:type="dxa"/>
          </w:tcPr>
          <w:p w14:paraId="578FF75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11.345</w:t>
            </w:r>
          </w:p>
        </w:tc>
        <w:tc>
          <w:tcPr>
            <w:tcW w:w="952" w:type="dxa"/>
          </w:tcPr>
          <w:p w14:paraId="4911235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5.073</w:t>
            </w:r>
          </w:p>
        </w:tc>
        <w:tc>
          <w:tcPr>
            <w:tcW w:w="956" w:type="dxa"/>
          </w:tcPr>
          <w:p w14:paraId="3186A7A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-32.286</w:t>
            </w:r>
          </w:p>
        </w:tc>
        <w:tc>
          <w:tcPr>
            <w:tcW w:w="953" w:type="dxa"/>
          </w:tcPr>
          <w:p w14:paraId="15DAE86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-4.114</w:t>
            </w:r>
          </w:p>
        </w:tc>
        <w:tc>
          <w:tcPr>
            <w:tcW w:w="952" w:type="dxa"/>
          </w:tcPr>
          <w:p w14:paraId="0A132B8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-3.587</w:t>
            </w:r>
          </w:p>
        </w:tc>
        <w:tc>
          <w:tcPr>
            <w:tcW w:w="941" w:type="dxa"/>
          </w:tcPr>
          <w:p w14:paraId="1C79F85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E3A009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.023</w:t>
            </w:r>
          </w:p>
        </w:tc>
      </w:tr>
      <w:tr w:rsidR="0069775F" w14:paraId="1F2FB525"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tcPr>
          <w:p w14:paraId="1AD2A858" w14:textId="77777777" w:rsidR="0069775F" w:rsidRDefault="0069775F">
            <w:pPr>
              <w:spacing w:after="0" w:line="240" w:lineRule="auto"/>
              <w:rPr>
                <w:rFonts w:eastAsia="Times New Roman" w:cs="Calibri"/>
                <w:color w:val="000000"/>
                <w:sz w:val="20"/>
                <w:szCs w:val="20"/>
              </w:rPr>
            </w:pPr>
          </w:p>
        </w:tc>
        <w:tc>
          <w:tcPr>
            <w:tcW w:w="1200" w:type="dxa"/>
          </w:tcPr>
          <w:p w14:paraId="1E910778"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Cd2</w:t>
            </w:r>
          </w:p>
        </w:tc>
        <w:tc>
          <w:tcPr>
            <w:tcW w:w="956" w:type="dxa"/>
          </w:tcPr>
          <w:p w14:paraId="3CD855B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-12.800</w:t>
            </w:r>
          </w:p>
        </w:tc>
        <w:tc>
          <w:tcPr>
            <w:tcW w:w="1062" w:type="dxa"/>
          </w:tcPr>
          <w:p w14:paraId="525D467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4.604</w:t>
            </w:r>
          </w:p>
        </w:tc>
        <w:tc>
          <w:tcPr>
            <w:tcW w:w="952" w:type="dxa"/>
          </w:tcPr>
          <w:p w14:paraId="5F6610A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2.059</w:t>
            </w:r>
          </w:p>
        </w:tc>
        <w:tc>
          <w:tcPr>
            <w:tcW w:w="956" w:type="dxa"/>
          </w:tcPr>
          <w:p w14:paraId="699A08C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-18.517</w:t>
            </w:r>
          </w:p>
        </w:tc>
        <w:tc>
          <w:tcPr>
            <w:tcW w:w="953" w:type="dxa"/>
          </w:tcPr>
          <w:p w14:paraId="554F648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-7.083</w:t>
            </w:r>
          </w:p>
        </w:tc>
        <w:tc>
          <w:tcPr>
            <w:tcW w:w="952" w:type="dxa"/>
          </w:tcPr>
          <w:p w14:paraId="61D1602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-6.216</w:t>
            </w:r>
          </w:p>
        </w:tc>
        <w:tc>
          <w:tcPr>
            <w:tcW w:w="941" w:type="dxa"/>
          </w:tcPr>
          <w:p w14:paraId="38624D0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2E30BF82"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.003</w:t>
            </w:r>
          </w:p>
        </w:tc>
      </w:tr>
      <w:tr w:rsidR="0069775F" w14:paraId="2C997D70"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04451AE5" w14:textId="77777777" w:rsidR="0069775F" w:rsidRDefault="0069775F">
            <w:pPr>
              <w:spacing w:after="0" w:line="240" w:lineRule="auto"/>
              <w:rPr>
                <w:rFonts w:eastAsia="Times New Roman" w:cs="Calibri"/>
                <w:color w:val="000000"/>
                <w:sz w:val="20"/>
                <w:szCs w:val="20"/>
              </w:rPr>
            </w:pPr>
          </w:p>
        </w:tc>
        <w:tc>
          <w:tcPr>
            <w:tcW w:w="1200" w:type="dxa"/>
          </w:tcPr>
          <w:p w14:paraId="6A257D7C"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Cd3</w:t>
            </w:r>
          </w:p>
        </w:tc>
        <w:tc>
          <w:tcPr>
            <w:tcW w:w="956" w:type="dxa"/>
          </w:tcPr>
          <w:p w14:paraId="3B4BE40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1062" w:type="dxa"/>
          </w:tcPr>
          <w:p w14:paraId="69779C2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1.140</w:t>
            </w:r>
          </w:p>
        </w:tc>
        <w:tc>
          <w:tcPr>
            <w:tcW w:w="952" w:type="dxa"/>
          </w:tcPr>
          <w:p w14:paraId="2CAFA76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.510</w:t>
            </w:r>
          </w:p>
        </w:tc>
        <w:tc>
          <w:tcPr>
            <w:tcW w:w="956" w:type="dxa"/>
          </w:tcPr>
          <w:p w14:paraId="69B58BE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-1.815</w:t>
            </w:r>
          </w:p>
        </w:tc>
        <w:tc>
          <w:tcPr>
            <w:tcW w:w="953" w:type="dxa"/>
          </w:tcPr>
          <w:p w14:paraId="74C42DC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1.016</w:t>
            </w:r>
          </w:p>
        </w:tc>
        <w:tc>
          <w:tcPr>
            <w:tcW w:w="952" w:type="dxa"/>
          </w:tcPr>
          <w:p w14:paraId="251DDD0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-.784</w:t>
            </w:r>
          </w:p>
        </w:tc>
        <w:tc>
          <w:tcPr>
            <w:tcW w:w="941" w:type="dxa"/>
          </w:tcPr>
          <w:p w14:paraId="05B4267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B335D9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.477</w:t>
            </w:r>
          </w:p>
        </w:tc>
      </w:tr>
      <w:tr w:rsidR="0069775F" w14:paraId="567CBA83"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tcPr>
          <w:p w14:paraId="176DEB9C" w14:textId="77777777" w:rsidR="0069775F" w:rsidRDefault="0069775F">
            <w:pPr>
              <w:spacing w:after="0" w:line="240" w:lineRule="auto"/>
              <w:rPr>
                <w:rFonts w:eastAsia="Times New Roman" w:cs="Calibri"/>
                <w:color w:val="000000"/>
                <w:sz w:val="20"/>
                <w:szCs w:val="20"/>
              </w:rPr>
            </w:pPr>
          </w:p>
        </w:tc>
        <w:tc>
          <w:tcPr>
            <w:tcW w:w="1200" w:type="dxa"/>
          </w:tcPr>
          <w:p w14:paraId="6EF482CE"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Cd3</w:t>
            </w:r>
          </w:p>
        </w:tc>
        <w:tc>
          <w:tcPr>
            <w:tcW w:w="956" w:type="dxa"/>
          </w:tcPr>
          <w:p w14:paraId="354B0F7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1B9C76F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.447</w:t>
            </w:r>
          </w:p>
        </w:tc>
        <w:tc>
          <w:tcPr>
            <w:tcW w:w="952" w:type="dxa"/>
          </w:tcPr>
          <w:p w14:paraId="5C8B859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956" w:type="dxa"/>
          </w:tcPr>
          <w:p w14:paraId="6F90D8B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-.355</w:t>
            </w:r>
          </w:p>
        </w:tc>
        <w:tc>
          <w:tcPr>
            <w:tcW w:w="953" w:type="dxa"/>
          </w:tcPr>
          <w:p w14:paraId="22D766D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.755</w:t>
            </w:r>
          </w:p>
        </w:tc>
        <w:tc>
          <w:tcPr>
            <w:tcW w:w="952" w:type="dxa"/>
          </w:tcPr>
          <w:p w14:paraId="3C90DE9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c>
          <w:tcPr>
            <w:tcW w:w="941" w:type="dxa"/>
          </w:tcPr>
          <w:p w14:paraId="1CB8C95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78119B3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r>
      <w:tr w:rsidR="0069775F" w14:paraId="54BD854B" w14:textId="77777777" w:rsidTr="0069775F">
        <w:trPr>
          <w:trHeight w:val="253"/>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0A0C2782"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 xml:space="preserve"> Cr</w:t>
            </w:r>
          </w:p>
        </w:tc>
        <w:tc>
          <w:tcPr>
            <w:tcW w:w="1200" w:type="dxa"/>
          </w:tcPr>
          <w:p w14:paraId="0F5459A1"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Cr1</w:t>
            </w:r>
          </w:p>
        </w:tc>
        <w:tc>
          <w:tcPr>
            <w:tcW w:w="956" w:type="dxa"/>
          </w:tcPr>
          <w:p w14:paraId="31FF403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-20.200</w:t>
            </w:r>
          </w:p>
        </w:tc>
        <w:tc>
          <w:tcPr>
            <w:tcW w:w="1062" w:type="dxa"/>
          </w:tcPr>
          <w:p w14:paraId="284E755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13.161</w:t>
            </w:r>
          </w:p>
        </w:tc>
        <w:tc>
          <w:tcPr>
            <w:tcW w:w="952" w:type="dxa"/>
          </w:tcPr>
          <w:p w14:paraId="64F74BE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5.886</w:t>
            </w:r>
          </w:p>
        </w:tc>
        <w:tc>
          <w:tcPr>
            <w:tcW w:w="956" w:type="dxa"/>
          </w:tcPr>
          <w:p w14:paraId="7E281F4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-36.541</w:t>
            </w:r>
          </w:p>
        </w:tc>
        <w:tc>
          <w:tcPr>
            <w:tcW w:w="953" w:type="dxa"/>
          </w:tcPr>
          <w:p w14:paraId="6444EDB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-3.859</w:t>
            </w:r>
          </w:p>
        </w:tc>
        <w:tc>
          <w:tcPr>
            <w:tcW w:w="952" w:type="dxa"/>
          </w:tcPr>
          <w:p w14:paraId="43614AB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-3.432</w:t>
            </w:r>
          </w:p>
        </w:tc>
        <w:tc>
          <w:tcPr>
            <w:tcW w:w="941" w:type="dxa"/>
          </w:tcPr>
          <w:p w14:paraId="067D481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F4492B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.026</w:t>
            </w:r>
          </w:p>
        </w:tc>
      </w:tr>
      <w:tr w:rsidR="0069775F" w14:paraId="73B4B882" w14:textId="77777777" w:rsidTr="0069775F">
        <w:trPr>
          <w:trHeight w:val="157"/>
        </w:trPr>
        <w:tc>
          <w:tcPr>
            <w:cnfStyle w:val="001000000000" w:firstRow="0" w:lastRow="0" w:firstColumn="1" w:lastColumn="0" w:oddVBand="0" w:evenVBand="0" w:oddHBand="0" w:evenHBand="0" w:firstRowFirstColumn="0" w:firstRowLastColumn="0" w:lastRowFirstColumn="0" w:lastRowLastColumn="0"/>
            <w:tcW w:w="1059" w:type="dxa"/>
            <w:vMerge/>
          </w:tcPr>
          <w:p w14:paraId="05AF7008" w14:textId="77777777" w:rsidR="0069775F" w:rsidRDefault="0069775F">
            <w:pPr>
              <w:spacing w:after="0" w:line="240" w:lineRule="auto"/>
              <w:rPr>
                <w:rFonts w:eastAsia="Times New Roman" w:cs="Calibri"/>
                <w:color w:val="000000"/>
                <w:sz w:val="20"/>
                <w:szCs w:val="20"/>
              </w:rPr>
            </w:pPr>
          </w:p>
        </w:tc>
        <w:tc>
          <w:tcPr>
            <w:tcW w:w="1200" w:type="dxa"/>
          </w:tcPr>
          <w:p w14:paraId="366997F5"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Cr2</w:t>
            </w:r>
          </w:p>
        </w:tc>
        <w:tc>
          <w:tcPr>
            <w:tcW w:w="956" w:type="dxa"/>
          </w:tcPr>
          <w:p w14:paraId="0BF75C9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-14.000</w:t>
            </w:r>
          </w:p>
        </w:tc>
        <w:tc>
          <w:tcPr>
            <w:tcW w:w="1062" w:type="dxa"/>
          </w:tcPr>
          <w:p w14:paraId="2BA6A98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10.075</w:t>
            </w:r>
          </w:p>
        </w:tc>
        <w:tc>
          <w:tcPr>
            <w:tcW w:w="952" w:type="dxa"/>
          </w:tcPr>
          <w:p w14:paraId="33C24FC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4.506</w:t>
            </w:r>
          </w:p>
        </w:tc>
        <w:tc>
          <w:tcPr>
            <w:tcW w:w="956" w:type="dxa"/>
          </w:tcPr>
          <w:p w14:paraId="407B2D7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-26.509</w:t>
            </w:r>
          </w:p>
        </w:tc>
        <w:tc>
          <w:tcPr>
            <w:tcW w:w="953" w:type="dxa"/>
          </w:tcPr>
          <w:p w14:paraId="508BA2C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-1.491</w:t>
            </w:r>
          </w:p>
        </w:tc>
        <w:tc>
          <w:tcPr>
            <w:tcW w:w="952" w:type="dxa"/>
          </w:tcPr>
          <w:p w14:paraId="17F01B1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-3.107</w:t>
            </w:r>
          </w:p>
        </w:tc>
        <w:tc>
          <w:tcPr>
            <w:tcW w:w="941" w:type="dxa"/>
          </w:tcPr>
          <w:p w14:paraId="714AF0D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305E1C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.036</w:t>
            </w:r>
          </w:p>
        </w:tc>
      </w:tr>
      <w:tr w:rsidR="0069775F" w14:paraId="52BBF503" w14:textId="77777777" w:rsidTr="0069775F">
        <w:trPr>
          <w:trHeight w:val="189"/>
        </w:trPr>
        <w:tc>
          <w:tcPr>
            <w:cnfStyle w:val="001000000000" w:firstRow="0" w:lastRow="0" w:firstColumn="1" w:lastColumn="0" w:oddVBand="0" w:evenVBand="0" w:oddHBand="0" w:evenHBand="0" w:firstRowFirstColumn="0" w:firstRowLastColumn="0" w:lastRowFirstColumn="0" w:lastRowLastColumn="0"/>
            <w:tcW w:w="1059" w:type="dxa"/>
            <w:vMerge/>
          </w:tcPr>
          <w:p w14:paraId="77174C28" w14:textId="77777777" w:rsidR="0069775F" w:rsidRDefault="0069775F">
            <w:pPr>
              <w:spacing w:after="0" w:line="240" w:lineRule="auto"/>
              <w:rPr>
                <w:rFonts w:eastAsia="Times New Roman" w:cs="Calibri"/>
                <w:color w:val="000000"/>
                <w:sz w:val="20"/>
                <w:szCs w:val="20"/>
              </w:rPr>
            </w:pPr>
          </w:p>
        </w:tc>
        <w:tc>
          <w:tcPr>
            <w:tcW w:w="1200" w:type="dxa"/>
          </w:tcPr>
          <w:p w14:paraId="53D1A154"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Cr3</w:t>
            </w:r>
          </w:p>
        </w:tc>
        <w:tc>
          <w:tcPr>
            <w:tcW w:w="956" w:type="dxa"/>
          </w:tcPr>
          <w:p w14:paraId="2C26E4A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1062" w:type="dxa"/>
          </w:tcPr>
          <w:p w14:paraId="6B1F1CB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1.517</w:t>
            </w:r>
          </w:p>
        </w:tc>
        <w:tc>
          <w:tcPr>
            <w:tcW w:w="952" w:type="dxa"/>
          </w:tcPr>
          <w:p w14:paraId="239E1D02"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.678</w:t>
            </w:r>
          </w:p>
        </w:tc>
        <w:tc>
          <w:tcPr>
            <w:tcW w:w="956" w:type="dxa"/>
          </w:tcPr>
          <w:p w14:paraId="03CB9EE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-2.283</w:t>
            </w:r>
          </w:p>
        </w:tc>
        <w:tc>
          <w:tcPr>
            <w:tcW w:w="953" w:type="dxa"/>
          </w:tcPr>
          <w:p w14:paraId="359CFC0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1.483</w:t>
            </w:r>
          </w:p>
        </w:tc>
        <w:tc>
          <w:tcPr>
            <w:tcW w:w="952" w:type="dxa"/>
          </w:tcPr>
          <w:p w14:paraId="627E9EF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-.590</w:t>
            </w:r>
          </w:p>
        </w:tc>
        <w:tc>
          <w:tcPr>
            <w:tcW w:w="941" w:type="dxa"/>
          </w:tcPr>
          <w:p w14:paraId="2EA6646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4067372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.587</w:t>
            </w:r>
          </w:p>
        </w:tc>
      </w:tr>
      <w:tr w:rsidR="0069775F" w14:paraId="25D40976" w14:textId="77777777" w:rsidTr="0069775F">
        <w:trPr>
          <w:trHeight w:val="235"/>
        </w:trPr>
        <w:tc>
          <w:tcPr>
            <w:cnfStyle w:val="001000000000" w:firstRow="0" w:lastRow="0" w:firstColumn="1" w:lastColumn="0" w:oddVBand="0" w:evenVBand="0" w:oddHBand="0" w:evenHBand="0" w:firstRowFirstColumn="0" w:firstRowLastColumn="0" w:lastRowFirstColumn="0" w:lastRowLastColumn="0"/>
            <w:tcW w:w="1059" w:type="dxa"/>
            <w:vMerge/>
          </w:tcPr>
          <w:p w14:paraId="0FB35B1F" w14:textId="77777777" w:rsidR="0069775F" w:rsidRDefault="0069775F">
            <w:pPr>
              <w:spacing w:after="0" w:line="240" w:lineRule="auto"/>
              <w:rPr>
                <w:rFonts w:eastAsia="Times New Roman" w:cs="Calibri"/>
                <w:color w:val="000000"/>
                <w:sz w:val="20"/>
                <w:szCs w:val="20"/>
              </w:rPr>
            </w:pPr>
          </w:p>
        </w:tc>
        <w:tc>
          <w:tcPr>
            <w:tcW w:w="1200" w:type="dxa"/>
          </w:tcPr>
          <w:p w14:paraId="6EBB5E5E"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Cr4</w:t>
            </w:r>
          </w:p>
        </w:tc>
        <w:tc>
          <w:tcPr>
            <w:tcW w:w="956" w:type="dxa"/>
          </w:tcPr>
          <w:p w14:paraId="25203F8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6130D502"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.837</w:t>
            </w:r>
          </w:p>
        </w:tc>
        <w:tc>
          <w:tcPr>
            <w:tcW w:w="952" w:type="dxa"/>
          </w:tcPr>
          <w:p w14:paraId="2968A0D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c>
          <w:tcPr>
            <w:tcW w:w="956" w:type="dxa"/>
          </w:tcPr>
          <w:p w14:paraId="2DEE4BC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-.839</w:t>
            </w:r>
          </w:p>
        </w:tc>
        <w:tc>
          <w:tcPr>
            <w:tcW w:w="953" w:type="dxa"/>
          </w:tcPr>
          <w:p w14:paraId="29DD6FE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1.239</w:t>
            </w:r>
          </w:p>
        </w:tc>
        <w:tc>
          <w:tcPr>
            <w:tcW w:w="952" w:type="dxa"/>
          </w:tcPr>
          <w:p w14:paraId="2F19BDC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.535</w:t>
            </w:r>
          </w:p>
        </w:tc>
        <w:tc>
          <w:tcPr>
            <w:tcW w:w="941" w:type="dxa"/>
          </w:tcPr>
          <w:p w14:paraId="0991D66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3ADC05B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.621</w:t>
            </w:r>
          </w:p>
        </w:tc>
      </w:tr>
      <w:tr w:rsidR="0069775F" w14:paraId="0DB44054"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527BAE63"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 xml:space="preserve"> Cu</w:t>
            </w:r>
          </w:p>
        </w:tc>
        <w:tc>
          <w:tcPr>
            <w:tcW w:w="1200" w:type="dxa"/>
          </w:tcPr>
          <w:p w14:paraId="6DDDE07B"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Cu1</w:t>
            </w:r>
          </w:p>
        </w:tc>
        <w:tc>
          <w:tcPr>
            <w:tcW w:w="956" w:type="dxa"/>
          </w:tcPr>
          <w:p w14:paraId="73F9CAB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50E1B37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7DAE4A2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22605C7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65C7289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246D75B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164991D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1F6C02C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7C93F82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57147F6D" w14:textId="77777777" w:rsidR="0069775F" w:rsidRDefault="0069775F">
            <w:pPr>
              <w:spacing w:after="0" w:line="240" w:lineRule="auto"/>
              <w:rPr>
                <w:rFonts w:eastAsia="Times New Roman" w:cs="Calibri"/>
                <w:color w:val="000000"/>
                <w:sz w:val="20"/>
                <w:szCs w:val="20"/>
              </w:rPr>
            </w:pPr>
          </w:p>
        </w:tc>
        <w:tc>
          <w:tcPr>
            <w:tcW w:w="1200" w:type="dxa"/>
          </w:tcPr>
          <w:p w14:paraId="4869592E"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Cu2</w:t>
            </w:r>
          </w:p>
        </w:tc>
        <w:tc>
          <w:tcPr>
            <w:tcW w:w="956" w:type="dxa"/>
          </w:tcPr>
          <w:p w14:paraId="0C8F18B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68B430F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3C78A0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7907635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2B7B0C4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2A92A31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56874BA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1F6EE6A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6340E26F"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53A3B553" w14:textId="77777777" w:rsidR="0069775F" w:rsidRDefault="0069775F">
            <w:pPr>
              <w:spacing w:after="0" w:line="240" w:lineRule="auto"/>
              <w:rPr>
                <w:rFonts w:eastAsia="Times New Roman" w:cs="Calibri"/>
                <w:color w:val="000000"/>
                <w:sz w:val="20"/>
                <w:szCs w:val="20"/>
              </w:rPr>
            </w:pPr>
          </w:p>
        </w:tc>
        <w:tc>
          <w:tcPr>
            <w:tcW w:w="1200" w:type="dxa"/>
          </w:tcPr>
          <w:p w14:paraId="4A70242B"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Cu3</w:t>
            </w:r>
          </w:p>
        </w:tc>
        <w:tc>
          <w:tcPr>
            <w:tcW w:w="956" w:type="dxa"/>
          </w:tcPr>
          <w:p w14:paraId="4B28587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-2.800</w:t>
            </w:r>
          </w:p>
        </w:tc>
        <w:tc>
          <w:tcPr>
            <w:tcW w:w="1062" w:type="dxa"/>
          </w:tcPr>
          <w:p w14:paraId="65D7AF9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1.924</w:t>
            </w:r>
          </w:p>
        </w:tc>
        <w:tc>
          <w:tcPr>
            <w:tcW w:w="952" w:type="dxa"/>
          </w:tcPr>
          <w:p w14:paraId="1E7726B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.860</w:t>
            </w:r>
          </w:p>
        </w:tc>
        <w:tc>
          <w:tcPr>
            <w:tcW w:w="956" w:type="dxa"/>
          </w:tcPr>
          <w:p w14:paraId="5C14260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-5.188</w:t>
            </w:r>
          </w:p>
        </w:tc>
        <w:tc>
          <w:tcPr>
            <w:tcW w:w="953" w:type="dxa"/>
          </w:tcPr>
          <w:p w14:paraId="0C047AB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-.411</w:t>
            </w:r>
          </w:p>
        </w:tc>
        <w:tc>
          <w:tcPr>
            <w:tcW w:w="952" w:type="dxa"/>
          </w:tcPr>
          <w:p w14:paraId="22E4AEF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-3.255</w:t>
            </w:r>
          </w:p>
        </w:tc>
        <w:tc>
          <w:tcPr>
            <w:tcW w:w="941" w:type="dxa"/>
          </w:tcPr>
          <w:p w14:paraId="3A186C6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56039A3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.031</w:t>
            </w:r>
          </w:p>
        </w:tc>
      </w:tr>
      <w:tr w:rsidR="0069775F" w14:paraId="482F453C"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4B3BB914" w14:textId="77777777" w:rsidR="0069775F" w:rsidRDefault="0069775F">
            <w:pPr>
              <w:spacing w:after="0" w:line="240" w:lineRule="auto"/>
              <w:rPr>
                <w:rFonts w:eastAsia="Times New Roman" w:cs="Calibri"/>
                <w:color w:val="000000"/>
                <w:sz w:val="20"/>
                <w:szCs w:val="20"/>
              </w:rPr>
            </w:pPr>
          </w:p>
        </w:tc>
        <w:tc>
          <w:tcPr>
            <w:tcW w:w="1200" w:type="dxa"/>
          </w:tcPr>
          <w:p w14:paraId="4D381EAA"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Cu4</w:t>
            </w:r>
          </w:p>
        </w:tc>
        <w:tc>
          <w:tcPr>
            <w:tcW w:w="956" w:type="dxa"/>
          </w:tcPr>
          <w:p w14:paraId="7CFD36E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192FF8E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06CD71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4A845C0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52CB6E1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614BDB6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362DA15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F94528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0CDFB7D0"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587FE51D"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 xml:space="preserve"> Ni</w:t>
            </w:r>
          </w:p>
        </w:tc>
        <w:tc>
          <w:tcPr>
            <w:tcW w:w="1200" w:type="dxa"/>
          </w:tcPr>
          <w:p w14:paraId="3D856CF7"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Ni1</w:t>
            </w:r>
          </w:p>
        </w:tc>
        <w:tc>
          <w:tcPr>
            <w:tcW w:w="956" w:type="dxa"/>
          </w:tcPr>
          <w:p w14:paraId="42B21AF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45C2654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4DB3466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71A1BF4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6534E8E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39D7D08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27682A2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226FDB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27B506C2"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7D9B5CBB" w14:textId="77777777" w:rsidR="0069775F" w:rsidRDefault="0069775F">
            <w:pPr>
              <w:spacing w:after="0" w:line="240" w:lineRule="auto"/>
              <w:rPr>
                <w:rFonts w:eastAsia="Times New Roman" w:cs="Calibri"/>
                <w:color w:val="000000"/>
                <w:sz w:val="20"/>
                <w:szCs w:val="20"/>
              </w:rPr>
            </w:pPr>
          </w:p>
        </w:tc>
        <w:tc>
          <w:tcPr>
            <w:tcW w:w="1200" w:type="dxa"/>
          </w:tcPr>
          <w:p w14:paraId="4C417EA6"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Ni2</w:t>
            </w:r>
          </w:p>
        </w:tc>
        <w:tc>
          <w:tcPr>
            <w:tcW w:w="956" w:type="dxa"/>
          </w:tcPr>
          <w:p w14:paraId="07A484F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4D8CD4D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2ECDF3E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2E13B14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4485A78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56787D4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676AA5B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165568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46ED479F"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66D0FD2B" w14:textId="77777777" w:rsidR="0069775F" w:rsidRDefault="0069775F">
            <w:pPr>
              <w:spacing w:after="0" w:line="240" w:lineRule="auto"/>
              <w:rPr>
                <w:rFonts w:eastAsia="Times New Roman" w:cs="Calibri"/>
                <w:color w:val="000000"/>
                <w:sz w:val="20"/>
                <w:szCs w:val="20"/>
              </w:rPr>
            </w:pPr>
          </w:p>
        </w:tc>
        <w:tc>
          <w:tcPr>
            <w:tcW w:w="1200" w:type="dxa"/>
          </w:tcPr>
          <w:p w14:paraId="7A8D44E7"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Ni3</w:t>
            </w:r>
          </w:p>
        </w:tc>
        <w:tc>
          <w:tcPr>
            <w:tcW w:w="956" w:type="dxa"/>
          </w:tcPr>
          <w:p w14:paraId="1899583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-3.400</w:t>
            </w:r>
          </w:p>
        </w:tc>
        <w:tc>
          <w:tcPr>
            <w:tcW w:w="1062" w:type="dxa"/>
          </w:tcPr>
          <w:p w14:paraId="4DD9167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3.782</w:t>
            </w:r>
          </w:p>
        </w:tc>
        <w:tc>
          <w:tcPr>
            <w:tcW w:w="952" w:type="dxa"/>
          </w:tcPr>
          <w:p w14:paraId="1C3F6B5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1.691</w:t>
            </w:r>
          </w:p>
        </w:tc>
        <w:tc>
          <w:tcPr>
            <w:tcW w:w="956" w:type="dxa"/>
          </w:tcPr>
          <w:p w14:paraId="48066EA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-8.095</w:t>
            </w:r>
          </w:p>
        </w:tc>
        <w:tc>
          <w:tcPr>
            <w:tcW w:w="953" w:type="dxa"/>
          </w:tcPr>
          <w:p w14:paraId="39CEF7E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1.295</w:t>
            </w:r>
          </w:p>
        </w:tc>
        <w:tc>
          <w:tcPr>
            <w:tcW w:w="952" w:type="dxa"/>
          </w:tcPr>
          <w:p w14:paraId="5408EB2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-2.010</w:t>
            </w:r>
          </w:p>
        </w:tc>
        <w:tc>
          <w:tcPr>
            <w:tcW w:w="941" w:type="dxa"/>
          </w:tcPr>
          <w:p w14:paraId="753109C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755131B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.115</w:t>
            </w:r>
          </w:p>
        </w:tc>
      </w:tr>
      <w:tr w:rsidR="0069775F" w14:paraId="71D252E9"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17E16845" w14:textId="77777777" w:rsidR="0069775F" w:rsidRDefault="0069775F">
            <w:pPr>
              <w:spacing w:after="0" w:line="240" w:lineRule="auto"/>
              <w:rPr>
                <w:rFonts w:eastAsia="Times New Roman" w:cs="Calibri"/>
                <w:color w:val="000000"/>
                <w:sz w:val="20"/>
                <w:szCs w:val="20"/>
              </w:rPr>
            </w:pPr>
          </w:p>
        </w:tc>
        <w:tc>
          <w:tcPr>
            <w:tcW w:w="1200" w:type="dxa"/>
          </w:tcPr>
          <w:p w14:paraId="3D69D9D0"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Ni4</w:t>
            </w:r>
          </w:p>
        </w:tc>
        <w:tc>
          <w:tcPr>
            <w:tcW w:w="956" w:type="dxa"/>
          </w:tcPr>
          <w:p w14:paraId="20D5C3A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43BE9A6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.447</w:t>
            </w:r>
          </w:p>
        </w:tc>
        <w:tc>
          <w:tcPr>
            <w:tcW w:w="952" w:type="dxa"/>
          </w:tcPr>
          <w:p w14:paraId="023653F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956" w:type="dxa"/>
          </w:tcPr>
          <w:p w14:paraId="7940B9F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-.355</w:t>
            </w:r>
          </w:p>
        </w:tc>
        <w:tc>
          <w:tcPr>
            <w:tcW w:w="953" w:type="dxa"/>
          </w:tcPr>
          <w:p w14:paraId="432B4D9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.755</w:t>
            </w:r>
          </w:p>
        </w:tc>
        <w:tc>
          <w:tcPr>
            <w:tcW w:w="952" w:type="dxa"/>
          </w:tcPr>
          <w:p w14:paraId="6F4D6DC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c>
          <w:tcPr>
            <w:tcW w:w="941" w:type="dxa"/>
          </w:tcPr>
          <w:p w14:paraId="087A55A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583484A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r>
      <w:tr w:rsidR="0069775F" w14:paraId="0DB93B28"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2CC396BA"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 xml:space="preserve"> Pb</w:t>
            </w:r>
          </w:p>
        </w:tc>
        <w:tc>
          <w:tcPr>
            <w:tcW w:w="1200" w:type="dxa"/>
          </w:tcPr>
          <w:p w14:paraId="667A2E91"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Pb1</w:t>
            </w:r>
          </w:p>
        </w:tc>
        <w:tc>
          <w:tcPr>
            <w:tcW w:w="956" w:type="dxa"/>
          </w:tcPr>
          <w:p w14:paraId="7859581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1694C43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43860C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61E664B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5EB3F02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38107F7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6BF7427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7BD8C3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01476EFE"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161F15D8" w14:textId="77777777" w:rsidR="0069775F" w:rsidRDefault="0069775F">
            <w:pPr>
              <w:spacing w:after="0" w:line="240" w:lineRule="auto"/>
              <w:rPr>
                <w:rFonts w:eastAsia="Times New Roman" w:cs="Calibri"/>
                <w:color w:val="000000"/>
                <w:sz w:val="20"/>
                <w:szCs w:val="20"/>
              </w:rPr>
            </w:pPr>
          </w:p>
        </w:tc>
        <w:tc>
          <w:tcPr>
            <w:tcW w:w="1200" w:type="dxa"/>
          </w:tcPr>
          <w:p w14:paraId="4195CEAB"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Pb2</w:t>
            </w:r>
          </w:p>
        </w:tc>
        <w:tc>
          <w:tcPr>
            <w:tcW w:w="956" w:type="dxa"/>
          </w:tcPr>
          <w:p w14:paraId="2B264FB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-14.200</w:t>
            </w:r>
          </w:p>
        </w:tc>
        <w:tc>
          <w:tcPr>
            <w:tcW w:w="1062" w:type="dxa"/>
          </w:tcPr>
          <w:p w14:paraId="77CDC26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9.834</w:t>
            </w:r>
          </w:p>
        </w:tc>
        <w:tc>
          <w:tcPr>
            <w:tcW w:w="952" w:type="dxa"/>
          </w:tcPr>
          <w:p w14:paraId="2BA8B55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4.398</w:t>
            </w:r>
          </w:p>
        </w:tc>
        <w:tc>
          <w:tcPr>
            <w:tcW w:w="956" w:type="dxa"/>
          </w:tcPr>
          <w:p w14:paraId="02420AF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-26.410</w:t>
            </w:r>
          </w:p>
        </w:tc>
        <w:tc>
          <w:tcPr>
            <w:tcW w:w="953" w:type="dxa"/>
          </w:tcPr>
          <w:p w14:paraId="3AAACA2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-1.990</w:t>
            </w:r>
          </w:p>
        </w:tc>
        <w:tc>
          <w:tcPr>
            <w:tcW w:w="952" w:type="dxa"/>
          </w:tcPr>
          <w:p w14:paraId="451AAED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-3.229</w:t>
            </w:r>
          </w:p>
        </w:tc>
        <w:tc>
          <w:tcPr>
            <w:tcW w:w="941" w:type="dxa"/>
          </w:tcPr>
          <w:p w14:paraId="2BB12E3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4746C6D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.032</w:t>
            </w:r>
          </w:p>
        </w:tc>
      </w:tr>
      <w:tr w:rsidR="0069775F" w14:paraId="36D8DB0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2C79B8ED" w14:textId="77777777" w:rsidR="0069775F" w:rsidRDefault="0069775F">
            <w:pPr>
              <w:spacing w:after="0" w:line="240" w:lineRule="auto"/>
              <w:rPr>
                <w:rFonts w:eastAsia="Times New Roman" w:cs="Calibri"/>
                <w:color w:val="000000"/>
                <w:sz w:val="20"/>
                <w:szCs w:val="20"/>
              </w:rPr>
            </w:pPr>
          </w:p>
        </w:tc>
        <w:tc>
          <w:tcPr>
            <w:tcW w:w="1200" w:type="dxa"/>
          </w:tcPr>
          <w:p w14:paraId="54B82DD8"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Pb3</w:t>
            </w:r>
          </w:p>
        </w:tc>
        <w:tc>
          <w:tcPr>
            <w:tcW w:w="956" w:type="dxa"/>
          </w:tcPr>
          <w:p w14:paraId="38C3A35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-1.200</w:t>
            </w:r>
          </w:p>
        </w:tc>
        <w:tc>
          <w:tcPr>
            <w:tcW w:w="1062" w:type="dxa"/>
          </w:tcPr>
          <w:p w14:paraId="445DA63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2.388</w:t>
            </w:r>
          </w:p>
        </w:tc>
        <w:tc>
          <w:tcPr>
            <w:tcW w:w="952" w:type="dxa"/>
          </w:tcPr>
          <w:p w14:paraId="57BF01A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1.068</w:t>
            </w:r>
          </w:p>
        </w:tc>
        <w:tc>
          <w:tcPr>
            <w:tcW w:w="956" w:type="dxa"/>
          </w:tcPr>
          <w:p w14:paraId="55AFEDF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-4.164</w:t>
            </w:r>
          </w:p>
        </w:tc>
        <w:tc>
          <w:tcPr>
            <w:tcW w:w="953" w:type="dxa"/>
          </w:tcPr>
          <w:p w14:paraId="5948E55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1.764</w:t>
            </w:r>
          </w:p>
        </w:tc>
        <w:tc>
          <w:tcPr>
            <w:tcW w:w="952" w:type="dxa"/>
          </w:tcPr>
          <w:p w14:paraId="5C92EE7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-1.124</w:t>
            </w:r>
          </w:p>
        </w:tc>
        <w:tc>
          <w:tcPr>
            <w:tcW w:w="941" w:type="dxa"/>
          </w:tcPr>
          <w:p w14:paraId="0BD2CCA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31020DD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.324</w:t>
            </w:r>
          </w:p>
        </w:tc>
      </w:tr>
      <w:tr w:rsidR="0069775F" w14:paraId="725B249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385755B0" w14:textId="77777777" w:rsidR="0069775F" w:rsidRDefault="0069775F">
            <w:pPr>
              <w:spacing w:after="0" w:line="240" w:lineRule="auto"/>
              <w:rPr>
                <w:rFonts w:eastAsia="Times New Roman" w:cs="Calibri"/>
                <w:color w:val="000000"/>
                <w:sz w:val="20"/>
                <w:szCs w:val="20"/>
              </w:rPr>
            </w:pPr>
          </w:p>
        </w:tc>
        <w:tc>
          <w:tcPr>
            <w:tcW w:w="1200" w:type="dxa"/>
          </w:tcPr>
          <w:p w14:paraId="097F18FB"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Pb4</w:t>
            </w:r>
          </w:p>
        </w:tc>
        <w:tc>
          <w:tcPr>
            <w:tcW w:w="956" w:type="dxa"/>
          </w:tcPr>
          <w:p w14:paraId="6BEE191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0.000</w:t>
            </w:r>
          </w:p>
        </w:tc>
        <w:tc>
          <w:tcPr>
            <w:tcW w:w="1062" w:type="dxa"/>
          </w:tcPr>
          <w:p w14:paraId="284490B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1.581</w:t>
            </w:r>
          </w:p>
        </w:tc>
        <w:tc>
          <w:tcPr>
            <w:tcW w:w="952" w:type="dxa"/>
          </w:tcPr>
          <w:p w14:paraId="6971B4B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.707</w:t>
            </w:r>
          </w:p>
        </w:tc>
        <w:tc>
          <w:tcPr>
            <w:tcW w:w="956" w:type="dxa"/>
          </w:tcPr>
          <w:p w14:paraId="4A2DEB2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-1.963</w:t>
            </w:r>
          </w:p>
        </w:tc>
        <w:tc>
          <w:tcPr>
            <w:tcW w:w="953" w:type="dxa"/>
          </w:tcPr>
          <w:p w14:paraId="5EA4075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1.963</w:t>
            </w:r>
          </w:p>
        </w:tc>
        <w:tc>
          <w:tcPr>
            <w:tcW w:w="952" w:type="dxa"/>
          </w:tcPr>
          <w:p w14:paraId="55BBA22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0.000</w:t>
            </w:r>
          </w:p>
        </w:tc>
        <w:tc>
          <w:tcPr>
            <w:tcW w:w="941" w:type="dxa"/>
          </w:tcPr>
          <w:p w14:paraId="1A4969F2"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D723B5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r>
    </w:tbl>
    <w:p w14:paraId="2D97803C" w14:textId="77777777" w:rsidR="0069775F" w:rsidRDefault="0069775F">
      <w:pPr>
        <w:rPr>
          <w:rFonts w:ascii="Times New Roman" w:hAnsi="Times New Roman"/>
          <w:sz w:val="28"/>
          <w:szCs w:val="28"/>
        </w:rPr>
      </w:pPr>
    </w:p>
    <w:p w14:paraId="281F4D73" w14:textId="77777777" w:rsidR="0069775F" w:rsidRDefault="004D7A71">
      <w:pPr>
        <w:spacing w:after="120" w:line="240" w:lineRule="auto"/>
        <w:rPr>
          <w:rFonts w:ascii="Times New Roman" w:eastAsia="Times New Roman" w:hAnsi="Times New Roman"/>
          <w:b/>
          <w:i/>
          <w:sz w:val="20"/>
          <w:szCs w:val="24"/>
        </w:rPr>
      </w:pPr>
      <w:r>
        <w:rPr>
          <w:rFonts w:ascii="Times New Roman" w:eastAsia="Times New Roman" w:hAnsi="Times New Roman"/>
          <w:b/>
          <w:i/>
          <w:sz w:val="20"/>
          <w:szCs w:val="24"/>
        </w:rPr>
        <w:t xml:space="preserve">Key: TC = Toxicant </w:t>
      </w:r>
      <w:proofErr w:type="gramStart"/>
      <w:r>
        <w:rPr>
          <w:rFonts w:ascii="Times New Roman" w:eastAsia="Times New Roman" w:hAnsi="Times New Roman"/>
          <w:b/>
          <w:i/>
          <w:sz w:val="20"/>
          <w:szCs w:val="24"/>
        </w:rPr>
        <w:t>Conc,;</w:t>
      </w:r>
      <w:proofErr w:type="gramEnd"/>
      <w:r>
        <w:rPr>
          <w:rFonts w:ascii="Times New Roman" w:eastAsia="Times New Roman" w:hAnsi="Times New Roman"/>
          <w:b/>
          <w:i/>
          <w:sz w:val="20"/>
          <w:szCs w:val="24"/>
        </w:rPr>
        <w:t xml:space="preserve"> FEC = Fish Exposure Conc. NA = Not Application (Fish group all died); </w:t>
      </w:r>
      <w:r>
        <w:rPr>
          <w:rFonts w:ascii="Times New Roman" w:eastAsia="Times New Roman" w:hAnsi="Times New Roman"/>
          <w:b/>
          <w:i/>
          <w:color w:val="FF0000"/>
          <w:sz w:val="20"/>
          <w:szCs w:val="24"/>
        </w:rPr>
        <w:t xml:space="preserve">RED </w:t>
      </w:r>
      <w:r>
        <w:rPr>
          <w:rFonts w:ascii="Times New Roman" w:eastAsia="Times New Roman" w:hAnsi="Times New Roman"/>
          <w:b/>
          <w:i/>
          <w:sz w:val="20"/>
          <w:szCs w:val="24"/>
        </w:rPr>
        <w:t>= values above the control values</w:t>
      </w:r>
    </w:p>
    <w:p w14:paraId="53EAEB79" w14:textId="77777777" w:rsidR="0069775F" w:rsidRDefault="0069775F">
      <w:pPr>
        <w:spacing w:after="120" w:line="240" w:lineRule="auto"/>
        <w:rPr>
          <w:rFonts w:ascii="Times New Roman" w:eastAsia="Times New Roman" w:hAnsi="Times New Roman"/>
          <w:i/>
          <w:sz w:val="24"/>
          <w:szCs w:val="24"/>
        </w:rPr>
      </w:pPr>
    </w:p>
    <w:p w14:paraId="765871B9" w14:textId="77777777" w:rsidR="0069775F" w:rsidRDefault="004D7A71">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Discussion</w:t>
      </w:r>
    </w:p>
    <w:p w14:paraId="3A0FAE35"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The qualitative histological assessment in this study showed generalized necrosis of vascular walls with diffuse coagulative necrosis leading to disruption of the Gill’s architecture; Epithelial Lifting; Vascular Congestion; </w:t>
      </w:r>
      <w:proofErr w:type="spellStart"/>
      <w:r>
        <w:rPr>
          <w:rFonts w:ascii="Times New Roman" w:eastAsia="Times New Roman" w:hAnsi="Times New Roman"/>
          <w:sz w:val="24"/>
          <w:szCs w:val="24"/>
        </w:rPr>
        <w:t>Haemorrhage</w:t>
      </w:r>
      <w:proofErr w:type="spellEnd"/>
      <w:r>
        <w:rPr>
          <w:rFonts w:ascii="Times New Roman" w:eastAsia="Times New Roman" w:hAnsi="Times New Roman"/>
          <w:sz w:val="24"/>
          <w:szCs w:val="24"/>
        </w:rPr>
        <w:t xml:space="preserve">; diffuse Vacuolization; Telangiectasia and Secondary Lamella Fusion. Histopathological findings in this study is consistent with findings in the following studies: hyperplasia, aneurism, epithelial lifting and lamellar fusion in fish exposed to variety of environmental stressors that include heavy metals (Lauren and McDonald 1985, </w:t>
      </w:r>
      <w:proofErr w:type="spellStart"/>
      <w:r>
        <w:rPr>
          <w:rFonts w:ascii="Times New Roman" w:eastAsia="Times New Roman" w:hAnsi="Times New Roman"/>
          <w:sz w:val="24"/>
          <w:szCs w:val="24"/>
        </w:rPr>
        <w:t>Verbost</w:t>
      </w:r>
      <w:proofErr w:type="spellEnd"/>
      <w:r>
        <w:rPr>
          <w:rFonts w:ascii="Times New Roman" w:eastAsia="Times New Roman" w:hAnsi="Times New Roman"/>
          <w:sz w:val="24"/>
          <w:szCs w:val="24"/>
        </w:rPr>
        <w:t xml:space="preserve"> et al., 1987; </w:t>
      </w:r>
      <w:proofErr w:type="spellStart"/>
      <w:r>
        <w:rPr>
          <w:rFonts w:ascii="Times New Roman" w:eastAsia="Times New Roman" w:hAnsi="Times New Roman"/>
          <w:sz w:val="24"/>
          <w:szCs w:val="24"/>
        </w:rPr>
        <w:t>Olojo</w:t>
      </w:r>
      <w:proofErr w:type="spellEnd"/>
      <w:r>
        <w:rPr>
          <w:rFonts w:ascii="Times New Roman" w:eastAsia="Times New Roman" w:hAnsi="Times New Roman"/>
          <w:sz w:val="24"/>
          <w:szCs w:val="24"/>
        </w:rPr>
        <w:t xml:space="preserve"> et al., 2005; </w:t>
      </w:r>
      <w:proofErr w:type="spellStart"/>
      <w:r>
        <w:rPr>
          <w:rFonts w:ascii="Times New Roman" w:eastAsia="Times New Roman" w:hAnsi="Times New Roman"/>
          <w:sz w:val="24"/>
          <w:szCs w:val="24"/>
        </w:rPr>
        <w:t>Giari</w:t>
      </w:r>
      <w:proofErr w:type="spellEnd"/>
      <w:r>
        <w:rPr>
          <w:rFonts w:ascii="Times New Roman" w:eastAsia="Times New Roman" w:hAnsi="Times New Roman"/>
          <w:sz w:val="24"/>
          <w:szCs w:val="24"/>
        </w:rPr>
        <w:t xml:space="preserve"> et. al., 2007; Bopp et al., 2008) and oil sands process-affected water (Nero et al., 2006).</w:t>
      </w:r>
    </w:p>
    <w:p w14:paraId="069B0598"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semi-quantitative analysis showed that the TC concentrations above MATC had worse kidney organ histopathologic indices (Iorg) than control. This validates the guideline MATC for fresh water aquatic life (ECETOC,2002) which proposes deleterious ecological exposure effect beyond the allowable environmental concentration of the TC. Though concentrations of Cu3, Cu4 &amp; Pb3 caused hazardous effect even at concentrations lower that the MATC. This might not be unrelated to the hazardous quotient of the metals, but nevertheless needs further investigation. Furthermore, there was significant difference (P&lt;0.005) for the gills histopathologic organ indices (I</w:t>
      </w:r>
      <w:r>
        <w:rPr>
          <w:rFonts w:ascii="Times New Roman" w:eastAsia="Times New Roman" w:hAnsi="Times New Roman"/>
          <w:sz w:val="24"/>
          <w:szCs w:val="24"/>
          <w:vertAlign w:val="subscript"/>
        </w:rPr>
        <w:t>org</w:t>
      </w:r>
      <w:r>
        <w:rPr>
          <w:rFonts w:ascii="Times New Roman" w:eastAsia="Times New Roman" w:hAnsi="Times New Roman"/>
          <w:sz w:val="24"/>
          <w:szCs w:val="24"/>
        </w:rPr>
        <w:t xml:space="preserve">) between the control and TC concentrations of Cr1, Cr2, Cu3 and Pb2.This further validates the MATC guideline for fresh water aquatic life (ECETOC,2002). Cu3, which is a TC concentration below MATC, showed hazardous exposure effect which was inconsistent with MATC guideline. This might be due Cu toxic affinity for gills and or Hazardous Quotient in fresh water bodies. Nevertheless, </w:t>
      </w:r>
      <w:proofErr w:type="gramStart"/>
      <w:r>
        <w:rPr>
          <w:rFonts w:ascii="Times New Roman" w:eastAsia="Times New Roman" w:hAnsi="Times New Roman"/>
          <w:sz w:val="24"/>
          <w:szCs w:val="24"/>
        </w:rPr>
        <w:t>this facts</w:t>
      </w:r>
      <w:proofErr w:type="gramEnd"/>
      <w:r>
        <w:rPr>
          <w:rFonts w:ascii="Times New Roman" w:eastAsia="Times New Roman" w:hAnsi="Times New Roman"/>
          <w:sz w:val="24"/>
          <w:szCs w:val="24"/>
        </w:rPr>
        <w:t xml:space="preserve"> needs further investigation. </w:t>
      </w:r>
    </w:p>
    <w:p w14:paraId="04323FA3" w14:textId="77777777" w:rsidR="0069775F" w:rsidRDefault="0069775F">
      <w:pPr>
        <w:spacing w:after="120" w:line="240" w:lineRule="auto"/>
        <w:rPr>
          <w:rFonts w:ascii="Times New Roman" w:eastAsia="Times New Roman" w:hAnsi="Times New Roman"/>
          <w:sz w:val="24"/>
          <w:szCs w:val="24"/>
        </w:rPr>
      </w:pPr>
    </w:p>
    <w:p w14:paraId="16BFF229" w14:textId="77777777" w:rsidR="0069775F" w:rsidRDefault="004D7A71">
      <w:pPr>
        <w:pStyle w:val="ListParagraphdaeebebf-f101-4889-831f-2692a0b491de"/>
        <w:spacing w:after="120" w:line="240" w:lineRule="auto"/>
        <w:ind w:left="0"/>
        <w:contextualSpacing w:val="0"/>
        <w:jc w:val="center"/>
        <w:rPr>
          <w:rFonts w:ascii="Times New Roman" w:hAnsi="Times New Roman"/>
          <w:b/>
          <w:bCs/>
          <w:caps/>
          <w:color w:val="000000"/>
          <w:sz w:val="28"/>
          <w:szCs w:val="28"/>
        </w:rPr>
      </w:pPr>
      <w:r>
        <w:rPr>
          <w:rFonts w:ascii="Times New Roman" w:hAnsi="Times New Roman"/>
          <w:b/>
          <w:bCs/>
          <w:color w:val="000000"/>
          <w:sz w:val="28"/>
          <w:szCs w:val="28"/>
        </w:rPr>
        <w:t>Conclusion</w:t>
      </w:r>
    </w:p>
    <w:p w14:paraId="5CB9CD3C" w14:textId="77777777" w:rsidR="0069775F" w:rsidRDefault="004D7A71">
      <w:pPr>
        <w:pStyle w:val="ListParagraphdaeebebf-f101-4889-831f-2692a0b491de"/>
        <w:spacing w:after="120" w:line="240" w:lineRule="auto"/>
        <w:ind w:left="0"/>
        <w:contextualSpacing w:val="0"/>
        <w:jc w:val="both"/>
        <w:rPr>
          <w:rFonts w:ascii="Times New Roman" w:hAnsi="Times New Roman"/>
          <w:color w:val="000000"/>
          <w:sz w:val="24"/>
        </w:rPr>
      </w:pPr>
      <w:r>
        <w:rPr>
          <w:rFonts w:ascii="Times New Roman" w:hAnsi="Times New Roman"/>
          <w:color w:val="000000"/>
          <w:sz w:val="24"/>
        </w:rPr>
        <w:t xml:space="preserve">The study was able to demonstrate that heavy metal toxicity can be simulated in a laboratory setting. Though there is need to further investigate the pharmacokinetics behind the hazardous exposure effects caused by the concentrations of Cu and Pb that were below MATC guideline, which was inconsistent with MATC regulatory provision. Nonetheless, it has further proven that target chemicals concentration above the MATC regulatory guidelines can be used for gills toxicity exposure certification for Cr, Cd and Ni exposure. The study has also proven that histopathologic organ indexing is an explorable environmental tool for histological based toxicity certification. </w:t>
      </w:r>
    </w:p>
    <w:p w14:paraId="5F03556E" w14:textId="77777777" w:rsidR="0069775F" w:rsidRDefault="0069775F">
      <w:pPr>
        <w:pStyle w:val="ListParagraphdaeebebf-f101-4889-831f-2692a0b491de"/>
        <w:spacing w:after="120" w:line="240" w:lineRule="auto"/>
        <w:ind w:left="0"/>
        <w:contextualSpacing w:val="0"/>
        <w:jc w:val="both"/>
        <w:rPr>
          <w:rFonts w:ascii="Times New Roman" w:hAnsi="Times New Roman"/>
          <w:color w:val="000000"/>
          <w:sz w:val="24"/>
        </w:rPr>
      </w:pPr>
    </w:p>
    <w:p w14:paraId="1DF1469D" w14:textId="77777777" w:rsidR="0069775F" w:rsidRDefault="004D7A71">
      <w:pPr>
        <w:spacing w:after="12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References</w:t>
      </w:r>
    </w:p>
    <w:p w14:paraId="4C2EACDB"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Agbozu</w:t>
      </w:r>
      <w:proofErr w:type="spellEnd"/>
      <w:r>
        <w:rPr>
          <w:rFonts w:ascii="Times New Roman" w:eastAsia="SimSun" w:hAnsi="Times New Roman"/>
          <w:sz w:val="24"/>
          <w:szCs w:val="24"/>
          <w:lang w:eastAsia="zh-CN"/>
        </w:rPr>
        <w:t xml:space="preserve">, I.E., </w:t>
      </w:r>
      <w:proofErr w:type="spellStart"/>
      <w:r>
        <w:rPr>
          <w:rFonts w:ascii="Times New Roman" w:eastAsia="SimSun" w:hAnsi="Times New Roman"/>
          <w:sz w:val="24"/>
          <w:szCs w:val="24"/>
          <w:lang w:eastAsia="zh-CN"/>
        </w:rPr>
        <w:t>Ekweozor</w:t>
      </w:r>
      <w:proofErr w:type="spellEnd"/>
      <w:r>
        <w:rPr>
          <w:rFonts w:ascii="Times New Roman" w:eastAsia="SimSun" w:hAnsi="Times New Roman"/>
          <w:sz w:val="24"/>
          <w:szCs w:val="24"/>
          <w:lang w:eastAsia="zh-CN"/>
        </w:rPr>
        <w:t xml:space="preserve">, I.K.E. and </w:t>
      </w:r>
      <w:proofErr w:type="spellStart"/>
      <w:r>
        <w:rPr>
          <w:rFonts w:ascii="Times New Roman" w:eastAsia="SimSun" w:hAnsi="Times New Roman"/>
          <w:sz w:val="24"/>
          <w:szCs w:val="24"/>
          <w:lang w:eastAsia="zh-CN"/>
        </w:rPr>
        <w:t>Opuene</w:t>
      </w:r>
      <w:proofErr w:type="spellEnd"/>
      <w:r>
        <w:rPr>
          <w:rFonts w:ascii="Times New Roman" w:eastAsia="SimSun" w:hAnsi="Times New Roman"/>
          <w:sz w:val="24"/>
          <w:szCs w:val="24"/>
          <w:lang w:eastAsia="zh-CN"/>
        </w:rPr>
        <w:t xml:space="preserve">, K. (2007). Survey of heavy metals in the catfish </w:t>
      </w:r>
      <w:proofErr w:type="spellStart"/>
      <w:r>
        <w:rPr>
          <w:rFonts w:ascii="Times New Roman" w:eastAsia="SimSun" w:hAnsi="Times New Roman"/>
          <w:sz w:val="24"/>
          <w:szCs w:val="24"/>
          <w:lang w:eastAsia="zh-CN"/>
        </w:rPr>
        <w:t>Synodontis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Int. J. Environ. Sci. Tech., 4 (1): 93-97.</w:t>
      </w:r>
    </w:p>
    <w:p w14:paraId="35AA33C3"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Akar, T. and </w:t>
      </w:r>
      <w:proofErr w:type="spellStart"/>
      <w:r>
        <w:rPr>
          <w:rFonts w:ascii="Times New Roman" w:eastAsia="SimSun" w:hAnsi="Times New Roman"/>
          <w:sz w:val="24"/>
          <w:szCs w:val="24"/>
          <w:lang w:eastAsia="zh-CN"/>
        </w:rPr>
        <w:t>Tunali</w:t>
      </w:r>
      <w:proofErr w:type="spellEnd"/>
      <w:r>
        <w:rPr>
          <w:rFonts w:ascii="Times New Roman" w:eastAsia="SimSun" w:hAnsi="Times New Roman"/>
          <w:sz w:val="24"/>
          <w:szCs w:val="24"/>
          <w:lang w:eastAsia="zh-CN"/>
        </w:rPr>
        <w:t xml:space="preserve">, S. (2005). Biosorption properties of Botrytis cinerea biomass. J. Hazard. Mater., 131 (1-3): 137-145. </w:t>
      </w:r>
    </w:p>
    <w:p w14:paraId="5D909063"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11"/>
      <w:r>
        <w:rPr>
          <w:rFonts w:ascii="Times New Roman" w:eastAsia="Times New Roman" w:hAnsi="Times New Roman"/>
          <w:sz w:val="24"/>
          <w:szCs w:val="24"/>
        </w:rPr>
        <w:t>Allison</w:t>
      </w:r>
      <w:commentRangeEnd w:id="11"/>
      <w:r w:rsidR="00952E91">
        <w:rPr>
          <w:rStyle w:val="a9"/>
          <w:rtl/>
        </w:rPr>
        <w:commentReference w:id="11"/>
      </w:r>
      <w:r>
        <w:rPr>
          <w:rFonts w:ascii="Times New Roman" w:eastAsia="Times New Roman" w:hAnsi="Times New Roman"/>
          <w:sz w:val="24"/>
          <w:szCs w:val="24"/>
        </w:rPr>
        <w:t xml:space="preserve">, TA. &amp; Paul, CW, (2018). Histological based Biomonitoring: A Baseline Ecotoxicological Evaluation of </w:t>
      </w:r>
      <w:proofErr w:type="spellStart"/>
      <w:r>
        <w:rPr>
          <w:rFonts w:ascii="Times New Roman" w:eastAsia="Times New Roman" w:hAnsi="Times New Roman"/>
          <w:sz w:val="24"/>
          <w:szCs w:val="24"/>
        </w:rPr>
        <w:t>Ekerekana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Okochiri</w:t>
      </w:r>
      <w:proofErr w:type="spellEnd"/>
      <w:r>
        <w:rPr>
          <w:rFonts w:ascii="Times New Roman" w:eastAsia="Times New Roman" w:hAnsi="Times New Roman"/>
          <w:sz w:val="24"/>
          <w:szCs w:val="24"/>
        </w:rPr>
        <w:t xml:space="preserve"> Creeks using Mudskipper.  Scholars Bulletin (Anatomy). An Official Publication of ―Scholars Middle East Publishers‖ ISSN 2412-9771 (Print) Dubai, United Arab Emirates ISSN 2412-897X (Online) Website: </w:t>
      </w:r>
      <w:hyperlink r:id="rId15" w:history="1">
        <w:r w:rsidR="0069775F">
          <w:rPr>
            <w:rStyle w:val="Hyperlink"/>
            <w:rFonts w:ascii="Times New Roman" w:eastAsia="Times New Roman" w:hAnsi="Times New Roman"/>
            <w:sz w:val="24"/>
            <w:szCs w:val="24"/>
          </w:rPr>
          <w:t>http://scholarsbulletin.com/</w:t>
        </w:r>
      </w:hyperlink>
    </w:p>
    <w:p w14:paraId="0E0009EC"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Bernet, D., Schmidt, H., Meier, W., </w:t>
      </w:r>
      <w:proofErr w:type="spellStart"/>
      <w:r>
        <w:rPr>
          <w:rFonts w:ascii="Times New Roman" w:eastAsia="SimSun" w:hAnsi="Times New Roman"/>
          <w:sz w:val="24"/>
          <w:szCs w:val="24"/>
          <w:lang w:eastAsia="zh-CN"/>
        </w:rPr>
        <w:t>Burkhaldt</w:t>
      </w:r>
      <w:proofErr w:type="spellEnd"/>
      <w:r>
        <w:rPr>
          <w:rFonts w:ascii="Times New Roman" w:eastAsia="SimSun" w:hAnsi="Times New Roman"/>
          <w:sz w:val="24"/>
          <w:szCs w:val="24"/>
          <w:lang w:eastAsia="zh-CN"/>
        </w:rPr>
        <w:t xml:space="preserve">, H. and </w:t>
      </w:r>
      <w:proofErr w:type="spellStart"/>
      <w:r>
        <w:rPr>
          <w:rFonts w:ascii="Times New Roman" w:eastAsia="SimSun" w:hAnsi="Times New Roman"/>
          <w:sz w:val="24"/>
          <w:szCs w:val="24"/>
          <w:lang w:eastAsia="zh-CN"/>
        </w:rPr>
        <w:t>Wahli</w:t>
      </w:r>
      <w:proofErr w:type="spellEnd"/>
      <w:r>
        <w:rPr>
          <w:rFonts w:ascii="Times New Roman" w:eastAsia="SimSun" w:hAnsi="Times New Roman"/>
          <w:sz w:val="24"/>
          <w:szCs w:val="24"/>
          <w:lang w:eastAsia="zh-CN"/>
        </w:rPr>
        <w:t xml:space="preserve">, T. (1999). Histopathology in Fish, proposal for a protocol to assess aquatic pollution. </w:t>
      </w:r>
      <w:r>
        <w:rPr>
          <w:rFonts w:ascii="Times New Roman" w:eastAsia="SimSun" w:hAnsi="Times New Roman"/>
          <w:i/>
          <w:sz w:val="24"/>
          <w:szCs w:val="24"/>
          <w:lang w:eastAsia="zh-CN"/>
        </w:rPr>
        <w:t>Journal of Fish Disease</w:t>
      </w:r>
      <w:r>
        <w:rPr>
          <w:rFonts w:ascii="Times New Roman" w:eastAsia="SimSun" w:hAnsi="Times New Roman"/>
          <w:sz w:val="24"/>
          <w:szCs w:val="24"/>
          <w:lang w:eastAsia="zh-CN"/>
        </w:rPr>
        <w:t xml:space="preserve">. 22: 25 – 34. </w:t>
      </w:r>
    </w:p>
    <w:p w14:paraId="3289620D"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Bopp, S.K., Abicht, H.K. and Knauer, K. (2008). Copper-induced oxidative stress in rainbow trout gill cells. Aquatic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xml:space="preserve">., 86: 197-204. </w:t>
      </w:r>
    </w:p>
    <w:p w14:paraId="5B8352DB"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12"/>
      <w:r>
        <w:rPr>
          <w:rFonts w:ascii="Times New Roman" w:eastAsia="SimSun" w:hAnsi="Times New Roman"/>
          <w:sz w:val="24"/>
          <w:szCs w:val="24"/>
          <w:lang w:eastAsia="zh-CN"/>
        </w:rPr>
        <w:t>Budzinski et al., 2004</w:t>
      </w:r>
      <w:commentRangeEnd w:id="12"/>
      <w:r w:rsidR="00952E91">
        <w:rPr>
          <w:rStyle w:val="a9"/>
        </w:rPr>
        <w:commentReference w:id="12"/>
      </w:r>
    </w:p>
    <w:p w14:paraId="580E75FF"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13"/>
      <w:r>
        <w:rPr>
          <w:rFonts w:ascii="Times New Roman" w:eastAsia="Times New Roman" w:hAnsi="Times New Roman"/>
          <w:sz w:val="24"/>
          <w:szCs w:val="24"/>
        </w:rPr>
        <w:t>Chapman et al., 1996</w:t>
      </w:r>
      <w:commentRangeEnd w:id="13"/>
      <w:r w:rsidR="00952E91">
        <w:rPr>
          <w:rStyle w:val="a9"/>
          <w:rtl/>
        </w:rPr>
        <w:commentReference w:id="13"/>
      </w:r>
    </w:p>
    <w:p w14:paraId="3DD19AB1"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Cengiz, E.I. (2006). Gill and kidney histopathology in freshwater fish Cyprinus carpio after acute exposure to deltamethrin. Environ.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Pharm., 22: 200-204.</w:t>
      </w:r>
    </w:p>
    <w:p w14:paraId="2D285716"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CEPA (California Environmental Protection Agency), (1996). Procedures Manual for Conducting Toxicity Tests Developed by the Marine Bioassay Project. State Water Resources Control Board PO. 3</w:t>
      </w:r>
      <w:proofErr w:type="gramStart"/>
      <w:r>
        <w:rPr>
          <w:rFonts w:ascii="Times New Roman" w:eastAsia="Times New Roman" w:hAnsi="Times New Roman"/>
          <w:sz w:val="24"/>
          <w:szCs w:val="24"/>
        </w:rPr>
        <w:t>cx :co</w:t>
      </w:r>
      <w:proofErr w:type="gramEnd"/>
      <w:r>
        <w:rPr>
          <w:rFonts w:ascii="Times New Roman" w:eastAsia="Times New Roman" w:hAnsi="Times New Roman"/>
          <w:sz w:val="24"/>
          <w:szCs w:val="24"/>
        </w:rPr>
        <w:t xml:space="preserve"> S.E!CMCE-!O, CA 95812-G:2i (9fSi 55;. i247.</w:t>
      </w:r>
    </w:p>
    <w:p w14:paraId="7FA1B836"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CEPA (California Environmental Protection Agency), (2004). Overview of Freshwater and Marine Toxicity Tests: A Technical Tool for Ecological Risk Assessment. Ecotoxicology Unit Reproductive and Cancer Hazard Assessment Section Office of Environmental Health Hazard Assessment California Environmental Protection Agency.</w:t>
      </w:r>
    </w:p>
    <w:p w14:paraId="7A24EBEC"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Drury, R.A. and Wallington, E.A., (1980). Carleton’s Histology Technique. 5th Edition, Oxford University Press, New York.</w:t>
      </w:r>
    </w:p>
    <w:p w14:paraId="757BA3C2" w14:textId="77777777" w:rsidR="0069775F" w:rsidRDefault="004D7A71">
      <w:pPr>
        <w:spacing w:line="240" w:lineRule="auto"/>
        <w:ind w:left="720" w:hanging="720"/>
        <w:jc w:val="both"/>
        <w:rPr>
          <w:rFonts w:ascii="Times New Roman" w:eastAsia="Times New Roman" w:hAnsi="Times New Roman"/>
          <w:sz w:val="24"/>
          <w:szCs w:val="24"/>
        </w:rPr>
      </w:pPr>
      <w:commentRangeStart w:id="14"/>
      <w:r>
        <w:rPr>
          <w:rFonts w:ascii="Times New Roman" w:eastAsia="Times New Roman" w:hAnsi="Times New Roman"/>
          <w:sz w:val="24"/>
          <w:szCs w:val="24"/>
        </w:rPr>
        <w:t xml:space="preserve">EC (European Commission), (2006). Health Surveillance of Workers Exposed to Lead and its Ionic Compounds, Practicing Guidelines of a Non-binding Nature on the Protection of Health and Safety Workers </w:t>
      </w:r>
      <w:proofErr w:type="gramStart"/>
      <w:r>
        <w:rPr>
          <w:rFonts w:ascii="Times New Roman" w:eastAsia="Times New Roman" w:hAnsi="Times New Roman"/>
          <w:sz w:val="24"/>
          <w:szCs w:val="24"/>
        </w:rPr>
        <w:t>From</w:t>
      </w:r>
      <w:proofErr w:type="gramEnd"/>
      <w:r>
        <w:rPr>
          <w:rFonts w:ascii="Times New Roman" w:eastAsia="Times New Roman" w:hAnsi="Times New Roman"/>
          <w:sz w:val="24"/>
          <w:szCs w:val="24"/>
        </w:rPr>
        <w:t xml:space="preserve"> Risk Related to Chemical Agents at work. Pp65-73</w:t>
      </w:r>
      <w:commentRangeEnd w:id="14"/>
      <w:r w:rsidR="005B54D6">
        <w:rPr>
          <w:rStyle w:val="a9"/>
          <w:rtl/>
        </w:rPr>
        <w:commentReference w:id="14"/>
      </w:r>
    </w:p>
    <w:p w14:paraId="23464064"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15"/>
      <w:r>
        <w:rPr>
          <w:rFonts w:ascii="Times New Roman" w:eastAsia="SimSun" w:hAnsi="Times New Roman"/>
          <w:sz w:val="24"/>
          <w:szCs w:val="24"/>
          <w:lang w:eastAsia="zh-CN"/>
        </w:rPr>
        <w:t>ECETOC, 2002</w:t>
      </w:r>
      <w:commentRangeEnd w:id="15"/>
      <w:r w:rsidR="005B54D6">
        <w:rPr>
          <w:rStyle w:val="a9"/>
          <w:rtl/>
        </w:rPr>
        <w:commentReference w:id="15"/>
      </w:r>
    </w:p>
    <w:p w14:paraId="5920F9FE"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ECETOC (European Chemical Industry and Toxicology Centre), (1986). Prolonged Fish Toxicity Test: EEC Sixth Amendment. Technical Report No,24. ISSN-0773-8072-24 Brussels.</w:t>
      </w:r>
    </w:p>
    <w:p w14:paraId="612371EB"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ECETOC (European Chemical Industry and Toxicology Centre), (2005). Alternative Testing Approaches in Environmental Safety Assessment. ECETOC Technical Report. ISSN-0773-8072-97 Brussels. © Copyright - ECETOC AISBL </w:t>
      </w:r>
    </w:p>
    <w:p w14:paraId="27D62CBF"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EROCIPS (Emergency Response to coastal Oil, Chemical and Inert Pollution from Shipping), (2006). Environmental Monitoring: Protocol for Selection of Sentinel Species and Collection of Specimens. Supported by the European Union Project co-financed by the ERDF.</w:t>
      </w:r>
    </w:p>
    <w:p w14:paraId="5E7F7633"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Farombi, E.O., Adelowo, O.A. and </w:t>
      </w:r>
      <w:proofErr w:type="spellStart"/>
      <w:r>
        <w:rPr>
          <w:rFonts w:ascii="Times New Roman" w:eastAsia="SimSun" w:hAnsi="Times New Roman"/>
          <w:sz w:val="24"/>
          <w:szCs w:val="24"/>
          <w:lang w:eastAsia="zh-CN"/>
        </w:rPr>
        <w:t>Ajimoko</w:t>
      </w:r>
      <w:proofErr w:type="spellEnd"/>
      <w:r>
        <w:rPr>
          <w:rFonts w:ascii="Times New Roman" w:eastAsia="SimSun" w:hAnsi="Times New Roman"/>
          <w:sz w:val="24"/>
          <w:szCs w:val="24"/>
          <w:lang w:eastAsia="zh-CN"/>
        </w:rPr>
        <w:t>, Y.R. (2007). Biomarkers of oxidative stress and heavy metal levels as indicators of environmental pollution in African catfish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gariepinus</w:t>
      </w:r>
      <w:proofErr w:type="spellEnd"/>
      <w:r>
        <w:rPr>
          <w:rFonts w:ascii="Times New Roman" w:eastAsia="SimSun" w:hAnsi="Times New Roman"/>
          <w:sz w:val="24"/>
          <w:szCs w:val="24"/>
          <w:lang w:eastAsia="zh-CN"/>
        </w:rPr>
        <w:t xml:space="preserve">) from Nigeria Ogun River. Int. J. Res. Public Health, 4(2): 158-165. </w:t>
      </w:r>
    </w:p>
    <w:p w14:paraId="5AE6620F"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16"/>
      <w:proofErr w:type="spellStart"/>
      <w:r>
        <w:rPr>
          <w:rFonts w:ascii="Times New Roman" w:eastAsia="SimSun" w:hAnsi="Times New Roman"/>
          <w:sz w:val="24"/>
          <w:szCs w:val="24"/>
          <w:lang w:eastAsia="zh-CN"/>
        </w:rPr>
        <w:t>FishBase</w:t>
      </w:r>
      <w:proofErr w:type="spellEnd"/>
      <w:r>
        <w:rPr>
          <w:rFonts w:ascii="Times New Roman" w:eastAsia="SimSun" w:hAnsi="Times New Roman"/>
          <w:sz w:val="24"/>
          <w:szCs w:val="24"/>
          <w:lang w:eastAsia="zh-CN"/>
        </w:rPr>
        <w:t xml:space="preserve">., 2008. Tilapia </w:t>
      </w:r>
      <w:proofErr w:type="spellStart"/>
      <w:r>
        <w:rPr>
          <w:rFonts w:ascii="Times New Roman" w:eastAsia="SimSun" w:hAnsi="Times New Roman"/>
          <w:sz w:val="24"/>
          <w:szCs w:val="24"/>
          <w:lang w:eastAsia="zh-CN"/>
        </w:rPr>
        <w:t>mariae</w:t>
      </w:r>
      <w:proofErr w:type="spellEnd"/>
      <w:r>
        <w:rPr>
          <w:rFonts w:ascii="Times New Roman" w:eastAsia="SimSun" w:hAnsi="Times New Roman"/>
          <w:sz w:val="24"/>
          <w:szCs w:val="24"/>
          <w:lang w:eastAsia="zh-CN"/>
        </w:rPr>
        <w:t xml:space="preserve"> Spotted tilapia: Summary</w:t>
      </w:r>
      <w:commentRangeEnd w:id="16"/>
      <w:r w:rsidR="005B54D6">
        <w:rPr>
          <w:rStyle w:val="a9"/>
          <w:rtl/>
        </w:rPr>
        <w:commentReference w:id="16"/>
      </w:r>
    </w:p>
    <w:p w14:paraId="534CC9FE"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Gerhardt A., (2004). Bioindicator species and their use in biomonitoring. Environmental Monitoring I. EOLSS.</w:t>
      </w:r>
    </w:p>
    <w:p w14:paraId="43EDE85E"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Gheorghe S., Stoica C., Vasile G. G., Nita-Lazar M., Stanescu E. and Lucaciu I. E., (2017). Metals Toxic</w:t>
      </w:r>
      <w:r>
        <w:rPr>
          <w:rFonts w:ascii="Times New Roman" w:eastAsia="SimSun" w:hAnsi="Times New Roman"/>
          <w:sz w:val="24"/>
          <w:szCs w:val="24"/>
          <w:lang w:eastAsia="zh-CN"/>
        </w:rPr>
        <w:t xml:space="preserve"> </w:t>
      </w:r>
      <w:r>
        <w:rPr>
          <w:rFonts w:ascii="Times New Roman" w:eastAsia="Times New Roman" w:hAnsi="Times New Roman"/>
          <w:sz w:val="24"/>
          <w:szCs w:val="24"/>
        </w:rPr>
        <w:t xml:space="preserve">Effects in Aquatic Ecosystems: Modulators of Water Quality. </w:t>
      </w:r>
      <w:proofErr w:type="spellStart"/>
      <w:r>
        <w:rPr>
          <w:rFonts w:ascii="Times New Roman" w:eastAsia="Times New Roman" w:hAnsi="Times New Roman"/>
          <w:sz w:val="24"/>
          <w:szCs w:val="24"/>
        </w:rPr>
        <w:t>Hlanganani</w:t>
      </w:r>
      <w:proofErr w:type="spellEnd"/>
      <w:r>
        <w:rPr>
          <w:rFonts w:ascii="Times New Roman" w:eastAsia="Times New Roman" w:hAnsi="Times New Roman"/>
          <w:sz w:val="24"/>
          <w:szCs w:val="24"/>
        </w:rPr>
        <w:t xml:space="preserve"> Tutu, </w:t>
      </w:r>
      <w:proofErr w:type="spellStart"/>
      <w:r>
        <w:rPr>
          <w:rFonts w:ascii="Times New Roman" w:eastAsia="Times New Roman" w:hAnsi="Times New Roman"/>
          <w:sz w:val="24"/>
          <w:szCs w:val="24"/>
        </w:rPr>
        <w:t>IntechOpen</w:t>
      </w:r>
      <w:proofErr w:type="spellEnd"/>
      <w:r>
        <w:rPr>
          <w:rFonts w:ascii="Times New Roman" w:eastAsia="Times New Roman" w:hAnsi="Times New Roman"/>
          <w:sz w:val="24"/>
          <w:szCs w:val="24"/>
        </w:rPr>
        <w:t xml:space="preserve">, DOI: 10.5772/65744. </w:t>
      </w:r>
      <w:hyperlink r:id="rId16" w:history="1">
        <w:r w:rsidR="0069775F">
          <w:rPr>
            <w:rStyle w:val="Hyperlink"/>
            <w:rFonts w:ascii="Times New Roman" w:eastAsia="Times New Roman" w:hAnsi="Times New Roman"/>
            <w:sz w:val="24"/>
            <w:szCs w:val="24"/>
          </w:rPr>
          <w:t>https://www.intechopen.com</w:t>
        </w:r>
      </w:hyperlink>
    </w:p>
    <w:p w14:paraId="18F848D9"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Giari</w:t>
      </w:r>
      <w:proofErr w:type="spellEnd"/>
      <w:r>
        <w:rPr>
          <w:rFonts w:ascii="Times New Roman" w:eastAsia="SimSun" w:hAnsi="Times New Roman"/>
          <w:sz w:val="24"/>
          <w:szCs w:val="24"/>
          <w:lang w:eastAsia="zh-CN"/>
        </w:rPr>
        <w:t xml:space="preserve">, L., Maneri, M., Simoni, E. and </w:t>
      </w:r>
      <w:proofErr w:type="spellStart"/>
      <w:r>
        <w:rPr>
          <w:rFonts w:ascii="Times New Roman" w:eastAsia="SimSun" w:hAnsi="Times New Roman"/>
          <w:sz w:val="24"/>
          <w:szCs w:val="24"/>
          <w:lang w:eastAsia="zh-CN"/>
        </w:rPr>
        <w:t>Dezfuli</w:t>
      </w:r>
      <w:proofErr w:type="spellEnd"/>
      <w:r>
        <w:rPr>
          <w:rFonts w:ascii="Times New Roman" w:eastAsia="SimSun" w:hAnsi="Times New Roman"/>
          <w:sz w:val="24"/>
          <w:szCs w:val="24"/>
          <w:lang w:eastAsia="zh-CN"/>
        </w:rPr>
        <w:t xml:space="preserve">, B.S. (2007). Cellular alterations in different organs of European sea bass </w:t>
      </w:r>
      <w:proofErr w:type="spellStart"/>
      <w:r>
        <w:rPr>
          <w:rFonts w:ascii="Times New Roman" w:eastAsia="SimSun" w:hAnsi="Times New Roman"/>
          <w:sz w:val="24"/>
          <w:szCs w:val="24"/>
          <w:lang w:eastAsia="zh-CN"/>
        </w:rPr>
        <w:t>Dicentrarchus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labrax</w:t>
      </w:r>
      <w:proofErr w:type="spellEnd"/>
      <w:r>
        <w:rPr>
          <w:rFonts w:ascii="Times New Roman" w:eastAsia="SimSun" w:hAnsi="Times New Roman"/>
          <w:sz w:val="24"/>
          <w:szCs w:val="24"/>
          <w:lang w:eastAsia="zh-CN"/>
        </w:rPr>
        <w:t xml:space="preserve"> (L.) exposed to cadmium. Chemosphere 67: 1171-1181</w:t>
      </w:r>
    </w:p>
    <w:p w14:paraId="080F797D"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GISD (Global Invasive Species Database), (2019). Species profile: Tilapia </w:t>
      </w:r>
      <w:proofErr w:type="spellStart"/>
      <w:r>
        <w:rPr>
          <w:rFonts w:ascii="Times New Roman" w:eastAsia="SimSun" w:hAnsi="Times New Roman"/>
          <w:sz w:val="24"/>
          <w:szCs w:val="24"/>
          <w:lang w:eastAsia="zh-CN"/>
        </w:rPr>
        <w:t>zillii</w:t>
      </w:r>
      <w:proofErr w:type="spellEnd"/>
      <w:r>
        <w:rPr>
          <w:rFonts w:ascii="Times New Roman" w:eastAsia="SimSun" w:hAnsi="Times New Roman"/>
          <w:sz w:val="24"/>
          <w:szCs w:val="24"/>
          <w:lang w:eastAsia="zh-CN"/>
        </w:rPr>
        <w:t>. Downloaded from http://www.iucngisd.org/gisd/species.php?sc=1364 on 09-12-2019.</w:t>
      </w:r>
    </w:p>
    <w:p w14:paraId="54B45CEB"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17"/>
      <w:r>
        <w:rPr>
          <w:rFonts w:ascii="Times New Roman" w:eastAsia="Times New Roman" w:hAnsi="Times New Roman"/>
          <w:sz w:val="24"/>
          <w:szCs w:val="24"/>
        </w:rPr>
        <w:t>Harvey et al., 1999;</w:t>
      </w:r>
      <w:commentRangeEnd w:id="17"/>
      <w:r w:rsidR="005B54D6">
        <w:rPr>
          <w:rStyle w:val="a9"/>
          <w:rtl/>
        </w:rPr>
        <w:commentReference w:id="17"/>
      </w:r>
    </w:p>
    <w:p w14:paraId="265D792A"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Hinton, D.E. and </w:t>
      </w:r>
      <w:proofErr w:type="spellStart"/>
      <w:r>
        <w:rPr>
          <w:rFonts w:ascii="Times New Roman" w:eastAsia="SimSun" w:hAnsi="Times New Roman"/>
          <w:sz w:val="24"/>
          <w:szCs w:val="24"/>
          <w:lang w:eastAsia="zh-CN"/>
        </w:rPr>
        <w:t>Laurén</w:t>
      </w:r>
      <w:proofErr w:type="spellEnd"/>
      <w:r>
        <w:rPr>
          <w:rFonts w:ascii="Times New Roman" w:eastAsia="SimSun" w:hAnsi="Times New Roman"/>
          <w:sz w:val="24"/>
          <w:szCs w:val="24"/>
          <w:lang w:eastAsia="zh-CN"/>
        </w:rPr>
        <w:t xml:space="preserve">, D.J. (1990). Liver structural alterations accompanying chronic toxicity in fishes: </w:t>
      </w:r>
      <w:proofErr w:type="spellStart"/>
      <w:r>
        <w:rPr>
          <w:rFonts w:ascii="Times New Roman" w:eastAsia="SimSun" w:hAnsi="Times New Roman"/>
          <w:sz w:val="24"/>
          <w:szCs w:val="24"/>
          <w:lang w:eastAsia="zh-CN"/>
        </w:rPr>
        <w:t>potentioal</w:t>
      </w:r>
      <w:proofErr w:type="spellEnd"/>
      <w:r>
        <w:rPr>
          <w:rFonts w:ascii="Times New Roman" w:eastAsia="SimSun" w:hAnsi="Times New Roman"/>
          <w:sz w:val="24"/>
          <w:szCs w:val="24"/>
          <w:lang w:eastAsia="zh-CN"/>
        </w:rPr>
        <w:t xml:space="preserve"> biomarkers of exposure. In: McCarthy, J.F. &amp; L.R. Shugart (Eds.). </w:t>
      </w:r>
      <w:r>
        <w:rPr>
          <w:rFonts w:ascii="Times New Roman" w:eastAsia="SimSun" w:hAnsi="Times New Roman"/>
          <w:i/>
          <w:sz w:val="24"/>
          <w:szCs w:val="24"/>
          <w:lang w:eastAsia="zh-CN"/>
        </w:rPr>
        <w:t>Biomarkers of Environmental Contamination.</w:t>
      </w:r>
      <w:r>
        <w:rPr>
          <w:rFonts w:ascii="Times New Roman" w:eastAsia="SimSun" w:hAnsi="Times New Roman"/>
          <w:sz w:val="24"/>
          <w:szCs w:val="24"/>
          <w:lang w:eastAsia="zh-CN"/>
        </w:rPr>
        <w:t xml:space="preserve"> 12: 51 – 65. </w:t>
      </w:r>
    </w:p>
    <w:p w14:paraId="6AFE1945"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18"/>
      <w:r>
        <w:rPr>
          <w:rFonts w:ascii="Times New Roman" w:eastAsia="Times New Roman" w:hAnsi="Times New Roman"/>
          <w:sz w:val="24"/>
          <w:szCs w:val="24"/>
        </w:rPr>
        <w:t>ISO, 1994;</w:t>
      </w:r>
      <w:commentRangeEnd w:id="18"/>
      <w:r w:rsidR="005B54D6">
        <w:rPr>
          <w:rStyle w:val="a9"/>
          <w:rtl/>
        </w:rPr>
        <w:commentReference w:id="18"/>
      </w:r>
    </w:p>
    <w:p w14:paraId="311C642D" w14:textId="77777777" w:rsidR="0069775F" w:rsidRDefault="004D7A71">
      <w:pPr>
        <w:spacing w:line="240" w:lineRule="auto"/>
        <w:ind w:left="720" w:hanging="720"/>
        <w:jc w:val="both"/>
        <w:rPr>
          <w:rFonts w:eastAsia="SimSun"/>
          <w:lang w:eastAsia="zh-CN"/>
        </w:rPr>
      </w:pPr>
      <w:proofErr w:type="spellStart"/>
      <w:r>
        <w:rPr>
          <w:rFonts w:ascii="Times New Roman" w:eastAsia="SimSun" w:hAnsi="Times New Roman"/>
          <w:sz w:val="24"/>
          <w:szCs w:val="24"/>
          <w:lang w:eastAsia="zh-CN"/>
        </w:rPr>
        <w:t>Jarup</w:t>
      </w:r>
      <w:proofErr w:type="spellEnd"/>
      <w:r>
        <w:rPr>
          <w:rFonts w:ascii="Times New Roman" w:eastAsia="SimSun" w:hAnsi="Times New Roman"/>
          <w:sz w:val="24"/>
          <w:szCs w:val="24"/>
          <w:lang w:eastAsia="zh-CN"/>
        </w:rPr>
        <w:t>, L. (2003). Hazards of heavy metal contamination. British Medical Bulletin, 68:167-183.</w:t>
      </w:r>
      <w:r>
        <w:rPr>
          <w:rFonts w:eastAsia="SimSun"/>
          <w:lang w:eastAsia="zh-CN"/>
        </w:rPr>
        <w:t xml:space="preserve"> </w:t>
      </w:r>
    </w:p>
    <w:p w14:paraId="293BF2C8" w14:textId="77777777" w:rsidR="0069775F" w:rsidRDefault="004D7A71">
      <w:pPr>
        <w:spacing w:line="240" w:lineRule="auto"/>
        <w:ind w:left="720" w:hanging="720"/>
        <w:jc w:val="both"/>
        <w:rPr>
          <w:rFonts w:eastAsia="SimSun"/>
          <w:lang w:eastAsia="zh-CN"/>
        </w:rPr>
      </w:pPr>
      <w:commentRangeStart w:id="19"/>
      <w:r>
        <w:rPr>
          <w:rFonts w:eastAsia="SimSun"/>
          <w:lang w:eastAsia="zh-CN"/>
        </w:rPr>
        <w:t>Joly-</w:t>
      </w:r>
      <w:proofErr w:type="spellStart"/>
      <w:r>
        <w:rPr>
          <w:rFonts w:eastAsia="SimSun"/>
          <w:lang w:eastAsia="zh-CN"/>
        </w:rPr>
        <w:t>Turquin</w:t>
      </w:r>
      <w:proofErr w:type="spellEnd"/>
      <w:r>
        <w:rPr>
          <w:rFonts w:eastAsia="SimSun"/>
          <w:lang w:eastAsia="zh-CN"/>
        </w:rPr>
        <w:t xml:space="preserve"> et al., 2009</w:t>
      </w:r>
      <w:commentRangeEnd w:id="19"/>
      <w:r w:rsidR="005B54D6">
        <w:rPr>
          <w:rStyle w:val="a9"/>
          <w:rtl/>
        </w:rPr>
        <w:commentReference w:id="19"/>
      </w:r>
    </w:p>
    <w:p w14:paraId="7BDDB3BA"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Lauren, D.J. and McDonald, D.G. (1985). The effect of copper on branchial ion regulation in the </w:t>
      </w:r>
      <w:proofErr w:type="spellStart"/>
      <w:r>
        <w:rPr>
          <w:rFonts w:ascii="Times New Roman" w:eastAsia="SimSun" w:hAnsi="Times New Roman"/>
          <w:sz w:val="24"/>
          <w:szCs w:val="24"/>
          <w:lang w:eastAsia="zh-CN"/>
        </w:rPr>
        <w:t>raibow</w:t>
      </w:r>
      <w:proofErr w:type="spellEnd"/>
      <w:r>
        <w:rPr>
          <w:rFonts w:ascii="Times New Roman" w:eastAsia="SimSun" w:hAnsi="Times New Roman"/>
          <w:sz w:val="24"/>
          <w:szCs w:val="24"/>
          <w:lang w:eastAsia="zh-CN"/>
        </w:rPr>
        <w:t xml:space="preserve"> trout, Salmo </w:t>
      </w:r>
      <w:proofErr w:type="spellStart"/>
      <w:r>
        <w:rPr>
          <w:rFonts w:ascii="Times New Roman" w:eastAsia="SimSun" w:hAnsi="Times New Roman"/>
          <w:sz w:val="24"/>
          <w:szCs w:val="24"/>
          <w:lang w:eastAsia="zh-CN"/>
        </w:rPr>
        <w:t>gairdneri</w:t>
      </w:r>
      <w:proofErr w:type="spellEnd"/>
      <w:r>
        <w:rPr>
          <w:rFonts w:ascii="Times New Roman" w:eastAsia="SimSun" w:hAnsi="Times New Roman"/>
          <w:sz w:val="24"/>
          <w:szCs w:val="24"/>
          <w:lang w:eastAsia="zh-CN"/>
        </w:rPr>
        <w:t xml:space="preserve"> Richardson-modulation by water hardness and </w:t>
      </w:r>
      <w:proofErr w:type="spellStart"/>
      <w:r>
        <w:rPr>
          <w:rFonts w:ascii="Times New Roman" w:eastAsia="SimSun" w:hAnsi="Times New Roman"/>
          <w:sz w:val="24"/>
          <w:szCs w:val="24"/>
          <w:lang w:eastAsia="zh-CN"/>
        </w:rPr>
        <w:t>pH.</w:t>
      </w:r>
      <w:proofErr w:type="spellEnd"/>
      <w:r>
        <w:rPr>
          <w:rFonts w:ascii="Times New Roman" w:eastAsia="SimSun" w:hAnsi="Times New Roman"/>
          <w:sz w:val="24"/>
          <w:szCs w:val="24"/>
          <w:lang w:eastAsia="zh-CN"/>
        </w:rPr>
        <w:t xml:space="preserve"> J. Comp. Physiol., 155:635-644.</w:t>
      </w:r>
    </w:p>
    <w:p w14:paraId="0344D4F2" w14:textId="77777777" w:rsidR="0069775F" w:rsidRDefault="004D7A71">
      <w:pPr>
        <w:spacing w:line="240" w:lineRule="auto"/>
        <w:ind w:left="720" w:hanging="720"/>
        <w:jc w:val="both"/>
        <w:rPr>
          <w:rFonts w:eastAsia="SimSun"/>
          <w:lang w:eastAsia="zh-CN"/>
        </w:rPr>
      </w:pPr>
      <w:r>
        <w:rPr>
          <w:rFonts w:ascii="Times New Roman" w:eastAsia="SimSun" w:hAnsi="Times New Roman"/>
          <w:sz w:val="24"/>
          <w:szCs w:val="24"/>
          <w:lang w:eastAsia="zh-CN"/>
        </w:rPr>
        <w:t xml:space="preserve">Nero, V., Farwell, A., Lister, A., Van Der Kraak, G., Lee, I.E.J., Van Meer, T., MacKinnon, M.D. and Dixon, D.G. (2006). Gill and liver histopathological changes in yellow perch (Perca flavescens) and goldfish (Carassius auratus) exposed to oil sands process-affected water. </w:t>
      </w:r>
      <w:proofErr w:type="spellStart"/>
      <w:r>
        <w:rPr>
          <w:rFonts w:ascii="Times New Roman" w:eastAsia="SimSun" w:hAnsi="Times New Roman"/>
          <w:sz w:val="24"/>
          <w:szCs w:val="24"/>
          <w:lang w:eastAsia="zh-CN"/>
        </w:rPr>
        <w:t>Ecotoxicol</w:t>
      </w:r>
      <w:proofErr w:type="spellEnd"/>
      <w:r>
        <w:rPr>
          <w:rFonts w:ascii="Times New Roman" w:eastAsia="SimSun" w:hAnsi="Times New Roman"/>
          <w:sz w:val="24"/>
          <w:szCs w:val="24"/>
          <w:lang w:eastAsia="zh-CN"/>
        </w:rPr>
        <w:t>. Environ. Safe., 63: 365-377.</w:t>
      </w:r>
      <w:r>
        <w:rPr>
          <w:rFonts w:eastAsia="SimSun"/>
          <w:lang w:eastAsia="zh-CN"/>
        </w:rPr>
        <w:t xml:space="preserve"> </w:t>
      </w:r>
    </w:p>
    <w:p w14:paraId="02A9EA76"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20"/>
      <w:r>
        <w:rPr>
          <w:rFonts w:ascii="Times New Roman" w:eastAsia="SimSun" w:hAnsi="Times New Roman"/>
          <w:sz w:val="24"/>
          <w:szCs w:val="24"/>
          <w:lang w:eastAsia="zh-CN"/>
        </w:rPr>
        <w:t>Mallat, 1985;</w:t>
      </w:r>
      <w:commentRangeEnd w:id="20"/>
      <w:r w:rsidR="005B54D6">
        <w:rPr>
          <w:rStyle w:val="a9"/>
          <w:rtl/>
        </w:rPr>
        <w:commentReference w:id="20"/>
      </w:r>
    </w:p>
    <w:p w14:paraId="4B945A3B"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21"/>
      <w:proofErr w:type="spellStart"/>
      <w:r>
        <w:rPr>
          <w:rFonts w:ascii="Times New Roman" w:eastAsia="SimSun" w:hAnsi="Times New Roman"/>
          <w:sz w:val="24"/>
          <w:szCs w:val="24"/>
          <w:lang w:eastAsia="zh-CN"/>
        </w:rPr>
        <w:lastRenderedPageBreak/>
        <w:t>Marigo´mez</w:t>
      </w:r>
      <w:proofErr w:type="spellEnd"/>
      <w:r>
        <w:rPr>
          <w:rFonts w:ascii="Times New Roman" w:eastAsia="SimSun" w:hAnsi="Times New Roman"/>
          <w:sz w:val="24"/>
          <w:szCs w:val="24"/>
          <w:lang w:eastAsia="zh-CN"/>
        </w:rPr>
        <w:t xml:space="preserve"> et al., 2006; </w:t>
      </w:r>
      <w:commentRangeEnd w:id="21"/>
      <w:r w:rsidR="005B54D6">
        <w:rPr>
          <w:rStyle w:val="a9"/>
          <w:rtl/>
        </w:rPr>
        <w:commentReference w:id="21"/>
      </w:r>
    </w:p>
    <w:p w14:paraId="15565E1A"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22"/>
      <w:proofErr w:type="spellStart"/>
      <w:r>
        <w:rPr>
          <w:rFonts w:ascii="Times New Roman" w:eastAsia="SimSun" w:hAnsi="Times New Roman"/>
          <w:sz w:val="24"/>
          <w:szCs w:val="24"/>
          <w:lang w:eastAsia="zh-CN"/>
        </w:rPr>
        <w:t>Martı´nez-Go´mez</w:t>
      </w:r>
      <w:proofErr w:type="spellEnd"/>
      <w:r>
        <w:rPr>
          <w:rFonts w:ascii="Times New Roman" w:eastAsia="SimSun" w:hAnsi="Times New Roman"/>
          <w:sz w:val="24"/>
          <w:szCs w:val="24"/>
          <w:lang w:eastAsia="zh-CN"/>
        </w:rPr>
        <w:t xml:space="preserve"> et al., 2006;</w:t>
      </w:r>
      <w:commentRangeEnd w:id="22"/>
      <w:r w:rsidR="005B54D6">
        <w:rPr>
          <w:rStyle w:val="a9"/>
          <w:rtl/>
        </w:rPr>
        <w:commentReference w:id="22"/>
      </w:r>
    </w:p>
    <w:p w14:paraId="2D64C105" w14:textId="77777777" w:rsidR="0069775F" w:rsidRDefault="004D7A71">
      <w:pPr>
        <w:spacing w:line="240" w:lineRule="auto"/>
        <w:ind w:left="720" w:hanging="720"/>
        <w:jc w:val="both"/>
        <w:rPr>
          <w:rFonts w:eastAsia="SimSun"/>
          <w:lang w:eastAsia="zh-CN"/>
        </w:rPr>
      </w:pPr>
      <w:r>
        <w:rPr>
          <w:rFonts w:ascii="Times New Roman" w:eastAsia="SimSun" w:hAnsi="Times New Roman"/>
          <w:sz w:val="24"/>
          <w:szCs w:val="24"/>
          <w:lang w:eastAsia="zh-CN"/>
        </w:rPr>
        <w:t>McDonald, D.G. (1983). The effect of H+ upon the gill of freshwater fish. Can. J. Zool., 61: 691-703.</w:t>
      </w:r>
      <w:r>
        <w:rPr>
          <w:rFonts w:eastAsia="SimSun"/>
          <w:lang w:eastAsia="zh-CN"/>
        </w:rPr>
        <w:t xml:space="preserve"> </w:t>
      </w:r>
    </w:p>
    <w:p w14:paraId="0D4DB1CA"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Meyers, R. and Hendricks, J.D. (1985). Histopathology. In: Fundamentals of aquatic toxicology. Edited by Rand, G.M. and Petrocelli, S.R. Washington, DC: Hemisphere Publishing Corp.</w:t>
      </w:r>
    </w:p>
    <w:p w14:paraId="78AA451B"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(2019). Environment Directorate Joint Meeting of the Chemicals Committee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The Working Party On Chemicals, Pesticides And Biotechnology. Environmental Journal of Medicine. 6: 1.</w:t>
      </w:r>
    </w:p>
    <w:p w14:paraId="372A1BE3"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210), (2013). OECD Guidelines for the Testing of Chemicals:  Test (No. 210), Fish, Early-life Stage Toxicity.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Paris, France.</w:t>
      </w:r>
    </w:p>
    <w:p w14:paraId="657CAFB3"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Olojo</w:t>
      </w:r>
      <w:proofErr w:type="spellEnd"/>
      <w:r>
        <w:rPr>
          <w:rFonts w:ascii="Times New Roman" w:eastAsia="SimSun" w:hAnsi="Times New Roman"/>
          <w:sz w:val="24"/>
          <w:szCs w:val="24"/>
          <w:lang w:eastAsia="zh-CN"/>
        </w:rPr>
        <w:t xml:space="preserve"> EAA, </w:t>
      </w:r>
      <w:proofErr w:type="spellStart"/>
      <w:r>
        <w:rPr>
          <w:rFonts w:ascii="Times New Roman" w:eastAsia="SimSun" w:hAnsi="Times New Roman"/>
          <w:sz w:val="24"/>
          <w:szCs w:val="24"/>
          <w:lang w:eastAsia="zh-CN"/>
        </w:rPr>
        <w:t>Olurin</w:t>
      </w:r>
      <w:proofErr w:type="spellEnd"/>
      <w:r>
        <w:rPr>
          <w:rFonts w:ascii="Times New Roman" w:eastAsia="SimSun" w:hAnsi="Times New Roman"/>
          <w:sz w:val="24"/>
          <w:szCs w:val="24"/>
          <w:lang w:eastAsia="zh-CN"/>
        </w:rPr>
        <w:t xml:space="preserve"> KB, Mbaka G and </w:t>
      </w:r>
      <w:proofErr w:type="spellStart"/>
      <w:r>
        <w:rPr>
          <w:rFonts w:ascii="Times New Roman" w:eastAsia="SimSun" w:hAnsi="Times New Roman"/>
          <w:sz w:val="24"/>
          <w:szCs w:val="24"/>
          <w:lang w:eastAsia="zh-CN"/>
        </w:rPr>
        <w:t>Oluwemimo</w:t>
      </w:r>
      <w:proofErr w:type="spellEnd"/>
      <w:r>
        <w:rPr>
          <w:rFonts w:ascii="Times New Roman" w:eastAsia="SimSun" w:hAnsi="Times New Roman"/>
          <w:sz w:val="24"/>
          <w:szCs w:val="24"/>
          <w:lang w:eastAsia="zh-CN"/>
        </w:rPr>
        <w:t xml:space="preserve"> AD (2005). Histopathology of the gill and liver tissues of the African catfish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gariepinus</w:t>
      </w:r>
      <w:proofErr w:type="spellEnd"/>
      <w:r>
        <w:rPr>
          <w:rFonts w:ascii="Times New Roman" w:eastAsia="SimSun" w:hAnsi="Times New Roman"/>
          <w:sz w:val="24"/>
          <w:szCs w:val="24"/>
          <w:lang w:eastAsia="zh-CN"/>
        </w:rPr>
        <w:t xml:space="preserve"> exposed to lead. Afr. J. Biotech., 4(1):117-122.</w:t>
      </w:r>
    </w:p>
    <w:p w14:paraId="7B6D56DE"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Skidmore, J.F. and </w:t>
      </w:r>
      <w:proofErr w:type="spellStart"/>
      <w:r>
        <w:rPr>
          <w:rFonts w:ascii="Times New Roman" w:eastAsia="SimSun" w:hAnsi="Times New Roman"/>
          <w:sz w:val="24"/>
          <w:szCs w:val="24"/>
          <w:lang w:eastAsia="zh-CN"/>
        </w:rPr>
        <w:t>Tovell</w:t>
      </w:r>
      <w:proofErr w:type="spellEnd"/>
      <w:r>
        <w:rPr>
          <w:rFonts w:ascii="Times New Roman" w:eastAsia="SimSun" w:hAnsi="Times New Roman"/>
          <w:sz w:val="24"/>
          <w:szCs w:val="24"/>
          <w:lang w:eastAsia="zh-CN"/>
        </w:rPr>
        <w:t xml:space="preserve">, P.W.A. (1972). Toxic effects of zinc sulphate on the gills of rainbow trout. Water Res., 6: 217-230. </w:t>
      </w:r>
    </w:p>
    <w:p w14:paraId="2CAA719E" w14:textId="77777777" w:rsidR="0069775F" w:rsidRDefault="004D7A71">
      <w:pPr>
        <w:spacing w:line="240" w:lineRule="auto"/>
        <w:ind w:left="720" w:hanging="720"/>
        <w:jc w:val="both"/>
        <w:rPr>
          <w:rFonts w:ascii="Times New Roman" w:eastAsia="Times New Roman" w:hAnsi="Times New Roman"/>
          <w:sz w:val="24"/>
          <w:szCs w:val="24"/>
        </w:rPr>
      </w:pPr>
      <w:commentRangeStart w:id="23"/>
      <w:r>
        <w:rPr>
          <w:rFonts w:ascii="Times New Roman" w:eastAsia="Times New Roman" w:hAnsi="Times New Roman"/>
          <w:sz w:val="24"/>
          <w:szCs w:val="24"/>
        </w:rPr>
        <w:t>Swee et at., 1996).</w:t>
      </w:r>
      <w:commentRangeEnd w:id="23"/>
      <w:r w:rsidR="005B54D6">
        <w:rPr>
          <w:rStyle w:val="a9"/>
          <w:rtl/>
        </w:rPr>
        <w:commentReference w:id="23"/>
      </w:r>
    </w:p>
    <w:p w14:paraId="21D594B0"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210), (2013). OECD Guidelines for the Testing of Chemicals:  Test (No. 210), Fish, Early-life Stage Toxicity.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Paris, France.</w:t>
      </w:r>
    </w:p>
    <w:p w14:paraId="19B5F90F"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2000), (2019). Environment Directorate Joint Meeting of the Chemicals Committee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The Working Party On Chemicals, Pesticides And Biotechnology. ENV/JM/</w:t>
      </w:r>
      <w:proofErr w:type="gramStart"/>
      <w:r>
        <w:rPr>
          <w:rFonts w:ascii="Times New Roman" w:eastAsia="Times New Roman" w:hAnsi="Times New Roman"/>
          <w:sz w:val="24"/>
          <w:szCs w:val="24"/>
        </w:rPr>
        <w:t>MONO(</w:t>
      </w:r>
      <w:proofErr w:type="gramEnd"/>
      <w:r>
        <w:rPr>
          <w:rFonts w:ascii="Times New Roman" w:eastAsia="Times New Roman" w:hAnsi="Times New Roman"/>
          <w:sz w:val="24"/>
          <w:szCs w:val="24"/>
        </w:rPr>
        <w:t>2000)6/REV1</w:t>
      </w:r>
    </w:p>
    <w:p w14:paraId="7520751C"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Pawert</w:t>
      </w:r>
      <w:proofErr w:type="spellEnd"/>
      <w:r>
        <w:rPr>
          <w:rFonts w:ascii="Times New Roman" w:eastAsia="SimSun" w:hAnsi="Times New Roman"/>
          <w:sz w:val="24"/>
          <w:szCs w:val="24"/>
          <w:lang w:eastAsia="zh-CN"/>
        </w:rPr>
        <w:t xml:space="preserve">, M., Muller, R. and </w:t>
      </w:r>
      <w:proofErr w:type="spellStart"/>
      <w:r>
        <w:rPr>
          <w:rFonts w:ascii="Times New Roman" w:eastAsia="SimSun" w:hAnsi="Times New Roman"/>
          <w:sz w:val="24"/>
          <w:szCs w:val="24"/>
          <w:lang w:eastAsia="zh-CN"/>
        </w:rPr>
        <w:t>Triebskorn</w:t>
      </w:r>
      <w:proofErr w:type="spellEnd"/>
      <w:r>
        <w:rPr>
          <w:rFonts w:ascii="Times New Roman" w:eastAsia="SimSun" w:hAnsi="Times New Roman"/>
          <w:sz w:val="24"/>
          <w:szCs w:val="24"/>
          <w:lang w:eastAsia="zh-CN"/>
        </w:rPr>
        <w:t xml:space="preserve">, R. (1998). Ultrastructural changes in fish gills as biomarker to assess small stream pollution. Tissue and Cell, 20:617-626. </w:t>
      </w:r>
    </w:p>
    <w:p w14:paraId="7939AA01"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24"/>
      <w:proofErr w:type="spellStart"/>
      <w:r>
        <w:rPr>
          <w:rFonts w:ascii="Times New Roman" w:eastAsia="SimSun" w:hAnsi="Times New Roman"/>
          <w:sz w:val="24"/>
          <w:szCs w:val="24"/>
          <w:lang w:eastAsia="zh-CN"/>
        </w:rPr>
        <w:t>Pietrapiana</w:t>
      </w:r>
      <w:proofErr w:type="spellEnd"/>
      <w:r>
        <w:rPr>
          <w:rFonts w:ascii="Times New Roman" w:eastAsia="SimSun" w:hAnsi="Times New Roman"/>
          <w:sz w:val="24"/>
          <w:szCs w:val="24"/>
          <w:lang w:eastAsia="zh-CN"/>
        </w:rPr>
        <w:t xml:space="preserve"> et al., 2002;</w:t>
      </w:r>
      <w:commentRangeEnd w:id="24"/>
      <w:r w:rsidR="0034635D">
        <w:rPr>
          <w:rStyle w:val="a9"/>
          <w:rtl/>
        </w:rPr>
        <w:commentReference w:id="24"/>
      </w:r>
    </w:p>
    <w:p w14:paraId="343BEBDD"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Rand GM, Petrocelli SR (Eds), (1985). Fundamentals of Aquatic Toxicology. Methods and Applications. Hemisphere, New York. pp. 374-415.</w:t>
      </w:r>
    </w:p>
    <w:p w14:paraId="79D44EBB"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Roberts, R.J. (2001). Fish pathology. W.B. Saunders: Harcourt Publishers Ltd.</w:t>
      </w:r>
    </w:p>
    <w:p w14:paraId="60DD46C8"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Roberts, R.J. (1989). Fish pathology. 2nd </w:t>
      </w:r>
      <w:proofErr w:type="spellStart"/>
      <w:r>
        <w:rPr>
          <w:rFonts w:ascii="Times New Roman" w:eastAsia="SimSun" w:hAnsi="Times New Roman"/>
          <w:sz w:val="24"/>
          <w:szCs w:val="24"/>
          <w:lang w:eastAsia="zh-CN"/>
        </w:rPr>
        <w:t>edn</w:t>
      </w:r>
      <w:proofErr w:type="spellEnd"/>
      <w:r>
        <w:rPr>
          <w:rFonts w:ascii="Times New Roman" w:eastAsia="SimSun" w:hAnsi="Times New Roman"/>
          <w:sz w:val="24"/>
          <w:szCs w:val="24"/>
          <w:lang w:eastAsia="zh-CN"/>
        </w:rPr>
        <w:t>. London: Bailliere Tindal.</w:t>
      </w:r>
    </w:p>
    <w:p w14:paraId="23F14165"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Rombough, P.T. and Garside, E.T. (1977</w:t>
      </w:r>
      <w:proofErr w:type="gramStart"/>
      <w:r>
        <w:rPr>
          <w:rFonts w:ascii="Times New Roman" w:eastAsia="SimSun" w:hAnsi="Times New Roman"/>
          <w:sz w:val="24"/>
          <w:szCs w:val="24"/>
          <w:lang w:eastAsia="zh-CN"/>
        </w:rPr>
        <w:t>).</w:t>
      </w:r>
      <w:proofErr w:type="spellStart"/>
      <w:r>
        <w:rPr>
          <w:rFonts w:ascii="Times New Roman" w:eastAsia="SimSun" w:hAnsi="Times New Roman"/>
          <w:sz w:val="24"/>
          <w:szCs w:val="24"/>
          <w:lang w:eastAsia="zh-CN"/>
        </w:rPr>
        <w:t>hypoxial</w:t>
      </w:r>
      <w:proofErr w:type="spellEnd"/>
      <w:proofErr w:type="gramEnd"/>
      <w:r>
        <w:rPr>
          <w:rFonts w:ascii="Times New Roman" w:eastAsia="SimSun" w:hAnsi="Times New Roman"/>
          <w:sz w:val="24"/>
          <w:szCs w:val="24"/>
          <w:lang w:eastAsia="zh-CN"/>
        </w:rPr>
        <w:t xml:space="preserve"> death inferred from thermally induced injuries at upper lethal temperatures, in banded killifish, </w:t>
      </w:r>
      <w:proofErr w:type="spellStart"/>
      <w:r>
        <w:rPr>
          <w:rFonts w:ascii="Times New Roman" w:eastAsia="SimSun" w:hAnsi="Times New Roman"/>
          <w:sz w:val="24"/>
          <w:szCs w:val="24"/>
          <w:lang w:eastAsia="zh-CN"/>
        </w:rPr>
        <w:t>Fundulus</w:t>
      </w:r>
      <w:proofErr w:type="spellEnd"/>
      <w:r>
        <w:rPr>
          <w:rFonts w:ascii="Times New Roman" w:eastAsia="SimSun" w:hAnsi="Times New Roman"/>
          <w:sz w:val="24"/>
          <w:szCs w:val="24"/>
          <w:lang w:eastAsia="zh-CN"/>
        </w:rPr>
        <w:t xml:space="preserve"> diaphanous (Le Sueur). Can. J. Zool., 55:1705-1719. </w:t>
      </w:r>
    </w:p>
    <w:p w14:paraId="79669841"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25"/>
      <w:proofErr w:type="spellStart"/>
      <w:r>
        <w:rPr>
          <w:rFonts w:ascii="Times New Roman" w:eastAsia="SimSun" w:hAnsi="Times New Roman"/>
          <w:sz w:val="24"/>
          <w:szCs w:val="24"/>
          <w:lang w:eastAsia="zh-CN"/>
        </w:rPr>
        <w:lastRenderedPageBreak/>
        <w:t>Thophon</w:t>
      </w:r>
      <w:proofErr w:type="spellEnd"/>
      <w:r>
        <w:rPr>
          <w:rFonts w:ascii="Times New Roman" w:eastAsia="SimSun" w:hAnsi="Times New Roman"/>
          <w:sz w:val="24"/>
          <w:szCs w:val="24"/>
          <w:lang w:eastAsia="zh-CN"/>
        </w:rPr>
        <w:t xml:space="preserve"> S, </w:t>
      </w:r>
      <w:proofErr w:type="spellStart"/>
      <w:r>
        <w:rPr>
          <w:rFonts w:ascii="Times New Roman" w:eastAsia="SimSun" w:hAnsi="Times New Roman"/>
          <w:sz w:val="24"/>
          <w:szCs w:val="24"/>
          <w:lang w:eastAsia="zh-CN"/>
        </w:rPr>
        <w:t>Pokethitiyook</w:t>
      </w:r>
      <w:proofErr w:type="spellEnd"/>
      <w:r>
        <w:rPr>
          <w:rFonts w:ascii="Times New Roman" w:eastAsia="SimSun" w:hAnsi="Times New Roman"/>
          <w:sz w:val="24"/>
          <w:szCs w:val="24"/>
          <w:lang w:eastAsia="zh-CN"/>
        </w:rPr>
        <w:t xml:space="preserve"> P, </w:t>
      </w:r>
      <w:proofErr w:type="spellStart"/>
      <w:r>
        <w:rPr>
          <w:rFonts w:ascii="Times New Roman" w:eastAsia="SimSun" w:hAnsi="Times New Roman"/>
          <w:sz w:val="24"/>
          <w:szCs w:val="24"/>
          <w:lang w:eastAsia="zh-CN"/>
        </w:rPr>
        <w:t>Chalermwat</w:t>
      </w:r>
      <w:proofErr w:type="spellEnd"/>
      <w:r>
        <w:rPr>
          <w:rFonts w:ascii="Times New Roman" w:eastAsia="SimSun" w:hAnsi="Times New Roman"/>
          <w:sz w:val="24"/>
          <w:szCs w:val="24"/>
          <w:lang w:eastAsia="zh-CN"/>
        </w:rPr>
        <w:t xml:space="preserve"> K, </w:t>
      </w:r>
      <w:proofErr w:type="spellStart"/>
      <w:r>
        <w:rPr>
          <w:rFonts w:ascii="Times New Roman" w:eastAsia="SimSun" w:hAnsi="Times New Roman"/>
          <w:sz w:val="24"/>
          <w:szCs w:val="24"/>
          <w:lang w:eastAsia="zh-CN"/>
        </w:rPr>
        <w:t>Upatham</w:t>
      </w:r>
      <w:proofErr w:type="spellEnd"/>
      <w:r>
        <w:rPr>
          <w:rFonts w:ascii="Times New Roman" w:eastAsia="SimSun" w:hAnsi="Times New Roman"/>
          <w:sz w:val="24"/>
          <w:szCs w:val="24"/>
          <w:lang w:eastAsia="zh-CN"/>
        </w:rPr>
        <w:t xml:space="preserve"> ES, </w:t>
      </w:r>
      <w:proofErr w:type="spellStart"/>
      <w:r>
        <w:rPr>
          <w:rFonts w:ascii="Times New Roman" w:eastAsia="SimSun" w:hAnsi="Times New Roman"/>
          <w:sz w:val="24"/>
          <w:szCs w:val="24"/>
          <w:lang w:eastAsia="zh-CN"/>
        </w:rPr>
        <w:t>Sahaphong</w:t>
      </w:r>
      <w:proofErr w:type="spellEnd"/>
      <w:r>
        <w:rPr>
          <w:rFonts w:ascii="Times New Roman" w:eastAsia="SimSun" w:hAnsi="Times New Roman"/>
          <w:sz w:val="24"/>
          <w:szCs w:val="24"/>
          <w:lang w:eastAsia="zh-CN"/>
        </w:rPr>
        <w:t xml:space="preserve"> S (2004) </w:t>
      </w:r>
      <w:commentRangeEnd w:id="25"/>
      <w:r w:rsidR="00560F33">
        <w:rPr>
          <w:rStyle w:val="a9"/>
          <w:rtl/>
        </w:rPr>
        <w:commentReference w:id="25"/>
      </w:r>
      <w:r>
        <w:rPr>
          <w:rFonts w:ascii="Times New Roman" w:eastAsia="SimSun" w:hAnsi="Times New Roman"/>
          <w:sz w:val="24"/>
          <w:szCs w:val="24"/>
          <w:lang w:eastAsia="zh-CN"/>
        </w:rPr>
        <w:t xml:space="preserve">Ultrastructural alterations in the liver and kidney of white sea bass, Lates calcarifer, in acute and </w:t>
      </w:r>
      <w:proofErr w:type="spellStart"/>
      <w:r>
        <w:rPr>
          <w:rFonts w:ascii="Times New Roman" w:eastAsia="SimSun" w:hAnsi="Times New Roman"/>
          <w:sz w:val="24"/>
          <w:szCs w:val="24"/>
          <w:lang w:eastAsia="zh-CN"/>
        </w:rPr>
        <w:t>subchronic</w:t>
      </w:r>
      <w:proofErr w:type="spellEnd"/>
      <w:r>
        <w:rPr>
          <w:rFonts w:ascii="Times New Roman" w:eastAsia="SimSun" w:hAnsi="Times New Roman"/>
          <w:sz w:val="24"/>
          <w:szCs w:val="24"/>
          <w:lang w:eastAsia="zh-CN"/>
        </w:rPr>
        <w:t xml:space="preserve"> cadmium exposure. Environ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xml:space="preserve"> 19: 11-19. </w:t>
      </w:r>
    </w:p>
    <w:p w14:paraId="6FEBEA46"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USEPA (United State Environmental Protection Agency), (2005) Methods/Indicators for Determining when Metals are the Cause of Biological Impairments of Rivers and Streams: Species Sensitivity Distributions and Chronic Exposure-Response Relationships from Laboratory Data. U.S. Environmental Protection Agency, Office of Research and Development, Washington DC. EPA/600/X-05/027.</w:t>
      </w:r>
    </w:p>
    <w:p w14:paraId="48877897"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USEPA (United State Environmental Protection Agency), (2002). Short-term Methods for Estimating the Chronic Toxicity of Effluents and Receiving Waters to Marine and Estuarine Organisms. Third Edition. EPA-821-R-02-014 </w:t>
      </w:r>
    </w:p>
    <w:p w14:paraId="102A07C2"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USEPA (US Environmental Protection Agency), (1994). Using Toxicity Tests in Ecological Risk Assessment. ECO Update: Intermittent Bulletin Volume 2 Number 1. Office of Emergency Remedial </w:t>
      </w:r>
      <w:proofErr w:type="spellStart"/>
      <w:r>
        <w:rPr>
          <w:rFonts w:ascii="Times New Roman" w:eastAsia="SimSun" w:hAnsi="Times New Roman"/>
          <w:sz w:val="24"/>
          <w:szCs w:val="24"/>
          <w:lang w:eastAsia="zh-CN"/>
        </w:rPr>
        <w:t>ResponseHazardous</w:t>
      </w:r>
      <w:proofErr w:type="spellEnd"/>
      <w:r>
        <w:rPr>
          <w:rFonts w:ascii="Times New Roman" w:eastAsia="SimSun" w:hAnsi="Times New Roman"/>
          <w:sz w:val="24"/>
          <w:szCs w:val="24"/>
          <w:lang w:eastAsia="zh-CN"/>
        </w:rPr>
        <w:t xml:space="preserve"> Site Evaluation Division (5204G). </w:t>
      </w:r>
    </w:p>
    <w:p w14:paraId="37785B38" w14:textId="77777777" w:rsidR="0069775F" w:rsidRDefault="004D7A71">
      <w:pPr>
        <w:spacing w:line="240" w:lineRule="auto"/>
        <w:ind w:left="720" w:hanging="720"/>
        <w:jc w:val="both"/>
        <w:rPr>
          <w:rFonts w:ascii="Times New Roman" w:eastAsia="SimSun" w:hAnsi="Times New Roman"/>
          <w:sz w:val="24"/>
          <w:szCs w:val="24"/>
          <w:lang w:eastAsia="zh-CN"/>
        </w:rPr>
      </w:pPr>
      <w:commentRangeStart w:id="26"/>
      <w:r>
        <w:rPr>
          <w:rFonts w:ascii="Times New Roman" w:eastAsia="SimSun" w:hAnsi="Times New Roman"/>
          <w:sz w:val="24"/>
          <w:szCs w:val="24"/>
          <w:lang w:eastAsia="zh-CN"/>
        </w:rPr>
        <w:t>USEPA, 1992</w:t>
      </w:r>
      <w:commentRangeEnd w:id="26"/>
      <w:r w:rsidR="00560F33">
        <w:rPr>
          <w:rStyle w:val="a9"/>
          <w:rtl/>
        </w:rPr>
        <w:commentReference w:id="26"/>
      </w:r>
    </w:p>
    <w:p w14:paraId="1F504099"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 xml:space="preserve">Van </w:t>
      </w:r>
      <w:proofErr w:type="spellStart"/>
      <w:proofErr w:type="gramStart"/>
      <w:r>
        <w:rPr>
          <w:rFonts w:ascii="Times New Roman" w:eastAsia="Times New Roman" w:hAnsi="Times New Roman"/>
          <w:sz w:val="24"/>
          <w:szCs w:val="24"/>
        </w:rPr>
        <w:t>Dyk,J.C</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Marchand,M.J</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Pieterse,G.M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Barnhoorn,IE.J</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Bornman,M.S</w:t>
      </w:r>
      <w:proofErr w:type="spellEnd"/>
      <w:r>
        <w:rPr>
          <w:rFonts w:ascii="Times New Roman" w:eastAsia="Times New Roman" w:hAnsi="Times New Roman"/>
          <w:sz w:val="24"/>
          <w:szCs w:val="24"/>
        </w:rPr>
        <w:t xml:space="preserve">. (2009a). Histological changes in the gills of </w:t>
      </w:r>
      <w:proofErr w:type="spellStart"/>
      <w:r>
        <w:rPr>
          <w:rFonts w:ascii="Times New Roman" w:eastAsia="Times New Roman" w:hAnsi="Times New Roman"/>
          <w:sz w:val="24"/>
          <w:szCs w:val="24"/>
        </w:rPr>
        <w:t>Clarias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gariepinus</w:t>
      </w:r>
      <w:proofErr w:type="spellEnd"/>
      <w:r>
        <w:rPr>
          <w:rFonts w:ascii="Times New Roman" w:eastAsia="Times New Roman" w:hAnsi="Times New Roman"/>
          <w:sz w:val="24"/>
          <w:szCs w:val="24"/>
        </w:rPr>
        <w:t xml:space="preserve"> (Teleostei: </w:t>
      </w:r>
      <w:proofErr w:type="spellStart"/>
      <w:r>
        <w:rPr>
          <w:rFonts w:ascii="Times New Roman" w:eastAsia="Times New Roman" w:hAnsi="Times New Roman"/>
          <w:sz w:val="24"/>
          <w:szCs w:val="24"/>
        </w:rPr>
        <w:t>Clariidae</w:t>
      </w:r>
      <w:proofErr w:type="spellEnd"/>
      <w:r>
        <w:rPr>
          <w:rFonts w:ascii="Times New Roman" w:eastAsia="Times New Roman" w:hAnsi="Times New Roman"/>
          <w:sz w:val="24"/>
          <w:szCs w:val="24"/>
        </w:rPr>
        <w:t xml:space="preserve">) from a polluted South African urban aquatic system. Afr. J. </w:t>
      </w:r>
      <w:proofErr w:type="spellStart"/>
      <w:r>
        <w:rPr>
          <w:rFonts w:ascii="Times New Roman" w:eastAsia="Times New Roman" w:hAnsi="Times New Roman"/>
          <w:sz w:val="24"/>
          <w:szCs w:val="24"/>
        </w:rPr>
        <w:t>Aquat</w:t>
      </w:r>
      <w:proofErr w:type="spellEnd"/>
      <w:r>
        <w:rPr>
          <w:rFonts w:ascii="Times New Roman" w:eastAsia="Times New Roman" w:hAnsi="Times New Roman"/>
          <w:sz w:val="24"/>
          <w:szCs w:val="24"/>
        </w:rPr>
        <w:t xml:space="preserve">. Sci. 34,283–291. </w:t>
      </w:r>
    </w:p>
    <w:p w14:paraId="64CAEB79"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Verbost</w:t>
      </w:r>
      <w:proofErr w:type="spellEnd"/>
      <w:r>
        <w:rPr>
          <w:rFonts w:ascii="Times New Roman" w:eastAsia="SimSun" w:hAnsi="Times New Roman"/>
          <w:sz w:val="24"/>
          <w:szCs w:val="24"/>
          <w:lang w:eastAsia="zh-CN"/>
        </w:rPr>
        <w:t xml:space="preserve">, P.M., Flik, G., Lock, R.A.C. and </w:t>
      </w:r>
      <w:proofErr w:type="spellStart"/>
      <w:r>
        <w:rPr>
          <w:rFonts w:ascii="Times New Roman" w:eastAsia="SimSun" w:hAnsi="Times New Roman"/>
          <w:sz w:val="24"/>
          <w:szCs w:val="24"/>
          <w:lang w:eastAsia="zh-CN"/>
        </w:rPr>
        <w:t>Wendelar</w:t>
      </w:r>
      <w:proofErr w:type="spellEnd"/>
      <w:r>
        <w:rPr>
          <w:rFonts w:ascii="Times New Roman" w:eastAsia="SimSun" w:hAnsi="Times New Roman"/>
          <w:sz w:val="24"/>
          <w:szCs w:val="24"/>
          <w:lang w:eastAsia="zh-CN"/>
        </w:rPr>
        <w:t xml:space="preserve"> Bonga, S.E. (1987). Cadmium inhibition of Ca2+ uptake in rainbow trout gills. Am. J. Physiol., 253: 216-221. </w:t>
      </w:r>
    </w:p>
    <w:p w14:paraId="57B85C25"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Wester PW, van der Ven LTM, </w:t>
      </w:r>
      <w:proofErr w:type="spellStart"/>
      <w:r>
        <w:rPr>
          <w:rFonts w:ascii="Times New Roman" w:eastAsia="SimSun" w:hAnsi="Times New Roman"/>
          <w:sz w:val="24"/>
          <w:szCs w:val="24"/>
          <w:lang w:eastAsia="zh-CN"/>
        </w:rPr>
        <w:t>Vethaak</w:t>
      </w:r>
      <w:proofErr w:type="spellEnd"/>
      <w:r>
        <w:rPr>
          <w:rFonts w:ascii="Times New Roman" w:eastAsia="SimSun" w:hAnsi="Times New Roman"/>
          <w:sz w:val="24"/>
          <w:szCs w:val="24"/>
          <w:lang w:eastAsia="zh-CN"/>
        </w:rPr>
        <w:t xml:space="preserve"> AD, Grinwis GCM, Vos JG., (2002). Aquatic toxicology: opportunities for enhancement through histopathology. Environmental Toxicology and Pharmacology 11: 289-295. </w:t>
      </w:r>
    </w:p>
    <w:p w14:paraId="56B3D374"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Yanong</w:t>
      </w:r>
      <w:proofErr w:type="spellEnd"/>
      <w:r>
        <w:rPr>
          <w:rFonts w:ascii="Times New Roman" w:eastAsia="SimSun" w:hAnsi="Times New Roman"/>
          <w:sz w:val="24"/>
          <w:szCs w:val="24"/>
          <w:lang w:eastAsia="zh-CN"/>
        </w:rPr>
        <w:t xml:space="preserve">, R.P.E. 2009. Cryptocaryon </w:t>
      </w:r>
      <w:proofErr w:type="spellStart"/>
      <w:r>
        <w:rPr>
          <w:rFonts w:ascii="Times New Roman" w:eastAsia="SimSun" w:hAnsi="Times New Roman"/>
          <w:sz w:val="24"/>
          <w:szCs w:val="24"/>
          <w:lang w:eastAsia="zh-CN"/>
        </w:rPr>
        <w:t>irritans</w:t>
      </w:r>
      <w:proofErr w:type="spellEnd"/>
      <w:r>
        <w:rPr>
          <w:rFonts w:ascii="Times New Roman" w:eastAsia="SimSun" w:hAnsi="Times New Roman"/>
          <w:sz w:val="24"/>
          <w:szCs w:val="24"/>
          <w:lang w:eastAsia="zh-CN"/>
        </w:rPr>
        <w:t xml:space="preserve"> Infections (Marine White Spot Disease) in Fish. FA164. Gainesville: University of Florida Institute of Food and Agricultural Sciences. http://edis.ifas.ufl.edu/FA164</w:t>
      </w:r>
    </w:p>
    <w:p w14:paraId="4BC3E514"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Yasutake, W.T. and Wales, J.H. (1983). Microscopic analyses of salmonids.: an atlas. Washington D.C.: United States of Department of Fish and Wild life services. </w:t>
      </w:r>
    </w:p>
    <w:p w14:paraId="3538053C" w14:textId="77777777" w:rsidR="0069775F" w:rsidRDefault="0069775F">
      <w:pPr>
        <w:spacing w:after="120" w:line="240" w:lineRule="auto"/>
        <w:rPr>
          <w:rFonts w:ascii="Times New Roman" w:eastAsia="Times New Roman" w:hAnsi="Times New Roman"/>
          <w:sz w:val="24"/>
          <w:szCs w:val="24"/>
        </w:rPr>
      </w:pPr>
    </w:p>
    <w:p w14:paraId="412DA7E3"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0F8E882F"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6A0B28F2"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492EBCC1"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210C2716"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sectPr w:rsidR="0069775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5-05-07T11:19:00Z" w:initials="H">
    <w:p w14:paraId="5948564F" w14:textId="3A479996" w:rsidR="00CD1BE8" w:rsidRDefault="00CD1BE8">
      <w:pPr>
        <w:pStyle w:val="aa"/>
      </w:pPr>
      <w:r>
        <w:rPr>
          <w:rStyle w:val="a9"/>
        </w:rPr>
        <w:annotationRef/>
      </w:r>
      <w:r w:rsidRPr="00CD1BE8">
        <w:t xml:space="preserve">  Sub-Chronic Toxicity Testing </w:t>
      </w:r>
      <w:proofErr w:type="gramStart"/>
      <w:r w:rsidRPr="00CD1BE8">
        <w:t>of  Heavy</w:t>
      </w:r>
      <w:proofErr w:type="gramEnd"/>
      <w:r w:rsidRPr="00CD1BE8">
        <w:t xml:space="preserve"> Metals in Target Fresh Water fish </w:t>
      </w:r>
      <w:proofErr w:type="spellStart"/>
      <w:r w:rsidRPr="00CD1BE8">
        <w:rPr>
          <w:i/>
          <w:iCs/>
        </w:rPr>
        <w:t>Coptodon</w:t>
      </w:r>
      <w:proofErr w:type="spellEnd"/>
      <w:r w:rsidRPr="00CD1BE8">
        <w:rPr>
          <w:i/>
          <w:iCs/>
        </w:rPr>
        <w:t xml:space="preserve"> </w:t>
      </w:r>
      <w:proofErr w:type="spellStart"/>
      <w:r w:rsidRPr="00CD1BE8">
        <w:rPr>
          <w:i/>
          <w:iCs/>
        </w:rPr>
        <w:t>zillii</w:t>
      </w:r>
      <w:proofErr w:type="spellEnd"/>
      <w:r w:rsidRPr="00CD1BE8">
        <w:t xml:space="preserve"> Histology</w:t>
      </w:r>
    </w:p>
  </w:comment>
  <w:comment w:id="1" w:author="HP" w:date="2025-05-07T08:50:00Z" w:initials="H">
    <w:p w14:paraId="27A3E70F" w14:textId="6DB3E6BF" w:rsidR="0063687E" w:rsidRDefault="0063687E">
      <w:pPr>
        <w:pStyle w:val="aa"/>
      </w:pPr>
      <w:r>
        <w:rPr>
          <w:rStyle w:val="a9"/>
        </w:rPr>
        <w:annotationRef/>
      </w:r>
      <w:r w:rsidR="005D054D" w:rsidRPr="005D054D">
        <w:t>Not in the reference list</w:t>
      </w:r>
    </w:p>
  </w:comment>
  <w:comment w:id="2" w:author="HP" w:date="2025-05-07T08:55:00Z" w:initials="H">
    <w:p w14:paraId="7E42D43C" w14:textId="3166F599" w:rsidR="0063687E" w:rsidRDefault="0063687E">
      <w:pPr>
        <w:pStyle w:val="aa"/>
        <w:rPr>
          <w:rFonts w:hint="cs"/>
          <w:rtl/>
          <w:lang w:bidi="ar-IQ"/>
        </w:rPr>
      </w:pPr>
      <w:r>
        <w:rPr>
          <w:rStyle w:val="a9"/>
        </w:rPr>
        <w:annotationRef/>
      </w:r>
      <w:r w:rsidRPr="0063687E">
        <w:t>Not in the reference list</w:t>
      </w:r>
    </w:p>
  </w:comment>
  <w:comment w:id="3" w:author="HP" w:date="2025-05-07T09:12:00Z" w:initials="H">
    <w:p w14:paraId="58C705B7" w14:textId="62CDF82F" w:rsidR="002A36F0" w:rsidRDefault="002A36F0">
      <w:pPr>
        <w:pStyle w:val="aa"/>
      </w:pPr>
      <w:r>
        <w:rPr>
          <w:rStyle w:val="a9"/>
        </w:rPr>
        <w:annotationRef/>
      </w:r>
      <w:r w:rsidRPr="002A36F0">
        <w:t>Not in the reference list</w:t>
      </w:r>
    </w:p>
  </w:comment>
  <w:comment w:id="4" w:author="HP" w:date="2025-05-07T09:13:00Z" w:initials="H">
    <w:p w14:paraId="7951E8B4" w14:textId="53C7DC77" w:rsidR="002A36F0" w:rsidRDefault="002A36F0">
      <w:pPr>
        <w:pStyle w:val="aa"/>
      </w:pPr>
      <w:r>
        <w:rPr>
          <w:rStyle w:val="a9"/>
        </w:rPr>
        <w:annotationRef/>
      </w:r>
      <w:r w:rsidRPr="002A36F0">
        <w:t>Not in the reference list</w:t>
      </w:r>
    </w:p>
  </w:comment>
  <w:comment w:id="5" w:author="HP" w:date="2025-05-07T09:16:00Z" w:initials="H">
    <w:p w14:paraId="19C62754" w14:textId="0C2DA627" w:rsidR="002A36F0" w:rsidRDefault="002A36F0">
      <w:pPr>
        <w:pStyle w:val="aa"/>
      </w:pPr>
      <w:r>
        <w:rPr>
          <w:rStyle w:val="a9"/>
        </w:rPr>
        <w:annotationRef/>
      </w:r>
      <w:r>
        <w:t xml:space="preserve">Delete </w:t>
      </w:r>
    </w:p>
  </w:comment>
  <w:comment w:id="6" w:author="HP" w:date="2025-05-07T10:00:00Z" w:initials="H">
    <w:p w14:paraId="64A38B6D" w14:textId="115D73D0" w:rsidR="00B4110D" w:rsidRDefault="00B4110D">
      <w:pPr>
        <w:pStyle w:val="aa"/>
      </w:pPr>
      <w:r>
        <w:rPr>
          <w:rStyle w:val="a9"/>
        </w:rPr>
        <w:annotationRef/>
      </w:r>
      <w:r>
        <w:t xml:space="preserve">Italic </w:t>
      </w:r>
    </w:p>
  </w:comment>
  <w:comment w:id="7" w:author="HP" w:date="2025-05-07T10:07:00Z" w:initials="H">
    <w:p w14:paraId="07179115" w14:textId="02A64B91" w:rsidR="00B4110D" w:rsidRDefault="00B4110D">
      <w:pPr>
        <w:pStyle w:val="aa"/>
      </w:pPr>
      <w:r>
        <w:rPr>
          <w:rStyle w:val="a9"/>
        </w:rPr>
        <w:annotationRef/>
      </w:r>
      <w:r>
        <w:t xml:space="preserve">Italic </w:t>
      </w:r>
    </w:p>
  </w:comment>
  <w:comment w:id="8" w:author="HP" w:date="2025-05-07T10:29:00Z" w:initials="H">
    <w:p w14:paraId="02C3F1B4" w14:textId="65118488" w:rsidR="00924F99" w:rsidRDefault="00924F99" w:rsidP="00924F99">
      <w:pPr>
        <w:pStyle w:val="aa"/>
        <w:rPr>
          <w:lang w:bidi="ar-IQ"/>
        </w:rPr>
      </w:pPr>
      <w:r>
        <w:rPr>
          <w:rStyle w:val="a9"/>
        </w:rPr>
        <w:annotationRef/>
      </w:r>
      <w:r>
        <w:rPr>
          <w:rStyle w:val="a9"/>
        </w:rPr>
        <w:annotationRef/>
      </w:r>
      <w:r w:rsidRPr="00924F99">
        <w:rPr>
          <w:lang w:bidi="ar-IQ"/>
        </w:rPr>
        <w:t>Add explanation and clarification to the results.</w:t>
      </w:r>
    </w:p>
  </w:comment>
  <w:comment w:id="9" w:author="HP" w:date="2025-05-07T10:26:00Z" w:initials="H">
    <w:p w14:paraId="599FAAC0" w14:textId="3224D440" w:rsidR="00924F99" w:rsidRDefault="00924F99">
      <w:pPr>
        <w:pStyle w:val="aa"/>
        <w:rPr>
          <w:rFonts w:hint="cs"/>
          <w:rtl/>
          <w:lang w:bidi="ar-IQ"/>
        </w:rPr>
      </w:pPr>
      <w:r>
        <w:rPr>
          <w:rStyle w:val="a9"/>
        </w:rPr>
        <w:annotationRef/>
      </w:r>
      <w:r w:rsidRPr="00924F99">
        <w:rPr>
          <w:lang w:bidi="ar-IQ"/>
        </w:rPr>
        <w:t>Add explanation and clarification to the results.</w:t>
      </w:r>
    </w:p>
  </w:comment>
  <w:comment w:id="10" w:author="HP" w:date="2025-05-07T11:24:00Z" w:initials="H">
    <w:p w14:paraId="02145830" w14:textId="201CC6BD" w:rsidR="00CD1BE8" w:rsidRDefault="00CD1BE8" w:rsidP="00CD1BE8">
      <w:pPr>
        <w:pStyle w:val="aa"/>
        <w:rPr>
          <w:lang w:bidi="ar-IQ"/>
        </w:rPr>
      </w:pPr>
      <w:r>
        <w:rPr>
          <w:rStyle w:val="a9"/>
        </w:rPr>
        <w:annotationRef/>
      </w:r>
      <w:r>
        <w:rPr>
          <w:rStyle w:val="a9"/>
        </w:rPr>
        <w:annotationRef/>
      </w:r>
      <w:r w:rsidRPr="00924F99">
        <w:rPr>
          <w:lang w:bidi="ar-IQ"/>
        </w:rPr>
        <w:t>Add explanation and clarification to the results.</w:t>
      </w:r>
    </w:p>
  </w:comment>
  <w:comment w:id="11" w:author="HP" w:date="2025-05-07T10:38:00Z" w:initials="H">
    <w:p w14:paraId="54D4E440" w14:textId="63B945AD" w:rsidR="00952E91" w:rsidRDefault="00952E91" w:rsidP="00952E91">
      <w:pPr>
        <w:pStyle w:val="aa"/>
        <w:rPr>
          <w:lang w:bidi="ar-IQ"/>
        </w:rPr>
      </w:pPr>
      <w:r>
        <w:rPr>
          <w:rStyle w:val="a9"/>
        </w:rPr>
        <w:annotationRef/>
      </w:r>
      <w:r>
        <w:rPr>
          <w:rStyle w:val="a9"/>
        </w:rPr>
        <w:annotationRef/>
      </w:r>
      <w:r w:rsidR="005B54D6" w:rsidRPr="005B54D6">
        <w:t>Not in the text</w:t>
      </w:r>
      <w:r>
        <w:t xml:space="preserve"> </w:t>
      </w:r>
    </w:p>
  </w:comment>
  <w:comment w:id="12" w:author="HP" w:date="2025-05-07T10:42:00Z" w:initials="H">
    <w:p w14:paraId="0A84A1BE" w14:textId="3DA4FF6A" w:rsidR="00952E91" w:rsidRDefault="00952E91">
      <w:pPr>
        <w:pStyle w:val="aa"/>
        <w:rPr>
          <w:rFonts w:hint="cs"/>
          <w:rtl/>
          <w:lang w:bidi="ar-IQ"/>
        </w:rPr>
      </w:pPr>
      <w:r>
        <w:rPr>
          <w:rStyle w:val="a9"/>
        </w:rPr>
        <w:annotationRef/>
      </w:r>
      <w:r w:rsidRPr="00952E91">
        <w:rPr>
          <w:lang w:bidi="ar-IQ"/>
        </w:rPr>
        <w:t>Write the full reference information.</w:t>
      </w:r>
    </w:p>
  </w:comment>
  <w:comment w:id="13" w:author="HP" w:date="2025-05-07T10:44:00Z" w:initials="H">
    <w:p w14:paraId="7DE755AD" w14:textId="086FD8A7" w:rsidR="00952E91" w:rsidRDefault="00952E91">
      <w:pPr>
        <w:pStyle w:val="aa"/>
      </w:pPr>
      <w:r>
        <w:rPr>
          <w:rStyle w:val="a9"/>
        </w:rPr>
        <w:annotationRef/>
      </w:r>
      <w:r w:rsidRPr="00952E91">
        <w:t>Write the full reference information.</w:t>
      </w:r>
    </w:p>
  </w:comment>
  <w:comment w:id="14" w:author="HP" w:date="2025-05-07T10:48:00Z" w:initials="H">
    <w:p w14:paraId="5A1F83EA" w14:textId="47F83D85" w:rsidR="005B54D6" w:rsidRDefault="005B54D6">
      <w:pPr>
        <w:pStyle w:val="aa"/>
      </w:pPr>
      <w:r>
        <w:rPr>
          <w:rStyle w:val="a9"/>
        </w:rPr>
        <w:annotationRef/>
      </w:r>
      <w:r w:rsidRPr="005B54D6">
        <w:t>Not in the text</w:t>
      </w:r>
    </w:p>
  </w:comment>
  <w:comment w:id="15" w:author="HP" w:date="2025-05-07T10:47:00Z" w:initials="H">
    <w:p w14:paraId="53BB3151" w14:textId="6780FAB9" w:rsidR="005B54D6" w:rsidRDefault="005B54D6">
      <w:pPr>
        <w:pStyle w:val="aa"/>
      </w:pPr>
      <w:r>
        <w:rPr>
          <w:rStyle w:val="a9"/>
        </w:rPr>
        <w:annotationRef/>
      </w:r>
      <w:r w:rsidRPr="005B54D6">
        <w:t>Write the full reference information.</w:t>
      </w:r>
    </w:p>
  </w:comment>
  <w:comment w:id="16" w:author="HP" w:date="2025-05-07T10:49:00Z" w:initials="H">
    <w:p w14:paraId="6840F6E1" w14:textId="0ECB4658" w:rsidR="005B54D6" w:rsidRDefault="005B54D6" w:rsidP="005B54D6">
      <w:pPr>
        <w:pStyle w:val="aa"/>
      </w:pPr>
      <w:r>
        <w:rPr>
          <w:rStyle w:val="a9"/>
        </w:rPr>
        <w:annotationRef/>
      </w:r>
      <w:r>
        <w:rPr>
          <w:rStyle w:val="a9"/>
        </w:rPr>
        <w:annotationRef/>
      </w:r>
      <w:r w:rsidRPr="005B54D6">
        <w:t>Write the full reference information.</w:t>
      </w:r>
    </w:p>
  </w:comment>
  <w:comment w:id="17" w:author="HP" w:date="2025-05-07T10:51:00Z" w:initials="H">
    <w:p w14:paraId="59B4C522" w14:textId="0EE17D09" w:rsidR="005B54D6" w:rsidRDefault="005B54D6" w:rsidP="005B54D6">
      <w:pPr>
        <w:pStyle w:val="aa"/>
      </w:pPr>
      <w:r>
        <w:rPr>
          <w:rStyle w:val="a9"/>
        </w:rPr>
        <w:annotationRef/>
      </w:r>
      <w:r>
        <w:rPr>
          <w:rStyle w:val="a9"/>
        </w:rPr>
        <w:annotationRef/>
      </w:r>
      <w:r w:rsidRPr="005B54D6">
        <w:t>Write the full reference information.</w:t>
      </w:r>
    </w:p>
  </w:comment>
  <w:comment w:id="18" w:author="HP" w:date="2025-05-07T10:51:00Z" w:initials="H">
    <w:p w14:paraId="7B868C25" w14:textId="3DFF1DCC" w:rsidR="005B54D6" w:rsidRDefault="005B54D6" w:rsidP="005B54D6">
      <w:pPr>
        <w:pStyle w:val="aa"/>
      </w:pPr>
      <w:r>
        <w:rPr>
          <w:rStyle w:val="a9"/>
        </w:rPr>
        <w:annotationRef/>
      </w:r>
      <w:r>
        <w:rPr>
          <w:rStyle w:val="a9"/>
        </w:rPr>
        <w:annotationRef/>
      </w:r>
      <w:r w:rsidRPr="005B54D6">
        <w:t>Write the full reference information.</w:t>
      </w:r>
    </w:p>
  </w:comment>
  <w:comment w:id="19" w:author="HP" w:date="2025-05-07T10:51:00Z" w:initials="H">
    <w:p w14:paraId="1FCC61E9" w14:textId="0EE7A8E3" w:rsidR="005B54D6" w:rsidRDefault="005B54D6" w:rsidP="005B54D6">
      <w:pPr>
        <w:pStyle w:val="aa"/>
      </w:pPr>
      <w:r>
        <w:rPr>
          <w:rStyle w:val="a9"/>
        </w:rPr>
        <w:annotationRef/>
      </w:r>
      <w:r>
        <w:rPr>
          <w:rStyle w:val="a9"/>
        </w:rPr>
        <w:annotationRef/>
      </w:r>
      <w:r w:rsidRPr="005B54D6">
        <w:t>Write the full reference information.</w:t>
      </w:r>
    </w:p>
  </w:comment>
  <w:comment w:id="20" w:author="HP" w:date="2025-05-07T10:53:00Z" w:initials="H">
    <w:p w14:paraId="3F1359A8" w14:textId="5645FBA8" w:rsidR="005B54D6" w:rsidRDefault="005B54D6" w:rsidP="005B54D6">
      <w:pPr>
        <w:pStyle w:val="aa"/>
      </w:pPr>
      <w:r>
        <w:rPr>
          <w:rStyle w:val="a9"/>
        </w:rPr>
        <w:annotationRef/>
      </w:r>
      <w:r>
        <w:rPr>
          <w:rStyle w:val="a9"/>
        </w:rPr>
        <w:annotationRef/>
      </w:r>
      <w:r w:rsidRPr="005B54D6">
        <w:t>Write the full reference information.</w:t>
      </w:r>
    </w:p>
  </w:comment>
  <w:comment w:id="21" w:author="HP" w:date="2025-05-07T10:53:00Z" w:initials="H">
    <w:p w14:paraId="55D43079" w14:textId="4A647030" w:rsidR="005B54D6" w:rsidRDefault="005B54D6" w:rsidP="005B54D6">
      <w:pPr>
        <w:pStyle w:val="aa"/>
      </w:pPr>
      <w:r>
        <w:rPr>
          <w:rStyle w:val="a9"/>
        </w:rPr>
        <w:annotationRef/>
      </w:r>
      <w:r>
        <w:rPr>
          <w:rStyle w:val="a9"/>
        </w:rPr>
        <w:annotationRef/>
      </w:r>
      <w:r w:rsidRPr="005B54D6">
        <w:t>Write the full reference information.</w:t>
      </w:r>
    </w:p>
  </w:comment>
  <w:comment w:id="22" w:author="HP" w:date="2025-05-07T10:54:00Z" w:initials="H">
    <w:p w14:paraId="2C6F2605" w14:textId="61B73417" w:rsidR="005B54D6" w:rsidRDefault="005B54D6" w:rsidP="005B54D6">
      <w:pPr>
        <w:pStyle w:val="aa"/>
      </w:pPr>
      <w:r>
        <w:rPr>
          <w:rStyle w:val="a9"/>
        </w:rPr>
        <w:annotationRef/>
      </w:r>
      <w:r>
        <w:rPr>
          <w:rStyle w:val="a9"/>
        </w:rPr>
        <w:annotationRef/>
      </w:r>
      <w:r w:rsidRPr="005B54D6">
        <w:t>Write the full reference information.</w:t>
      </w:r>
    </w:p>
  </w:comment>
  <w:comment w:id="23" w:author="HP" w:date="2025-05-07T10:55:00Z" w:initials="H">
    <w:p w14:paraId="338DD9B9" w14:textId="22FE44FF" w:rsidR="005B54D6" w:rsidRDefault="005B54D6" w:rsidP="005B54D6">
      <w:pPr>
        <w:pStyle w:val="aa"/>
      </w:pPr>
      <w:r>
        <w:rPr>
          <w:rStyle w:val="a9"/>
        </w:rPr>
        <w:annotationRef/>
      </w:r>
      <w:r>
        <w:rPr>
          <w:rStyle w:val="a9"/>
        </w:rPr>
        <w:annotationRef/>
      </w:r>
      <w:r w:rsidRPr="005B54D6">
        <w:t>Write the full reference information.</w:t>
      </w:r>
    </w:p>
  </w:comment>
  <w:comment w:id="24" w:author="HP" w:date="2025-05-07T11:00:00Z" w:initials="H">
    <w:p w14:paraId="2078E6C4" w14:textId="5B53F110" w:rsidR="0034635D" w:rsidRDefault="0034635D" w:rsidP="0034635D">
      <w:pPr>
        <w:pStyle w:val="aa"/>
      </w:pPr>
      <w:r>
        <w:rPr>
          <w:rStyle w:val="a9"/>
        </w:rPr>
        <w:annotationRef/>
      </w:r>
      <w:r>
        <w:rPr>
          <w:rStyle w:val="a9"/>
        </w:rPr>
        <w:annotationRef/>
      </w:r>
      <w:r w:rsidRPr="005B54D6">
        <w:t>Write the full reference information.</w:t>
      </w:r>
    </w:p>
  </w:comment>
  <w:comment w:id="25" w:author="HP" w:date="2025-05-07T11:08:00Z" w:initials="H">
    <w:p w14:paraId="30159F46" w14:textId="4038DAB5" w:rsidR="00560F33" w:rsidRDefault="00560F33" w:rsidP="00560F33">
      <w:pPr>
        <w:pStyle w:val="aa"/>
      </w:pPr>
      <w:r>
        <w:rPr>
          <w:rStyle w:val="a9"/>
        </w:rPr>
        <w:annotationRef/>
      </w:r>
      <w:r>
        <w:rPr>
          <w:rStyle w:val="a9"/>
        </w:rPr>
        <w:annotationRef/>
      </w:r>
      <w:r w:rsidRPr="005B54D6">
        <w:t>Not in the text</w:t>
      </w:r>
    </w:p>
  </w:comment>
  <w:comment w:id="26" w:author="HP" w:date="2025-05-07T11:08:00Z" w:initials="H">
    <w:p w14:paraId="6DAD08F9" w14:textId="1242EFA7" w:rsidR="00560F33" w:rsidRDefault="00560F33" w:rsidP="00560F33">
      <w:pPr>
        <w:pStyle w:val="aa"/>
      </w:pPr>
      <w:r>
        <w:rPr>
          <w:rStyle w:val="a9"/>
        </w:rPr>
        <w:annotationRef/>
      </w:r>
      <w:r>
        <w:rPr>
          <w:rStyle w:val="a9"/>
        </w:rPr>
        <w:annotationRef/>
      </w:r>
      <w:r>
        <w:rPr>
          <w:rStyle w:val="a9"/>
        </w:rPr>
        <w:annotationRef/>
      </w:r>
      <w:r w:rsidRPr="005B54D6">
        <w:t>Write the full reference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48564F" w15:done="0"/>
  <w15:commentEx w15:paraId="27A3E70F" w15:done="0"/>
  <w15:commentEx w15:paraId="7E42D43C" w15:done="0"/>
  <w15:commentEx w15:paraId="58C705B7" w15:done="0"/>
  <w15:commentEx w15:paraId="7951E8B4" w15:done="0"/>
  <w15:commentEx w15:paraId="19C62754" w15:done="0"/>
  <w15:commentEx w15:paraId="64A38B6D" w15:done="0"/>
  <w15:commentEx w15:paraId="07179115" w15:done="0"/>
  <w15:commentEx w15:paraId="02C3F1B4" w15:done="0"/>
  <w15:commentEx w15:paraId="599FAAC0" w15:done="0"/>
  <w15:commentEx w15:paraId="02145830" w15:done="0"/>
  <w15:commentEx w15:paraId="54D4E440" w15:done="0"/>
  <w15:commentEx w15:paraId="0A84A1BE" w15:done="0"/>
  <w15:commentEx w15:paraId="7DE755AD" w15:done="0"/>
  <w15:commentEx w15:paraId="5A1F83EA" w15:done="0"/>
  <w15:commentEx w15:paraId="53BB3151" w15:done="0"/>
  <w15:commentEx w15:paraId="6840F6E1" w15:done="0"/>
  <w15:commentEx w15:paraId="59B4C522" w15:done="0"/>
  <w15:commentEx w15:paraId="7B868C25" w15:done="0"/>
  <w15:commentEx w15:paraId="1FCC61E9" w15:done="0"/>
  <w15:commentEx w15:paraId="3F1359A8" w15:done="0"/>
  <w15:commentEx w15:paraId="55D43079" w15:done="0"/>
  <w15:commentEx w15:paraId="2C6F2605" w15:done="0"/>
  <w15:commentEx w15:paraId="338DD9B9" w15:done="0"/>
  <w15:commentEx w15:paraId="2078E6C4" w15:done="0"/>
  <w15:commentEx w15:paraId="30159F46" w15:done="0"/>
  <w15:commentEx w15:paraId="6DAD08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C5C02A" w16cex:dateUtc="2025-05-07T08:19:00Z"/>
  <w16cex:commentExtensible w16cex:durableId="2BC59D49" w16cex:dateUtc="2025-05-07T05:50:00Z"/>
  <w16cex:commentExtensible w16cex:durableId="2BC59E86" w16cex:dateUtc="2025-05-07T05:55:00Z"/>
  <w16cex:commentExtensible w16cex:durableId="2BC5A28F" w16cex:dateUtc="2025-05-07T06:12:00Z"/>
  <w16cex:commentExtensible w16cex:durableId="2BC5A2CD" w16cex:dateUtc="2025-05-07T06:13:00Z"/>
  <w16cex:commentExtensible w16cex:durableId="2BC5A378" w16cex:dateUtc="2025-05-07T06:16:00Z"/>
  <w16cex:commentExtensible w16cex:durableId="2BC5ADC8" w16cex:dateUtc="2025-05-07T07:00:00Z"/>
  <w16cex:commentExtensible w16cex:durableId="2BC5AF5C" w16cex:dateUtc="2025-05-07T07:07:00Z"/>
  <w16cex:commentExtensible w16cex:durableId="2BC5B48E" w16cex:dateUtc="2025-05-07T07:29:00Z"/>
  <w16cex:commentExtensible w16cex:durableId="2BC5B3D2" w16cex:dateUtc="2025-05-07T07:26:00Z"/>
  <w16cex:commentExtensible w16cex:durableId="2BC5C185" w16cex:dateUtc="2025-05-07T08:24:00Z"/>
  <w16cex:commentExtensible w16cex:durableId="2BC5B6C3" w16cex:dateUtc="2025-05-07T07:38:00Z"/>
  <w16cex:commentExtensible w16cex:durableId="2BC5B790" w16cex:dateUtc="2025-05-07T07:42:00Z"/>
  <w16cex:commentExtensible w16cex:durableId="2BC5B828" w16cex:dateUtc="2025-05-07T07:44:00Z"/>
  <w16cex:commentExtensible w16cex:durableId="2BC5B8E4" w16cex:dateUtc="2025-05-07T07:48:00Z"/>
  <w16cex:commentExtensible w16cex:durableId="2BC5B8C0" w16cex:dateUtc="2025-05-07T07:47:00Z"/>
  <w16cex:commentExtensible w16cex:durableId="2BC5B93D" w16cex:dateUtc="2025-05-07T07:49:00Z"/>
  <w16cex:commentExtensible w16cex:durableId="2BC5B996" w16cex:dateUtc="2025-05-07T07:51:00Z"/>
  <w16cex:commentExtensible w16cex:durableId="2BC5B9A3" w16cex:dateUtc="2025-05-07T07:51:00Z"/>
  <w16cex:commentExtensible w16cex:durableId="2BC5B9CE" w16cex:dateUtc="2025-05-07T07:51:00Z"/>
  <w16cex:commentExtensible w16cex:durableId="2BC5BA15" w16cex:dateUtc="2025-05-07T07:53:00Z"/>
  <w16cex:commentExtensible w16cex:durableId="2BC5BA1E" w16cex:dateUtc="2025-05-07T07:53:00Z"/>
  <w16cex:commentExtensible w16cex:durableId="2BC5BA6A" w16cex:dateUtc="2025-05-07T07:54:00Z"/>
  <w16cex:commentExtensible w16cex:durableId="2BC5BAB4" w16cex:dateUtc="2025-05-07T07:55:00Z"/>
  <w16cex:commentExtensible w16cex:durableId="2BC5BBB8" w16cex:dateUtc="2025-05-07T08:00:00Z"/>
  <w16cex:commentExtensible w16cex:durableId="2BC5BD94" w16cex:dateUtc="2025-05-07T08:08:00Z"/>
  <w16cex:commentExtensible w16cex:durableId="2BC5BDC1" w16cex:dateUtc="2025-05-07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48564F" w16cid:durableId="2BC5C02A"/>
  <w16cid:commentId w16cid:paraId="27A3E70F" w16cid:durableId="2BC59D49"/>
  <w16cid:commentId w16cid:paraId="7E42D43C" w16cid:durableId="2BC59E86"/>
  <w16cid:commentId w16cid:paraId="58C705B7" w16cid:durableId="2BC5A28F"/>
  <w16cid:commentId w16cid:paraId="7951E8B4" w16cid:durableId="2BC5A2CD"/>
  <w16cid:commentId w16cid:paraId="19C62754" w16cid:durableId="2BC5A378"/>
  <w16cid:commentId w16cid:paraId="64A38B6D" w16cid:durableId="2BC5ADC8"/>
  <w16cid:commentId w16cid:paraId="07179115" w16cid:durableId="2BC5AF5C"/>
  <w16cid:commentId w16cid:paraId="02C3F1B4" w16cid:durableId="2BC5B48E"/>
  <w16cid:commentId w16cid:paraId="599FAAC0" w16cid:durableId="2BC5B3D2"/>
  <w16cid:commentId w16cid:paraId="02145830" w16cid:durableId="2BC5C185"/>
  <w16cid:commentId w16cid:paraId="54D4E440" w16cid:durableId="2BC5B6C3"/>
  <w16cid:commentId w16cid:paraId="0A84A1BE" w16cid:durableId="2BC5B790"/>
  <w16cid:commentId w16cid:paraId="7DE755AD" w16cid:durableId="2BC5B828"/>
  <w16cid:commentId w16cid:paraId="5A1F83EA" w16cid:durableId="2BC5B8E4"/>
  <w16cid:commentId w16cid:paraId="53BB3151" w16cid:durableId="2BC5B8C0"/>
  <w16cid:commentId w16cid:paraId="6840F6E1" w16cid:durableId="2BC5B93D"/>
  <w16cid:commentId w16cid:paraId="59B4C522" w16cid:durableId="2BC5B996"/>
  <w16cid:commentId w16cid:paraId="7B868C25" w16cid:durableId="2BC5B9A3"/>
  <w16cid:commentId w16cid:paraId="1FCC61E9" w16cid:durableId="2BC5B9CE"/>
  <w16cid:commentId w16cid:paraId="3F1359A8" w16cid:durableId="2BC5BA15"/>
  <w16cid:commentId w16cid:paraId="55D43079" w16cid:durableId="2BC5BA1E"/>
  <w16cid:commentId w16cid:paraId="2C6F2605" w16cid:durableId="2BC5BA6A"/>
  <w16cid:commentId w16cid:paraId="338DD9B9" w16cid:durableId="2BC5BAB4"/>
  <w16cid:commentId w16cid:paraId="2078E6C4" w16cid:durableId="2BC5BBB8"/>
  <w16cid:commentId w16cid:paraId="30159F46" w16cid:durableId="2BC5BD94"/>
  <w16cid:commentId w16cid:paraId="6DAD08F9" w16cid:durableId="2BC5BD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FE1CD" w14:textId="77777777" w:rsidR="00912EBF" w:rsidRDefault="00912EBF" w:rsidP="00B662F1">
      <w:pPr>
        <w:spacing w:after="0" w:line="240" w:lineRule="auto"/>
      </w:pPr>
      <w:r>
        <w:separator/>
      </w:r>
    </w:p>
  </w:endnote>
  <w:endnote w:type="continuationSeparator" w:id="0">
    <w:p w14:paraId="041A9BB7" w14:textId="77777777" w:rsidR="00912EBF" w:rsidRDefault="00912EBF" w:rsidP="00B66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A369" w14:textId="77777777" w:rsidR="00B662F1" w:rsidRDefault="00B662F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51CF" w14:textId="77777777" w:rsidR="00B662F1" w:rsidRDefault="00B662F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8E49" w14:textId="77777777" w:rsidR="00B662F1" w:rsidRDefault="00B662F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2FC70" w14:textId="77777777" w:rsidR="00912EBF" w:rsidRDefault="00912EBF" w:rsidP="00B662F1">
      <w:pPr>
        <w:spacing w:after="0" w:line="240" w:lineRule="auto"/>
      </w:pPr>
      <w:r>
        <w:separator/>
      </w:r>
    </w:p>
  </w:footnote>
  <w:footnote w:type="continuationSeparator" w:id="0">
    <w:p w14:paraId="52A2BC65" w14:textId="77777777" w:rsidR="00912EBF" w:rsidRDefault="00912EBF" w:rsidP="00B66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DDB5" w14:textId="38C3F65E" w:rsidR="00B662F1" w:rsidRDefault="00000000">
    <w:pPr>
      <w:pStyle w:val="a7"/>
    </w:pPr>
    <w:r>
      <w:rPr>
        <w:noProof/>
      </w:rPr>
      <w:pict w14:anchorId="1D82A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58F5" w14:textId="474E6E29" w:rsidR="00B662F1" w:rsidRDefault="00000000">
    <w:pPr>
      <w:pStyle w:val="a7"/>
    </w:pPr>
    <w:r>
      <w:rPr>
        <w:noProof/>
      </w:rPr>
      <w:pict w14:anchorId="5FEDF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E92A" w14:textId="28AF18F3" w:rsidR="00B662F1" w:rsidRDefault="00000000">
    <w:pPr>
      <w:pStyle w:val="a7"/>
    </w:pPr>
    <w:r>
      <w:rPr>
        <w:noProof/>
      </w:rPr>
      <w:pict w14:anchorId="17761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0000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91A71C1"/>
    <w:multiLevelType w:val="multilevel"/>
    <w:tmpl w:val="00000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86897371">
    <w:abstractNumId w:val="0"/>
  </w:num>
  <w:num w:numId="2" w16cid:durableId="711736439">
    <w:abstractNumId w:val="3"/>
  </w:num>
  <w:num w:numId="3" w16cid:durableId="1826311710">
    <w:abstractNumId w:val="1"/>
  </w:num>
  <w:num w:numId="4" w16cid:durableId="112473396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775F"/>
    <w:rsid w:val="000A327A"/>
    <w:rsid w:val="002A36F0"/>
    <w:rsid w:val="0034635D"/>
    <w:rsid w:val="00361344"/>
    <w:rsid w:val="004D7A71"/>
    <w:rsid w:val="00560F33"/>
    <w:rsid w:val="005B54D6"/>
    <w:rsid w:val="005D054D"/>
    <w:rsid w:val="00625089"/>
    <w:rsid w:val="0063687E"/>
    <w:rsid w:val="0069775F"/>
    <w:rsid w:val="00707F04"/>
    <w:rsid w:val="00912EBF"/>
    <w:rsid w:val="00924F99"/>
    <w:rsid w:val="00952E91"/>
    <w:rsid w:val="00B11332"/>
    <w:rsid w:val="00B4110D"/>
    <w:rsid w:val="00B662F1"/>
    <w:rsid w:val="00BD0DA5"/>
    <w:rsid w:val="00CD1BE8"/>
    <w:rsid w:val="00D00078"/>
    <w:rsid w:val="00EA6F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736E3"/>
  <w15:docId w15:val="{E2E5B6E7-96A2-4BA9-A272-72B60B7C9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cs="Times New Roman"/>
      <w:sz w:val="22"/>
      <w:szCs w:val="22"/>
    </w:rPr>
  </w:style>
  <w:style w:type="paragraph" w:styleId="3">
    <w:name w:val="heading 3"/>
    <w:basedOn w:val="a"/>
    <w:link w:val="3Char"/>
    <w:uiPriority w:val="9"/>
    <w:qFormat/>
    <w:rsid w:val="002A36F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pPr>
      <w:spacing w:after="0" w:line="240" w:lineRule="auto"/>
    </w:pPr>
    <w:rPr>
      <w:rFonts w:ascii="Tahoma" w:hAnsi="Tahoma" w:cs="Tahoma"/>
      <w:sz w:val="16"/>
      <w:szCs w:val="16"/>
    </w:rPr>
  </w:style>
  <w:style w:type="paragraph" w:styleId="Index9">
    <w:name w:val="index 9"/>
    <w:basedOn w:val="a"/>
    <w:next w:val="a"/>
    <w:pPr>
      <w:ind w:left="720"/>
      <w:contextualSpacing/>
    </w:pPr>
    <w:rPr>
      <w:lang w:val="en-GB"/>
    </w:rPr>
  </w:style>
  <w:style w:type="character" w:styleId="Hyperlink">
    <w:name w:val="Hyperlink"/>
    <w:basedOn w:val="a0"/>
    <w:uiPriority w:val="99"/>
    <w:rPr>
      <w:color w:val="0000FF"/>
      <w:u w:val="single"/>
    </w:rPr>
  </w:style>
  <w:style w:type="table" w:styleId="a4">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uiPriority w:val="61"/>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6">
    <w:name w:val="Light Grid Accent 6"/>
    <w:basedOn w:val="a1"/>
    <w:uiPriority w:val="62"/>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1-2">
    <w:name w:val="Medium Shading 1 Accent 2"/>
    <w:basedOn w:val="a1"/>
    <w:uiPriority w:val="63"/>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ListParagraphdaeebebf-f101-4889-831f-2692a0b491de">
    <w:name w:val="List Paragraph_daeebebf-f101-4889-831f-2692a0b491de"/>
    <w:basedOn w:val="a"/>
    <w:pPr>
      <w:ind w:left="720"/>
      <w:contextualSpacing/>
    </w:pPr>
  </w:style>
  <w:style w:type="character" w:customStyle="1" w:styleId="Char">
    <w:name w:val="نص في بالون Char"/>
    <w:basedOn w:val="a0"/>
    <w:link w:val="a3"/>
    <w:uiPriority w:val="99"/>
    <w:rPr>
      <w:rFonts w:ascii="Tahoma" w:eastAsia="Calibri" w:hAnsi="Tahoma" w:cs="Tahoma"/>
      <w:sz w:val="16"/>
      <w:szCs w:val="16"/>
    </w:rPr>
  </w:style>
  <w:style w:type="character" w:styleId="a5">
    <w:name w:val="Unresolved Mention"/>
    <w:basedOn w:val="a0"/>
    <w:uiPriority w:val="99"/>
    <w:semiHidden/>
    <w:unhideWhenUsed/>
    <w:rsid w:val="00625089"/>
    <w:rPr>
      <w:color w:val="605E5C"/>
      <w:shd w:val="clear" w:color="auto" w:fill="E1DFDD"/>
    </w:rPr>
  </w:style>
  <w:style w:type="paragraph" w:styleId="a6">
    <w:name w:val="List Paragraph"/>
    <w:basedOn w:val="a"/>
    <w:uiPriority w:val="34"/>
    <w:qFormat/>
    <w:rsid w:val="000A327A"/>
    <w:pPr>
      <w:ind w:left="720"/>
      <w:contextualSpacing/>
    </w:pPr>
  </w:style>
  <w:style w:type="paragraph" w:styleId="a7">
    <w:name w:val="header"/>
    <w:basedOn w:val="a"/>
    <w:link w:val="Char0"/>
    <w:uiPriority w:val="99"/>
    <w:unhideWhenUsed/>
    <w:rsid w:val="00B662F1"/>
    <w:pPr>
      <w:tabs>
        <w:tab w:val="center" w:pos="4680"/>
        <w:tab w:val="right" w:pos="9360"/>
      </w:tabs>
      <w:spacing w:after="0" w:line="240" w:lineRule="auto"/>
    </w:pPr>
  </w:style>
  <w:style w:type="character" w:customStyle="1" w:styleId="Char0">
    <w:name w:val="رأس الصفحة Char"/>
    <w:basedOn w:val="a0"/>
    <w:link w:val="a7"/>
    <w:uiPriority w:val="99"/>
    <w:rsid w:val="00B662F1"/>
    <w:rPr>
      <w:rFonts w:cs="Times New Roman"/>
      <w:sz w:val="22"/>
      <w:szCs w:val="22"/>
    </w:rPr>
  </w:style>
  <w:style w:type="paragraph" w:styleId="a8">
    <w:name w:val="footer"/>
    <w:basedOn w:val="a"/>
    <w:link w:val="Char1"/>
    <w:uiPriority w:val="99"/>
    <w:unhideWhenUsed/>
    <w:rsid w:val="00B662F1"/>
    <w:pPr>
      <w:tabs>
        <w:tab w:val="center" w:pos="4680"/>
        <w:tab w:val="right" w:pos="9360"/>
      </w:tabs>
      <w:spacing w:after="0" w:line="240" w:lineRule="auto"/>
    </w:pPr>
  </w:style>
  <w:style w:type="character" w:customStyle="1" w:styleId="Char1">
    <w:name w:val="تذييل الصفحة Char"/>
    <w:basedOn w:val="a0"/>
    <w:link w:val="a8"/>
    <w:uiPriority w:val="99"/>
    <w:rsid w:val="00B662F1"/>
    <w:rPr>
      <w:rFonts w:cs="Times New Roman"/>
      <w:sz w:val="22"/>
      <w:szCs w:val="22"/>
    </w:rPr>
  </w:style>
  <w:style w:type="character" w:styleId="a9">
    <w:name w:val="annotation reference"/>
    <w:basedOn w:val="a0"/>
    <w:uiPriority w:val="99"/>
    <w:semiHidden/>
    <w:unhideWhenUsed/>
    <w:rsid w:val="0063687E"/>
    <w:rPr>
      <w:sz w:val="16"/>
      <w:szCs w:val="16"/>
    </w:rPr>
  </w:style>
  <w:style w:type="paragraph" w:styleId="aa">
    <w:name w:val="annotation text"/>
    <w:basedOn w:val="a"/>
    <w:link w:val="Char2"/>
    <w:uiPriority w:val="99"/>
    <w:semiHidden/>
    <w:unhideWhenUsed/>
    <w:rsid w:val="0063687E"/>
    <w:pPr>
      <w:spacing w:line="240" w:lineRule="auto"/>
    </w:pPr>
    <w:rPr>
      <w:sz w:val="20"/>
      <w:szCs w:val="20"/>
    </w:rPr>
  </w:style>
  <w:style w:type="character" w:customStyle="1" w:styleId="Char2">
    <w:name w:val="نص تعليق Char"/>
    <w:basedOn w:val="a0"/>
    <w:link w:val="aa"/>
    <w:uiPriority w:val="99"/>
    <w:semiHidden/>
    <w:rsid w:val="0063687E"/>
    <w:rPr>
      <w:rFonts w:cs="Times New Roman"/>
    </w:rPr>
  </w:style>
  <w:style w:type="paragraph" w:styleId="ab">
    <w:name w:val="annotation subject"/>
    <w:basedOn w:val="aa"/>
    <w:next w:val="aa"/>
    <w:link w:val="Char3"/>
    <w:uiPriority w:val="99"/>
    <w:semiHidden/>
    <w:unhideWhenUsed/>
    <w:rsid w:val="0063687E"/>
    <w:rPr>
      <w:b/>
      <w:bCs/>
    </w:rPr>
  </w:style>
  <w:style w:type="character" w:customStyle="1" w:styleId="Char3">
    <w:name w:val="موضوع تعليق Char"/>
    <w:basedOn w:val="Char2"/>
    <w:link w:val="ab"/>
    <w:uiPriority w:val="99"/>
    <w:semiHidden/>
    <w:rsid w:val="0063687E"/>
    <w:rPr>
      <w:rFonts w:cs="Times New Roman"/>
      <w:b/>
      <w:bCs/>
    </w:rPr>
  </w:style>
  <w:style w:type="character" w:customStyle="1" w:styleId="3Char">
    <w:name w:val="عنوان 3 Char"/>
    <w:basedOn w:val="a0"/>
    <w:link w:val="3"/>
    <w:uiPriority w:val="9"/>
    <w:rsid w:val="002A36F0"/>
    <w:rPr>
      <w:rFonts w:ascii="Times New Roman" w:eastAsia="Times New Roman" w:hAnsi="Times New Roman" w:cs="Times New Roman"/>
      <w:b/>
      <w:bCs/>
      <w:sz w:val="27"/>
      <w:szCs w:val="27"/>
    </w:rPr>
  </w:style>
  <w:style w:type="character" w:customStyle="1" w:styleId="s6gkk">
    <w:name w:val="s6gkk"/>
    <w:basedOn w:val="a0"/>
    <w:rsid w:val="002A3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525002">
      <w:bodyDiv w:val="1"/>
      <w:marLeft w:val="0"/>
      <w:marRight w:val="0"/>
      <w:marTop w:val="0"/>
      <w:marBottom w:val="0"/>
      <w:divBdr>
        <w:top w:val="none" w:sz="0" w:space="0" w:color="auto"/>
        <w:left w:val="none" w:sz="0" w:space="0" w:color="auto"/>
        <w:bottom w:val="none" w:sz="0" w:space="0" w:color="auto"/>
        <w:right w:val="none" w:sz="0" w:space="0" w:color="auto"/>
      </w:divBdr>
    </w:div>
    <w:div w:id="1668946886">
      <w:bodyDiv w:val="1"/>
      <w:marLeft w:val="0"/>
      <w:marRight w:val="0"/>
      <w:marTop w:val="0"/>
      <w:marBottom w:val="0"/>
      <w:divBdr>
        <w:top w:val="none" w:sz="0" w:space="0" w:color="auto"/>
        <w:left w:val="none" w:sz="0" w:space="0" w:color="auto"/>
        <w:bottom w:val="none" w:sz="0" w:space="0" w:color="auto"/>
        <w:right w:val="none" w:sz="0" w:space="0" w:color="auto"/>
      </w:divBdr>
    </w:div>
    <w:div w:id="1753088244">
      <w:bodyDiv w:val="1"/>
      <w:marLeft w:val="0"/>
      <w:marRight w:val="0"/>
      <w:marTop w:val="0"/>
      <w:marBottom w:val="0"/>
      <w:divBdr>
        <w:top w:val="none" w:sz="0" w:space="0" w:color="auto"/>
        <w:left w:val="none" w:sz="0" w:space="0" w:color="auto"/>
        <w:bottom w:val="none" w:sz="0" w:space="0" w:color="auto"/>
        <w:right w:val="none" w:sz="0" w:space="0" w:color="auto"/>
      </w:divBdr>
    </w:div>
    <w:div w:id="2029285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techopen.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cholarsbulletin.com/" TargetMode="Externa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14</Pages>
  <Words>5684</Words>
  <Characters>32401</Characters>
  <Application>Microsoft Office Word</Application>
  <DocSecurity>0</DocSecurity>
  <Lines>270</Lines>
  <Paragraphs>76</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38009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Theodore Allison</dc:creator>
  <cp:lastModifiedBy>HP</cp:lastModifiedBy>
  <cp:revision>365</cp:revision>
  <dcterms:created xsi:type="dcterms:W3CDTF">2021-10-03T12:00:00Z</dcterms:created>
  <dcterms:modified xsi:type="dcterms:W3CDTF">2025-05-07T08:34:00Z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ede531ada71b42c78073f4620bc372f1</vt:lpwstr>
  </property>
  <property fmtid="{D5CDD505-2E9C-101B-9397-08002B2CF9AE}" pid="3" name="KSOProductBuildVer">
    <vt:lpwstr>3081-11.34.01</vt:lpwstr>
  </property>
</Properties>
</file>