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622A88" w:rsidP="00441B6F">
      <w:pPr>
        <w:pStyle w:val="Title"/>
        <w:spacing w:after="0"/>
        <w:jc w:val="both"/>
        <w:rPr>
          <w:rFonts w:ascii="Arial" w:hAnsi="Arial" w:cs="Arial"/>
        </w:rPr>
      </w:pPr>
      <w:r>
        <w:rPr>
          <w:rFonts w:ascii="Arial" w:hAnsi="Arial" w:cs="Arial"/>
        </w:rPr>
        <w:t xml:space="preserve"> </w:t>
      </w:r>
    </w:p>
    <w:p w:rsidR="00163BC4" w:rsidRPr="00163BC4" w:rsidRDefault="00FE1AC3" w:rsidP="00441B6F">
      <w:pPr>
        <w:pStyle w:val="Author"/>
        <w:spacing w:line="240" w:lineRule="auto"/>
        <w:rPr>
          <w:rFonts w:ascii="Arial" w:hAnsi="Arial" w:cs="Arial"/>
          <w:bCs/>
          <w:iCs/>
          <w:kern w:val="28"/>
          <w:sz w:val="36"/>
        </w:rPr>
      </w:pPr>
      <w:r w:rsidRPr="00FE1AC3">
        <w:rPr>
          <w:rFonts w:ascii="Arial" w:hAnsi="Arial" w:cs="Arial"/>
          <w:bCs/>
          <w:iCs/>
          <w:kern w:val="28"/>
          <w:sz w:val="36"/>
          <w:lang/>
        </w:rPr>
        <w:t>THE EFFECT OF POLYSTYRENE</w:t>
      </w:r>
      <w:r w:rsidR="00FC28D4">
        <w:rPr>
          <w:rFonts w:ascii="Arial" w:hAnsi="Arial" w:cs="Arial"/>
          <w:bCs/>
          <w:iCs/>
          <w:kern w:val="28"/>
          <w:sz w:val="36"/>
          <w:lang/>
        </w:rPr>
        <w:t xml:space="preserve"> (PS)</w:t>
      </w:r>
      <w:r w:rsidRPr="00FE1AC3">
        <w:rPr>
          <w:rFonts w:ascii="Arial" w:hAnsi="Arial" w:cs="Arial"/>
          <w:bCs/>
          <w:iCs/>
          <w:kern w:val="28"/>
          <w:sz w:val="36"/>
          <w:lang/>
        </w:rPr>
        <w:t xml:space="preserve"> MICROPLASTIC EXPOSURE WITH DIFFERENT DOSES ON THE GROWTH AND SURVIVAL OF ROTIFERA (</w:t>
      </w:r>
      <w:r w:rsidRPr="00FE1AC3">
        <w:rPr>
          <w:rFonts w:ascii="Arial" w:hAnsi="Arial" w:cs="Arial"/>
          <w:bCs/>
          <w:i/>
          <w:iCs/>
          <w:kern w:val="28"/>
          <w:sz w:val="36"/>
          <w:lang/>
        </w:rPr>
        <w:t>Brachionus</w:t>
      </w:r>
      <w:r w:rsidRPr="00FE1AC3">
        <w:rPr>
          <w:rFonts w:ascii="Arial" w:hAnsi="Arial" w:cs="Arial"/>
          <w:bCs/>
          <w:iCs/>
          <w:kern w:val="28"/>
          <w:sz w:val="36"/>
          <w:lang/>
        </w:rPr>
        <w:t>sp.)</w:t>
      </w:r>
    </w:p>
    <w:p w:rsidR="00A258C3" w:rsidRPr="00790ADA" w:rsidRDefault="00A258C3" w:rsidP="00441B6F">
      <w:pPr>
        <w:pStyle w:val="Author"/>
        <w:spacing w:line="240" w:lineRule="auto"/>
        <w:jc w:val="both"/>
        <w:rPr>
          <w:rFonts w:ascii="Arial" w:hAnsi="Arial" w:cs="Arial"/>
          <w:sz w:val="36"/>
        </w:rPr>
      </w:pPr>
    </w:p>
    <w:p w:rsidR="00A707D7" w:rsidRDefault="002E5D99" w:rsidP="00441B6F">
      <w:pPr>
        <w:pStyle w:val="Copyright"/>
        <w:spacing w:after="0" w:line="240" w:lineRule="auto"/>
        <w:jc w:val="both"/>
        <w:rPr>
          <w:rFonts w:ascii="Times New Roman" w:hAnsi="Times New Roman"/>
          <w:b/>
          <w:bCs/>
          <w:color w:val="FF0000"/>
          <w:sz w:val="18"/>
          <w:szCs w:val="22"/>
        </w:rPr>
      </w:pPr>
      <w:r w:rsidRPr="002E5D99">
        <w:rPr>
          <w:rFonts w:ascii="Times New Roman" w:hAnsi="Times New Roman"/>
          <w:b/>
          <w:bCs/>
          <w:color w:val="FF0000"/>
          <w:sz w:val="18"/>
          <w:szCs w:val="22"/>
          <w:highlight w:val="yellow"/>
        </w:rPr>
        <w:t>Grammatical should be lowercase of the title.</w:t>
      </w:r>
      <w:r w:rsidRPr="002E5D99">
        <w:rPr>
          <w:rFonts w:ascii="Times New Roman" w:hAnsi="Times New Roman"/>
          <w:b/>
          <w:bCs/>
          <w:color w:val="FF0000"/>
          <w:sz w:val="18"/>
          <w:szCs w:val="22"/>
        </w:rPr>
        <w:t xml:space="preserve"> </w:t>
      </w:r>
    </w:p>
    <w:p w:rsidR="002E5D99" w:rsidRPr="002E5D99" w:rsidRDefault="002E5D99" w:rsidP="00441B6F">
      <w:pPr>
        <w:pStyle w:val="Copyright"/>
        <w:spacing w:after="0" w:line="240" w:lineRule="auto"/>
        <w:jc w:val="both"/>
        <w:rPr>
          <w:rFonts w:ascii="Times New Roman" w:hAnsi="Times New Roman"/>
          <w:b/>
          <w:bCs/>
          <w:color w:val="FF0000"/>
          <w:sz w:val="18"/>
          <w:szCs w:val="22"/>
        </w:rPr>
      </w:pPr>
    </w:p>
    <w:p w:rsidR="00B01FCD" w:rsidRPr="00FB3A86" w:rsidRDefault="00884F5A" w:rsidP="00441B6F">
      <w:pPr>
        <w:pStyle w:val="Copyright"/>
        <w:spacing w:after="0" w:line="240" w:lineRule="auto"/>
        <w:jc w:val="both"/>
        <w:rPr>
          <w:rFonts w:ascii="Arial" w:hAnsi="Arial" w:cs="Arial"/>
        </w:rPr>
        <w:sectPr w:rsidR="00B01FCD" w:rsidRPr="00FB3A86" w:rsidSect="00A707D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2050"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2E5D99" w:rsidRPr="00B001E5" w:rsidRDefault="002E5D99" w:rsidP="00441B6F">
      <w:pPr>
        <w:pStyle w:val="AbstHead"/>
        <w:spacing w:after="0"/>
        <w:jc w:val="both"/>
        <w:rPr>
          <w:rFonts w:ascii="Times New Roman" w:hAnsi="Times New Roman"/>
          <w:color w:val="FF0000"/>
        </w:rPr>
      </w:pPr>
      <w:r>
        <w:rPr>
          <w:rFonts w:ascii="Arial" w:hAnsi="Arial" w:cs="Arial"/>
        </w:rPr>
        <w:t xml:space="preserve"> </w:t>
      </w:r>
      <w:r w:rsidR="00B001E5" w:rsidRPr="00B001E5">
        <w:rPr>
          <w:rFonts w:ascii="Times New Roman" w:hAnsi="Times New Roman"/>
          <w:caps w:val="0"/>
          <w:color w:val="FF0000"/>
          <w:highlight w:val="yellow"/>
        </w:rPr>
        <w:t>You’re abstract not verified the study please write the abstract.</w:t>
      </w:r>
    </w:p>
    <w:p w:rsidR="00790ADA" w:rsidRPr="00FB3A86" w:rsidRDefault="00B001E5" w:rsidP="00B001E5">
      <w:pPr>
        <w:pStyle w:val="AbstHead"/>
        <w:tabs>
          <w:tab w:val="left" w:pos="1505"/>
        </w:tabs>
        <w:spacing w:after="0"/>
        <w:jc w:val="both"/>
        <w:rPr>
          <w:rFonts w:ascii="Arial" w:hAnsi="Arial" w:cs="Arial"/>
        </w:rPr>
      </w:pPr>
      <w:r>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745EE" w:rsidRPr="007745EE">
              <w:rPr>
                <w:rFonts w:ascii="Arial" w:eastAsia="Calibri" w:hAnsi="Arial" w:cs="Arial"/>
                <w:szCs w:val="22"/>
                <w:lang/>
              </w:rPr>
              <w:t>The aim of this study was to analyze the effect of exposure to polystyrene (PS) microplastics on the growth and survival of Rotifera (</w:t>
            </w:r>
            <w:r w:rsidR="007745EE" w:rsidRPr="007745EE">
              <w:rPr>
                <w:rFonts w:ascii="Arial" w:eastAsia="Calibri" w:hAnsi="Arial" w:cs="Arial"/>
                <w:i/>
                <w:iCs/>
                <w:szCs w:val="22"/>
                <w:lang/>
              </w:rPr>
              <w:t>Brachionus</w:t>
            </w:r>
            <w:r w:rsidR="007745EE" w:rsidRPr="007745EE">
              <w:rPr>
                <w:rFonts w:ascii="Arial" w:eastAsia="Calibri" w:hAnsi="Arial" w:cs="Arial"/>
                <w:szCs w:val="22"/>
                <w:lang/>
              </w:rPr>
              <w:t>sp.)</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03047D" w:rsidRPr="0003047D">
              <w:rPr>
                <w:rFonts w:ascii="Arial" w:eastAsia="Calibri" w:hAnsi="Arial" w:cs="Arial"/>
                <w:szCs w:val="22"/>
              </w:rPr>
              <w:t>Quantitative Experimental</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7D140D" w:rsidRPr="007D140D">
              <w:rPr>
                <w:rFonts w:ascii="Arial" w:eastAsia="Calibri" w:hAnsi="Arial" w:cs="Arial"/>
                <w:szCs w:val="22"/>
                <w:lang/>
              </w:rPr>
              <w:t>This research lasted for 20 days of Rotifera (</w:t>
            </w:r>
            <w:r w:rsidR="007D140D" w:rsidRPr="007D140D">
              <w:rPr>
                <w:rFonts w:ascii="Arial" w:eastAsia="Calibri" w:hAnsi="Arial" w:cs="Arial"/>
                <w:i/>
                <w:iCs/>
                <w:szCs w:val="22"/>
                <w:lang/>
              </w:rPr>
              <w:t>Brachionus</w:t>
            </w:r>
            <w:r w:rsidR="007D140D" w:rsidRPr="007D140D">
              <w:rPr>
                <w:rFonts w:ascii="Arial" w:eastAsia="Calibri" w:hAnsi="Arial" w:cs="Arial"/>
                <w:szCs w:val="22"/>
                <w:lang/>
              </w:rPr>
              <w:t xml:space="preserve">sp.) maintenance, which started on January 3-23, 2025, which took place at the Fish Production and Reproduction Laboratory, </w:t>
            </w:r>
            <w:bookmarkStart w:id="0" w:name="_Hlk197720580"/>
            <w:r w:rsidR="007D140D" w:rsidRPr="007D140D">
              <w:rPr>
                <w:rFonts w:ascii="Arial" w:eastAsia="Calibri" w:hAnsi="Arial" w:cs="Arial"/>
                <w:szCs w:val="22"/>
                <w:lang/>
              </w:rPr>
              <w:t>Aquaculture Study Program, Department of Fisheries and Marine Sciences</w:t>
            </w:r>
            <w:bookmarkEnd w:id="0"/>
            <w:r w:rsidR="007D140D" w:rsidRPr="007D140D">
              <w:rPr>
                <w:rFonts w:ascii="Arial" w:eastAsia="Calibri" w:hAnsi="Arial" w:cs="Arial"/>
                <w:szCs w:val="22"/>
                <w:lang/>
              </w:rPr>
              <w:t>, Faculty of Agriculture, University of Mataram</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BF5AC5" w:rsidRPr="00BF5AC5">
              <w:rPr>
                <w:rFonts w:ascii="Arial" w:eastAsia="Calibri" w:hAnsi="Arial" w:cs="Arial"/>
                <w:szCs w:val="22"/>
              </w:rPr>
              <w:t>This study used a completely randomized design (CRD) consisting of 4 treatments and 3 replications, so that 12 experimental units were obtained. The doses of microplastics used in this study were P1 (0 mg/L), P2 (0.5 mg/L), P3 (1 mg/L) and P4 (1.5 mg/L). While rotifers with an initial density of 10-15 ind/ml. This study was conducted for 20 days.</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054161" w:rsidRPr="00054161">
              <w:rPr>
                <w:rFonts w:ascii="Arial" w:eastAsia="Calibri" w:hAnsi="Arial" w:cs="Arial"/>
                <w:szCs w:val="22"/>
              </w:rPr>
              <w:t xml:space="preserve">The results showed that exposure to polystyrene microplastics with different concentrations </w:t>
            </w:r>
            <w:r w:rsidR="00D47D09">
              <w:rPr>
                <w:rFonts w:ascii="Arial" w:eastAsia="Calibri" w:hAnsi="Arial" w:cs="Arial"/>
                <w:szCs w:val="22"/>
              </w:rPr>
              <w:t xml:space="preserve">had an effect on </w:t>
            </w:r>
            <w:r w:rsidR="00054161" w:rsidRPr="00054161">
              <w:rPr>
                <w:rFonts w:ascii="Arial" w:eastAsia="Calibri" w:hAnsi="Arial" w:cs="Arial"/>
                <w:szCs w:val="22"/>
              </w:rPr>
              <w:t>the density of rotifer populations, but had no significant effect on the growth rate of body length. The higher the concentration of microplastics given, the faster the decrease in rotifer population density occurred after reaching the stationary phase. This shows that microplastics can gradually disrupt the survival of rotifers, especially in the final phase of their life cycle.</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F57CC2" w:rsidRPr="00F57CC2">
              <w:rPr>
                <w:rFonts w:ascii="Arial" w:eastAsia="Calibri" w:hAnsi="Arial" w:cs="Arial"/>
                <w:szCs w:val="22"/>
              </w:rPr>
              <w:t>Based on the results of the study, it can be concluded that the higher the concentration of microplastics and the longer the exposure time can inhibit the growth of rotifers. As evidenced by a significant decrease in population density and the growth rate of rotifer length. While the abundance of microplastics in rotifers actually increases along with increasing concentration, this is caused by particles that are swallowed and accumulated into the body of the rotifer. There is no significant difference in the specific growth rate (SGR) and water quality during rotifer maintenance activities.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D37F55">
        <w:rPr>
          <w:rFonts w:ascii="Arial" w:hAnsi="Arial" w:cs="Arial"/>
          <w:i/>
        </w:rPr>
        <w:t>Microplastic</w:t>
      </w:r>
      <w:r w:rsidR="007C6E1C">
        <w:rPr>
          <w:rFonts w:ascii="Arial" w:hAnsi="Arial" w:cs="Arial"/>
          <w:i/>
        </w:rPr>
        <w:t>, Polystyren</w:t>
      </w:r>
      <w:r w:rsidR="004F4C64">
        <w:rPr>
          <w:rFonts w:ascii="Arial" w:hAnsi="Arial" w:cs="Arial"/>
          <w:i/>
        </w:rPr>
        <w:t>e, Rotifera</w:t>
      </w:r>
      <w:r w:rsidR="00EA69DB">
        <w:rPr>
          <w:rFonts w:ascii="Arial" w:hAnsi="Arial" w:cs="Arial"/>
          <w:i/>
        </w:rPr>
        <w:t>, Brachionus sp.</w:t>
      </w:r>
    </w:p>
    <w:p w:rsidR="00790ADA" w:rsidRPr="00622A88" w:rsidRDefault="00622A88" w:rsidP="00441B6F">
      <w:pPr>
        <w:pStyle w:val="Body"/>
        <w:spacing w:after="0"/>
        <w:rPr>
          <w:rFonts w:ascii="Arial" w:hAnsi="Arial" w:cs="Arial"/>
          <w:i/>
          <w:color w:val="FF0000"/>
        </w:rPr>
      </w:pPr>
      <w:r w:rsidRPr="00622A88">
        <w:rPr>
          <w:rFonts w:ascii="Arial" w:hAnsi="Arial" w:cs="Arial"/>
          <w:i/>
          <w:color w:val="FF0000"/>
          <w:highlight w:val="yellow"/>
        </w:rPr>
        <w:t>Write the keywords in a to z order.</w:t>
      </w:r>
    </w:p>
    <w:p w:rsidR="00505F06" w:rsidRPr="00A24E7E" w:rsidRDefault="00505F06" w:rsidP="00441B6F">
      <w:pPr>
        <w:pStyle w:val="Body"/>
        <w:spacing w:after="0"/>
        <w:rPr>
          <w:rFonts w:ascii="Arial" w:hAnsi="Arial" w:cs="Arial"/>
          <w:i/>
        </w:rPr>
      </w:pPr>
    </w:p>
    <w:p w:rsidR="007F7B32" w:rsidRDefault="00902823" w:rsidP="00853975">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CC5701" w:rsidRDefault="00CC5701" w:rsidP="00853975">
      <w:pPr>
        <w:pStyle w:val="Body"/>
        <w:spacing w:after="0"/>
        <w:rPr>
          <w:rFonts w:ascii="Arial" w:hAnsi="Arial" w:cs="Arial"/>
        </w:rPr>
      </w:pPr>
      <w:r w:rsidRPr="00CC5701">
        <w:rPr>
          <w:rFonts w:ascii="Arial" w:hAnsi="Arial" w:cs="Arial"/>
        </w:rPr>
        <w:t>Microplastics are defined as plastic particles that have a diameter of &lt;5 mm. The small size of microplastics makes it easy for biota to digest them, either directly or indirectly. Microplastics have the potential to absorb persistent organic compounds in the environment, and are toxic if Microplastics are ingested by biota. In addition, Microplastics have the potential to cause internal bleeding and blockage of the digestive tract.</w:t>
      </w:r>
    </w:p>
    <w:p w:rsidR="00853975" w:rsidRDefault="00853975" w:rsidP="00853975">
      <w:pPr>
        <w:pStyle w:val="Body"/>
        <w:spacing w:after="0"/>
        <w:rPr>
          <w:rFonts w:ascii="Arial" w:hAnsi="Arial" w:cs="Arial"/>
        </w:rPr>
      </w:pPr>
    </w:p>
    <w:p w:rsidR="00537E5E" w:rsidRDefault="00537E5E" w:rsidP="00441B6F">
      <w:pPr>
        <w:pStyle w:val="Body"/>
        <w:spacing w:after="0"/>
        <w:rPr>
          <w:rFonts w:ascii="Arial" w:hAnsi="Arial" w:cs="Arial"/>
        </w:rPr>
      </w:pPr>
      <w:r w:rsidRPr="00537E5E">
        <w:rPr>
          <w:rFonts w:ascii="Arial" w:hAnsi="Arial" w:cs="Arial"/>
        </w:rPr>
        <w:t>Microplastics that enter water areas through household wastewater generally include polyvinyl chloride (PVC), polystyrene (PS), polypropylene (PP) and polyethylene terephthalate (PET). The most common plastics found in the environment, especially in aquatic environments. Polystyrene (PS) is a plastic that has a melting point of 95°C. When exposed to heat, PS can release styrene which can interfere with the nervous system and brain, and can have an impact on genetics, lungs, liver and immunity. PS is difficult to recycle so it requires a very long and long recycling process. The small size of microplastics and tends to float in the water column makes it easy to enter and accumulate in marine organisms so that in the end it can be consumed by animals and other marine biota and then enter the food chain. One example of an organism that can eat microplastics is zooplankton. The type of zooplankton that is very important and to this day its role has not been replaced is rotifers.</w:t>
      </w:r>
    </w:p>
    <w:p w:rsidR="00853975" w:rsidRDefault="00853975" w:rsidP="00441B6F">
      <w:pPr>
        <w:pStyle w:val="Body"/>
        <w:spacing w:after="0"/>
        <w:rPr>
          <w:rFonts w:ascii="Arial" w:hAnsi="Arial" w:cs="Arial"/>
        </w:rPr>
      </w:pPr>
    </w:p>
    <w:p w:rsidR="00EC1FF3" w:rsidRDefault="005542F4" w:rsidP="00EC1FF3">
      <w:pPr>
        <w:pStyle w:val="Body"/>
        <w:spacing w:after="0"/>
        <w:rPr>
          <w:rFonts w:ascii="Arial" w:hAnsi="Arial" w:cs="Arial"/>
        </w:rPr>
      </w:pPr>
      <w:r w:rsidRPr="005542F4">
        <w:rPr>
          <w:rFonts w:ascii="Arial" w:hAnsi="Arial" w:cs="Arial"/>
          <w:i/>
          <w:iCs/>
        </w:rPr>
        <w:t>Brachionus</w:t>
      </w:r>
      <w:r w:rsidRPr="005542F4">
        <w:rPr>
          <w:rFonts w:ascii="Arial" w:hAnsi="Arial" w:cs="Arial"/>
        </w:rPr>
        <w:t xml:space="preserve"> sp. is widely used as natural feed for fish larvae in mass cultivation. The quality of </w:t>
      </w:r>
      <w:r w:rsidRPr="005542F4">
        <w:rPr>
          <w:rFonts w:ascii="Arial" w:hAnsi="Arial" w:cs="Arial"/>
          <w:i/>
          <w:iCs/>
        </w:rPr>
        <w:t>Brachionus</w:t>
      </w:r>
      <w:r w:rsidRPr="005542F4">
        <w:rPr>
          <w:rFonts w:ascii="Arial" w:hAnsi="Arial" w:cs="Arial"/>
        </w:rPr>
        <w:t xml:space="preserve"> sp. as natural feed </w:t>
      </w:r>
      <w:r w:rsidR="00A119E2">
        <w:rPr>
          <w:rFonts w:ascii="Arial" w:hAnsi="Arial" w:cs="Arial"/>
        </w:rPr>
        <w:t xml:space="preserve">has the ability to </w:t>
      </w:r>
      <w:r w:rsidRPr="005542F4">
        <w:rPr>
          <w:rFonts w:ascii="Arial" w:hAnsi="Arial" w:cs="Arial"/>
        </w:rPr>
        <w:t xml:space="preserve">grow and reproduce at high densities and is also able to produce stable bioactive compounds. In general, zooplankton can eat microplastics that have a diameter of 1.4-30.6 μm with varying capacities depending on the </w:t>
      </w:r>
    </w:p>
    <w:p w:rsidR="00EC1FF3" w:rsidRDefault="005542F4" w:rsidP="00EC1FF3">
      <w:pPr>
        <w:pStyle w:val="Body"/>
        <w:spacing w:after="0"/>
        <w:rPr>
          <w:rFonts w:ascii="Arial" w:hAnsi="Arial" w:cs="Arial"/>
        </w:rPr>
      </w:pPr>
      <w:r w:rsidRPr="005542F4">
        <w:rPr>
          <w:rFonts w:ascii="Arial" w:hAnsi="Arial" w:cs="Arial"/>
        </w:rPr>
        <w:t>species and size of the microplastic.</w:t>
      </w:r>
    </w:p>
    <w:p w:rsidR="00853975" w:rsidRDefault="00853975" w:rsidP="00EC1FF3">
      <w:pPr>
        <w:pStyle w:val="Body"/>
        <w:spacing w:after="0"/>
        <w:rPr>
          <w:rFonts w:ascii="Arial" w:hAnsi="Arial" w:cs="Arial"/>
        </w:rPr>
      </w:pPr>
    </w:p>
    <w:p w:rsidR="001003B9" w:rsidRDefault="00A119E2" w:rsidP="00EC1FF3">
      <w:pPr>
        <w:pStyle w:val="Body"/>
        <w:spacing w:after="0"/>
        <w:rPr>
          <w:rFonts w:ascii="Arial" w:hAnsi="Arial" w:cs="Arial"/>
        </w:rPr>
      </w:pPr>
      <w:r w:rsidRPr="00A119E2">
        <w:rPr>
          <w:rFonts w:ascii="Arial" w:hAnsi="Arial" w:cs="Arial"/>
        </w:rPr>
        <w:t>Microplastics eaten by zooplankton cause a decrease in their eating speed. This is because the microplastics that enter will interfere with the digestive system so that the biota will feel falsely full. Other impacts that arise are reducing growth rates, inhibiting enzyme production, reducing steroid hormone levels, affecting reproduction, and can cause greater exposure to toxic plastic additives.</w:t>
      </w:r>
    </w:p>
    <w:p w:rsidR="00EC1FF3" w:rsidRDefault="00EC1FF3" w:rsidP="00EC1FF3">
      <w:pPr>
        <w:pStyle w:val="Body"/>
        <w:spacing w:after="0"/>
        <w:rPr>
          <w:rFonts w:ascii="Arial" w:hAnsi="Arial" w:cs="Arial"/>
        </w:rPr>
      </w:pPr>
    </w:p>
    <w:p w:rsidR="00CC5701" w:rsidRDefault="00EB49AA" w:rsidP="001003B9">
      <w:pPr>
        <w:pStyle w:val="Body"/>
        <w:spacing w:after="0"/>
        <w:rPr>
          <w:rFonts w:ascii="Arial" w:hAnsi="Arial" w:cs="Arial"/>
        </w:rPr>
      </w:pPr>
      <w:r w:rsidRPr="00EB49AA">
        <w:rPr>
          <w:rFonts w:ascii="Arial" w:hAnsi="Arial" w:cs="Arial"/>
        </w:rPr>
        <w:t>Based on the description above, the author conducted a study using different treatments on different doses of Polystyrene (PS) microplastic types in rotifer (</w:t>
      </w:r>
      <w:r w:rsidRPr="00E86E61">
        <w:rPr>
          <w:rFonts w:ascii="Arial" w:hAnsi="Arial" w:cs="Arial"/>
          <w:i/>
          <w:iCs/>
        </w:rPr>
        <w:t>Brachionus</w:t>
      </w:r>
      <w:r w:rsidRPr="00EB49AA">
        <w:rPr>
          <w:rFonts w:ascii="Arial" w:hAnsi="Arial" w:cs="Arial"/>
        </w:rPr>
        <w:t xml:space="preserve"> sp.) cultures. This study was conducted to determine the effect of exposure to Polystyrene (PS) microplastics with different doses on the growth and survival of rotifers.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790ADA" w:rsidRPr="00FB3A86" w:rsidRDefault="00790ADA" w:rsidP="00441B6F">
      <w:pPr>
        <w:pStyle w:val="AbstHead"/>
        <w:spacing w:after="0"/>
        <w:jc w:val="both"/>
        <w:rPr>
          <w:rFonts w:ascii="Arial" w:hAnsi="Arial" w:cs="Arial"/>
        </w:rPr>
      </w:pPr>
    </w:p>
    <w:p w:rsidR="004B1C52" w:rsidRDefault="001C3DA4" w:rsidP="001003B9">
      <w:pPr>
        <w:pStyle w:val="Body"/>
        <w:spacing w:after="0"/>
        <w:jc w:val="left"/>
        <w:rPr>
          <w:rFonts w:ascii="Arial" w:hAnsi="Arial" w:cs="Arial"/>
          <w:b/>
          <w:bCs/>
          <w:sz w:val="22"/>
          <w:szCs w:val="22"/>
        </w:rPr>
      </w:pPr>
      <w:r w:rsidRPr="006C1179">
        <w:rPr>
          <w:rFonts w:ascii="Arial" w:hAnsi="Arial" w:cs="Arial"/>
          <w:b/>
          <w:bCs/>
          <w:sz w:val="22"/>
          <w:szCs w:val="22"/>
        </w:rPr>
        <w:t xml:space="preserve">2.1 </w:t>
      </w:r>
      <w:r w:rsidR="00307F1B" w:rsidRPr="006C1179">
        <w:rPr>
          <w:rFonts w:ascii="Arial" w:hAnsi="Arial" w:cs="Arial"/>
          <w:b/>
          <w:bCs/>
          <w:sz w:val="22"/>
          <w:szCs w:val="22"/>
        </w:rPr>
        <w:t>Re</w:t>
      </w:r>
      <w:r w:rsidR="007A3D3F" w:rsidRPr="006C1179">
        <w:rPr>
          <w:rFonts w:ascii="Arial" w:hAnsi="Arial" w:cs="Arial"/>
          <w:b/>
          <w:bCs/>
          <w:sz w:val="22"/>
          <w:szCs w:val="22"/>
        </w:rPr>
        <w:t xml:space="preserve">search </w:t>
      </w:r>
      <w:r w:rsidR="00171CCD" w:rsidRPr="006C1179">
        <w:rPr>
          <w:rFonts w:ascii="Arial" w:hAnsi="Arial" w:cs="Arial"/>
          <w:b/>
          <w:bCs/>
          <w:sz w:val="22"/>
          <w:szCs w:val="22"/>
        </w:rPr>
        <w:t>Procedure</w:t>
      </w:r>
    </w:p>
    <w:p w:rsidR="001003B9" w:rsidRPr="006C1179" w:rsidRDefault="001003B9" w:rsidP="001003B9">
      <w:pPr>
        <w:pStyle w:val="Body"/>
        <w:spacing w:after="0"/>
        <w:jc w:val="left"/>
        <w:rPr>
          <w:rFonts w:ascii="Arial" w:hAnsi="Arial" w:cs="Arial"/>
          <w:b/>
          <w:bCs/>
          <w:sz w:val="22"/>
          <w:szCs w:val="22"/>
        </w:rPr>
      </w:pPr>
    </w:p>
    <w:p w:rsidR="007A3D3F" w:rsidRDefault="00373151" w:rsidP="001003B9">
      <w:pPr>
        <w:pStyle w:val="Body"/>
        <w:spacing w:after="0"/>
        <w:rPr>
          <w:rFonts w:ascii="Arial" w:hAnsi="Arial" w:cs="Arial"/>
        </w:rPr>
      </w:pPr>
      <w:r w:rsidRPr="00373151">
        <w:rPr>
          <w:rFonts w:ascii="Arial" w:hAnsi="Arial" w:cs="Arial"/>
        </w:rPr>
        <w:t>The main materials used in this study include test organisms, namely rotifers (</w:t>
      </w:r>
      <w:r w:rsidRPr="00373151">
        <w:rPr>
          <w:rFonts w:ascii="Arial" w:hAnsi="Arial" w:cs="Arial"/>
          <w:i/>
          <w:iCs/>
        </w:rPr>
        <w:t>Brachionus</w:t>
      </w:r>
      <w:r w:rsidRPr="00373151">
        <w:rPr>
          <w:rFonts w:ascii="Arial" w:hAnsi="Arial" w:cs="Arial"/>
        </w:rPr>
        <w:t xml:space="preserve"> sp.) which are cultured using a container in the form of a jar with a size of 5 L as many as 12 pieces. Rotifer maintenance lasts for 20 days with an initial density of 10-15 ind / ml. Rotifers are fed </w:t>
      </w:r>
      <w:r w:rsidRPr="00373151">
        <w:rPr>
          <w:rFonts w:ascii="Arial" w:hAnsi="Arial" w:cs="Arial"/>
          <w:i/>
          <w:iCs/>
        </w:rPr>
        <w:t>Nannochloropsis</w:t>
      </w:r>
      <w:r w:rsidRPr="00373151">
        <w:rPr>
          <w:rFonts w:ascii="Arial" w:hAnsi="Arial" w:cs="Arial"/>
        </w:rPr>
        <w:t xml:space="preserve"> sp. with a density of 1-2 million cells / ml which are cultured separately and given every day to maintain nutritional stability during observation. The microplastics used are polystyrene with concentrations of P1 (0 mg / l), P2 (0.5 mg / l), P3 (1 mg / l) and P4 (1.5 mg / l), exposure is carried out on the 7th day</w:t>
      </w:r>
      <w:r w:rsidR="005569D2" w:rsidRPr="005569D2">
        <w:rPr>
          <w:rFonts w:ascii="Arial" w:hAnsi="Arial" w:cs="Arial"/>
        </w:rPr>
        <w:t>.</w:t>
      </w:r>
    </w:p>
    <w:p w:rsidR="001003B9" w:rsidRDefault="001003B9" w:rsidP="001003B9">
      <w:pPr>
        <w:pStyle w:val="Body"/>
        <w:spacing w:after="0"/>
        <w:rPr>
          <w:rFonts w:ascii="Arial" w:hAnsi="Arial" w:cs="Arial"/>
        </w:rPr>
      </w:pPr>
    </w:p>
    <w:p w:rsidR="00361F41" w:rsidRDefault="00361F41" w:rsidP="001003B9">
      <w:pPr>
        <w:pStyle w:val="Body"/>
        <w:spacing w:after="0"/>
        <w:jc w:val="left"/>
        <w:rPr>
          <w:rFonts w:ascii="Arial" w:hAnsi="Arial" w:cs="Arial"/>
          <w:b/>
          <w:bCs/>
          <w:sz w:val="22"/>
          <w:szCs w:val="22"/>
        </w:rPr>
      </w:pPr>
      <w:r w:rsidRPr="00065CAC">
        <w:rPr>
          <w:rFonts w:ascii="Arial" w:hAnsi="Arial" w:cs="Arial"/>
          <w:b/>
          <w:bCs/>
          <w:sz w:val="22"/>
          <w:szCs w:val="22"/>
        </w:rPr>
        <w:t xml:space="preserve">2.2 </w:t>
      </w:r>
      <w:r w:rsidR="00405F5A" w:rsidRPr="00065CAC">
        <w:rPr>
          <w:rFonts w:ascii="Arial" w:hAnsi="Arial" w:cs="Arial"/>
          <w:b/>
          <w:bCs/>
          <w:sz w:val="22"/>
          <w:szCs w:val="22"/>
        </w:rPr>
        <w:t>Research Methods</w:t>
      </w:r>
    </w:p>
    <w:p w:rsidR="001003B9" w:rsidRPr="00065CAC" w:rsidRDefault="001003B9" w:rsidP="001003B9">
      <w:pPr>
        <w:pStyle w:val="Body"/>
        <w:spacing w:after="0"/>
        <w:jc w:val="left"/>
        <w:rPr>
          <w:rFonts w:ascii="Arial" w:hAnsi="Arial" w:cs="Arial"/>
          <w:b/>
          <w:bCs/>
          <w:sz w:val="22"/>
          <w:szCs w:val="22"/>
        </w:rPr>
      </w:pPr>
    </w:p>
    <w:p w:rsidR="005569D2" w:rsidRDefault="001E1B80" w:rsidP="001003B9">
      <w:pPr>
        <w:pStyle w:val="Body"/>
        <w:spacing w:after="0"/>
        <w:rPr>
          <w:rFonts w:ascii="Arial" w:hAnsi="Arial" w:cs="Arial"/>
        </w:rPr>
      </w:pPr>
      <w:r w:rsidRPr="001E1B80">
        <w:rPr>
          <w:rFonts w:ascii="Arial" w:hAnsi="Arial" w:cs="Arial"/>
        </w:rPr>
        <w:t>This study lasted for 20 days of Rotifera (</w:t>
      </w:r>
      <w:r w:rsidRPr="001E1B80">
        <w:rPr>
          <w:rFonts w:ascii="Arial" w:hAnsi="Arial" w:cs="Arial"/>
          <w:i/>
          <w:iCs/>
        </w:rPr>
        <w:t>Brachionus</w:t>
      </w:r>
      <w:r w:rsidRPr="001E1B80">
        <w:rPr>
          <w:rFonts w:ascii="Arial" w:hAnsi="Arial" w:cs="Arial"/>
        </w:rPr>
        <w:t xml:space="preserve"> sp.) maintenance, which started on January 3-23, 2025 which took place at the Fish Production and Reproduction Laboratory, Aquaculture Study Program, Department of Fisheries and Marine Sciences, Faculty of Agriculture, University of Mataram. This study used a completely randomized design (CRD) consisting of 4 treatments and 3 replications, so that 12 experimental units were obtained. The parameters observed were rotifer density, relative growth rate, identification of microplastic abundance in rotifers, and absolute length growth. The data obtained from the research results were then tested using Analysis of variance (ANOVA) at a 95% confidence </w:t>
      </w:r>
      <w:r w:rsidRPr="001E1B80">
        <w:rPr>
          <w:rFonts w:ascii="Arial" w:hAnsi="Arial" w:cs="Arial"/>
        </w:rPr>
        <w:lastRenderedPageBreak/>
        <w:t>level using the SPSS 16 program. This Analysis of variance test aims to determine the effect of each treatment given. If the final results are significantly different, then further testing will be carried out with the Duncan test. Meanwhile, water quality data is presented in table form and explained descriptively.</w:t>
      </w:r>
    </w:p>
    <w:p w:rsidR="001003B9" w:rsidRDefault="001003B9" w:rsidP="001003B9">
      <w:pPr>
        <w:pStyle w:val="Body"/>
        <w:spacing w:after="0"/>
        <w:rPr>
          <w:rFonts w:ascii="Arial" w:hAnsi="Arial" w:cs="Arial"/>
        </w:rPr>
      </w:pPr>
    </w:p>
    <w:p w:rsidR="001B2E0F" w:rsidRDefault="00C17340" w:rsidP="001003B9">
      <w:pPr>
        <w:pStyle w:val="Body"/>
        <w:spacing w:after="0"/>
        <w:jc w:val="left"/>
        <w:rPr>
          <w:rFonts w:ascii="Arial" w:hAnsi="Arial" w:cs="Arial"/>
          <w:b/>
          <w:bCs/>
          <w:u w:val="single"/>
        </w:rPr>
      </w:pPr>
      <w:r w:rsidRPr="00DC5F0C">
        <w:rPr>
          <w:rFonts w:ascii="Arial" w:hAnsi="Arial" w:cs="Arial"/>
          <w:b/>
          <w:bCs/>
          <w:u w:val="single"/>
        </w:rPr>
        <w:t>2.2.1</w:t>
      </w:r>
      <w:r w:rsidR="001B2E0F" w:rsidRPr="00DC5F0C">
        <w:rPr>
          <w:rFonts w:ascii="Arial" w:hAnsi="Arial" w:cs="Arial"/>
          <w:b/>
          <w:bCs/>
          <w:u w:val="single"/>
        </w:rPr>
        <w:t>Rotifera density</w:t>
      </w:r>
    </w:p>
    <w:p w:rsidR="001003B9" w:rsidRPr="00DC5F0C" w:rsidRDefault="001003B9" w:rsidP="001003B9">
      <w:pPr>
        <w:pStyle w:val="Body"/>
        <w:spacing w:after="0"/>
        <w:jc w:val="left"/>
        <w:rPr>
          <w:rFonts w:ascii="Arial" w:hAnsi="Arial" w:cs="Arial"/>
          <w:b/>
          <w:bCs/>
          <w:u w:val="single"/>
        </w:rPr>
      </w:pPr>
    </w:p>
    <w:p w:rsidR="00C17340" w:rsidRDefault="001B2E0F" w:rsidP="00617489">
      <w:pPr>
        <w:pStyle w:val="Body"/>
        <w:spacing w:after="0"/>
        <w:rPr>
          <w:rFonts w:ascii="Arial" w:hAnsi="Arial" w:cs="Arial"/>
        </w:rPr>
      </w:pPr>
      <w:r w:rsidRPr="001B2E0F">
        <w:rPr>
          <w:rFonts w:ascii="Arial" w:hAnsi="Arial" w:cs="Arial"/>
        </w:rPr>
        <w:t>The location configuration of the rotifera population was carried out using a sedgewick rafter under a microscope using the formula according to Padang et al, (2017), namely:</w:t>
      </w:r>
    </w:p>
    <w:p w:rsidR="00617489" w:rsidRDefault="00617489" w:rsidP="00CF793C">
      <w:pPr>
        <w:pStyle w:val="Body"/>
        <w:spacing w:after="0"/>
        <w:jc w:val="center"/>
        <w:rPr>
          <w:rFonts w:ascii="Arial" w:hAnsi="Arial" w:cs="Arial"/>
          <w:lang w:val="id-ID"/>
        </w:rPr>
      </w:pPr>
      <w:r w:rsidRPr="00617489">
        <w:rPr>
          <w:rFonts w:ascii="Arial" w:hAnsi="Arial" w:cs="Arial"/>
          <w:lang w:val="id-ID"/>
        </w:rPr>
        <w:t xml:space="preserve">N = </w:t>
      </w:r>
      <m:oMath>
        <m:f>
          <m:fPr>
            <m:ctrlPr>
              <w:rPr>
                <w:rFonts w:ascii="Cambria Math" w:hAnsi="Cambria Math" w:cs="Arial"/>
                <w:i/>
                <w:lang w:val="id-ID"/>
              </w:rPr>
            </m:ctrlPr>
          </m:fPr>
          <m:num>
            <m:r>
              <w:rPr>
                <w:rFonts w:ascii="Cambria Math" w:hAnsi="Cambria Math" w:cs="Arial"/>
                <w:lang w:val="id-ID"/>
              </w:rPr>
              <m:t>n</m:t>
            </m:r>
          </m:num>
          <m:den>
            <m:r>
              <w:rPr>
                <w:rFonts w:ascii="Cambria Math" w:hAnsi="Cambria Math" w:cs="Arial"/>
                <w:lang w:val="id-ID"/>
              </w:rPr>
              <m:t>Jb</m:t>
            </m:r>
          </m:den>
        </m:f>
        <m:r>
          <w:rPr>
            <w:rFonts w:ascii="Cambria Math" w:hAnsi="Cambria Math" w:cs="Arial"/>
            <w:lang w:val="id-ID"/>
          </w:rPr>
          <m:t xml:space="preserve"> x </m:t>
        </m:r>
        <m:f>
          <m:fPr>
            <m:ctrlPr>
              <w:rPr>
                <w:rFonts w:ascii="Cambria Math" w:hAnsi="Cambria Math" w:cs="Arial"/>
                <w:i/>
                <w:lang w:val="id-ID"/>
              </w:rPr>
            </m:ctrlPr>
          </m:fPr>
          <m:num>
            <m:r>
              <w:rPr>
                <w:rFonts w:ascii="Cambria Math" w:hAnsi="Cambria Math" w:cs="Arial"/>
                <w:lang w:val="id-ID"/>
              </w:rPr>
              <m:t>Ja</m:t>
            </m:r>
          </m:num>
          <m:den>
            <m:r>
              <w:rPr>
                <w:rFonts w:ascii="Cambria Math" w:hAnsi="Cambria Math" w:cs="Arial"/>
                <w:lang w:val="id-ID"/>
              </w:rPr>
              <m:t>Vs</m:t>
            </m:r>
          </m:den>
        </m:f>
      </m:oMath>
    </w:p>
    <w:p w:rsidR="00617489" w:rsidRPr="00617489" w:rsidRDefault="00617489" w:rsidP="00617489">
      <w:pPr>
        <w:pStyle w:val="Body"/>
        <w:spacing w:after="0"/>
        <w:rPr>
          <w:rFonts w:ascii="Arial" w:hAnsi="Arial" w:cs="Arial"/>
          <w:lang w:val="id-ID"/>
        </w:rPr>
      </w:pPr>
      <w:r w:rsidRPr="00617489">
        <w:rPr>
          <w:rFonts w:ascii="Arial" w:hAnsi="Arial" w:cs="Arial"/>
          <w:lang w:val="id-ID"/>
        </w:rPr>
        <w:t>Description:</w:t>
      </w:r>
    </w:p>
    <w:p w:rsidR="00617489" w:rsidRPr="00617489" w:rsidRDefault="00617489" w:rsidP="00617489">
      <w:pPr>
        <w:pStyle w:val="Body"/>
        <w:spacing w:after="0"/>
        <w:rPr>
          <w:rFonts w:ascii="Arial" w:hAnsi="Arial" w:cs="Arial"/>
          <w:lang w:val="id-ID"/>
        </w:rPr>
      </w:pPr>
      <w:r w:rsidRPr="00617489">
        <w:rPr>
          <w:rFonts w:ascii="Arial" w:hAnsi="Arial" w:cs="Arial"/>
          <w:lang w:val="id-ID"/>
        </w:rPr>
        <w:t>N : Total density of rotifers (ind/ml)</w:t>
      </w:r>
    </w:p>
    <w:p w:rsidR="00617489" w:rsidRPr="00617489" w:rsidRDefault="00617489" w:rsidP="00617489">
      <w:pPr>
        <w:pStyle w:val="Body"/>
        <w:spacing w:after="0"/>
        <w:rPr>
          <w:rFonts w:ascii="Arial" w:hAnsi="Arial" w:cs="Arial"/>
          <w:lang w:val="id-ID"/>
        </w:rPr>
      </w:pPr>
      <w:r w:rsidRPr="00617489">
        <w:rPr>
          <w:rFonts w:ascii="Arial" w:hAnsi="Arial" w:cs="Arial"/>
          <w:lang w:val="id-ID"/>
        </w:rPr>
        <w:t>n : Number of individuals observed</w:t>
      </w:r>
    </w:p>
    <w:p w:rsidR="00617489" w:rsidRPr="00617489" w:rsidRDefault="00617489" w:rsidP="00617489">
      <w:pPr>
        <w:pStyle w:val="Body"/>
        <w:spacing w:after="0"/>
        <w:rPr>
          <w:rFonts w:ascii="Arial" w:hAnsi="Arial" w:cs="Arial"/>
          <w:lang w:val="id-ID"/>
        </w:rPr>
      </w:pPr>
      <w:r w:rsidRPr="00617489">
        <w:rPr>
          <w:rFonts w:ascii="Arial" w:hAnsi="Arial" w:cs="Arial"/>
          <w:lang w:val="id-ID"/>
        </w:rPr>
        <w:t>Ja : Total number of boxes on the Sedgwick Rafter (1,000)</w:t>
      </w:r>
    </w:p>
    <w:p w:rsidR="00617489" w:rsidRPr="00617489" w:rsidRDefault="00617489" w:rsidP="00617489">
      <w:pPr>
        <w:pStyle w:val="Body"/>
        <w:spacing w:after="0"/>
        <w:rPr>
          <w:rFonts w:ascii="Arial" w:hAnsi="Arial" w:cs="Arial"/>
          <w:lang w:val="id-ID"/>
        </w:rPr>
      </w:pPr>
      <w:r w:rsidRPr="00617489">
        <w:rPr>
          <w:rFonts w:ascii="Arial" w:hAnsi="Arial" w:cs="Arial"/>
          <w:lang w:val="id-ID"/>
        </w:rPr>
        <w:t>Jb : Number of sample boxes on the Sedgwick Rafter observed</w:t>
      </w:r>
    </w:p>
    <w:p w:rsidR="00617489" w:rsidRDefault="00617489" w:rsidP="00617489">
      <w:pPr>
        <w:pStyle w:val="Body"/>
        <w:spacing w:after="0"/>
        <w:rPr>
          <w:rFonts w:ascii="Arial" w:hAnsi="Arial" w:cs="Arial"/>
          <w:lang w:val="id-ID"/>
        </w:rPr>
      </w:pPr>
      <w:r w:rsidRPr="00617489">
        <w:rPr>
          <w:rFonts w:ascii="Arial" w:hAnsi="Arial" w:cs="Arial"/>
          <w:lang w:val="id-ID"/>
        </w:rPr>
        <w:t>Vs : Sample volume in the Sedgwick Rafter (1 ml)</w:t>
      </w:r>
    </w:p>
    <w:p w:rsidR="001003B9" w:rsidRPr="00617489" w:rsidRDefault="001003B9" w:rsidP="00617489">
      <w:pPr>
        <w:pStyle w:val="Body"/>
        <w:spacing w:after="0"/>
        <w:rPr>
          <w:rFonts w:ascii="Arial" w:hAnsi="Arial" w:cs="Arial"/>
          <w:lang w:val="id-ID"/>
        </w:rPr>
      </w:pPr>
    </w:p>
    <w:p w:rsidR="001B71EA" w:rsidRDefault="001B71EA" w:rsidP="001003B9">
      <w:pPr>
        <w:pStyle w:val="Body"/>
        <w:spacing w:after="0"/>
        <w:jc w:val="left"/>
        <w:rPr>
          <w:rFonts w:ascii="Arial" w:hAnsi="Arial" w:cs="Arial"/>
          <w:b/>
          <w:bCs/>
          <w:u w:val="single"/>
        </w:rPr>
      </w:pPr>
      <w:r w:rsidRPr="00DC5F0C">
        <w:rPr>
          <w:rFonts w:ascii="Arial" w:hAnsi="Arial" w:cs="Arial"/>
          <w:b/>
          <w:bCs/>
          <w:u w:val="single"/>
        </w:rPr>
        <w:t>2.2.2 Rotifer Growth Rate (SGR)</w:t>
      </w:r>
    </w:p>
    <w:p w:rsidR="001003B9" w:rsidRPr="00DC5F0C" w:rsidRDefault="001003B9" w:rsidP="001003B9">
      <w:pPr>
        <w:pStyle w:val="Body"/>
        <w:spacing w:after="0"/>
        <w:jc w:val="left"/>
        <w:rPr>
          <w:rFonts w:ascii="Arial" w:hAnsi="Arial" w:cs="Arial"/>
          <w:b/>
          <w:bCs/>
          <w:u w:val="single"/>
        </w:rPr>
      </w:pPr>
    </w:p>
    <w:p w:rsidR="005569D2" w:rsidRDefault="001B71EA" w:rsidP="001B71EA">
      <w:pPr>
        <w:pStyle w:val="Body"/>
        <w:spacing w:after="0"/>
        <w:rPr>
          <w:rFonts w:ascii="Arial" w:hAnsi="Arial" w:cs="Arial"/>
        </w:rPr>
      </w:pPr>
      <w:r w:rsidRPr="001B71EA">
        <w:rPr>
          <w:rFonts w:ascii="Arial" w:hAnsi="Arial" w:cs="Arial"/>
        </w:rPr>
        <w:t>After obtaining Rotifer density data, the next analysis of the growth rate of Brachionusplicatilis was calculated using the formula according to (Nurlinda et al., 2020), namely:</w:t>
      </w:r>
    </w:p>
    <w:p w:rsidR="001B71EA" w:rsidRDefault="001B71EA" w:rsidP="001B71EA">
      <w:pPr>
        <w:pStyle w:val="Body"/>
        <w:spacing w:after="0"/>
        <w:jc w:val="center"/>
        <w:rPr>
          <w:rFonts w:ascii="Arial" w:hAnsi="Arial" w:cs="Arial"/>
        </w:rPr>
      </w:pPr>
      <w:r w:rsidRPr="001B71EA">
        <w:rPr>
          <w:rFonts w:ascii="Arial" w:hAnsi="Arial" w:cs="Arial"/>
        </w:rPr>
        <w:t xml:space="preserve">K = </w:t>
      </w:r>
      <m:oMath>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r>
                  <w:rPr>
                    <w:rFonts w:ascii="Cambria Math" w:hAnsi="Cambria Math" w:cs="Arial"/>
                  </w:rPr>
                  <m:t>Nt - N0</m:t>
                </m:r>
              </m:e>
            </m:d>
          </m:num>
          <m:den>
            <m:r>
              <w:rPr>
                <w:rFonts w:ascii="Cambria Math" w:hAnsi="Cambria Math" w:cs="Arial"/>
              </w:rPr>
              <m:t>N0</m:t>
            </m:r>
          </m:den>
        </m:f>
        <m:r>
          <w:rPr>
            <w:rFonts w:ascii="Cambria Math" w:hAnsi="Cambria Math" w:cs="Arial"/>
          </w:rPr>
          <m:t>)x 100%</m:t>
        </m:r>
      </m:oMath>
    </w:p>
    <w:p w:rsidR="00583253" w:rsidRPr="00583253" w:rsidRDefault="0002049E" w:rsidP="00583253">
      <w:pPr>
        <w:pStyle w:val="Body"/>
        <w:spacing w:after="0"/>
        <w:rPr>
          <w:rFonts w:ascii="Arial" w:hAnsi="Arial" w:cs="Arial"/>
        </w:rPr>
      </w:pPr>
      <w:r>
        <w:rPr>
          <w:rFonts w:ascii="Arial" w:hAnsi="Arial" w:cs="Arial"/>
        </w:rPr>
        <w:t>De</w:t>
      </w:r>
      <w:r w:rsidR="00583253">
        <w:rPr>
          <w:rFonts w:ascii="Arial" w:hAnsi="Arial" w:cs="Arial"/>
        </w:rPr>
        <w:t>scription:</w:t>
      </w:r>
    </w:p>
    <w:p w:rsidR="00583253" w:rsidRPr="00583253" w:rsidRDefault="00583253" w:rsidP="00583253">
      <w:pPr>
        <w:pStyle w:val="Body"/>
        <w:spacing w:after="0"/>
        <w:rPr>
          <w:rFonts w:ascii="Arial" w:hAnsi="Arial" w:cs="Arial"/>
        </w:rPr>
      </w:pPr>
      <w:r w:rsidRPr="00583253">
        <w:rPr>
          <w:rFonts w:ascii="Arial" w:hAnsi="Arial" w:cs="Arial"/>
        </w:rPr>
        <w:t>K : Growth rate (%/day)</w:t>
      </w:r>
    </w:p>
    <w:p w:rsidR="00583253" w:rsidRPr="00583253" w:rsidRDefault="00583253" w:rsidP="00583253">
      <w:pPr>
        <w:pStyle w:val="Body"/>
        <w:spacing w:after="0"/>
        <w:rPr>
          <w:rFonts w:ascii="Arial" w:hAnsi="Arial" w:cs="Arial"/>
        </w:rPr>
      </w:pPr>
      <w:r w:rsidRPr="00583253">
        <w:rPr>
          <w:rFonts w:ascii="Arial" w:hAnsi="Arial" w:cs="Arial"/>
        </w:rPr>
        <w:t>Nt: Number of individuals on day t</w:t>
      </w:r>
    </w:p>
    <w:p w:rsidR="00583253" w:rsidRDefault="00583253" w:rsidP="00583253">
      <w:pPr>
        <w:pStyle w:val="Body"/>
        <w:spacing w:after="0"/>
        <w:rPr>
          <w:rFonts w:ascii="Arial" w:hAnsi="Arial" w:cs="Arial"/>
        </w:rPr>
      </w:pPr>
      <w:r w:rsidRPr="00583253">
        <w:rPr>
          <w:rFonts w:ascii="Arial" w:hAnsi="Arial" w:cs="Arial"/>
        </w:rPr>
        <w:t>N0: Number of individuals on day 0</w:t>
      </w:r>
    </w:p>
    <w:p w:rsidR="001003B9" w:rsidRDefault="001003B9" w:rsidP="00583253">
      <w:pPr>
        <w:pStyle w:val="Body"/>
        <w:spacing w:after="0"/>
        <w:rPr>
          <w:rFonts w:ascii="Arial" w:hAnsi="Arial" w:cs="Arial"/>
        </w:rPr>
      </w:pPr>
    </w:p>
    <w:p w:rsidR="00BA38A0" w:rsidRDefault="00BA38A0" w:rsidP="001003B9">
      <w:pPr>
        <w:pStyle w:val="Body"/>
        <w:spacing w:after="0"/>
        <w:jc w:val="left"/>
        <w:rPr>
          <w:rFonts w:ascii="Arial" w:hAnsi="Arial" w:cs="Arial"/>
          <w:b/>
          <w:bCs/>
          <w:u w:val="single"/>
        </w:rPr>
      </w:pPr>
      <w:r w:rsidRPr="00DC5F0C">
        <w:rPr>
          <w:rFonts w:ascii="Arial" w:hAnsi="Arial" w:cs="Arial"/>
          <w:b/>
          <w:bCs/>
          <w:u w:val="single"/>
        </w:rPr>
        <w:t>2.2.3 Identification of Microplastic Abundance</w:t>
      </w:r>
    </w:p>
    <w:p w:rsidR="001003B9" w:rsidRPr="00DC5F0C" w:rsidRDefault="001003B9" w:rsidP="001003B9">
      <w:pPr>
        <w:pStyle w:val="Body"/>
        <w:spacing w:after="0"/>
        <w:jc w:val="left"/>
        <w:rPr>
          <w:rFonts w:ascii="Arial" w:hAnsi="Arial" w:cs="Arial"/>
          <w:b/>
          <w:bCs/>
          <w:u w:val="single"/>
        </w:rPr>
      </w:pPr>
    </w:p>
    <w:p w:rsidR="00BA38A0" w:rsidRDefault="00BA38A0" w:rsidP="001003B9">
      <w:pPr>
        <w:pStyle w:val="Body"/>
        <w:spacing w:after="0"/>
        <w:rPr>
          <w:rFonts w:ascii="Arial" w:hAnsi="Arial" w:cs="Arial"/>
        </w:rPr>
      </w:pPr>
      <w:r w:rsidRPr="00BA38A0">
        <w:rPr>
          <w:rFonts w:ascii="Arial" w:hAnsi="Arial" w:cs="Arial"/>
        </w:rPr>
        <w:t>According to Sandra &amp;Radityaningrum (2021), microplastic abundance can be calculated using the following equation:</w:t>
      </w:r>
    </w:p>
    <w:p w:rsidR="001B71EA" w:rsidRDefault="00CF793C" w:rsidP="00CF793C">
      <w:pPr>
        <w:pStyle w:val="Body"/>
        <w:spacing w:after="0"/>
        <w:jc w:val="center"/>
        <w:rPr>
          <w:rFonts w:ascii="Arial" w:hAnsi="Arial" w:cs="Arial"/>
          <w:lang w:val="id-ID"/>
        </w:rPr>
      </w:pPr>
      <w:r w:rsidRPr="00CF793C">
        <w:rPr>
          <w:rFonts w:ascii="Arial" w:hAnsi="Arial" w:cs="Arial"/>
          <w:lang w:val="id-ID"/>
        </w:rPr>
        <w:t xml:space="preserve">Kelimpahan = </w:t>
      </w:r>
      <m:oMath>
        <m:f>
          <m:fPr>
            <m:ctrlPr>
              <w:rPr>
                <w:rFonts w:ascii="Cambria Math" w:hAnsi="Cambria Math" w:cs="Arial"/>
                <w:i/>
                <w:lang w:val="id-ID"/>
              </w:rPr>
            </m:ctrlPr>
          </m:fPr>
          <m:num>
            <m:r>
              <w:rPr>
                <w:rFonts w:ascii="Cambria Math" w:hAnsi="Cambria Math" w:cs="Arial"/>
                <w:lang w:val="id-ID"/>
              </w:rPr>
              <m:t>jumlah partikel mikroplastik</m:t>
            </m:r>
          </m:num>
          <m:den>
            <m:r>
              <w:rPr>
                <w:rFonts w:ascii="Cambria Math" w:hAnsi="Cambria Math" w:cs="Arial"/>
                <w:lang w:val="id-ID"/>
              </w:rPr>
              <m:t>jumlah Rotifera</m:t>
            </m:r>
          </m:den>
        </m:f>
      </m:oMath>
    </w:p>
    <w:p w:rsidR="001003B9" w:rsidRDefault="001003B9" w:rsidP="00CF793C">
      <w:pPr>
        <w:pStyle w:val="Body"/>
        <w:spacing w:after="0"/>
        <w:jc w:val="center"/>
        <w:rPr>
          <w:rFonts w:ascii="Arial" w:hAnsi="Arial" w:cs="Arial"/>
          <w:lang w:val="id-ID"/>
        </w:rPr>
      </w:pPr>
    </w:p>
    <w:p w:rsidR="002A6FE9" w:rsidRDefault="002A6FE9" w:rsidP="001003B9">
      <w:pPr>
        <w:pStyle w:val="Body"/>
        <w:spacing w:after="0"/>
        <w:jc w:val="left"/>
        <w:rPr>
          <w:rFonts w:ascii="Arial" w:hAnsi="Arial" w:cs="Arial"/>
          <w:b/>
          <w:bCs/>
          <w:u w:val="single"/>
        </w:rPr>
      </w:pPr>
      <w:r w:rsidRPr="00DC5F0C">
        <w:rPr>
          <w:rFonts w:ascii="Arial" w:hAnsi="Arial" w:cs="Arial"/>
          <w:b/>
          <w:bCs/>
          <w:u w:val="single"/>
        </w:rPr>
        <w:t>2.2.4 Rotifer length growth rate</w:t>
      </w:r>
    </w:p>
    <w:p w:rsidR="001003B9" w:rsidRPr="00DC5F0C" w:rsidRDefault="001003B9" w:rsidP="001003B9">
      <w:pPr>
        <w:pStyle w:val="Body"/>
        <w:spacing w:after="0"/>
        <w:jc w:val="left"/>
        <w:rPr>
          <w:rFonts w:ascii="Arial" w:hAnsi="Arial" w:cs="Arial"/>
          <w:b/>
          <w:bCs/>
          <w:u w:val="single"/>
        </w:rPr>
      </w:pPr>
    </w:p>
    <w:p w:rsidR="00CF793C" w:rsidRDefault="002A6FE9" w:rsidP="002A6FE9">
      <w:pPr>
        <w:pStyle w:val="Body"/>
        <w:spacing w:after="0"/>
        <w:rPr>
          <w:rFonts w:ascii="Arial" w:hAnsi="Arial" w:cs="Arial"/>
        </w:rPr>
      </w:pPr>
      <w:r w:rsidRPr="002A6FE9">
        <w:rPr>
          <w:rFonts w:ascii="Arial" w:hAnsi="Arial" w:cs="Arial"/>
        </w:rPr>
        <w:t xml:space="preserve">The rotifer length growth rate can be done using the formula according to </w:t>
      </w:r>
      <w:r w:rsidRPr="002E5D99">
        <w:rPr>
          <w:rFonts w:ascii="Arial" w:hAnsi="Arial" w:cs="Arial"/>
          <w:highlight w:val="yellow"/>
        </w:rPr>
        <w:t>Permatasari et al. (2023),</w:t>
      </w:r>
      <w:r w:rsidRPr="002A6FE9">
        <w:rPr>
          <w:rFonts w:ascii="Arial" w:hAnsi="Arial" w:cs="Arial"/>
        </w:rPr>
        <w:t xml:space="preserve"> namely:</w:t>
      </w:r>
    </w:p>
    <w:p w:rsidR="002E5D99" w:rsidRDefault="002E5D99" w:rsidP="002A6FE9">
      <w:pPr>
        <w:pStyle w:val="Body"/>
        <w:spacing w:after="0"/>
        <w:rPr>
          <w:rFonts w:ascii="Arial" w:hAnsi="Arial" w:cs="Arial"/>
        </w:rPr>
      </w:pPr>
    </w:p>
    <w:p w:rsidR="002E5D99" w:rsidRPr="002E5D99" w:rsidRDefault="002E5D99" w:rsidP="002A6FE9">
      <w:pPr>
        <w:pStyle w:val="Body"/>
        <w:spacing w:after="0"/>
        <w:rPr>
          <w:rFonts w:ascii="Times New Roman" w:hAnsi="Times New Roman"/>
          <w:b/>
          <w:bCs/>
          <w:color w:val="FF0000"/>
        </w:rPr>
      </w:pPr>
      <w:r w:rsidRPr="002E5D99">
        <w:rPr>
          <w:rFonts w:ascii="Times New Roman" w:hAnsi="Times New Roman"/>
          <w:b/>
          <w:bCs/>
          <w:color w:val="FF0000"/>
          <w:highlight w:val="yellow"/>
        </w:rPr>
        <w:t>These reference not mention in you’re references section.</w:t>
      </w:r>
    </w:p>
    <w:p w:rsidR="002A6FE9" w:rsidRDefault="009010A0" w:rsidP="009010A0">
      <w:pPr>
        <w:pStyle w:val="Body"/>
        <w:spacing w:after="0"/>
        <w:jc w:val="center"/>
        <w:rPr>
          <w:rFonts w:ascii="Arial" w:hAnsi="Arial" w:cs="Arial"/>
        </w:rPr>
      </w:pPr>
      <w:r w:rsidRPr="009010A0">
        <w:rPr>
          <w:rFonts w:ascii="Arial" w:hAnsi="Arial" w:cs="Arial"/>
        </w:rPr>
        <w:t>Lpp = Lt – L0</w:t>
      </w:r>
    </w:p>
    <w:p w:rsidR="009010A0" w:rsidRPr="009010A0" w:rsidRDefault="009010A0" w:rsidP="009010A0">
      <w:pPr>
        <w:pStyle w:val="Body"/>
        <w:spacing w:after="0"/>
        <w:rPr>
          <w:rFonts w:ascii="Arial" w:hAnsi="Arial" w:cs="Arial"/>
        </w:rPr>
      </w:pPr>
      <w:r w:rsidRPr="009010A0">
        <w:rPr>
          <w:rFonts w:ascii="Arial" w:hAnsi="Arial" w:cs="Arial"/>
        </w:rPr>
        <w:t>Description:</w:t>
      </w:r>
    </w:p>
    <w:p w:rsidR="009010A0" w:rsidRPr="009010A0" w:rsidRDefault="009010A0" w:rsidP="009010A0">
      <w:pPr>
        <w:pStyle w:val="Body"/>
        <w:spacing w:after="0"/>
        <w:rPr>
          <w:rFonts w:ascii="Arial" w:hAnsi="Arial" w:cs="Arial"/>
        </w:rPr>
      </w:pPr>
      <w:r w:rsidRPr="009010A0">
        <w:rPr>
          <w:rFonts w:ascii="Arial" w:hAnsi="Arial" w:cs="Arial"/>
        </w:rPr>
        <w:t>Lpp : Growth rate in length (μm)</w:t>
      </w:r>
    </w:p>
    <w:p w:rsidR="009010A0" w:rsidRPr="009010A0" w:rsidRDefault="009010A0" w:rsidP="009010A0">
      <w:pPr>
        <w:pStyle w:val="Body"/>
        <w:spacing w:after="0"/>
        <w:rPr>
          <w:rFonts w:ascii="Arial" w:hAnsi="Arial" w:cs="Arial"/>
        </w:rPr>
      </w:pPr>
      <w:r w:rsidRPr="009010A0">
        <w:rPr>
          <w:rFonts w:ascii="Arial" w:hAnsi="Arial" w:cs="Arial"/>
        </w:rPr>
        <w:t>Lt : Average length of individuals at the end of the study (μm)</w:t>
      </w:r>
    </w:p>
    <w:p w:rsidR="009010A0" w:rsidRDefault="009010A0" w:rsidP="009010A0">
      <w:pPr>
        <w:pStyle w:val="Body"/>
        <w:spacing w:after="0"/>
        <w:rPr>
          <w:rFonts w:ascii="Arial" w:hAnsi="Arial" w:cs="Arial"/>
        </w:rPr>
      </w:pPr>
      <w:r w:rsidRPr="009010A0">
        <w:rPr>
          <w:rFonts w:ascii="Arial" w:hAnsi="Arial" w:cs="Arial"/>
        </w:rPr>
        <w:t>Lo : Average length of individuals at the beginning of the study (μm)</w:t>
      </w:r>
    </w:p>
    <w:p w:rsidR="001003B9" w:rsidRDefault="001003B9" w:rsidP="009010A0">
      <w:pPr>
        <w:pStyle w:val="Body"/>
        <w:spacing w:after="0"/>
        <w:rPr>
          <w:rFonts w:ascii="Arial" w:hAnsi="Arial" w:cs="Arial"/>
        </w:rPr>
      </w:pPr>
    </w:p>
    <w:p w:rsidR="009010A0" w:rsidRDefault="009010A0" w:rsidP="001003B9">
      <w:pPr>
        <w:pStyle w:val="Body"/>
        <w:spacing w:after="0"/>
        <w:jc w:val="left"/>
        <w:rPr>
          <w:rFonts w:ascii="Arial" w:hAnsi="Arial" w:cs="Arial"/>
          <w:b/>
          <w:bCs/>
          <w:u w:val="single"/>
        </w:rPr>
      </w:pPr>
      <w:r w:rsidRPr="00DC5F0C">
        <w:rPr>
          <w:rFonts w:ascii="Arial" w:hAnsi="Arial" w:cs="Arial"/>
          <w:b/>
          <w:bCs/>
          <w:u w:val="single"/>
        </w:rPr>
        <w:t>2.2.5 Water Quality Parameters</w:t>
      </w:r>
    </w:p>
    <w:p w:rsidR="001003B9" w:rsidRPr="00DC5F0C" w:rsidRDefault="001003B9" w:rsidP="001003B9">
      <w:pPr>
        <w:pStyle w:val="Body"/>
        <w:spacing w:after="0"/>
        <w:jc w:val="left"/>
        <w:rPr>
          <w:rFonts w:ascii="Arial" w:hAnsi="Arial" w:cs="Arial"/>
          <w:b/>
          <w:bCs/>
          <w:u w:val="single"/>
        </w:rPr>
      </w:pPr>
    </w:p>
    <w:p w:rsidR="00790ADA" w:rsidRDefault="009010A0" w:rsidP="001003B9">
      <w:pPr>
        <w:pStyle w:val="Body"/>
        <w:spacing w:after="0"/>
        <w:rPr>
          <w:rFonts w:ascii="Arial" w:hAnsi="Arial" w:cs="Arial"/>
        </w:rPr>
      </w:pPr>
      <w:r w:rsidRPr="009010A0">
        <w:rPr>
          <w:rFonts w:ascii="Arial" w:hAnsi="Arial" w:cs="Arial"/>
        </w:rPr>
        <w:t xml:space="preserve">Water quality parameters are supporting parameters in this study, which include measuring physical and chemical water quality parameters in rotifer maintenance media. The water quality includes temperature, salinity, acidity (pH) and dissolved oxygen (DO). Water quality </w:t>
      </w:r>
      <w:r w:rsidRPr="009010A0">
        <w:rPr>
          <w:rFonts w:ascii="Arial" w:hAnsi="Arial" w:cs="Arial"/>
        </w:rPr>
        <w:lastRenderedPageBreak/>
        <w:t>measurements are carried out once a week in the morning at 08.00 WITA and in the afternoon at 16.00 WITA.</w:t>
      </w:r>
    </w:p>
    <w:p w:rsidR="001003B9" w:rsidRPr="00FB3A86" w:rsidRDefault="001003B9" w:rsidP="001003B9">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BB1905" w:rsidRPr="009044CD" w:rsidRDefault="00BB1905" w:rsidP="00F276B4">
      <w:pPr>
        <w:pStyle w:val="Body"/>
        <w:spacing w:after="0"/>
        <w:rPr>
          <w:rFonts w:ascii="Arial" w:hAnsi="Arial" w:cs="Arial"/>
          <w:b/>
          <w:bCs/>
          <w:sz w:val="22"/>
          <w:szCs w:val="22"/>
        </w:rPr>
      </w:pPr>
      <w:r w:rsidRPr="009044CD">
        <w:rPr>
          <w:rFonts w:ascii="Arial" w:hAnsi="Arial" w:cs="Arial"/>
          <w:b/>
          <w:bCs/>
          <w:sz w:val="22"/>
          <w:szCs w:val="22"/>
        </w:rPr>
        <w:t>3.1 Rotifer Population Density</w:t>
      </w:r>
    </w:p>
    <w:p w:rsidR="00F276B4" w:rsidRPr="00BB1905" w:rsidRDefault="00F276B4" w:rsidP="00F276B4">
      <w:pPr>
        <w:pStyle w:val="Body"/>
        <w:spacing w:after="0"/>
        <w:rPr>
          <w:rFonts w:ascii="Arial" w:hAnsi="Arial" w:cs="Arial"/>
        </w:rPr>
      </w:pPr>
    </w:p>
    <w:p w:rsidR="00BB1905" w:rsidRDefault="00BB1905" w:rsidP="00BB1905">
      <w:pPr>
        <w:pStyle w:val="Body"/>
        <w:spacing w:after="0"/>
        <w:rPr>
          <w:rFonts w:ascii="Arial" w:hAnsi="Arial" w:cs="Arial"/>
        </w:rPr>
      </w:pPr>
      <w:r w:rsidRPr="00BB1905">
        <w:rPr>
          <w:rFonts w:ascii="Arial" w:hAnsi="Arial" w:cs="Arial"/>
        </w:rPr>
        <w:t>Based on the results of the study, the average results of the population density of rotifers maintained during the study had values ​​ranging from 1625.0-2449.7 ind/ml. The highest average results of the rotifer population density were in treatment P1 (0 mg/l) of 2449.7 ind/ml, then followed by P2 (0.5 mg/l) with an average value of 2126.7 ind/ml, then P3 (1 mg/l) of 1947.3 ind/ml and the lowest value was in P4 (1.5 mg/l) with an average value of 1625.0 ind/ml.</w:t>
      </w:r>
    </w:p>
    <w:p w:rsidR="000E73BD" w:rsidRDefault="000E73BD" w:rsidP="00BB1905">
      <w:pPr>
        <w:pStyle w:val="Body"/>
        <w:spacing w:after="0"/>
        <w:rPr>
          <w:rFonts w:ascii="Arial" w:hAnsi="Arial" w:cs="Arial"/>
        </w:rPr>
      </w:pPr>
    </w:p>
    <w:p w:rsidR="00682F21" w:rsidRDefault="00682F21" w:rsidP="00BB1905">
      <w:pPr>
        <w:pStyle w:val="Body"/>
        <w:spacing w:after="0"/>
        <w:rPr>
          <w:rFonts w:ascii="Arial" w:hAnsi="Arial" w:cs="Arial"/>
        </w:rPr>
      </w:pPr>
      <w:r w:rsidRPr="00682F21">
        <w:rPr>
          <w:rFonts w:ascii="Arial" w:hAnsi="Arial" w:cs="Arial"/>
        </w:rPr>
        <w:t>Based on the results of the Analysis of Variance (ANOVA) test with a 95% confidence level, it shows that exposure to polystyrene microplastics with different doses gives significantly different results (&lt;0.05) on the density of rotifers. So that Duncan's further test was carried out, the results of the Duncan test where the treatment of P1 (0 mg/l) was significantly different from the treatments of P2 (0.5 mg/l), P3 (1 mg/l), and P4 (1.5 mg/l).</w:t>
      </w:r>
    </w:p>
    <w:p w:rsidR="006B167E" w:rsidRDefault="006B167E" w:rsidP="00BB1905">
      <w:pPr>
        <w:pStyle w:val="Body"/>
        <w:spacing w:after="0"/>
        <w:rPr>
          <w:rFonts w:ascii="Arial" w:hAnsi="Arial" w:cs="Arial"/>
        </w:rPr>
      </w:pPr>
    </w:p>
    <w:p w:rsidR="003005A5" w:rsidRDefault="00A35337" w:rsidP="006B167E">
      <w:pPr>
        <w:pStyle w:val="Body"/>
        <w:keepNext/>
        <w:spacing w:after="0"/>
        <w:jc w:val="center"/>
      </w:pPr>
      <w:r w:rsidRPr="006A4894">
        <w:rPr>
          <w:rFonts w:ascii="Arial" w:hAnsi="Arial" w:cs="Arial"/>
          <w:noProof/>
          <w:lang w:bidi="hi-IN"/>
        </w:rPr>
        <w:drawing>
          <wp:inline distT="0" distB="0" distL="0" distR="0">
            <wp:extent cx="3949700" cy="2159635"/>
            <wp:effectExtent l="0" t="0" r="12700" b="12065"/>
            <wp:docPr id="1059925103"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2E630D3-BF34-8FA3-CF59-D2728D8EB4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B26B1" w:rsidRDefault="003B26B1" w:rsidP="006B167E">
      <w:pPr>
        <w:pStyle w:val="Body"/>
        <w:keepNext/>
        <w:spacing w:after="0"/>
        <w:jc w:val="center"/>
      </w:pPr>
    </w:p>
    <w:p w:rsidR="00682F21" w:rsidRPr="003B26B1" w:rsidRDefault="003005A5" w:rsidP="006B167E">
      <w:pPr>
        <w:pStyle w:val="Caption"/>
        <w:spacing w:after="0"/>
        <w:jc w:val="center"/>
        <w:rPr>
          <w:rFonts w:ascii="Arial" w:hAnsi="Arial" w:cs="Arial"/>
          <w:b/>
          <w:bCs/>
          <w:i w:val="0"/>
          <w:iCs w:val="0"/>
          <w:color w:val="auto"/>
          <w:sz w:val="20"/>
          <w:szCs w:val="20"/>
        </w:rPr>
      </w:pPr>
      <w:r w:rsidRPr="003B26B1">
        <w:rPr>
          <w:rFonts w:ascii="Arial" w:hAnsi="Arial" w:cs="Arial"/>
          <w:b/>
          <w:bCs/>
          <w:i w:val="0"/>
          <w:iCs w:val="0"/>
          <w:color w:val="auto"/>
          <w:sz w:val="20"/>
          <w:szCs w:val="20"/>
        </w:rPr>
        <w:t xml:space="preserve">Fig </w:t>
      </w:r>
      <w:r w:rsidR="00884F5A" w:rsidRPr="003B26B1">
        <w:rPr>
          <w:rFonts w:ascii="Arial" w:hAnsi="Arial" w:cs="Arial"/>
          <w:b/>
          <w:bCs/>
          <w:i w:val="0"/>
          <w:iCs w:val="0"/>
          <w:color w:val="auto"/>
          <w:sz w:val="20"/>
          <w:szCs w:val="20"/>
        </w:rPr>
        <w:fldChar w:fldCharType="begin"/>
      </w:r>
      <w:r w:rsidRPr="003B26B1">
        <w:rPr>
          <w:rFonts w:ascii="Arial" w:hAnsi="Arial" w:cs="Arial"/>
          <w:b/>
          <w:bCs/>
          <w:i w:val="0"/>
          <w:iCs w:val="0"/>
          <w:color w:val="auto"/>
          <w:sz w:val="20"/>
          <w:szCs w:val="20"/>
        </w:rPr>
        <w:instrText xml:space="preserve"> SEQ Fig_3. \* ARABIC </w:instrText>
      </w:r>
      <w:r w:rsidR="00884F5A" w:rsidRPr="003B26B1">
        <w:rPr>
          <w:rFonts w:ascii="Arial" w:hAnsi="Arial" w:cs="Arial"/>
          <w:b/>
          <w:bCs/>
          <w:i w:val="0"/>
          <w:iCs w:val="0"/>
          <w:color w:val="auto"/>
          <w:sz w:val="20"/>
          <w:szCs w:val="20"/>
        </w:rPr>
        <w:fldChar w:fldCharType="separate"/>
      </w:r>
      <w:r w:rsidR="006A4894" w:rsidRPr="003B26B1">
        <w:rPr>
          <w:rFonts w:ascii="Arial" w:hAnsi="Arial" w:cs="Arial"/>
          <w:b/>
          <w:bCs/>
          <w:i w:val="0"/>
          <w:iCs w:val="0"/>
          <w:noProof/>
          <w:color w:val="auto"/>
          <w:sz w:val="20"/>
          <w:szCs w:val="20"/>
        </w:rPr>
        <w:t>1</w:t>
      </w:r>
      <w:r w:rsidR="00884F5A" w:rsidRPr="003B26B1">
        <w:rPr>
          <w:rFonts w:ascii="Arial" w:hAnsi="Arial" w:cs="Arial"/>
          <w:b/>
          <w:bCs/>
          <w:i w:val="0"/>
          <w:iCs w:val="0"/>
          <w:color w:val="auto"/>
          <w:sz w:val="20"/>
          <w:szCs w:val="20"/>
        </w:rPr>
        <w:fldChar w:fldCharType="end"/>
      </w:r>
      <w:r w:rsidR="006C520A">
        <w:rPr>
          <w:rFonts w:ascii="Arial" w:hAnsi="Arial" w:cs="Arial"/>
          <w:b/>
          <w:bCs/>
          <w:i w:val="0"/>
          <w:iCs w:val="0"/>
          <w:color w:val="auto"/>
          <w:sz w:val="20"/>
          <w:szCs w:val="20"/>
        </w:rPr>
        <w:t>.Effect</w:t>
      </w:r>
      <w:r w:rsidR="003B26B1" w:rsidRPr="003B26B1">
        <w:rPr>
          <w:rFonts w:ascii="Arial" w:hAnsi="Arial" w:cs="Arial"/>
          <w:b/>
          <w:bCs/>
          <w:i w:val="0"/>
          <w:iCs w:val="0"/>
          <w:color w:val="auto"/>
          <w:sz w:val="20"/>
          <w:szCs w:val="20"/>
        </w:rPr>
        <w:t xml:space="preserve"> of Microplastics at Various Concentrations P1 (0 mg/l), P2 (0.5 mg/l), P3 (1 mg/l) and P4 (1.5 mg/l) on Rotifera Population Density</w:t>
      </w:r>
    </w:p>
    <w:p w:rsidR="00B32D49" w:rsidRDefault="00F95151" w:rsidP="00F95151">
      <w:pPr>
        <w:pStyle w:val="Body"/>
        <w:spacing w:after="0"/>
        <w:jc w:val="center"/>
        <w:rPr>
          <w:rFonts w:ascii="Arial" w:hAnsi="Arial" w:cs="Arial"/>
          <w:i/>
          <w:iCs/>
          <w:sz w:val="18"/>
          <w:szCs w:val="18"/>
        </w:rPr>
      </w:pPr>
      <w:r w:rsidRPr="00F95151">
        <w:rPr>
          <w:rFonts w:ascii="Arial" w:hAnsi="Arial" w:cs="Arial"/>
          <w:i/>
          <w:iCs/>
          <w:sz w:val="18"/>
          <w:szCs w:val="18"/>
        </w:rPr>
        <w:t>Exposure to polystyrene microplastics at different concentrations on rotifer population density gave significantly different results, P&lt;0.05</w:t>
      </w:r>
    </w:p>
    <w:p w:rsidR="009044CD" w:rsidRPr="009044CD" w:rsidRDefault="009044CD" w:rsidP="00F95151">
      <w:pPr>
        <w:pStyle w:val="Body"/>
        <w:spacing w:after="0"/>
        <w:jc w:val="center"/>
        <w:rPr>
          <w:rFonts w:ascii="Arial" w:hAnsi="Arial" w:cs="Arial"/>
          <w:sz w:val="18"/>
          <w:szCs w:val="18"/>
        </w:rPr>
      </w:pPr>
    </w:p>
    <w:p w:rsidR="00BB1905" w:rsidRDefault="000E73BD" w:rsidP="00441B6F">
      <w:pPr>
        <w:pStyle w:val="Body"/>
        <w:spacing w:after="0"/>
        <w:rPr>
          <w:rFonts w:ascii="Arial" w:hAnsi="Arial" w:cs="Arial"/>
        </w:rPr>
      </w:pPr>
      <w:r w:rsidRPr="000E73BD">
        <w:rPr>
          <w:rFonts w:ascii="Arial" w:hAnsi="Arial" w:cs="Arial"/>
        </w:rPr>
        <w:t xml:space="preserve">Polystyrene contains additives such as styrene monomer and other organic compounds that are toxic. When these microplastics degrade or are exposed for a certain period of time, these chemicals can dissolve into the micro-environment of water and accumulate in the body of rotifers. The accumulation of these toxic compounds can trigger oxidative stress, cell damage, and even cellular death.In the P4 treatment (1.5 mg/L) there was the most significant decrease, namely 1625.0 ind/ml. This shows that microplastics ingested by rotifers can cause decreased appetite and a hampered digestive system so that the nutrients entering the rotifer's body are insufficient and can reduce energy for growth and even cause death. According to Botterell et al., (2019) stated that exposure to various concentrations of polystyrene microplastics can significantly reduce fecundity in two generations of copepods </w:t>
      </w:r>
      <w:r w:rsidRPr="00792742">
        <w:rPr>
          <w:rFonts w:ascii="Arial" w:hAnsi="Arial" w:cs="Arial"/>
          <w:i/>
          <w:iCs/>
        </w:rPr>
        <w:t>Tigriopus japonicus</w:t>
      </w:r>
      <w:r w:rsidRPr="000E73BD">
        <w:rPr>
          <w:rFonts w:ascii="Arial" w:hAnsi="Arial" w:cs="Arial"/>
        </w:rPr>
        <w:t xml:space="preserve"> and </w:t>
      </w:r>
      <w:r w:rsidRPr="00792742">
        <w:rPr>
          <w:rFonts w:ascii="Arial" w:hAnsi="Arial" w:cs="Arial"/>
          <w:i/>
          <w:iCs/>
        </w:rPr>
        <w:t>Calanus helgolandicus</w:t>
      </w:r>
      <w:r w:rsidRPr="000E73BD">
        <w:rPr>
          <w:rFonts w:ascii="Arial" w:hAnsi="Arial" w:cs="Arial"/>
        </w:rPr>
        <w:t xml:space="preserve">. In addition, many egg sacs were found to </w:t>
      </w:r>
      <w:r w:rsidRPr="000E73BD">
        <w:rPr>
          <w:rFonts w:ascii="Arial" w:hAnsi="Arial" w:cs="Arial"/>
        </w:rPr>
        <w:lastRenderedPageBreak/>
        <w:t>have failed to develop normally and these eggs tended to be smaller in size, thus having a much lower hatching ability.</w:t>
      </w:r>
    </w:p>
    <w:p w:rsidR="00792742" w:rsidRDefault="00792742" w:rsidP="00441B6F">
      <w:pPr>
        <w:pStyle w:val="Body"/>
        <w:spacing w:after="0"/>
        <w:rPr>
          <w:rFonts w:ascii="Arial" w:hAnsi="Arial" w:cs="Arial"/>
        </w:rPr>
      </w:pPr>
    </w:p>
    <w:p w:rsidR="00792742" w:rsidRDefault="00792742" w:rsidP="00441B6F">
      <w:pPr>
        <w:pStyle w:val="Body"/>
        <w:spacing w:after="0"/>
        <w:rPr>
          <w:rFonts w:ascii="Arial" w:hAnsi="Arial" w:cs="Arial"/>
        </w:rPr>
      </w:pPr>
      <w:r w:rsidRPr="00792742">
        <w:rPr>
          <w:rFonts w:ascii="Arial" w:hAnsi="Arial" w:cs="Arial"/>
        </w:rPr>
        <w:t>Long-term exposure to microplastics causes the accumulation of biological effects from microplastics. The results of this study are in line with the research of Miracle et al., (2014) which showed that Brachionusplicatilis rotifers consumed polystyrene microplastics significantly, especially at high concentrations (up to 5 mg/L). Microplastic consumption increased with concentration and exposure time, peaking at 24 hours. This supports the finding that increasing microplastic concentrations can cause particle accumulation in the rotifer's body, potentially disrupting physiological functions and causing population declines. In addition, research from Isinibilir et al., (2022) also explained that Daphnia magna exposed to 6 μm polystyrene microplastics experienced a significant decrease in survival, growth, and reproduction for 21 days.</w:t>
      </w:r>
    </w:p>
    <w:p w:rsidR="00792742" w:rsidRDefault="00792742" w:rsidP="00441B6F">
      <w:pPr>
        <w:pStyle w:val="Body"/>
        <w:spacing w:after="0"/>
        <w:rPr>
          <w:rFonts w:ascii="Arial" w:hAnsi="Arial" w:cs="Arial"/>
        </w:rPr>
      </w:pPr>
    </w:p>
    <w:p w:rsidR="00792742" w:rsidRPr="009044CD" w:rsidRDefault="00792742" w:rsidP="00441B6F">
      <w:pPr>
        <w:pStyle w:val="Body"/>
        <w:spacing w:after="0"/>
        <w:rPr>
          <w:rFonts w:ascii="Arial" w:hAnsi="Arial" w:cs="Arial"/>
          <w:b/>
          <w:bCs/>
          <w:sz w:val="22"/>
          <w:szCs w:val="22"/>
        </w:rPr>
      </w:pPr>
      <w:r w:rsidRPr="009044CD">
        <w:rPr>
          <w:rFonts w:ascii="Arial" w:hAnsi="Arial" w:cs="Arial"/>
          <w:b/>
          <w:bCs/>
          <w:sz w:val="22"/>
          <w:szCs w:val="22"/>
        </w:rPr>
        <w:t xml:space="preserve">3.2 </w:t>
      </w:r>
      <w:r w:rsidRPr="009044CD">
        <w:rPr>
          <w:rFonts w:ascii="Arial" w:hAnsi="Arial" w:cs="Arial"/>
          <w:b/>
          <w:bCs/>
          <w:i/>
          <w:iCs/>
          <w:sz w:val="22"/>
          <w:szCs w:val="22"/>
        </w:rPr>
        <w:t>Specific Growth Rate</w:t>
      </w:r>
      <w:r w:rsidRPr="009044CD">
        <w:rPr>
          <w:rFonts w:ascii="Arial" w:hAnsi="Arial" w:cs="Arial"/>
          <w:b/>
          <w:bCs/>
          <w:sz w:val="22"/>
          <w:szCs w:val="22"/>
        </w:rPr>
        <w:t xml:space="preserve"> (SGR)</w:t>
      </w:r>
    </w:p>
    <w:p w:rsidR="00792742" w:rsidRDefault="00792742" w:rsidP="00441B6F">
      <w:pPr>
        <w:pStyle w:val="Body"/>
        <w:spacing w:after="0"/>
        <w:rPr>
          <w:rFonts w:ascii="Arial" w:hAnsi="Arial" w:cs="Arial"/>
        </w:rPr>
      </w:pPr>
    </w:p>
    <w:p w:rsidR="00792742" w:rsidRDefault="00792742" w:rsidP="00D612E0">
      <w:pPr>
        <w:pStyle w:val="Body"/>
        <w:spacing w:after="0"/>
        <w:rPr>
          <w:rFonts w:ascii="Arial" w:hAnsi="Arial" w:cs="Arial"/>
        </w:rPr>
      </w:pPr>
      <w:r w:rsidRPr="00792742">
        <w:rPr>
          <w:rFonts w:ascii="Arial" w:hAnsi="Arial" w:cs="Arial"/>
        </w:rPr>
        <w:t xml:space="preserve">Based on the results of the Analysis of Variance (ANOVA) test with a 95% confidence level, it shows that exposure to polystyrene microplastics with different doses gives results that are not significantly different (&gt;0.05) on the Specific Grow Rate (SGR). The implementation of P1 (0 mg/l) was not significantly different from the treatments P2 (0.5 mg/l), P3 (1 mg/l) and P4 (1.5 mg/l). The results of the </w:t>
      </w:r>
      <w:r w:rsidR="00637E51" w:rsidRPr="00637E51">
        <w:rPr>
          <w:rFonts w:ascii="Arial" w:hAnsi="Arial" w:cs="Arial"/>
          <w:i/>
          <w:iCs/>
        </w:rPr>
        <w:t>specific growth rate</w:t>
      </w:r>
      <w:r w:rsidRPr="00792742">
        <w:rPr>
          <w:rFonts w:ascii="Arial" w:hAnsi="Arial" w:cs="Arial"/>
        </w:rPr>
        <w:t>(SGR) analysis obtained an average value ranging from 11.5% - 47.1%. The highest SGR value was found in P3 (1 mg/l) at 47.1%, P4 (1.5 mg/l) had an average SGR value of 29.3%, P1 (0 mg/l) had an average value of 18.4%, and P2 (0.5 mg/l) with an average SGR value of 11.5%.</w:t>
      </w:r>
    </w:p>
    <w:p w:rsidR="00105E53" w:rsidRDefault="00105E53" w:rsidP="00D612E0">
      <w:pPr>
        <w:pStyle w:val="Body"/>
        <w:spacing w:after="0"/>
        <w:rPr>
          <w:rFonts w:ascii="Arial" w:hAnsi="Arial" w:cs="Arial"/>
        </w:rPr>
      </w:pPr>
    </w:p>
    <w:p w:rsidR="00A35337" w:rsidRDefault="00BD1E14" w:rsidP="00A35337">
      <w:pPr>
        <w:pStyle w:val="Body"/>
        <w:keepNext/>
        <w:spacing w:after="0"/>
        <w:jc w:val="center"/>
      </w:pPr>
      <w:r w:rsidRPr="006A4894">
        <w:rPr>
          <w:rFonts w:ascii="Arial" w:hAnsi="Arial" w:cs="Arial"/>
          <w:noProof/>
          <w:lang w:bidi="hi-IN"/>
        </w:rPr>
        <w:drawing>
          <wp:inline distT="0" distB="0" distL="0" distR="0">
            <wp:extent cx="3600000" cy="2160000"/>
            <wp:effectExtent l="0" t="0" r="635" b="12065"/>
            <wp:docPr id="192425133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034262E-D50E-B2C4-BA02-1D052FA59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B26B1" w:rsidRDefault="003B26B1" w:rsidP="00A35337">
      <w:pPr>
        <w:pStyle w:val="Body"/>
        <w:keepNext/>
        <w:spacing w:after="0"/>
        <w:jc w:val="center"/>
      </w:pPr>
    </w:p>
    <w:p w:rsidR="00BD1E14" w:rsidRPr="003B26B1" w:rsidRDefault="00A35337" w:rsidP="00A35337">
      <w:pPr>
        <w:pStyle w:val="Caption"/>
        <w:spacing w:after="0"/>
        <w:jc w:val="center"/>
        <w:rPr>
          <w:rFonts w:ascii="Arial" w:hAnsi="Arial" w:cs="Arial"/>
          <w:b/>
          <w:bCs/>
          <w:i w:val="0"/>
          <w:iCs w:val="0"/>
          <w:color w:val="auto"/>
          <w:sz w:val="20"/>
          <w:szCs w:val="20"/>
        </w:rPr>
      </w:pPr>
      <w:r w:rsidRPr="003B26B1">
        <w:rPr>
          <w:rFonts w:ascii="Arial" w:hAnsi="Arial" w:cs="Arial"/>
          <w:b/>
          <w:bCs/>
          <w:i w:val="0"/>
          <w:iCs w:val="0"/>
          <w:color w:val="auto"/>
          <w:sz w:val="20"/>
          <w:szCs w:val="20"/>
        </w:rPr>
        <w:t xml:space="preserve">Fig </w:t>
      </w:r>
      <w:r w:rsidR="00884F5A" w:rsidRPr="003B26B1">
        <w:rPr>
          <w:rFonts w:ascii="Arial" w:hAnsi="Arial" w:cs="Arial"/>
          <w:b/>
          <w:bCs/>
          <w:i w:val="0"/>
          <w:iCs w:val="0"/>
          <w:color w:val="auto"/>
          <w:sz w:val="20"/>
          <w:szCs w:val="20"/>
        </w:rPr>
        <w:fldChar w:fldCharType="begin"/>
      </w:r>
      <w:r w:rsidRPr="003B26B1">
        <w:rPr>
          <w:rFonts w:ascii="Arial" w:hAnsi="Arial" w:cs="Arial"/>
          <w:b/>
          <w:bCs/>
          <w:i w:val="0"/>
          <w:iCs w:val="0"/>
          <w:color w:val="auto"/>
          <w:sz w:val="20"/>
          <w:szCs w:val="20"/>
        </w:rPr>
        <w:instrText xml:space="preserve"> SEQ Fig_3. \* ARABIC </w:instrText>
      </w:r>
      <w:r w:rsidR="00884F5A" w:rsidRPr="003B26B1">
        <w:rPr>
          <w:rFonts w:ascii="Arial" w:hAnsi="Arial" w:cs="Arial"/>
          <w:b/>
          <w:bCs/>
          <w:i w:val="0"/>
          <w:iCs w:val="0"/>
          <w:color w:val="auto"/>
          <w:sz w:val="20"/>
          <w:szCs w:val="20"/>
        </w:rPr>
        <w:fldChar w:fldCharType="separate"/>
      </w:r>
      <w:r w:rsidR="006A4894" w:rsidRPr="003B26B1">
        <w:rPr>
          <w:rFonts w:ascii="Arial" w:hAnsi="Arial" w:cs="Arial"/>
          <w:b/>
          <w:bCs/>
          <w:i w:val="0"/>
          <w:iCs w:val="0"/>
          <w:noProof/>
          <w:color w:val="auto"/>
          <w:sz w:val="20"/>
          <w:szCs w:val="20"/>
        </w:rPr>
        <w:t>2</w:t>
      </w:r>
      <w:r w:rsidR="00884F5A" w:rsidRPr="003B26B1">
        <w:rPr>
          <w:rFonts w:ascii="Arial" w:hAnsi="Arial" w:cs="Arial"/>
          <w:b/>
          <w:bCs/>
          <w:i w:val="0"/>
          <w:iCs w:val="0"/>
          <w:color w:val="auto"/>
          <w:sz w:val="20"/>
          <w:szCs w:val="20"/>
        </w:rPr>
        <w:fldChar w:fldCharType="end"/>
      </w:r>
      <w:r w:rsidR="006C520A">
        <w:rPr>
          <w:rFonts w:ascii="Arial" w:hAnsi="Arial" w:cs="Arial"/>
          <w:b/>
          <w:bCs/>
          <w:i w:val="0"/>
          <w:iCs w:val="0"/>
          <w:color w:val="auto"/>
          <w:sz w:val="20"/>
          <w:szCs w:val="20"/>
        </w:rPr>
        <w:t>.Effect</w:t>
      </w:r>
      <w:r w:rsidR="003B26B1" w:rsidRPr="003B26B1">
        <w:rPr>
          <w:rFonts w:ascii="Arial" w:hAnsi="Arial" w:cs="Arial"/>
          <w:b/>
          <w:bCs/>
          <w:i w:val="0"/>
          <w:iCs w:val="0"/>
          <w:color w:val="auto"/>
          <w:sz w:val="20"/>
          <w:szCs w:val="20"/>
        </w:rPr>
        <w:t xml:space="preserve"> of Microplastics at Various Concentrations P1 (0 mg/l), P2 (0.5 mg/l), P3 (1 mg/l) and P4 (1.5 mg/l) on </w:t>
      </w:r>
      <w:r w:rsidRPr="009044CD">
        <w:rPr>
          <w:rFonts w:ascii="Arial" w:hAnsi="Arial" w:cs="Arial"/>
          <w:b/>
          <w:bCs/>
          <w:color w:val="auto"/>
          <w:sz w:val="20"/>
          <w:szCs w:val="20"/>
        </w:rPr>
        <w:t>Specific Growth Rate</w:t>
      </w:r>
      <w:r w:rsidRPr="003B26B1">
        <w:rPr>
          <w:rFonts w:ascii="Arial" w:hAnsi="Arial" w:cs="Arial"/>
          <w:b/>
          <w:bCs/>
          <w:i w:val="0"/>
          <w:iCs w:val="0"/>
          <w:color w:val="auto"/>
          <w:sz w:val="20"/>
          <w:szCs w:val="20"/>
        </w:rPr>
        <w:t xml:space="preserve"> (SGR)</w:t>
      </w:r>
    </w:p>
    <w:p w:rsidR="00792742" w:rsidRPr="008F154D" w:rsidRDefault="008F154D" w:rsidP="008F154D">
      <w:pPr>
        <w:pStyle w:val="Body"/>
        <w:spacing w:after="0"/>
        <w:jc w:val="center"/>
        <w:rPr>
          <w:rFonts w:ascii="Arial" w:hAnsi="Arial" w:cs="Arial"/>
          <w:i/>
          <w:iCs/>
          <w:sz w:val="18"/>
          <w:szCs w:val="18"/>
        </w:rPr>
      </w:pPr>
      <w:r w:rsidRPr="008F154D">
        <w:rPr>
          <w:rFonts w:ascii="Arial" w:hAnsi="Arial" w:cs="Arial"/>
          <w:i/>
          <w:iCs/>
          <w:sz w:val="18"/>
          <w:szCs w:val="18"/>
        </w:rPr>
        <w:t>Exposure to polystyrene microplastics at different concentrations on the specific growth rate (SGR) in rotifers gave results that were not significantly different, P&gt;0.05</w:t>
      </w:r>
    </w:p>
    <w:p w:rsidR="008F154D" w:rsidRDefault="008F154D" w:rsidP="008F154D">
      <w:pPr>
        <w:pStyle w:val="Body"/>
        <w:spacing w:after="0"/>
        <w:jc w:val="center"/>
        <w:rPr>
          <w:rFonts w:ascii="Arial" w:hAnsi="Arial" w:cs="Arial"/>
        </w:rPr>
      </w:pPr>
    </w:p>
    <w:p w:rsidR="00105E53" w:rsidRDefault="00105E53" w:rsidP="00441B6F">
      <w:pPr>
        <w:pStyle w:val="Body"/>
        <w:spacing w:after="0"/>
        <w:rPr>
          <w:rFonts w:ascii="Arial" w:hAnsi="Arial" w:cs="Arial"/>
        </w:rPr>
      </w:pPr>
      <w:r w:rsidRPr="00105E53">
        <w:rPr>
          <w:rFonts w:ascii="Arial" w:hAnsi="Arial" w:cs="Arial"/>
        </w:rPr>
        <w:t>The relationship between polystyrene microplastic concentration and rotifer SGR shows a non-linear pattern, where increasing microplastic concentration does not always result in low SGR values, but can actually stimulate positive biological responses, such as increased reproduction or metabolism. According to Difinubun et al., (2020), several zooplankton species can usually inhibit the growth and survival of other organisms, but in extreme conditions they can survive and continue to reproduce. This ability is closely related to physiological, reproductive, and molecular adaptation mechanisms.</w:t>
      </w:r>
    </w:p>
    <w:p w:rsidR="005A4B7C" w:rsidRDefault="005A4B7C" w:rsidP="00441B6F">
      <w:pPr>
        <w:pStyle w:val="Body"/>
        <w:spacing w:after="0"/>
        <w:rPr>
          <w:rFonts w:ascii="Arial" w:hAnsi="Arial" w:cs="Arial"/>
        </w:rPr>
      </w:pPr>
    </w:p>
    <w:p w:rsidR="00D01DB9" w:rsidRDefault="00D01DB9" w:rsidP="00441B6F">
      <w:pPr>
        <w:pStyle w:val="Body"/>
        <w:spacing w:after="0"/>
        <w:rPr>
          <w:rFonts w:ascii="Arial" w:hAnsi="Arial" w:cs="Arial"/>
        </w:rPr>
      </w:pPr>
      <w:r w:rsidRPr="00D01DB9">
        <w:rPr>
          <w:rFonts w:ascii="Arial" w:hAnsi="Arial" w:cs="Arial"/>
        </w:rPr>
        <w:lastRenderedPageBreak/>
        <w:t xml:space="preserve">Rotifers are a group of microscopic zooplankton known to have high rotifer reproductive abilities and asexual reproductive strategies (parthenogenesis) where rotifers reproduce rapidly in a short time, even in challenging environmental conditions. This ability causes an increase in population growth rates at the beginning of exposure, before the accumulation of toxic effects from microplastics reaches a critical threshold. The results of this study are supported by research by Shore et al., (2021) which showed that </w:t>
      </w:r>
      <w:r w:rsidRPr="005A4B7C">
        <w:rPr>
          <w:rFonts w:ascii="Arial" w:hAnsi="Arial" w:cs="Arial"/>
          <w:i/>
          <w:iCs/>
        </w:rPr>
        <w:t>Tripneustesgratilla</w:t>
      </w:r>
      <w:r w:rsidRPr="00D01DB9">
        <w:rPr>
          <w:rFonts w:ascii="Arial" w:hAnsi="Arial" w:cs="Arial"/>
        </w:rPr>
        <w:t xml:space="preserve"> sea urchin larvae exposed to polyethylene microplastics (25-32 μm) for 5 days did not show a significant effect on their survival. In addition, research by Seong et al., (2024) also supports the results of this study. In this study, no effect was found on the survival of rotifers when exposed to polystyrene microplastics (0, 20 and 200 particles/ml) for 14 days. Research from Yu et al., (2020) also stated that exposure to polystyrene microplastics (0.5 and 6 μm, 1-10 mg/l) for 96 hours to a long period (14 days) had no lethal effect and resulted in more than 80% survival in </w:t>
      </w:r>
      <w:r w:rsidRPr="004C5520">
        <w:rPr>
          <w:rFonts w:ascii="Arial" w:hAnsi="Arial" w:cs="Arial"/>
          <w:i/>
          <w:iCs/>
        </w:rPr>
        <w:t>Tigriopus japonicus</w:t>
      </w:r>
      <w:r w:rsidRPr="00D01DB9">
        <w:rPr>
          <w:rFonts w:ascii="Arial" w:hAnsi="Arial" w:cs="Arial"/>
        </w:rPr>
        <w:t xml:space="preserve"> larvae.</w:t>
      </w:r>
    </w:p>
    <w:p w:rsidR="00105E53" w:rsidRDefault="00105E53" w:rsidP="00441B6F">
      <w:pPr>
        <w:pStyle w:val="Body"/>
        <w:spacing w:after="0"/>
        <w:rPr>
          <w:rFonts w:ascii="Arial" w:hAnsi="Arial" w:cs="Arial"/>
        </w:rPr>
      </w:pPr>
    </w:p>
    <w:p w:rsidR="00F113CD" w:rsidRPr="00637E51" w:rsidRDefault="00F113CD" w:rsidP="00F113CD">
      <w:pPr>
        <w:pStyle w:val="Body"/>
        <w:spacing w:after="0"/>
        <w:rPr>
          <w:rFonts w:ascii="Arial" w:hAnsi="Arial" w:cs="Arial"/>
          <w:b/>
          <w:bCs/>
          <w:sz w:val="22"/>
          <w:szCs w:val="22"/>
        </w:rPr>
      </w:pPr>
      <w:r w:rsidRPr="00637E51">
        <w:rPr>
          <w:rFonts w:ascii="Arial" w:hAnsi="Arial" w:cs="Arial"/>
          <w:b/>
          <w:bCs/>
          <w:sz w:val="22"/>
          <w:szCs w:val="22"/>
        </w:rPr>
        <w:t>3.3 Abundance of Microplastics in Rotifers</w:t>
      </w:r>
    </w:p>
    <w:p w:rsidR="00F113CD" w:rsidRPr="00F113CD" w:rsidRDefault="00F113CD" w:rsidP="00F113CD">
      <w:pPr>
        <w:pStyle w:val="Body"/>
        <w:spacing w:after="0"/>
        <w:rPr>
          <w:rFonts w:ascii="Arial" w:hAnsi="Arial" w:cs="Arial"/>
        </w:rPr>
      </w:pPr>
    </w:p>
    <w:p w:rsidR="00F113CD" w:rsidRDefault="00F113CD" w:rsidP="00F113CD">
      <w:pPr>
        <w:pStyle w:val="Body"/>
        <w:spacing w:after="0"/>
        <w:rPr>
          <w:rFonts w:ascii="Arial" w:hAnsi="Arial" w:cs="Arial"/>
        </w:rPr>
      </w:pPr>
      <w:r w:rsidRPr="00F113CD">
        <w:rPr>
          <w:rFonts w:ascii="Arial" w:hAnsi="Arial" w:cs="Arial"/>
        </w:rPr>
        <w:t>Based on the results of the Analysis of Variance (ANOVA) test, it showed that exposure to polystyrene microplastics with different doses gave significantly different results (&lt;0.05) on the abundance of microplastics in rotifers. So that a further Duncan test was carried out, the results of the Duncan test where the P1 treatment (0 mg/l) was not significantly different from the P2 (0.5 mg/l) and P3 (1 mg/l) treatments but were significantly different from P4 (1.5 mg/l). The highest abundance of microplastics in rotifers was in the P4 treatment, namely P4 (1.5 mg/l) with an average value of 0.33 particles/ind and the lowest in P1 (0 mg/l) there were microplastics with an average value of 0.01 particles/ind.</w:t>
      </w:r>
    </w:p>
    <w:p w:rsidR="00F113CD" w:rsidRDefault="00F113CD" w:rsidP="00F113CD">
      <w:pPr>
        <w:pStyle w:val="Body"/>
        <w:spacing w:after="0"/>
        <w:rPr>
          <w:rFonts w:ascii="Arial" w:hAnsi="Arial" w:cs="Arial"/>
        </w:rPr>
      </w:pPr>
    </w:p>
    <w:p w:rsidR="00A13ECA" w:rsidRDefault="0009187D" w:rsidP="00A13ECA">
      <w:pPr>
        <w:pStyle w:val="Body"/>
        <w:keepNext/>
        <w:spacing w:after="0"/>
        <w:jc w:val="center"/>
      </w:pPr>
      <w:r w:rsidRPr="006A4894">
        <w:rPr>
          <w:rFonts w:ascii="Arial" w:hAnsi="Arial" w:cs="Arial"/>
          <w:noProof/>
          <w:lang w:bidi="hi-IN"/>
        </w:rPr>
        <w:drawing>
          <wp:inline distT="0" distB="0" distL="0" distR="0">
            <wp:extent cx="3600000" cy="2160000"/>
            <wp:effectExtent l="0" t="0" r="635" b="12065"/>
            <wp:docPr id="25002161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2E162F3-D11E-D237-BBF3-E277AEA032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38F0" w:rsidRDefault="008138F0" w:rsidP="00A13ECA">
      <w:pPr>
        <w:pStyle w:val="Body"/>
        <w:keepNext/>
        <w:spacing w:after="0"/>
        <w:jc w:val="center"/>
      </w:pPr>
    </w:p>
    <w:p w:rsidR="00105E53" w:rsidRDefault="00A13ECA" w:rsidP="008138F0">
      <w:pPr>
        <w:pStyle w:val="Caption"/>
        <w:spacing w:after="0"/>
        <w:jc w:val="center"/>
        <w:rPr>
          <w:rFonts w:ascii="Arial" w:hAnsi="Arial" w:cs="Arial"/>
          <w:b/>
          <w:bCs/>
          <w:i w:val="0"/>
          <w:iCs w:val="0"/>
          <w:color w:val="auto"/>
          <w:sz w:val="20"/>
          <w:szCs w:val="20"/>
        </w:rPr>
      </w:pPr>
      <w:r w:rsidRPr="008138F0">
        <w:rPr>
          <w:rFonts w:ascii="Arial" w:hAnsi="Arial" w:cs="Arial"/>
          <w:b/>
          <w:bCs/>
          <w:i w:val="0"/>
          <w:iCs w:val="0"/>
          <w:color w:val="auto"/>
          <w:sz w:val="20"/>
          <w:szCs w:val="20"/>
        </w:rPr>
        <w:t>Fig</w:t>
      </w:r>
      <w:r w:rsidR="00884F5A" w:rsidRPr="008138F0">
        <w:rPr>
          <w:rFonts w:ascii="Arial" w:hAnsi="Arial" w:cs="Arial"/>
          <w:b/>
          <w:bCs/>
          <w:i w:val="0"/>
          <w:iCs w:val="0"/>
          <w:color w:val="auto"/>
          <w:sz w:val="20"/>
          <w:szCs w:val="20"/>
        </w:rPr>
        <w:fldChar w:fldCharType="begin"/>
      </w:r>
      <w:r w:rsidRPr="008138F0">
        <w:rPr>
          <w:rFonts w:ascii="Arial" w:hAnsi="Arial" w:cs="Arial"/>
          <w:b/>
          <w:bCs/>
          <w:i w:val="0"/>
          <w:iCs w:val="0"/>
          <w:color w:val="auto"/>
          <w:sz w:val="20"/>
          <w:szCs w:val="20"/>
        </w:rPr>
        <w:instrText xml:space="preserve"> SEQ Fig_3. \* ARABIC </w:instrText>
      </w:r>
      <w:r w:rsidR="00884F5A" w:rsidRPr="008138F0">
        <w:rPr>
          <w:rFonts w:ascii="Arial" w:hAnsi="Arial" w:cs="Arial"/>
          <w:b/>
          <w:bCs/>
          <w:i w:val="0"/>
          <w:iCs w:val="0"/>
          <w:color w:val="auto"/>
          <w:sz w:val="20"/>
          <w:szCs w:val="20"/>
        </w:rPr>
        <w:fldChar w:fldCharType="separate"/>
      </w:r>
      <w:r w:rsidR="006A4894" w:rsidRPr="008138F0">
        <w:rPr>
          <w:rFonts w:ascii="Arial" w:hAnsi="Arial" w:cs="Arial"/>
          <w:b/>
          <w:bCs/>
          <w:i w:val="0"/>
          <w:iCs w:val="0"/>
          <w:noProof/>
          <w:color w:val="auto"/>
          <w:sz w:val="20"/>
          <w:szCs w:val="20"/>
        </w:rPr>
        <w:t>3</w:t>
      </w:r>
      <w:r w:rsidR="00884F5A" w:rsidRPr="008138F0">
        <w:rPr>
          <w:rFonts w:ascii="Arial" w:hAnsi="Arial" w:cs="Arial"/>
          <w:b/>
          <w:bCs/>
          <w:i w:val="0"/>
          <w:iCs w:val="0"/>
          <w:color w:val="auto"/>
          <w:sz w:val="20"/>
          <w:szCs w:val="20"/>
        </w:rPr>
        <w:fldChar w:fldCharType="end"/>
      </w:r>
      <w:r w:rsidR="008138F0">
        <w:rPr>
          <w:rFonts w:ascii="Arial" w:hAnsi="Arial" w:cs="Arial"/>
          <w:b/>
          <w:bCs/>
          <w:i w:val="0"/>
          <w:iCs w:val="0"/>
          <w:color w:val="auto"/>
          <w:sz w:val="20"/>
          <w:szCs w:val="20"/>
        </w:rPr>
        <w:t>.</w:t>
      </w:r>
      <w:r w:rsidR="008138F0" w:rsidRPr="008138F0">
        <w:rPr>
          <w:rFonts w:ascii="Arial" w:hAnsi="Arial" w:cs="Arial"/>
          <w:b/>
          <w:bCs/>
          <w:i w:val="0"/>
          <w:iCs w:val="0"/>
          <w:color w:val="auto"/>
          <w:sz w:val="20"/>
          <w:szCs w:val="20"/>
        </w:rPr>
        <w:t>Microplastic Abundance in Rotifers at Various Concentrations P1 (0 mg/l), P2 (0.5 mg/l), P3 (1 mg/l) and P4 (1.5 mg/l)</w:t>
      </w:r>
    </w:p>
    <w:p w:rsidR="00C26DCD" w:rsidRPr="000E066D" w:rsidRDefault="000E066D" w:rsidP="00C26DCD">
      <w:pPr>
        <w:jc w:val="center"/>
        <w:rPr>
          <w:rFonts w:ascii="Arial" w:hAnsi="Arial" w:cs="Arial"/>
          <w:i/>
          <w:iCs/>
          <w:sz w:val="18"/>
          <w:szCs w:val="18"/>
        </w:rPr>
      </w:pPr>
      <w:r w:rsidRPr="000E066D">
        <w:rPr>
          <w:rFonts w:ascii="Arial" w:hAnsi="Arial" w:cs="Arial"/>
          <w:i/>
          <w:iCs/>
          <w:sz w:val="18"/>
          <w:szCs w:val="18"/>
        </w:rPr>
        <w:t>Exposure to polystyrene microplastics at different concentrations on the abundance of microplastics in rotifers gave significantly different results, P&lt;0.05</w:t>
      </w:r>
    </w:p>
    <w:p w:rsidR="008138F0" w:rsidRPr="000E066D" w:rsidRDefault="008138F0" w:rsidP="008138F0">
      <w:pPr>
        <w:rPr>
          <w:rFonts w:ascii="Arial" w:hAnsi="Arial" w:cs="Arial"/>
        </w:rPr>
      </w:pPr>
    </w:p>
    <w:p w:rsidR="006B66DD" w:rsidRDefault="00A13ECA" w:rsidP="00441B6F">
      <w:pPr>
        <w:pStyle w:val="Body"/>
        <w:spacing w:after="0"/>
        <w:rPr>
          <w:rFonts w:ascii="Arial" w:hAnsi="Arial" w:cs="Arial"/>
        </w:rPr>
      </w:pPr>
      <w:r w:rsidRPr="00A13ECA">
        <w:rPr>
          <w:rFonts w:ascii="Arial" w:hAnsi="Arial" w:cs="Arial"/>
        </w:rPr>
        <w:t xml:space="preserve">The highest abundance of polystyrene microplastics was found in the P4 treatment (1.5 mg/l) of 0.33 particles/ind. This shows that rotifers are able to consume microplastics according to the increasing concentration in the environment. In accordance with its nature as a filter-feeder organism that actively filters particles from water to obtain food. that </w:t>
      </w:r>
      <w:r w:rsidRPr="00A13ECA">
        <w:rPr>
          <w:rFonts w:ascii="Arial" w:hAnsi="Arial" w:cs="Arial"/>
          <w:i/>
          <w:iCs/>
        </w:rPr>
        <w:t>Brachionusplicatilis</w:t>
      </w:r>
      <w:r w:rsidRPr="00A13ECA">
        <w:rPr>
          <w:rFonts w:ascii="Arial" w:hAnsi="Arial" w:cs="Arial"/>
        </w:rPr>
        <w:t xml:space="preserve"> is able to accumulate polystyrene (PS) microplastics in increasing amounts along with increasing concentrations of microplastics in the environment. They found that exposure to PS microplastics causes an increase in the number of particles in the organism's body and has an impact on metabolic activity. In addition, research from Hwang </w:t>
      </w:r>
      <w:r w:rsidRPr="00A13ECA">
        <w:rPr>
          <w:rFonts w:ascii="Arial" w:hAnsi="Arial" w:cs="Arial"/>
        </w:rPr>
        <w:lastRenderedPageBreak/>
        <w:t xml:space="preserve">et al., (2020) also supports the results of this study, which shows that </w:t>
      </w:r>
      <w:r w:rsidRPr="00A13ECA">
        <w:rPr>
          <w:rFonts w:ascii="Arial" w:hAnsi="Arial" w:cs="Arial"/>
          <w:i/>
          <w:iCs/>
        </w:rPr>
        <w:t>Brachionuskoreanus</w:t>
      </w:r>
      <w:r w:rsidRPr="00A13ECA">
        <w:rPr>
          <w:rFonts w:ascii="Arial" w:hAnsi="Arial" w:cs="Arial"/>
        </w:rPr>
        <w:t xml:space="preserve"> rotifers exposed to non-functional PS microplastics with particle sizes of 0.05 µm, 0.5 µm, and 6 µm. They found that rotifers can ingest microplastics and the amount accumulated increases with increasing exposure concentration. This study also states that microplastics can affect physiological processes and reproductive rates.</w:t>
      </w:r>
    </w:p>
    <w:p w:rsidR="00A13ECA" w:rsidRDefault="00A13ECA" w:rsidP="00441B6F">
      <w:pPr>
        <w:pStyle w:val="Body"/>
        <w:spacing w:after="0"/>
        <w:rPr>
          <w:rFonts w:ascii="Arial" w:hAnsi="Arial" w:cs="Arial"/>
        </w:rPr>
      </w:pPr>
    </w:p>
    <w:p w:rsidR="00A13ECA" w:rsidRDefault="00A13ECA" w:rsidP="00441B6F">
      <w:pPr>
        <w:pStyle w:val="Body"/>
        <w:spacing w:after="0"/>
        <w:rPr>
          <w:rFonts w:ascii="Arial" w:hAnsi="Arial" w:cs="Arial"/>
        </w:rPr>
      </w:pPr>
      <w:r w:rsidRPr="00A13ECA">
        <w:rPr>
          <w:rFonts w:ascii="Arial" w:hAnsi="Arial" w:cs="Arial"/>
        </w:rPr>
        <w:t>Zooplankton that eat microplastics can be eaten by shrimp which are organisms from a higher trophic level so that the impact will be the transfer of microplastics in the food chain and cause accumulation in the food web. Small microplastics have the potential to block digestive organs, damage cells, or even release hazardous chemical compounds, such as plastic additives, which are toxic.</w:t>
      </w:r>
    </w:p>
    <w:p w:rsidR="006B66DD" w:rsidRDefault="006B66DD" w:rsidP="00441B6F">
      <w:pPr>
        <w:pStyle w:val="Body"/>
        <w:spacing w:after="0"/>
        <w:rPr>
          <w:rFonts w:ascii="Arial" w:hAnsi="Arial" w:cs="Arial"/>
        </w:rPr>
      </w:pPr>
    </w:p>
    <w:p w:rsidR="007B39EB" w:rsidRPr="00637E51" w:rsidRDefault="0027356F" w:rsidP="007B39EB">
      <w:pPr>
        <w:pStyle w:val="Body"/>
        <w:spacing w:after="0"/>
        <w:rPr>
          <w:rFonts w:ascii="Arial" w:hAnsi="Arial" w:cs="Arial"/>
          <w:b/>
          <w:bCs/>
          <w:sz w:val="22"/>
          <w:szCs w:val="22"/>
        </w:rPr>
      </w:pPr>
      <w:r w:rsidRPr="00637E51">
        <w:rPr>
          <w:rFonts w:ascii="Arial" w:hAnsi="Arial" w:cs="Arial"/>
          <w:b/>
          <w:bCs/>
          <w:sz w:val="22"/>
          <w:szCs w:val="22"/>
        </w:rPr>
        <w:t xml:space="preserve">3.4 </w:t>
      </w:r>
      <w:r w:rsidR="00E26DEC" w:rsidRPr="00637E51">
        <w:rPr>
          <w:rFonts w:ascii="Arial" w:hAnsi="Arial" w:cs="Arial"/>
          <w:b/>
          <w:bCs/>
          <w:sz w:val="22"/>
          <w:szCs w:val="22"/>
        </w:rPr>
        <w:t>Rotifera Length Growth Rate</w:t>
      </w:r>
    </w:p>
    <w:p w:rsidR="007B39EB" w:rsidRPr="007B39EB" w:rsidRDefault="007B39EB" w:rsidP="007B39EB">
      <w:pPr>
        <w:pStyle w:val="Body"/>
        <w:spacing w:after="0"/>
        <w:rPr>
          <w:rFonts w:ascii="Arial" w:hAnsi="Arial" w:cs="Arial"/>
        </w:rPr>
      </w:pPr>
    </w:p>
    <w:p w:rsidR="006B66DD" w:rsidRDefault="007B39EB" w:rsidP="007B39EB">
      <w:pPr>
        <w:pStyle w:val="Body"/>
        <w:spacing w:after="0"/>
        <w:rPr>
          <w:rFonts w:ascii="Arial" w:hAnsi="Arial" w:cs="Arial"/>
        </w:rPr>
      </w:pPr>
      <w:r w:rsidRPr="007B39EB">
        <w:rPr>
          <w:rFonts w:ascii="Arial" w:hAnsi="Arial" w:cs="Arial"/>
        </w:rPr>
        <w:t>Based on the results of the Analysis of Variance (ANOVA) test with a 95% confidence level, it shows that exposure to polystyrene microplastics with different doses gives significantly different results (&lt;0.05) on the growth rate of rotifers. So that a further Duncan test was carried out, the results of the Duncan test where the treatment of P1 (0 mg/l) was significantly different from the treatment of P2 (0.5 mg/l), and P4 (1.5 mg/l) but not significantly different from P3 (1 mg/l). The average length of the lorica rotifer in all treatments ranged from 110.0-166.7 μm. The growth rate of the length of rotifers exposed to polystyrene microplastics showed a decrease with a negative average value, which ranged from (-0.8) - (-2.1) μm. The average value of the growth rate of rotifer length at P1 (0 mg/l) was -0.8 μm, then at P3 (1 mg/l) it was -1.1 μm, then P4 (1.5 mg/l) it was -2.0 μm, and P2 (0.5 mg/l) μm showed a significant decrease with an average value of -2.1 μm.</w:t>
      </w:r>
    </w:p>
    <w:p w:rsidR="006C520A" w:rsidRDefault="006C520A" w:rsidP="007B39EB">
      <w:pPr>
        <w:pStyle w:val="Body"/>
        <w:spacing w:after="0"/>
        <w:rPr>
          <w:rFonts w:ascii="Arial" w:hAnsi="Arial" w:cs="Arial"/>
        </w:rPr>
      </w:pPr>
    </w:p>
    <w:p w:rsidR="006A4894" w:rsidRDefault="00FE35F5" w:rsidP="006A4894">
      <w:pPr>
        <w:pStyle w:val="Body"/>
        <w:keepNext/>
        <w:spacing w:after="0"/>
        <w:jc w:val="center"/>
      </w:pPr>
      <w:r w:rsidRPr="006A4894">
        <w:rPr>
          <w:rFonts w:ascii="Arial" w:hAnsi="Arial" w:cs="Arial"/>
          <w:noProof/>
          <w:lang w:bidi="hi-IN"/>
        </w:rPr>
        <w:drawing>
          <wp:inline distT="0" distB="0" distL="0" distR="0">
            <wp:extent cx="3600000" cy="2160000"/>
            <wp:effectExtent l="0" t="0" r="635" b="12065"/>
            <wp:docPr id="1047407535"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52A9588-DBAF-9AFE-4C85-D2368F057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C520A" w:rsidRDefault="006C520A" w:rsidP="006A4894">
      <w:pPr>
        <w:pStyle w:val="Body"/>
        <w:keepNext/>
        <w:spacing w:after="0"/>
        <w:jc w:val="center"/>
      </w:pPr>
    </w:p>
    <w:p w:rsidR="006B66DD" w:rsidRDefault="006A4894" w:rsidP="006A4894">
      <w:pPr>
        <w:pStyle w:val="Caption"/>
        <w:spacing w:after="0"/>
        <w:jc w:val="center"/>
        <w:rPr>
          <w:rFonts w:ascii="Arial" w:hAnsi="Arial" w:cs="Arial"/>
          <w:b/>
          <w:bCs/>
          <w:i w:val="0"/>
          <w:iCs w:val="0"/>
          <w:color w:val="auto"/>
          <w:sz w:val="20"/>
          <w:szCs w:val="20"/>
        </w:rPr>
      </w:pPr>
      <w:r w:rsidRPr="006C520A">
        <w:rPr>
          <w:rFonts w:ascii="Arial" w:hAnsi="Arial" w:cs="Arial"/>
          <w:b/>
          <w:bCs/>
          <w:i w:val="0"/>
          <w:iCs w:val="0"/>
          <w:color w:val="auto"/>
          <w:sz w:val="20"/>
          <w:szCs w:val="20"/>
        </w:rPr>
        <w:t xml:space="preserve">Fig </w:t>
      </w:r>
      <w:r w:rsidR="00884F5A" w:rsidRPr="006C520A">
        <w:rPr>
          <w:rFonts w:ascii="Arial" w:hAnsi="Arial" w:cs="Arial"/>
          <w:b/>
          <w:bCs/>
          <w:i w:val="0"/>
          <w:iCs w:val="0"/>
          <w:color w:val="auto"/>
          <w:sz w:val="20"/>
          <w:szCs w:val="20"/>
        </w:rPr>
        <w:fldChar w:fldCharType="begin"/>
      </w:r>
      <w:r w:rsidRPr="006C520A">
        <w:rPr>
          <w:rFonts w:ascii="Arial" w:hAnsi="Arial" w:cs="Arial"/>
          <w:b/>
          <w:bCs/>
          <w:i w:val="0"/>
          <w:iCs w:val="0"/>
          <w:color w:val="auto"/>
          <w:sz w:val="20"/>
          <w:szCs w:val="20"/>
        </w:rPr>
        <w:instrText xml:space="preserve"> SEQ Fig_3. \* ARABIC </w:instrText>
      </w:r>
      <w:r w:rsidR="00884F5A" w:rsidRPr="006C520A">
        <w:rPr>
          <w:rFonts w:ascii="Arial" w:hAnsi="Arial" w:cs="Arial"/>
          <w:b/>
          <w:bCs/>
          <w:i w:val="0"/>
          <w:iCs w:val="0"/>
          <w:color w:val="auto"/>
          <w:sz w:val="20"/>
          <w:szCs w:val="20"/>
        </w:rPr>
        <w:fldChar w:fldCharType="separate"/>
      </w:r>
      <w:r w:rsidRPr="006C520A">
        <w:rPr>
          <w:rFonts w:ascii="Arial" w:hAnsi="Arial" w:cs="Arial"/>
          <w:b/>
          <w:bCs/>
          <w:i w:val="0"/>
          <w:iCs w:val="0"/>
          <w:noProof/>
          <w:color w:val="auto"/>
          <w:sz w:val="20"/>
          <w:szCs w:val="20"/>
        </w:rPr>
        <w:t>4</w:t>
      </w:r>
      <w:r w:rsidR="00884F5A" w:rsidRPr="006C520A">
        <w:rPr>
          <w:rFonts w:ascii="Arial" w:hAnsi="Arial" w:cs="Arial"/>
          <w:b/>
          <w:bCs/>
          <w:i w:val="0"/>
          <w:iCs w:val="0"/>
          <w:color w:val="auto"/>
          <w:sz w:val="20"/>
          <w:szCs w:val="20"/>
        </w:rPr>
        <w:fldChar w:fldCharType="end"/>
      </w:r>
      <w:r w:rsidR="006C520A" w:rsidRPr="006C520A">
        <w:rPr>
          <w:rFonts w:ascii="Arial" w:hAnsi="Arial" w:cs="Arial"/>
          <w:b/>
          <w:bCs/>
          <w:i w:val="0"/>
          <w:iCs w:val="0"/>
          <w:color w:val="auto"/>
          <w:sz w:val="20"/>
          <w:szCs w:val="20"/>
        </w:rPr>
        <w:t>.</w:t>
      </w:r>
      <w:r w:rsidR="006C520A">
        <w:rPr>
          <w:rFonts w:ascii="Arial" w:hAnsi="Arial" w:cs="Arial"/>
          <w:b/>
          <w:bCs/>
          <w:i w:val="0"/>
          <w:iCs w:val="0"/>
          <w:color w:val="auto"/>
          <w:sz w:val="20"/>
          <w:szCs w:val="20"/>
        </w:rPr>
        <w:t>Effect</w:t>
      </w:r>
      <w:r w:rsidR="006C520A" w:rsidRPr="003B26B1">
        <w:rPr>
          <w:rFonts w:ascii="Arial" w:hAnsi="Arial" w:cs="Arial"/>
          <w:b/>
          <w:bCs/>
          <w:i w:val="0"/>
          <w:iCs w:val="0"/>
          <w:color w:val="auto"/>
          <w:sz w:val="20"/>
          <w:szCs w:val="20"/>
        </w:rPr>
        <w:t xml:space="preserve"> of Microplastics at Various Concentrations P1 (0 mg/l), P2 (0.5 mg/l), P3 (1 mg/l) and P4 (1.5 mg/l) on</w:t>
      </w:r>
      <w:r w:rsidRPr="006C520A">
        <w:rPr>
          <w:rFonts w:ascii="Arial" w:hAnsi="Arial" w:cs="Arial"/>
          <w:b/>
          <w:bCs/>
          <w:i w:val="0"/>
          <w:iCs w:val="0"/>
          <w:color w:val="auto"/>
          <w:sz w:val="20"/>
          <w:szCs w:val="20"/>
        </w:rPr>
        <w:t>Length Growth Rate</w:t>
      </w:r>
    </w:p>
    <w:p w:rsidR="006B66DD" w:rsidRDefault="00F20967" w:rsidP="00F20967">
      <w:pPr>
        <w:pStyle w:val="Body"/>
        <w:spacing w:after="0"/>
        <w:jc w:val="center"/>
        <w:rPr>
          <w:rFonts w:ascii="Arial" w:hAnsi="Arial" w:cs="Arial"/>
          <w:i/>
          <w:iCs/>
          <w:sz w:val="18"/>
          <w:szCs w:val="18"/>
        </w:rPr>
      </w:pPr>
      <w:r w:rsidRPr="00F20967">
        <w:rPr>
          <w:rFonts w:ascii="Arial" w:hAnsi="Arial" w:cs="Arial"/>
          <w:i/>
          <w:iCs/>
          <w:sz w:val="18"/>
          <w:szCs w:val="18"/>
        </w:rPr>
        <w:t>Exposure to polystyrene microplastics at different concentrations on the growth rate of rotifer length gave significantly different results, P&lt;0.05</w:t>
      </w:r>
    </w:p>
    <w:p w:rsidR="00637E51" w:rsidRPr="00637E51" w:rsidRDefault="00637E51" w:rsidP="00F20967">
      <w:pPr>
        <w:pStyle w:val="Body"/>
        <w:spacing w:after="0"/>
        <w:jc w:val="center"/>
        <w:rPr>
          <w:rFonts w:ascii="Arial" w:hAnsi="Arial" w:cs="Arial"/>
          <w:sz w:val="18"/>
          <w:szCs w:val="18"/>
        </w:rPr>
      </w:pPr>
    </w:p>
    <w:p w:rsidR="006A4894" w:rsidRDefault="006A4894" w:rsidP="00441B6F">
      <w:pPr>
        <w:pStyle w:val="Body"/>
        <w:spacing w:after="0"/>
        <w:rPr>
          <w:rFonts w:ascii="Arial" w:hAnsi="Arial" w:cs="Arial"/>
        </w:rPr>
      </w:pPr>
      <w:r w:rsidRPr="006A4894">
        <w:rPr>
          <w:rFonts w:ascii="Arial" w:hAnsi="Arial" w:cs="Arial"/>
        </w:rPr>
        <w:t xml:space="preserve">The results of this study indicate a negative correlation between the dose of microplastics and the growth rate of rotifer length, where the higher the dose of microplastics exposed, the greater the shrinkage in body length that occurs. This is in line with the statement of </w:t>
      </w:r>
      <w:r w:rsidR="002E5D99" w:rsidRPr="006A4894">
        <w:rPr>
          <w:rFonts w:ascii="Arial" w:hAnsi="Arial" w:cs="Arial"/>
        </w:rPr>
        <w:t>Supit</w:t>
      </w:r>
      <w:r w:rsidRPr="006A4894">
        <w:rPr>
          <w:rFonts w:ascii="Arial" w:hAnsi="Arial" w:cs="Arial"/>
        </w:rPr>
        <w:t xml:space="preserve"> et al., (2022) which states that Brachionuskoreanus exposed to microplastics of various sizes (0.05, 0.5 and 6 μm) although not statistically significant, but provides physiological stress that can interfere with metabolic processes, growth, lifespan, reproduction, and body size.</w:t>
      </w:r>
    </w:p>
    <w:p w:rsidR="00524594" w:rsidRDefault="00524594" w:rsidP="00441B6F">
      <w:pPr>
        <w:pStyle w:val="Body"/>
        <w:spacing w:after="0"/>
        <w:rPr>
          <w:rFonts w:ascii="Arial" w:hAnsi="Arial" w:cs="Arial"/>
        </w:rPr>
      </w:pPr>
    </w:p>
    <w:p w:rsidR="00524594" w:rsidRDefault="00524594" w:rsidP="00441B6F">
      <w:pPr>
        <w:pStyle w:val="Body"/>
        <w:spacing w:after="0"/>
        <w:rPr>
          <w:rFonts w:ascii="Arial" w:hAnsi="Arial" w:cs="Arial"/>
        </w:rPr>
      </w:pPr>
      <w:r w:rsidRPr="00524594">
        <w:rPr>
          <w:rFonts w:ascii="Arial" w:hAnsi="Arial" w:cs="Arial"/>
        </w:rPr>
        <w:lastRenderedPageBreak/>
        <w:t>As microscopic organisms, rotifers have very small body growth limits. Changes in body size due to environmental influences may be too small to be detected statistically significantly, even though exposure lasts a long time. This indicates that the morphological response of rotifers to environmental pressures undergoes a polymorphism phenomenon. Polymorphism is generally associated with the emergence of morphological or physiological variations in a population such as adjustments in the size or structure of the lorikeet to reduce the entry of foreign particles into the body as a form of defense due to environmental pressures, such as changes in water quality, food availability, or the presence of predators. This is in line with the statement of Melke et al., (2017) which states that in the Minanga and Watuliney ponds located near the southern coast of the North Sulawesi peninsula facing the Maluku Sea, symptoms of changes in body size were found in rotifers. The two pond locations are only about 7 km apart, but the salinity conditions are very different, the Minanga pond with a salinity of 25-33 ppt, the average length and width of the rotifer lorica range between 122.0-204.8 μm and 97.2-163.4 μm, respectively, while for rotifers originating from the Watuliney pond with a salinity of 0-3 ppt, the average length and width of the lorica range between 97.2-180.0 μm and 86.9-157.2 μm, respectively.</w:t>
      </w:r>
    </w:p>
    <w:p w:rsidR="006A4894" w:rsidRDefault="006A4894" w:rsidP="00441B6F">
      <w:pPr>
        <w:pStyle w:val="Body"/>
        <w:spacing w:after="0"/>
        <w:rPr>
          <w:rFonts w:ascii="Arial" w:hAnsi="Arial" w:cs="Arial"/>
        </w:rPr>
      </w:pPr>
    </w:p>
    <w:p w:rsidR="00312FB1" w:rsidRPr="00637E51" w:rsidRDefault="00312FB1" w:rsidP="00441B6F">
      <w:pPr>
        <w:pStyle w:val="Body"/>
        <w:spacing w:after="0"/>
        <w:rPr>
          <w:rFonts w:ascii="Arial" w:hAnsi="Arial" w:cs="Arial"/>
          <w:b/>
          <w:bCs/>
          <w:sz w:val="22"/>
          <w:szCs w:val="22"/>
        </w:rPr>
      </w:pPr>
      <w:r w:rsidRPr="00637E51">
        <w:rPr>
          <w:rFonts w:ascii="Arial" w:hAnsi="Arial" w:cs="Arial"/>
          <w:b/>
          <w:bCs/>
          <w:sz w:val="22"/>
          <w:szCs w:val="22"/>
        </w:rPr>
        <w:t>3.5 Water Quality Parameters</w:t>
      </w:r>
    </w:p>
    <w:p w:rsidR="00312FB1" w:rsidRDefault="00312FB1" w:rsidP="00441B6F">
      <w:pPr>
        <w:pStyle w:val="Body"/>
        <w:spacing w:after="0"/>
        <w:rPr>
          <w:rFonts w:ascii="Arial" w:hAnsi="Arial" w:cs="Arial"/>
        </w:rPr>
      </w:pPr>
    </w:p>
    <w:p w:rsidR="00312FB1" w:rsidRDefault="00312FB1" w:rsidP="00441B6F">
      <w:pPr>
        <w:pStyle w:val="Body"/>
        <w:spacing w:after="0"/>
        <w:rPr>
          <w:rFonts w:ascii="Arial" w:hAnsi="Arial" w:cs="Arial"/>
        </w:rPr>
      </w:pPr>
      <w:r w:rsidRPr="00312FB1">
        <w:rPr>
          <w:rFonts w:ascii="Arial" w:hAnsi="Arial" w:cs="Arial"/>
        </w:rPr>
        <w:t>Water quality parameters observed during the study included physical and chemical water quality parameters, namely temperature, DO, pH, and salinity. Frequency of water quality measurements was carried out 3 times during the study, namely the beginning, middle and end.</w:t>
      </w:r>
      <w:r w:rsidR="00185D5E" w:rsidRPr="00185D5E">
        <w:rPr>
          <w:rFonts w:ascii="Arial" w:hAnsi="Arial" w:cs="Arial"/>
        </w:rPr>
        <w:t>The results obtained during the study from all parameters were optimal. The results of water quality data can be seen in Table 1.</w:t>
      </w:r>
    </w:p>
    <w:p w:rsidR="00072DB6" w:rsidRDefault="00072DB6" w:rsidP="00441B6F">
      <w:pPr>
        <w:pStyle w:val="Body"/>
        <w:spacing w:after="0"/>
        <w:rPr>
          <w:rFonts w:ascii="Arial" w:hAnsi="Arial" w:cs="Arial"/>
        </w:rPr>
      </w:pPr>
    </w:p>
    <w:p w:rsidR="00C2327C" w:rsidRDefault="00C2327C" w:rsidP="00900DDB">
      <w:pPr>
        <w:pStyle w:val="Caption"/>
        <w:keepNext/>
        <w:spacing w:after="0"/>
        <w:jc w:val="center"/>
        <w:rPr>
          <w:rFonts w:ascii="Arial" w:hAnsi="Arial" w:cs="Arial"/>
          <w:i w:val="0"/>
          <w:iCs w:val="0"/>
          <w:color w:val="auto"/>
          <w:sz w:val="20"/>
          <w:szCs w:val="20"/>
        </w:rPr>
      </w:pPr>
      <w:r w:rsidRPr="00900DDB">
        <w:rPr>
          <w:rFonts w:ascii="Arial" w:hAnsi="Arial" w:cs="Arial"/>
          <w:i w:val="0"/>
          <w:iCs w:val="0"/>
          <w:color w:val="auto"/>
          <w:sz w:val="20"/>
          <w:szCs w:val="20"/>
        </w:rPr>
        <w:t xml:space="preserve">Table </w:t>
      </w:r>
      <w:r w:rsidR="00884F5A" w:rsidRPr="00900DDB">
        <w:rPr>
          <w:rFonts w:ascii="Arial" w:hAnsi="Arial" w:cs="Arial"/>
          <w:i w:val="0"/>
          <w:iCs w:val="0"/>
          <w:color w:val="auto"/>
          <w:sz w:val="20"/>
          <w:szCs w:val="20"/>
        </w:rPr>
        <w:fldChar w:fldCharType="begin"/>
      </w:r>
      <w:r w:rsidRPr="00900DDB">
        <w:rPr>
          <w:rFonts w:ascii="Arial" w:hAnsi="Arial" w:cs="Arial"/>
          <w:i w:val="0"/>
          <w:iCs w:val="0"/>
          <w:color w:val="auto"/>
          <w:sz w:val="20"/>
          <w:szCs w:val="20"/>
        </w:rPr>
        <w:instrText xml:space="preserve"> SEQ Table_ \* ARABIC </w:instrText>
      </w:r>
      <w:r w:rsidR="00884F5A" w:rsidRPr="00900DDB">
        <w:rPr>
          <w:rFonts w:ascii="Arial" w:hAnsi="Arial" w:cs="Arial"/>
          <w:i w:val="0"/>
          <w:iCs w:val="0"/>
          <w:color w:val="auto"/>
          <w:sz w:val="20"/>
          <w:szCs w:val="20"/>
        </w:rPr>
        <w:fldChar w:fldCharType="separate"/>
      </w:r>
      <w:r w:rsidRPr="00900DDB">
        <w:rPr>
          <w:rFonts w:ascii="Arial" w:hAnsi="Arial" w:cs="Arial"/>
          <w:i w:val="0"/>
          <w:iCs w:val="0"/>
          <w:noProof/>
          <w:color w:val="auto"/>
          <w:sz w:val="20"/>
          <w:szCs w:val="20"/>
        </w:rPr>
        <w:t>1</w:t>
      </w:r>
      <w:r w:rsidR="00884F5A" w:rsidRPr="00900DDB">
        <w:rPr>
          <w:rFonts w:ascii="Arial" w:hAnsi="Arial" w:cs="Arial"/>
          <w:i w:val="0"/>
          <w:iCs w:val="0"/>
          <w:color w:val="auto"/>
          <w:sz w:val="20"/>
          <w:szCs w:val="20"/>
        </w:rPr>
        <w:fldChar w:fldCharType="end"/>
      </w:r>
      <w:r w:rsidR="00900DDB">
        <w:rPr>
          <w:rFonts w:ascii="Arial" w:hAnsi="Arial" w:cs="Arial"/>
          <w:i w:val="0"/>
          <w:iCs w:val="0"/>
          <w:color w:val="auto"/>
          <w:sz w:val="20"/>
          <w:szCs w:val="20"/>
        </w:rPr>
        <w:t>.W</w:t>
      </w:r>
      <w:r w:rsidRPr="00900DDB">
        <w:rPr>
          <w:rFonts w:ascii="Arial" w:hAnsi="Arial" w:cs="Arial"/>
          <w:i w:val="0"/>
          <w:iCs w:val="0"/>
          <w:color w:val="auto"/>
          <w:sz w:val="20"/>
          <w:szCs w:val="20"/>
        </w:rPr>
        <w:t>ater quality during maintenance</w:t>
      </w:r>
    </w:p>
    <w:p w:rsidR="00900DDB" w:rsidRPr="00900DDB" w:rsidRDefault="00900DDB" w:rsidP="00900DDB"/>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696"/>
        <w:gridCol w:w="1843"/>
        <w:gridCol w:w="1985"/>
        <w:gridCol w:w="2403"/>
      </w:tblGrid>
      <w:tr w:rsidR="00185D5E" w:rsidRPr="00185D5E" w:rsidTr="00B91306">
        <w:trPr>
          <w:jc w:val="center"/>
        </w:trPr>
        <w:tc>
          <w:tcPr>
            <w:tcW w:w="1696" w:type="dxa"/>
            <w:tcBorders>
              <w:top w:val="single" w:sz="4" w:space="0" w:color="auto"/>
              <w:bottom w:val="single" w:sz="4" w:space="0" w:color="auto"/>
            </w:tcBorders>
          </w:tcPr>
          <w:p w:rsidR="00185D5E" w:rsidRPr="00185D5E" w:rsidRDefault="009321B6"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Parameters</w:t>
            </w:r>
          </w:p>
        </w:tc>
        <w:tc>
          <w:tcPr>
            <w:tcW w:w="1843" w:type="dxa"/>
            <w:tcBorders>
              <w:top w:val="single" w:sz="4" w:space="0" w:color="auto"/>
              <w:bottom w:val="single" w:sz="4" w:space="0" w:color="auto"/>
            </w:tcBorders>
          </w:tcPr>
          <w:p w:rsidR="00185D5E" w:rsidRPr="00185D5E" w:rsidRDefault="00B8729A"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Result</w:t>
            </w:r>
          </w:p>
        </w:tc>
        <w:tc>
          <w:tcPr>
            <w:tcW w:w="1985" w:type="dxa"/>
            <w:tcBorders>
              <w:top w:val="single" w:sz="4" w:space="0" w:color="auto"/>
              <w:bottom w:val="single" w:sz="4" w:space="0" w:color="auto"/>
            </w:tcBorders>
          </w:tcPr>
          <w:p w:rsidR="00185D5E" w:rsidRPr="00185D5E" w:rsidRDefault="00F63D25"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Optimal</w:t>
            </w:r>
          </w:p>
        </w:tc>
        <w:tc>
          <w:tcPr>
            <w:tcW w:w="2403" w:type="dxa"/>
            <w:tcBorders>
              <w:top w:val="single" w:sz="4" w:space="0" w:color="auto"/>
              <w:bottom w:val="single" w:sz="4" w:space="0" w:color="auto"/>
            </w:tcBorders>
          </w:tcPr>
          <w:p w:rsidR="00185D5E" w:rsidRPr="00185D5E" w:rsidRDefault="00F63D25"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Reference</w:t>
            </w:r>
            <w:r w:rsidR="00B8729A">
              <w:rPr>
                <w:rFonts w:ascii="Arial" w:eastAsia="Times New Roman" w:hAnsi="Arial" w:cs="Arial"/>
                <w:b/>
                <w:bCs/>
                <w:sz w:val="20"/>
              </w:rPr>
              <w:t>s</w:t>
            </w:r>
          </w:p>
        </w:tc>
      </w:tr>
      <w:tr w:rsidR="00185D5E" w:rsidRPr="00185D5E" w:rsidTr="00B91306">
        <w:trPr>
          <w:jc w:val="center"/>
        </w:trPr>
        <w:tc>
          <w:tcPr>
            <w:tcW w:w="1696" w:type="dxa"/>
            <w:tcBorders>
              <w:top w:val="single" w:sz="4" w:space="0" w:color="auto"/>
            </w:tcBorders>
          </w:tcPr>
          <w:p w:rsidR="00185D5E" w:rsidRPr="00185D5E" w:rsidRDefault="000210FF" w:rsidP="00F63D25">
            <w:pPr>
              <w:pStyle w:val="Body"/>
              <w:spacing w:after="0"/>
              <w:jc w:val="left"/>
              <w:rPr>
                <w:rFonts w:ascii="Arial" w:eastAsia="Times New Roman" w:hAnsi="Arial" w:cs="Arial"/>
                <w:sz w:val="20"/>
              </w:rPr>
            </w:pPr>
            <w:r w:rsidRPr="0068579D">
              <w:rPr>
                <w:rFonts w:ascii="Arial" w:eastAsia="Times New Roman" w:hAnsi="Arial" w:cs="Arial"/>
                <w:sz w:val="20"/>
              </w:rPr>
              <w:t>Temprature</w:t>
            </w:r>
            <w:r w:rsidR="00185D5E" w:rsidRPr="00185D5E">
              <w:rPr>
                <w:rFonts w:ascii="Arial" w:eastAsia="Times New Roman" w:hAnsi="Arial" w:cs="Arial"/>
                <w:sz w:val="20"/>
              </w:rPr>
              <w:t xml:space="preserve"> (ºC)</w:t>
            </w:r>
          </w:p>
        </w:tc>
        <w:tc>
          <w:tcPr>
            <w:tcW w:w="1843" w:type="dxa"/>
            <w:tcBorders>
              <w:top w:val="single" w:sz="4" w:space="0" w:color="auto"/>
            </w:tcBorders>
          </w:tcPr>
          <w:p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28,0 – 29,9</w:t>
            </w:r>
          </w:p>
        </w:tc>
        <w:tc>
          <w:tcPr>
            <w:tcW w:w="1985" w:type="dxa"/>
            <w:tcBorders>
              <w:top w:val="single" w:sz="4" w:space="0" w:color="auto"/>
            </w:tcBorders>
          </w:tcPr>
          <w:p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22 – 30</w:t>
            </w:r>
          </w:p>
        </w:tc>
        <w:tc>
          <w:tcPr>
            <w:tcW w:w="2403" w:type="dxa"/>
            <w:tcBorders>
              <w:top w:val="single" w:sz="4" w:space="0" w:color="auto"/>
            </w:tcBorders>
          </w:tcPr>
          <w:p w:rsidR="00185D5E" w:rsidRPr="00185D5E" w:rsidRDefault="0068579D" w:rsidP="00F63D25">
            <w:pPr>
              <w:pStyle w:val="Body"/>
              <w:spacing w:after="0"/>
              <w:jc w:val="left"/>
              <w:rPr>
                <w:rFonts w:ascii="Arial" w:eastAsia="Times New Roman" w:hAnsi="Arial" w:cs="Arial"/>
                <w:sz w:val="20"/>
              </w:rPr>
            </w:pPr>
            <w:r w:rsidRPr="0068579D">
              <w:rPr>
                <w:rFonts w:ascii="Arial" w:eastAsia="Times New Roman" w:hAnsi="Arial" w:cs="Arial"/>
                <w:sz w:val="20"/>
              </w:rPr>
              <w:t>(</w:t>
            </w:r>
            <w:r w:rsidR="00884F5A"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{"citationItems":[{"id":"ITEM-1","itemData":{"DOI":"10.1002/iroh.201301714","ISSN":"15222632","abstract":"We studied the role of rotifers as grazers in hypertrophic waters, dominated by poorly edible filamentous and colonial cyanobacteria. Population growth of Anuraeopsis fissa and Brachionus angularis, from hypertrophic lake Albufera in Valencia, was followed for 15 days in three treatments of different food size fractions: (a) 0-15μm (lake water filtered through 15μm nytal sieve), (b) 0-3μm (15μm lake water filtrate filtered through 3μm nuclepore filter), and (c) 3-15μm (re-suspension, in absolute filtered lake water, of the seston collected on the 3μm filter, after passing lake water previously filtered through 15μm). None of the species grew when fed the food size fraction of 3-15μm that contained a large proportion of filamentous and colonial cyanobacteria. A. fissa showed highest growth parameters when fed the &lt;3μm food size fraction, which was mainly composed of bacterioplankton, but much reduced growth on the whole &lt;15μm seston fraction. On the other hand, B. angularis showed highest growth on the whole &lt;15μm seston fraction and a moderate growth when fed only on the &lt;3μm seston fraction. Clearance, ingestion, and assimilation rates were measured with 3H-thymidine plus 3H-leucine-labeled lake bacteria community, suspended in the 15 and 3μm lake water filtrates. B. angularis had higher rates than A. fissa, and both had higher rates when suspended in the &lt;3μm seston fraction. Our results confirm that bacteria are the dominant food source for both species in this hypertrophic lake, but clear niche differences separate them. A. fissa is more dependent on smaller food particles and is more sensitive to dense blooms of colonial and filamentous cyanobacteria than B. angularis. The distinct feeding abilities of these species shape their differential distributions in space and time. © 2014 WILEY-VCH Verlag GmbH &amp; Co. KGaA, Weinheim.","author":[{"dropping-particle":"","family":"Miracle","given":"Maria Rosa","non-dropping-particle":"","parse-names":false,"suffix":""},{"dropping-particle":"","family":"Vicente","given":"Eduardo","non-dropping-particle":"","parse-names":false,"suffix":""},{"dropping-particle":"","family":"Sarma","given":"S. S.S.","non-dropping-particle":"","parse-names":false,"suffix":""},{"dropping-particle":"","family":"Nandini","given":"S.","non-dropping-particle":"","parse-names":false,"suffix":""}],"container-title":"International Review of Hydrobiology","id":"ITEM-1","issue":"1-2","issued":{"date-parts":[["2014"]]},"page":"141-150","title":"Planktonic rotifer feeding in hypertrophic conditions","type":"article-journal","volume":"99"},"uris":["http://www.mendeley.com/documents/?uuid=ead8b6f1-eb52-4839-ac8f-98677ab9cc9e"]}],"mendeley":{"formattedCitation":"(Miracle et al., 2014)","manualFormatting":"Miracle et al., (2014)","plainTextFormattedCitation":"(Miracle et al., 2014)","previouslyFormattedCitation":"(Miracle et al., 2014)"},"properties":{"noteIndex":0},"schema":"https://github.com/citation-style-language/schema/raw/master/csl-citation.json"}</w:instrText>
            </w:r>
            <w:r w:rsidR="00884F5A" w:rsidRPr="00185D5E">
              <w:rPr>
                <w:rFonts w:ascii="Arial" w:hAnsi="Arial" w:cs="Arial"/>
              </w:rPr>
              <w:fldChar w:fldCharType="separate"/>
            </w:r>
            <w:r w:rsidR="00185D5E" w:rsidRPr="00185D5E">
              <w:rPr>
                <w:rFonts w:ascii="Arial" w:eastAsia="Times New Roman" w:hAnsi="Arial" w:cs="Arial"/>
                <w:sz w:val="20"/>
              </w:rPr>
              <w:t>Miracle et al., 2014)</w:t>
            </w:r>
            <w:r w:rsidR="00884F5A" w:rsidRPr="00185D5E">
              <w:rPr>
                <w:rFonts w:ascii="Arial" w:hAnsi="Arial" w:cs="Arial"/>
              </w:rPr>
              <w:fldChar w:fldCharType="end"/>
            </w:r>
          </w:p>
        </w:tc>
      </w:tr>
      <w:tr w:rsidR="00185D5E" w:rsidRPr="00185D5E" w:rsidTr="00B91306">
        <w:trPr>
          <w:jc w:val="center"/>
        </w:trPr>
        <w:tc>
          <w:tcPr>
            <w:tcW w:w="1696" w:type="dxa"/>
          </w:tcPr>
          <w:p w:rsidR="00185D5E" w:rsidRPr="00185D5E" w:rsidRDefault="00B91306" w:rsidP="00F63D25">
            <w:pPr>
              <w:pStyle w:val="Body"/>
              <w:spacing w:after="0"/>
              <w:jc w:val="left"/>
              <w:rPr>
                <w:rFonts w:ascii="Arial" w:eastAsia="Times New Roman" w:hAnsi="Arial" w:cs="Arial"/>
                <w:sz w:val="20"/>
              </w:rPr>
            </w:pPr>
            <w:r w:rsidRPr="0068579D">
              <w:rPr>
                <w:rFonts w:ascii="Arial" w:eastAsia="Times New Roman" w:hAnsi="Arial" w:cs="Arial"/>
                <w:sz w:val="20"/>
              </w:rPr>
              <w:t>Salinity</w:t>
            </w:r>
            <w:r w:rsidR="00185D5E" w:rsidRPr="00185D5E">
              <w:rPr>
                <w:rFonts w:ascii="Arial" w:eastAsia="Times New Roman" w:hAnsi="Arial" w:cs="Arial"/>
                <w:sz w:val="20"/>
              </w:rPr>
              <w:t xml:space="preserve"> (ppt)</w:t>
            </w:r>
          </w:p>
        </w:tc>
        <w:tc>
          <w:tcPr>
            <w:tcW w:w="1843" w:type="dxa"/>
          </w:tcPr>
          <w:p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33</w:t>
            </w:r>
          </w:p>
        </w:tc>
        <w:tc>
          <w:tcPr>
            <w:tcW w:w="1985" w:type="dxa"/>
          </w:tcPr>
          <w:p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10 – 35</w:t>
            </w:r>
          </w:p>
        </w:tc>
        <w:tc>
          <w:tcPr>
            <w:tcW w:w="2403" w:type="dxa"/>
          </w:tcPr>
          <w:p w:rsidR="00185D5E" w:rsidRPr="00185D5E" w:rsidRDefault="0068579D" w:rsidP="00F63D25">
            <w:pPr>
              <w:pStyle w:val="Body"/>
              <w:spacing w:after="0"/>
              <w:jc w:val="left"/>
              <w:rPr>
                <w:rFonts w:ascii="Arial" w:eastAsia="Times New Roman" w:hAnsi="Arial" w:cs="Arial"/>
                <w:sz w:val="20"/>
              </w:rPr>
            </w:pPr>
            <w:r w:rsidRPr="0068579D">
              <w:rPr>
                <w:rFonts w:ascii="Arial" w:eastAsia="Times New Roman" w:hAnsi="Arial" w:cs="Arial"/>
                <w:sz w:val="20"/>
              </w:rPr>
              <w:t>(</w:t>
            </w:r>
            <w:r w:rsidR="00884F5A"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{"citationItems":[{"id":"ITEM-1","itemData":{"author":[{"dropping-particle":"","family":"Khaeriyah","given":"Andi","non-dropping-particle":"","parse-names":false,"suffix":""}],"id":"ITEM-1","issued":{"date-parts":[["2013"]]},"page":"173-177","title":"Aplikasi Pemberian Alga Pasta Nannochloropsis Dengan Dosis Yang Berbeda Terhadap Pertumbuhan Rotifera Brachionus rotundiformis Skala Laboratorium","type":"article-journal","volume":"2"},"uris":["http://www.mendeley.com/documents/?uuid=430aa6dd-fd9f-4e32-814a-c0f69524855c"]}],"mendeley":{"formattedCitation":"(Khaeriyah, 2013)","manualFormatting":"Khaeriyah, (2013)","plainTextFormattedCitation":"(Khaeriyah, 2013)","previouslyFormattedCitation":"(Khaeriyah, 2013)"},"properties":{"noteIndex":0},"schema":"https://github.com/citation-style-language/schema/raw/master/csl-citation.json"}</w:instrText>
            </w:r>
            <w:r w:rsidR="00884F5A" w:rsidRPr="00185D5E">
              <w:rPr>
                <w:rFonts w:ascii="Arial" w:hAnsi="Arial" w:cs="Arial"/>
              </w:rPr>
              <w:fldChar w:fldCharType="separate"/>
            </w:r>
            <w:r w:rsidR="00185D5E" w:rsidRPr="00185D5E">
              <w:rPr>
                <w:rFonts w:ascii="Arial" w:eastAsia="Times New Roman" w:hAnsi="Arial" w:cs="Arial"/>
                <w:sz w:val="20"/>
              </w:rPr>
              <w:t>Khaeriyah, 2013)</w:t>
            </w:r>
            <w:r w:rsidR="00884F5A" w:rsidRPr="00185D5E">
              <w:rPr>
                <w:rFonts w:ascii="Arial" w:hAnsi="Arial" w:cs="Arial"/>
              </w:rPr>
              <w:fldChar w:fldCharType="end"/>
            </w:r>
          </w:p>
        </w:tc>
      </w:tr>
      <w:tr w:rsidR="00185D5E" w:rsidRPr="00185D5E" w:rsidTr="00B91306">
        <w:trPr>
          <w:jc w:val="center"/>
        </w:trPr>
        <w:tc>
          <w:tcPr>
            <w:tcW w:w="1696" w:type="dxa"/>
          </w:tcPr>
          <w:p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pH</w:t>
            </w:r>
          </w:p>
        </w:tc>
        <w:tc>
          <w:tcPr>
            <w:tcW w:w="1843" w:type="dxa"/>
          </w:tcPr>
          <w:p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7,2</w:t>
            </w:r>
          </w:p>
        </w:tc>
        <w:tc>
          <w:tcPr>
            <w:tcW w:w="1985" w:type="dxa"/>
          </w:tcPr>
          <w:p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7,5 – 8,0</w:t>
            </w:r>
          </w:p>
        </w:tc>
        <w:tc>
          <w:tcPr>
            <w:tcW w:w="2403" w:type="dxa"/>
          </w:tcPr>
          <w:p w:rsidR="00185D5E" w:rsidRPr="00185D5E" w:rsidRDefault="0068579D" w:rsidP="00F63D25">
            <w:pPr>
              <w:pStyle w:val="Body"/>
              <w:spacing w:after="0"/>
              <w:jc w:val="left"/>
              <w:rPr>
                <w:rFonts w:ascii="Arial" w:eastAsia="Times New Roman" w:hAnsi="Arial" w:cs="Arial"/>
                <w:sz w:val="20"/>
              </w:rPr>
            </w:pPr>
            <w:r w:rsidRPr="0068579D">
              <w:rPr>
                <w:rFonts w:ascii="Arial" w:eastAsia="Times New Roman" w:hAnsi="Arial" w:cs="Arial"/>
                <w:sz w:val="20"/>
              </w:rPr>
              <w:t>(</w:t>
            </w:r>
            <w:r w:rsidR="00884F5A"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{"citationItems":[{"id":"ITEM-1","itemData":{"DOI":"10.31605/siganus.v3i2.1503","ISSN":"2686-2832","abstract":"Penelitian ini bertujuan untuk mengetahui pengaruh dosis ragi roti yang berbeda terhadap kepadatan rotifera (Brachionus plicatilis). Penelitian ini dilakukan pada bulan Agustus 2021 di Laboratorium Perikanan Terpadu, Universitas Sulawesi Barat. Rotifera dikultur dengan pemberian pakan alami Nannochloropsis sp.  sebanyak 41 ml dengan penambahan berbagai dosis ragi roti. Penelitian ini menggunakan Rancangan Acak Lengkap (RAL) dengan 4 perlakuan dan 3 ulangan yaitu perlakuan A sebagai kontrol yakni penambahan ragi roti dengan dosis 0,0 mg/L, perlakuan B dosis 15,0 mg/L, perlakuan C dosis 30,0 mg/L, dan perlakuan D dosis 45,0 mg/L. Parameter yang diujikan yaitu kepadatan rotifera. Analisis data menggunakan ANOVA dengan tingkat kepercayaan 95%. Hasil uji ANOVA menunjukkan bahwa pemberian pakan ragi roti dengan dosis yang berbeda memberikan pengaruh nyata (P&lt;0,05) terhadap kepadatan rotifera pada hari ke-3 sampai hari ke-5 pemeliharaan. Kepadatan rotifera tertinggi diperoleh pada perlakuan B yakni pemeliharaan hari ke-4 dengan pakan ragi roti sebanyak 15,0 mg/L yaitu 3.999.333 ind/L, kemudian di ikuti perlakuan A (kontrol) yakni 2.999.667 ind/L, perlakuan C yakni 2.583.000 ind/L dan terendah pada perlakuan D yaitu 2.249.667 ind/L.\r A B S T R A C T\r The present study aimed to determine the effect of different doses of baker's yeast on the density of rotifers (Brachionus plicatilis). This study was conducted in August 2021 at the Integrated Fisheries Laboratory, West Sulawesi University. Rotifers were cultured with natural feed Nannochloropsis sp. with a density of 41 ml with the addition of various doses of baker's yeast. Completely Randomized Design (CRD) with 4 treatments and 3 replications, treatment was used for experimental design with the addition of baker's yeast at a dose of 0.0 mg/L, treatment B with 15.0 mg/L dose, treatment C at a dose of 30.0 mg. /L, and treatment D with 45.0 mg/L doses. The parameter tested is the density of rotifers. Data analysis used ANOVA with a 95% confidence level. The results of the ANOVA test showed that the feeding of baker's yeast with different doses had a significant effect (P&lt;0.05) on the maintenance of the density of rotifers on the 3rd to 5th day. The highest density of rotifers was obtained in treatment B, rotifers maintenance on the 4th day with 15.0 mg/L yeast feed, which was 3,999,333 ind/L, then followed by treatment A (control) which was 2,999,667 ind/L), treatment C namely 2,583,000 ind/L and the lowest in tr…","author":[{"dropping-particle":"","family":"Indriani","given":"","non-dropping-particle":"","parse-names":false,"suffix":""},{"dropping-particle":"","family":"Nur","given":"Muhammad","non-dropping-particle":"","parse-names":false,"suffix":""},{"dropping-particle":"","family":"Ansar","given":"Muhammad","non-dropping-particle":"","parse-names":false,"suffix":""},{"dropping-particle":"","family":"Lestari","given":"Dian","non-dropping-particle":"","parse-names":false,"suffix":""},{"dropping-particle":"","family":"Fitriah","given":"Reski","non-dropping-particle":"","parse-names":false,"suffix":""},{"dropping-particle":"","family":"Mahfud","given":"Chairul Rusyd","non-dropping-particle":"","parse-names":false,"suffix":""},{"dropping-particle":"","family":"Saharuddin","given":"","non-dropping-particle":"","parse-names":false,"suffix":""}],"container-title":"SIGANUS: Journal of Fisheries and Marine Science","id":"ITEM-1","issue":"2","issued":{"date-parts":[["2022"]]},"page":"229-235","title":"The Pengaruh Pemberian Ragi Roti dengan Dosis yang Berbeda Terhadap Kepadatan Rotifera (Brachionus plicatilis)","type":"article-journal","volume":"3"},"uris":["http://www.mendeley.com/documents/?uuid=0a287f0a-f870-468f-a221-8e685fa6b67e"]}],"mendeley":{"formattedCitation":"(Indriani et al., 2022)","manualFormatting":"Indriani et al., (2022)","plainTextFormattedCitation":"(Indriani et al., 2022)","previouslyFormattedCitation":"(Indriani et al., 2022)"},"properties":{"noteIndex":0},"schema":"https://github.com/citation-style-language/schema/raw/master/csl-citation.json"}</w:instrText>
            </w:r>
            <w:r w:rsidR="00884F5A" w:rsidRPr="00185D5E">
              <w:rPr>
                <w:rFonts w:ascii="Arial" w:hAnsi="Arial" w:cs="Arial"/>
              </w:rPr>
              <w:fldChar w:fldCharType="separate"/>
            </w:r>
            <w:r w:rsidR="00185D5E" w:rsidRPr="00185D5E">
              <w:rPr>
                <w:rFonts w:ascii="Arial" w:eastAsia="Times New Roman" w:hAnsi="Arial" w:cs="Arial"/>
                <w:sz w:val="20"/>
              </w:rPr>
              <w:t>Indriani et al., 2022)</w:t>
            </w:r>
            <w:r w:rsidR="00884F5A" w:rsidRPr="00185D5E">
              <w:rPr>
                <w:rFonts w:ascii="Arial" w:hAnsi="Arial" w:cs="Arial"/>
              </w:rPr>
              <w:fldChar w:fldCharType="end"/>
            </w:r>
          </w:p>
        </w:tc>
      </w:tr>
      <w:tr w:rsidR="00185D5E" w:rsidRPr="00185D5E" w:rsidTr="00B91306">
        <w:trPr>
          <w:jc w:val="center"/>
        </w:trPr>
        <w:tc>
          <w:tcPr>
            <w:tcW w:w="1696" w:type="dxa"/>
          </w:tcPr>
          <w:p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DO (mg/l)</w:t>
            </w:r>
          </w:p>
        </w:tc>
        <w:tc>
          <w:tcPr>
            <w:tcW w:w="1843" w:type="dxa"/>
          </w:tcPr>
          <w:p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5,4 – 6,8</w:t>
            </w:r>
          </w:p>
        </w:tc>
        <w:tc>
          <w:tcPr>
            <w:tcW w:w="1985" w:type="dxa"/>
          </w:tcPr>
          <w:p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&gt;4</w:t>
            </w:r>
          </w:p>
        </w:tc>
        <w:tc>
          <w:tcPr>
            <w:tcW w:w="2403" w:type="dxa"/>
          </w:tcPr>
          <w:p w:rsidR="00185D5E" w:rsidRPr="00185D5E" w:rsidRDefault="0068579D" w:rsidP="00072DB6">
            <w:pPr>
              <w:pStyle w:val="Body"/>
              <w:keepNext/>
              <w:spacing w:after="0"/>
              <w:jc w:val="left"/>
              <w:rPr>
                <w:rFonts w:ascii="Arial" w:eastAsia="Times New Roman" w:hAnsi="Arial" w:cs="Arial"/>
                <w:sz w:val="20"/>
              </w:rPr>
            </w:pPr>
            <w:r w:rsidRPr="0068579D">
              <w:rPr>
                <w:rFonts w:ascii="Arial" w:eastAsia="Times New Roman" w:hAnsi="Arial" w:cs="Arial"/>
                <w:sz w:val="20"/>
              </w:rPr>
              <w:t>(</w:t>
            </w:r>
            <w:r w:rsidR="00884F5A"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{"citationItems":[{"id":"ITEM-1","itemData":{"abstract":"Penelitian skala laboratorium dilakukan untuk mengetahui kelimpahan dan pertumbuhan optimum Brachionus sp. yang diberi pakan alami mikroalgae monospesies Nannochloropsis sp., Dunaliella sp., Iso- chsysis sp., dan Pavlova sp., dan multispesies (campuran dari keempat jenis mikroalgae). Penggunaan berba- gai jenis mikroalgae yang mengandung nutrisi yang berbeda dimaksudkan agar rotifera yang dikultur memi- liki laju pertumbuhan yang cepat dan memiliki kandungan gizi yang tinggi. Mikroalgae memiliki kepadatan maksimum yang berbeda selama kultur. Nannochloropsis memiliki kepadatan populasi yang lebih tinggi di- antara mikroalgae lainnya dalam waktu yang hampir sama. Pertumbuhan rotifera (404 ind/ml) tertinggi di- capai oleh pemberian Nannochloropsis sp., diikuti berturut-turut mikroalgae multijenis (212 ind/ml), Iso- chrysis sp. (160 ind/ml), Pavlova sp. (138 ind/ml), Dunaliella (127 ind/ml). Kultur Brachionus sp. menggu- nakan Nannochloropsis sp., memberikan hasil yang terbaik yaitu memiliki laju pertumbuhan yang paling tinggi dalam waktu yang relatif cepat. Kualitas air selama kultur turut mendukung pertumbuhan yang opti- mum bagi rotifera. Kata","author":[{"dropping-particle":"","family":"Widjaja","given":"Fifi","non-dropping-particle":"","parse-names":false,"suffix":""}],"container-title":"Jurnal Ilmu-Ilmu Perairan Dan Perikanan Indonesia","id":"ITEM-1","issue":"22","issued":{"date-parts":[["2004"]]},"page":"23-27","title":"Pendayagunaan Rotifera yang Diberi Pakan Alami Berbagai Jenis Mikroalgae ( Enchanment of Rotifer which were Nourished by Monospecies and Multispecies Microalgae )","type":"article-journal"},"uris":["http://www.mendeley.com/documents/?uuid=9a766649-bb41-4bea-95d6-d3939f9a32ba"]}],"mendeley":{"formattedCitation":"(Widjaja, 2004)","manualFormatting":"Widjaja, (2024)","plainTextFormattedCitation":"(Widjaja, 2004)","previouslyFormattedCitation":"(Widjaja, 2004)"},"properties":{"noteIndex":0},"schema":"https://github.com/citation-style-language/schema/raw/master/csl-citation.json"}</w:instrText>
            </w:r>
            <w:r w:rsidR="00884F5A" w:rsidRPr="00185D5E">
              <w:rPr>
                <w:rFonts w:ascii="Arial" w:hAnsi="Arial" w:cs="Arial"/>
              </w:rPr>
              <w:fldChar w:fldCharType="separate"/>
            </w:r>
            <w:r w:rsidR="00185D5E" w:rsidRPr="00185D5E">
              <w:rPr>
                <w:rFonts w:ascii="Arial" w:eastAsia="Times New Roman" w:hAnsi="Arial" w:cs="Arial"/>
                <w:sz w:val="20"/>
              </w:rPr>
              <w:t>Widjaja, 2024)</w:t>
            </w:r>
            <w:r w:rsidR="00884F5A" w:rsidRPr="00185D5E">
              <w:rPr>
                <w:rFonts w:ascii="Arial" w:hAnsi="Arial" w:cs="Arial"/>
              </w:rPr>
              <w:fldChar w:fldCharType="end"/>
            </w:r>
          </w:p>
        </w:tc>
      </w:tr>
    </w:tbl>
    <w:p w:rsidR="00185D5E" w:rsidRDefault="00185D5E" w:rsidP="00E277C5">
      <w:pPr>
        <w:pStyle w:val="Caption"/>
        <w:spacing w:after="0"/>
        <w:jc w:val="both"/>
        <w:rPr>
          <w:rFonts w:ascii="Arial" w:hAnsi="Arial" w:cs="Arial"/>
          <w:i w:val="0"/>
          <w:iCs w:val="0"/>
          <w:color w:val="auto"/>
          <w:sz w:val="20"/>
          <w:szCs w:val="20"/>
        </w:rPr>
      </w:pPr>
    </w:p>
    <w:p w:rsidR="00F46E4D" w:rsidRDefault="00F46E4D" w:rsidP="00E277C5">
      <w:pPr>
        <w:jc w:val="both"/>
      </w:pPr>
      <w:r>
        <w:t>The media temperature ranges from 28.0–29.9°C, which is within the optimum range for the growth of rotifers (</w:t>
      </w:r>
      <w:r w:rsidRPr="00E277C5">
        <w:rPr>
          <w:i/>
          <w:iCs/>
        </w:rPr>
        <w:t>Brachionus</w:t>
      </w:r>
      <w:r>
        <w:t xml:space="preserve"> sp.), which is 22–30°C. According to Miracle et al., (2014) stated that temperature will affect the high mortality of an organism in the early stages of life and can affect the growth or density of an organism.The salinity of the water during maintenance is around 33 ppt, which is within the tolerance range for marine rotifers such as </w:t>
      </w:r>
      <w:r w:rsidRPr="00690292">
        <w:rPr>
          <w:i/>
          <w:iCs/>
        </w:rPr>
        <w:t>Brachionusplicatilis</w:t>
      </w:r>
      <w:r>
        <w:t>. This type of rotifer is also eurthaline and can survive in a wide salinity range (5–35 ppt), but drastic changes in salinity can affect osmoregulation and the physiological efficiency of the organism. According to Khaeriyah, (2013) stated that salinity affects osmotic pressure which will directly affect the metabolic process, the respiration process, thus inhibiting the growth of vegetative cells which will then gradually affect the population density.</w:t>
      </w:r>
    </w:p>
    <w:p w:rsidR="00F46E4D" w:rsidRDefault="00F46E4D" w:rsidP="00E277C5">
      <w:pPr>
        <w:jc w:val="both"/>
      </w:pPr>
    </w:p>
    <w:p w:rsidR="002E5D99" w:rsidRDefault="00F46E4D" w:rsidP="00EA69DB">
      <w:pPr>
        <w:jc w:val="both"/>
      </w:pPr>
      <w:r>
        <w:t xml:space="preserve">The pH value during maintenance ranges from 7.2, which is neutral to slightly alkaline. This range is considered ideal because rotifers generally grow and reproduce well at pH 6.5–8.5. According to </w:t>
      </w:r>
      <w:r w:rsidRPr="002E5D99">
        <w:rPr>
          <w:highlight w:val="yellow"/>
        </w:rPr>
        <w:t>Indriani et al., (2022)</w:t>
      </w:r>
      <w:r>
        <w:t xml:space="preserve"> </w:t>
      </w:r>
    </w:p>
    <w:p w:rsidR="002E5D99" w:rsidRPr="002E5D99" w:rsidRDefault="002E5D99" w:rsidP="002E5D99">
      <w:pPr>
        <w:pStyle w:val="Body"/>
        <w:spacing w:after="0"/>
        <w:rPr>
          <w:rFonts w:ascii="Times New Roman" w:hAnsi="Times New Roman"/>
          <w:b/>
          <w:bCs/>
          <w:color w:val="FF0000"/>
        </w:rPr>
      </w:pPr>
      <w:r w:rsidRPr="002E5D99">
        <w:rPr>
          <w:rFonts w:ascii="Times New Roman" w:hAnsi="Times New Roman"/>
          <w:b/>
          <w:bCs/>
          <w:color w:val="FF0000"/>
          <w:highlight w:val="yellow"/>
        </w:rPr>
        <w:t>These reference not mention in you’re references section.</w:t>
      </w:r>
    </w:p>
    <w:p w:rsidR="002E5D99" w:rsidRDefault="002E5D99" w:rsidP="00EA69DB">
      <w:pPr>
        <w:jc w:val="both"/>
      </w:pPr>
    </w:p>
    <w:p w:rsidR="00E053D0" w:rsidRPr="00EA69DB" w:rsidRDefault="00F46E4D" w:rsidP="00EA69DB">
      <w:pPr>
        <w:jc w:val="both"/>
      </w:pPr>
      <w:r>
        <w:t xml:space="preserve">stated that changes in pH that are too low (acidic) can cause physiological stress, damage enzymes, and reduce survival. Conversely, pH that is too high can interfere with enzymatic function and exacerbate the toxic effects of other compounds contained in the media.The </w:t>
      </w:r>
      <w:r>
        <w:lastRenderedPageBreak/>
        <w:t>dissolved oxygen (DO) content is in the range of 5.4–6.8 mg/L, which is sufficient to support aerobic respiration of rotifers. Oxygen levels in this range cause the metabolic process to take place optimally. According to Widjaja, (2024) stated that DO &lt;4 mg/L can cause hypoxic conditions, which have a negative impact on physiological activity, growth, and survival of rotifers.</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F57CC2" w:rsidRDefault="00F57CC2" w:rsidP="00441B6F">
      <w:pPr>
        <w:pStyle w:val="Body"/>
        <w:spacing w:after="0"/>
        <w:rPr>
          <w:rFonts w:ascii="Arial" w:hAnsi="Arial" w:cs="Arial"/>
        </w:rPr>
      </w:pPr>
      <w:r w:rsidRPr="002E5D99">
        <w:rPr>
          <w:rFonts w:ascii="Arial" w:hAnsi="Arial" w:cs="Arial"/>
          <w:highlight w:val="yellow"/>
        </w:rPr>
        <w:t>Based on the results of the study, it can be concluded that the higher the concentration of microplastics and the longer the exposure time can inhibit the growth of rotifers. As evidenced by a significant decrease in population density and the growth rate of rotifer length. While the abundance of microplastics in rotifers actually increases along with increasing concentration, this is caused by particles that are swallowed and accumulated into the body of the rotifer. There is no significant difference in the specific growth rate (SGR) and water quality during rotifer maintenance activities.</w:t>
      </w:r>
    </w:p>
    <w:p w:rsidR="002E5D99" w:rsidRDefault="002E5D99" w:rsidP="00441B6F">
      <w:pPr>
        <w:pStyle w:val="Body"/>
        <w:spacing w:after="0"/>
        <w:rPr>
          <w:rFonts w:ascii="Arial" w:hAnsi="Arial" w:cs="Arial"/>
        </w:rPr>
      </w:pPr>
    </w:p>
    <w:p w:rsidR="002E5D99" w:rsidRPr="002E5D99" w:rsidRDefault="002E5D99" w:rsidP="00441B6F">
      <w:pPr>
        <w:pStyle w:val="Body"/>
        <w:spacing w:after="0"/>
        <w:rPr>
          <w:rFonts w:ascii="Times New Roman" w:hAnsi="Times New Roman"/>
          <w:b/>
          <w:bCs/>
          <w:color w:val="FF0000"/>
        </w:rPr>
      </w:pPr>
      <w:r>
        <w:rPr>
          <w:rFonts w:ascii="Arial" w:hAnsi="Arial" w:cs="Arial"/>
        </w:rPr>
        <w:t xml:space="preserve"> </w:t>
      </w:r>
      <w:r w:rsidRPr="002E5D99">
        <w:rPr>
          <w:rFonts w:ascii="Times New Roman" w:hAnsi="Times New Roman"/>
          <w:b/>
          <w:bCs/>
          <w:color w:val="FF0000"/>
          <w:highlight w:val="yellow"/>
        </w:rPr>
        <w:t>Conclusion not sufficient for these study please write more conclusion  you’re work is not verify in these section.</w:t>
      </w:r>
    </w:p>
    <w:p w:rsidR="00860000" w:rsidRDefault="00860000" w:rsidP="00441B6F">
      <w:pPr>
        <w:pStyle w:val="ReferHead"/>
        <w:spacing w:after="0"/>
        <w:jc w:val="both"/>
        <w:rPr>
          <w:rFonts w:ascii="Arial" w:hAnsi="Arial" w:cs="Arial"/>
        </w:rPr>
      </w:pPr>
    </w:p>
    <w:p w:rsidR="002E5D99" w:rsidRPr="002E5D99" w:rsidRDefault="002E5D99" w:rsidP="00441B6F">
      <w:pPr>
        <w:pStyle w:val="ReferHead"/>
        <w:spacing w:after="0"/>
        <w:jc w:val="both"/>
        <w:rPr>
          <w:rFonts w:ascii="Times New Roman" w:hAnsi="Times New Roman"/>
        </w:rPr>
      </w:pPr>
    </w:p>
    <w:p w:rsidR="00A707D7" w:rsidRDefault="00A707D7"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AB5B68" w:rsidRDefault="00AB5B68" w:rsidP="00441B6F">
      <w:pPr>
        <w:pStyle w:val="Body"/>
        <w:spacing w:after="0"/>
      </w:pPr>
      <w:r w:rsidRPr="00AB5B68">
        <w:t xml:space="preserve">Botterell, Z. L. R., Beaumont, N., Dorrington, T., Steinke, M., Thompson, R. C., &amp; Lindeque, P. K. (2019). Bioavailability and effects of microplastics on marine zooplankton: A review. Environmental Pollution, 245(2019), 98–110. </w:t>
      </w:r>
      <w:hyperlink r:id="rId18" w:history="1">
        <w:r w:rsidRPr="008619D0">
          <w:rPr>
            <w:rStyle w:val="Hyperlink"/>
          </w:rPr>
          <w:t>https://doi.org/10.1016/j.envpol.2018.10.065</w:t>
        </w:r>
      </w:hyperlink>
    </w:p>
    <w:p w:rsidR="00B22912" w:rsidRDefault="00B22912" w:rsidP="00441B6F">
      <w:pPr>
        <w:pStyle w:val="Body"/>
        <w:spacing w:after="0"/>
      </w:pPr>
      <w:r w:rsidRPr="00B22912">
        <w:t xml:space="preserve">Difinubun, M. I., Iriani, R. T., &amp; Triyanto, A. (2020). The effect of storing rotifers (Brachionusplicatilis) at cold temperatures on survival rates (SR). Jurnal Aquafish Sainten, 1(1), 25–34. </w:t>
      </w:r>
      <w:hyperlink r:id="rId19" w:history="1">
        <w:r w:rsidRPr="008619D0">
          <w:rPr>
            <w:rStyle w:val="Hyperlink"/>
          </w:rPr>
          <w:t>https://unimuda.e-journal.id/jurnalaquafishunimuda/article/view/870/554</w:t>
        </w:r>
      </w:hyperlink>
    </w:p>
    <w:p w:rsidR="006A5F84" w:rsidRDefault="006A5F84" w:rsidP="006A5F84">
      <w:pPr>
        <w:pStyle w:val="Body"/>
        <w:spacing w:after="0"/>
        <w:rPr>
          <w:lang w:val="id-ID"/>
        </w:rPr>
      </w:pPr>
      <w:r w:rsidRPr="006A5F84">
        <w:rPr>
          <w:lang w:val="id-ID"/>
        </w:rPr>
        <w:t xml:space="preserve">Hwang, J., Choi, D., Han, S., Jung, S. Y., Choi, J., &amp; Hong, J. (2020). Potential toxicity of polystyrene microplastic particles. </w:t>
      </w:r>
      <w:r w:rsidRPr="006A5F84">
        <w:rPr>
          <w:i/>
          <w:iCs/>
          <w:lang w:val="id-ID"/>
        </w:rPr>
        <w:t>Scientific Reports</w:t>
      </w:r>
      <w:r w:rsidRPr="006A5F84">
        <w:rPr>
          <w:lang w:val="id-ID"/>
        </w:rPr>
        <w:t xml:space="preserve">, </w:t>
      </w:r>
      <w:r w:rsidRPr="006A5F84">
        <w:rPr>
          <w:i/>
          <w:iCs/>
          <w:lang w:val="id-ID"/>
        </w:rPr>
        <w:t>10</w:t>
      </w:r>
      <w:r w:rsidRPr="006A5F84">
        <w:rPr>
          <w:lang w:val="id-ID"/>
        </w:rPr>
        <w:t xml:space="preserve">(1), 1–12. </w:t>
      </w:r>
      <w:hyperlink r:id="rId20" w:history="1">
        <w:r w:rsidRPr="006A5F84">
          <w:rPr>
            <w:rStyle w:val="Hyperlink"/>
            <w:lang w:val="id-ID"/>
          </w:rPr>
          <w:t>https://doi.org/10.1038/s41598-020-64464-9</w:t>
        </w:r>
      </w:hyperlink>
    </w:p>
    <w:p w:rsidR="006A5F84" w:rsidRPr="006A5F84" w:rsidRDefault="006A5F84" w:rsidP="006A5F84">
      <w:pPr>
        <w:pStyle w:val="Body"/>
        <w:spacing w:after="0"/>
        <w:rPr>
          <w:lang w:val="id-ID"/>
        </w:rPr>
      </w:pPr>
      <w:r w:rsidRPr="006A5F84">
        <w:rPr>
          <w:lang w:val="id-ID"/>
        </w:rPr>
        <w:t>Indriani, Nur, M., Ansar, M., Lestari, D., Fitriah, R., Mahfud, C. R., &amp; Saharuddin. (2022). The Effect of Giving Bread Yeast with Different Doses on Rotifera (Brachionus plicatilis) Density. SIGANUS: Journal of Fisheries and Marine Science, 3(2), 229–235.</w:t>
      </w:r>
    </w:p>
    <w:p w:rsidR="00B22912" w:rsidRDefault="00B22912" w:rsidP="00B22912">
      <w:pPr>
        <w:pStyle w:val="Body"/>
        <w:spacing w:after="0"/>
        <w:rPr>
          <w:lang w:val="id-ID"/>
        </w:rPr>
      </w:pPr>
      <w:r w:rsidRPr="00B22912">
        <w:rPr>
          <w:lang w:val="id-ID"/>
        </w:rPr>
        <w:t xml:space="preserve">Isinibilir, M., Eryalçın, K. M., &amp; Kideys, A. E. (2022). Effect of Polystyrene Microplastics in Different Diet Combinations on Survival, Growth and Reproduction Rates of the Water Flea (Daphnia magna). </w:t>
      </w:r>
      <w:r w:rsidRPr="00B22912">
        <w:rPr>
          <w:i/>
          <w:iCs/>
          <w:lang w:val="id-ID"/>
        </w:rPr>
        <w:t>Microplastics</w:t>
      </w:r>
      <w:r w:rsidRPr="00B22912">
        <w:rPr>
          <w:lang w:val="id-ID"/>
        </w:rPr>
        <w:t xml:space="preserve">, </w:t>
      </w:r>
      <w:r w:rsidRPr="00B22912">
        <w:rPr>
          <w:i/>
          <w:iCs/>
          <w:lang w:val="id-ID"/>
        </w:rPr>
        <w:t>2</w:t>
      </w:r>
      <w:r w:rsidRPr="00B22912">
        <w:rPr>
          <w:lang w:val="id-ID"/>
        </w:rPr>
        <w:t xml:space="preserve">(1), 27–38. </w:t>
      </w:r>
      <w:hyperlink r:id="rId21" w:history="1">
        <w:r w:rsidRPr="00B22912">
          <w:rPr>
            <w:rStyle w:val="Hyperlink"/>
            <w:lang w:val="id-ID"/>
          </w:rPr>
          <w:t>https://doi.org/10.3390/microplastics2010002</w:t>
        </w:r>
      </w:hyperlink>
    </w:p>
    <w:p w:rsidR="006A5F84" w:rsidRDefault="006A5F84" w:rsidP="00B22912">
      <w:pPr>
        <w:pStyle w:val="Body"/>
        <w:spacing w:after="0"/>
        <w:rPr>
          <w:lang w:val="id-ID"/>
        </w:rPr>
      </w:pPr>
      <w:r w:rsidRPr="006A5F84">
        <w:rPr>
          <w:lang w:val="id-ID"/>
        </w:rPr>
        <w:t>Khaeriyah, A. (2013). Application of Nannochloropsis Algae Paste with Different Doses on the Growth of Rotifer Brachionus rotundiformis on a Laboratory Scale. 2, 173–177.</w:t>
      </w:r>
    </w:p>
    <w:p w:rsidR="006A5F84" w:rsidRPr="00B22912" w:rsidRDefault="006A5F84" w:rsidP="00B22912">
      <w:pPr>
        <w:pStyle w:val="Body"/>
        <w:spacing w:after="0"/>
        <w:rPr>
          <w:lang w:val="id-ID"/>
        </w:rPr>
      </w:pPr>
      <w:r w:rsidRPr="006A5F84">
        <w:rPr>
          <w:lang w:val="id-ID"/>
        </w:rPr>
        <w:t>Melke, R. M. F., Sulung, M., Lantiunga, Z., &amp; Kekenusa, J. (2007). Morphometrics of Rotifer Brachionus rotundiformis Strain SS Originated from Minanga Pond and Watuliney Pond, North Sulawesi Cultured at Different Salinities. Journal of Aquaculture Research, 2(2), 221–229</w:t>
      </w:r>
      <w:r>
        <w:rPr>
          <w:lang w:val="id-ID"/>
        </w:rPr>
        <w:t>.</w:t>
      </w:r>
    </w:p>
    <w:p w:rsidR="00B22912" w:rsidRPr="00B22912" w:rsidRDefault="00B22912" w:rsidP="00B22912">
      <w:pPr>
        <w:pStyle w:val="Body"/>
        <w:spacing w:after="0"/>
        <w:rPr>
          <w:lang w:val="id-ID"/>
        </w:rPr>
      </w:pPr>
      <w:r w:rsidRPr="00B22912">
        <w:rPr>
          <w:lang w:val="id-ID"/>
        </w:rPr>
        <w:t xml:space="preserve">Miracle, M. R., Vicente, E., Sarma, S. S. S., &amp; Nandini, S. (2014). Planktonic rotifer feeding in hypertrophic conditions. </w:t>
      </w:r>
      <w:r w:rsidRPr="00B22912">
        <w:rPr>
          <w:i/>
          <w:iCs/>
          <w:lang w:val="id-ID"/>
        </w:rPr>
        <w:t>International Review of Hydrobiology</w:t>
      </w:r>
      <w:r w:rsidRPr="00B22912">
        <w:rPr>
          <w:lang w:val="id-ID"/>
        </w:rPr>
        <w:t xml:space="preserve">, </w:t>
      </w:r>
      <w:r w:rsidRPr="00B22912">
        <w:rPr>
          <w:i/>
          <w:iCs/>
          <w:lang w:val="id-ID"/>
        </w:rPr>
        <w:t>99</w:t>
      </w:r>
      <w:r w:rsidRPr="00B22912">
        <w:rPr>
          <w:lang w:val="id-ID"/>
        </w:rPr>
        <w:t xml:space="preserve">(1–2), 141–150. </w:t>
      </w:r>
      <w:hyperlink r:id="rId22" w:history="1">
        <w:r w:rsidRPr="00B22912">
          <w:rPr>
            <w:rStyle w:val="Hyperlink"/>
            <w:lang w:val="id-ID"/>
          </w:rPr>
          <w:t>https://doi.org/10.1002/iroh.201301714</w:t>
        </w:r>
      </w:hyperlink>
    </w:p>
    <w:p w:rsidR="00FB442A" w:rsidRDefault="00AB5B68" w:rsidP="00441B6F">
      <w:pPr>
        <w:pStyle w:val="Body"/>
        <w:spacing w:after="0"/>
      </w:pPr>
      <w:r w:rsidRPr="00AB5B68">
        <w:t>Nurlinda, L. nur, Waspodo, S., &amp; Amir, S. (2020). The Effect Of Urea Fertilizer Concentration On Rotifer Population Growth (</w:t>
      </w:r>
      <w:r w:rsidRPr="00AB5B68">
        <w:rPr>
          <w:i/>
          <w:iCs/>
        </w:rPr>
        <w:t>Brachiounusplicatilis</w:t>
      </w:r>
      <w:r w:rsidRPr="00AB5B68">
        <w:t xml:space="preserve">). </w:t>
      </w:r>
      <w:r w:rsidRPr="00AB5B68">
        <w:rPr>
          <w:i/>
          <w:iCs/>
        </w:rPr>
        <w:t>Unram Fisheries Journal, 9</w:t>
      </w:r>
      <w:r w:rsidRPr="00AB5B68">
        <w:t xml:space="preserve">(2), 130–136. </w:t>
      </w:r>
      <w:hyperlink r:id="rId23" w:history="1">
        <w:r w:rsidRPr="008619D0">
          <w:rPr>
            <w:rStyle w:val="Hyperlink"/>
          </w:rPr>
          <w:t>https://doi.org/10.29303/jp.v9i2.156</w:t>
        </w:r>
      </w:hyperlink>
    </w:p>
    <w:p w:rsidR="00FB442A" w:rsidRDefault="00FB442A" w:rsidP="00441B6F">
      <w:pPr>
        <w:pStyle w:val="Body"/>
        <w:spacing w:after="0"/>
      </w:pPr>
      <w:r w:rsidRPr="00FB442A">
        <w:t xml:space="preserve">Padang, A., Subiyanto, R., Marwa, M., &amp; Aditya, F. (2017). The effect of yeast feeding using the drip method with different doses on the density of </w:t>
      </w:r>
      <w:r w:rsidRPr="00AB5B68">
        <w:rPr>
          <w:i/>
          <w:iCs/>
        </w:rPr>
        <w:t>Brachionusplicatilis</w:t>
      </w:r>
      <w:r w:rsidRPr="00FB442A">
        <w:t xml:space="preserve">. Agrikan: </w:t>
      </w:r>
      <w:r w:rsidRPr="00AB5B68">
        <w:rPr>
          <w:i/>
          <w:iCs/>
        </w:rPr>
        <w:t>Journal of Fisheries Agribusiness, 10</w:t>
      </w:r>
      <w:r w:rsidRPr="00FB442A">
        <w:t xml:space="preserve">(2), 22. </w:t>
      </w:r>
      <w:hyperlink r:id="rId24" w:history="1">
        <w:r w:rsidRPr="008619D0">
          <w:rPr>
            <w:rStyle w:val="Hyperlink"/>
          </w:rPr>
          <w:t>https://doi.org/10.29239/j.agrikan.10.2.22-28</w:t>
        </w:r>
      </w:hyperlink>
    </w:p>
    <w:p w:rsidR="00AB5B68" w:rsidRDefault="00AB5B68" w:rsidP="00441B6F">
      <w:pPr>
        <w:pStyle w:val="Body"/>
        <w:spacing w:after="0"/>
      </w:pPr>
      <w:r w:rsidRPr="00AB5B68">
        <w:lastRenderedPageBreak/>
        <w:t xml:space="preserve">Sandra, S. W., &amp;Radityaningrum, A. D. (2021). Study of Microplastic Abundance in Aquatic Biota. </w:t>
      </w:r>
      <w:r w:rsidRPr="00AB5B68">
        <w:rPr>
          <w:i/>
          <w:iCs/>
        </w:rPr>
        <w:t>Journal of Environmental Science, 19</w:t>
      </w:r>
      <w:r w:rsidRPr="00AB5B68">
        <w:t xml:space="preserve">(3), 638–648. </w:t>
      </w:r>
      <w:hyperlink r:id="rId25" w:history="1">
        <w:r w:rsidRPr="008619D0">
          <w:rPr>
            <w:rStyle w:val="Hyperlink"/>
          </w:rPr>
          <w:t>https://doi.org/10.14710/jil.19.3.638-648</w:t>
        </w:r>
      </w:hyperlink>
    </w:p>
    <w:p w:rsidR="00B22912" w:rsidRPr="00B22912" w:rsidRDefault="00B22912" w:rsidP="00B22912">
      <w:pPr>
        <w:pStyle w:val="Body"/>
        <w:spacing w:after="0"/>
        <w:rPr>
          <w:lang w:val="id-ID"/>
        </w:rPr>
      </w:pPr>
      <w:r w:rsidRPr="00B22912">
        <w:rPr>
          <w:lang w:val="id-ID"/>
        </w:rPr>
        <w:t xml:space="preserve">Seong, T., Yamamoto, S., Nakatani, H., Yagi, M., Kyozuka, Y., Satuito, G., &amp; Kim, H. J. (2024). Effects of microplastics on reproductive characteristics and mechanisms of the marine rotifer Brachionus plicatilis. </w:t>
      </w:r>
      <w:r w:rsidRPr="00B22912">
        <w:rPr>
          <w:i/>
          <w:iCs/>
          <w:lang w:val="id-ID"/>
        </w:rPr>
        <w:t>Scientific Reports</w:t>
      </w:r>
      <w:r w:rsidRPr="00B22912">
        <w:rPr>
          <w:lang w:val="id-ID"/>
        </w:rPr>
        <w:t xml:space="preserve">, </w:t>
      </w:r>
      <w:r w:rsidRPr="00B22912">
        <w:rPr>
          <w:i/>
          <w:iCs/>
          <w:lang w:val="id-ID"/>
        </w:rPr>
        <w:t>14</w:t>
      </w:r>
      <w:r w:rsidRPr="00B22912">
        <w:rPr>
          <w:lang w:val="id-ID"/>
        </w:rPr>
        <w:t xml:space="preserve">(1), 1–12. </w:t>
      </w:r>
      <w:hyperlink r:id="rId26" w:history="1">
        <w:r w:rsidRPr="00B22912">
          <w:rPr>
            <w:rStyle w:val="Hyperlink"/>
            <w:lang w:val="id-ID"/>
          </w:rPr>
          <w:t>https://doi.org/10.1038/s41598-024-65047-8</w:t>
        </w:r>
      </w:hyperlink>
    </w:p>
    <w:p w:rsidR="00B22912" w:rsidRDefault="00B22912" w:rsidP="00B22912">
      <w:pPr>
        <w:pStyle w:val="Body"/>
        <w:spacing w:after="0"/>
        <w:rPr>
          <w:lang w:val="id-ID"/>
        </w:rPr>
      </w:pPr>
      <w:r w:rsidRPr="00B22912">
        <w:rPr>
          <w:lang w:val="id-ID"/>
        </w:rPr>
        <w:t xml:space="preserve">Shore, E. A., deMayo, J. A., &amp; Pespeni, M. H. (2021). Microplastics reduce net population growth and fecal pellet sinking rates for the marine copepod, Acartia tonsa. </w:t>
      </w:r>
      <w:r w:rsidRPr="00B22912">
        <w:rPr>
          <w:i/>
          <w:iCs/>
          <w:lang w:val="id-ID"/>
        </w:rPr>
        <w:t>Environmental Pollution</w:t>
      </w:r>
      <w:r w:rsidRPr="00B22912">
        <w:rPr>
          <w:lang w:val="id-ID"/>
        </w:rPr>
        <w:t xml:space="preserve">, </w:t>
      </w:r>
      <w:r w:rsidRPr="00B22912">
        <w:rPr>
          <w:i/>
          <w:iCs/>
          <w:lang w:val="id-ID"/>
        </w:rPr>
        <w:t>284</w:t>
      </w:r>
      <w:r w:rsidRPr="00B22912">
        <w:rPr>
          <w:lang w:val="id-ID"/>
        </w:rPr>
        <w:t xml:space="preserve">(January), 117379. </w:t>
      </w:r>
      <w:hyperlink r:id="rId27" w:history="1">
        <w:r w:rsidRPr="00B22912">
          <w:rPr>
            <w:rStyle w:val="Hyperlink"/>
            <w:lang w:val="id-ID"/>
          </w:rPr>
          <w:t>https://doi.org/10.1016/j.envpol.2021.117379</w:t>
        </w:r>
      </w:hyperlink>
    </w:p>
    <w:p w:rsidR="006A5F84" w:rsidRDefault="006A5F84" w:rsidP="006A5F84">
      <w:pPr>
        <w:pStyle w:val="Body"/>
        <w:spacing w:after="0"/>
        <w:rPr>
          <w:lang w:val="id-ID"/>
        </w:rPr>
      </w:pPr>
      <w:r w:rsidRPr="006A5F84">
        <w:rPr>
          <w:lang w:val="id-ID"/>
        </w:rPr>
        <w:t xml:space="preserve">Supit, A., Tompodung, L., &amp; Kumaat, S. (2022). Microplastics as New Contaminants and Their Toxic Effects on Health. Journal of Health, 13(1), 199–208. </w:t>
      </w:r>
      <w:hyperlink r:id="rId28" w:history="1">
        <w:r w:rsidRPr="008619D0">
          <w:rPr>
            <w:rStyle w:val="Hyperlink"/>
            <w:lang w:val="id-ID"/>
          </w:rPr>
          <w:t>https://doi.org/10.26630/jk.v13i1.2511</w:t>
        </w:r>
      </w:hyperlink>
    </w:p>
    <w:p w:rsidR="006A5F84" w:rsidRDefault="006A5F84" w:rsidP="006A5F84">
      <w:pPr>
        <w:pStyle w:val="Body"/>
        <w:spacing w:after="0"/>
        <w:rPr>
          <w:lang w:val="id-ID"/>
        </w:rPr>
      </w:pPr>
      <w:r w:rsidRPr="006A5F84">
        <w:rPr>
          <w:lang w:val="id-ID"/>
        </w:rPr>
        <w:t>Widjaja, F. (2004). Utilization of Rotifers Fed with Natural Feed of Various Types of Microalgae (Enchanment of Rotifer which were Nourished by Monospecies and Multispecies Microalgae). Indonesian Journal of Aquatic and Fisheries Sciences, 22, 23–27.</w:t>
      </w:r>
    </w:p>
    <w:p w:rsidR="00B22912" w:rsidRPr="00B22912" w:rsidRDefault="00B22912" w:rsidP="00B22912">
      <w:pPr>
        <w:pStyle w:val="Body"/>
        <w:spacing w:after="0"/>
        <w:rPr>
          <w:lang w:val="id-ID"/>
        </w:rPr>
      </w:pPr>
      <w:r w:rsidRPr="00B22912">
        <w:rPr>
          <w:lang w:val="id-ID"/>
        </w:rPr>
        <w:t xml:space="preserve">Yu, S. P., Cole, M., &amp; Chan, B. K. K. (2020). Review: Effects of microplastic on zooplankton survival and sublethal responses. In </w:t>
      </w:r>
      <w:r w:rsidRPr="00B22912">
        <w:rPr>
          <w:i/>
          <w:iCs/>
          <w:lang w:val="id-ID"/>
        </w:rPr>
        <w:t>Oceanography and Marine Biology</w:t>
      </w:r>
      <w:r w:rsidRPr="00B22912">
        <w:rPr>
          <w:lang w:val="id-ID"/>
        </w:rPr>
        <w:t xml:space="preserve"> (Vol. 58). </w:t>
      </w:r>
      <w:hyperlink r:id="rId29" w:history="1">
        <w:r w:rsidRPr="008619D0">
          <w:rPr>
            <w:rStyle w:val="Hyperlink"/>
            <w:lang w:val="id-ID"/>
          </w:rPr>
          <w:t>https://doi.org/10.1201/9780429351495-7</w:t>
        </w:r>
      </w:hyperlink>
    </w:p>
    <w:p w:rsidR="004D4277" w:rsidRPr="00D104EF" w:rsidRDefault="004D4277" w:rsidP="00D104EF">
      <w:pPr>
        <w:pStyle w:val="DefAcrHead"/>
        <w:spacing w:after="0"/>
        <w:jc w:val="both"/>
        <w:rPr>
          <w:rFonts w:ascii="Arial" w:hAnsi="Arial" w:cs="Arial"/>
        </w:rPr>
        <w:sectPr w:rsidR="004D4277" w:rsidRPr="00D104EF" w:rsidSect="00A707D7">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p>
    <w:p w:rsidR="00B01FCD" w:rsidRDefault="00B01FCD" w:rsidP="00441B6F">
      <w:pPr>
        <w:pStyle w:val="Appendix"/>
        <w:spacing w:after="0"/>
        <w:jc w:val="both"/>
        <w:rPr>
          <w:rFonts w:ascii="Arial" w:hAnsi="Arial" w:cs="Arial"/>
          <w:b w:val="0"/>
        </w:rPr>
      </w:pPr>
    </w:p>
    <w:p w:rsidR="002E5D99" w:rsidRDefault="002E5D99" w:rsidP="00441B6F">
      <w:pPr>
        <w:pStyle w:val="Appendix"/>
        <w:spacing w:after="0"/>
        <w:jc w:val="both"/>
        <w:rPr>
          <w:rFonts w:ascii="Arial" w:hAnsi="Arial" w:cs="Arial"/>
          <w:b w:val="0"/>
        </w:rPr>
      </w:pPr>
    </w:p>
    <w:p w:rsidR="002E5D99" w:rsidRPr="002E5D99" w:rsidRDefault="002E5D99" w:rsidP="00441B6F">
      <w:pPr>
        <w:pStyle w:val="Appendix"/>
        <w:spacing w:after="0"/>
        <w:jc w:val="both"/>
        <w:rPr>
          <w:rFonts w:ascii="Times New Roman" w:hAnsi="Times New Roman"/>
          <w:b w:val="0"/>
          <w:color w:val="FF0000"/>
        </w:rPr>
      </w:pPr>
      <w:r w:rsidRPr="002E5D99">
        <w:rPr>
          <w:rFonts w:ascii="Times New Roman" w:hAnsi="Times New Roman"/>
          <w:b w:val="0"/>
          <w:caps w:val="0"/>
          <w:color w:val="FF0000"/>
          <w:highlight w:val="yellow"/>
        </w:rPr>
        <w:t>References Are Not Sufficient For These Study</w:t>
      </w:r>
    </w:p>
    <w:sectPr w:rsidR="002E5D99" w:rsidRPr="002E5D99" w:rsidSect="00A707D7">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247" w:rsidRDefault="00112247" w:rsidP="00C37E61">
      <w:r>
        <w:separator/>
      </w:r>
    </w:p>
  </w:endnote>
  <w:endnote w:type="continuationSeparator" w:id="1">
    <w:p w:rsidR="00112247" w:rsidRDefault="00112247"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D7" w:rsidRDefault="00A707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D7" w:rsidRDefault="00A707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A707D7" w:rsidRDefault="00754C9A" w:rsidP="00A707D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247" w:rsidRDefault="00112247" w:rsidP="00C37E61">
      <w:r>
        <w:separator/>
      </w:r>
    </w:p>
  </w:footnote>
  <w:footnote w:type="continuationSeparator" w:id="1">
    <w:p w:rsidR="00112247" w:rsidRDefault="00112247"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D7" w:rsidRDefault="00884F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256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D7" w:rsidRDefault="00884F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256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884F5A" w:rsidP="00296529">
    <w:pPr>
      <w:ind w:left="2160"/>
      <w:jc w:val="center"/>
      <w:rPr>
        <w:rFonts w:ascii="Times New Roman" w:eastAsia="Calibri" w:hAnsi="Times New Roman"/>
        <w:i/>
        <w:sz w:val="18"/>
        <w:szCs w:val="22"/>
      </w:rPr>
    </w:pPr>
    <w:r w:rsidRPr="00884F5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256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D7" w:rsidRDefault="00884F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2569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D7" w:rsidRDefault="00884F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2569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D7" w:rsidRDefault="00884F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2569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AA6219"/>
    <w:rsid w:val="00000F8F"/>
    <w:rsid w:val="0002049E"/>
    <w:rsid w:val="000210FF"/>
    <w:rsid w:val="00030174"/>
    <w:rsid w:val="0003047D"/>
    <w:rsid w:val="0004234F"/>
    <w:rsid w:val="0004579C"/>
    <w:rsid w:val="00054161"/>
    <w:rsid w:val="00065CAC"/>
    <w:rsid w:val="000665A7"/>
    <w:rsid w:val="00072DB6"/>
    <w:rsid w:val="0009187D"/>
    <w:rsid w:val="000A47FA"/>
    <w:rsid w:val="000A65D3"/>
    <w:rsid w:val="000B1E33"/>
    <w:rsid w:val="000D689F"/>
    <w:rsid w:val="000E066D"/>
    <w:rsid w:val="000E73BD"/>
    <w:rsid w:val="000E7B7B"/>
    <w:rsid w:val="000E7D62"/>
    <w:rsid w:val="001003B9"/>
    <w:rsid w:val="00103357"/>
    <w:rsid w:val="00105E53"/>
    <w:rsid w:val="00112247"/>
    <w:rsid w:val="00113A10"/>
    <w:rsid w:val="00123C9F"/>
    <w:rsid w:val="00123F5E"/>
    <w:rsid w:val="00126190"/>
    <w:rsid w:val="00130F17"/>
    <w:rsid w:val="001320BF"/>
    <w:rsid w:val="00163BC4"/>
    <w:rsid w:val="00171CCD"/>
    <w:rsid w:val="00185D5E"/>
    <w:rsid w:val="00191062"/>
    <w:rsid w:val="00192B72"/>
    <w:rsid w:val="001A29D8"/>
    <w:rsid w:val="001A5CAA"/>
    <w:rsid w:val="001B0427"/>
    <w:rsid w:val="001B2E0F"/>
    <w:rsid w:val="001B71EA"/>
    <w:rsid w:val="001C3DA4"/>
    <w:rsid w:val="001D3A51"/>
    <w:rsid w:val="001E10D2"/>
    <w:rsid w:val="001E1B80"/>
    <w:rsid w:val="001E25B4"/>
    <w:rsid w:val="001E44FE"/>
    <w:rsid w:val="00200595"/>
    <w:rsid w:val="00204835"/>
    <w:rsid w:val="00231920"/>
    <w:rsid w:val="0023195C"/>
    <w:rsid w:val="00235795"/>
    <w:rsid w:val="0024282C"/>
    <w:rsid w:val="002460DC"/>
    <w:rsid w:val="00250985"/>
    <w:rsid w:val="002556F6"/>
    <w:rsid w:val="0027356F"/>
    <w:rsid w:val="00283105"/>
    <w:rsid w:val="00284C4C"/>
    <w:rsid w:val="00287E68"/>
    <w:rsid w:val="00296529"/>
    <w:rsid w:val="002A6FE9"/>
    <w:rsid w:val="002B27FB"/>
    <w:rsid w:val="002B685A"/>
    <w:rsid w:val="002C57D2"/>
    <w:rsid w:val="002E0D56"/>
    <w:rsid w:val="002E1DCA"/>
    <w:rsid w:val="002E5D99"/>
    <w:rsid w:val="002F39CA"/>
    <w:rsid w:val="003005A5"/>
    <w:rsid w:val="00307F1B"/>
    <w:rsid w:val="00312FB1"/>
    <w:rsid w:val="0031313E"/>
    <w:rsid w:val="00315186"/>
    <w:rsid w:val="0033343E"/>
    <w:rsid w:val="003512C2"/>
    <w:rsid w:val="00351C0D"/>
    <w:rsid w:val="00361F41"/>
    <w:rsid w:val="00371FB6"/>
    <w:rsid w:val="00373151"/>
    <w:rsid w:val="003763C1"/>
    <w:rsid w:val="00376BBE"/>
    <w:rsid w:val="0039224F"/>
    <w:rsid w:val="003A43A4"/>
    <w:rsid w:val="003A7E18"/>
    <w:rsid w:val="003B26B1"/>
    <w:rsid w:val="003C4C86"/>
    <w:rsid w:val="003C6258"/>
    <w:rsid w:val="003E2904"/>
    <w:rsid w:val="00401927"/>
    <w:rsid w:val="00405F5A"/>
    <w:rsid w:val="0041027F"/>
    <w:rsid w:val="00412475"/>
    <w:rsid w:val="00423789"/>
    <w:rsid w:val="00440F43"/>
    <w:rsid w:val="00441B6F"/>
    <w:rsid w:val="00446221"/>
    <w:rsid w:val="00450E62"/>
    <w:rsid w:val="004539DB"/>
    <w:rsid w:val="00471A80"/>
    <w:rsid w:val="004841E3"/>
    <w:rsid w:val="00494197"/>
    <w:rsid w:val="004A1AD2"/>
    <w:rsid w:val="004A1D67"/>
    <w:rsid w:val="004A3518"/>
    <w:rsid w:val="004B1C52"/>
    <w:rsid w:val="004C5520"/>
    <w:rsid w:val="004D1558"/>
    <w:rsid w:val="004D305E"/>
    <w:rsid w:val="004D4277"/>
    <w:rsid w:val="004F4C64"/>
    <w:rsid w:val="00502516"/>
    <w:rsid w:val="00505F06"/>
    <w:rsid w:val="00506828"/>
    <w:rsid w:val="00524594"/>
    <w:rsid w:val="0053056E"/>
    <w:rsid w:val="00537E5E"/>
    <w:rsid w:val="0054240F"/>
    <w:rsid w:val="00542FAF"/>
    <w:rsid w:val="005542F4"/>
    <w:rsid w:val="00554FDA"/>
    <w:rsid w:val="005569D2"/>
    <w:rsid w:val="00583253"/>
    <w:rsid w:val="005851C8"/>
    <w:rsid w:val="005872B7"/>
    <w:rsid w:val="005A4B7C"/>
    <w:rsid w:val="005A7349"/>
    <w:rsid w:val="005C3733"/>
    <w:rsid w:val="005C784C"/>
    <w:rsid w:val="005D17F6"/>
    <w:rsid w:val="005D3AFA"/>
    <w:rsid w:val="005E5539"/>
    <w:rsid w:val="00602BF5"/>
    <w:rsid w:val="00617489"/>
    <w:rsid w:val="00617FDD"/>
    <w:rsid w:val="00622A88"/>
    <w:rsid w:val="00633614"/>
    <w:rsid w:val="00633F68"/>
    <w:rsid w:val="00636EB2"/>
    <w:rsid w:val="006375B8"/>
    <w:rsid w:val="00637E51"/>
    <w:rsid w:val="0066510A"/>
    <w:rsid w:val="00673F9F"/>
    <w:rsid w:val="00682F21"/>
    <w:rsid w:val="0068579D"/>
    <w:rsid w:val="006865FC"/>
    <w:rsid w:val="00686953"/>
    <w:rsid w:val="00687DEA"/>
    <w:rsid w:val="00687E67"/>
    <w:rsid w:val="00690292"/>
    <w:rsid w:val="006967F7"/>
    <w:rsid w:val="006A250C"/>
    <w:rsid w:val="006A4894"/>
    <w:rsid w:val="006A5F84"/>
    <w:rsid w:val="006B167E"/>
    <w:rsid w:val="006B1ED9"/>
    <w:rsid w:val="006B21D3"/>
    <w:rsid w:val="006B57D0"/>
    <w:rsid w:val="006B66DD"/>
    <w:rsid w:val="006C1179"/>
    <w:rsid w:val="006C520A"/>
    <w:rsid w:val="006D30FF"/>
    <w:rsid w:val="006D6940"/>
    <w:rsid w:val="006F11EC"/>
    <w:rsid w:val="0070082C"/>
    <w:rsid w:val="007262E2"/>
    <w:rsid w:val="00730276"/>
    <w:rsid w:val="007369E6"/>
    <w:rsid w:val="00746E59"/>
    <w:rsid w:val="00747D70"/>
    <w:rsid w:val="00754C9A"/>
    <w:rsid w:val="0075599A"/>
    <w:rsid w:val="00761D52"/>
    <w:rsid w:val="00766F32"/>
    <w:rsid w:val="007745EE"/>
    <w:rsid w:val="00776070"/>
    <w:rsid w:val="0077749E"/>
    <w:rsid w:val="0077780D"/>
    <w:rsid w:val="00790ADA"/>
    <w:rsid w:val="00792742"/>
    <w:rsid w:val="007A3D3F"/>
    <w:rsid w:val="007B39EB"/>
    <w:rsid w:val="007C6E1C"/>
    <w:rsid w:val="007D140D"/>
    <w:rsid w:val="007D2288"/>
    <w:rsid w:val="007E088F"/>
    <w:rsid w:val="007F263B"/>
    <w:rsid w:val="007F7B32"/>
    <w:rsid w:val="00804BC2"/>
    <w:rsid w:val="008138F0"/>
    <w:rsid w:val="0081431A"/>
    <w:rsid w:val="0083216F"/>
    <w:rsid w:val="00853975"/>
    <w:rsid w:val="00860000"/>
    <w:rsid w:val="00863BD3"/>
    <w:rsid w:val="008641ED"/>
    <w:rsid w:val="00865A5A"/>
    <w:rsid w:val="00866D66"/>
    <w:rsid w:val="008671C6"/>
    <w:rsid w:val="00875803"/>
    <w:rsid w:val="00884F5A"/>
    <w:rsid w:val="008B459E"/>
    <w:rsid w:val="008E13AE"/>
    <w:rsid w:val="008E1506"/>
    <w:rsid w:val="008E710C"/>
    <w:rsid w:val="008F01D7"/>
    <w:rsid w:val="008F154D"/>
    <w:rsid w:val="008F69D6"/>
    <w:rsid w:val="00900DDB"/>
    <w:rsid w:val="009010A0"/>
    <w:rsid w:val="00902823"/>
    <w:rsid w:val="009044CD"/>
    <w:rsid w:val="00915CA6"/>
    <w:rsid w:val="00927834"/>
    <w:rsid w:val="009321B6"/>
    <w:rsid w:val="009500A6"/>
    <w:rsid w:val="00957C18"/>
    <w:rsid w:val="009659BA"/>
    <w:rsid w:val="00965F0C"/>
    <w:rsid w:val="00983040"/>
    <w:rsid w:val="00985ED0"/>
    <w:rsid w:val="009A7D1C"/>
    <w:rsid w:val="009B3FB9"/>
    <w:rsid w:val="009C2465"/>
    <w:rsid w:val="009C4FE5"/>
    <w:rsid w:val="009D35A0"/>
    <w:rsid w:val="009D7EB7"/>
    <w:rsid w:val="009E048A"/>
    <w:rsid w:val="009E08E9"/>
    <w:rsid w:val="009E3DB9"/>
    <w:rsid w:val="009E5579"/>
    <w:rsid w:val="009E6E35"/>
    <w:rsid w:val="009F0EDA"/>
    <w:rsid w:val="00A03B96"/>
    <w:rsid w:val="00A040B0"/>
    <w:rsid w:val="00A05B19"/>
    <w:rsid w:val="00A1134E"/>
    <w:rsid w:val="00A119E2"/>
    <w:rsid w:val="00A13ECA"/>
    <w:rsid w:val="00A24E7E"/>
    <w:rsid w:val="00A258C3"/>
    <w:rsid w:val="00A347C0"/>
    <w:rsid w:val="00A35337"/>
    <w:rsid w:val="00A414A4"/>
    <w:rsid w:val="00A51431"/>
    <w:rsid w:val="00A539AD"/>
    <w:rsid w:val="00A54B3B"/>
    <w:rsid w:val="00A707D7"/>
    <w:rsid w:val="00A73787"/>
    <w:rsid w:val="00A922F7"/>
    <w:rsid w:val="00A94063"/>
    <w:rsid w:val="00AA6219"/>
    <w:rsid w:val="00AA74E0"/>
    <w:rsid w:val="00AB5B68"/>
    <w:rsid w:val="00AB6531"/>
    <w:rsid w:val="00AB703F"/>
    <w:rsid w:val="00AC64FF"/>
    <w:rsid w:val="00AC6BB8"/>
    <w:rsid w:val="00AE008F"/>
    <w:rsid w:val="00B001E5"/>
    <w:rsid w:val="00B01B18"/>
    <w:rsid w:val="00B01FCD"/>
    <w:rsid w:val="00B1776C"/>
    <w:rsid w:val="00B22912"/>
    <w:rsid w:val="00B32D49"/>
    <w:rsid w:val="00B45D32"/>
    <w:rsid w:val="00B52583"/>
    <w:rsid w:val="00B52896"/>
    <w:rsid w:val="00B61E2A"/>
    <w:rsid w:val="00B72C80"/>
    <w:rsid w:val="00B8729A"/>
    <w:rsid w:val="00B91306"/>
    <w:rsid w:val="00B95236"/>
    <w:rsid w:val="00B96BD9"/>
    <w:rsid w:val="00BA1B01"/>
    <w:rsid w:val="00BA2641"/>
    <w:rsid w:val="00BA38A0"/>
    <w:rsid w:val="00BA73F0"/>
    <w:rsid w:val="00BB1905"/>
    <w:rsid w:val="00BB37AA"/>
    <w:rsid w:val="00BC198E"/>
    <w:rsid w:val="00BC53A0"/>
    <w:rsid w:val="00BD1E14"/>
    <w:rsid w:val="00BE62AD"/>
    <w:rsid w:val="00BF121F"/>
    <w:rsid w:val="00BF1F80"/>
    <w:rsid w:val="00BF5AC5"/>
    <w:rsid w:val="00C166EF"/>
    <w:rsid w:val="00C17340"/>
    <w:rsid w:val="00C17EB0"/>
    <w:rsid w:val="00C2327C"/>
    <w:rsid w:val="00C26DCD"/>
    <w:rsid w:val="00C27F5F"/>
    <w:rsid w:val="00C30A0F"/>
    <w:rsid w:val="00C37E61"/>
    <w:rsid w:val="00C67419"/>
    <w:rsid w:val="00C70F1B"/>
    <w:rsid w:val="00C71A47"/>
    <w:rsid w:val="00C72017"/>
    <w:rsid w:val="00C7464C"/>
    <w:rsid w:val="00C85588"/>
    <w:rsid w:val="00C945DE"/>
    <w:rsid w:val="00CC30E5"/>
    <w:rsid w:val="00CC5701"/>
    <w:rsid w:val="00CD6755"/>
    <w:rsid w:val="00CD6856"/>
    <w:rsid w:val="00CE0089"/>
    <w:rsid w:val="00CE793C"/>
    <w:rsid w:val="00CF193C"/>
    <w:rsid w:val="00CF793C"/>
    <w:rsid w:val="00D01DB9"/>
    <w:rsid w:val="00D104EF"/>
    <w:rsid w:val="00D173F1"/>
    <w:rsid w:val="00D376E1"/>
    <w:rsid w:val="00D37F55"/>
    <w:rsid w:val="00D47D09"/>
    <w:rsid w:val="00D612E0"/>
    <w:rsid w:val="00D74CB0"/>
    <w:rsid w:val="00D8295D"/>
    <w:rsid w:val="00DB39F2"/>
    <w:rsid w:val="00DC2A65"/>
    <w:rsid w:val="00DC5F0C"/>
    <w:rsid w:val="00DE15F0"/>
    <w:rsid w:val="00DE5663"/>
    <w:rsid w:val="00DE78AA"/>
    <w:rsid w:val="00E053D0"/>
    <w:rsid w:val="00E15994"/>
    <w:rsid w:val="00E26DEC"/>
    <w:rsid w:val="00E277C5"/>
    <w:rsid w:val="00E3114E"/>
    <w:rsid w:val="00E31A70"/>
    <w:rsid w:val="00E35B02"/>
    <w:rsid w:val="00E66496"/>
    <w:rsid w:val="00E66B35"/>
    <w:rsid w:val="00E66E10"/>
    <w:rsid w:val="00E769F6"/>
    <w:rsid w:val="00E8407C"/>
    <w:rsid w:val="00E84F3C"/>
    <w:rsid w:val="00E86E61"/>
    <w:rsid w:val="00EA012C"/>
    <w:rsid w:val="00EA69DB"/>
    <w:rsid w:val="00EB49AA"/>
    <w:rsid w:val="00EC1FF3"/>
    <w:rsid w:val="00EC6A55"/>
    <w:rsid w:val="00ED0288"/>
    <w:rsid w:val="00EE52CB"/>
    <w:rsid w:val="00EF4E26"/>
    <w:rsid w:val="00EF581D"/>
    <w:rsid w:val="00EF7FD8"/>
    <w:rsid w:val="00F06F59"/>
    <w:rsid w:val="00F113CD"/>
    <w:rsid w:val="00F17988"/>
    <w:rsid w:val="00F20967"/>
    <w:rsid w:val="00F20EF7"/>
    <w:rsid w:val="00F276B4"/>
    <w:rsid w:val="00F44BEE"/>
    <w:rsid w:val="00F469F0"/>
    <w:rsid w:val="00F46E4D"/>
    <w:rsid w:val="00F53273"/>
    <w:rsid w:val="00F57CC2"/>
    <w:rsid w:val="00F63D25"/>
    <w:rsid w:val="00F755E4"/>
    <w:rsid w:val="00F77D02"/>
    <w:rsid w:val="00F81DF7"/>
    <w:rsid w:val="00F95151"/>
    <w:rsid w:val="00FB3A86"/>
    <w:rsid w:val="00FB442A"/>
    <w:rsid w:val="00FC28D4"/>
    <w:rsid w:val="00FD36C8"/>
    <w:rsid w:val="00FE1AC3"/>
    <w:rsid w:val="00FE35F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3005A5"/>
    <w:pPr>
      <w:spacing w:after="200"/>
    </w:pPr>
    <w:rPr>
      <w:i/>
      <w:iCs/>
      <w:color w:val="1F497D" w:themeColor="text2"/>
      <w:sz w:val="18"/>
      <w:szCs w:val="18"/>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envpol.2018.10.065" TargetMode="External"/><Relationship Id="rId26" Type="http://schemas.openxmlformats.org/officeDocument/2006/relationships/hyperlink" Target="https://doi.org/10.1038/s41598-024-65047-8" TargetMode="External"/><Relationship Id="rId3" Type="http://schemas.openxmlformats.org/officeDocument/2006/relationships/styles" Target="styles.xml"/><Relationship Id="rId21" Type="http://schemas.openxmlformats.org/officeDocument/2006/relationships/hyperlink" Target="https://doi.org/10.3390/microplastics201000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14710/jil.19.3.638-648"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1038/s41598-020-64464-9" TargetMode="External"/><Relationship Id="rId29" Type="http://schemas.openxmlformats.org/officeDocument/2006/relationships/hyperlink" Target="https://doi.org/10.1201/978042935149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9239/j.agrikan.10.2.22-28"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29303/jp.v9i2.156" TargetMode="External"/><Relationship Id="rId28" Type="http://schemas.openxmlformats.org/officeDocument/2006/relationships/hyperlink" Target="https://doi.org/10.26630/jk.v13i1.2511" TargetMode="External"/><Relationship Id="rId10" Type="http://schemas.openxmlformats.org/officeDocument/2006/relationships/footer" Target="footer1.xml"/><Relationship Id="rId19" Type="http://schemas.openxmlformats.org/officeDocument/2006/relationships/hyperlink" Target="https://unimuda.e-journal.id/jurnalaquafishunimuda/article/view/870/554"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2/iroh.201301714" TargetMode="External"/><Relationship Id="rId27" Type="http://schemas.openxmlformats.org/officeDocument/2006/relationships/hyperlink" Target="https://doi.org/10.1016/j.envpol.2021.117379" TargetMode="External"/><Relationship Id="rId30" Type="http://schemas.openxmlformats.org/officeDocument/2006/relationships/header" Target="header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684102590070135"/>
          <c:y val="5.092592592592593E-2"/>
          <c:w val="0.77260323568878697"/>
          <c:h val="0.75576428424247644"/>
        </c:manualLayout>
      </c:layout>
      <c:barChart>
        <c:barDir val="col"/>
        <c:grouping val="clustered"/>
        <c:ser>
          <c:idx val="0"/>
          <c:order val="0"/>
          <c:tx>
            <c:strRef>
              <c:f>SGR!$AE$21</c:f>
              <c:strCache>
                <c:ptCount val="1"/>
                <c:pt idx="0">
                  <c:v>Kepadatan</c:v>
                </c:pt>
              </c:strCache>
            </c:strRef>
          </c:tx>
          <c:spPr>
            <a:solidFill>
              <a:schemeClr val="accent1"/>
            </a:solidFill>
            <a:ln>
              <a:noFill/>
            </a:ln>
            <a:effectLst/>
          </c:spPr>
          <c:dLbls>
            <c:dLbl>
              <c:idx val="0"/>
              <c:layout>
                <c:manualLayout>
                  <c:x val="0"/>
                  <c:y val="-3.1830238726790465E-2"/>
                </c:manualLayout>
              </c:layout>
              <c:tx>
                <c:rich>
                  <a:bodyPr/>
                  <a:lstStyle/>
                  <a:p>
                    <a:fld id="{7AA54605-92EF-4552-8717-56A562EEDDCB}" type="VALUE">
                      <a:rPr lang="en-US"/>
                      <a:pPr/>
                      <a:t>[VALUE]</a:t>
                    </a:fld>
                    <a:r>
                      <a:rPr lang="en-US">
                        <a:latin typeface="Aptos Narrow" panose="020B0004020202020204" pitchFamily="34" charset="0"/>
                      </a:rPr>
                      <a:t>±</a:t>
                    </a:r>
                    <a:r>
                      <a:rPr lang="en-US" sz="900" b="0" i="0" u="none" strike="noStrike" baseline="0">
                        <a:effectLst/>
                      </a:rPr>
                      <a:t>80,3</a:t>
                    </a:r>
                    <a:r>
                      <a:rPr lang="en-US" sz="1200" b="0" i="0" u="none" strike="noStrike" baseline="30000">
                        <a:effectLst/>
                      </a:rPr>
                      <a:t>a</a:t>
                    </a:r>
                    <a:r>
                      <a:rPr lang="en-US" sz="900" b="0" i="0" u="none" strike="noStrike" baseline="0"/>
                      <a:t> </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C439-4340-B433-A6E1073F9CF4}"/>
                </c:ext>
              </c:extLst>
            </c:dLbl>
            <c:dLbl>
              <c:idx val="1"/>
              <c:layout>
                <c:manualLayout>
                  <c:x val="0"/>
                  <c:y val="-2.7777777777777825E-2"/>
                </c:manualLayout>
              </c:layout>
              <c:tx>
                <c:rich>
                  <a:bodyPr/>
                  <a:lstStyle/>
                  <a:p>
                    <a:fld id="{91ECF74A-AC1A-4720-8F8A-0A17CBE0A79A}" type="VALUE">
                      <a:rPr lang="en-US"/>
                      <a:pPr/>
                      <a:t>[VALUE]</a:t>
                    </a:fld>
                    <a:r>
                      <a:rPr lang="en-US">
                        <a:latin typeface="Aptos Narrow" panose="020B0004020202020204" pitchFamily="34" charset="0"/>
                      </a:rPr>
                      <a:t>±61,3</a:t>
                    </a:r>
                    <a:r>
                      <a:rPr lang="en-US" sz="1200" baseline="30000">
                        <a:latin typeface="Aptos Narrow" panose="020B0004020202020204" pitchFamily="34" charset="0"/>
                      </a:rPr>
                      <a:t>b</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C439-4340-B433-A6E1073F9CF4}"/>
                </c:ext>
              </c:extLst>
            </c:dLbl>
            <c:dLbl>
              <c:idx val="2"/>
              <c:layout>
                <c:manualLayout>
                  <c:x val="-1.1530265124244536E-16"/>
                  <c:y val="-3.0479333319409368E-2"/>
                </c:manualLayout>
              </c:layout>
              <c:tx>
                <c:rich>
                  <a:bodyPr/>
                  <a:lstStyle/>
                  <a:p>
                    <a:fld id="{99A2822E-F042-42D6-8328-17D959E36335}" type="VALUE">
                      <a:rPr lang="en-US"/>
                      <a:pPr/>
                      <a:t>[VALUE]</a:t>
                    </a:fld>
                    <a:r>
                      <a:rPr lang="en-US">
                        <a:latin typeface="Aptos Narrow" panose="020B0004020202020204" pitchFamily="34" charset="0"/>
                      </a:rPr>
                      <a:t>±21,9</a:t>
                    </a:r>
                    <a:r>
                      <a:rPr lang="en-US" sz="1200" baseline="30000">
                        <a:latin typeface="Aptos Narrow" panose="020B0004020202020204" pitchFamily="34" charset="0"/>
                      </a:rPr>
                      <a:t>c</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C439-4340-B433-A6E1073F9CF4}"/>
                </c:ext>
              </c:extLst>
            </c:dLbl>
            <c:dLbl>
              <c:idx val="3"/>
              <c:layout>
                <c:manualLayout>
                  <c:x val="-3.1446540880503168E-3"/>
                  <c:y val="-2.9803880615718849E-2"/>
                </c:manualLayout>
              </c:layout>
              <c:tx>
                <c:rich>
                  <a:bodyPr/>
                  <a:lstStyle/>
                  <a:p>
                    <a:fld id="{682E6A46-642B-4335-82B6-288E331BE577}" type="VALUE">
                      <a:rPr lang="en-US"/>
                      <a:pPr/>
                      <a:t>[VALUE]</a:t>
                    </a:fld>
                    <a:r>
                      <a:rPr lang="en-US">
                        <a:latin typeface="Aptos Narrow" panose="020B0004020202020204" pitchFamily="34" charset="0"/>
                      </a:rPr>
                      <a:t>±52,2</a:t>
                    </a:r>
                    <a:r>
                      <a:rPr lang="en-US" sz="1200" baseline="30000">
                        <a:latin typeface="Aptos Narrow" panose="020B0004020202020204" pitchFamily="34" charset="0"/>
                      </a:rPr>
                      <a:t>d</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C439-4340-B433-A6E1073F9CF4}"/>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errBars>
            <c:errBarType val="both"/>
            <c:errValType val="percentage"/>
            <c:val val="5"/>
            <c:spPr>
              <a:noFill/>
              <a:ln w="9525" cap="flat" cmpd="sng" algn="ctr">
                <a:solidFill>
                  <a:schemeClr val="tx1">
                    <a:lumMod val="65000"/>
                    <a:lumOff val="35000"/>
                  </a:schemeClr>
                </a:solidFill>
                <a:round/>
              </a:ln>
              <a:effectLst/>
            </c:spPr>
          </c:errBars>
          <c:cat>
            <c:strRef>
              <c:f>SGR!$AD$22:$AD$25</c:f>
              <c:strCache>
                <c:ptCount val="4"/>
                <c:pt idx="0">
                  <c:v>P1</c:v>
                </c:pt>
                <c:pt idx="1">
                  <c:v>P2</c:v>
                </c:pt>
                <c:pt idx="2">
                  <c:v>P3</c:v>
                </c:pt>
                <c:pt idx="3">
                  <c:v>P4</c:v>
                </c:pt>
              </c:strCache>
            </c:strRef>
          </c:cat>
          <c:val>
            <c:numRef>
              <c:f>SGR!$AE$22:$AE$25</c:f>
              <c:numCache>
                <c:formatCode>0.0</c:formatCode>
                <c:ptCount val="4"/>
                <c:pt idx="0">
                  <c:v>2449.6666666666647</c:v>
                </c:pt>
                <c:pt idx="1">
                  <c:v>2126.6666666666647</c:v>
                </c:pt>
                <c:pt idx="2">
                  <c:v>1947.3333333333326</c:v>
                </c:pt>
                <c:pt idx="3">
                  <c:v>1625</c:v>
                </c:pt>
              </c:numCache>
            </c:numRef>
          </c:val>
          <c:extLst xmlns:c16r2="http://schemas.microsoft.com/office/drawing/2015/06/chart">
            <c:ext xmlns:c16="http://schemas.microsoft.com/office/drawing/2014/chart" uri="{C3380CC4-5D6E-409C-BE32-E72D297353CC}">
              <c16:uniqueId val="{00000004-C439-4340-B433-A6E1073F9CF4}"/>
            </c:ext>
          </c:extLst>
        </c:ser>
        <c:dLbls>
          <c:showVal val="1"/>
        </c:dLbls>
        <c:gapWidth val="219"/>
        <c:overlap val="-27"/>
        <c:axId val="90290816"/>
        <c:axId val="90444928"/>
      </c:barChart>
      <c:catAx>
        <c:axId val="9029081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Treatment</a:t>
                </a:r>
              </a:p>
            </c:rich>
          </c:tx>
          <c:layout>
            <c:manualLayout>
              <c:xMode val="edge"/>
              <c:yMode val="edge"/>
              <c:x val="0.50023267589943521"/>
              <c:y val="0.88890113375639879"/>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444928"/>
        <c:crosses val="autoZero"/>
        <c:auto val="1"/>
        <c:lblAlgn val="ctr"/>
        <c:lblOffset val="100"/>
      </c:catAx>
      <c:valAx>
        <c:axId val="90444928"/>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Population density (ind/ml)</a:t>
                </a:r>
              </a:p>
            </c:rich>
          </c:tx>
          <c:spPr>
            <a:noFill/>
            <a:ln>
              <a:noFill/>
            </a:ln>
            <a:effectLst/>
          </c:spPr>
        </c:title>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29081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solidFill>
              <a:schemeClr val="accent1"/>
            </a:solidFill>
            <a:ln>
              <a:noFill/>
            </a:ln>
            <a:effectLst/>
          </c:spPr>
          <c:dLbls>
            <c:dLbl>
              <c:idx val="0"/>
              <c:layout>
                <c:manualLayout>
                  <c:x val="0"/>
                  <c:y val="-5.3050397877984585E-3"/>
                </c:manualLayout>
              </c:layout>
              <c:tx>
                <c:rich>
                  <a:bodyPr/>
                  <a:lstStyle/>
                  <a:p>
                    <a:fld id="{5F4D79D7-C659-4795-841C-DA828C231A8F}" type="VALUE">
                      <a:rPr lang="en-US"/>
                      <a:pPr/>
                      <a:t>[VALUE]</a:t>
                    </a:fld>
                    <a:r>
                      <a:rPr lang="en-US">
                        <a:latin typeface="Aptos Narrow" panose="020B0004020202020204" pitchFamily="34" charset="0"/>
                      </a:rPr>
                      <a:t>±13,2</a:t>
                    </a:r>
                    <a:r>
                      <a:rPr lang="en-US" sz="1200" baseline="30000">
                        <a:latin typeface="Aptos Narrow" panose="020B0004020202020204" pitchFamily="34" charset="0"/>
                      </a:rPr>
                      <a:t>a</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C197-479C-B903-028A361DA10D}"/>
                </c:ext>
              </c:extLst>
            </c:dLbl>
            <c:dLbl>
              <c:idx val="1"/>
              <c:layout>
                <c:manualLayout>
                  <c:x val="0"/>
                  <c:y val="5.3050397877984082E-3"/>
                </c:manualLayout>
              </c:layout>
              <c:tx>
                <c:rich>
                  <a:bodyPr/>
                  <a:lstStyle/>
                  <a:p>
                    <a:fld id="{832A738B-A675-4EB2-983A-E3813A8CEF4A}" type="VALUE">
                      <a:rPr lang="en-US"/>
                      <a:pPr/>
                      <a:t>[VALUE]</a:t>
                    </a:fld>
                    <a:r>
                      <a:rPr lang="en-US">
                        <a:latin typeface="Aptos Narrow" panose="020B0004020202020204" pitchFamily="34" charset="0"/>
                      </a:rPr>
                      <a:t>±11,2</a:t>
                    </a:r>
                    <a:r>
                      <a:rPr lang="en-US" sz="1200" baseline="30000">
                        <a:latin typeface="Aptos Narrow" panose="020B0004020202020204" pitchFamily="34" charset="0"/>
                      </a:rPr>
                      <a:t>a</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C197-479C-B903-028A361DA10D}"/>
                </c:ext>
              </c:extLst>
            </c:dLbl>
            <c:dLbl>
              <c:idx val="2"/>
              <c:layout>
                <c:manualLayout>
                  <c:x val="3.1446540880503164E-3"/>
                  <c:y val="-5.3050397877983978E-3"/>
                </c:manualLayout>
              </c:layout>
              <c:tx>
                <c:rich>
                  <a:bodyPr/>
                  <a:lstStyle/>
                  <a:p>
                    <a:fld id="{888CD69D-6C1C-4850-9491-A5CAABFF134F}" type="VALUE">
                      <a:rPr lang="en-US"/>
                      <a:pPr/>
                      <a:t>[VALUE]</a:t>
                    </a:fld>
                    <a:r>
                      <a:rPr lang="en-US">
                        <a:latin typeface="Aptos Narrow" panose="020B0004020202020204" pitchFamily="34" charset="0"/>
                      </a:rPr>
                      <a:t>±10,8</a:t>
                    </a:r>
                    <a:r>
                      <a:rPr lang="en-US" sz="1200" baseline="30000">
                        <a:latin typeface="Aptos Narrow" panose="020B0004020202020204" pitchFamily="34" charset="0"/>
                      </a:rPr>
                      <a:t>a</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C197-479C-B903-028A361DA10D}"/>
                </c:ext>
              </c:extLst>
            </c:dLbl>
            <c:dLbl>
              <c:idx val="3"/>
              <c:layout>
                <c:manualLayout>
                  <c:x val="0"/>
                  <c:y val="0"/>
                </c:manualLayout>
              </c:layout>
              <c:tx>
                <c:rich>
                  <a:bodyPr/>
                  <a:lstStyle/>
                  <a:p>
                    <a:fld id="{AD69517E-C612-441D-8C19-1CE30242772C}" type="VALUE">
                      <a:rPr lang="en-US"/>
                      <a:pPr/>
                      <a:t>[VALUE]</a:t>
                    </a:fld>
                    <a:r>
                      <a:rPr lang="en-US">
                        <a:latin typeface="Aptos Narrow" panose="020B0004020202020204" pitchFamily="34" charset="0"/>
                      </a:rPr>
                      <a:t>±22,0</a:t>
                    </a:r>
                    <a:r>
                      <a:rPr lang="en-US" sz="1200" baseline="30000">
                        <a:latin typeface="Aptos Narrow" panose="020B0004020202020204" pitchFamily="34" charset="0"/>
                      </a:rPr>
                      <a:t>a</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C197-479C-B903-028A361DA10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val val="5"/>
            <c:spPr>
              <a:noFill/>
              <a:ln w="9525" cap="flat" cmpd="sng" algn="ctr">
                <a:solidFill>
                  <a:schemeClr val="tx1">
                    <a:lumMod val="65000"/>
                    <a:lumOff val="35000"/>
                  </a:schemeClr>
                </a:solidFill>
                <a:round/>
              </a:ln>
              <a:effectLst/>
            </c:spPr>
          </c:errBars>
          <c:val>
            <c:numRef>
              <c:f>SGR!$AF$6:$AF$9</c:f>
              <c:numCache>
                <c:formatCode>0.0</c:formatCode>
                <c:ptCount val="4"/>
                <c:pt idx="0">
                  <c:v>18.414316457129903</c:v>
                </c:pt>
                <c:pt idx="1">
                  <c:v>11.529855688271526</c:v>
                </c:pt>
                <c:pt idx="2">
                  <c:v>47.068902274219099</c:v>
                </c:pt>
                <c:pt idx="3">
                  <c:v>29.336300309597529</c:v>
                </c:pt>
              </c:numCache>
            </c:numRef>
          </c:val>
          <c:extLst xmlns:c16r2="http://schemas.microsoft.com/office/drawing/2015/06/chart">
            <c:ext xmlns:c16="http://schemas.microsoft.com/office/drawing/2014/chart" uri="{C3380CC4-5D6E-409C-BE32-E72D297353CC}">
              <c16:uniqueId val="{00000004-C197-479C-B903-028A361DA10D}"/>
            </c:ext>
          </c:extLst>
        </c:ser>
        <c:axId val="90602880"/>
        <c:axId val="105416576"/>
      </c:barChart>
      <c:catAx>
        <c:axId val="9060288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Treatment</a:t>
                </a:r>
              </a:p>
            </c:rich>
          </c:tx>
          <c:spPr>
            <a:noFill/>
            <a:ln>
              <a:noFill/>
            </a:ln>
            <a:effectLst/>
          </c:spPr>
        </c:title>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5416576"/>
        <c:crosses val="autoZero"/>
        <c:auto val="1"/>
        <c:lblAlgn val="ctr"/>
        <c:lblOffset val="100"/>
      </c:catAx>
      <c:valAx>
        <c:axId val="105416576"/>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Spesific Growth Rate (%)</a:t>
                </a:r>
              </a:p>
            </c:rich>
          </c:tx>
          <c:spPr>
            <a:noFill/>
            <a:ln>
              <a:noFill/>
            </a:ln>
            <a:effectLst/>
          </c:spPr>
        </c:title>
        <c:numFmt formatCode="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60288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'Kelimpahan MP'!$L$4</c:f>
              <c:strCache>
                <c:ptCount val="1"/>
                <c:pt idx="0">
                  <c:v>kelimpahan</c:v>
                </c:pt>
              </c:strCache>
            </c:strRef>
          </c:tx>
          <c:spPr>
            <a:solidFill>
              <a:schemeClr val="accent1"/>
            </a:solidFill>
            <a:ln>
              <a:noFill/>
            </a:ln>
            <a:effectLst/>
          </c:spPr>
          <c:dLbls>
            <c:dLbl>
              <c:idx val="0"/>
              <c:layout>
                <c:manualLayout>
                  <c:x val="3.1446540880502869E-3"/>
                  <c:y val="-9.5490716180371332E-2"/>
                </c:manualLayout>
              </c:layout>
              <c:tx>
                <c:rich>
                  <a:bodyPr/>
                  <a:lstStyle/>
                  <a:p>
                    <a:fld id="{5A063939-E470-4CA2-9D98-8042E51C4EF5}" type="VALUE">
                      <a:rPr lang="en-US"/>
                      <a:pPr/>
                      <a:t>[VALUE]</a:t>
                    </a:fld>
                    <a:r>
                      <a:rPr lang="en-US">
                        <a:latin typeface="Aptos Narrow" panose="020B0004020202020204" pitchFamily="34" charset="0"/>
                      </a:rPr>
                      <a:t>±0,00</a:t>
                    </a:r>
                    <a:r>
                      <a:rPr lang="en-US" sz="1200" baseline="30000">
                        <a:latin typeface="Aptos Narrow" panose="020B0004020202020204" pitchFamily="34" charset="0"/>
                      </a:rPr>
                      <a:t>a</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0B4B-49A0-844A-5C35E1ED1416}"/>
                </c:ext>
              </c:extLst>
            </c:dLbl>
            <c:dLbl>
              <c:idx val="1"/>
              <c:layout>
                <c:manualLayout>
                  <c:x val="0"/>
                  <c:y val="-9.0185676392573064E-2"/>
                </c:manualLayout>
              </c:layout>
              <c:tx>
                <c:rich>
                  <a:bodyPr/>
                  <a:lstStyle/>
                  <a:p>
                    <a:fld id="{9AB544FE-7208-4998-9C7A-078E297E24EE}" type="VALUE">
                      <a:rPr lang="en-US"/>
                      <a:pPr/>
                      <a:t>[VALUE]</a:t>
                    </a:fld>
                    <a:r>
                      <a:rPr lang="en-US">
                        <a:latin typeface="Aptos Narrow" panose="020B0004020202020204" pitchFamily="34" charset="0"/>
                      </a:rPr>
                      <a:t>±0,00</a:t>
                    </a:r>
                    <a:r>
                      <a:rPr lang="en-US" sz="1200" baseline="30000">
                        <a:latin typeface="Aptos Narrow" panose="020B0004020202020204" pitchFamily="34" charset="0"/>
                      </a:rPr>
                      <a:t>a</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0B4B-49A0-844A-5C35E1ED1416}"/>
                </c:ext>
              </c:extLst>
            </c:dLbl>
            <c:dLbl>
              <c:idx val="2"/>
              <c:layout>
                <c:manualLayout>
                  <c:x val="0"/>
                  <c:y val="-9.9346686438730972E-2"/>
                </c:manualLayout>
              </c:layout>
              <c:tx>
                <c:rich>
                  <a:bodyPr/>
                  <a:lstStyle/>
                  <a:p>
                    <a:fld id="{C45D9543-120A-4C76-9EDC-46C92C6C6E00}" type="VALUE">
                      <a:rPr lang="en-US"/>
                      <a:pPr/>
                      <a:t>[VALUE]</a:t>
                    </a:fld>
                    <a:r>
                      <a:rPr lang="en-US">
                        <a:latin typeface="Aptos Narrow" panose="020B0004020202020204" pitchFamily="34" charset="0"/>
                      </a:rPr>
                      <a:t>±0,002</a:t>
                    </a:r>
                    <a:r>
                      <a:rPr lang="en-US" sz="1200" baseline="30000">
                        <a:latin typeface="Aptos Narrow" panose="020B0004020202020204" pitchFamily="34" charset="0"/>
                      </a:rPr>
                      <a:t>a</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0B4B-49A0-844A-5C35E1ED1416}"/>
                </c:ext>
              </c:extLst>
            </c:dLbl>
            <c:dLbl>
              <c:idx val="3"/>
              <c:layout>
                <c:manualLayout>
                  <c:x val="0"/>
                  <c:y val="-0.10610079575596817"/>
                </c:manualLayout>
              </c:layout>
              <c:tx>
                <c:rich>
                  <a:bodyPr/>
                  <a:lstStyle/>
                  <a:p>
                    <a:fld id="{7490C6CC-0879-476D-9255-E7AAA19458E5}" type="VALUE">
                      <a:rPr lang="en-US"/>
                      <a:pPr/>
                      <a:t>[VALUE]</a:t>
                    </a:fld>
                    <a:r>
                      <a:rPr lang="en-US">
                        <a:latin typeface="Aptos Narrow" panose="020B0004020202020204" pitchFamily="34" charset="0"/>
                      </a:rPr>
                      <a:t>±0,08</a:t>
                    </a:r>
                    <a:r>
                      <a:rPr lang="en-US" sz="1200" baseline="30000">
                        <a:latin typeface="Aptos Narrow" panose="020B0004020202020204" pitchFamily="34" charset="0"/>
                      </a:rPr>
                      <a:t>b</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0B4B-49A0-844A-5C35E1ED141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errBars>
            <c:errBarType val="both"/>
            <c:errValType val="percentage"/>
            <c:val val="5"/>
            <c:spPr>
              <a:noFill/>
              <a:ln w="9525" cap="flat" cmpd="sng" algn="ctr">
                <a:solidFill>
                  <a:schemeClr val="tx1">
                    <a:lumMod val="65000"/>
                    <a:lumOff val="35000"/>
                  </a:schemeClr>
                </a:solidFill>
                <a:round/>
              </a:ln>
              <a:effectLst/>
            </c:spPr>
          </c:errBars>
          <c:cat>
            <c:strRef>
              <c:f>'Kelimpahan MP'!$K$5:$K$8</c:f>
              <c:strCache>
                <c:ptCount val="4"/>
                <c:pt idx="0">
                  <c:v>P1</c:v>
                </c:pt>
                <c:pt idx="1">
                  <c:v>P2</c:v>
                </c:pt>
                <c:pt idx="2">
                  <c:v>P3</c:v>
                </c:pt>
                <c:pt idx="3">
                  <c:v>P4</c:v>
                </c:pt>
              </c:strCache>
            </c:strRef>
          </c:cat>
          <c:val>
            <c:numRef>
              <c:f>'Kelimpahan MP'!$L$5:$L$8</c:f>
              <c:numCache>
                <c:formatCode>0.00</c:formatCode>
                <c:ptCount val="4"/>
                <c:pt idx="0">
                  <c:v>7.0846900013566728E-3</c:v>
                </c:pt>
                <c:pt idx="1">
                  <c:v>3.9480994152046783E-2</c:v>
                </c:pt>
                <c:pt idx="2">
                  <c:v>6.0524302313517984E-2</c:v>
                </c:pt>
                <c:pt idx="3">
                  <c:v>0.33370664315108772</c:v>
                </c:pt>
              </c:numCache>
            </c:numRef>
          </c:val>
          <c:extLst xmlns:c16r2="http://schemas.microsoft.com/office/drawing/2015/06/chart">
            <c:ext xmlns:c16="http://schemas.microsoft.com/office/drawing/2014/chart" uri="{C3380CC4-5D6E-409C-BE32-E72D297353CC}">
              <c16:uniqueId val="{00000004-0B4B-49A0-844A-5C35E1ED1416}"/>
            </c:ext>
          </c:extLst>
        </c:ser>
        <c:dLbls>
          <c:showVal val="1"/>
        </c:dLbls>
        <c:gapWidth val="219"/>
        <c:overlap val="-27"/>
        <c:axId val="146168448"/>
        <c:axId val="170906368"/>
      </c:barChart>
      <c:catAx>
        <c:axId val="14616844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Treatment</a:t>
                </a:r>
              </a:p>
            </c:rich>
          </c:tx>
          <c:layout>
            <c:manualLayout>
              <c:xMode val="edge"/>
              <c:yMode val="edge"/>
              <c:x val="0.42046501262813829"/>
              <c:y val="0.86472148541114091"/>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0906368"/>
        <c:crosses val="autoZero"/>
        <c:auto val="1"/>
        <c:lblAlgn val="ctr"/>
        <c:lblOffset val="100"/>
      </c:catAx>
      <c:valAx>
        <c:axId val="170906368"/>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MP abundance</a:t>
                </a:r>
                <a:r>
                  <a:rPr lang="id-ID"/>
                  <a:t> </a:t>
                </a:r>
                <a:r>
                  <a:rPr lang="en-US"/>
                  <a:t>(particles/ind)</a:t>
                </a:r>
              </a:p>
            </c:rich>
          </c:tx>
          <c:layout>
            <c:manualLayout>
              <c:xMode val="edge"/>
              <c:yMode val="edge"/>
              <c:x val="2.4695713529723079E-2"/>
              <c:y val="0.2390765106140621"/>
            </c:manualLayout>
          </c:layout>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616844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795349873718625"/>
          <c:y val="5.3050397877984094E-2"/>
          <c:w val="0.80745530629426043"/>
          <c:h val="0.80793082562292451"/>
        </c:manualLayout>
      </c:layout>
      <c:barChart>
        <c:barDir val="col"/>
        <c:grouping val="clustered"/>
        <c:ser>
          <c:idx val="0"/>
          <c:order val="0"/>
          <c:tx>
            <c:strRef>
              <c:f>'Panjang Mutlak'!$AB$7</c:f>
              <c:strCache>
                <c:ptCount val="1"/>
                <c:pt idx="0">
                  <c:v>LPH</c:v>
                </c:pt>
              </c:strCache>
            </c:strRef>
          </c:tx>
          <c:spPr>
            <a:solidFill>
              <a:schemeClr val="accent1"/>
            </a:solidFill>
            <a:ln>
              <a:noFill/>
            </a:ln>
            <a:effectLst/>
          </c:spPr>
          <c:dLbls>
            <c:dLbl>
              <c:idx val="0"/>
              <c:layout>
                <c:manualLayout>
                  <c:x val="0"/>
                  <c:y val="2.1222247749535291E-2"/>
                </c:manualLayout>
              </c:layout>
              <c:tx>
                <c:rich>
                  <a:bodyPr/>
                  <a:lstStyle/>
                  <a:p>
                    <a:fld id="{A827B432-19AF-476E-A41F-59EAA991D457}" type="VALUE">
                      <a:rPr lang="en-US"/>
                      <a:pPr/>
                      <a:t>[VALUE]</a:t>
                    </a:fld>
                    <a:r>
                      <a:rPr lang="en-US">
                        <a:latin typeface="Aptos Narrow" panose="020B0004020202020204" pitchFamily="34" charset="0"/>
                      </a:rPr>
                      <a:t>±0,7</a:t>
                    </a:r>
                    <a:r>
                      <a:rPr lang="en-US" sz="1200" baseline="30000">
                        <a:latin typeface="Aptos Narrow" panose="020B0004020202020204" pitchFamily="34" charset="0"/>
                      </a:rPr>
                      <a:t>a</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6946-4032-A529-6D05DC3E7119}"/>
                </c:ext>
              </c:extLst>
            </c:dLbl>
            <c:dLbl>
              <c:idx val="1"/>
              <c:layout>
                <c:manualLayout>
                  <c:x val="0"/>
                  <c:y val="8.3543933666116718E-7"/>
                </c:manualLayout>
              </c:layout>
              <c:tx>
                <c:rich>
                  <a:bodyPr/>
                  <a:lstStyle/>
                  <a:p>
                    <a:fld id="{B1DBAA6B-B9D9-43BB-A720-69ECE5CB8DA2}" type="VALUE">
                      <a:rPr lang="en-US"/>
                      <a:pPr/>
                      <a:t>[VALUE]</a:t>
                    </a:fld>
                    <a:r>
                      <a:rPr lang="en-US">
                        <a:latin typeface="Aptos Narrow" panose="020B0004020202020204" pitchFamily="34" charset="0"/>
                      </a:rPr>
                      <a:t>±0,7</a:t>
                    </a:r>
                    <a:r>
                      <a:rPr lang="en-US" sz="1200" baseline="30000">
                        <a:latin typeface="Aptos Narrow" panose="020B0004020202020204" pitchFamily="34" charset="0"/>
                      </a:rPr>
                      <a:t>c</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6946-4032-A529-6D05DC3E7119}"/>
                </c:ext>
              </c:extLst>
            </c:dLbl>
            <c:dLbl>
              <c:idx val="2"/>
              <c:layout>
                <c:manualLayout>
                  <c:x val="6.2893081761006327E-3"/>
                  <c:y val="1.6708786733223346E-6"/>
                </c:manualLayout>
              </c:layout>
              <c:tx>
                <c:rich>
                  <a:bodyPr/>
                  <a:lstStyle/>
                  <a:p>
                    <a:fld id="{11969E50-5079-48C3-8A5B-C61FEFC9EA42}" type="VALUE">
                      <a:rPr lang="en-US"/>
                      <a:pPr/>
                      <a:t>[VALUE]</a:t>
                    </a:fld>
                    <a:r>
                      <a:rPr lang="en-US">
                        <a:latin typeface="Aptos Narrow" panose="020B0004020202020204" pitchFamily="34" charset="0"/>
                      </a:rPr>
                      <a:t>±0,5</a:t>
                    </a:r>
                    <a:r>
                      <a:rPr lang="en-US" sz="1200" baseline="30000">
                        <a:latin typeface="Aptos Narrow" panose="020B0004020202020204" pitchFamily="34" charset="0"/>
                      </a:rPr>
                      <a:t>ab</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6946-4032-A529-6D05DC3E7119}"/>
                </c:ext>
              </c:extLst>
            </c:dLbl>
            <c:dLbl>
              <c:idx val="3"/>
              <c:layout>
                <c:manualLayout>
                  <c:x val="3.1446540880502006E-3"/>
                  <c:y val="-5.3046220681300799E-3"/>
                </c:manualLayout>
              </c:layout>
              <c:tx>
                <c:rich>
                  <a:bodyPr/>
                  <a:lstStyle/>
                  <a:p>
                    <a:fld id="{1F794B7D-ACC7-4BD0-8AF0-31FD6CCF6A8C}" type="VALUE">
                      <a:rPr lang="en-US"/>
                      <a:pPr/>
                      <a:t>[VALUE]</a:t>
                    </a:fld>
                    <a:r>
                      <a:rPr lang="en-US">
                        <a:latin typeface="Aptos Narrow" panose="020B0004020202020204" pitchFamily="34" charset="0"/>
                      </a:rPr>
                      <a:t>±0,4</a:t>
                    </a:r>
                    <a:r>
                      <a:rPr lang="en-US" sz="1200" baseline="30000">
                        <a:latin typeface="Aptos Narrow" panose="020B0004020202020204" pitchFamily="34" charset="0"/>
                      </a:rPr>
                      <a:t>bc</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6946-4032-A529-6D05DC3E711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val val="5"/>
            <c:spPr>
              <a:noFill/>
              <a:ln w="9525" cap="flat" cmpd="sng" algn="ctr">
                <a:solidFill>
                  <a:schemeClr val="tx1">
                    <a:lumMod val="65000"/>
                    <a:lumOff val="35000"/>
                  </a:schemeClr>
                </a:solidFill>
                <a:round/>
              </a:ln>
              <a:effectLst/>
            </c:spPr>
          </c:errBars>
          <c:cat>
            <c:strRef>
              <c:f>'Panjang Mutlak'!$AA$8:$AA$11</c:f>
              <c:strCache>
                <c:ptCount val="4"/>
                <c:pt idx="0">
                  <c:v>P1</c:v>
                </c:pt>
                <c:pt idx="1">
                  <c:v>P2</c:v>
                </c:pt>
                <c:pt idx="2">
                  <c:v>P3</c:v>
                </c:pt>
                <c:pt idx="3">
                  <c:v>P4</c:v>
                </c:pt>
              </c:strCache>
            </c:strRef>
          </c:cat>
          <c:val>
            <c:numRef>
              <c:f>'Panjang Mutlak'!$AB$8:$AB$11</c:f>
              <c:numCache>
                <c:formatCode>0.0</c:formatCode>
                <c:ptCount val="4"/>
                <c:pt idx="0">
                  <c:v>-0.76157282020683414</c:v>
                </c:pt>
                <c:pt idx="1">
                  <c:v>-2.1050783386405905</c:v>
                </c:pt>
                <c:pt idx="2">
                  <c:v>-1.1329044930231771</c:v>
                </c:pt>
                <c:pt idx="3">
                  <c:v>-1.9857962472690696</c:v>
                </c:pt>
              </c:numCache>
            </c:numRef>
          </c:val>
          <c:extLst xmlns:c16r2="http://schemas.microsoft.com/office/drawing/2015/06/chart">
            <c:ext xmlns:c16="http://schemas.microsoft.com/office/drawing/2014/chart" uri="{C3380CC4-5D6E-409C-BE32-E72D297353CC}">
              <c16:uniqueId val="{00000004-6946-4032-A529-6D05DC3E7119}"/>
            </c:ext>
          </c:extLst>
        </c:ser>
        <c:dLbls>
          <c:showVal val="1"/>
        </c:dLbls>
        <c:gapWidth val="219"/>
        <c:overlap val="-27"/>
        <c:axId val="108402176"/>
        <c:axId val="108404096"/>
      </c:barChart>
      <c:catAx>
        <c:axId val="10840217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US"/>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bg1"/>
                </a:solidFill>
                <a:latin typeface="Arial" panose="020B0604020202020204" pitchFamily="34" charset="0"/>
                <a:ea typeface="+mn-ea"/>
                <a:cs typeface="Arial" panose="020B0604020202020204" pitchFamily="34" charset="0"/>
              </a:defRPr>
            </a:pPr>
            <a:endParaRPr lang="en-US"/>
          </a:p>
        </c:txPr>
        <c:crossAx val="108404096"/>
        <c:crosses val="autoZero"/>
        <c:auto val="1"/>
        <c:lblAlgn val="ctr"/>
        <c:lblOffset val="100"/>
      </c:catAx>
      <c:valAx>
        <c:axId val="108404096"/>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Length Growth Rate (</a:t>
                </a:r>
                <a:r>
                  <a:rPr lang="el-GR"/>
                  <a:t>μ</a:t>
                </a:r>
                <a:r>
                  <a:rPr lang="id-ID"/>
                  <a:t>m)</a:t>
                </a:r>
                <a:endParaRPr lang="en-US"/>
              </a:p>
            </c:rich>
          </c:tx>
          <c:spPr>
            <a:noFill/>
            <a:ln>
              <a:noFill/>
            </a:ln>
            <a:effectLst/>
          </c:spPr>
        </c:title>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840217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F7D37-6C2D-40BC-B4AB-F00288BB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10</Pages>
  <Words>5794</Words>
  <Characters>33026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38743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Maa</cp:lastModifiedBy>
  <cp:revision>2</cp:revision>
  <cp:lastPrinted>1999-07-06T11:00:00Z</cp:lastPrinted>
  <dcterms:created xsi:type="dcterms:W3CDTF">2025-05-12T13:54:00Z</dcterms:created>
  <dcterms:modified xsi:type="dcterms:W3CDTF">2025-05-12T13:54:00Z</dcterms:modified>
</cp:coreProperties>
</file>