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01789" w14:textId="4FD159BA" w:rsidR="00754C9A" w:rsidRDefault="003E0E3A" w:rsidP="00441B6F">
      <w:pPr>
        <w:pStyle w:val="Title"/>
        <w:spacing w:after="0"/>
        <w:jc w:val="both"/>
        <w:rPr>
          <w:rFonts w:ascii="Arial" w:hAnsi="Arial" w:cs="Arial"/>
        </w:rPr>
      </w:pPr>
      <w:r w:rsidRPr="003E0E3A">
        <w:rPr>
          <w:rFonts w:ascii="Arial" w:hAnsi="Arial" w:cs="Arial"/>
        </w:rPr>
        <w:t>Original Research Article</w:t>
      </w:r>
    </w:p>
    <w:p w14:paraId="1D705B3F" w14:textId="77777777" w:rsidR="003E0E3A" w:rsidRDefault="003E0E3A" w:rsidP="00441B6F">
      <w:pPr>
        <w:pStyle w:val="Title"/>
        <w:spacing w:after="0"/>
        <w:jc w:val="both"/>
        <w:rPr>
          <w:rFonts w:ascii="Arial" w:hAnsi="Arial" w:cs="Arial"/>
        </w:rPr>
      </w:pPr>
    </w:p>
    <w:p w14:paraId="72E2667D" w14:textId="1E75BE1F" w:rsidR="00A258C3" w:rsidRDefault="006023E4" w:rsidP="006023E4">
      <w:pPr>
        <w:pStyle w:val="Author"/>
        <w:spacing w:line="240" w:lineRule="auto"/>
        <w:rPr>
          <w:rFonts w:ascii="Arial" w:hAnsi="Arial" w:cs="Arial"/>
          <w:bCs/>
          <w:iCs/>
          <w:kern w:val="28"/>
          <w:sz w:val="36"/>
        </w:rPr>
      </w:pPr>
      <w:r w:rsidRPr="006023E4">
        <w:rPr>
          <w:rFonts w:ascii="Arial" w:hAnsi="Arial" w:cs="Arial"/>
          <w:bCs/>
          <w:iCs/>
          <w:kern w:val="28"/>
          <w:sz w:val="36"/>
        </w:rPr>
        <w:t>Student Engagement in Blended Mathematics Learning: The Role of Perceived Teaching Performance and Critical Thinking Skills</w:t>
      </w:r>
    </w:p>
    <w:p w14:paraId="519B9675" w14:textId="77777777" w:rsidR="006023E4" w:rsidRPr="00790ADA" w:rsidRDefault="006023E4" w:rsidP="006023E4">
      <w:pPr>
        <w:pStyle w:val="Author"/>
        <w:spacing w:line="240" w:lineRule="auto"/>
        <w:rPr>
          <w:rFonts w:ascii="Arial" w:hAnsi="Arial" w:cs="Arial"/>
          <w:sz w:val="36"/>
        </w:rPr>
      </w:pPr>
    </w:p>
    <w:p w14:paraId="4A9AA686" w14:textId="77777777" w:rsidR="00790ADA" w:rsidRDefault="00790ADA" w:rsidP="00441B6F">
      <w:pPr>
        <w:pStyle w:val="Affiliation"/>
        <w:spacing w:after="0" w:line="240" w:lineRule="auto"/>
        <w:jc w:val="both"/>
        <w:rPr>
          <w:rFonts w:ascii="Arial" w:hAnsi="Arial" w:cs="Arial"/>
        </w:rPr>
      </w:pPr>
    </w:p>
    <w:p w14:paraId="29F34FB4" w14:textId="77777777" w:rsidR="002C57D2" w:rsidRPr="00FB3A86" w:rsidRDefault="002C57D2" w:rsidP="00441B6F">
      <w:pPr>
        <w:pStyle w:val="Affiliation"/>
        <w:spacing w:after="0" w:line="240" w:lineRule="auto"/>
        <w:jc w:val="both"/>
        <w:rPr>
          <w:rFonts w:ascii="Arial" w:hAnsi="Arial" w:cs="Arial"/>
        </w:rPr>
      </w:pPr>
    </w:p>
    <w:p w14:paraId="76456AE1" w14:textId="34FA2347" w:rsidR="00B01FCD" w:rsidRPr="00FB3A86" w:rsidRDefault="00774D0E" w:rsidP="00441B6F">
      <w:pPr>
        <w:pStyle w:val="Copyright"/>
        <w:spacing w:after="0" w:line="240" w:lineRule="auto"/>
        <w:jc w:val="both"/>
        <w:rPr>
          <w:rFonts w:ascii="Arial" w:hAnsi="Arial" w:cs="Arial"/>
        </w:rPr>
        <w:sectPr w:rsidR="00B01FCD" w:rsidRPr="00FB3A86" w:rsidSect="00024F7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17B24CE" wp14:editId="2CC8F8B6">
                <wp:extent cx="5303520" cy="0"/>
                <wp:effectExtent l="15240" t="10160" r="15240" b="184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61A21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6022264F" w14:textId="2900B69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924862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552D489" w14:textId="77777777" w:rsidTr="001E44FE">
        <w:tc>
          <w:tcPr>
            <w:tcW w:w="9576" w:type="dxa"/>
            <w:shd w:val="clear" w:color="auto" w:fill="F2F2F2"/>
          </w:tcPr>
          <w:p w14:paraId="3FE6D3A9" w14:textId="639E3E62" w:rsidR="00505F06" w:rsidRPr="00BA1B01" w:rsidRDefault="00E76E2B" w:rsidP="006023E4">
            <w:pPr>
              <w:pStyle w:val="Body"/>
              <w:spacing w:after="0"/>
              <w:rPr>
                <w:rFonts w:ascii="Arial" w:eastAsia="Calibri" w:hAnsi="Arial" w:cs="Arial"/>
                <w:szCs w:val="22"/>
              </w:rPr>
            </w:pPr>
            <w:r w:rsidRPr="00E76E2B">
              <w:rPr>
                <w:rFonts w:ascii="Arial" w:eastAsia="Calibri" w:hAnsi="Arial" w:cs="Arial"/>
                <w:szCs w:val="22"/>
              </w:rPr>
              <w:t>Engaging college students in mathematics remains a significant challenge but is essential for effective teaching and learning in higher education, particularly in blended learning environments. This study examined the combined effect of perceived teaching performance and critical thinking skills on the mathematical engagement of Bachelor of Secondary Education (BSED) mathematics students. Using a quantitative, non-experimental, predictive-correlational design, 120 valid cases were analyzed with SPSS v.26.</w:t>
            </w:r>
            <w:r>
              <w:rPr>
                <w:rFonts w:ascii="Arial" w:eastAsia="Calibri" w:hAnsi="Arial" w:cs="Arial"/>
                <w:szCs w:val="22"/>
              </w:rPr>
              <w:t xml:space="preserve"> </w:t>
            </w:r>
            <w:r w:rsidRPr="00E76E2B">
              <w:rPr>
                <w:rFonts w:ascii="Arial" w:eastAsia="Calibri" w:hAnsi="Arial" w:cs="Arial"/>
                <w:szCs w:val="22"/>
              </w:rPr>
              <w:t>Correlational analysis revealed strong positive relationships among perceived teaching performance, critical thinking skills, and student engagement. The regression analysis further demonstrated that these two factors significantly predicted students' engagement in mathematics. These findings highlight the importance of enhancing instructional quality, promoting critical thinking activities, and fostering engaging learning environments to support improved student participation, academic performance, and long-term success in mathematics.</w:t>
            </w:r>
          </w:p>
        </w:tc>
      </w:tr>
    </w:tbl>
    <w:p w14:paraId="25B052F4" w14:textId="77777777" w:rsidR="00636EB2" w:rsidRDefault="00636EB2" w:rsidP="00441B6F">
      <w:pPr>
        <w:pStyle w:val="Body"/>
        <w:spacing w:after="0"/>
        <w:rPr>
          <w:rFonts w:ascii="Arial" w:hAnsi="Arial" w:cs="Arial"/>
          <w:i/>
        </w:rPr>
      </w:pPr>
    </w:p>
    <w:p w14:paraId="0F78CE06" w14:textId="4958ACC7" w:rsidR="0024282C" w:rsidRPr="006023E4" w:rsidRDefault="00A24E7E" w:rsidP="00441B6F">
      <w:pPr>
        <w:pStyle w:val="Body"/>
        <w:spacing w:after="0"/>
        <w:rPr>
          <w:rFonts w:ascii="Arial" w:hAnsi="Arial" w:cs="Arial"/>
          <w:i/>
        </w:rPr>
      </w:pPr>
      <w:r>
        <w:rPr>
          <w:rFonts w:ascii="Arial" w:hAnsi="Arial" w:cs="Arial"/>
          <w:i/>
        </w:rPr>
        <w:t xml:space="preserve">Keywords: </w:t>
      </w:r>
      <w:r w:rsidR="006023E4" w:rsidRPr="006023E4">
        <w:rPr>
          <w:rFonts w:ascii="Arial" w:hAnsi="Arial" w:cs="Arial"/>
          <w:i/>
        </w:rPr>
        <w:t>Critical Thinking Skills, Blended Learning Environment, Engagement, Mathematics, Perceived Teaching Performance.</w:t>
      </w:r>
    </w:p>
    <w:p w14:paraId="2884755A" w14:textId="77777777" w:rsidR="00505F06" w:rsidRPr="00A24E7E" w:rsidRDefault="00505F06" w:rsidP="00441B6F">
      <w:pPr>
        <w:pStyle w:val="Body"/>
        <w:spacing w:after="0"/>
        <w:rPr>
          <w:rFonts w:ascii="Arial" w:hAnsi="Arial" w:cs="Arial"/>
          <w:i/>
        </w:rPr>
      </w:pPr>
    </w:p>
    <w:p w14:paraId="7C96C7DF" w14:textId="5877362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7EAF79" w14:textId="77777777" w:rsidR="00790ADA" w:rsidRPr="00FB3A86" w:rsidRDefault="00790ADA" w:rsidP="00441B6F">
      <w:pPr>
        <w:pStyle w:val="AbstHead"/>
        <w:spacing w:after="0"/>
        <w:jc w:val="both"/>
        <w:rPr>
          <w:rFonts w:ascii="Arial" w:hAnsi="Arial" w:cs="Arial"/>
        </w:rPr>
      </w:pPr>
    </w:p>
    <w:p w14:paraId="5999D27E" w14:textId="77777777" w:rsidR="0034163F" w:rsidRDefault="0034163F" w:rsidP="0034163F">
      <w:pPr>
        <w:jc w:val="both"/>
        <w:rPr>
          <w:rFonts w:ascii="Arial" w:hAnsi="Arial" w:cs="Arial"/>
        </w:rPr>
      </w:pPr>
      <w:r w:rsidRPr="0034163F">
        <w:rPr>
          <w:rFonts w:ascii="Arial" w:hAnsi="Arial" w:cs="Arial"/>
        </w:rPr>
        <w:t xml:space="preserve">The quality of mathematics instruction in tertiary education plays a critical role in shaping students' academic achievement, cognitive development, and engagement (Stronge, 2018). With the rise of blended learning, which integrates face-to-face and online modalities, the role of educators in fostering active participation has become increasingly important. Engagement in mathematics learning is essential for developing deeper conceptual understanding and stronger problem-solving skills (McMullen et al., 2023), and effective teaching performance has been closely linked to improved student </w:t>
      </w:r>
      <w:commentRangeStart w:id="0"/>
      <w:r w:rsidRPr="0034163F">
        <w:rPr>
          <w:rFonts w:ascii="Arial" w:hAnsi="Arial" w:cs="Arial"/>
        </w:rPr>
        <w:t>engagement</w:t>
      </w:r>
      <w:commentRangeEnd w:id="0"/>
      <w:r w:rsidR="002D1BB3">
        <w:rPr>
          <w:rStyle w:val="CommentReference"/>
          <w:rFonts w:ascii="Times New Roman" w:hAnsi="Times New Roman"/>
          <w:lang w:val="nb-NO" w:eastAsia="nb-NO"/>
        </w:rPr>
        <w:commentReference w:id="0"/>
      </w:r>
      <w:r w:rsidRPr="0034163F">
        <w:rPr>
          <w:rFonts w:ascii="Arial" w:hAnsi="Arial" w:cs="Arial"/>
        </w:rPr>
        <w:t>.</w:t>
      </w:r>
    </w:p>
    <w:p w14:paraId="6F1E3CB3" w14:textId="77777777" w:rsidR="0034163F" w:rsidRPr="0034163F" w:rsidRDefault="0034163F" w:rsidP="0034163F">
      <w:pPr>
        <w:jc w:val="both"/>
        <w:rPr>
          <w:rFonts w:ascii="Arial" w:hAnsi="Arial" w:cs="Arial"/>
        </w:rPr>
      </w:pPr>
    </w:p>
    <w:p w14:paraId="7D2D1C63" w14:textId="77777777" w:rsidR="0034163F" w:rsidRDefault="0034163F" w:rsidP="0034163F">
      <w:pPr>
        <w:jc w:val="both"/>
        <w:rPr>
          <w:rFonts w:ascii="Arial" w:hAnsi="Arial" w:cs="Arial"/>
        </w:rPr>
      </w:pPr>
      <w:r w:rsidRPr="0034163F">
        <w:rPr>
          <w:rFonts w:ascii="Arial" w:hAnsi="Arial" w:cs="Arial"/>
        </w:rPr>
        <w:t>However, student disengagement in mathematics remains a persistent global issue. Studies by Joshi et al. (2022), Everingham et al. (2017), and Xia et al. (2022) highlight the complexity and variability of mathematics engagement, while Steele et al. (2019) emphasize that instructional strategies succeed only when accompanied by active participation. In the United Kingdom, Croft and Grove (2015) report widespread disengagement among undergraduate mathematics students, and Skilling et al. (2021) suggest that prior experiences significantly shape student engagement levels.</w:t>
      </w:r>
    </w:p>
    <w:p w14:paraId="0315E1D1" w14:textId="77777777" w:rsidR="0034163F" w:rsidRPr="0034163F" w:rsidRDefault="0034163F" w:rsidP="0034163F">
      <w:pPr>
        <w:jc w:val="both"/>
        <w:rPr>
          <w:rFonts w:ascii="Arial" w:hAnsi="Arial" w:cs="Arial"/>
        </w:rPr>
      </w:pPr>
    </w:p>
    <w:p w14:paraId="46A70264" w14:textId="77777777" w:rsidR="0034163F" w:rsidRDefault="0034163F" w:rsidP="0034163F">
      <w:pPr>
        <w:jc w:val="both"/>
        <w:rPr>
          <w:rFonts w:ascii="Arial" w:hAnsi="Arial" w:cs="Arial"/>
        </w:rPr>
      </w:pPr>
      <w:r w:rsidRPr="0034163F">
        <w:rPr>
          <w:rFonts w:ascii="Arial" w:hAnsi="Arial" w:cs="Arial"/>
        </w:rPr>
        <w:t>The challenge is equally evident in the Philippine context. Llorente and Tado (2024) point to persistent difficulties in promoting participation, while Peteros et al. (2022) and Gamit (2022) highlight foundational skill gaps that hinder success in mathematics. Villa and Sebastian (2021) emphasize the struggles with higher-order thinking tasks, and Poquita (2023) notes declining student enthusiasm and confidence. Torrejos (2024) further reveals that perceived teaching effectiveness and critical thinking skills significantly influence mathematics engagement.</w:t>
      </w:r>
    </w:p>
    <w:p w14:paraId="57F90801" w14:textId="77777777" w:rsidR="0034163F" w:rsidRPr="0034163F" w:rsidRDefault="0034163F" w:rsidP="0034163F">
      <w:pPr>
        <w:jc w:val="both"/>
        <w:rPr>
          <w:rFonts w:ascii="Arial" w:hAnsi="Arial" w:cs="Arial"/>
        </w:rPr>
      </w:pPr>
    </w:p>
    <w:p w14:paraId="1AC8FA52" w14:textId="3BF7051F" w:rsidR="00B01FCD" w:rsidRPr="006023E4" w:rsidRDefault="0034163F" w:rsidP="0034163F">
      <w:pPr>
        <w:jc w:val="both"/>
        <w:rPr>
          <w:rFonts w:ascii="Arial" w:hAnsi="Arial" w:cs="Arial"/>
        </w:rPr>
      </w:pPr>
      <w:r w:rsidRPr="0034163F">
        <w:rPr>
          <w:rFonts w:ascii="Arial" w:hAnsi="Arial" w:cs="Arial"/>
        </w:rPr>
        <w:lastRenderedPageBreak/>
        <w:t xml:space="preserve">Despite growing research, limited studies have examined how perceived teaching performance and critical thinking skills interact to influence engagement among Bachelor of Secondary Education (BSED) Mathematics students in blended learning environments. Addressing this gap is crucial for developing instructional strategies that effectively enhance engagement and support better academic outcomes in </w:t>
      </w:r>
      <w:commentRangeStart w:id="1"/>
      <w:r w:rsidRPr="0034163F">
        <w:rPr>
          <w:rFonts w:ascii="Arial" w:hAnsi="Arial" w:cs="Arial"/>
        </w:rPr>
        <w:t>mathematics</w:t>
      </w:r>
      <w:commentRangeEnd w:id="1"/>
      <w:r w:rsidR="002D1BB3">
        <w:rPr>
          <w:rStyle w:val="CommentReference"/>
          <w:rFonts w:ascii="Times New Roman" w:hAnsi="Times New Roman"/>
          <w:lang w:val="nb-NO" w:eastAsia="nb-NO"/>
        </w:rPr>
        <w:commentReference w:id="1"/>
      </w:r>
      <w:r w:rsidRPr="0034163F">
        <w:rPr>
          <w:rFonts w:ascii="Arial" w:hAnsi="Arial" w:cs="Arial"/>
        </w:rPr>
        <w:t>.</w:t>
      </w:r>
      <w:r w:rsidR="002D1BB3">
        <w:rPr>
          <w:rFonts w:ascii="Arial" w:hAnsi="Arial" w:cs="Arial"/>
        </w:rPr>
        <w:t xml:space="preserve"> </w:t>
      </w:r>
    </w:p>
    <w:p w14:paraId="2B37CBAB" w14:textId="77777777" w:rsidR="00790ADA" w:rsidRPr="00FB3A86" w:rsidRDefault="00790ADA" w:rsidP="00441B6F">
      <w:pPr>
        <w:pStyle w:val="Body"/>
        <w:spacing w:after="0"/>
        <w:rPr>
          <w:rFonts w:ascii="Arial" w:hAnsi="Arial" w:cs="Arial"/>
        </w:rPr>
      </w:pPr>
    </w:p>
    <w:p w14:paraId="168D3B96" w14:textId="7D60798C"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4333A283" w14:textId="77777777" w:rsidR="00790ADA" w:rsidRPr="00FB3A86" w:rsidRDefault="00790ADA" w:rsidP="00441B6F">
      <w:pPr>
        <w:pStyle w:val="AbstHead"/>
        <w:spacing w:after="0"/>
        <w:jc w:val="both"/>
        <w:rPr>
          <w:rFonts w:ascii="Arial" w:hAnsi="Arial" w:cs="Arial"/>
        </w:rPr>
      </w:pPr>
    </w:p>
    <w:p w14:paraId="0D9A2C03" w14:textId="77777777" w:rsidR="00CB5971" w:rsidRPr="00CB5971" w:rsidRDefault="00CB5971" w:rsidP="00CB5971">
      <w:pPr>
        <w:pStyle w:val="Body"/>
        <w:rPr>
          <w:rFonts w:ascii="Arial" w:hAnsi="Arial" w:cs="Arial"/>
          <w:b/>
          <w:bCs/>
        </w:rPr>
      </w:pPr>
      <w:r w:rsidRPr="00CB5971">
        <w:rPr>
          <w:rFonts w:ascii="Arial" w:hAnsi="Arial" w:cs="Arial"/>
          <w:b/>
          <w:bCs/>
        </w:rPr>
        <w:t xml:space="preserve">2.1 Research Design </w:t>
      </w:r>
    </w:p>
    <w:p w14:paraId="493659E9" w14:textId="40144DEC" w:rsidR="0034163F" w:rsidRPr="0034163F" w:rsidRDefault="0034163F" w:rsidP="0034163F">
      <w:pPr>
        <w:pStyle w:val="Body"/>
        <w:rPr>
          <w:rFonts w:ascii="Arial" w:hAnsi="Arial" w:cs="Arial"/>
          <w:lang w:val="en-PH"/>
        </w:rPr>
      </w:pPr>
      <w:r w:rsidRPr="0034163F">
        <w:rPr>
          <w:rFonts w:ascii="Arial" w:hAnsi="Arial" w:cs="Arial"/>
          <w:lang w:val="en-PH"/>
        </w:rPr>
        <w:t>This study adopted a quantitative, non-experimental, predictive-correlational research design. A quantitative approach was employed to formulate hypotheses and gather numerical data to examine the relationships among variables (Creswell, 2021). Specifically, the study aimed to assess the perceived teaching performance of instructors, the critical thinking skills of students, and their engagement in mathematics.</w:t>
      </w:r>
      <w:r>
        <w:rPr>
          <w:rFonts w:ascii="Arial" w:hAnsi="Arial" w:cs="Arial"/>
          <w:lang w:val="en-PH"/>
        </w:rPr>
        <w:t xml:space="preserve"> </w:t>
      </w:r>
      <w:commentRangeStart w:id="2"/>
      <w:r w:rsidRPr="0034163F">
        <w:rPr>
          <w:rFonts w:ascii="Arial" w:hAnsi="Arial" w:cs="Arial"/>
          <w:lang w:val="en-PH"/>
        </w:rPr>
        <w:t>Descriptive statistics were used to summarize and quantify the characteristics of the variables under investigation</w:t>
      </w:r>
      <w:commentRangeEnd w:id="2"/>
      <w:r w:rsidR="00624515">
        <w:rPr>
          <w:rStyle w:val="CommentReference"/>
          <w:rFonts w:ascii="Times New Roman" w:hAnsi="Times New Roman"/>
          <w:lang w:val="nb-NO" w:eastAsia="nb-NO"/>
        </w:rPr>
        <w:commentReference w:id="2"/>
      </w:r>
      <w:r w:rsidRPr="0034163F">
        <w:rPr>
          <w:rFonts w:ascii="Arial" w:hAnsi="Arial" w:cs="Arial"/>
          <w:lang w:val="en-PH"/>
        </w:rPr>
        <w:t xml:space="preserve">. </w:t>
      </w:r>
      <w:commentRangeStart w:id="3"/>
      <w:r w:rsidRPr="0034163F">
        <w:rPr>
          <w:rFonts w:ascii="Arial" w:hAnsi="Arial" w:cs="Arial"/>
          <w:lang w:val="en-PH"/>
        </w:rPr>
        <w:t>To analyze the relationships among the variables, correlational analysis was conducted, examining the strength and direction of the associations</w:t>
      </w:r>
      <w:commentRangeEnd w:id="3"/>
      <w:r w:rsidR="005B65F5">
        <w:rPr>
          <w:rStyle w:val="CommentReference"/>
          <w:rFonts w:ascii="Times New Roman" w:hAnsi="Times New Roman"/>
          <w:lang w:val="nb-NO" w:eastAsia="nb-NO"/>
        </w:rPr>
        <w:commentReference w:id="3"/>
      </w:r>
      <w:r w:rsidRPr="0034163F">
        <w:rPr>
          <w:rFonts w:ascii="Arial" w:hAnsi="Arial" w:cs="Arial"/>
          <w:lang w:val="en-PH"/>
        </w:rPr>
        <w:t xml:space="preserve">. Furthermore, </w:t>
      </w:r>
      <w:commentRangeStart w:id="4"/>
      <w:r w:rsidRPr="0034163F">
        <w:rPr>
          <w:rFonts w:ascii="Arial" w:hAnsi="Arial" w:cs="Arial"/>
          <w:lang w:val="en-PH"/>
        </w:rPr>
        <w:t>multiple regression analysis was utilized to determine the extent to which perceived teaching performance and critical thinking skills predict students' engagement in mathematics</w:t>
      </w:r>
      <w:commentRangeEnd w:id="4"/>
      <w:r w:rsidR="005B65F5">
        <w:rPr>
          <w:rStyle w:val="CommentReference"/>
          <w:rFonts w:ascii="Times New Roman" w:hAnsi="Times New Roman"/>
          <w:lang w:val="nb-NO" w:eastAsia="nb-NO"/>
        </w:rPr>
        <w:commentReference w:id="4"/>
      </w:r>
      <w:r w:rsidRPr="0034163F">
        <w:rPr>
          <w:rFonts w:ascii="Arial" w:hAnsi="Arial" w:cs="Arial"/>
          <w:lang w:val="en-PH"/>
        </w:rPr>
        <w:t xml:space="preserve">. </w:t>
      </w:r>
      <w:commentRangeStart w:id="5"/>
      <w:r w:rsidRPr="0034163F">
        <w:rPr>
          <w:rFonts w:ascii="Arial" w:hAnsi="Arial" w:cs="Arial"/>
          <w:lang w:val="en-PH"/>
        </w:rPr>
        <w:t>According to Hair et al. (2019), multiple regression is an effective method for exploring predictive relationships among observed variables in social science research.</w:t>
      </w:r>
      <w:commentRangeEnd w:id="5"/>
      <w:r w:rsidR="005B65F5">
        <w:rPr>
          <w:rStyle w:val="CommentReference"/>
          <w:rFonts w:ascii="Times New Roman" w:hAnsi="Times New Roman"/>
          <w:lang w:val="nb-NO" w:eastAsia="nb-NO"/>
        </w:rPr>
        <w:commentReference w:id="5"/>
      </w:r>
    </w:p>
    <w:p w14:paraId="48CA7CBE" w14:textId="77777777" w:rsidR="00CB5971" w:rsidRPr="00CB5971" w:rsidRDefault="00CB5971" w:rsidP="00CB5971">
      <w:pPr>
        <w:pStyle w:val="Body"/>
        <w:rPr>
          <w:rFonts w:ascii="Arial" w:hAnsi="Arial" w:cs="Arial"/>
          <w:b/>
          <w:bCs/>
        </w:rPr>
      </w:pPr>
      <w:r w:rsidRPr="00CB5971">
        <w:rPr>
          <w:rFonts w:ascii="Arial" w:hAnsi="Arial" w:cs="Arial"/>
          <w:b/>
          <w:bCs/>
        </w:rPr>
        <w:t>2.2 Research Locale</w:t>
      </w:r>
    </w:p>
    <w:p w14:paraId="425A47AD" w14:textId="1DDEF6A9" w:rsidR="00CB5971" w:rsidRPr="00CB5971" w:rsidRDefault="00CB5971" w:rsidP="00CB5971">
      <w:pPr>
        <w:pStyle w:val="Body"/>
        <w:rPr>
          <w:rFonts w:ascii="Arial" w:hAnsi="Arial" w:cs="Arial"/>
        </w:rPr>
      </w:pPr>
      <w:r w:rsidRPr="00CB5971">
        <w:rPr>
          <w:rFonts w:ascii="Arial" w:hAnsi="Arial" w:cs="Arial"/>
        </w:rPr>
        <w:t>The research was carried out at Davao del Sur State College in Digos City, Davao del Sur Province, Region XI.</w:t>
      </w:r>
    </w:p>
    <w:p w14:paraId="1C7C8660" w14:textId="77777777" w:rsidR="00CB5971" w:rsidRPr="00CB5971" w:rsidRDefault="00CB5971" w:rsidP="00CB5971">
      <w:pPr>
        <w:pStyle w:val="Body"/>
        <w:rPr>
          <w:rFonts w:ascii="Arial" w:hAnsi="Arial" w:cs="Arial"/>
          <w:b/>
          <w:bCs/>
        </w:rPr>
      </w:pPr>
      <w:r w:rsidRPr="00CB5971">
        <w:rPr>
          <w:rFonts w:ascii="Arial" w:hAnsi="Arial" w:cs="Arial"/>
          <w:b/>
          <w:bCs/>
        </w:rPr>
        <w:t>2.3 Research Participants</w:t>
      </w:r>
    </w:p>
    <w:p w14:paraId="41F96A92" w14:textId="10EC81D4" w:rsidR="00CB5971" w:rsidRPr="00CB5971" w:rsidRDefault="00CB5971" w:rsidP="00CB5971">
      <w:pPr>
        <w:pStyle w:val="Body"/>
        <w:rPr>
          <w:rFonts w:ascii="Arial" w:hAnsi="Arial" w:cs="Arial"/>
        </w:rPr>
      </w:pPr>
      <w:commentRangeStart w:id="6"/>
      <w:r w:rsidRPr="00CB5971">
        <w:rPr>
          <w:rFonts w:ascii="Arial" w:hAnsi="Arial" w:cs="Arial"/>
        </w:rPr>
        <w:t xml:space="preserve">The study's respondents were the </w:t>
      </w:r>
      <w:commentRangeStart w:id="7"/>
      <w:r w:rsidRPr="00CB5971">
        <w:rPr>
          <w:rFonts w:ascii="Arial" w:hAnsi="Arial" w:cs="Arial"/>
        </w:rPr>
        <w:t xml:space="preserve">BSED </w:t>
      </w:r>
      <w:commentRangeEnd w:id="7"/>
      <w:r w:rsidR="005B65F5">
        <w:rPr>
          <w:rStyle w:val="CommentReference"/>
          <w:rFonts w:ascii="Times New Roman" w:hAnsi="Times New Roman"/>
          <w:lang w:val="nb-NO" w:eastAsia="nb-NO"/>
        </w:rPr>
        <w:commentReference w:id="7"/>
      </w:r>
      <w:r w:rsidRPr="00CB5971">
        <w:rPr>
          <w:rFonts w:ascii="Arial" w:hAnsi="Arial" w:cs="Arial"/>
        </w:rPr>
        <w:t>– Mathematics students enrolled in the second semester for the academic year 2024 – 2025. The respondents were selected using a stratified random sampling method</w:t>
      </w:r>
      <w:commentRangeEnd w:id="6"/>
      <w:r w:rsidR="005B65F5">
        <w:rPr>
          <w:rStyle w:val="CommentReference"/>
          <w:rFonts w:ascii="Times New Roman" w:hAnsi="Times New Roman"/>
          <w:lang w:val="nb-NO" w:eastAsia="nb-NO"/>
        </w:rPr>
        <w:commentReference w:id="6"/>
      </w:r>
      <w:r w:rsidRPr="00CB5971">
        <w:rPr>
          <w:rFonts w:ascii="Arial" w:hAnsi="Arial" w:cs="Arial"/>
        </w:rPr>
        <w:t xml:space="preserve">. A total of 120 respondents were utilized in this study. </w:t>
      </w:r>
    </w:p>
    <w:p w14:paraId="187A4593" w14:textId="77777777" w:rsidR="00CB5971" w:rsidRPr="00CB5971" w:rsidRDefault="00CB5971" w:rsidP="00CB5971">
      <w:pPr>
        <w:pStyle w:val="Body"/>
        <w:rPr>
          <w:rFonts w:ascii="Arial" w:hAnsi="Arial" w:cs="Arial"/>
          <w:b/>
          <w:bCs/>
        </w:rPr>
      </w:pPr>
      <w:r w:rsidRPr="00CB5971">
        <w:rPr>
          <w:rFonts w:ascii="Arial" w:hAnsi="Arial" w:cs="Arial"/>
          <w:b/>
          <w:bCs/>
        </w:rPr>
        <w:t>2.4 Research Instrument</w:t>
      </w:r>
    </w:p>
    <w:p w14:paraId="158771DB" w14:textId="60018489" w:rsidR="00CB5971" w:rsidRPr="00CB5971" w:rsidRDefault="00CB5971" w:rsidP="00CB5971">
      <w:pPr>
        <w:pStyle w:val="Body"/>
        <w:rPr>
          <w:rFonts w:ascii="Arial" w:hAnsi="Arial" w:cs="Arial"/>
        </w:rPr>
      </w:pPr>
      <w:commentRangeStart w:id="8"/>
      <w:r w:rsidRPr="00CB5971">
        <w:rPr>
          <w:rFonts w:ascii="Arial" w:hAnsi="Arial" w:cs="Arial"/>
        </w:rPr>
        <w:t xml:space="preserve">The modified Teacher Effectiveness Performance Evaluation System Questionnaire by Stronge (2012) </w:t>
      </w:r>
      <w:commentRangeEnd w:id="8"/>
      <w:r w:rsidR="00CF19ED">
        <w:rPr>
          <w:rStyle w:val="CommentReference"/>
          <w:rFonts w:ascii="Times New Roman" w:hAnsi="Times New Roman"/>
          <w:lang w:val="nb-NO" w:eastAsia="nb-NO"/>
        </w:rPr>
        <w:commentReference w:id="8"/>
      </w:r>
      <w:r w:rsidRPr="00CB5971">
        <w:rPr>
          <w:rFonts w:ascii="Arial" w:hAnsi="Arial" w:cs="Arial"/>
        </w:rPr>
        <w:t>was employed to evaluate teachers' teaching performance. In contrast, students' critical thinking abilities were assessed using the revised Self-Perception Instrument of Students' Critical Thinking Skills by Abdulah and Wangid (2021).  The modified Students' Involvement in Mathematics questionnaire by Flores et al. (2021) was utilized to assess students' participation in the course. These instruments employed a 5-point Likert Scale, enabling students to evaluate from 1 - strongly disagree to 5 - strongly agree.</w:t>
      </w:r>
    </w:p>
    <w:p w14:paraId="08278B85" w14:textId="77777777" w:rsidR="00CB5971" w:rsidRPr="00CB5971" w:rsidRDefault="00CB5971" w:rsidP="00CB5971">
      <w:pPr>
        <w:pStyle w:val="Body"/>
        <w:rPr>
          <w:rFonts w:ascii="Arial" w:hAnsi="Arial" w:cs="Arial"/>
          <w:b/>
          <w:bCs/>
        </w:rPr>
      </w:pPr>
      <w:r w:rsidRPr="00CB5971">
        <w:rPr>
          <w:rFonts w:ascii="Arial" w:hAnsi="Arial" w:cs="Arial"/>
          <w:b/>
          <w:bCs/>
        </w:rPr>
        <w:t>2.5 Data Gathering Procedure</w:t>
      </w:r>
    </w:p>
    <w:p w14:paraId="1B7FDE75" w14:textId="44FA4690" w:rsidR="00CB5971" w:rsidRPr="00CB5971" w:rsidRDefault="00CB5971" w:rsidP="00CB5971">
      <w:pPr>
        <w:pStyle w:val="Body"/>
        <w:rPr>
          <w:rFonts w:ascii="Arial" w:hAnsi="Arial" w:cs="Arial"/>
        </w:rPr>
      </w:pPr>
      <w:r w:rsidRPr="00CB5971">
        <w:rPr>
          <w:rFonts w:ascii="Arial" w:hAnsi="Arial" w:cs="Arial"/>
        </w:rPr>
        <w:t>To collect relevant data for this empirical study, the researcher followed established ethical and methodological protocols:</w:t>
      </w:r>
    </w:p>
    <w:p w14:paraId="1160B5B0" w14:textId="4C92DE23" w:rsidR="00CB5971" w:rsidRPr="00CB5971" w:rsidRDefault="00CB5971" w:rsidP="00CB5971">
      <w:pPr>
        <w:pStyle w:val="Body"/>
        <w:rPr>
          <w:rFonts w:ascii="Arial" w:hAnsi="Arial" w:cs="Arial"/>
        </w:rPr>
      </w:pPr>
      <w:commentRangeStart w:id="9"/>
      <w:r w:rsidRPr="00CB5971">
        <w:rPr>
          <w:rFonts w:ascii="Arial" w:hAnsi="Arial" w:cs="Arial"/>
        </w:rPr>
        <w:t>Research Approval: Formal approval was obtained from the Dean of the Institute of Teacher Education (ITED) and the Vice President for Academic Affairs (VPAA) prior to data collection.</w:t>
      </w:r>
      <w:commentRangeEnd w:id="9"/>
      <w:r w:rsidR="006D2005">
        <w:rPr>
          <w:rStyle w:val="CommentReference"/>
          <w:rFonts w:ascii="Times New Roman" w:hAnsi="Times New Roman"/>
          <w:lang w:val="nb-NO" w:eastAsia="nb-NO"/>
        </w:rPr>
        <w:commentReference w:id="9"/>
      </w:r>
    </w:p>
    <w:p w14:paraId="5B8FEE17" w14:textId="6CE17DF5" w:rsidR="00CB5971" w:rsidRPr="00CB5971" w:rsidRDefault="00CB5971" w:rsidP="00CB5971">
      <w:pPr>
        <w:pStyle w:val="Body"/>
        <w:rPr>
          <w:rFonts w:ascii="Arial" w:hAnsi="Arial" w:cs="Arial"/>
        </w:rPr>
      </w:pPr>
      <w:r w:rsidRPr="00CB5971">
        <w:rPr>
          <w:rFonts w:ascii="Arial" w:hAnsi="Arial" w:cs="Arial"/>
        </w:rPr>
        <w:t>Survey Administration: The questionnaires were distributed online via Google Forms. Respondents were invited to participate voluntarily and answered the survey honestly.</w:t>
      </w:r>
    </w:p>
    <w:p w14:paraId="1780A17D" w14:textId="695A4EB9" w:rsidR="00CB5971" w:rsidRPr="00CB5971" w:rsidRDefault="00CB5971" w:rsidP="00CB5971">
      <w:pPr>
        <w:pStyle w:val="Body"/>
        <w:rPr>
          <w:rFonts w:ascii="Arial" w:hAnsi="Arial" w:cs="Arial"/>
        </w:rPr>
      </w:pPr>
      <w:r w:rsidRPr="00CB5971">
        <w:rPr>
          <w:rFonts w:ascii="Arial" w:hAnsi="Arial" w:cs="Arial"/>
        </w:rPr>
        <w:t>Data Processing: Completed responses were collected, organized, and analyzed using appropriate statistical methods to interpret the results.</w:t>
      </w:r>
    </w:p>
    <w:p w14:paraId="3CBFFE05" w14:textId="77777777" w:rsidR="00CB5971" w:rsidRPr="00CB5971" w:rsidRDefault="00CB5971" w:rsidP="00CB5971">
      <w:pPr>
        <w:pStyle w:val="Body"/>
        <w:rPr>
          <w:rFonts w:ascii="Arial" w:hAnsi="Arial" w:cs="Arial"/>
          <w:b/>
          <w:bCs/>
        </w:rPr>
      </w:pPr>
      <w:r w:rsidRPr="00CB5971">
        <w:rPr>
          <w:rFonts w:ascii="Arial" w:hAnsi="Arial" w:cs="Arial"/>
          <w:b/>
          <w:bCs/>
        </w:rPr>
        <w:t>2.6 Ethical Considerations</w:t>
      </w:r>
    </w:p>
    <w:p w14:paraId="2EEE5E32" w14:textId="5BF076CC" w:rsidR="00B95236" w:rsidRDefault="00CB5971" w:rsidP="00CB5971">
      <w:pPr>
        <w:pStyle w:val="Body"/>
        <w:spacing w:after="0"/>
        <w:rPr>
          <w:rFonts w:ascii="Arial" w:hAnsi="Arial" w:cs="Arial"/>
        </w:rPr>
      </w:pPr>
      <w:r w:rsidRPr="00CB5971">
        <w:rPr>
          <w:rFonts w:ascii="Arial" w:hAnsi="Arial" w:cs="Arial"/>
        </w:rPr>
        <w:t>Maintaining ethical norms in research is crucial for promoting integrity, protecting participants, and enhancing the legitimacy of scientific advancement (Bhandari, 2021).  The researcher rigorously complied with the ethical guidelines established by the Research Development and Innovation of Davao del Sur State College (RDI-DSSC) to uphold this study's integrity and ethical standards.  Confidentiality and anonymity will be maintained by de-identifying all data and using it solely for research purposes.  The study adheres to the concepts of data privacy, security, and ethical responsibility, conforming to the moral requirements of ethical research.</w:t>
      </w:r>
    </w:p>
    <w:p w14:paraId="26B48AB9" w14:textId="77777777" w:rsidR="00CB5971" w:rsidRDefault="00CB5971" w:rsidP="00441B6F">
      <w:pPr>
        <w:pStyle w:val="Head1"/>
        <w:spacing w:after="0"/>
        <w:jc w:val="both"/>
        <w:rPr>
          <w:rFonts w:ascii="Arial" w:hAnsi="Arial" w:cs="Arial"/>
        </w:rPr>
      </w:pPr>
    </w:p>
    <w:p w14:paraId="38DC685C" w14:textId="210A643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A9C7466" w14:textId="77777777" w:rsidR="00790ADA" w:rsidRPr="00FB3A86" w:rsidRDefault="00790ADA" w:rsidP="00441B6F">
      <w:pPr>
        <w:pStyle w:val="Head1"/>
        <w:spacing w:after="0"/>
        <w:jc w:val="both"/>
        <w:rPr>
          <w:rFonts w:ascii="Arial" w:hAnsi="Arial" w:cs="Arial"/>
        </w:rPr>
      </w:pPr>
    </w:p>
    <w:p w14:paraId="7804C894" w14:textId="0922E19E" w:rsidR="00CB5971" w:rsidRPr="00CB5971" w:rsidRDefault="00CB5971" w:rsidP="00CB5971">
      <w:pPr>
        <w:rPr>
          <w:rFonts w:ascii="Arial" w:hAnsi="Arial" w:cs="Arial"/>
          <w:b/>
          <w:bCs/>
          <w:lang w:val="en-GB"/>
        </w:rPr>
      </w:pPr>
      <w:r>
        <w:rPr>
          <w:rFonts w:ascii="Arial" w:hAnsi="Arial" w:cs="Arial"/>
          <w:b/>
          <w:bCs/>
          <w:lang w:val="en-GB"/>
        </w:rPr>
        <w:t xml:space="preserve">3.1. </w:t>
      </w:r>
      <w:r w:rsidRPr="00CB5971">
        <w:rPr>
          <w:rFonts w:ascii="Arial" w:hAnsi="Arial" w:cs="Arial"/>
          <w:b/>
          <w:bCs/>
          <w:lang w:val="en-GB"/>
        </w:rPr>
        <w:t>Descriptive Analysis</w:t>
      </w:r>
    </w:p>
    <w:p w14:paraId="6A8FC7E1" w14:textId="77777777" w:rsidR="00CB5971" w:rsidRPr="00CB5971" w:rsidRDefault="00CB5971" w:rsidP="00CB5971">
      <w:pPr>
        <w:jc w:val="both"/>
        <w:rPr>
          <w:rFonts w:ascii="Arial" w:hAnsi="Arial" w:cs="Arial"/>
          <w:lang w:val="en-GB"/>
        </w:rPr>
      </w:pPr>
    </w:p>
    <w:p w14:paraId="28F3F528" w14:textId="77777777" w:rsidR="00CB5971" w:rsidRDefault="00CB5971" w:rsidP="00CB5971">
      <w:pPr>
        <w:jc w:val="both"/>
        <w:rPr>
          <w:rFonts w:ascii="Book Antiqua" w:hAnsi="Book Antiqua"/>
          <w:lang w:val="en-GB"/>
        </w:rPr>
      </w:pPr>
      <w:r w:rsidRPr="00CB5971">
        <w:rPr>
          <w:rFonts w:ascii="Arial" w:hAnsi="Arial" w:cs="Arial"/>
          <w:lang w:val="en-GB"/>
        </w:rPr>
        <w:t>Following the laborious compilation of quantitative data from survey replies, the identified variables were summarized using descriptive statistics.  Consequently, the examination of indicators for each variable ensues.  Table 1 combines the descriptive mean levels of perceived teaching performance of instructors, critical thinking skills, and engagement in mathematics of BSED Mathema</w:t>
      </w:r>
      <w:bookmarkStart w:id="10" w:name="_GoBack"/>
      <w:bookmarkEnd w:id="10"/>
      <w:r w:rsidRPr="00CB5971">
        <w:rPr>
          <w:rFonts w:ascii="Arial" w:hAnsi="Arial" w:cs="Arial"/>
          <w:lang w:val="en-GB"/>
        </w:rPr>
        <w:t>tics students.</w:t>
      </w:r>
    </w:p>
    <w:p w14:paraId="3210C105" w14:textId="77777777" w:rsidR="00CB5971" w:rsidRPr="00E11A85" w:rsidRDefault="00CB5971" w:rsidP="00CB5971">
      <w:pPr>
        <w:jc w:val="both"/>
        <w:rPr>
          <w:rFonts w:ascii="Book Antiqua" w:hAnsi="Book Antiqua"/>
          <w:lang w:val="en-GB"/>
        </w:rPr>
      </w:pPr>
    </w:p>
    <w:p w14:paraId="47C9AD37" w14:textId="77777777" w:rsidR="00CB5971" w:rsidRPr="00CB5971" w:rsidRDefault="00CB5971" w:rsidP="00CB5971">
      <w:pPr>
        <w:jc w:val="center"/>
        <w:rPr>
          <w:rFonts w:ascii="Arial" w:hAnsi="Arial" w:cs="Arial"/>
          <w:lang w:val="en-GB"/>
        </w:rPr>
      </w:pPr>
      <w:r w:rsidRPr="00CB5971">
        <w:rPr>
          <w:rFonts w:ascii="Arial" w:hAnsi="Arial" w:cs="Arial"/>
          <w:lang w:val="en-GB"/>
        </w:rPr>
        <w:t xml:space="preserve">Table 1. Descriptive Mean Level </w:t>
      </w:r>
    </w:p>
    <w:tbl>
      <w:tblPr>
        <w:tblStyle w:val="TableGrid"/>
        <w:tblW w:w="94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1"/>
        <w:gridCol w:w="3171"/>
        <w:gridCol w:w="950"/>
        <w:gridCol w:w="2177"/>
      </w:tblGrid>
      <w:tr w:rsidR="00CB5971" w:rsidRPr="00CB5971" w14:paraId="21188054" w14:textId="77777777" w:rsidTr="004F31F0">
        <w:trPr>
          <w:jc w:val="center"/>
        </w:trPr>
        <w:tc>
          <w:tcPr>
            <w:tcW w:w="3171" w:type="dxa"/>
            <w:tcBorders>
              <w:top w:val="single" w:sz="18" w:space="0" w:color="auto"/>
              <w:bottom w:val="single" w:sz="18" w:space="0" w:color="auto"/>
            </w:tcBorders>
          </w:tcPr>
          <w:p w14:paraId="1F06ED00" w14:textId="77777777" w:rsidR="00CB5971" w:rsidRPr="0096128D" w:rsidRDefault="00CB5971" w:rsidP="0096128D">
            <w:pPr>
              <w:pStyle w:val="NoSpacing"/>
              <w:jc w:val="center"/>
              <w:rPr>
                <w:rFonts w:ascii="Arial" w:hAnsi="Arial" w:cs="Arial"/>
                <w:b/>
                <w:bCs/>
                <w:sz w:val="16"/>
                <w:szCs w:val="16"/>
              </w:rPr>
            </w:pPr>
            <w:r w:rsidRPr="0096128D">
              <w:rPr>
                <w:rFonts w:ascii="Arial" w:hAnsi="Arial" w:cs="Arial"/>
                <w:b/>
                <w:bCs/>
                <w:sz w:val="16"/>
                <w:szCs w:val="16"/>
              </w:rPr>
              <w:t>Variables</w:t>
            </w:r>
          </w:p>
        </w:tc>
        <w:tc>
          <w:tcPr>
            <w:tcW w:w="3171" w:type="dxa"/>
            <w:tcBorders>
              <w:top w:val="single" w:sz="18" w:space="0" w:color="auto"/>
              <w:bottom w:val="single" w:sz="18" w:space="0" w:color="auto"/>
            </w:tcBorders>
          </w:tcPr>
          <w:p w14:paraId="67BEE08E" w14:textId="77777777" w:rsidR="00CB5971" w:rsidRPr="0096128D" w:rsidRDefault="00CB5971" w:rsidP="0096128D">
            <w:pPr>
              <w:pStyle w:val="NoSpacing"/>
              <w:jc w:val="center"/>
              <w:rPr>
                <w:rFonts w:ascii="Arial" w:hAnsi="Arial" w:cs="Arial"/>
                <w:b/>
                <w:bCs/>
                <w:sz w:val="16"/>
                <w:szCs w:val="16"/>
              </w:rPr>
            </w:pPr>
            <w:r w:rsidRPr="0096128D">
              <w:rPr>
                <w:rFonts w:ascii="Arial" w:hAnsi="Arial" w:cs="Arial"/>
                <w:b/>
                <w:bCs/>
                <w:sz w:val="16"/>
                <w:szCs w:val="16"/>
              </w:rPr>
              <w:t>Indicators</w:t>
            </w:r>
          </w:p>
        </w:tc>
        <w:tc>
          <w:tcPr>
            <w:tcW w:w="950" w:type="dxa"/>
            <w:tcBorders>
              <w:top w:val="single" w:sz="18" w:space="0" w:color="auto"/>
              <w:bottom w:val="single" w:sz="18" w:space="0" w:color="auto"/>
            </w:tcBorders>
          </w:tcPr>
          <w:p w14:paraId="20B99356" w14:textId="77777777" w:rsidR="00CB5971" w:rsidRPr="0096128D" w:rsidRDefault="00CB5971" w:rsidP="0096128D">
            <w:pPr>
              <w:pStyle w:val="NoSpacing"/>
              <w:jc w:val="center"/>
              <w:rPr>
                <w:rFonts w:ascii="Arial" w:hAnsi="Arial" w:cs="Arial"/>
                <w:b/>
                <w:bCs/>
                <w:sz w:val="16"/>
                <w:szCs w:val="16"/>
              </w:rPr>
            </w:pPr>
            <w:r w:rsidRPr="0096128D">
              <w:rPr>
                <w:rFonts w:ascii="Arial" w:hAnsi="Arial" w:cs="Arial"/>
                <w:b/>
                <w:bCs/>
                <w:sz w:val="16"/>
                <w:szCs w:val="16"/>
              </w:rPr>
              <w:t>Mean</w:t>
            </w:r>
          </w:p>
        </w:tc>
        <w:tc>
          <w:tcPr>
            <w:tcW w:w="2177" w:type="dxa"/>
            <w:tcBorders>
              <w:top w:val="single" w:sz="18" w:space="0" w:color="auto"/>
              <w:bottom w:val="single" w:sz="18" w:space="0" w:color="auto"/>
            </w:tcBorders>
          </w:tcPr>
          <w:p w14:paraId="0A56055D" w14:textId="77777777" w:rsidR="00CB5971" w:rsidRPr="0096128D" w:rsidRDefault="00CB5971" w:rsidP="0096128D">
            <w:pPr>
              <w:pStyle w:val="NoSpacing"/>
              <w:jc w:val="center"/>
              <w:rPr>
                <w:rFonts w:ascii="Arial" w:hAnsi="Arial" w:cs="Arial"/>
                <w:b/>
                <w:bCs/>
                <w:sz w:val="16"/>
                <w:szCs w:val="16"/>
              </w:rPr>
            </w:pPr>
            <w:r w:rsidRPr="0096128D">
              <w:rPr>
                <w:rFonts w:ascii="Arial" w:hAnsi="Arial" w:cs="Arial"/>
                <w:b/>
                <w:bCs/>
                <w:sz w:val="16"/>
                <w:szCs w:val="16"/>
              </w:rPr>
              <w:t>Descriptive Level</w:t>
            </w:r>
          </w:p>
        </w:tc>
      </w:tr>
      <w:tr w:rsidR="00CB5971" w:rsidRPr="00CB5971" w14:paraId="073ADEF9" w14:textId="77777777" w:rsidTr="004F31F0">
        <w:trPr>
          <w:jc w:val="center"/>
        </w:trPr>
        <w:tc>
          <w:tcPr>
            <w:tcW w:w="3171" w:type="dxa"/>
            <w:tcBorders>
              <w:top w:val="single" w:sz="18" w:space="0" w:color="auto"/>
            </w:tcBorders>
          </w:tcPr>
          <w:p w14:paraId="43FFCB31"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Perceived Teaching Performance of College Instructors</w:t>
            </w:r>
          </w:p>
        </w:tc>
        <w:tc>
          <w:tcPr>
            <w:tcW w:w="3171" w:type="dxa"/>
            <w:tcBorders>
              <w:top w:val="single" w:sz="18" w:space="0" w:color="auto"/>
            </w:tcBorders>
          </w:tcPr>
          <w:p w14:paraId="4722E4E0" w14:textId="77777777" w:rsidR="00CB5971" w:rsidRPr="00CB5971" w:rsidRDefault="00CB5971" w:rsidP="004F31F0">
            <w:pPr>
              <w:pStyle w:val="NoSpacing"/>
              <w:rPr>
                <w:rFonts w:ascii="Arial" w:hAnsi="Arial" w:cs="Arial"/>
                <w:sz w:val="16"/>
                <w:szCs w:val="16"/>
              </w:rPr>
            </w:pPr>
          </w:p>
        </w:tc>
        <w:tc>
          <w:tcPr>
            <w:tcW w:w="950" w:type="dxa"/>
            <w:tcBorders>
              <w:top w:val="single" w:sz="18" w:space="0" w:color="auto"/>
            </w:tcBorders>
          </w:tcPr>
          <w:p w14:paraId="20B3498E" w14:textId="77777777" w:rsidR="00CB5971" w:rsidRPr="00CB5971" w:rsidRDefault="00CB5971" w:rsidP="004F31F0">
            <w:pPr>
              <w:pStyle w:val="NoSpacing"/>
              <w:rPr>
                <w:rFonts w:ascii="Arial" w:hAnsi="Arial" w:cs="Arial"/>
                <w:sz w:val="16"/>
                <w:szCs w:val="16"/>
              </w:rPr>
            </w:pPr>
          </w:p>
        </w:tc>
        <w:tc>
          <w:tcPr>
            <w:tcW w:w="2177" w:type="dxa"/>
            <w:tcBorders>
              <w:top w:val="single" w:sz="18" w:space="0" w:color="auto"/>
            </w:tcBorders>
          </w:tcPr>
          <w:p w14:paraId="1919A0CF" w14:textId="77777777" w:rsidR="00CB5971" w:rsidRPr="00CB5971" w:rsidRDefault="00CB5971" w:rsidP="004F31F0">
            <w:pPr>
              <w:pStyle w:val="NoSpacing"/>
              <w:rPr>
                <w:rFonts w:ascii="Arial" w:hAnsi="Arial" w:cs="Arial"/>
                <w:sz w:val="16"/>
                <w:szCs w:val="16"/>
              </w:rPr>
            </w:pPr>
          </w:p>
        </w:tc>
      </w:tr>
      <w:tr w:rsidR="00CB5971" w:rsidRPr="00CB5971" w14:paraId="049B1E52" w14:textId="77777777" w:rsidTr="004F31F0">
        <w:trPr>
          <w:jc w:val="center"/>
        </w:trPr>
        <w:tc>
          <w:tcPr>
            <w:tcW w:w="3171" w:type="dxa"/>
          </w:tcPr>
          <w:p w14:paraId="7888ABA7" w14:textId="77777777" w:rsidR="00CB5971" w:rsidRPr="00CB5971" w:rsidRDefault="00CB5971" w:rsidP="004F31F0">
            <w:pPr>
              <w:pStyle w:val="NoSpacing"/>
              <w:rPr>
                <w:rFonts w:ascii="Arial" w:hAnsi="Arial" w:cs="Arial"/>
                <w:sz w:val="16"/>
                <w:szCs w:val="16"/>
              </w:rPr>
            </w:pPr>
          </w:p>
        </w:tc>
        <w:tc>
          <w:tcPr>
            <w:tcW w:w="3171" w:type="dxa"/>
          </w:tcPr>
          <w:p w14:paraId="2E2E2486"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1. Instructional Planning and Preparation</w:t>
            </w:r>
          </w:p>
          <w:p w14:paraId="3B3BF016" w14:textId="77777777" w:rsidR="00CB5971" w:rsidRPr="00CB5971" w:rsidRDefault="00CB5971" w:rsidP="004F31F0">
            <w:pPr>
              <w:pStyle w:val="NoSpacing"/>
              <w:rPr>
                <w:rFonts w:ascii="Arial" w:hAnsi="Arial" w:cs="Arial"/>
                <w:sz w:val="16"/>
                <w:szCs w:val="16"/>
              </w:rPr>
            </w:pPr>
          </w:p>
        </w:tc>
        <w:tc>
          <w:tcPr>
            <w:tcW w:w="950" w:type="dxa"/>
          </w:tcPr>
          <w:p w14:paraId="057659CE"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4.65</w:t>
            </w:r>
          </w:p>
        </w:tc>
        <w:tc>
          <w:tcPr>
            <w:tcW w:w="2177" w:type="dxa"/>
          </w:tcPr>
          <w:p w14:paraId="285FF733"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632B0AAA" w14:textId="77777777" w:rsidTr="004F31F0">
        <w:trPr>
          <w:jc w:val="center"/>
        </w:trPr>
        <w:tc>
          <w:tcPr>
            <w:tcW w:w="3171" w:type="dxa"/>
          </w:tcPr>
          <w:p w14:paraId="4DE6EB82" w14:textId="77777777" w:rsidR="00CB5971" w:rsidRPr="00CB5971" w:rsidRDefault="00CB5971" w:rsidP="004F31F0">
            <w:pPr>
              <w:pStyle w:val="NoSpacing"/>
              <w:rPr>
                <w:rFonts w:ascii="Arial" w:hAnsi="Arial" w:cs="Arial"/>
                <w:sz w:val="16"/>
                <w:szCs w:val="16"/>
              </w:rPr>
            </w:pPr>
          </w:p>
        </w:tc>
        <w:tc>
          <w:tcPr>
            <w:tcW w:w="3171" w:type="dxa"/>
          </w:tcPr>
          <w:p w14:paraId="2EE5AB27"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2. Instructional Delivery</w:t>
            </w:r>
          </w:p>
          <w:p w14:paraId="3BE3B13D" w14:textId="77777777" w:rsidR="00CB5971" w:rsidRPr="00CB5971" w:rsidRDefault="00CB5971" w:rsidP="004F31F0">
            <w:pPr>
              <w:pStyle w:val="NoSpacing"/>
              <w:rPr>
                <w:rFonts w:ascii="Arial" w:hAnsi="Arial" w:cs="Arial"/>
                <w:sz w:val="16"/>
                <w:szCs w:val="16"/>
              </w:rPr>
            </w:pPr>
          </w:p>
        </w:tc>
        <w:tc>
          <w:tcPr>
            <w:tcW w:w="950" w:type="dxa"/>
          </w:tcPr>
          <w:p w14:paraId="2913423C"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4.51</w:t>
            </w:r>
          </w:p>
        </w:tc>
        <w:tc>
          <w:tcPr>
            <w:tcW w:w="2177" w:type="dxa"/>
          </w:tcPr>
          <w:p w14:paraId="62E0BFCD"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7AFFE913" w14:textId="77777777" w:rsidTr="004F31F0">
        <w:trPr>
          <w:jc w:val="center"/>
        </w:trPr>
        <w:tc>
          <w:tcPr>
            <w:tcW w:w="3171" w:type="dxa"/>
          </w:tcPr>
          <w:p w14:paraId="05450AE1" w14:textId="77777777" w:rsidR="00CB5971" w:rsidRPr="00CB5971" w:rsidRDefault="00CB5971" w:rsidP="004F31F0">
            <w:pPr>
              <w:pStyle w:val="NoSpacing"/>
              <w:rPr>
                <w:rFonts w:ascii="Arial" w:hAnsi="Arial" w:cs="Arial"/>
                <w:sz w:val="16"/>
                <w:szCs w:val="16"/>
              </w:rPr>
            </w:pPr>
          </w:p>
        </w:tc>
        <w:tc>
          <w:tcPr>
            <w:tcW w:w="3171" w:type="dxa"/>
          </w:tcPr>
          <w:p w14:paraId="44BF1B86"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3. Classroom Environment</w:t>
            </w:r>
          </w:p>
          <w:p w14:paraId="728FCFF3" w14:textId="77777777" w:rsidR="00CB5971" w:rsidRPr="00CB5971" w:rsidRDefault="00CB5971" w:rsidP="004F31F0">
            <w:pPr>
              <w:pStyle w:val="NoSpacing"/>
              <w:rPr>
                <w:rFonts w:ascii="Arial" w:hAnsi="Arial" w:cs="Arial"/>
                <w:sz w:val="16"/>
                <w:szCs w:val="16"/>
              </w:rPr>
            </w:pPr>
          </w:p>
        </w:tc>
        <w:tc>
          <w:tcPr>
            <w:tcW w:w="950" w:type="dxa"/>
          </w:tcPr>
          <w:p w14:paraId="1229892D"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4.43</w:t>
            </w:r>
          </w:p>
        </w:tc>
        <w:tc>
          <w:tcPr>
            <w:tcW w:w="2177" w:type="dxa"/>
          </w:tcPr>
          <w:p w14:paraId="5E804C67"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58232AF0" w14:textId="77777777" w:rsidTr="004F31F0">
        <w:trPr>
          <w:jc w:val="center"/>
        </w:trPr>
        <w:tc>
          <w:tcPr>
            <w:tcW w:w="3171" w:type="dxa"/>
          </w:tcPr>
          <w:p w14:paraId="469D800D" w14:textId="77777777" w:rsidR="00CB5971" w:rsidRPr="00CB5971" w:rsidRDefault="00CB5971" w:rsidP="004F31F0">
            <w:pPr>
              <w:pStyle w:val="NoSpacing"/>
              <w:rPr>
                <w:rFonts w:ascii="Arial" w:hAnsi="Arial" w:cs="Arial"/>
                <w:sz w:val="16"/>
                <w:szCs w:val="16"/>
              </w:rPr>
            </w:pPr>
          </w:p>
        </w:tc>
        <w:tc>
          <w:tcPr>
            <w:tcW w:w="3171" w:type="dxa"/>
          </w:tcPr>
          <w:p w14:paraId="23466032"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4. Assessment and Feedback</w:t>
            </w:r>
          </w:p>
          <w:p w14:paraId="5DE52019" w14:textId="77777777" w:rsidR="00CB5971" w:rsidRPr="00CB5971" w:rsidRDefault="00CB5971" w:rsidP="004F31F0">
            <w:pPr>
              <w:pStyle w:val="NoSpacing"/>
              <w:rPr>
                <w:rFonts w:ascii="Arial" w:hAnsi="Arial" w:cs="Arial"/>
                <w:sz w:val="16"/>
                <w:szCs w:val="16"/>
              </w:rPr>
            </w:pPr>
          </w:p>
        </w:tc>
        <w:tc>
          <w:tcPr>
            <w:tcW w:w="950" w:type="dxa"/>
          </w:tcPr>
          <w:p w14:paraId="3A0D594A"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4.40</w:t>
            </w:r>
          </w:p>
        </w:tc>
        <w:tc>
          <w:tcPr>
            <w:tcW w:w="2177" w:type="dxa"/>
          </w:tcPr>
          <w:p w14:paraId="2D274F8A"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13327983" w14:textId="77777777" w:rsidTr="004F31F0">
        <w:trPr>
          <w:jc w:val="center"/>
        </w:trPr>
        <w:tc>
          <w:tcPr>
            <w:tcW w:w="3171" w:type="dxa"/>
          </w:tcPr>
          <w:p w14:paraId="58330FCE" w14:textId="77777777" w:rsidR="00CB5971" w:rsidRPr="00CB5971" w:rsidRDefault="00CB5971" w:rsidP="004F31F0">
            <w:pPr>
              <w:pStyle w:val="NoSpacing"/>
              <w:rPr>
                <w:rFonts w:ascii="Arial" w:hAnsi="Arial" w:cs="Arial"/>
                <w:sz w:val="16"/>
                <w:szCs w:val="16"/>
              </w:rPr>
            </w:pPr>
          </w:p>
        </w:tc>
        <w:tc>
          <w:tcPr>
            <w:tcW w:w="3171" w:type="dxa"/>
          </w:tcPr>
          <w:p w14:paraId="39F22AC7"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5. Professional Responsibilities</w:t>
            </w:r>
          </w:p>
          <w:p w14:paraId="1A5FDF13" w14:textId="77777777" w:rsidR="00CB5971" w:rsidRPr="00CB5971" w:rsidRDefault="00CB5971" w:rsidP="004F31F0">
            <w:pPr>
              <w:pStyle w:val="NoSpacing"/>
              <w:rPr>
                <w:rFonts w:ascii="Arial" w:hAnsi="Arial" w:cs="Arial"/>
                <w:sz w:val="16"/>
                <w:szCs w:val="16"/>
              </w:rPr>
            </w:pPr>
          </w:p>
        </w:tc>
        <w:tc>
          <w:tcPr>
            <w:tcW w:w="950" w:type="dxa"/>
          </w:tcPr>
          <w:p w14:paraId="6AFD9A04"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4.58</w:t>
            </w:r>
          </w:p>
        </w:tc>
        <w:tc>
          <w:tcPr>
            <w:tcW w:w="2177" w:type="dxa"/>
          </w:tcPr>
          <w:p w14:paraId="1E0A7B8C"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43BC3FB8" w14:textId="77777777" w:rsidTr="004F31F0">
        <w:trPr>
          <w:jc w:val="center"/>
        </w:trPr>
        <w:tc>
          <w:tcPr>
            <w:tcW w:w="3171" w:type="dxa"/>
          </w:tcPr>
          <w:p w14:paraId="126C4D4A" w14:textId="77777777" w:rsidR="00CB5971" w:rsidRPr="0096128D" w:rsidRDefault="00CB5971" w:rsidP="004F31F0">
            <w:pPr>
              <w:pStyle w:val="NoSpacing"/>
              <w:rPr>
                <w:rFonts w:ascii="Arial" w:hAnsi="Arial" w:cs="Arial"/>
                <w:b/>
                <w:bCs/>
                <w:sz w:val="16"/>
                <w:szCs w:val="16"/>
              </w:rPr>
            </w:pPr>
            <w:r w:rsidRPr="0096128D">
              <w:rPr>
                <w:rFonts w:ascii="Arial" w:hAnsi="Arial" w:cs="Arial"/>
                <w:b/>
                <w:bCs/>
                <w:sz w:val="16"/>
                <w:szCs w:val="16"/>
              </w:rPr>
              <w:t>Overall</w:t>
            </w:r>
          </w:p>
          <w:p w14:paraId="5FDDDA49" w14:textId="77777777" w:rsidR="00CB5971" w:rsidRPr="00CB5971" w:rsidRDefault="00CB5971" w:rsidP="004F31F0">
            <w:pPr>
              <w:pStyle w:val="NoSpacing"/>
              <w:rPr>
                <w:rFonts w:ascii="Arial" w:hAnsi="Arial" w:cs="Arial"/>
                <w:sz w:val="16"/>
                <w:szCs w:val="16"/>
              </w:rPr>
            </w:pPr>
          </w:p>
        </w:tc>
        <w:tc>
          <w:tcPr>
            <w:tcW w:w="3171" w:type="dxa"/>
          </w:tcPr>
          <w:p w14:paraId="5D0C0A85" w14:textId="77777777" w:rsidR="00CB5971" w:rsidRPr="00CB5971" w:rsidRDefault="00CB5971" w:rsidP="004F31F0">
            <w:pPr>
              <w:pStyle w:val="NoSpacing"/>
              <w:rPr>
                <w:rFonts w:ascii="Arial" w:hAnsi="Arial" w:cs="Arial"/>
                <w:sz w:val="16"/>
                <w:szCs w:val="16"/>
              </w:rPr>
            </w:pPr>
          </w:p>
        </w:tc>
        <w:tc>
          <w:tcPr>
            <w:tcW w:w="950" w:type="dxa"/>
          </w:tcPr>
          <w:p w14:paraId="31FC6EA7" w14:textId="77777777" w:rsidR="00CB5971" w:rsidRPr="0096128D" w:rsidRDefault="00CB5971" w:rsidP="0096128D">
            <w:pPr>
              <w:pStyle w:val="NoSpacing"/>
              <w:jc w:val="center"/>
              <w:rPr>
                <w:rFonts w:ascii="Arial" w:hAnsi="Arial" w:cs="Arial"/>
                <w:b/>
                <w:bCs/>
                <w:sz w:val="16"/>
                <w:szCs w:val="16"/>
              </w:rPr>
            </w:pPr>
            <w:r w:rsidRPr="0096128D">
              <w:rPr>
                <w:rFonts w:ascii="Arial" w:hAnsi="Arial" w:cs="Arial"/>
                <w:b/>
                <w:bCs/>
                <w:sz w:val="16"/>
                <w:szCs w:val="16"/>
              </w:rPr>
              <w:t>4.51</w:t>
            </w:r>
          </w:p>
        </w:tc>
        <w:tc>
          <w:tcPr>
            <w:tcW w:w="2177" w:type="dxa"/>
          </w:tcPr>
          <w:p w14:paraId="3C2DCA72"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6C13C212" w14:textId="77777777" w:rsidTr="004F31F0">
        <w:trPr>
          <w:jc w:val="center"/>
        </w:trPr>
        <w:tc>
          <w:tcPr>
            <w:tcW w:w="3171" w:type="dxa"/>
          </w:tcPr>
          <w:p w14:paraId="27E55A8D"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Critical Thinking Skills</w:t>
            </w:r>
          </w:p>
        </w:tc>
        <w:tc>
          <w:tcPr>
            <w:tcW w:w="3171" w:type="dxa"/>
          </w:tcPr>
          <w:p w14:paraId="24CF8B7F" w14:textId="77777777" w:rsidR="00CB5971" w:rsidRPr="00CB5971" w:rsidRDefault="00CB5971" w:rsidP="004F31F0">
            <w:pPr>
              <w:pStyle w:val="NoSpacing"/>
              <w:rPr>
                <w:rFonts w:ascii="Arial" w:hAnsi="Arial" w:cs="Arial"/>
                <w:sz w:val="16"/>
                <w:szCs w:val="16"/>
              </w:rPr>
            </w:pPr>
          </w:p>
        </w:tc>
        <w:tc>
          <w:tcPr>
            <w:tcW w:w="950" w:type="dxa"/>
          </w:tcPr>
          <w:p w14:paraId="49274A6C" w14:textId="77777777" w:rsidR="00CB5971" w:rsidRPr="00CB5971" w:rsidRDefault="00CB5971" w:rsidP="0096128D">
            <w:pPr>
              <w:pStyle w:val="NoSpacing"/>
              <w:jc w:val="center"/>
              <w:rPr>
                <w:rFonts w:ascii="Arial" w:hAnsi="Arial" w:cs="Arial"/>
                <w:sz w:val="16"/>
                <w:szCs w:val="16"/>
              </w:rPr>
            </w:pPr>
          </w:p>
        </w:tc>
        <w:tc>
          <w:tcPr>
            <w:tcW w:w="2177" w:type="dxa"/>
          </w:tcPr>
          <w:p w14:paraId="035EEF6C" w14:textId="77777777" w:rsidR="00CB5971" w:rsidRPr="00CB5971" w:rsidRDefault="00CB5971" w:rsidP="0096128D">
            <w:pPr>
              <w:pStyle w:val="NoSpacing"/>
              <w:jc w:val="center"/>
              <w:rPr>
                <w:rFonts w:ascii="Arial" w:hAnsi="Arial" w:cs="Arial"/>
                <w:sz w:val="16"/>
                <w:szCs w:val="16"/>
              </w:rPr>
            </w:pPr>
          </w:p>
        </w:tc>
      </w:tr>
      <w:tr w:rsidR="00CB5971" w:rsidRPr="00CB5971" w14:paraId="647F2BA7" w14:textId="77777777" w:rsidTr="0096128D">
        <w:trPr>
          <w:trHeight w:val="279"/>
          <w:jc w:val="center"/>
        </w:trPr>
        <w:tc>
          <w:tcPr>
            <w:tcW w:w="3171" w:type="dxa"/>
          </w:tcPr>
          <w:p w14:paraId="4D092373" w14:textId="77777777" w:rsidR="00CB5971" w:rsidRPr="00CB5971" w:rsidRDefault="00CB5971" w:rsidP="004F31F0">
            <w:pPr>
              <w:pStyle w:val="NoSpacing"/>
              <w:rPr>
                <w:rFonts w:ascii="Arial" w:hAnsi="Arial" w:cs="Arial"/>
                <w:sz w:val="16"/>
                <w:szCs w:val="16"/>
              </w:rPr>
            </w:pPr>
          </w:p>
        </w:tc>
        <w:tc>
          <w:tcPr>
            <w:tcW w:w="3171" w:type="dxa"/>
          </w:tcPr>
          <w:p w14:paraId="72A1D6CE"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1. Analyzing</w:t>
            </w:r>
          </w:p>
          <w:p w14:paraId="45BA897B" w14:textId="77777777" w:rsidR="00CB5971" w:rsidRPr="00CB5971" w:rsidRDefault="00CB5971" w:rsidP="004F31F0">
            <w:pPr>
              <w:pStyle w:val="NoSpacing"/>
              <w:rPr>
                <w:rFonts w:ascii="Arial" w:hAnsi="Arial" w:cs="Arial"/>
                <w:sz w:val="16"/>
                <w:szCs w:val="16"/>
              </w:rPr>
            </w:pPr>
          </w:p>
        </w:tc>
        <w:tc>
          <w:tcPr>
            <w:tcW w:w="950" w:type="dxa"/>
          </w:tcPr>
          <w:p w14:paraId="20391C36"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4.15</w:t>
            </w:r>
          </w:p>
        </w:tc>
        <w:tc>
          <w:tcPr>
            <w:tcW w:w="2177" w:type="dxa"/>
          </w:tcPr>
          <w:p w14:paraId="49FC0601"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5B9E002A" w14:textId="77777777" w:rsidTr="004F31F0">
        <w:trPr>
          <w:jc w:val="center"/>
        </w:trPr>
        <w:tc>
          <w:tcPr>
            <w:tcW w:w="3171" w:type="dxa"/>
          </w:tcPr>
          <w:p w14:paraId="7DBA96F5" w14:textId="77777777" w:rsidR="00CB5971" w:rsidRPr="00CB5971" w:rsidRDefault="00CB5971" w:rsidP="004F31F0">
            <w:pPr>
              <w:pStyle w:val="NoSpacing"/>
              <w:rPr>
                <w:rFonts w:ascii="Arial" w:hAnsi="Arial" w:cs="Arial"/>
                <w:sz w:val="16"/>
                <w:szCs w:val="16"/>
              </w:rPr>
            </w:pPr>
          </w:p>
        </w:tc>
        <w:tc>
          <w:tcPr>
            <w:tcW w:w="3171" w:type="dxa"/>
          </w:tcPr>
          <w:p w14:paraId="7A3E276B"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2. Evaluating</w:t>
            </w:r>
          </w:p>
          <w:p w14:paraId="3D7B1BCC" w14:textId="77777777" w:rsidR="00CB5971" w:rsidRPr="00CB5971" w:rsidRDefault="00CB5971" w:rsidP="004F31F0">
            <w:pPr>
              <w:pStyle w:val="NoSpacing"/>
              <w:rPr>
                <w:rFonts w:ascii="Arial" w:hAnsi="Arial" w:cs="Arial"/>
                <w:sz w:val="16"/>
                <w:szCs w:val="16"/>
              </w:rPr>
            </w:pPr>
          </w:p>
        </w:tc>
        <w:tc>
          <w:tcPr>
            <w:tcW w:w="950" w:type="dxa"/>
          </w:tcPr>
          <w:p w14:paraId="36E6388D"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4.39</w:t>
            </w:r>
          </w:p>
        </w:tc>
        <w:tc>
          <w:tcPr>
            <w:tcW w:w="2177" w:type="dxa"/>
          </w:tcPr>
          <w:p w14:paraId="39145217"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167405AB" w14:textId="77777777" w:rsidTr="004F31F0">
        <w:trPr>
          <w:jc w:val="center"/>
        </w:trPr>
        <w:tc>
          <w:tcPr>
            <w:tcW w:w="3171" w:type="dxa"/>
          </w:tcPr>
          <w:p w14:paraId="577933DB" w14:textId="77777777" w:rsidR="00CB5971" w:rsidRPr="00CB5971" w:rsidRDefault="00CB5971" w:rsidP="004F31F0">
            <w:pPr>
              <w:pStyle w:val="NoSpacing"/>
              <w:rPr>
                <w:rFonts w:ascii="Arial" w:hAnsi="Arial" w:cs="Arial"/>
                <w:sz w:val="16"/>
                <w:szCs w:val="16"/>
              </w:rPr>
            </w:pPr>
          </w:p>
        </w:tc>
        <w:tc>
          <w:tcPr>
            <w:tcW w:w="3171" w:type="dxa"/>
          </w:tcPr>
          <w:p w14:paraId="5FC74846"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3. Synthesizing</w:t>
            </w:r>
          </w:p>
          <w:p w14:paraId="7B2C9EF6" w14:textId="77777777" w:rsidR="00CB5971" w:rsidRPr="00CB5971" w:rsidRDefault="00CB5971" w:rsidP="004F31F0">
            <w:pPr>
              <w:pStyle w:val="NoSpacing"/>
              <w:rPr>
                <w:rFonts w:ascii="Arial" w:hAnsi="Arial" w:cs="Arial"/>
                <w:sz w:val="16"/>
                <w:szCs w:val="16"/>
              </w:rPr>
            </w:pPr>
          </w:p>
        </w:tc>
        <w:tc>
          <w:tcPr>
            <w:tcW w:w="950" w:type="dxa"/>
          </w:tcPr>
          <w:p w14:paraId="79DB3508"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4.36</w:t>
            </w:r>
          </w:p>
        </w:tc>
        <w:tc>
          <w:tcPr>
            <w:tcW w:w="2177" w:type="dxa"/>
          </w:tcPr>
          <w:p w14:paraId="698E62DF"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7DA72840" w14:textId="77777777" w:rsidTr="004F31F0">
        <w:trPr>
          <w:jc w:val="center"/>
        </w:trPr>
        <w:tc>
          <w:tcPr>
            <w:tcW w:w="3171" w:type="dxa"/>
          </w:tcPr>
          <w:p w14:paraId="7C0A1FDF" w14:textId="77777777" w:rsidR="00CB5971" w:rsidRPr="0096128D" w:rsidRDefault="00CB5971" w:rsidP="004F31F0">
            <w:pPr>
              <w:pStyle w:val="NoSpacing"/>
              <w:rPr>
                <w:rFonts w:ascii="Arial" w:hAnsi="Arial" w:cs="Arial"/>
                <w:b/>
                <w:bCs/>
                <w:sz w:val="16"/>
                <w:szCs w:val="16"/>
              </w:rPr>
            </w:pPr>
            <w:r w:rsidRPr="0096128D">
              <w:rPr>
                <w:rFonts w:ascii="Arial" w:hAnsi="Arial" w:cs="Arial"/>
                <w:b/>
                <w:bCs/>
                <w:sz w:val="16"/>
                <w:szCs w:val="16"/>
              </w:rPr>
              <w:t>Overall</w:t>
            </w:r>
          </w:p>
        </w:tc>
        <w:tc>
          <w:tcPr>
            <w:tcW w:w="3171" w:type="dxa"/>
          </w:tcPr>
          <w:p w14:paraId="2B75BB67" w14:textId="77777777" w:rsidR="00CB5971" w:rsidRPr="0096128D" w:rsidRDefault="00CB5971" w:rsidP="004F31F0">
            <w:pPr>
              <w:pStyle w:val="NoSpacing"/>
              <w:rPr>
                <w:rFonts w:ascii="Cambria Math" w:hAnsi="Cambria Math" w:cs="Arial"/>
                <w:sz w:val="16"/>
                <w:szCs w:val="16"/>
                <w:oMath/>
              </w:rPr>
            </w:pPr>
          </w:p>
        </w:tc>
        <w:tc>
          <w:tcPr>
            <w:tcW w:w="950" w:type="dxa"/>
          </w:tcPr>
          <w:p w14:paraId="5EA32EF7" w14:textId="77777777" w:rsidR="00CB5971" w:rsidRPr="0096128D" w:rsidRDefault="00CB5971" w:rsidP="0096128D">
            <w:pPr>
              <w:pStyle w:val="NoSpacing"/>
              <w:jc w:val="center"/>
              <w:rPr>
                <w:rFonts w:ascii="Cambria Math" w:hAnsi="Cambria Math" w:cs="Arial"/>
                <w:sz w:val="16"/>
                <w:szCs w:val="16"/>
                <w:oMath/>
              </w:rPr>
            </w:pPr>
            <w:r w:rsidRPr="0096128D">
              <w:rPr>
                <w:rFonts w:ascii="Arial" w:hAnsi="Arial" w:cs="Arial"/>
                <w:b/>
                <w:bCs/>
                <w:sz w:val="16"/>
                <w:szCs w:val="16"/>
              </w:rPr>
              <w:t>4.30</w:t>
            </w:r>
          </w:p>
        </w:tc>
        <w:tc>
          <w:tcPr>
            <w:tcW w:w="2177" w:type="dxa"/>
          </w:tcPr>
          <w:p w14:paraId="354D9DB0"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5318665B" w14:textId="77777777" w:rsidTr="004F31F0">
        <w:trPr>
          <w:jc w:val="center"/>
        </w:trPr>
        <w:tc>
          <w:tcPr>
            <w:tcW w:w="3171" w:type="dxa"/>
          </w:tcPr>
          <w:p w14:paraId="10C00BC0" w14:textId="77777777" w:rsidR="00CB5971" w:rsidRPr="00CB5971" w:rsidRDefault="00CB5971" w:rsidP="004F31F0">
            <w:pPr>
              <w:pStyle w:val="NoSpacing"/>
              <w:rPr>
                <w:rFonts w:ascii="Arial" w:hAnsi="Arial" w:cs="Arial"/>
                <w:sz w:val="16"/>
                <w:szCs w:val="16"/>
              </w:rPr>
            </w:pPr>
          </w:p>
        </w:tc>
        <w:tc>
          <w:tcPr>
            <w:tcW w:w="3171" w:type="dxa"/>
          </w:tcPr>
          <w:p w14:paraId="328F78D4" w14:textId="77777777" w:rsidR="00CB5971" w:rsidRPr="00CB5971" w:rsidRDefault="00CB5971" w:rsidP="004F31F0">
            <w:pPr>
              <w:pStyle w:val="NoSpacing"/>
              <w:rPr>
                <w:rFonts w:ascii="Arial" w:hAnsi="Arial" w:cs="Arial"/>
                <w:sz w:val="16"/>
                <w:szCs w:val="16"/>
              </w:rPr>
            </w:pPr>
          </w:p>
        </w:tc>
        <w:tc>
          <w:tcPr>
            <w:tcW w:w="950" w:type="dxa"/>
          </w:tcPr>
          <w:p w14:paraId="451B19B5" w14:textId="77777777" w:rsidR="00CB5971" w:rsidRPr="00CB5971" w:rsidRDefault="00CB5971" w:rsidP="0096128D">
            <w:pPr>
              <w:pStyle w:val="NoSpacing"/>
              <w:jc w:val="center"/>
              <w:rPr>
                <w:rFonts w:ascii="Arial" w:hAnsi="Arial" w:cs="Arial"/>
                <w:sz w:val="16"/>
                <w:szCs w:val="16"/>
              </w:rPr>
            </w:pPr>
          </w:p>
        </w:tc>
        <w:tc>
          <w:tcPr>
            <w:tcW w:w="2177" w:type="dxa"/>
          </w:tcPr>
          <w:p w14:paraId="3BB6138A" w14:textId="77777777" w:rsidR="00CB5971" w:rsidRPr="00CB5971" w:rsidRDefault="00CB5971" w:rsidP="0096128D">
            <w:pPr>
              <w:pStyle w:val="NoSpacing"/>
              <w:jc w:val="center"/>
              <w:rPr>
                <w:rFonts w:ascii="Arial" w:hAnsi="Arial" w:cs="Arial"/>
                <w:sz w:val="16"/>
                <w:szCs w:val="16"/>
              </w:rPr>
            </w:pPr>
          </w:p>
        </w:tc>
      </w:tr>
      <w:tr w:rsidR="00CB5971" w:rsidRPr="00CB5971" w14:paraId="5CC77F48" w14:textId="77777777" w:rsidTr="004F31F0">
        <w:trPr>
          <w:jc w:val="center"/>
        </w:trPr>
        <w:tc>
          <w:tcPr>
            <w:tcW w:w="3171" w:type="dxa"/>
          </w:tcPr>
          <w:p w14:paraId="6A1B8700"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Engagement in Mathematics</w:t>
            </w:r>
          </w:p>
        </w:tc>
        <w:tc>
          <w:tcPr>
            <w:tcW w:w="3171" w:type="dxa"/>
          </w:tcPr>
          <w:p w14:paraId="3D16F1F4" w14:textId="77777777" w:rsidR="00CB5971" w:rsidRPr="00CB5971" w:rsidRDefault="00CB5971" w:rsidP="004F31F0">
            <w:pPr>
              <w:pStyle w:val="NoSpacing"/>
              <w:rPr>
                <w:rFonts w:ascii="Arial" w:hAnsi="Arial" w:cs="Arial"/>
                <w:sz w:val="16"/>
                <w:szCs w:val="16"/>
              </w:rPr>
            </w:pPr>
          </w:p>
        </w:tc>
        <w:tc>
          <w:tcPr>
            <w:tcW w:w="950" w:type="dxa"/>
          </w:tcPr>
          <w:p w14:paraId="344CE725" w14:textId="77777777" w:rsidR="00CB5971" w:rsidRPr="00CB5971" w:rsidRDefault="00CB5971" w:rsidP="0096128D">
            <w:pPr>
              <w:pStyle w:val="NoSpacing"/>
              <w:jc w:val="center"/>
              <w:rPr>
                <w:rFonts w:ascii="Arial" w:hAnsi="Arial" w:cs="Arial"/>
                <w:sz w:val="16"/>
                <w:szCs w:val="16"/>
              </w:rPr>
            </w:pPr>
          </w:p>
        </w:tc>
        <w:tc>
          <w:tcPr>
            <w:tcW w:w="2177" w:type="dxa"/>
          </w:tcPr>
          <w:p w14:paraId="054C578D" w14:textId="77777777" w:rsidR="00CB5971" w:rsidRPr="00CB5971" w:rsidRDefault="00CB5971" w:rsidP="0096128D">
            <w:pPr>
              <w:pStyle w:val="NoSpacing"/>
              <w:jc w:val="center"/>
              <w:rPr>
                <w:rFonts w:ascii="Arial" w:hAnsi="Arial" w:cs="Arial"/>
                <w:sz w:val="16"/>
                <w:szCs w:val="16"/>
              </w:rPr>
            </w:pPr>
          </w:p>
        </w:tc>
      </w:tr>
      <w:tr w:rsidR="00CB5971" w:rsidRPr="00CB5971" w14:paraId="580C9826" w14:textId="77777777" w:rsidTr="0096128D">
        <w:trPr>
          <w:trHeight w:val="333"/>
          <w:jc w:val="center"/>
        </w:trPr>
        <w:tc>
          <w:tcPr>
            <w:tcW w:w="3171" w:type="dxa"/>
          </w:tcPr>
          <w:p w14:paraId="6C6ADCCC" w14:textId="77777777" w:rsidR="00CB5971" w:rsidRPr="00CB5971" w:rsidRDefault="00CB5971" w:rsidP="004F31F0">
            <w:pPr>
              <w:pStyle w:val="NoSpacing"/>
              <w:rPr>
                <w:rFonts w:ascii="Arial" w:hAnsi="Arial" w:cs="Arial"/>
                <w:sz w:val="16"/>
                <w:szCs w:val="16"/>
              </w:rPr>
            </w:pPr>
          </w:p>
        </w:tc>
        <w:tc>
          <w:tcPr>
            <w:tcW w:w="3171" w:type="dxa"/>
          </w:tcPr>
          <w:p w14:paraId="5AA570AC"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1. Cognitive Engagement</w:t>
            </w:r>
          </w:p>
        </w:tc>
        <w:tc>
          <w:tcPr>
            <w:tcW w:w="950" w:type="dxa"/>
          </w:tcPr>
          <w:p w14:paraId="17E06C59"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4.58</w:t>
            </w:r>
          </w:p>
        </w:tc>
        <w:tc>
          <w:tcPr>
            <w:tcW w:w="2177" w:type="dxa"/>
          </w:tcPr>
          <w:p w14:paraId="17A96176"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13CD6C59" w14:textId="77777777" w:rsidTr="0096128D">
        <w:trPr>
          <w:trHeight w:val="351"/>
          <w:jc w:val="center"/>
        </w:trPr>
        <w:tc>
          <w:tcPr>
            <w:tcW w:w="3171" w:type="dxa"/>
          </w:tcPr>
          <w:p w14:paraId="7635D10E" w14:textId="77777777" w:rsidR="00CB5971" w:rsidRPr="00CB5971" w:rsidRDefault="00CB5971" w:rsidP="004F31F0">
            <w:pPr>
              <w:pStyle w:val="NoSpacing"/>
              <w:rPr>
                <w:rFonts w:ascii="Arial" w:hAnsi="Arial" w:cs="Arial"/>
                <w:sz w:val="16"/>
                <w:szCs w:val="16"/>
              </w:rPr>
            </w:pPr>
          </w:p>
        </w:tc>
        <w:tc>
          <w:tcPr>
            <w:tcW w:w="3171" w:type="dxa"/>
          </w:tcPr>
          <w:p w14:paraId="09A1EB78"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2. Affective Engagement</w:t>
            </w:r>
          </w:p>
        </w:tc>
        <w:tc>
          <w:tcPr>
            <w:tcW w:w="950" w:type="dxa"/>
          </w:tcPr>
          <w:p w14:paraId="23D304EE"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4.22</w:t>
            </w:r>
          </w:p>
        </w:tc>
        <w:tc>
          <w:tcPr>
            <w:tcW w:w="2177" w:type="dxa"/>
          </w:tcPr>
          <w:p w14:paraId="7170E9FC"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17C051A3" w14:textId="77777777" w:rsidTr="0096128D">
        <w:trPr>
          <w:trHeight w:val="279"/>
          <w:jc w:val="center"/>
        </w:trPr>
        <w:tc>
          <w:tcPr>
            <w:tcW w:w="3171" w:type="dxa"/>
          </w:tcPr>
          <w:p w14:paraId="4AC2594A" w14:textId="77777777" w:rsidR="00CB5971" w:rsidRPr="00CB5971" w:rsidRDefault="00CB5971" w:rsidP="004F31F0">
            <w:pPr>
              <w:pStyle w:val="NoSpacing"/>
              <w:rPr>
                <w:rFonts w:ascii="Arial" w:hAnsi="Arial" w:cs="Arial"/>
                <w:sz w:val="16"/>
                <w:szCs w:val="16"/>
              </w:rPr>
            </w:pPr>
          </w:p>
        </w:tc>
        <w:tc>
          <w:tcPr>
            <w:tcW w:w="3171" w:type="dxa"/>
          </w:tcPr>
          <w:p w14:paraId="1CE84640" w14:textId="77777777" w:rsidR="00CB5971" w:rsidRPr="00CB5971" w:rsidRDefault="00CB5971" w:rsidP="004F31F0">
            <w:pPr>
              <w:pStyle w:val="NoSpacing"/>
              <w:rPr>
                <w:rFonts w:ascii="Arial" w:hAnsi="Arial" w:cs="Arial"/>
                <w:sz w:val="16"/>
                <w:szCs w:val="16"/>
              </w:rPr>
            </w:pPr>
            <w:r w:rsidRPr="00CB5971">
              <w:rPr>
                <w:rFonts w:ascii="Arial" w:hAnsi="Arial" w:cs="Arial"/>
                <w:sz w:val="16"/>
                <w:szCs w:val="16"/>
              </w:rPr>
              <w:t>3. Behavioral Engagement</w:t>
            </w:r>
          </w:p>
        </w:tc>
        <w:tc>
          <w:tcPr>
            <w:tcW w:w="950" w:type="dxa"/>
          </w:tcPr>
          <w:p w14:paraId="15DBBAFA"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4.45</w:t>
            </w:r>
          </w:p>
        </w:tc>
        <w:tc>
          <w:tcPr>
            <w:tcW w:w="2177" w:type="dxa"/>
          </w:tcPr>
          <w:p w14:paraId="29A0C55D"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r w:rsidR="00CB5971" w:rsidRPr="00CB5971" w14:paraId="2AA3CF7D" w14:textId="77777777" w:rsidTr="004F31F0">
        <w:trPr>
          <w:jc w:val="center"/>
        </w:trPr>
        <w:tc>
          <w:tcPr>
            <w:tcW w:w="3171" w:type="dxa"/>
            <w:tcBorders>
              <w:bottom w:val="single" w:sz="4" w:space="0" w:color="auto"/>
            </w:tcBorders>
          </w:tcPr>
          <w:p w14:paraId="48088D51" w14:textId="77777777" w:rsidR="00CB5971" w:rsidRPr="0096128D" w:rsidRDefault="00CB5971" w:rsidP="004F31F0">
            <w:pPr>
              <w:pStyle w:val="NoSpacing"/>
              <w:rPr>
                <w:rFonts w:ascii="Arial" w:hAnsi="Arial" w:cs="Arial"/>
                <w:b/>
                <w:bCs/>
                <w:sz w:val="16"/>
                <w:szCs w:val="16"/>
              </w:rPr>
            </w:pPr>
            <w:r w:rsidRPr="0096128D">
              <w:rPr>
                <w:rFonts w:ascii="Arial" w:hAnsi="Arial" w:cs="Arial"/>
                <w:b/>
                <w:bCs/>
                <w:sz w:val="16"/>
                <w:szCs w:val="16"/>
              </w:rPr>
              <w:t>Overall</w:t>
            </w:r>
          </w:p>
          <w:p w14:paraId="0B22319F" w14:textId="77777777" w:rsidR="00CB5971" w:rsidRPr="00CB5971" w:rsidRDefault="00CB5971" w:rsidP="004F31F0">
            <w:pPr>
              <w:pStyle w:val="NoSpacing"/>
              <w:rPr>
                <w:rFonts w:ascii="Arial" w:hAnsi="Arial" w:cs="Arial"/>
                <w:sz w:val="16"/>
                <w:szCs w:val="16"/>
              </w:rPr>
            </w:pPr>
          </w:p>
        </w:tc>
        <w:tc>
          <w:tcPr>
            <w:tcW w:w="3171" w:type="dxa"/>
            <w:tcBorders>
              <w:bottom w:val="single" w:sz="4" w:space="0" w:color="auto"/>
            </w:tcBorders>
          </w:tcPr>
          <w:p w14:paraId="39D66865" w14:textId="77777777" w:rsidR="00CB5971" w:rsidRPr="0096128D" w:rsidRDefault="00CB5971" w:rsidP="004F31F0">
            <w:pPr>
              <w:pStyle w:val="NoSpacing"/>
              <w:rPr>
                <w:rFonts w:ascii="Arial" w:hAnsi="Arial" w:cs="Arial"/>
                <w:b/>
                <w:bCs/>
                <w:sz w:val="16"/>
                <w:szCs w:val="16"/>
              </w:rPr>
            </w:pPr>
          </w:p>
        </w:tc>
        <w:tc>
          <w:tcPr>
            <w:tcW w:w="950" w:type="dxa"/>
            <w:tcBorders>
              <w:bottom w:val="single" w:sz="4" w:space="0" w:color="auto"/>
            </w:tcBorders>
          </w:tcPr>
          <w:p w14:paraId="716FB70A" w14:textId="77777777" w:rsidR="00CB5971" w:rsidRPr="0096128D" w:rsidRDefault="00CB5971" w:rsidP="0096128D">
            <w:pPr>
              <w:pStyle w:val="NoSpacing"/>
              <w:jc w:val="center"/>
              <w:rPr>
                <w:rFonts w:ascii="Arial" w:hAnsi="Arial" w:cs="Arial"/>
                <w:b/>
                <w:bCs/>
                <w:sz w:val="16"/>
                <w:szCs w:val="16"/>
              </w:rPr>
            </w:pPr>
            <w:r w:rsidRPr="0096128D">
              <w:rPr>
                <w:rFonts w:ascii="Arial" w:hAnsi="Arial" w:cs="Arial"/>
                <w:b/>
                <w:bCs/>
                <w:sz w:val="16"/>
                <w:szCs w:val="16"/>
              </w:rPr>
              <w:t>4.46</w:t>
            </w:r>
          </w:p>
        </w:tc>
        <w:tc>
          <w:tcPr>
            <w:tcW w:w="2177" w:type="dxa"/>
            <w:tcBorders>
              <w:bottom w:val="single" w:sz="4" w:space="0" w:color="auto"/>
            </w:tcBorders>
          </w:tcPr>
          <w:p w14:paraId="65CDFE5B" w14:textId="77777777" w:rsidR="00CB5971" w:rsidRPr="00CB5971" w:rsidRDefault="00CB5971" w:rsidP="0096128D">
            <w:pPr>
              <w:pStyle w:val="NoSpacing"/>
              <w:jc w:val="center"/>
              <w:rPr>
                <w:rFonts w:ascii="Arial" w:hAnsi="Arial" w:cs="Arial"/>
                <w:sz w:val="16"/>
                <w:szCs w:val="16"/>
              </w:rPr>
            </w:pPr>
            <w:r w:rsidRPr="00CB5971">
              <w:rPr>
                <w:rFonts w:ascii="Arial" w:hAnsi="Arial" w:cs="Arial"/>
                <w:sz w:val="16"/>
                <w:szCs w:val="16"/>
              </w:rPr>
              <w:t>Very High</w:t>
            </w:r>
          </w:p>
        </w:tc>
      </w:tr>
    </w:tbl>
    <w:p w14:paraId="695BAD7F" w14:textId="77777777" w:rsidR="00CB5971" w:rsidRPr="00E11A85" w:rsidRDefault="00CB5971" w:rsidP="00CB5971">
      <w:pPr>
        <w:pStyle w:val="NoSpacing"/>
      </w:pPr>
    </w:p>
    <w:p w14:paraId="7627C933" w14:textId="5F2CECE7" w:rsidR="0034163F" w:rsidRPr="0034163F" w:rsidRDefault="0034163F" w:rsidP="0034163F">
      <w:pPr>
        <w:jc w:val="both"/>
        <w:rPr>
          <w:rFonts w:ascii="Arial" w:hAnsi="Arial" w:cs="Arial"/>
          <w:lang w:val="en-PH"/>
        </w:rPr>
      </w:pPr>
      <w:r w:rsidRPr="0034163F">
        <w:rPr>
          <w:rFonts w:ascii="Arial" w:hAnsi="Arial" w:cs="Arial"/>
          <w:lang w:val="en-PH"/>
        </w:rPr>
        <w:t>As shown in Table 2, the overall perceived teaching performance of college instructors was 4.51, interpreted as "Very High." This suggests that students generally view their instructors as highly effective in delivering instruction. The high score indicates that instructors are seen as demonstrating strong pedagogical skills, clear communication, and effective classroom management, all of which contribute to fostering a positive learning environment. This perception likely supports higher student engagement, enhanced critical thinking skills, and improved learning outcomes.</w:t>
      </w:r>
      <w:r>
        <w:rPr>
          <w:rFonts w:ascii="Arial" w:hAnsi="Arial" w:cs="Arial"/>
          <w:lang w:val="en-PH"/>
        </w:rPr>
        <w:t xml:space="preserve"> </w:t>
      </w:r>
      <w:r w:rsidRPr="0034163F">
        <w:rPr>
          <w:rFonts w:ascii="Arial" w:hAnsi="Arial" w:cs="Arial"/>
          <w:lang w:val="en-PH"/>
        </w:rPr>
        <w:t>Among the five indicators, Instructional Planning and Preparation yielded the highest mean score of 4.65, also categorized as "Very High." This indicates that instructors are particularly effective in designing well-structured lesson plans, selecting appropriate teaching materials, and aligning instructional strategies with learning objectives. The commitment to organizing lessons to meet diverse student needs appears to contribute to better comprehension and engagement, which may positively impact academic performance.</w:t>
      </w:r>
      <w:r>
        <w:rPr>
          <w:rFonts w:ascii="Arial" w:hAnsi="Arial" w:cs="Arial"/>
          <w:lang w:val="en-PH"/>
        </w:rPr>
        <w:t xml:space="preserve"> </w:t>
      </w:r>
      <w:r w:rsidRPr="0034163F">
        <w:rPr>
          <w:rFonts w:ascii="Arial" w:hAnsi="Arial" w:cs="Arial"/>
          <w:lang w:val="en-PH"/>
        </w:rPr>
        <w:t>In comparison, Assessment and Feedback received the lowest mean score of 4.40, still within the "Very High" range. Although this score was lower than the others, it still reflects a strong commitment by instructors to evaluating student performance and providing constructive feedback. This suggests that instructors effectively implement assessment strategies, offering meaningful feedback that helps students reflect on their progress and improve. These findings align with those of Tambunan et al. (2021), who found that effective teaching performance is crucial for boosting students' motivation and enthusiasm for learning, particularly in mathematics.</w:t>
      </w:r>
      <w:r w:rsidR="00207AD8">
        <w:rPr>
          <w:rFonts w:ascii="Arial" w:hAnsi="Arial" w:cs="Arial"/>
          <w:lang w:val="en-PH"/>
        </w:rPr>
        <w:t xml:space="preserve"> </w:t>
      </w:r>
      <w:r w:rsidRPr="0034163F">
        <w:rPr>
          <w:rFonts w:ascii="Arial" w:hAnsi="Arial" w:cs="Arial"/>
          <w:lang w:val="en-PH"/>
        </w:rPr>
        <w:t>Furthermore, the results are consistent with the work of Nonyelum et al. (2022), who emphasized the importance of positive student-teacher interactions in cultivating favorable attitudes toward mathematics. Studies by Chen and Lu (2022) also confirm that clear instruction is key to enhancing students’ enjoyment, satisfaction, and academic success in mathematics. Additionally, Ngunjiri (2022) supports the notion that effective assessment practices contribute significantly to students' learning outcomes in mathematics, underlining the value of high-quality assessment in improving the progression of mathematics education.</w:t>
      </w:r>
    </w:p>
    <w:p w14:paraId="314A5C29" w14:textId="77777777" w:rsidR="00CB5971" w:rsidRPr="00CB5971" w:rsidRDefault="00CB5971" w:rsidP="00CB5971">
      <w:pPr>
        <w:jc w:val="both"/>
        <w:rPr>
          <w:rFonts w:ascii="Arial" w:hAnsi="Arial" w:cs="Arial"/>
          <w:lang w:val="en-GB"/>
        </w:rPr>
      </w:pPr>
    </w:p>
    <w:p w14:paraId="64D2FE2E" w14:textId="447CB046" w:rsidR="0034163F" w:rsidRPr="0034163F" w:rsidRDefault="0034163F" w:rsidP="0034163F">
      <w:pPr>
        <w:jc w:val="both"/>
        <w:rPr>
          <w:rFonts w:ascii="Arial" w:hAnsi="Arial" w:cs="Arial"/>
          <w:lang w:val="en-PH"/>
        </w:rPr>
      </w:pPr>
      <w:r w:rsidRPr="0034163F">
        <w:rPr>
          <w:rFonts w:ascii="Arial" w:hAnsi="Arial" w:cs="Arial"/>
          <w:lang w:val="en-PH"/>
        </w:rPr>
        <w:t xml:space="preserve">The students' </w:t>
      </w:r>
      <w:r w:rsidR="00207AD8">
        <w:rPr>
          <w:rFonts w:ascii="Arial" w:hAnsi="Arial" w:cs="Arial"/>
          <w:lang w:val="en-PH"/>
        </w:rPr>
        <w:t xml:space="preserve">critical thinking skills </w:t>
      </w:r>
      <w:r w:rsidRPr="0034163F">
        <w:rPr>
          <w:rFonts w:ascii="Arial" w:hAnsi="Arial" w:cs="Arial"/>
          <w:lang w:val="en-PH"/>
        </w:rPr>
        <w:t>composite mean score of 4.30, categorized as "Very High," indicates their strong analytical reasoning, problem-solving abilities, and logical thinking. This suggests that they possess the skills necessary to evaluate information critically, make sound judgments, and apply higher-order thinking to solve mathematical and real-world problems. Among the three critical thinking indicators, Evaluating received the highest mean score of 4.39, also classified as "Very High." This highlights the students' ability to assess information, identify logical inconsistencies, and make well-supported conclusions—skills essential for both academic success and problem-solving in everyday life.</w:t>
      </w:r>
      <w:r>
        <w:rPr>
          <w:rFonts w:ascii="Arial" w:hAnsi="Arial" w:cs="Arial"/>
          <w:lang w:val="en-PH"/>
        </w:rPr>
        <w:t xml:space="preserve"> </w:t>
      </w:r>
      <w:r w:rsidRPr="0034163F">
        <w:rPr>
          <w:rFonts w:ascii="Arial" w:hAnsi="Arial" w:cs="Arial"/>
          <w:lang w:val="en-PH"/>
        </w:rPr>
        <w:t>Additionally, the Analyzing indicator earned a mean score of 4.15, reflecting a "Very High" level. This indicates that students excel in breaking down complex information, recognizing patterns, and understanding the relationships among concepts. Their ability to critically examine problems, distinguish relevant from irrelevant information, and interpret data effectively is crucial not only in mathematics but also in other analytical disciplines.</w:t>
      </w:r>
      <w:r>
        <w:rPr>
          <w:rFonts w:ascii="Arial" w:hAnsi="Arial" w:cs="Arial"/>
          <w:lang w:val="en-PH"/>
        </w:rPr>
        <w:t xml:space="preserve"> </w:t>
      </w:r>
      <w:r w:rsidRPr="0034163F">
        <w:rPr>
          <w:rFonts w:ascii="Arial" w:hAnsi="Arial" w:cs="Arial"/>
          <w:lang w:val="en-PH"/>
        </w:rPr>
        <w:t>The findings suggest that college students exhibit well-developed critical thinking abilities, which are essential for academic excellence, decision-making, and real-world problem-solving. These results align with the work of Facione (2011), as cited by Thornhill-Miller et al. (2023), who emphasized the importance of critical thinking in higher education, enabling students to dissect complex issues and apply logical reasoning in practical contexts. Furthermore, the results resonate with the study by Trigwell et al. (1999), as cited in Savin-Baden and Major (2023), which highlighted that inquiry-based learning, problem-solving tasks, and reflective thinking exercises contribute to the development of students' analytical and evaluative reasoning skills. This suggests that instructional strategies may have played a key role in enhancing these critical thinking abilities.</w:t>
      </w:r>
      <w:r>
        <w:rPr>
          <w:rFonts w:ascii="Arial" w:hAnsi="Arial" w:cs="Arial"/>
          <w:lang w:val="en-PH"/>
        </w:rPr>
        <w:t xml:space="preserve"> </w:t>
      </w:r>
      <w:r w:rsidRPr="0034163F">
        <w:rPr>
          <w:rFonts w:ascii="Arial" w:hAnsi="Arial" w:cs="Arial"/>
          <w:lang w:val="en-PH"/>
        </w:rPr>
        <w:t>In line with these findings, Abdurrahman et al. (2021) argue that the improvement of higher-order thinking skills, particularly in analyzing, evaluating, and creating, can be attributed to the positive impact of inquiry-based learning in the mathematics classroom. This further supports the idea that fostering critical thinking through effective teaching strategies is crucial for enhancing students' overall academic performance and problem-solving capabilities.</w:t>
      </w:r>
    </w:p>
    <w:p w14:paraId="7B883437" w14:textId="77777777" w:rsidR="00CB5971" w:rsidRPr="00CB5971" w:rsidRDefault="00CB5971" w:rsidP="00CB5971">
      <w:pPr>
        <w:jc w:val="both"/>
        <w:rPr>
          <w:rFonts w:ascii="Arial" w:hAnsi="Arial" w:cs="Arial"/>
          <w:lang w:val="en-GB"/>
        </w:rPr>
      </w:pPr>
    </w:p>
    <w:p w14:paraId="68F8418D" w14:textId="327B32A4" w:rsidR="00207AD8" w:rsidRPr="00207AD8" w:rsidRDefault="00207AD8" w:rsidP="00207AD8">
      <w:pPr>
        <w:jc w:val="both"/>
        <w:rPr>
          <w:rFonts w:ascii="Arial" w:hAnsi="Arial" w:cs="Arial"/>
          <w:lang w:val="en-PH"/>
        </w:rPr>
      </w:pPr>
      <w:r w:rsidRPr="00207AD8">
        <w:rPr>
          <w:rFonts w:ascii="Arial" w:hAnsi="Arial" w:cs="Arial"/>
          <w:lang w:val="en-PH"/>
        </w:rPr>
        <w:t>The students' overall engagement in mathematics, with a mean score of 4.46 categorized as "Very High," indicates a high level of involvement across cognitive, affective, and behavioral domains. This suggests that students are intellectually engaged in the subject, emotionally motivated, and actively participating in learning activities. Specifically, cognitive engagement, with the highest mean score of 4.58, reflects the students' significant mental effort in understanding mathematical concepts, applying critical thinking, and problem-solving. In contrast, affective engagement, though still "Very High" at 4.36, indicates a slightly lower, yet still strong, emotional connection to mathematics, with students experiencing interest, enjoyment, and a sense of value in the subject.</w:t>
      </w:r>
      <w:r>
        <w:rPr>
          <w:rFonts w:ascii="Arial" w:hAnsi="Arial" w:cs="Arial"/>
          <w:lang w:val="en-PH"/>
        </w:rPr>
        <w:t xml:space="preserve"> </w:t>
      </w:r>
      <w:r w:rsidRPr="00207AD8">
        <w:rPr>
          <w:rFonts w:ascii="Arial" w:hAnsi="Arial" w:cs="Arial"/>
          <w:lang w:val="en-PH"/>
        </w:rPr>
        <w:t>These findings align with research by Fredricks, Blumenfeld, and Paris (2004), as cited in Lo et al. (2024), which highlights the importance of cognitive engagement for long-term retention and academic success. Furthermore, the positive emotional connection to mathematics, reflected in the affective engagement score, supports Ryan and Deci's (2000) theory, as cited in Krat et al. (2021), that emotional engagement is crucial for enhancing motivation, reducing anxiety, and promoting persistence in solving complex mathematical problems.</w:t>
      </w:r>
      <w:r>
        <w:rPr>
          <w:rFonts w:ascii="Arial" w:hAnsi="Arial" w:cs="Arial"/>
          <w:lang w:val="en-PH"/>
        </w:rPr>
        <w:t xml:space="preserve"> </w:t>
      </w:r>
      <w:r w:rsidRPr="00207AD8">
        <w:rPr>
          <w:rFonts w:ascii="Arial" w:hAnsi="Arial" w:cs="Arial"/>
          <w:lang w:val="en-PH"/>
        </w:rPr>
        <w:t>Overall, these results suggest that students' engagement in mathematics is multi-faceted, combining intellectual effort, emotional connection, and active participation. This comprehensive engagement is crucial for fostering deeper learning, improving academic performance, and sustaining motivation in mathematics education.</w:t>
      </w:r>
    </w:p>
    <w:p w14:paraId="61048A01" w14:textId="77777777" w:rsidR="00207AD8" w:rsidRPr="00CB5971" w:rsidRDefault="00207AD8" w:rsidP="00CB5971">
      <w:pPr>
        <w:jc w:val="both"/>
        <w:rPr>
          <w:rFonts w:ascii="Book Antiqua" w:hAnsi="Book Antiqua"/>
          <w:lang w:val="en-GB"/>
        </w:rPr>
      </w:pPr>
    </w:p>
    <w:p w14:paraId="046A14FC" w14:textId="7532426E" w:rsidR="00CB5971" w:rsidRPr="00CB5971" w:rsidRDefault="00CB5971" w:rsidP="00CB5971">
      <w:pPr>
        <w:rPr>
          <w:rFonts w:ascii="Arial" w:hAnsi="Arial" w:cs="Arial"/>
          <w:b/>
          <w:bCs/>
          <w:lang w:val="en-GB"/>
        </w:rPr>
      </w:pPr>
      <w:r w:rsidRPr="00CB5971">
        <w:rPr>
          <w:rFonts w:ascii="Arial" w:hAnsi="Arial" w:cs="Arial"/>
          <w:b/>
          <w:bCs/>
          <w:lang w:val="en-GB"/>
        </w:rPr>
        <w:t>3.2. Correlational Analysis</w:t>
      </w:r>
    </w:p>
    <w:p w14:paraId="74B3A8BD" w14:textId="77777777" w:rsidR="00CB5971" w:rsidRPr="00CB5971" w:rsidRDefault="00CB5971" w:rsidP="00CB5971">
      <w:pPr>
        <w:jc w:val="both"/>
        <w:rPr>
          <w:rFonts w:ascii="Arial" w:hAnsi="Arial" w:cs="Arial"/>
          <w:lang w:val="en-GB"/>
        </w:rPr>
      </w:pPr>
    </w:p>
    <w:p w14:paraId="2B5D4669" w14:textId="77777777" w:rsidR="00CB5971" w:rsidRPr="00CB5971" w:rsidRDefault="00CB5971" w:rsidP="00CB5971">
      <w:pPr>
        <w:jc w:val="both"/>
        <w:rPr>
          <w:rFonts w:ascii="Arial" w:hAnsi="Arial" w:cs="Arial"/>
          <w:lang w:val="en-GB"/>
        </w:rPr>
      </w:pPr>
      <w:r w:rsidRPr="00CB5971">
        <w:rPr>
          <w:rFonts w:ascii="Arial" w:hAnsi="Arial" w:cs="Arial"/>
          <w:lang w:val="en-GB"/>
        </w:rPr>
        <w:t>The second objective of this research is to determine the relationship between exogenous and endogenous factors. Table 2 shows the inferential analysis of the association among all variables.</w:t>
      </w:r>
    </w:p>
    <w:p w14:paraId="3462E56A" w14:textId="77777777" w:rsidR="00CB5971" w:rsidRPr="00E11A85" w:rsidRDefault="00CB5971" w:rsidP="00CB5971">
      <w:pPr>
        <w:rPr>
          <w:rFonts w:ascii="Book Antiqua" w:hAnsi="Book Antiqua"/>
          <w:lang w:val="en-GB"/>
        </w:rPr>
      </w:pPr>
    </w:p>
    <w:p w14:paraId="5107E0FC" w14:textId="77777777" w:rsidR="00CB5971" w:rsidRPr="00CB5971" w:rsidRDefault="00CB5971" w:rsidP="00CB5971">
      <w:pPr>
        <w:jc w:val="center"/>
        <w:rPr>
          <w:rFonts w:ascii="Arial" w:hAnsi="Arial" w:cs="Arial"/>
          <w:lang w:val="en-GB"/>
        </w:rPr>
      </w:pPr>
      <w:r w:rsidRPr="00CB5971">
        <w:rPr>
          <w:rFonts w:ascii="Arial" w:hAnsi="Arial" w:cs="Arial"/>
          <w:lang w:val="en-GB"/>
        </w:rPr>
        <w:t xml:space="preserve">Table 2. Test of Significant Relationship </w:t>
      </w:r>
    </w:p>
    <w:tbl>
      <w:tblPr>
        <w:tblStyle w:val="TableGrid"/>
        <w:tblW w:w="96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7"/>
        <w:gridCol w:w="1423"/>
        <w:gridCol w:w="1350"/>
        <w:gridCol w:w="1725"/>
        <w:gridCol w:w="2168"/>
      </w:tblGrid>
      <w:tr w:rsidR="00CB5971" w:rsidRPr="00CB5971" w14:paraId="48EDB4E2" w14:textId="77777777" w:rsidTr="004F31F0">
        <w:trPr>
          <w:trHeight w:val="283"/>
          <w:jc w:val="center"/>
        </w:trPr>
        <w:tc>
          <w:tcPr>
            <w:tcW w:w="2987" w:type="dxa"/>
            <w:vMerge w:val="restart"/>
            <w:tcBorders>
              <w:top w:val="single" w:sz="4" w:space="0" w:color="auto"/>
              <w:bottom w:val="single" w:sz="4" w:space="0" w:color="auto"/>
            </w:tcBorders>
          </w:tcPr>
          <w:p w14:paraId="364EF658" w14:textId="77777777" w:rsidR="00CB5971" w:rsidRPr="00CB5971" w:rsidRDefault="00CB5971" w:rsidP="004F31F0">
            <w:pPr>
              <w:pStyle w:val="NoSpacing"/>
              <w:rPr>
                <w:rFonts w:ascii="Arial" w:hAnsi="Arial" w:cs="Arial"/>
                <w:sz w:val="20"/>
                <w:szCs w:val="20"/>
              </w:rPr>
            </w:pPr>
          </w:p>
        </w:tc>
        <w:tc>
          <w:tcPr>
            <w:tcW w:w="6666" w:type="dxa"/>
            <w:gridSpan w:val="4"/>
            <w:tcBorders>
              <w:top w:val="single" w:sz="4" w:space="0" w:color="auto"/>
            </w:tcBorders>
          </w:tcPr>
          <w:p w14:paraId="0E4D5CCC" w14:textId="77777777" w:rsidR="00CB5971" w:rsidRPr="00CB5971" w:rsidRDefault="00CB5971" w:rsidP="004F31F0">
            <w:pPr>
              <w:pStyle w:val="NoSpacing"/>
              <w:jc w:val="center"/>
              <w:rPr>
                <w:rFonts w:ascii="Arial" w:hAnsi="Arial" w:cs="Arial"/>
                <w:sz w:val="20"/>
                <w:szCs w:val="20"/>
              </w:rPr>
            </w:pPr>
            <w:r w:rsidRPr="00CB5971">
              <w:rPr>
                <w:rFonts w:ascii="Arial" w:hAnsi="Arial" w:cs="Arial"/>
                <w:sz w:val="20"/>
                <w:szCs w:val="20"/>
              </w:rPr>
              <w:t>Engagement in Mathematics</w:t>
            </w:r>
          </w:p>
        </w:tc>
      </w:tr>
      <w:tr w:rsidR="00CB5971" w:rsidRPr="00CB5971" w14:paraId="5DD526A2" w14:textId="77777777" w:rsidTr="004F31F0">
        <w:trPr>
          <w:trHeight w:val="148"/>
          <w:jc w:val="center"/>
        </w:trPr>
        <w:tc>
          <w:tcPr>
            <w:tcW w:w="2987" w:type="dxa"/>
            <w:vMerge/>
            <w:tcBorders>
              <w:top w:val="single" w:sz="4" w:space="0" w:color="auto"/>
            </w:tcBorders>
          </w:tcPr>
          <w:p w14:paraId="62411379" w14:textId="77777777" w:rsidR="00CB5971" w:rsidRPr="00CB5971" w:rsidRDefault="00CB5971" w:rsidP="004F31F0">
            <w:pPr>
              <w:pStyle w:val="NoSpacing"/>
              <w:rPr>
                <w:rFonts w:ascii="Arial" w:hAnsi="Arial" w:cs="Arial"/>
                <w:sz w:val="20"/>
                <w:szCs w:val="20"/>
              </w:rPr>
            </w:pPr>
          </w:p>
        </w:tc>
        <w:tc>
          <w:tcPr>
            <w:tcW w:w="1423" w:type="dxa"/>
            <w:tcBorders>
              <w:bottom w:val="single" w:sz="4" w:space="0" w:color="auto"/>
            </w:tcBorders>
          </w:tcPr>
          <w:p w14:paraId="7594ECD5" w14:textId="2F1AAAC5" w:rsidR="00CB5971" w:rsidRPr="0096128D" w:rsidRDefault="0096128D" w:rsidP="0096128D">
            <w:pPr>
              <w:pStyle w:val="NoSpacing"/>
              <w:jc w:val="center"/>
              <w:rPr>
                <w:rFonts w:ascii="Arial" w:hAnsi="Arial" w:cs="Arial"/>
                <w:b/>
                <w:bCs/>
                <w:sz w:val="20"/>
                <w:szCs w:val="20"/>
              </w:rPr>
            </w:pPr>
            <m:oMathPara>
              <m:oMath>
                <m:r>
                  <m:rPr>
                    <m:sty m:val="bi"/>
                  </m:rPr>
                  <w:rPr>
                    <w:rFonts w:ascii="Cambria Math" w:hAnsi="Cambria Math" w:cs="Arial"/>
                    <w:sz w:val="20"/>
                    <w:szCs w:val="20"/>
                  </w:rPr>
                  <m:t>r-Value</m:t>
                </m:r>
              </m:oMath>
            </m:oMathPara>
          </w:p>
        </w:tc>
        <w:tc>
          <w:tcPr>
            <w:tcW w:w="1350" w:type="dxa"/>
            <w:tcBorders>
              <w:bottom w:val="single" w:sz="4" w:space="0" w:color="auto"/>
            </w:tcBorders>
          </w:tcPr>
          <w:p w14:paraId="6D4EAC73" w14:textId="5C9782B6" w:rsidR="00CB5971" w:rsidRPr="0096128D" w:rsidRDefault="0096128D" w:rsidP="0096128D">
            <w:pPr>
              <w:pStyle w:val="NoSpacing"/>
              <w:jc w:val="center"/>
              <w:rPr>
                <w:rFonts w:ascii="Arial" w:hAnsi="Arial" w:cs="Arial"/>
                <w:b/>
                <w:bCs/>
                <w:sz w:val="20"/>
                <w:szCs w:val="20"/>
              </w:rPr>
            </w:pPr>
            <m:oMathPara>
              <m:oMath>
                <m:r>
                  <m:rPr>
                    <m:sty m:val="bi"/>
                  </m:rPr>
                  <w:rPr>
                    <w:rFonts w:ascii="Cambria Math" w:hAnsi="Cambria Math" w:cs="Arial"/>
                    <w:sz w:val="20"/>
                    <w:szCs w:val="20"/>
                  </w:rPr>
                  <m:t>p-Value</m:t>
                </m:r>
              </m:oMath>
            </m:oMathPara>
          </w:p>
        </w:tc>
        <w:tc>
          <w:tcPr>
            <w:tcW w:w="1725" w:type="dxa"/>
            <w:tcBorders>
              <w:bottom w:val="single" w:sz="4" w:space="0" w:color="auto"/>
            </w:tcBorders>
          </w:tcPr>
          <w:p w14:paraId="7E3AA864" w14:textId="78902635" w:rsidR="00CB5971" w:rsidRPr="0096128D" w:rsidRDefault="00CB5971" w:rsidP="0096128D">
            <w:pPr>
              <w:pStyle w:val="NoSpacing"/>
              <w:jc w:val="center"/>
              <w:rPr>
                <w:rFonts w:ascii="Arial" w:hAnsi="Arial" w:cs="Arial"/>
                <w:b/>
                <w:bCs/>
                <w:sz w:val="20"/>
                <w:szCs w:val="20"/>
              </w:rPr>
            </w:pPr>
            <w:r w:rsidRPr="0096128D">
              <w:rPr>
                <w:rFonts w:ascii="Arial" w:hAnsi="Arial" w:cs="Arial"/>
                <w:b/>
                <w:bCs/>
                <w:sz w:val="20"/>
                <w:szCs w:val="20"/>
              </w:rPr>
              <w:t xml:space="preserve">Decision on </w:t>
            </w:r>
            <m:oMath>
              <m:r>
                <m:rPr>
                  <m:sty m:val="bi"/>
                </m:rPr>
                <w:rPr>
                  <w:rFonts w:ascii="Cambria Math" w:hAnsi="Cambria Math" w:cs="Arial"/>
                  <w:sz w:val="20"/>
                  <w:szCs w:val="20"/>
                </w:rPr>
                <m:t>Ho</m:t>
              </m:r>
            </m:oMath>
          </w:p>
        </w:tc>
        <w:tc>
          <w:tcPr>
            <w:tcW w:w="2168" w:type="dxa"/>
            <w:tcBorders>
              <w:bottom w:val="single" w:sz="4" w:space="0" w:color="auto"/>
            </w:tcBorders>
          </w:tcPr>
          <w:p w14:paraId="2B5B04D5" w14:textId="77777777" w:rsidR="00CB5971" w:rsidRPr="0096128D" w:rsidRDefault="00CB5971" w:rsidP="0096128D">
            <w:pPr>
              <w:pStyle w:val="NoSpacing"/>
              <w:jc w:val="center"/>
              <w:rPr>
                <w:rFonts w:ascii="Arial" w:hAnsi="Arial" w:cs="Arial"/>
                <w:b/>
                <w:bCs/>
                <w:sz w:val="20"/>
                <w:szCs w:val="20"/>
              </w:rPr>
            </w:pPr>
            <w:r w:rsidRPr="0096128D">
              <w:rPr>
                <w:rFonts w:ascii="Arial" w:hAnsi="Arial" w:cs="Arial"/>
                <w:b/>
                <w:bCs/>
                <w:sz w:val="20"/>
                <w:szCs w:val="20"/>
              </w:rPr>
              <w:t>Interpretation</w:t>
            </w:r>
          </w:p>
        </w:tc>
      </w:tr>
      <w:tr w:rsidR="00CB5971" w:rsidRPr="00CB5971" w14:paraId="3148B981" w14:textId="77777777" w:rsidTr="004F31F0">
        <w:trPr>
          <w:trHeight w:val="726"/>
          <w:jc w:val="center"/>
        </w:trPr>
        <w:tc>
          <w:tcPr>
            <w:tcW w:w="2987" w:type="dxa"/>
          </w:tcPr>
          <w:p w14:paraId="55380B16" w14:textId="77777777" w:rsidR="00CB5971" w:rsidRPr="00CB5971" w:rsidRDefault="00CB5971" w:rsidP="004F31F0">
            <w:pPr>
              <w:pStyle w:val="NoSpacing"/>
              <w:rPr>
                <w:rFonts w:ascii="Arial" w:hAnsi="Arial" w:cs="Arial"/>
                <w:sz w:val="20"/>
                <w:szCs w:val="20"/>
              </w:rPr>
            </w:pPr>
          </w:p>
          <w:p w14:paraId="620E3CF5" w14:textId="77777777" w:rsidR="00CB5971" w:rsidRPr="00CB5971" w:rsidRDefault="00CB5971" w:rsidP="004F31F0">
            <w:pPr>
              <w:pStyle w:val="NoSpacing"/>
              <w:rPr>
                <w:rFonts w:ascii="Arial" w:hAnsi="Arial" w:cs="Arial"/>
                <w:sz w:val="20"/>
                <w:szCs w:val="20"/>
              </w:rPr>
            </w:pPr>
            <w:r w:rsidRPr="00CB5971">
              <w:rPr>
                <w:rFonts w:ascii="Arial" w:hAnsi="Arial" w:cs="Arial"/>
                <w:sz w:val="20"/>
                <w:szCs w:val="20"/>
              </w:rPr>
              <w:t>Perceived Teaching Performance of College Instructors</w:t>
            </w:r>
          </w:p>
        </w:tc>
        <w:tc>
          <w:tcPr>
            <w:tcW w:w="1423" w:type="dxa"/>
            <w:tcBorders>
              <w:top w:val="single" w:sz="4" w:space="0" w:color="auto"/>
            </w:tcBorders>
          </w:tcPr>
          <w:p w14:paraId="57456768" w14:textId="77777777" w:rsidR="00CB5971" w:rsidRPr="00CB5971" w:rsidRDefault="00CB5971" w:rsidP="004F31F0">
            <w:pPr>
              <w:pStyle w:val="NoSpacing"/>
              <w:rPr>
                <w:rFonts w:ascii="Arial" w:eastAsiaTheme="minorEastAsia" w:hAnsi="Arial" w:cs="Arial"/>
                <w:sz w:val="20"/>
                <w:szCs w:val="20"/>
              </w:rPr>
            </w:pPr>
          </w:p>
          <w:p w14:paraId="1C9CE9E8" w14:textId="77777777" w:rsidR="00CB5971" w:rsidRPr="00CB5971" w:rsidRDefault="00CB5971" w:rsidP="004F31F0">
            <w:pPr>
              <w:pStyle w:val="NoSpacing"/>
              <w:jc w:val="center"/>
              <w:rPr>
                <w:rFonts w:ascii="Cambria Math" w:hAnsi="Cambria Math" w:cs="Arial"/>
                <w:sz w:val="20"/>
                <w:szCs w:val="20"/>
                <w:oMath/>
              </w:rPr>
            </w:pPr>
            <w:r w:rsidRPr="00CB5971">
              <w:rPr>
                <w:rFonts w:ascii="Arial" w:eastAsiaTheme="minorEastAsia" w:hAnsi="Arial" w:cs="Arial"/>
              </w:rPr>
              <w:t>.855</w:t>
            </w:r>
          </w:p>
        </w:tc>
        <w:tc>
          <w:tcPr>
            <w:tcW w:w="1350" w:type="dxa"/>
            <w:tcBorders>
              <w:top w:val="single" w:sz="4" w:space="0" w:color="auto"/>
            </w:tcBorders>
          </w:tcPr>
          <w:p w14:paraId="4AC63D0D" w14:textId="77777777" w:rsidR="00CB5971" w:rsidRPr="00CB5971" w:rsidRDefault="00CB5971" w:rsidP="004F31F0">
            <w:pPr>
              <w:pStyle w:val="NoSpacing"/>
              <w:jc w:val="center"/>
              <w:rPr>
                <w:rFonts w:ascii="Arial" w:eastAsia="Times New Roman" w:hAnsi="Arial" w:cs="Arial"/>
                <w:sz w:val="20"/>
                <w:szCs w:val="20"/>
              </w:rPr>
            </w:pPr>
          </w:p>
          <w:p w14:paraId="3220F869" w14:textId="77777777" w:rsidR="00CB5971" w:rsidRPr="00CB5971" w:rsidRDefault="00CB5971" w:rsidP="004F31F0">
            <w:pPr>
              <w:pStyle w:val="NoSpacing"/>
              <w:jc w:val="center"/>
              <w:rPr>
                <w:rFonts w:ascii="Arial" w:eastAsia="Times New Roman" w:hAnsi="Arial" w:cs="Arial"/>
                <w:sz w:val="20"/>
                <w:szCs w:val="20"/>
              </w:rPr>
            </w:pPr>
            <w:r w:rsidRPr="00CB5971">
              <w:rPr>
                <w:rFonts w:ascii="Arial" w:eastAsia="Times New Roman" w:hAnsi="Arial" w:cs="Arial"/>
              </w:rPr>
              <w:t>.000</w:t>
            </w:r>
          </w:p>
        </w:tc>
        <w:tc>
          <w:tcPr>
            <w:tcW w:w="1725" w:type="dxa"/>
            <w:tcBorders>
              <w:top w:val="single" w:sz="4" w:space="0" w:color="auto"/>
            </w:tcBorders>
          </w:tcPr>
          <w:p w14:paraId="35E6A212" w14:textId="77777777" w:rsidR="00CB5971" w:rsidRPr="00CB5971" w:rsidRDefault="00CB5971" w:rsidP="004F31F0">
            <w:pPr>
              <w:pStyle w:val="NoSpacing"/>
              <w:jc w:val="center"/>
              <w:rPr>
                <w:rFonts w:ascii="Arial" w:eastAsiaTheme="minorEastAsia" w:hAnsi="Arial" w:cs="Arial"/>
                <w:sz w:val="20"/>
                <w:szCs w:val="20"/>
              </w:rPr>
            </w:pPr>
          </w:p>
          <w:p w14:paraId="6BE462C7" w14:textId="77777777" w:rsidR="00CB5971" w:rsidRPr="00CB5971" w:rsidRDefault="00CB5971" w:rsidP="004F31F0">
            <w:pPr>
              <w:pStyle w:val="NoSpacing"/>
              <w:jc w:val="center"/>
              <w:rPr>
                <w:rFonts w:ascii="Arial" w:eastAsiaTheme="minorEastAsia" w:hAnsi="Arial" w:cs="Arial"/>
                <w:sz w:val="20"/>
                <w:szCs w:val="20"/>
              </w:rPr>
            </w:pPr>
            <w:r w:rsidRPr="00CB5971">
              <w:rPr>
                <w:rFonts w:ascii="Arial" w:eastAsiaTheme="minorEastAsia" w:hAnsi="Arial" w:cs="Arial"/>
                <w:sz w:val="20"/>
                <w:szCs w:val="20"/>
              </w:rPr>
              <w:t>Reject</w:t>
            </w:r>
          </w:p>
        </w:tc>
        <w:tc>
          <w:tcPr>
            <w:tcW w:w="2168" w:type="dxa"/>
            <w:tcBorders>
              <w:top w:val="single" w:sz="4" w:space="0" w:color="auto"/>
            </w:tcBorders>
          </w:tcPr>
          <w:p w14:paraId="33AE6F1E" w14:textId="77777777" w:rsidR="00CB5971" w:rsidRPr="00CB5971" w:rsidRDefault="00CB5971" w:rsidP="004F31F0">
            <w:pPr>
              <w:pStyle w:val="NoSpacing"/>
              <w:jc w:val="center"/>
              <w:rPr>
                <w:rFonts w:ascii="Arial" w:eastAsiaTheme="minorEastAsia" w:hAnsi="Arial" w:cs="Arial"/>
                <w:sz w:val="20"/>
                <w:szCs w:val="20"/>
              </w:rPr>
            </w:pPr>
          </w:p>
          <w:p w14:paraId="45E9B16F" w14:textId="77777777" w:rsidR="00CB5971" w:rsidRPr="00CB5971" w:rsidRDefault="00CB5971" w:rsidP="004F31F0">
            <w:pPr>
              <w:pStyle w:val="NoSpacing"/>
              <w:jc w:val="center"/>
              <w:rPr>
                <w:rFonts w:ascii="Arial" w:eastAsiaTheme="minorEastAsia" w:hAnsi="Arial" w:cs="Arial"/>
                <w:sz w:val="20"/>
                <w:szCs w:val="20"/>
              </w:rPr>
            </w:pPr>
            <w:r w:rsidRPr="00CB5971">
              <w:rPr>
                <w:rFonts w:ascii="Arial" w:eastAsiaTheme="minorEastAsia" w:hAnsi="Arial" w:cs="Arial"/>
                <w:sz w:val="20"/>
                <w:szCs w:val="20"/>
              </w:rPr>
              <w:t>Significant</w:t>
            </w:r>
          </w:p>
        </w:tc>
      </w:tr>
      <w:tr w:rsidR="00CB5971" w:rsidRPr="00CB5971" w14:paraId="1E41ED11" w14:textId="77777777" w:rsidTr="004F31F0">
        <w:trPr>
          <w:trHeight w:val="441"/>
          <w:jc w:val="center"/>
        </w:trPr>
        <w:tc>
          <w:tcPr>
            <w:tcW w:w="2987" w:type="dxa"/>
            <w:tcBorders>
              <w:bottom w:val="single" w:sz="4" w:space="0" w:color="auto"/>
            </w:tcBorders>
          </w:tcPr>
          <w:p w14:paraId="4E015CF5" w14:textId="77777777" w:rsidR="00CB5971" w:rsidRPr="00CB5971" w:rsidRDefault="00CB5971" w:rsidP="004F31F0">
            <w:pPr>
              <w:pStyle w:val="NoSpacing"/>
              <w:rPr>
                <w:rFonts w:ascii="Arial" w:hAnsi="Arial" w:cs="Arial"/>
                <w:sz w:val="20"/>
                <w:szCs w:val="20"/>
              </w:rPr>
            </w:pPr>
            <w:bookmarkStart w:id="11" w:name="_Hlk191663593"/>
            <w:r w:rsidRPr="00CB5971">
              <w:rPr>
                <w:rFonts w:ascii="Arial" w:hAnsi="Arial" w:cs="Arial"/>
                <w:sz w:val="20"/>
                <w:szCs w:val="20"/>
              </w:rPr>
              <w:t>Critical Thinking Skills</w:t>
            </w:r>
            <w:bookmarkEnd w:id="11"/>
          </w:p>
        </w:tc>
        <w:tc>
          <w:tcPr>
            <w:tcW w:w="1423" w:type="dxa"/>
            <w:tcBorders>
              <w:bottom w:val="single" w:sz="4" w:space="0" w:color="auto"/>
            </w:tcBorders>
          </w:tcPr>
          <w:p w14:paraId="25580DB4" w14:textId="77777777" w:rsidR="00CB5971" w:rsidRPr="00CB5971" w:rsidRDefault="00CB5971" w:rsidP="004F31F0">
            <w:pPr>
              <w:pStyle w:val="NoSpacing"/>
              <w:jc w:val="center"/>
              <w:rPr>
                <w:rFonts w:ascii="Cambria Math" w:hAnsi="Cambria Math" w:cs="Arial"/>
                <w:sz w:val="20"/>
                <w:szCs w:val="20"/>
                <w:oMath/>
              </w:rPr>
            </w:pPr>
            <w:r w:rsidRPr="00CB5971">
              <w:rPr>
                <w:rFonts w:ascii="Arial" w:eastAsia="Times New Roman" w:hAnsi="Arial" w:cs="Arial"/>
              </w:rPr>
              <w:t>.906</w:t>
            </w:r>
          </w:p>
        </w:tc>
        <w:tc>
          <w:tcPr>
            <w:tcW w:w="1350" w:type="dxa"/>
            <w:tcBorders>
              <w:bottom w:val="single" w:sz="4" w:space="0" w:color="auto"/>
            </w:tcBorders>
          </w:tcPr>
          <w:p w14:paraId="3E127F0B" w14:textId="77777777" w:rsidR="00CB5971" w:rsidRPr="00CB5971" w:rsidRDefault="00CB5971" w:rsidP="004F31F0">
            <w:pPr>
              <w:pStyle w:val="NoSpacing"/>
              <w:jc w:val="center"/>
              <w:rPr>
                <w:rFonts w:ascii="Cambria Math" w:hAnsi="Cambria Math" w:cs="Arial"/>
                <w:sz w:val="20"/>
                <w:szCs w:val="20"/>
                <w:oMath/>
              </w:rPr>
            </w:pPr>
            <w:r w:rsidRPr="00CB5971">
              <w:rPr>
                <w:rFonts w:ascii="Arial" w:eastAsia="Times New Roman" w:hAnsi="Arial" w:cs="Arial"/>
              </w:rPr>
              <w:t>.000</w:t>
            </w:r>
          </w:p>
        </w:tc>
        <w:tc>
          <w:tcPr>
            <w:tcW w:w="1725" w:type="dxa"/>
            <w:tcBorders>
              <w:bottom w:val="single" w:sz="4" w:space="0" w:color="auto"/>
            </w:tcBorders>
          </w:tcPr>
          <w:p w14:paraId="66A09BDD" w14:textId="77777777" w:rsidR="00CB5971" w:rsidRPr="00CB5971" w:rsidRDefault="00CB5971" w:rsidP="004F31F0">
            <w:pPr>
              <w:pStyle w:val="NoSpacing"/>
              <w:jc w:val="center"/>
              <w:rPr>
                <w:rFonts w:ascii="Arial" w:eastAsiaTheme="minorEastAsia" w:hAnsi="Arial" w:cs="Arial"/>
                <w:sz w:val="20"/>
                <w:szCs w:val="20"/>
              </w:rPr>
            </w:pPr>
            <w:r w:rsidRPr="00CB5971">
              <w:rPr>
                <w:rFonts w:ascii="Arial" w:eastAsiaTheme="minorEastAsia" w:hAnsi="Arial" w:cs="Arial"/>
                <w:sz w:val="20"/>
                <w:szCs w:val="20"/>
              </w:rPr>
              <w:t>Reject</w:t>
            </w:r>
          </w:p>
        </w:tc>
        <w:tc>
          <w:tcPr>
            <w:tcW w:w="2168" w:type="dxa"/>
            <w:tcBorders>
              <w:bottom w:val="single" w:sz="4" w:space="0" w:color="auto"/>
            </w:tcBorders>
          </w:tcPr>
          <w:p w14:paraId="3A886971" w14:textId="77777777" w:rsidR="00CB5971" w:rsidRPr="00CB5971" w:rsidRDefault="00CB5971" w:rsidP="004F31F0">
            <w:pPr>
              <w:pStyle w:val="NoSpacing"/>
              <w:jc w:val="center"/>
              <w:rPr>
                <w:rFonts w:ascii="Arial" w:eastAsiaTheme="minorEastAsia" w:hAnsi="Arial" w:cs="Arial"/>
                <w:sz w:val="20"/>
                <w:szCs w:val="20"/>
              </w:rPr>
            </w:pPr>
            <w:r w:rsidRPr="00CB5971">
              <w:rPr>
                <w:rFonts w:ascii="Arial" w:eastAsiaTheme="minorEastAsia" w:hAnsi="Arial" w:cs="Arial"/>
                <w:sz w:val="20"/>
                <w:szCs w:val="20"/>
              </w:rPr>
              <w:t>Significant</w:t>
            </w:r>
          </w:p>
        </w:tc>
      </w:tr>
    </w:tbl>
    <w:p w14:paraId="623076EC" w14:textId="77777777" w:rsidR="00CB5971" w:rsidRPr="00E11A85" w:rsidRDefault="00CB5971" w:rsidP="00CB5971">
      <w:pPr>
        <w:pStyle w:val="NoSpacing"/>
      </w:pPr>
    </w:p>
    <w:p w14:paraId="254945A6" w14:textId="77777777" w:rsidR="00207AD8" w:rsidRDefault="00207AD8" w:rsidP="00207AD8">
      <w:pPr>
        <w:jc w:val="both"/>
        <w:rPr>
          <w:rFonts w:ascii="Arial" w:hAnsi="Arial" w:cs="Arial"/>
          <w:lang w:val="en-PH"/>
        </w:rPr>
      </w:pPr>
      <w:r w:rsidRPr="00207AD8">
        <w:rPr>
          <w:rFonts w:ascii="Arial" w:hAnsi="Arial" w:cs="Arial"/>
          <w:lang w:val="en-PH"/>
        </w:rPr>
        <w:t xml:space="preserve">The second objective of this research was to examine the relationship between external factors, such as perceived teaching performance, and internal factors, like students' critical thinking skills, in relation to their engagement in mathematics. As shown in Table 2, the inferential analysis reveals a very strong positive correlation between students' engagement in mathematics and their perception of instructors’ teaching performance (r = .855, p = .000). This indicates that students who perceive their instructors as effective, engaging, and supportive are more likely to actively participate in learning mathematics. Additionally, the correlation between students' critical thinking skills and their engagement in </w:t>
      </w:r>
      <w:r w:rsidRPr="00207AD8">
        <w:rPr>
          <w:rFonts w:ascii="Arial" w:hAnsi="Arial" w:cs="Arial"/>
          <w:lang w:val="en-PH"/>
        </w:rPr>
        <w:lastRenderedPageBreak/>
        <w:t>mathematics (r = .906, p = .000) further highlights the importance of cognitive abilities in fostering engagement. These findings lead to the rejection of the first null hypothesis (Ho1), confirming the significant relationship between teaching performance, critical thinking, and student engagement.</w:t>
      </w:r>
    </w:p>
    <w:p w14:paraId="36194D99" w14:textId="77777777" w:rsidR="00207AD8" w:rsidRPr="00207AD8" w:rsidRDefault="00207AD8" w:rsidP="00207AD8">
      <w:pPr>
        <w:jc w:val="both"/>
        <w:rPr>
          <w:rFonts w:ascii="Arial" w:hAnsi="Arial" w:cs="Arial"/>
          <w:lang w:val="en-PH"/>
        </w:rPr>
      </w:pPr>
    </w:p>
    <w:p w14:paraId="0701B019" w14:textId="77777777" w:rsidR="00207AD8" w:rsidRDefault="00207AD8" w:rsidP="00207AD8">
      <w:pPr>
        <w:jc w:val="both"/>
        <w:rPr>
          <w:rFonts w:ascii="Arial" w:hAnsi="Arial" w:cs="Arial"/>
          <w:lang w:val="en-PH"/>
        </w:rPr>
      </w:pPr>
      <w:r w:rsidRPr="00207AD8">
        <w:rPr>
          <w:rFonts w:ascii="Arial" w:hAnsi="Arial" w:cs="Arial"/>
          <w:lang w:val="en-PH"/>
        </w:rPr>
        <w:t>These results align with previous studies emphasizing the critical role of teaching effectiveness in enhancing student engagement. For instance, Durksen et al. (2017) and Kunter et al. (2016) found that robust teacher-student interactions and effective pedagogical strategies significantly increase student motivation and participation. Similarly, Wang et al. (2020) highlighted that students who view their professors as supportive and approachable are more engaged and develop a greater interest in the subject. Torrejos (2024) also reported a similar correlation between instructor effectiveness and student engagement in mathematics, reinforcing the importance of teacher quality in student involvement.</w:t>
      </w:r>
    </w:p>
    <w:p w14:paraId="6781BF3E" w14:textId="77777777" w:rsidR="00207AD8" w:rsidRPr="00207AD8" w:rsidRDefault="00207AD8" w:rsidP="00207AD8">
      <w:pPr>
        <w:jc w:val="both"/>
        <w:rPr>
          <w:rFonts w:ascii="Arial" w:hAnsi="Arial" w:cs="Arial"/>
          <w:lang w:val="en-PH"/>
        </w:rPr>
      </w:pPr>
    </w:p>
    <w:p w14:paraId="71870B64" w14:textId="275EB1EA" w:rsidR="00207AD8" w:rsidRPr="00207AD8" w:rsidRDefault="00207AD8" w:rsidP="00207AD8">
      <w:pPr>
        <w:jc w:val="both"/>
        <w:rPr>
          <w:rFonts w:ascii="Arial" w:hAnsi="Arial" w:cs="Arial"/>
          <w:lang w:val="en-PH"/>
        </w:rPr>
      </w:pPr>
      <w:r w:rsidRPr="00207AD8">
        <w:rPr>
          <w:rFonts w:ascii="Arial" w:hAnsi="Arial" w:cs="Arial"/>
          <w:lang w:val="en-PH"/>
        </w:rPr>
        <w:t>Moreover, the strong correlation between critical thinking skills and engagement in mathematics corroborates existing literature on the importance of cognitive skills in academic success. Heong et al. (2016) found that students with strong critical thinking skills are better equipped to solve problems, reason through concepts, and engage with the material more deeply. This aligns with self-determination theory (Deci &amp; Ryan, 2012, as cited in Mariani et al., 2023), which posits that cognitive engagement fosters autonomy, motivation, and persistence in academic tasks. Additionally, Shcheglova et al. (2019) and Li et al. (2023) found positive correlations between higher-order thinking and learning engagement, further supporting the role of critical thinking in enhancing academic involvement.</w:t>
      </w:r>
      <w:r>
        <w:rPr>
          <w:rFonts w:ascii="Arial" w:hAnsi="Arial" w:cs="Arial"/>
          <w:lang w:val="en-PH"/>
        </w:rPr>
        <w:t xml:space="preserve"> </w:t>
      </w:r>
      <w:r w:rsidRPr="00207AD8">
        <w:rPr>
          <w:rFonts w:ascii="Arial" w:hAnsi="Arial" w:cs="Arial"/>
          <w:lang w:val="en-PH"/>
        </w:rPr>
        <w:t>Overall, these findings suggest that both perceived teaching performance and critical thinking skills are crucial factors in promoting student engagement in mathematics. This highlights the need for educators to foster a supportive, engaging learning environment and for students to develop strong cognitive skills to improve their involvement in the subject.</w:t>
      </w:r>
    </w:p>
    <w:p w14:paraId="6120B868" w14:textId="77777777" w:rsidR="00CB5971" w:rsidRPr="00CB5971" w:rsidRDefault="00CB5971" w:rsidP="00CB5971">
      <w:pPr>
        <w:rPr>
          <w:rFonts w:ascii="Arial" w:hAnsi="Arial" w:cs="Arial"/>
          <w:b/>
          <w:bCs/>
          <w:lang w:val="en-GB"/>
        </w:rPr>
      </w:pPr>
    </w:p>
    <w:p w14:paraId="3F4F56C2" w14:textId="50F43151" w:rsidR="00CB5971" w:rsidRPr="00CB5971" w:rsidRDefault="00CB5971" w:rsidP="00CB5971">
      <w:pPr>
        <w:rPr>
          <w:rFonts w:ascii="Arial" w:hAnsi="Arial" w:cs="Arial"/>
          <w:b/>
          <w:bCs/>
          <w:lang w:val="en-GB"/>
        </w:rPr>
      </w:pPr>
      <w:r w:rsidRPr="00CB5971">
        <w:rPr>
          <w:rFonts w:ascii="Arial" w:hAnsi="Arial" w:cs="Arial"/>
          <w:b/>
          <w:bCs/>
          <w:lang w:val="en-GB"/>
        </w:rPr>
        <w:t>3.3. Regression Analysis</w:t>
      </w:r>
    </w:p>
    <w:p w14:paraId="61C0164F" w14:textId="77777777" w:rsidR="00CB5971" w:rsidRPr="00CB5971" w:rsidRDefault="00CB5971" w:rsidP="00CB5971">
      <w:pPr>
        <w:jc w:val="both"/>
        <w:rPr>
          <w:rFonts w:ascii="Arial" w:hAnsi="Arial" w:cs="Arial"/>
          <w:lang w:val="en-GB"/>
        </w:rPr>
      </w:pPr>
    </w:p>
    <w:p w14:paraId="2124B9A1" w14:textId="77777777" w:rsidR="00CB5971" w:rsidRPr="00CB5971" w:rsidRDefault="00CB5971" w:rsidP="00CB5971">
      <w:pPr>
        <w:jc w:val="both"/>
        <w:rPr>
          <w:rFonts w:ascii="Arial" w:hAnsi="Arial" w:cs="Arial"/>
          <w:lang w:val="en-GB"/>
        </w:rPr>
      </w:pPr>
      <w:r w:rsidRPr="00CB5971">
        <w:rPr>
          <w:rFonts w:ascii="Arial" w:hAnsi="Arial" w:cs="Arial"/>
          <w:lang w:val="en-GB"/>
        </w:rPr>
        <w:t>The last objective of this study is to determine how the perceived teaching performance of college instructors and attitude in learning significantly influence BSED mathematics students’ engagement in mathematics. The inferential statistic of all variable regression is shown in Table 3.</w:t>
      </w:r>
    </w:p>
    <w:p w14:paraId="18F222AB" w14:textId="77777777" w:rsidR="00CB5971" w:rsidRPr="00156FFA" w:rsidRDefault="00CB5971" w:rsidP="00CB5971">
      <w:pPr>
        <w:jc w:val="both"/>
        <w:rPr>
          <w:rFonts w:ascii="Book Antiqua" w:hAnsi="Book Antiqua"/>
          <w:lang w:val="en-GB"/>
        </w:rPr>
      </w:pPr>
    </w:p>
    <w:p w14:paraId="1C28B10C" w14:textId="77777777" w:rsidR="00CB5971" w:rsidRPr="00CB5971" w:rsidRDefault="00CB5971" w:rsidP="00CB5971">
      <w:pPr>
        <w:pStyle w:val="NoSpacing"/>
        <w:jc w:val="center"/>
        <w:rPr>
          <w:rFonts w:ascii="Arial" w:hAnsi="Arial" w:cs="Arial"/>
          <w:sz w:val="20"/>
          <w:szCs w:val="20"/>
        </w:rPr>
      </w:pPr>
      <w:r w:rsidRPr="00CB5971">
        <w:rPr>
          <w:rFonts w:ascii="Arial" w:hAnsi="Arial" w:cs="Arial"/>
          <w:sz w:val="20"/>
          <w:szCs w:val="20"/>
        </w:rPr>
        <w:t>Table 3. Test of Significant Influence</w:t>
      </w:r>
    </w:p>
    <w:tbl>
      <w:tblPr>
        <w:tblStyle w:val="TableGrid"/>
        <w:tblW w:w="4603"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6"/>
        <w:gridCol w:w="921"/>
        <w:gridCol w:w="1107"/>
        <w:gridCol w:w="781"/>
        <w:gridCol w:w="974"/>
        <w:gridCol w:w="1059"/>
        <w:gridCol w:w="1472"/>
        <w:gridCol w:w="1771"/>
      </w:tblGrid>
      <w:tr w:rsidR="00CB5971" w:rsidRPr="00CB5971" w14:paraId="036990EB" w14:textId="77777777" w:rsidTr="004F31F0">
        <w:trPr>
          <w:trHeight w:val="251"/>
          <w:jc w:val="center"/>
        </w:trPr>
        <w:tc>
          <w:tcPr>
            <w:tcW w:w="1014" w:type="pct"/>
            <w:tcBorders>
              <w:top w:val="single" w:sz="4" w:space="0" w:color="auto"/>
              <w:bottom w:val="single" w:sz="4" w:space="0" w:color="auto"/>
            </w:tcBorders>
            <w:vAlign w:val="center"/>
          </w:tcPr>
          <w:p w14:paraId="601CD24E" w14:textId="77777777" w:rsidR="00CB5971" w:rsidRPr="00CB5971" w:rsidRDefault="00CB5971" w:rsidP="004F31F0">
            <w:pPr>
              <w:pStyle w:val="NoSpacing"/>
              <w:rPr>
                <w:rFonts w:ascii="Arial" w:hAnsi="Arial" w:cs="Arial"/>
                <w:sz w:val="16"/>
                <w:szCs w:val="16"/>
              </w:rPr>
            </w:pPr>
          </w:p>
        </w:tc>
        <w:tc>
          <w:tcPr>
            <w:tcW w:w="3986" w:type="pct"/>
            <w:gridSpan w:val="7"/>
            <w:tcBorders>
              <w:top w:val="single" w:sz="4" w:space="0" w:color="auto"/>
              <w:bottom w:val="single" w:sz="4" w:space="0" w:color="auto"/>
            </w:tcBorders>
            <w:vAlign w:val="center"/>
          </w:tcPr>
          <w:p w14:paraId="4CBCD5F9" w14:textId="77777777" w:rsidR="00CB5971" w:rsidRPr="00CB5971" w:rsidRDefault="00CB5971" w:rsidP="004F31F0">
            <w:pPr>
              <w:pStyle w:val="NoSpacing"/>
              <w:jc w:val="center"/>
              <w:rPr>
                <w:rFonts w:ascii="Arial" w:eastAsia="SimSun" w:hAnsi="Arial" w:cs="Arial"/>
                <w:bCs/>
                <w:color w:val="000000"/>
                <w:sz w:val="16"/>
                <w:szCs w:val="16"/>
                <w:lang w:eastAsia="zh-CN" w:bidi="ar"/>
              </w:rPr>
            </w:pPr>
            <w:r w:rsidRPr="00CB5971">
              <w:rPr>
                <w:rFonts w:ascii="Arial" w:hAnsi="Arial" w:cs="Arial"/>
                <w:sz w:val="16"/>
                <w:szCs w:val="16"/>
              </w:rPr>
              <w:t>Engagement in Mathematics</w:t>
            </w:r>
          </w:p>
        </w:tc>
      </w:tr>
      <w:tr w:rsidR="00CB5971" w:rsidRPr="00CB5971" w14:paraId="032CC357" w14:textId="77777777" w:rsidTr="004F31F0">
        <w:trPr>
          <w:trHeight w:val="440"/>
          <w:jc w:val="center"/>
        </w:trPr>
        <w:tc>
          <w:tcPr>
            <w:tcW w:w="1014" w:type="pct"/>
            <w:tcBorders>
              <w:top w:val="single" w:sz="4" w:space="0" w:color="auto"/>
              <w:bottom w:val="nil"/>
            </w:tcBorders>
            <w:vAlign w:val="center"/>
          </w:tcPr>
          <w:p w14:paraId="03E94A96" w14:textId="77777777" w:rsidR="00CB5971" w:rsidRPr="00CB5971" w:rsidRDefault="00CB5971" w:rsidP="004F31F0">
            <w:pPr>
              <w:pStyle w:val="NoSpacing"/>
              <w:rPr>
                <w:rFonts w:ascii="Arial" w:hAnsi="Arial" w:cs="Arial"/>
                <w:sz w:val="16"/>
                <w:szCs w:val="16"/>
              </w:rPr>
            </w:pPr>
          </w:p>
        </w:tc>
        <w:tc>
          <w:tcPr>
            <w:tcW w:w="1000" w:type="pct"/>
            <w:gridSpan w:val="2"/>
            <w:tcBorders>
              <w:top w:val="single" w:sz="4" w:space="0" w:color="auto"/>
              <w:bottom w:val="nil"/>
            </w:tcBorders>
            <w:vAlign w:val="center"/>
          </w:tcPr>
          <w:p w14:paraId="27DF0D59" w14:textId="77777777" w:rsidR="00CB5971" w:rsidRPr="0096128D" w:rsidRDefault="00CB5971" w:rsidP="004F31F0">
            <w:pPr>
              <w:pStyle w:val="NoSpacing"/>
              <w:jc w:val="center"/>
              <w:rPr>
                <w:rFonts w:ascii="Arial" w:eastAsia="SimSun" w:hAnsi="Arial" w:cs="Arial"/>
                <w:b/>
                <w:bCs/>
                <w:color w:val="000000"/>
                <w:sz w:val="16"/>
                <w:szCs w:val="16"/>
                <w:lang w:eastAsia="zh-CN" w:bidi="ar"/>
              </w:rPr>
            </w:pPr>
            <w:r w:rsidRPr="0096128D">
              <w:rPr>
                <w:rFonts w:ascii="Arial" w:eastAsia="SimSun" w:hAnsi="Arial" w:cs="Arial"/>
                <w:b/>
                <w:bCs/>
                <w:color w:val="000000"/>
                <w:sz w:val="16"/>
                <w:szCs w:val="16"/>
                <w:lang w:eastAsia="zh-CN" w:bidi="ar"/>
              </w:rPr>
              <w:t>Unstandardized</w:t>
            </w:r>
          </w:p>
          <w:p w14:paraId="330FD34B" w14:textId="77777777" w:rsidR="00CB5971" w:rsidRPr="0096128D" w:rsidRDefault="00CB5971" w:rsidP="004F31F0">
            <w:pPr>
              <w:pStyle w:val="NoSpacing"/>
              <w:jc w:val="center"/>
              <w:rPr>
                <w:rFonts w:ascii="Arial" w:eastAsia="SimSun" w:hAnsi="Arial" w:cs="Arial"/>
                <w:b/>
                <w:bCs/>
                <w:color w:val="000000"/>
                <w:sz w:val="16"/>
                <w:szCs w:val="16"/>
                <w:lang w:eastAsia="zh-CN" w:bidi="ar"/>
              </w:rPr>
            </w:pPr>
            <w:r w:rsidRPr="0096128D">
              <w:rPr>
                <w:rFonts w:ascii="Arial" w:eastAsia="SimSun" w:hAnsi="Arial" w:cs="Arial"/>
                <w:b/>
                <w:bCs/>
                <w:color w:val="000000"/>
                <w:sz w:val="16"/>
                <w:szCs w:val="16"/>
                <w:lang w:eastAsia="zh-CN" w:bidi="ar"/>
              </w:rPr>
              <w:t>Coefficients</w:t>
            </w:r>
          </w:p>
        </w:tc>
        <w:tc>
          <w:tcPr>
            <w:tcW w:w="1387" w:type="pct"/>
            <w:gridSpan w:val="3"/>
            <w:tcBorders>
              <w:top w:val="single" w:sz="4" w:space="0" w:color="auto"/>
              <w:bottom w:val="nil"/>
            </w:tcBorders>
            <w:vAlign w:val="center"/>
          </w:tcPr>
          <w:p w14:paraId="0129B46C" w14:textId="77777777" w:rsidR="00CB5971" w:rsidRPr="0096128D" w:rsidRDefault="00CB5971" w:rsidP="004F31F0">
            <w:pPr>
              <w:pStyle w:val="NoSpacing"/>
              <w:jc w:val="center"/>
              <w:rPr>
                <w:rFonts w:ascii="Arial" w:hAnsi="Arial" w:cs="Arial"/>
                <w:b/>
                <w:bCs/>
                <w:sz w:val="16"/>
                <w:szCs w:val="16"/>
              </w:rPr>
            </w:pPr>
            <w:r w:rsidRPr="0096128D">
              <w:rPr>
                <w:rFonts w:ascii="Arial" w:eastAsia="SimSun" w:hAnsi="Arial" w:cs="Arial"/>
                <w:b/>
                <w:bCs/>
                <w:sz w:val="16"/>
                <w:szCs w:val="16"/>
                <w:lang w:eastAsia="zh-CN" w:bidi="ar"/>
              </w:rPr>
              <w:t>Standardized Coefficients</w:t>
            </w:r>
          </w:p>
        </w:tc>
        <w:tc>
          <w:tcPr>
            <w:tcW w:w="726" w:type="pct"/>
            <w:tcBorders>
              <w:top w:val="single" w:sz="4" w:space="0" w:color="auto"/>
              <w:bottom w:val="nil"/>
            </w:tcBorders>
          </w:tcPr>
          <w:p w14:paraId="37FB5459" w14:textId="77777777" w:rsidR="00CB5971" w:rsidRPr="00CB5971" w:rsidRDefault="00CB5971" w:rsidP="004F31F0">
            <w:pPr>
              <w:pStyle w:val="NoSpacing"/>
              <w:rPr>
                <w:rFonts w:ascii="Arial" w:eastAsia="SimSun" w:hAnsi="Arial" w:cs="Arial"/>
                <w:color w:val="000000"/>
                <w:sz w:val="16"/>
                <w:szCs w:val="16"/>
                <w:lang w:eastAsia="zh-CN" w:bidi="ar"/>
              </w:rPr>
            </w:pPr>
          </w:p>
        </w:tc>
        <w:tc>
          <w:tcPr>
            <w:tcW w:w="873" w:type="pct"/>
            <w:tcBorders>
              <w:top w:val="single" w:sz="4" w:space="0" w:color="auto"/>
              <w:bottom w:val="nil"/>
            </w:tcBorders>
          </w:tcPr>
          <w:p w14:paraId="3FDFAE41" w14:textId="77777777" w:rsidR="00CB5971" w:rsidRPr="00CB5971" w:rsidRDefault="00CB5971" w:rsidP="004F31F0">
            <w:pPr>
              <w:pStyle w:val="NoSpacing"/>
              <w:rPr>
                <w:rFonts w:ascii="Arial" w:eastAsia="SimSun" w:hAnsi="Arial" w:cs="Arial"/>
                <w:color w:val="000000"/>
                <w:sz w:val="16"/>
                <w:szCs w:val="16"/>
                <w:lang w:eastAsia="zh-CN" w:bidi="ar"/>
              </w:rPr>
            </w:pPr>
          </w:p>
        </w:tc>
      </w:tr>
      <w:tr w:rsidR="00CB5971" w:rsidRPr="00CB5971" w14:paraId="47A9935F" w14:textId="77777777" w:rsidTr="004F31F0">
        <w:trPr>
          <w:trHeight w:val="576"/>
          <w:jc w:val="center"/>
        </w:trPr>
        <w:tc>
          <w:tcPr>
            <w:tcW w:w="1014" w:type="pct"/>
            <w:tcBorders>
              <w:top w:val="nil"/>
              <w:bottom w:val="nil"/>
            </w:tcBorders>
            <w:vAlign w:val="center"/>
          </w:tcPr>
          <w:p w14:paraId="674E9E45" w14:textId="77777777" w:rsidR="00CB5971" w:rsidRPr="0096128D" w:rsidRDefault="00CB5971" w:rsidP="004F31F0">
            <w:pPr>
              <w:pStyle w:val="NoSpacing"/>
              <w:rPr>
                <w:rFonts w:ascii="Arial" w:eastAsia="Calibri" w:hAnsi="Arial" w:cs="Arial"/>
                <w:b/>
                <w:sz w:val="16"/>
                <w:szCs w:val="16"/>
              </w:rPr>
            </w:pPr>
            <w:r w:rsidRPr="0096128D">
              <w:rPr>
                <w:rFonts w:ascii="Arial" w:eastAsia="Calibri" w:hAnsi="Arial" w:cs="Arial"/>
                <w:b/>
                <w:sz w:val="16"/>
                <w:szCs w:val="16"/>
              </w:rPr>
              <w:t>Independent Variables</w:t>
            </w:r>
          </w:p>
        </w:tc>
        <w:tc>
          <w:tcPr>
            <w:tcW w:w="454" w:type="pct"/>
            <w:tcBorders>
              <w:top w:val="nil"/>
              <w:bottom w:val="nil"/>
            </w:tcBorders>
            <w:vAlign w:val="center"/>
          </w:tcPr>
          <w:p w14:paraId="4E1AA9B7" w14:textId="77777777" w:rsidR="00CB5971" w:rsidRPr="0096128D" w:rsidRDefault="00CB5971" w:rsidP="004F31F0">
            <w:pPr>
              <w:pStyle w:val="NoSpacing"/>
              <w:jc w:val="center"/>
              <w:rPr>
                <w:rFonts w:ascii="Arial" w:hAnsi="Arial" w:cs="Arial"/>
                <w:b/>
                <w:sz w:val="16"/>
                <w:szCs w:val="16"/>
              </w:rPr>
            </w:pPr>
            <w:r w:rsidRPr="0096128D">
              <w:rPr>
                <w:rFonts w:ascii="Arial" w:hAnsi="Arial" w:cs="Arial"/>
                <w:b/>
                <w:sz w:val="16"/>
                <w:szCs w:val="16"/>
              </w:rPr>
              <w:t>B</w:t>
            </w:r>
          </w:p>
        </w:tc>
        <w:tc>
          <w:tcPr>
            <w:tcW w:w="546" w:type="pct"/>
            <w:tcBorders>
              <w:top w:val="nil"/>
              <w:bottom w:val="nil"/>
            </w:tcBorders>
            <w:vAlign w:val="center"/>
          </w:tcPr>
          <w:p w14:paraId="6FEDAA7E" w14:textId="77777777" w:rsidR="00CB5971" w:rsidRPr="0096128D" w:rsidRDefault="00CB5971" w:rsidP="004F31F0">
            <w:pPr>
              <w:pStyle w:val="NoSpacing"/>
              <w:jc w:val="center"/>
              <w:rPr>
                <w:rFonts w:ascii="Arial" w:hAnsi="Arial" w:cs="Arial"/>
                <w:b/>
                <w:sz w:val="16"/>
                <w:szCs w:val="16"/>
              </w:rPr>
            </w:pPr>
            <w:r w:rsidRPr="0096128D">
              <w:rPr>
                <w:rFonts w:ascii="Arial" w:hAnsi="Arial" w:cs="Arial"/>
                <w:b/>
                <w:sz w:val="16"/>
                <w:szCs w:val="16"/>
              </w:rPr>
              <w:t>Std. Error</w:t>
            </w:r>
          </w:p>
        </w:tc>
        <w:tc>
          <w:tcPr>
            <w:tcW w:w="385" w:type="pct"/>
            <w:tcBorders>
              <w:top w:val="nil"/>
              <w:bottom w:val="nil"/>
            </w:tcBorders>
            <w:vAlign w:val="center"/>
          </w:tcPr>
          <w:p w14:paraId="0BB29BE3" w14:textId="77777777" w:rsidR="00CB5971" w:rsidRPr="0096128D" w:rsidRDefault="00CB5971" w:rsidP="004F31F0">
            <w:pPr>
              <w:pStyle w:val="NoSpacing"/>
              <w:jc w:val="center"/>
              <w:rPr>
                <w:rFonts w:ascii="Arial" w:hAnsi="Arial" w:cs="Arial"/>
                <w:b/>
                <w:sz w:val="16"/>
                <w:szCs w:val="16"/>
              </w:rPr>
            </w:pPr>
            <w:r w:rsidRPr="0096128D">
              <w:rPr>
                <w:rFonts w:ascii="Arial" w:hAnsi="Arial" w:cs="Arial"/>
                <w:b/>
                <w:sz w:val="16"/>
                <w:szCs w:val="16"/>
              </w:rPr>
              <w:t>Beta</w:t>
            </w:r>
          </w:p>
        </w:tc>
        <w:tc>
          <w:tcPr>
            <w:tcW w:w="480" w:type="pct"/>
            <w:tcBorders>
              <w:top w:val="nil"/>
              <w:bottom w:val="nil"/>
            </w:tcBorders>
            <w:vAlign w:val="center"/>
          </w:tcPr>
          <w:p w14:paraId="5E130D88" w14:textId="77777777" w:rsidR="00CB5971" w:rsidRPr="0096128D" w:rsidRDefault="00CB5971" w:rsidP="004F31F0">
            <w:pPr>
              <w:pStyle w:val="NoSpacing"/>
              <w:jc w:val="center"/>
              <w:rPr>
                <w:rFonts w:ascii="Arial" w:hAnsi="Arial" w:cs="Arial"/>
                <w:b/>
                <w:sz w:val="16"/>
                <w:szCs w:val="16"/>
              </w:rPr>
            </w:pPr>
            <w:r w:rsidRPr="0096128D">
              <w:rPr>
                <w:rFonts w:ascii="Arial" w:hAnsi="Arial" w:cs="Arial"/>
                <w:b/>
                <w:sz w:val="16"/>
                <w:szCs w:val="16"/>
              </w:rPr>
              <w:t>t</w:t>
            </w:r>
          </w:p>
        </w:tc>
        <w:tc>
          <w:tcPr>
            <w:tcW w:w="522" w:type="pct"/>
            <w:tcBorders>
              <w:top w:val="nil"/>
              <w:bottom w:val="nil"/>
            </w:tcBorders>
            <w:vAlign w:val="center"/>
          </w:tcPr>
          <w:p w14:paraId="1BFB11D8" w14:textId="77777777" w:rsidR="00CB5971" w:rsidRPr="0096128D" w:rsidRDefault="00CB5971" w:rsidP="004F31F0">
            <w:pPr>
              <w:pStyle w:val="NoSpacing"/>
              <w:jc w:val="center"/>
              <w:rPr>
                <w:rFonts w:ascii="Arial" w:hAnsi="Arial" w:cs="Arial"/>
                <w:b/>
                <w:sz w:val="16"/>
                <w:szCs w:val="16"/>
              </w:rPr>
            </w:pPr>
            <w:r w:rsidRPr="0096128D">
              <w:rPr>
                <w:rFonts w:ascii="Arial" w:hAnsi="Arial" w:cs="Arial"/>
                <w:b/>
                <w:sz w:val="16"/>
                <w:szCs w:val="16"/>
              </w:rPr>
              <w:t>Sig.</w:t>
            </w:r>
          </w:p>
        </w:tc>
        <w:tc>
          <w:tcPr>
            <w:tcW w:w="726" w:type="pct"/>
            <w:tcBorders>
              <w:top w:val="nil"/>
              <w:bottom w:val="nil"/>
            </w:tcBorders>
            <w:vAlign w:val="center"/>
          </w:tcPr>
          <w:p w14:paraId="09E8537A" w14:textId="77777777" w:rsidR="00CB5971" w:rsidRPr="0096128D" w:rsidRDefault="00CB5971" w:rsidP="004F31F0">
            <w:pPr>
              <w:pStyle w:val="NoSpacing"/>
              <w:jc w:val="center"/>
              <w:rPr>
                <w:rFonts w:ascii="Arial" w:hAnsi="Arial" w:cs="Arial"/>
                <w:b/>
                <w:sz w:val="16"/>
                <w:szCs w:val="16"/>
              </w:rPr>
            </w:pPr>
          </w:p>
          <w:p w14:paraId="30D73827" w14:textId="77777777" w:rsidR="00CB5971" w:rsidRPr="0096128D" w:rsidRDefault="00CB5971" w:rsidP="004F31F0">
            <w:pPr>
              <w:pStyle w:val="NoSpacing"/>
              <w:jc w:val="center"/>
              <w:rPr>
                <w:rFonts w:ascii="Arial" w:hAnsi="Arial" w:cs="Arial"/>
                <w:b/>
                <w:sz w:val="16"/>
                <w:szCs w:val="16"/>
                <w:vertAlign w:val="subscript"/>
              </w:rPr>
            </w:pPr>
            <w:r w:rsidRPr="0096128D">
              <w:rPr>
                <w:rFonts w:ascii="Arial" w:hAnsi="Arial" w:cs="Arial"/>
                <w:b/>
                <w:sz w:val="16"/>
                <w:szCs w:val="16"/>
              </w:rPr>
              <w:t>Decision on H</w:t>
            </w:r>
            <w:r w:rsidRPr="0096128D">
              <w:rPr>
                <w:rFonts w:ascii="Arial" w:hAnsi="Arial" w:cs="Arial"/>
                <w:b/>
                <w:sz w:val="16"/>
                <w:szCs w:val="16"/>
                <w:vertAlign w:val="subscript"/>
              </w:rPr>
              <w:t>0</w:t>
            </w:r>
          </w:p>
        </w:tc>
        <w:tc>
          <w:tcPr>
            <w:tcW w:w="873" w:type="pct"/>
            <w:tcBorders>
              <w:top w:val="nil"/>
              <w:bottom w:val="nil"/>
            </w:tcBorders>
            <w:vAlign w:val="center"/>
          </w:tcPr>
          <w:p w14:paraId="4B91F8EC" w14:textId="77777777" w:rsidR="00CB5971" w:rsidRPr="0096128D" w:rsidRDefault="00CB5971" w:rsidP="004F31F0">
            <w:pPr>
              <w:pStyle w:val="NoSpacing"/>
              <w:jc w:val="center"/>
              <w:rPr>
                <w:rFonts w:ascii="Arial" w:hAnsi="Arial" w:cs="Arial"/>
                <w:b/>
                <w:sz w:val="16"/>
                <w:szCs w:val="16"/>
              </w:rPr>
            </w:pPr>
          </w:p>
          <w:p w14:paraId="3A075DE3" w14:textId="77777777" w:rsidR="00CB5971" w:rsidRPr="0096128D" w:rsidRDefault="00CB5971" w:rsidP="004F31F0">
            <w:pPr>
              <w:pStyle w:val="NoSpacing"/>
              <w:jc w:val="center"/>
              <w:rPr>
                <w:rFonts w:ascii="Arial" w:hAnsi="Arial" w:cs="Arial"/>
                <w:b/>
                <w:sz w:val="16"/>
                <w:szCs w:val="16"/>
              </w:rPr>
            </w:pPr>
            <w:r w:rsidRPr="0096128D">
              <w:rPr>
                <w:rFonts w:ascii="Arial" w:hAnsi="Arial" w:cs="Arial"/>
                <w:b/>
                <w:sz w:val="16"/>
                <w:szCs w:val="16"/>
              </w:rPr>
              <w:t>Interpretation</w:t>
            </w:r>
          </w:p>
        </w:tc>
      </w:tr>
      <w:tr w:rsidR="00CB5971" w:rsidRPr="00CB5971" w14:paraId="2DC2DF4E" w14:textId="77777777" w:rsidTr="004F31F0">
        <w:trPr>
          <w:trHeight w:val="189"/>
          <w:jc w:val="center"/>
        </w:trPr>
        <w:tc>
          <w:tcPr>
            <w:tcW w:w="1014" w:type="pct"/>
            <w:vAlign w:val="center"/>
          </w:tcPr>
          <w:p w14:paraId="4F878F68" w14:textId="77777777" w:rsidR="00CB5971" w:rsidRPr="00CB5971" w:rsidRDefault="00CB5971" w:rsidP="004F31F0">
            <w:pPr>
              <w:pStyle w:val="NoSpacing"/>
              <w:rPr>
                <w:rFonts w:ascii="Arial" w:hAnsi="Arial" w:cs="Arial"/>
                <w:sz w:val="16"/>
                <w:szCs w:val="16"/>
              </w:rPr>
            </w:pPr>
            <w:r w:rsidRPr="00CB5971">
              <w:rPr>
                <w:rFonts w:ascii="Arial" w:eastAsia="Calibri" w:hAnsi="Arial" w:cs="Arial"/>
                <w:sz w:val="16"/>
                <w:szCs w:val="16"/>
                <w:lang w:eastAsia="zh-CN" w:bidi="ar"/>
              </w:rPr>
              <w:t>(Constant)</w:t>
            </w:r>
          </w:p>
        </w:tc>
        <w:tc>
          <w:tcPr>
            <w:tcW w:w="454" w:type="pct"/>
          </w:tcPr>
          <w:p w14:paraId="1E957834" w14:textId="77777777" w:rsidR="00CB5971" w:rsidRPr="00CB5971" w:rsidRDefault="00CB5971" w:rsidP="004F31F0">
            <w:pPr>
              <w:pStyle w:val="NoSpacing"/>
              <w:jc w:val="center"/>
              <w:rPr>
                <w:rFonts w:ascii="Arial" w:hAnsi="Arial" w:cs="Arial"/>
                <w:sz w:val="16"/>
                <w:szCs w:val="16"/>
              </w:rPr>
            </w:pPr>
            <w:r w:rsidRPr="00CB5971">
              <w:rPr>
                <w:rFonts w:ascii="Arial" w:hAnsi="Arial" w:cs="Arial"/>
                <w:sz w:val="16"/>
                <w:szCs w:val="16"/>
              </w:rPr>
              <w:t>.060</w:t>
            </w:r>
          </w:p>
        </w:tc>
        <w:tc>
          <w:tcPr>
            <w:tcW w:w="546" w:type="pct"/>
          </w:tcPr>
          <w:p w14:paraId="67311A30" w14:textId="77777777" w:rsidR="00CB5971" w:rsidRPr="00CB5971" w:rsidRDefault="00CB5971" w:rsidP="004F31F0">
            <w:pPr>
              <w:pStyle w:val="NoSpacing"/>
              <w:jc w:val="center"/>
              <w:rPr>
                <w:rFonts w:ascii="Arial" w:hAnsi="Arial" w:cs="Arial"/>
                <w:sz w:val="16"/>
                <w:szCs w:val="16"/>
              </w:rPr>
            </w:pPr>
            <w:r w:rsidRPr="00CB5971">
              <w:rPr>
                <w:rFonts w:ascii="Arial" w:hAnsi="Arial" w:cs="Arial"/>
                <w:sz w:val="16"/>
                <w:szCs w:val="16"/>
              </w:rPr>
              <w:t>.377</w:t>
            </w:r>
          </w:p>
        </w:tc>
        <w:tc>
          <w:tcPr>
            <w:tcW w:w="385" w:type="pct"/>
          </w:tcPr>
          <w:p w14:paraId="61C67F39" w14:textId="77777777" w:rsidR="00CB5971" w:rsidRPr="00CB5971" w:rsidRDefault="00CB5971" w:rsidP="004F31F0">
            <w:pPr>
              <w:pStyle w:val="NoSpacing"/>
              <w:jc w:val="center"/>
              <w:rPr>
                <w:rFonts w:ascii="Arial" w:hAnsi="Arial" w:cs="Arial"/>
                <w:sz w:val="16"/>
                <w:szCs w:val="16"/>
              </w:rPr>
            </w:pPr>
          </w:p>
        </w:tc>
        <w:tc>
          <w:tcPr>
            <w:tcW w:w="480" w:type="pct"/>
          </w:tcPr>
          <w:p w14:paraId="170B9B1B" w14:textId="77777777" w:rsidR="00CB5971" w:rsidRPr="00CB5971" w:rsidRDefault="00CB5971" w:rsidP="004F31F0">
            <w:pPr>
              <w:pStyle w:val="NoSpacing"/>
              <w:jc w:val="center"/>
              <w:rPr>
                <w:rFonts w:ascii="Arial" w:hAnsi="Arial" w:cs="Arial"/>
                <w:sz w:val="16"/>
                <w:szCs w:val="16"/>
              </w:rPr>
            </w:pPr>
            <w:r w:rsidRPr="00CB5971">
              <w:rPr>
                <w:rFonts w:ascii="Arial" w:hAnsi="Arial" w:cs="Arial"/>
                <w:sz w:val="16"/>
                <w:szCs w:val="16"/>
              </w:rPr>
              <w:t>.160</w:t>
            </w:r>
          </w:p>
        </w:tc>
        <w:tc>
          <w:tcPr>
            <w:tcW w:w="522" w:type="pct"/>
          </w:tcPr>
          <w:p w14:paraId="334A15C7" w14:textId="77777777" w:rsidR="00CB5971" w:rsidRPr="00CB5971" w:rsidRDefault="00CB5971" w:rsidP="004F31F0">
            <w:pPr>
              <w:pStyle w:val="NoSpacing"/>
              <w:jc w:val="center"/>
              <w:rPr>
                <w:rFonts w:ascii="Arial" w:hAnsi="Arial" w:cs="Arial"/>
                <w:sz w:val="16"/>
                <w:szCs w:val="16"/>
              </w:rPr>
            </w:pPr>
            <w:r w:rsidRPr="00CB5971">
              <w:rPr>
                <w:rFonts w:ascii="Arial" w:hAnsi="Arial" w:cs="Arial"/>
                <w:sz w:val="16"/>
                <w:szCs w:val="16"/>
              </w:rPr>
              <w:t>.873</w:t>
            </w:r>
          </w:p>
        </w:tc>
        <w:tc>
          <w:tcPr>
            <w:tcW w:w="726" w:type="pct"/>
            <w:vAlign w:val="center"/>
          </w:tcPr>
          <w:p w14:paraId="3C324B42" w14:textId="77777777" w:rsidR="00CB5971" w:rsidRPr="00CB5971" w:rsidRDefault="00CB5971" w:rsidP="004F31F0">
            <w:pPr>
              <w:pStyle w:val="NoSpacing"/>
              <w:jc w:val="center"/>
              <w:rPr>
                <w:rFonts w:ascii="Arial" w:hAnsi="Arial" w:cs="Arial"/>
                <w:sz w:val="16"/>
                <w:szCs w:val="16"/>
              </w:rPr>
            </w:pPr>
          </w:p>
        </w:tc>
        <w:tc>
          <w:tcPr>
            <w:tcW w:w="873" w:type="pct"/>
            <w:vAlign w:val="center"/>
          </w:tcPr>
          <w:p w14:paraId="707E0641" w14:textId="77777777" w:rsidR="00CB5971" w:rsidRPr="00CB5971" w:rsidRDefault="00CB5971" w:rsidP="004F31F0">
            <w:pPr>
              <w:pStyle w:val="NoSpacing"/>
              <w:jc w:val="center"/>
              <w:rPr>
                <w:rFonts w:ascii="Arial" w:hAnsi="Arial" w:cs="Arial"/>
                <w:sz w:val="16"/>
                <w:szCs w:val="16"/>
              </w:rPr>
            </w:pPr>
          </w:p>
        </w:tc>
      </w:tr>
      <w:tr w:rsidR="00CB5971" w:rsidRPr="00CB5971" w14:paraId="4235021D" w14:textId="77777777" w:rsidTr="004F31F0">
        <w:trPr>
          <w:trHeight w:val="873"/>
          <w:jc w:val="center"/>
        </w:trPr>
        <w:tc>
          <w:tcPr>
            <w:tcW w:w="1014" w:type="pct"/>
            <w:vAlign w:val="center"/>
          </w:tcPr>
          <w:p w14:paraId="27FD7832" w14:textId="77777777" w:rsidR="00CB5971" w:rsidRPr="00CB5971" w:rsidRDefault="00CB5971" w:rsidP="004F31F0">
            <w:pPr>
              <w:pStyle w:val="NoSpacing"/>
              <w:rPr>
                <w:rFonts w:ascii="Arial" w:eastAsia="Calibri" w:hAnsi="Arial" w:cs="Arial"/>
                <w:sz w:val="16"/>
                <w:szCs w:val="16"/>
                <w:lang w:eastAsia="zh-CN" w:bidi="ar"/>
              </w:rPr>
            </w:pPr>
            <w:r w:rsidRPr="00CB5971">
              <w:rPr>
                <w:rFonts w:ascii="Arial" w:hAnsi="Arial" w:cs="Arial"/>
                <w:sz w:val="16"/>
                <w:szCs w:val="16"/>
              </w:rPr>
              <w:t xml:space="preserve">Perceived Teaching Performance of College Instructors </w:t>
            </w:r>
          </w:p>
        </w:tc>
        <w:tc>
          <w:tcPr>
            <w:tcW w:w="454" w:type="pct"/>
            <w:vAlign w:val="center"/>
          </w:tcPr>
          <w:p w14:paraId="41F8ED3B" w14:textId="77777777" w:rsidR="00CB5971" w:rsidRPr="00CB5971" w:rsidRDefault="00CB5971" w:rsidP="004F31F0">
            <w:pPr>
              <w:pStyle w:val="NoSpacing"/>
              <w:jc w:val="center"/>
              <w:rPr>
                <w:rFonts w:ascii="Arial" w:eastAsia="Calibri" w:hAnsi="Arial" w:cs="Arial"/>
                <w:sz w:val="16"/>
                <w:szCs w:val="16"/>
                <w:lang w:eastAsia="zh-CN" w:bidi="ar"/>
              </w:rPr>
            </w:pPr>
            <w:r w:rsidRPr="00CB5971">
              <w:rPr>
                <w:rFonts w:ascii="Arial" w:eastAsia="Calibri" w:hAnsi="Arial" w:cs="Arial"/>
                <w:sz w:val="16"/>
                <w:szCs w:val="16"/>
                <w:lang w:eastAsia="zh-CN" w:bidi="ar"/>
              </w:rPr>
              <w:t>.669</w:t>
            </w:r>
          </w:p>
        </w:tc>
        <w:tc>
          <w:tcPr>
            <w:tcW w:w="546" w:type="pct"/>
            <w:vAlign w:val="center"/>
          </w:tcPr>
          <w:p w14:paraId="05B1CCD3" w14:textId="77777777" w:rsidR="00CB5971" w:rsidRPr="00CB5971" w:rsidRDefault="00CB5971" w:rsidP="004F31F0">
            <w:pPr>
              <w:pStyle w:val="NoSpacing"/>
              <w:jc w:val="center"/>
              <w:rPr>
                <w:rFonts w:ascii="Arial" w:eastAsia="Calibri" w:hAnsi="Arial" w:cs="Arial"/>
                <w:sz w:val="16"/>
                <w:szCs w:val="16"/>
                <w:lang w:eastAsia="zh-CN" w:bidi="ar"/>
              </w:rPr>
            </w:pPr>
            <w:r w:rsidRPr="00CB5971">
              <w:rPr>
                <w:rFonts w:ascii="Arial" w:eastAsia="Calibri" w:hAnsi="Arial" w:cs="Arial"/>
                <w:sz w:val="16"/>
                <w:szCs w:val="16"/>
                <w:lang w:eastAsia="zh-CN" w:bidi="ar"/>
              </w:rPr>
              <w:t>.075</w:t>
            </w:r>
          </w:p>
        </w:tc>
        <w:tc>
          <w:tcPr>
            <w:tcW w:w="385" w:type="pct"/>
            <w:vAlign w:val="center"/>
          </w:tcPr>
          <w:p w14:paraId="110B6CB5" w14:textId="77777777" w:rsidR="00CB5971" w:rsidRPr="00CB5971" w:rsidRDefault="00CB5971" w:rsidP="004F31F0">
            <w:pPr>
              <w:pStyle w:val="NoSpacing"/>
              <w:jc w:val="center"/>
              <w:rPr>
                <w:rFonts w:ascii="Arial" w:eastAsia="Calibri" w:hAnsi="Arial" w:cs="Arial"/>
                <w:sz w:val="16"/>
                <w:szCs w:val="16"/>
                <w:lang w:eastAsia="zh-CN" w:bidi="ar"/>
              </w:rPr>
            </w:pPr>
            <w:r w:rsidRPr="00CB5971">
              <w:rPr>
                <w:rFonts w:ascii="Arial" w:eastAsia="Calibri" w:hAnsi="Arial" w:cs="Arial"/>
                <w:sz w:val="16"/>
                <w:szCs w:val="16"/>
                <w:lang w:eastAsia="zh-CN" w:bidi="ar"/>
              </w:rPr>
              <w:t>.672</w:t>
            </w:r>
          </w:p>
        </w:tc>
        <w:tc>
          <w:tcPr>
            <w:tcW w:w="480" w:type="pct"/>
            <w:vAlign w:val="center"/>
          </w:tcPr>
          <w:p w14:paraId="7E561C1D" w14:textId="77777777" w:rsidR="00CB5971" w:rsidRPr="00CB5971" w:rsidRDefault="00CB5971" w:rsidP="004F31F0">
            <w:pPr>
              <w:pStyle w:val="NoSpacing"/>
              <w:jc w:val="center"/>
              <w:rPr>
                <w:rFonts w:ascii="Arial" w:eastAsia="Calibri" w:hAnsi="Arial" w:cs="Arial"/>
                <w:sz w:val="16"/>
                <w:szCs w:val="16"/>
                <w:lang w:eastAsia="zh-CN" w:bidi="ar"/>
              </w:rPr>
            </w:pPr>
            <w:r w:rsidRPr="00CB5971">
              <w:rPr>
                <w:rFonts w:ascii="Arial" w:eastAsia="Calibri" w:hAnsi="Arial" w:cs="Arial"/>
                <w:sz w:val="16"/>
                <w:szCs w:val="16"/>
                <w:lang w:eastAsia="zh-CN" w:bidi="ar"/>
              </w:rPr>
              <w:t>8.921</w:t>
            </w:r>
          </w:p>
        </w:tc>
        <w:tc>
          <w:tcPr>
            <w:tcW w:w="522" w:type="pct"/>
            <w:vAlign w:val="center"/>
          </w:tcPr>
          <w:p w14:paraId="488185DC" w14:textId="77777777" w:rsidR="00CB5971" w:rsidRPr="00CB5971" w:rsidRDefault="00CB5971" w:rsidP="004F31F0">
            <w:pPr>
              <w:pStyle w:val="NoSpacing"/>
              <w:jc w:val="center"/>
              <w:rPr>
                <w:rFonts w:ascii="Arial" w:eastAsia="Calibri" w:hAnsi="Arial" w:cs="Arial"/>
                <w:sz w:val="16"/>
                <w:szCs w:val="16"/>
                <w:lang w:eastAsia="zh-CN" w:bidi="ar"/>
              </w:rPr>
            </w:pPr>
            <w:r w:rsidRPr="00CB5971">
              <w:rPr>
                <w:rFonts w:ascii="Arial" w:eastAsia="Calibri" w:hAnsi="Arial" w:cs="Arial"/>
                <w:sz w:val="16"/>
                <w:szCs w:val="16"/>
                <w:lang w:eastAsia="zh-CN" w:bidi="ar"/>
              </w:rPr>
              <w:t>.000</w:t>
            </w:r>
          </w:p>
        </w:tc>
        <w:tc>
          <w:tcPr>
            <w:tcW w:w="726" w:type="pct"/>
            <w:vAlign w:val="center"/>
          </w:tcPr>
          <w:p w14:paraId="2BF9368B" w14:textId="77777777" w:rsidR="00CB5971" w:rsidRPr="00CB5971" w:rsidRDefault="00CB5971" w:rsidP="004F31F0">
            <w:pPr>
              <w:pStyle w:val="NoSpacing"/>
              <w:jc w:val="center"/>
              <w:rPr>
                <w:rFonts w:ascii="Arial" w:hAnsi="Arial" w:cs="Arial"/>
                <w:sz w:val="16"/>
                <w:szCs w:val="16"/>
              </w:rPr>
            </w:pPr>
            <w:r w:rsidRPr="00CB5971">
              <w:rPr>
                <w:rFonts w:ascii="Arial" w:hAnsi="Arial" w:cs="Arial"/>
                <w:sz w:val="16"/>
                <w:szCs w:val="16"/>
              </w:rPr>
              <w:t>Reject</w:t>
            </w:r>
          </w:p>
        </w:tc>
        <w:tc>
          <w:tcPr>
            <w:tcW w:w="873" w:type="pct"/>
            <w:vAlign w:val="center"/>
          </w:tcPr>
          <w:p w14:paraId="12AE425F" w14:textId="77777777" w:rsidR="00CB5971" w:rsidRPr="00CB5971" w:rsidRDefault="00CB5971" w:rsidP="004F31F0">
            <w:pPr>
              <w:pStyle w:val="NoSpacing"/>
              <w:jc w:val="center"/>
              <w:rPr>
                <w:rFonts w:ascii="Arial" w:hAnsi="Arial" w:cs="Arial"/>
                <w:sz w:val="16"/>
                <w:szCs w:val="16"/>
              </w:rPr>
            </w:pPr>
            <w:r w:rsidRPr="00CB5971">
              <w:rPr>
                <w:rFonts w:ascii="Arial" w:hAnsi="Arial" w:cs="Arial"/>
                <w:sz w:val="16"/>
                <w:szCs w:val="16"/>
              </w:rPr>
              <w:t>Significant</w:t>
            </w:r>
          </w:p>
        </w:tc>
      </w:tr>
      <w:tr w:rsidR="00CB5971" w:rsidRPr="00CB5971" w14:paraId="67F8FE4B" w14:textId="77777777" w:rsidTr="004F31F0">
        <w:trPr>
          <w:trHeight w:val="432"/>
          <w:jc w:val="center"/>
        </w:trPr>
        <w:tc>
          <w:tcPr>
            <w:tcW w:w="1014" w:type="pct"/>
            <w:vAlign w:val="center"/>
          </w:tcPr>
          <w:p w14:paraId="069EF6F1" w14:textId="77777777" w:rsidR="00CB5971" w:rsidRPr="00CB5971" w:rsidRDefault="00CB5971" w:rsidP="004F31F0">
            <w:pPr>
              <w:pStyle w:val="NoSpacing"/>
              <w:rPr>
                <w:rFonts w:ascii="Arial" w:eastAsia="Calibri" w:hAnsi="Arial" w:cs="Arial"/>
                <w:sz w:val="16"/>
                <w:szCs w:val="16"/>
                <w:lang w:eastAsia="zh-CN" w:bidi="ar"/>
              </w:rPr>
            </w:pPr>
            <w:r w:rsidRPr="00CB5971">
              <w:rPr>
                <w:rFonts w:ascii="Arial" w:hAnsi="Arial" w:cs="Arial"/>
                <w:sz w:val="16"/>
                <w:szCs w:val="16"/>
              </w:rPr>
              <w:t>Attitude in Learning Mathematics</w:t>
            </w:r>
          </w:p>
        </w:tc>
        <w:tc>
          <w:tcPr>
            <w:tcW w:w="454" w:type="pct"/>
            <w:vAlign w:val="center"/>
          </w:tcPr>
          <w:p w14:paraId="1B743E50" w14:textId="77777777" w:rsidR="00CB5971" w:rsidRPr="00CB5971" w:rsidRDefault="00CB5971" w:rsidP="004F31F0">
            <w:pPr>
              <w:pStyle w:val="NoSpacing"/>
              <w:jc w:val="center"/>
              <w:rPr>
                <w:rFonts w:ascii="Arial" w:eastAsia="Calibri" w:hAnsi="Arial" w:cs="Arial"/>
                <w:sz w:val="16"/>
                <w:szCs w:val="16"/>
                <w:lang w:eastAsia="zh-CN" w:bidi="ar"/>
              </w:rPr>
            </w:pPr>
            <w:r w:rsidRPr="00CB5971">
              <w:rPr>
                <w:rFonts w:ascii="Arial" w:eastAsia="Calibri" w:hAnsi="Arial" w:cs="Arial"/>
                <w:sz w:val="16"/>
                <w:szCs w:val="16"/>
                <w:lang w:eastAsia="zh-CN" w:bidi="ar"/>
              </w:rPr>
              <w:t>.312</w:t>
            </w:r>
          </w:p>
        </w:tc>
        <w:tc>
          <w:tcPr>
            <w:tcW w:w="546" w:type="pct"/>
            <w:vAlign w:val="center"/>
          </w:tcPr>
          <w:p w14:paraId="558756D5" w14:textId="77777777" w:rsidR="00CB5971" w:rsidRPr="00CB5971" w:rsidRDefault="00CB5971" w:rsidP="004F31F0">
            <w:pPr>
              <w:pStyle w:val="NoSpacing"/>
              <w:jc w:val="center"/>
              <w:rPr>
                <w:rFonts w:ascii="Arial" w:eastAsia="Calibri" w:hAnsi="Arial" w:cs="Arial"/>
                <w:sz w:val="16"/>
                <w:szCs w:val="16"/>
                <w:lang w:eastAsia="zh-CN" w:bidi="ar"/>
              </w:rPr>
            </w:pPr>
            <w:r w:rsidRPr="00CB5971">
              <w:rPr>
                <w:rFonts w:ascii="Arial" w:eastAsia="Calibri" w:hAnsi="Arial" w:cs="Arial"/>
                <w:sz w:val="16"/>
                <w:szCs w:val="16"/>
                <w:lang w:eastAsia="zh-CN" w:bidi="ar"/>
              </w:rPr>
              <w:t>.114</w:t>
            </w:r>
          </w:p>
        </w:tc>
        <w:tc>
          <w:tcPr>
            <w:tcW w:w="385" w:type="pct"/>
            <w:vAlign w:val="center"/>
          </w:tcPr>
          <w:p w14:paraId="441B0611" w14:textId="77777777" w:rsidR="00CB5971" w:rsidRPr="00CB5971" w:rsidRDefault="00CB5971" w:rsidP="004F31F0">
            <w:pPr>
              <w:pStyle w:val="NoSpacing"/>
              <w:jc w:val="center"/>
              <w:rPr>
                <w:rFonts w:ascii="Arial" w:eastAsia="Calibri" w:hAnsi="Arial" w:cs="Arial"/>
                <w:sz w:val="16"/>
                <w:szCs w:val="16"/>
                <w:lang w:eastAsia="zh-CN" w:bidi="ar"/>
              </w:rPr>
            </w:pPr>
            <w:r w:rsidRPr="00CB5971">
              <w:rPr>
                <w:rFonts w:ascii="Arial" w:eastAsia="Calibri" w:hAnsi="Arial" w:cs="Arial"/>
                <w:sz w:val="16"/>
                <w:szCs w:val="16"/>
                <w:lang w:eastAsia="zh-CN" w:bidi="ar"/>
              </w:rPr>
              <w:t>.207</w:t>
            </w:r>
          </w:p>
        </w:tc>
        <w:tc>
          <w:tcPr>
            <w:tcW w:w="480" w:type="pct"/>
            <w:vAlign w:val="center"/>
          </w:tcPr>
          <w:p w14:paraId="5BC4881A" w14:textId="77777777" w:rsidR="00CB5971" w:rsidRPr="00CB5971" w:rsidRDefault="00CB5971" w:rsidP="004F31F0">
            <w:pPr>
              <w:pStyle w:val="NoSpacing"/>
              <w:jc w:val="center"/>
              <w:rPr>
                <w:rFonts w:ascii="Arial" w:eastAsia="Calibri" w:hAnsi="Arial" w:cs="Arial"/>
                <w:sz w:val="16"/>
                <w:szCs w:val="16"/>
                <w:lang w:eastAsia="zh-CN" w:bidi="ar"/>
              </w:rPr>
            </w:pPr>
            <w:r w:rsidRPr="00CB5971">
              <w:rPr>
                <w:rFonts w:ascii="Arial" w:eastAsia="Calibri" w:hAnsi="Arial" w:cs="Arial"/>
                <w:sz w:val="16"/>
                <w:szCs w:val="16"/>
                <w:lang w:eastAsia="zh-CN" w:bidi="ar"/>
              </w:rPr>
              <w:t>2.742</w:t>
            </w:r>
          </w:p>
        </w:tc>
        <w:tc>
          <w:tcPr>
            <w:tcW w:w="522" w:type="pct"/>
            <w:vAlign w:val="center"/>
          </w:tcPr>
          <w:p w14:paraId="1DA623B1" w14:textId="77777777" w:rsidR="00CB5971" w:rsidRPr="00CB5971" w:rsidRDefault="00CB5971" w:rsidP="004F31F0">
            <w:pPr>
              <w:pStyle w:val="NoSpacing"/>
              <w:jc w:val="center"/>
              <w:rPr>
                <w:rFonts w:ascii="Arial" w:eastAsia="Calibri" w:hAnsi="Arial" w:cs="Arial"/>
                <w:sz w:val="16"/>
                <w:szCs w:val="16"/>
                <w:lang w:eastAsia="zh-CN" w:bidi="ar"/>
              </w:rPr>
            </w:pPr>
            <w:r w:rsidRPr="00CB5971">
              <w:rPr>
                <w:rFonts w:ascii="Arial" w:eastAsia="Calibri" w:hAnsi="Arial" w:cs="Arial"/>
                <w:sz w:val="16"/>
                <w:szCs w:val="16"/>
                <w:lang w:eastAsia="zh-CN" w:bidi="ar"/>
              </w:rPr>
              <w:t>.007</w:t>
            </w:r>
          </w:p>
        </w:tc>
        <w:tc>
          <w:tcPr>
            <w:tcW w:w="726" w:type="pct"/>
            <w:vAlign w:val="center"/>
          </w:tcPr>
          <w:p w14:paraId="09B3F367" w14:textId="77777777" w:rsidR="00CB5971" w:rsidRPr="00CB5971" w:rsidRDefault="00CB5971" w:rsidP="004F31F0">
            <w:pPr>
              <w:pStyle w:val="NoSpacing"/>
              <w:jc w:val="center"/>
              <w:rPr>
                <w:rFonts w:ascii="Arial" w:hAnsi="Arial" w:cs="Arial"/>
                <w:sz w:val="16"/>
                <w:szCs w:val="16"/>
              </w:rPr>
            </w:pPr>
            <w:r w:rsidRPr="00CB5971">
              <w:rPr>
                <w:rFonts w:ascii="Arial" w:hAnsi="Arial" w:cs="Arial"/>
                <w:sz w:val="16"/>
                <w:szCs w:val="16"/>
              </w:rPr>
              <w:t>Reject</w:t>
            </w:r>
          </w:p>
        </w:tc>
        <w:tc>
          <w:tcPr>
            <w:tcW w:w="873" w:type="pct"/>
            <w:vAlign w:val="center"/>
          </w:tcPr>
          <w:p w14:paraId="578D6F70" w14:textId="77777777" w:rsidR="00CB5971" w:rsidRPr="00CB5971" w:rsidRDefault="00CB5971" w:rsidP="004F31F0">
            <w:pPr>
              <w:pStyle w:val="NoSpacing"/>
              <w:jc w:val="center"/>
              <w:rPr>
                <w:rFonts w:ascii="Arial" w:hAnsi="Arial" w:cs="Arial"/>
                <w:sz w:val="16"/>
                <w:szCs w:val="16"/>
              </w:rPr>
            </w:pPr>
            <w:r w:rsidRPr="00CB5971">
              <w:rPr>
                <w:rFonts w:ascii="Arial" w:hAnsi="Arial" w:cs="Arial"/>
                <w:sz w:val="16"/>
                <w:szCs w:val="16"/>
              </w:rPr>
              <w:t>Significant</w:t>
            </w:r>
          </w:p>
        </w:tc>
      </w:tr>
    </w:tbl>
    <w:p w14:paraId="56405E95" w14:textId="77777777" w:rsidR="00CB5971" w:rsidRPr="00CB5971" w:rsidRDefault="00CB5971" w:rsidP="00CB5971">
      <w:pPr>
        <w:pStyle w:val="NoSpacing"/>
        <w:spacing w:line="480" w:lineRule="auto"/>
        <w:ind w:firstLine="720"/>
        <w:rPr>
          <w:rFonts w:ascii="Arial" w:hAnsi="Arial" w:cs="Arial"/>
          <w:sz w:val="24"/>
          <w:szCs w:val="24"/>
        </w:rPr>
      </w:pPr>
      <w:r w:rsidRPr="00CB5971">
        <w:rPr>
          <w:rFonts w:ascii="Arial" w:eastAsiaTheme="minorEastAsia" w:hAnsi="Arial" w:cs="Arial"/>
          <w:sz w:val="16"/>
          <w:szCs w:val="16"/>
        </w:rPr>
        <w:t xml:space="preserve">R=.927;  </w:t>
      </w:r>
      <m:oMath>
        <m:sSup>
          <m:sSupPr>
            <m:ctrlPr>
              <w:rPr>
                <w:rFonts w:ascii="Cambria Math" w:eastAsiaTheme="minorEastAsia" w:hAnsi="Cambria Math" w:cs="Arial"/>
                <w:i/>
                <w:sz w:val="16"/>
                <w:szCs w:val="16"/>
              </w:rPr>
            </m:ctrlPr>
          </m:sSupPr>
          <m:e>
            <m:r>
              <w:rPr>
                <w:rFonts w:ascii="Cambria Math" w:eastAsiaTheme="minorEastAsia" w:hAnsi="Cambria Math" w:cs="Arial"/>
                <w:sz w:val="16"/>
                <w:szCs w:val="16"/>
              </w:rPr>
              <m:t>R</m:t>
            </m:r>
          </m:e>
          <m:sup>
            <m:r>
              <w:rPr>
                <w:rFonts w:ascii="Cambria Math" w:eastAsiaTheme="minorEastAsia" w:hAnsi="Cambria Math" w:cs="Arial"/>
                <w:sz w:val="16"/>
                <w:szCs w:val="16"/>
              </w:rPr>
              <m:t>2</m:t>
            </m:r>
          </m:sup>
        </m:sSup>
      </m:oMath>
      <w:r w:rsidRPr="00CB5971">
        <w:rPr>
          <w:rFonts w:ascii="Arial" w:eastAsiaTheme="minorEastAsia" w:hAnsi="Arial" w:cs="Arial"/>
          <w:sz w:val="16"/>
          <w:szCs w:val="16"/>
        </w:rPr>
        <w:t>=.859; F-value = 295.382; p-value =.000</w:t>
      </w:r>
    </w:p>
    <w:p w14:paraId="21CF8C9B" w14:textId="4980B6E1" w:rsidR="00207AD8" w:rsidRDefault="00207AD8" w:rsidP="00207AD8">
      <w:pPr>
        <w:pStyle w:val="Body"/>
        <w:spacing w:after="0"/>
        <w:rPr>
          <w:rFonts w:ascii="Arial" w:hAnsi="Arial" w:cs="Arial"/>
          <w:lang w:val="en-PH"/>
        </w:rPr>
      </w:pPr>
      <w:r w:rsidRPr="00207AD8">
        <w:rPr>
          <w:rFonts w:ascii="Arial" w:hAnsi="Arial" w:cs="Arial"/>
          <w:lang w:val="en-PH"/>
        </w:rPr>
        <w:t>The last objective of this research was to examine how the perceived teaching performance of college instructors and critical thinking skills influence the engagement of BSED mathematics students in mathematics. As shown in Table 3, the regression analysis indicates that both variables significantly impact student engagement in mathematics, with p = .000. The model demonstrated a strong predictive relationship, with an R-value of .927 and an F-value of 295.382 (p = .000), indicating that the predictors significantly explain the variance in student engagement. The R² value of .859 suggests that 85.9% of the variability in student engagement can be predicted by the perceived teaching performance of instructors and students' critical thinking skills.</w:t>
      </w:r>
      <w:r>
        <w:rPr>
          <w:rFonts w:ascii="Arial" w:hAnsi="Arial" w:cs="Arial"/>
          <w:lang w:val="en-PH"/>
        </w:rPr>
        <w:t xml:space="preserve"> </w:t>
      </w:r>
      <w:r w:rsidRPr="00207AD8">
        <w:rPr>
          <w:rFonts w:ascii="Arial" w:hAnsi="Arial" w:cs="Arial"/>
          <w:lang w:val="en-PH"/>
        </w:rPr>
        <w:t>The regression coefficients for the predictors were β = .394 for perceived teaching performance and β = .589 for critical thinking skills. This suggests that both factors contribute significantly to predicting student engagement in mathematics. Thus, enhancing instructional methods and fostering critical thinking skills can substantially improve student engagement, emphasizing the need for educational institutions to prioritize both teaching quality and cognitive skill development. Consequently, the second null hypothesis (Ho</w:t>
      </w:r>
      <w:r w:rsidRPr="00207AD8">
        <w:rPr>
          <w:rFonts w:ascii="Cambria Math" w:hAnsi="Cambria Math" w:cs="Cambria Math"/>
          <w:lang w:val="en-PH"/>
        </w:rPr>
        <w:t>₂</w:t>
      </w:r>
      <w:r w:rsidRPr="00207AD8">
        <w:rPr>
          <w:rFonts w:ascii="Arial" w:hAnsi="Arial" w:cs="Arial"/>
          <w:lang w:val="en-PH"/>
        </w:rPr>
        <w:t>) is rejected.</w:t>
      </w:r>
    </w:p>
    <w:p w14:paraId="62075C2C" w14:textId="77777777" w:rsidR="00207AD8" w:rsidRPr="00207AD8" w:rsidRDefault="00207AD8" w:rsidP="00207AD8">
      <w:pPr>
        <w:pStyle w:val="Body"/>
        <w:spacing w:after="0"/>
        <w:rPr>
          <w:rFonts w:ascii="Arial" w:hAnsi="Arial" w:cs="Arial"/>
          <w:lang w:val="en-PH"/>
        </w:rPr>
      </w:pPr>
    </w:p>
    <w:p w14:paraId="3251CB22" w14:textId="77777777" w:rsidR="00207AD8" w:rsidRPr="00207AD8" w:rsidRDefault="00207AD8" w:rsidP="00207AD8">
      <w:pPr>
        <w:pStyle w:val="Body"/>
        <w:spacing w:after="0"/>
        <w:rPr>
          <w:rFonts w:ascii="Arial" w:hAnsi="Arial" w:cs="Arial"/>
          <w:lang w:val="en-PH"/>
        </w:rPr>
      </w:pPr>
      <w:r w:rsidRPr="00207AD8">
        <w:rPr>
          <w:rFonts w:ascii="Arial" w:hAnsi="Arial" w:cs="Arial"/>
          <w:lang w:val="en-PH"/>
        </w:rPr>
        <w:t xml:space="preserve">These results align with recent studies that underscore the impact of teaching effectiveness and cognitive skills on student engagement. Stronge (2018) found that instructors who employ strong pedagogical practices and student-centered strategies enhance student motivation and participation. Darling-Hammond et al. (2017) similarly argue that teaching approaches that incorporate critical thinking exercises foster deeper engagement and conceptual understanding in </w:t>
      </w:r>
      <w:r w:rsidRPr="00207AD8">
        <w:rPr>
          <w:rFonts w:ascii="Arial" w:hAnsi="Arial" w:cs="Arial"/>
          <w:lang w:val="en-PH"/>
        </w:rPr>
        <w:lastRenderedPageBreak/>
        <w:t>mathematics. Additionally, Heong et al. (2016) suggest that students with advanced critical thinking abilities exhibit greater motivation and involvement in learning tasks, supporting the findings of this study. These results emphasize the pivotal role of teaching and cognitive development in fostering meaningful student engagement in mathematics.</w:t>
      </w:r>
    </w:p>
    <w:p w14:paraId="5865B838" w14:textId="77777777" w:rsidR="00CB5971" w:rsidRDefault="00CB5971" w:rsidP="00441B6F">
      <w:pPr>
        <w:pStyle w:val="ConcHead"/>
        <w:spacing w:after="0"/>
        <w:jc w:val="both"/>
        <w:rPr>
          <w:rFonts w:ascii="Arial" w:hAnsi="Arial" w:cs="Arial"/>
        </w:rPr>
      </w:pPr>
    </w:p>
    <w:p w14:paraId="62897092" w14:textId="41BF0669"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DB086D3" w14:textId="77777777" w:rsidR="00790ADA" w:rsidRPr="00FB3A86" w:rsidRDefault="00790ADA" w:rsidP="00441B6F">
      <w:pPr>
        <w:pStyle w:val="ConcHead"/>
        <w:spacing w:after="0"/>
        <w:jc w:val="both"/>
        <w:rPr>
          <w:rFonts w:ascii="Arial" w:hAnsi="Arial" w:cs="Arial"/>
        </w:rPr>
      </w:pPr>
    </w:p>
    <w:p w14:paraId="6887D26B" w14:textId="1D75FB2D" w:rsidR="00207AD8" w:rsidRPr="00207AD8" w:rsidRDefault="00207AD8" w:rsidP="00207AD8">
      <w:pPr>
        <w:pStyle w:val="Body"/>
        <w:spacing w:after="0"/>
        <w:rPr>
          <w:rFonts w:ascii="Arial" w:hAnsi="Arial" w:cs="Arial"/>
          <w:lang w:val="en-PH"/>
        </w:rPr>
      </w:pPr>
      <w:r w:rsidRPr="00207AD8">
        <w:rPr>
          <w:rFonts w:ascii="Arial" w:hAnsi="Arial" w:cs="Arial"/>
          <w:lang w:val="en-PH"/>
        </w:rPr>
        <w:t xml:space="preserve">In conclusion, the findings of this study emphasize the significant influence of the perceived teaching performance of college instructors and students' critical thinking skills on their engagement in mathematics, supporting the Self-Determination Theory of motivation. The study found strong positive correlations between these variables, suggesting that effective teaching practices and cognitive development are crucial for fostering student engagement. The rejection of the null hypotheses indicates that higher perceived teaching </w:t>
      </w:r>
      <w:r>
        <w:rPr>
          <w:rFonts w:ascii="Arial" w:hAnsi="Arial" w:cs="Arial"/>
          <w:lang w:val="en-PH"/>
        </w:rPr>
        <w:t>performance</w:t>
      </w:r>
      <w:r w:rsidRPr="00207AD8">
        <w:rPr>
          <w:rFonts w:ascii="Arial" w:hAnsi="Arial" w:cs="Arial"/>
          <w:lang w:val="en-PH"/>
        </w:rPr>
        <w:t xml:space="preserve"> and stronger critical thinking skills are significantly related to increased student engagement, though further research is needed to explore the causal nature of these relationships.</w:t>
      </w:r>
      <w:r>
        <w:rPr>
          <w:rFonts w:ascii="Arial" w:hAnsi="Arial" w:cs="Arial"/>
          <w:lang w:val="en-PH"/>
        </w:rPr>
        <w:t xml:space="preserve"> </w:t>
      </w:r>
      <w:r w:rsidRPr="00207AD8">
        <w:rPr>
          <w:rFonts w:ascii="Arial" w:hAnsi="Arial" w:cs="Arial"/>
          <w:lang w:val="en-PH"/>
        </w:rPr>
        <w:t xml:space="preserve">These results underscore the importance of instructional quality and the development of critical thinking in mathematics education. Educators are encouraged to integrate student-centered, interactive, and reflective teaching strategies, as well as to foster critical thinking abilities in students. </w:t>
      </w:r>
      <w:commentRangeStart w:id="12"/>
      <w:r w:rsidRPr="00207AD8">
        <w:rPr>
          <w:rFonts w:ascii="Arial" w:hAnsi="Arial" w:cs="Arial"/>
          <w:lang w:val="en-PH"/>
        </w:rPr>
        <w:t xml:space="preserve">Educational institutions should invest </w:t>
      </w:r>
      <w:commentRangeEnd w:id="12"/>
      <w:r w:rsidR="002D1BB3">
        <w:rPr>
          <w:rStyle w:val="CommentReference"/>
          <w:rFonts w:ascii="Times New Roman" w:hAnsi="Times New Roman"/>
          <w:lang w:val="nb-NO" w:eastAsia="nb-NO"/>
        </w:rPr>
        <w:commentReference w:id="12"/>
      </w:r>
      <w:r w:rsidRPr="00207AD8">
        <w:rPr>
          <w:rFonts w:ascii="Arial" w:hAnsi="Arial" w:cs="Arial"/>
          <w:lang w:val="en-PH"/>
        </w:rPr>
        <w:t>in faculty development and adopt learning approaches that enhance both teaching effectiveness and students' cognitive skills.</w:t>
      </w:r>
      <w:r>
        <w:rPr>
          <w:rFonts w:ascii="Arial" w:hAnsi="Arial" w:cs="Arial"/>
          <w:lang w:val="en-PH"/>
        </w:rPr>
        <w:t xml:space="preserve"> </w:t>
      </w:r>
      <w:r w:rsidRPr="00207AD8">
        <w:rPr>
          <w:rFonts w:ascii="Arial" w:hAnsi="Arial" w:cs="Arial"/>
          <w:lang w:val="en-PH"/>
        </w:rPr>
        <w:t>Future research could explore additional factors influencing student engagement, such as technological integration, socio-emotional aspects, and individual learning styles, to further enrich our understanding of student success in mathematics. Further studies should also consider larger, more diverse samples to test the robustness of these findings and enhance the generalizability of the results. This empirical work provides a foundation for future research aimed at improving student engagement and learning outcomes in mathematics education.</w:t>
      </w:r>
    </w:p>
    <w:p w14:paraId="63B7DDC0" w14:textId="77777777" w:rsidR="00790ADA" w:rsidRPr="00FB3A86" w:rsidRDefault="00790ADA" w:rsidP="00441B6F">
      <w:pPr>
        <w:pStyle w:val="Body"/>
        <w:spacing w:after="0"/>
        <w:rPr>
          <w:rFonts w:ascii="Arial" w:hAnsi="Arial" w:cs="Arial"/>
        </w:rPr>
      </w:pPr>
    </w:p>
    <w:p w14:paraId="0601E2F2" w14:textId="6B4FF6B7" w:rsidR="00CB5971" w:rsidRPr="00024F7D" w:rsidRDefault="00CB5971" w:rsidP="00024F7D">
      <w:pPr>
        <w:pStyle w:val="AcknHead"/>
        <w:spacing w:after="0"/>
        <w:jc w:val="both"/>
        <w:rPr>
          <w:rFonts w:ascii="Arial" w:hAnsi="Arial" w:cs="Arial"/>
        </w:rPr>
      </w:pPr>
    </w:p>
    <w:p w14:paraId="67EC4BEE" w14:textId="77480BA7" w:rsidR="002B685A" w:rsidRDefault="002B685A" w:rsidP="00441B6F">
      <w:pPr>
        <w:pStyle w:val="ReferHead"/>
        <w:spacing w:after="0"/>
        <w:jc w:val="both"/>
        <w:rPr>
          <w:rFonts w:ascii="Arial" w:hAnsi="Arial" w:cs="Arial"/>
          <w:bCs/>
        </w:rPr>
      </w:pPr>
      <w:r w:rsidRPr="002B685A">
        <w:rPr>
          <w:rFonts w:ascii="Arial" w:hAnsi="Arial" w:cs="Arial"/>
          <w:bCs/>
        </w:rPr>
        <w:t>Consent</w:t>
      </w:r>
    </w:p>
    <w:p w14:paraId="6F29CEFC" w14:textId="77777777" w:rsidR="002B685A" w:rsidRPr="002B685A" w:rsidRDefault="002B685A" w:rsidP="00441B6F">
      <w:pPr>
        <w:pStyle w:val="ReferHead"/>
        <w:spacing w:after="0"/>
        <w:jc w:val="both"/>
        <w:rPr>
          <w:rFonts w:ascii="Arial" w:hAnsi="Arial" w:cs="Arial"/>
          <w:bCs/>
        </w:rPr>
      </w:pPr>
    </w:p>
    <w:p w14:paraId="34975D49" w14:textId="7EF6F30C" w:rsidR="001A29D8" w:rsidRPr="00CB5971" w:rsidRDefault="00CB5971" w:rsidP="00CB5971">
      <w:pPr>
        <w:rPr>
          <w:rFonts w:ascii="Arial" w:hAnsi="Arial" w:cs="Arial"/>
          <w:b/>
          <w:caps/>
        </w:rPr>
      </w:pPr>
      <w:r w:rsidRPr="00CB5971">
        <w:rPr>
          <w:rFonts w:ascii="Arial" w:hAnsi="Arial" w:cs="Arial"/>
        </w:rPr>
        <w:t>Before data collection, written informed consent was obtained from each participant.</w:t>
      </w:r>
    </w:p>
    <w:p w14:paraId="2DE284F9" w14:textId="77777777" w:rsidR="005C784C" w:rsidRDefault="005C784C" w:rsidP="00441B6F">
      <w:pPr>
        <w:pStyle w:val="ReferHead"/>
        <w:spacing w:after="0"/>
        <w:jc w:val="both"/>
        <w:rPr>
          <w:rFonts w:ascii="Arial" w:hAnsi="Arial" w:cs="Arial"/>
          <w:b w:val="0"/>
          <w:caps w:val="0"/>
          <w:sz w:val="20"/>
        </w:rPr>
      </w:pPr>
    </w:p>
    <w:p w14:paraId="66141AEC"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2C59C11A" w14:textId="77777777" w:rsidR="005C784C" w:rsidRPr="002B685A" w:rsidRDefault="005C784C" w:rsidP="00441B6F">
      <w:pPr>
        <w:pStyle w:val="ReferHead"/>
        <w:spacing w:after="0"/>
        <w:jc w:val="both"/>
        <w:rPr>
          <w:rFonts w:ascii="Arial" w:hAnsi="Arial" w:cs="Arial"/>
          <w:bCs/>
        </w:rPr>
      </w:pPr>
    </w:p>
    <w:p w14:paraId="588E0F8E" w14:textId="084D9020" w:rsidR="00860000" w:rsidRDefault="00E76E2B" w:rsidP="00E76E2B">
      <w:pPr>
        <w:jc w:val="both"/>
        <w:rPr>
          <w:rFonts w:ascii="Arial" w:hAnsi="Arial" w:cs="Arial"/>
        </w:rPr>
      </w:pPr>
      <w:r w:rsidRPr="00E76E2B">
        <w:rPr>
          <w:rFonts w:ascii="Arial" w:hAnsi="Arial" w:cs="Arial"/>
        </w:rPr>
        <w:t>The researcher asked for permission and endorsement from the Dean of the Institute of Teacher Education of Davao del Sur State College. After the approval of the Dean, the request letter was submitted to the Research Development and Innovation Office for ethical clearance and approval.</w:t>
      </w:r>
    </w:p>
    <w:p w14:paraId="0E0B7A08" w14:textId="77777777" w:rsidR="00E76E2B" w:rsidRPr="00E76E2B" w:rsidRDefault="00E76E2B" w:rsidP="00E76E2B">
      <w:pPr>
        <w:jc w:val="both"/>
        <w:rPr>
          <w:rFonts w:ascii="Arial" w:hAnsi="Arial" w:cs="Arial"/>
        </w:rPr>
      </w:pPr>
    </w:p>
    <w:p w14:paraId="5CF7A42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361901D" w14:textId="77777777" w:rsidR="00790ADA" w:rsidRDefault="00790ADA" w:rsidP="00441B6F">
      <w:pPr>
        <w:pStyle w:val="ReferHead"/>
        <w:spacing w:after="0"/>
        <w:jc w:val="both"/>
        <w:rPr>
          <w:rFonts w:ascii="Arial" w:hAnsi="Arial" w:cs="Arial"/>
        </w:rPr>
      </w:pPr>
    </w:p>
    <w:p w14:paraId="44DD2344" w14:textId="77777777" w:rsidR="00E76E2B" w:rsidRPr="00E76E2B" w:rsidRDefault="00E76E2B" w:rsidP="00E76E2B">
      <w:pPr>
        <w:jc w:val="both"/>
        <w:rPr>
          <w:rFonts w:ascii="Arial" w:hAnsi="Arial" w:cs="Arial"/>
        </w:rPr>
      </w:pPr>
      <w:r w:rsidRPr="00E76E2B">
        <w:rPr>
          <w:rFonts w:ascii="Arial" w:hAnsi="Arial" w:cs="Arial"/>
        </w:rPr>
        <w:t xml:space="preserve">Abdulah and Wangid, M. N. (2021). The development of self-perception instrument of students’ </w:t>
      </w:r>
    </w:p>
    <w:p w14:paraId="729EC49D" w14:textId="334E0A58" w:rsidR="00E76E2B" w:rsidRPr="00E76E2B" w:rsidRDefault="00E76E2B" w:rsidP="00E76E2B">
      <w:pPr>
        <w:ind w:left="720"/>
        <w:jc w:val="both"/>
        <w:rPr>
          <w:rFonts w:ascii="Arial" w:hAnsi="Arial" w:cs="Arial"/>
        </w:rPr>
      </w:pPr>
      <w:r w:rsidRPr="00E76E2B">
        <w:rPr>
          <w:rFonts w:ascii="Arial" w:hAnsi="Arial" w:cs="Arial"/>
        </w:rPr>
        <w:t>critical thinking skills. In </w:t>
      </w:r>
      <w:r w:rsidRPr="00E76E2B">
        <w:rPr>
          <w:rFonts w:ascii="Arial" w:hAnsi="Arial" w:cs="Arial"/>
          <w:i/>
          <w:iCs/>
        </w:rPr>
        <w:t>Journal of Physics: Conference Series</w:t>
      </w:r>
      <w:r w:rsidRPr="00E76E2B">
        <w:rPr>
          <w:rFonts w:ascii="Arial" w:hAnsi="Arial" w:cs="Arial"/>
        </w:rPr>
        <w:t xml:space="preserve"> (Vol. 1882, No. 1, p. 012156). IOP Publishing. </w:t>
      </w:r>
      <w:hyperlink r:id="rId16" w:history="1">
        <w:r w:rsidRPr="00582D3D">
          <w:rPr>
            <w:rStyle w:val="Hyperlink"/>
            <w:rFonts w:ascii="Arial" w:hAnsi="Arial" w:cs="Arial"/>
          </w:rPr>
          <w:t>https://doi.org/10.1088/1742-6596/1882/1/012156</w:t>
        </w:r>
      </w:hyperlink>
      <w:r w:rsidRPr="00E76E2B">
        <w:rPr>
          <w:rFonts w:ascii="Arial" w:hAnsi="Arial" w:cs="Arial"/>
        </w:rPr>
        <w:t xml:space="preserve"> </w:t>
      </w:r>
    </w:p>
    <w:p w14:paraId="4FE99DDD" w14:textId="77777777" w:rsidR="00E76E2B" w:rsidRPr="00E76E2B" w:rsidRDefault="00E76E2B" w:rsidP="00E76E2B">
      <w:pPr>
        <w:jc w:val="both"/>
        <w:rPr>
          <w:rFonts w:ascii="Arial" w:hAnsi="Arial" w:cs="Arial"/>
        </w:rPr>
      </w:pPr>
      <w:r w:rsidRPr="00E76E2B">
        <w:rPr>
          <w:rFonts w:ascii="Arial" w:hAnsi="Arial" w:cs="Arial"/>
        </w:rPr>
        <w:tab/>
      </w:r>
    </w:p>
    <w:p w14:paraId="505A179A" w14:textId="77777777" w:rsidR="00E76E2B" w:rsidRPr="00E76E2B" w:rsidRDefault="00E76E2B" w:rsidP="00E76E2B">
      <w:pPr>
        <w:jc w:val="both"/>
        <w:rPr>
          <w:rFonts w:ascii="Arial" w:hAnsi="Arial" w:cs="Arial"/>
        </w:rPr>
      </w:pPr>
      <w:r w:rsidRPr="00E76E2B">
        <w:rPr>
          <w:rFonts w:ascii="Arial" w:hAnsi="Arial" w:cs="Arial"/>
        </w:rPr>
        <w:t>Abdurrahman, M. S., Halim, A. A., &amp; Sharifah, O. (2021). Improving Polytechnic Students' High-</w:t>
      </w:r>
    </w:p>
    <w:p w14:paraId="2B485380" w14:textId="77777777" w:rsidR="00E76E2B" w:rsidRPr="00E76E2B" w:rsidRDefault="00E76E2B" w:rsidP="00E76E2B">
      <w:pPr>
        <w:ind w:left="720"/>
        <w:jc w:val="both"/>
        <w:rPr>
          <w:rFonts w:ascii="Arial" w:hAnsi="Arial" w:cs="Arial"/>
        </w:rPr>
      </w:pPr>
      <w:r w:rsidRPr="00E76E2B">
        <w:rPr>
          <w:rFonts w:ascii="Arial" w:hAnsi="Arial" w:cs="Arial"/>
        </w:rPr>
        <w:t>Order Thinking-Skills through Inquiry-Based Learning in Mathematics Classroom. </w:t>
      </w:r>
      <w:r w:rsidRPr="00E76E2B">
        <w:rPr>
          <w:rFonts w:ascii="Arial" w:hAnsi="Arial" w:cs="Arial"/>
          <w:i/>
          <w:iCs/>
        </w:rPr>
        <w:t>International journal of evaluation and research in education</w:t>
      </w:r>
      <w:r w:rsidRPr="00E76E2B">
        <w:rPr>
          <w:rFonts w:ascii="Arial" w:hAnsi="Arial" w:cs="Arial"/>
        </w:rPr>
        <w:t>, </w:t>
      </w:r>
      <w:r w:rsidRPr="00E76E2B">
        <w:rPr>
          <w:rFonts w:ascii="Arial" w:hAnsi="Arial" w:cs="Arial"/>
          <w:i/>
          <w:iCs/>
        </w:rPr>
        <w:t>10</w:t>
      </w:r>
      <w:r w:rsidRPr="00E76E2B">
        <w:rPr>
          <w:rFonts w:ascii="Arial" w:hAnsi="Arial" w:cs="Arial"/>
        </w:rPr>
        <w:t xml:space="preserve">(3), 976-983. </w:t>
      </w:r>
      <w:hyperlink r:id="rId17" w:history="1">
        <w:r w:rsidRPr="00E76E2B">
          <w:rPr>
            <w:rStyle w:val="Hyperlink"/>
            <w:rFonts w:ascii="Arial" w:hAnsi="Arial" w:cs="Arial"/>
          </w:rPr>
          <w:t>http://doi.org/10.11591/ijere.v10i3.21792</w:t>
        </w:r>
      </w:hyperlink>
      <w:r w:rsidRPr="00E76E2B">
        <w:rPr>
          <w:rFonts w:ascii="Arial" w:hAnsi="Arial" w:cs="Arial"/>
        </w:rPr>
        <w:t xml:space="preserve">. </w:t>
      </w:r>
    </w:p>
    <w:p w14:paraId="10B82633" w14:textId="77777777" w:rsidR="00E76E2B" w:rsidRPr="00E76E2B" w:rsidRDefault="00E76E2B" w:rsidP="00E76E2B">
      <w:pPr>
        <w:jc w:val="both"/>
        <w:rPr>
          <w:rFonts w:ascii="Arial" w:hAnsi="Arial" w:cs="Arial"/>
        </w:rPr>
      </w:pPr>
    </w:p>
    <w:p w14:paraId="039E3E0F" w14:textId="77777777" w:rsidR="00E76E2B" w:rsidRPr="00E76E2B" w:rsidRDefault="00E76E2B" w:rsidP="00E76E2B">
      <w:pPr>
        <w:jc w:val="both"/>
        <w:rPr>
          <w:rFonts w:ascii="Arial" w:hAnsi="Arial" w:cs="Arial"/>
        </w:rPr>
      </w:pPr>
      <w:r w:rsidRPr="00E76E2B">
        <w:rPr>
          <w:rFonts w:ascii="Arial" w:hAnsi="Arial" w:cs="Arial"/>
        </w:rPr>
        <w:t xml:space="preserve">Amerstorfer, C. M., &amp; Freiin von Münster-Kistner, C. (2021). Student perceptions of academic </w:t>
      </w:r>
    </w:p>
    <w:p w14:paraId="68BF7C85" w14:textId="144ADB89" w:rsidR="00E76E2B" w:rsidRPr="00E76E2B" w:rsidRDefault="00E76E2B" w:rsidP="00E76E2B">
      <w:pPr>
        <w:ind w:left="720"/>
        <w:jc w:val="both"/>
        <w:rPr>
          <w:rFonts w:ascii="Arial" w:hAnsi="Arial" w:cs="Arial"/>
        </w:rPr>
      </w:pPr>
      <w:r w:rsidRPr="00E76E2B">
        <w:rPr>
          <w:rFonts w:ascii="Arial" w:hAnsi="Arial" w:cs="Arial"/>
        </w:rPr>
        <w:t>engagement and student-teacher relationships in problem-based learning. </w:t>
      </w:r>
      <w:r w:rsidRPr="00E76E2B">
        <w:rPr>
          <w:rFonts w:ascii="Arial" w:hAnsi="Arial" w:cs="Arial"/>
          <w:i/>
          <w:iCs/>
        </w:rPr>
        <w:t>Frontiers in psychology</w:t>
      </w:r>
      <w:r w:rsidRPr="00E76E2B">
        <w:rPr>
          <w:rFonts w:ascii="Arial" w:hAnsi="Arial" w:cs="Arial"/>
        </w:rPr>
        <w:t>, </w:t>
      </w:r>
      <w:r w:rsidRPr="00E76E2B">
        <w:rPr>
          <w:rFonts w:ascii="Arial" w:hAnsi="Arial" w:cs="Arial"/>
          <w:i/>
          <w:iCs/>
        </w:rPr>
        <w:t>12</w:t>
      </w:r>
      <w:r w:rsidRPr="00E76E2B">
        <w:rPr>
          <w:rFonts w:ascii="Arial" w:hAnsi="Arial" w:cs="Arial"/>
        </w:rPr>
        <w:t xml:space="preserve">, 713057. </w:t>
      </w:r>
      <w:hyperlink r:id="rId18" w:history="1">
        <w:r w:rsidRPr="00582D3D">
          <w:rPr>
            <w:rStyle w:val="Hyperlink"/>
            <w:rFonts w:ascii="Arial" w:hAnsi="Arial" w:cs="Arial"/>
          </w:rPr>
          <w:t>https://doi.org/10.3389/fpsyg.2021.713057</w:t>
        </w:r>
      </w:hyperlink>
      <w:r w:rsidRPr="00E76E2B">
        <w:rPr>
          <w:rFonts w:ascii="Arial" w:hAnsi="Arial" w:cs="Arial"/>
        </w:rPr>
        <w:t xml:space="preserve"> </w:t>
      </w:r>
    </w:p>
    <w:p w14:paraId="1518E791" w14:textId="77777777" w:rsidR="00E76E2B" w:rsidRPr="00E76E2B" w:rsidRDefault="00E76E2B" w:rsidP="00E76E2B">
      <w:pPr>
        <w:jc w:val="both"/>
        <w:rPr>
          <w:rFonts w:ascii="Arial" w:hAnsi="Arial" w:cs="Arial"/>
        </w:rPr>
      </w:pPr>
    </w:p>
    <w:p w14:paraId="777852B4" w14:textId="77777777" w:rsidR="00E76E2B" w:rsidRPr="00E76E2B" w:rsidRDefault="00E76E2B" w:rsidP="00E76E2B">
      <w:pPr>
        <w:jc w:val="both"/>
        <w:rPr>
          <w:rFonts w:ascii="Arial" w:hAnsi="Arial" w:cs="Arial"/>
        </w:rPr>
      </w:pPr>
    </w:p>
    <w:p w14:paraId="5E09C9F6" w14:textId="77777777" w:rsidR="00E76E2B" w:rsidRPr="00E76E2B" w:rsidRDefault="00E76E2B" w:rsidP="00E76E2B">
      <w:pPr>
        <w:jc w:val="both"/>
        <w:rPr>
          <w:rFonts w:ascii="Arial" w:hAnsi="Arial" w:cs="Arial"/>
        </w:rPr>
      </w:pPr>
      <w:r w:rsidRPr="00E76E2B">
        <w:rPr>
          <w:rFonts w:ascii="Arial" w:hAnsi="Arial" w:cs="Arial"/>
        </w:rPr>
        <w:t xml:space="preserve">Chen, X., &amp; Lu, L. (2022). How classroom management and instructional clarity relate to students' </w:t>
      </w:r>
    </w:p>
    <w:p w14:paraId="3895C4E6" w14:textId="77777777" w:rsidR="00E76E2B" w:rsidRPr="00E76E2B" w:rsidRDefault="00E76E2B" w:rsidP="00E76E2B">
      <w:pPr>
        <w:ind w:left="720"/>
        <w:jc w:val="both"/>
        <w:rPr>
          <w:rFonts w:ascii="Arial" w:hAnsi="Arial" w:cs="Arial"/>
        </w:rPr>
      </w:pPr>
      <w:r w:rsidRPr="00E76E2B">
        <w:rPr>
          <w:rFonts w:ascii="Arial" w:hAnsi="Arial" w:cs="Arial"/>
        </w:rPr>
        <w:t>academic emotions in Hong Kong and England: A multi-group analysis based on the control-value theory. </w:t>
      </w:r>
      <w:r w:rsidRPr="00E76E2B">
        <w:rPr>
          <w:rFonts w:ascii="Arial" w:hAnsi="Arial" w:cs="Arial"/>
          <w:i/>
          <w:iCs/>
        </w:rPr>
        <w:t>Learning and Individual Differences</w:t>
      </w:r>
      <w:r w:rsidRPr="00E76E2B">
        <w:rPr>
          <w:rFonts w:ascii="Arial" w:hAnsi="Arial" w:cs="Arial"/>
        </w:rPr>
        <w:t>, </w:t>
      </w:r>
      <w:r w:rsidRPr="00E76E2B">
        <w:rPr>
          <w:rFonts w:ascii="Arial" w:hAnsi="Arial" w:cs="Arial"/>
          <w:i/>
          <w:iCs/>
        </w:rPr>
        <w:t>98</w:t>
      </w:r>
      <w:r w:rsidRPr="00E76E2B">
        <w:rPr>
          <w:rFonts w:ascii="Arial" w:hAnsi="Arial" w:cs="Arial"/>
        </w:rPr>
        <w:t xml:space="preserve">, 102183.  </w:t>
      </w:r>
      <w:hyperlink r:id="rId19" w:history="1">
        <w:r w:rsidRPr="00E76E2B">
          <w:rPr>
            <w:rStyle w:val="Hyperlink"/>
            <w:rFonts w:ascii="Arial" w:hAnsi="Arial" w:cs="Arial"/>
          </w:rPr>
          <w:t>https://doi.org/10.1016/j.lindif.2022.102183</w:t>
        </w:r>
      </w:hyperlink>
      <w:r w:rsidRPr="00E76E2B">
        <w:rPr>
          <w:rFonts w:ascii="Arial" w:hAnsi="Arial" w:cs="Arial"/>
        </w:rPr>
        <w:t xml:space="preserve"> </w:t>
      </w:r>
    </w:p>
    <w:p w14:paraId="64AF7FEC" w14:textId="77777777" w:rsidR="00E76E2B" w:rsidRPr="00E76E2B" w:rsidRDefault="00E76E2B" w:rsidP="00E76E2B">
      <w:pPr>
        <w:jc w:val="both"/>
        <w:rPr>
          <w:rFonts w:ascii="Arial" w:hAnsi="Arial" w:cs="Arial"/>
        </w:rPr>
      </w:pPr>
    </w:p>
    <w:p w14:paraId="3BCB6ECE" w14:textId="77777777" w:rsidR="00E76E2B" w:rsidRPr="00E76E2B" w:rsidRDefault="00E76E2B" w:rsidP="00E76E2B">
      <w:pPr>
        <w:jc w:val="both"/>
        <w:rPr>
          <w:rFonts w:ascii="Arial" w:hAnsi="Arial" w:cs="Arial"/>
        </w:rPr>
      </w:pPr>
      <w:r w:rsidRPr="00E76E2B">
        <w:rPr>
          <w:rFonts w:ascii="Arial" w:hAnsi="Arial" w:cs="Arial"/>
        </w:rPr>
        <w:t>Creswell, J. W. (2021). </w:t>
      </w:r>
      <w:r w:rsidRPr="00E76E2B">
        <w:rPr>
          <w:rFonts w:ascii="Arial" w:hAnsi="Arial" w:cs="Arial"/>
          <w:i/>
          <w:iCs/>
        </w:rPr>
        <w:t>A concise introduction to mixed methods research</w:t>
      </w:r>
      <w:r w:rsidRPr="00E76E2B">
        <w:rPr>
          <w:rFonts w:ascii="Arial" w:hAnsi="Arial" w:cs="Arial"/>
        </w:rPr>
        <w:t>. SAGE publications.</w:t>
      </w:r>
    </w:p>
    <w:p w14:paraId="0666A829" w14:textId="77777777" w:rsidR="00E76E2B" w:rsidRPr="00E76E2B" w:rsidRDefault="00E76E2B" w:rsidP="00E76E2B">
      <w:pPr>
        <w:jc w:val="both"/>
        <w:rPr>
          <w:rFonts w:ascii="Arial" w:hAnsi="Arial" w:cs="Arial"/>
        </w:rPr>
      </w:pPr>
    </w:p>
    <w:p w14:paraId="2B4DDFC6" w14:textId="77777777" w:rsidR="00E76E2B" w:rsidRPr="00E76E2B" w:rsidRDefault="00E76E2B" w:rsidP="00E76E2B">
      <w:pPr>
        <w:jc w:val="both"/>
        <w:rPr>
          <w:rFonts w:ascii="Arial" w:hAnsi="Arial" w:cs="Arial"/>
        </w:rPr>
      </w:pPr>
      <w:r w:rsidRPr="00E76E2B">
        <w:rPr>
          <w:rFonts w:ascii="Arial" w:hAnsi="Arial" w:cs="Arial"/>
        </w:rPr>
        <w:t>Croft, T., &amp; Grove, M. (2015). Progression within mathematics degree programmes.</w:t>
      </w:r>
    </w:p>
    <w:p w14:paraId="658E6F37" w14:textId="77777777" w:rsidR="00E76E2B" w:rsidRPr="00E76E2B" w:rsidRDefault="00E76E2B" w:rsidP="00E76E2B">
      <w:pPr>
        <w:jc w:val="both"/>
        <w:rPr>
          <w:rFonts w:ascii="Arial" w:hAnsi="Arial" w:cs="Arial"/>
        </w:rPr>
      </w:pPr>
    </w:p>
    <w:p w14:paraId="244D8B57" w14:textId="77777777" w:rsidR="00E76E2B" w:rsidRPr="00E76E2B" w:rsidRDefault="00E76E2B" w:rsidP="00E76E2B">
      <w:pPr>
        <w:jc w:val="both"/>
        <w:rPr>
          <w:rFonts w:ascii="Arial" w:hAnsi="Arial" w:cs="Arial"/>
          <w:i/>
          <w:iCs/>
        </w:rPr>
      </w:pPr>
      <w:r w:rsidRPr="00E76E2B">
        <w:rPr>
          <w:rFonts w:ascii="Arial" w:hAnsi="Arial" w:cs="Arial"/>
        </w:rPr>
        <w:t xml:space="preserve">Darling-Hammond, L., Flook, L., Cook-Harvey, C., Barron, B., &amp; Osher, D. (2017). </w:t>
      </w:r>
      <w:r w:rsidRPr="00E76E2B">
        <w:rPr>
          <w:rFonts w:ascii="Arial" w:hAnsi="Arial" w:cs="Arial"/>
          <w:i/>
          <w:iCs/>
        </w:rPr>
        <w:t xml:space="preserve">Implications </w:t>
      </w:r>
    </w:p>
    <w:p w14:paraId="4DE753D5" w14:textId="77777777" w:rsidR="00E76E2B" w:rsidRPr="00E76E2B" w:rsidRDefault="00E76E2B" w:rsidP="00E76E2B">
      <w:pPr>
        <w:ind w:left="720"/>
        <w:jc w:val="both"/>
        <w:rPr>
          <w:rFonts w:ascii="Arial" w:hAnsi="Arial" w:cs="Arial"/>
          <w:i/>
          <w:iCs/>
        </w:rPr>
      </w:pPr>
      <w:r w:rsidRPr="00E76E2B">
        <w:rPr>
          <w:rFonts w:ascii="Arial" w:hAnsi="Arial" w:cs="Arial"/>
          <w:i/>
          <w:iCs/>
        </w:rPr>
        <w:t>for educational practice of the science of learning and development.</w:t>
      </w:r>
      <w:r w:rsidRPr="00E76E2B">
        <w:rPr>
          <w:rFonts w:ascii="Arial" w:hAnsi="Arial" w:cs="Arial"/>
        </w:rPr>
        <w:t xml:space="preserve"> </w:t>
      </w:r>
      <w:r w:rsidRPr="00E76E2B">
        <w:rPr>
          <w:rFonts w:ascii="Arial" w:hAnsi="Arial" w:cs="Arial"/>
          <w:i/>
          <w:iCs/>
        </w:rPr>
        <w:t>Applied Developmental Science, 21</w:t>
      </w:r>
      <w:r w:rsidRPr="00E76E2B">
        <w:rPr>
          <w:rFonts w:ascii="Arial" w:hAnsi="Arial" w:cs="Arial"/>
        </w:rPr>
        <w:t xml:space="preserve">(2), 97-140. </w:t>
      </w:r>
      <w:hyperlink r:id="rId20" w:history="1">
        <w:r w:rsidRPr="00E76E2B">
          <w:rPr>
            <w:rStyle w:val="Hyperlink"/>
            <w:rFonts w:ascii="Arial" w:hAnsi="Arial" w:cs="Arial"/>
          </w:rPr>
          <w:t>https://doi.org/10.1080/10888691.2016.1265048</w:t>
        </w:r>
      </w:hyperlink>
    </w:p>
    <w:p w14:paraId="3E87FA4E" w14:textId="77777777" w:rsidR="00E76E2B" w:rsidRPr="00E76E2B" w:rsidRDefault="00E76E2B" w:rsidP="00E76E2B">
      <w:pPr>
        <w:jc w:val="both"/>
        <w:rPr>
          <w:rFonts w:ascii="Arial" w:hAnsi="Arial" w:cs="Arial"/>
        </w:rPr>
      </w:pPr>
    </w:p>
    <w:p w14:paraId="019A59B5" w14:textId="77777777" w:rsidR="00E76E2B" w:rsidRPr="00E76E2B" w:rsidRDefault="00E76E2B" w:rsidP="00E76E2B">
      <w:pPr>
        <w:jc w:val="both"/>
        <w:rPr>
          <w:rFonts w:ascii="Arial" w:hAnsi="Arial" w:cs="Arial"/>
          <w:i/>
          <w:iCs/>
        </w:rPr>
      </w:pPr>
      <w:r w:rsidRPr="00E76E2B">
        <w:rPr>
          <w:rFonts w:ascii="Arial" w:hAnsi="Arial" w:cs="Arial"/>
        </w:rPr>
        <w:t>Deci, E. L., &amp; Ryan, R. M. (2012). Self-determination theory. </w:t>
      </w:r>
      <w:r w:rsidRPr="00E76E2B">
        <w:rPr>
          <w:rFonts w:ascii="Arial" w:hAnsi="Arial" w:cs="Arial"/>
          <w:i/>
          <w:iCs/>
        </w:rPr>
        <w:t xml:space="preserve">Handbook of theories of social </w:t>
      </w:r>
    </w:p>
    <w:p w14:paraId="1970204A" w14:textId="77777777" w:rsidR="00E76E2B" w:rsidRPr="00E76E2B" w:rsidRDefault="00E76E2B" w:rsidP="00E76E2B">
      <w:pPr>
        <w:ind w:firstLine="720"/>
        <w:jc w:val="both"/>
        <w:rPr>
          <w:rFonts w:ascii="Arial" w:hAnsi="Arial" w:cs="Arial"/>
        </w:rPr>
      </w:pPr>
      <w:r w:rsidRPr="00E76E2B">
        <w:rPr>
          <w:rFonts w:ascii="Arial" w:hAnsi="Arial" w:cs="Arial"/>
          <w:i/>
          <w:iCs/>
        </w:rPr>
        <w:t>psychology</w:t>
      </w:r>
      <w:r w:rsidRPr="00E76E2B">
        <w:rPr>
          <w:rFonts w:ascii="Arial" w:hAnsi="Arial" w:cs="Arial"/>
        </w:rPr>
        <w:t>, </w:t>
      </w:r>
      <w:r w:rsidRPr="00E76E2B">
        <w:rPr>
          <w:rFonts w:ascii="Arial" w:hAnsi="Arial" w:cs="Arial"/>
          <w:i/>
          <w:iCs/>
        </w:rPr>
        <w:t>1</w:t>
      </w:r>
      <w:r w:rsidRPr="00E76E2B">
        <w:rPr>
          <w:rFonts w:ascii="Arial" w:hAnsi="Arial" w:cs="Arial"/>
        </w:rPr>
        <w:t xml:space="preserve">(20), 416-436.  </w:t>
      </w:r>
      <w:hyperlink r:id="rId21" w:history="1">
        <w:r w:rsidRPr="00E76E2B">
          <w:rPr>
            <w:rStyle w:val="Hyperlink"/>
            <w:rFonts w:ascii="Arial" w:hAnsi="Arial" w:cs="Arial"/>
          </w:rPr>
          <w:t>https://tinyurl.com/3efnmwea</w:t>
        </w:r>
      </w:hyperlink>
      <w:r w:rsidRPr="00E76E2B">
        <w:rPr>
          <w:rFonts w:ascii="Arial" w:hAnsi="Arial" w:cs="Arial"/>
        </w:rPr>
        <w:t xml:space="preserve"> </w:t>
      </w:r>
    </w:p>
    <w:p w14:paraId="7D937ED0" w14:textId="77777777" w:rsidR="00E76E2B" w:rsidRPr="00E76E2B" w:rsidRDefault="00E76E2B" w:rsidP="00E76E2B">
      <w:pPr>
        <w:jc w:val="both"/>
        <w:rPr>
          <w:rFonts w:ascii="Arial" w:hAnsi="Arial" w:cs="Arial"/>
        </w:rPr>
      </w:pPr>
    </w:p>
    <w:p w14:paraId="1E74E54B" w14:textId="77777777" w:rsidR="00E76E2B" w:rsidRPr="00E76E2B" w:rsidRDefault="00E76E2B" w:rsidP="00E76E2B">
      <w:pPr>
        <w:jc w:val="both"/>
        <w:rPr>
          <w:rFonts w:ascii="Arial" w:hAnsi="Arial" w:cs="Arial"/>
        </w:rPr>
      </w:pPr>
      <w:r w:rsidRPr="00E76E2B">
        <w:rPr>
          <w:rFonts w:ascii="Arial" w:hAnsi="Arial" w:cs="Arial"/>
        </w:rPr>
        <w:t xml:space="preserve">Durksen, T. L., Way, J., Bobis, J., Anderson, J., Skilling, K., &amp; Martin, A. J. (2017). Motivation </w:t>
      </w:r>
    </w:p>
    <w:p w14:paraId="058D2386" w14:textId="77777777" w:rsidR="00E76E2B" w:rsidRPr="00E76E2B" w:rsidRDefault="00E76E2B" w:rsidP="00E76E2B">
      <w:pPr>
        <w:ind w:left="720"/>
        <w:jc w:val="both"/>
        <w:rPr>
          <w:rFonts w:ascii="Arial" w:hAnsi="Arial" w:cs="Arial"/>
        </w:rPr>
      </w:pPr>
      <w:r w:rsidRPr="00E76E2B">
        <w:rPr>
          <w:rFonts w:ascii="Arial" w:hAnsi="Arial" w:cs="Arial"/>
        </w:rPr>
        <w:t>and engagement in mathematics: a qualitative framework for teacher-student interactions. </w:t>
      </w:r>
      <w:r w:rsidRPr="00E76E2B">
        <w:rPr>
          <w:rFonts w:ascii="Arial" w:hAnsi="Arial" w:cs="Arial"/>
          <w:i/>
          <w:iCs/>
        </w:rPr>
        <w:t>Mathematics Education Research Journal</w:t>
      </w:r>
      <w:r w:rsidRPr="00E76E2B">
        <w:rPr>
          <w:rFonts w:ascii="Arial" w:hAnsi="Arial" w:cs="Arial"/>
        </w:rPr>
        <w:t>, </w:t>
      </w:r>
      <w:r w:rsidRPr="00E76E2B">
        <w:rPr>
          <w:rFonts w:ascii="Arial" w:hAnsi="Arial" w:cs="Arial"/>
          <w:i/>
          <w:iCs/>
        </w:rPr>
        <w:t>29</w:t>
      </w:r>
      <w:r w:rsidRPr="00E76E2B">
        <w:rPr>
          <w:rFonts w:ascii="Arial" w:hAnsi="Arial" w:cs="Arial"/>
        </w:rPr>
        <w:t xml:space="preserve">, 163-181. </w:t>
      </w:r>
      <w:hyperlink r:id="rId22" w:history="1">
        <w:r w:rsidRPr="00E76E2B">
          <w:rPr>
            <w:rStyle w:val="Hyperlink"/>
            <w:rFonts w:ascii="Arial" w:hAnsi="Arial" w:cs="Arial"/>
          </w:rPr>
          <w:t>https://doi.org/10.1007/s13394-017-0199-1</w:t>
        </w:r>
      </w:hyperlink>
      <w:r w:rsidRPr="00E76E2B">
        <w:rPr>
          <w:rFonts w:ascii="Arial" w:hAnsi="Arial" w:cs="Arial"/>
        </w:rPr>
        <w:t xml:space="preserve"> </w:t>
      </w:r>
    </w:p>
    <w:p w14:paraId="129884C7" w14:textId="77777777" w:rsidR="00E76E2B" w:rsidRPr="00E76E2B" w:rsidRDefault="00E76E2B" w:rsidP="00E76E2B">
      <w:pPr>
        <w:jc w:val="both"/>
        <w:rPr>
          <w:rFonts w:ascii="Arial" w:hAnsi="Arial" w:cs="Arial"/>
        </w:rPr>
      </w:pPr>
    </w:p>
    <w:p w14:paraId="002A8982" w14:textId="77777777" w:rsidR="00E76E2B" w:rsidRPr="00E76E2B" w:rsidRDefault="00E76E2B" w:rsidP="00E76E2B">
      <w:pPr>
        <w:jc w:val="both"/>
        <w:rPr>
          <w:rFonts w:ascii="Arial" w:hAnsi="Arial" w:cs="Arial"/>
        </w:rPr>
      </w:pPr>
      <w:r w:rsidRPr="00E76E2B">
        <w:rPr>
          <w:rFonts w:ascii="Arial" w:hAnsi="Arial" w:cs="Arial"/>
        </w:rPr>
        <w:t xml:space="preserve">Everingham, Y. L., Gyuris, E., &amp; Connolly, S. R. (2017). Enhancing student engagement to </w:t>
      </w:r>
    </w:p>
    <w:p w14:paraId="7AE9F114" w14:textId="77777777" w:rsidR="00E76E2B" w:rsidRPr="00E76E2B" w:rsidRDefault="00E76E2B" w:rsidP="00E76E2B">
      <w:pPr>
        <w:ind w:left="720"/>
        <w:jc w:val="both"/>
        <w:rPr>
          <w:rFonts w:ascii="Arial" w:hAnsi="Arial" w:cs="Arial"/>
        </w:rPr>
      </w:pPr>
      <w:r w:rsidRPr="00E76E2B">
        <w:rPr>
          <w:rFonts w:ascii="Arial" w:hAnsi="Arial" w:cs="Arial"/>
        </w:rPr>
        <w:t>positively impact mathematics anxiety, confidence and achievement for interdisciplinary science subjects. </w:t>
      </w:r>
      <w:r w:rsidRPr="00E76E2B">
        <w:rPr>
          <w:rFonts w:ascii="Arial" w:hAnsi="Arial" w:cs="Arial"/>
          <w:i/>
          <w:iCs/>
        </w:rPr>
        <w:t>International Journal of Mathematical Education in Science and Technology</w:t>
      </w:r>
      <w:r w:rsidRPr="00E76E2B">
        <w:rPr>
          <w:rFonts w:ascii="Arial" w:hAnsi="Arial" w:cs="Arial"/>
        </w:rPr>
        <w:t>, </w:t>
      </w:r>
      <w:r w:rsidRPr="00E76E2B">
        <w:rPr>
          <w:rFonts w:ascii="Arial" w:hAnsi="Arial" w:cs="Arial"/>
          <w:i/>
          <w:iCs/>
        </w:rPr>
        <w:t>48</w:t>
      </w:r>
      <w:r w:rsidRPr="00E76E2B">
        <w:rPr>
          <w:rFonts w:ascii="Arial" w:hAnsi="Arial" w:cs="Arial"/>
        </w:rPr>
        <w:t xml:space="preserve">(8), 1153-1165.  </w:t>
      </w:r>
      <w:hyperlink r:id="rId23" w:history="1">
        <w:r w:rsidRPr="00E76E2B">
          <w:rPr>
            <w:rStyle w:val="Hyperlink"/>
            <w:rFonts w:ascii="Arial" w:hAnsi="Arial" w:cs="Arial"/>
          </w:rPr>
          <w:t>https://doi.org/10.1080/0020739X.2017.1305130</w:t>
        </w:r>
      </w:hyperlink>
    </w:p>
    <w:p w14:paraId="7BD27696" w14:textId="77777777" w:rsidR="00E76E2B" w:rsidRPr="00E76E2B" w:rsidRDefault="00E76E2B" w:rsidP="00E76E2B">
      <w:pPr>
        <w:jc w:val="both"/>
        <w:rPr>
          <w:rFonts w:ascii="Arial" w:hAnsi="Arial" w:cs="Arial"/>
        </w:rPr>
      </w:pPr>
    </w:p>
    <w:p w14:paraId="541C5D7D" w14:textId="77777777" w:rsidR="00E76E2B" w:rsidRPr="00E76E2B" w:rsidRDefault="00E76E2B" w:rsidP="00E76E2B">
      <w:pPr>
        <w:jc w:val="both"/>
        <w:rPr>
          <w:rFonts w:ascii="Arial" w:hAnsi="Arial" w:cs="Arial"/>
        </w:rPr>
      </w:pPr>
      <w:r w:rsidRPr="00E76E2B">
        <w:rPr>
          <w:rFonts w:ascii="Arial" w:hAnsi="Arial" w:cs="Arial"/>
        </w:rPr>
        <w:t>Facione, P. A. (2011). Critical thinking: What it is and why it counts. </w:t>
      </w:r>
      <w:r w:rsidRPr="00E76E2B">
        <w:rPr>
          <w:rFonts w:ascii="Arial" w:hAnsi="Arial" w:cs="Arial"/>
          <w:i/>
          <w:iCs/>
        </w:rPr>
        <w:t>Insight assessment</w:t>
      </w:r>
      <w:r w:rsidRPr="00E76E2B">
        <w:rPr>
          <w:rFonts w:ascii="Arial" w:hAnsi="Arial" w:cs="Arial"/>
        </w:rPr>
        <w:t>, </w:t>
      </w:r>
      <w:r w:rsidRPr="00E76E2B">
        <w:rPr>
          <w:rFonts w:ascii="Arial" w:hAnsi="Arial" w:cs="Arial"/>
          <w:i/>
          <w:iCs/>
        </w:rPr>
        <w:t>1</w:t>
      </w:r>
      <w:r w:rsidRPr="00E76E2B">
        <w:rPr>
          <w:rFonts w:ascii="Arial" w:hAnsi="Arial" w:cs="Arial"/>
        </w:rPr>
        <w:t>(1), 1-</w:t>
      </w:r>
    </w:p>
    <w:p w14:paraId="5F3B6E22" w14:textId="77777777" w:rsidR="00E76E2B" w:rsidRPr="00E76E2B" w:rsidRDefault="00E76E2B" w:rsidP="00E76E2B">
      <w:pPr>
        <w:ind w:firstLine="720"/>
        <w:jc w:val="both"/>
        <w:rPr>
          <w:rFonts w:ascii="Arial" w:hAnsi="Arial" w:cs="Arial"/>
        </w:rPr>
      </w:pPr>
      <w:r w:rsidRPr="00E76E2B">
        <w:rPr>
          <w:rFonts w:ascii="Arial" w:hAnsi="Arial" w:cs="Arial"/>
        </w:rPr>
        <w:t xml:space="preserve">23. </w:t>
      </w:r>
      <w:hyperlink r:id="rId24" w:history="1">
        <w:r w:rsidRPr="00E76E2B">
          <w:rPr>
            <w:rStyle w:val="Hyperlink"/>
            <w:rFonts w:ascii="Arial" w:hAnsi="Arial" w:cs="Arial"/>
          </w:rPr>
          <w:t>https://tinyurl.com/ye26mrwc</w:t>
        </w:r>
      </w:hyperlink>
      <w:r w:rsidRPr="00E76E2B">
        <w:rPr>
          <w:rFonts w:ascii="Arial" w:hAnsi="Arial" w:cs="Arial"/>
        </w:rPr>
        <w:t xml:space="preserve"> </w:t>
      </w:r>
    </w:p>
    <w:p w14:paraId="05FCF382" w14:textId="77777777" w:rsidR="00E76E2B" w:rsidRPr="00E76E2B" w:rsidRDefault="00E76E2B" w:rsidP="00E76E2B">
      <w:pPr>
        <w:jc w:val="both"/>
        <w:rPr>
          <w:rFonts w:ascii="Arial" w:hAnsi="Arial" w:cs="Arial"/>
        </w:rPr>
      </w:pPr>
    </w:p>
    <w:p w14:paraId="54167DF2" w14:textId="77777777" w:rsidR="00E76E2B" w:rsidRPr="00E76E2B" w:rsidRDefault="00E76E2B" w:rsidP="00E76E2B">
      <w:pPr>
        <w:jc w:val="both"/>
        <w:rPr>
          <w:rFonts w:ascii="Arial" w:hAnsi="Arial" w:cs="Arial"/>
        </w:rPr>
      </w:pPr>
      <w:r w:rsidRPr="00E76E2B">
        <w:rPr>
          <w:rFonts w:ascii="Arial" w:hAnsi="Arial" w:cs="Arial"/>
        </w:rPr>
        <w:t xml:space="preserve">Flores, S.  L., Tamban, V.  E., Lacuarin, N.  M., Bando, M.  M., &amp; Cortezano, G.  P.  (2021).  </w:t>
      </w:r>
    </w:p>
    <w:p w14:paraId="7DEA7DD5" w14:textId="77777777" w:rsidR="00E76E2B" w:rsidRPr="00E76E2B" w:rsidRDefault="00E76E2B" w:rsidP="00E76E2B">
      <w:pPr>
        <w:ind w:left="720"/>
        <w:jc w:val="both"/>
        <w:rPr>
          <w:rFonts w:ascii="Arial" w:hAnsi="Arial" w:cs="Arial"/>
        </w:rPr>
      </w:pPr>
      <w:r w:rsidRPr="00E76E2B">
        <w:rPr>
          <w:rFonts w:ascii="Arial" w:hAnsi="Arial" w:cs="Arial"/>
        </w:rPr>
        <w:t>Students’ engagement and their performances in mathematics</w:t>
      </w:r>
      <w:r w:rsidRPr="00E76E2B">
        <w:rPr>
          <w:rFonts w:ascii="Arial" w:hAnsi="Arial" w:cs="Arial"/>
          <w:i/>
          <w:iCs/>
        </w:rPr>
        <w:t xml:space="preserve">.  Paripex indian journal of research              worldwide journals, 164-167. </w:t>
      </w:r>
      <w:hyperlink r:id="rId25" w:history="1">
        <w:r w:rsidRPr="00E76E2B">
          <w:rPr>
            <w:rStyle w:val="Hyperlink"/>
            <w:rFonts w:ascii="Arial" w:hAnsi="Arial" w:cs="Arial"/>
          </w:rPr>
          <w:t>https://doi.org/10.36106/paripex/721147</w:t>
        </w:r>
      </w:hyperlink>
      <w:r w:rsidRPr="00E76E2B">
        <w:rPr>
          <w:rFonts w:ascii="Arial" w:hAnsi="Arial" w:cs="Arial"/>
        </w:rPr>
        <w:t xml:space="preserve"> </w:t>
      </w:r>
    </w:p>
    <w:p w14:paraId="27EA5B2D" w14:textId="77777777" w:rsidR="00E76E2B" w:rsidRPr="00E76E2B" w:rsidRDefault="00E76E2B" w:rsidP="00E76E2B">
      <w:pPr>
        <w:jc w:val="both"/>
        <w:rPr>
          <w:rFonts w:ascii="Arial" w:hAnsi="Arial" w:cs="Arial"/>
        </w:rPr>
      </w:pPr>
    </w:p>
    <w:p w14:paraId="64B89E7E" w14:textId="77777777" w:rsidR="00E76E2B" w:rsidRPr="00E76E2B" w:rsidRDefault="00E76E2B" w:rsidP="00E76E2B">
      <w:pPr>
        <w:jc w:val="both"/>
        <w:rPr>
          <w:rFonts w:ascii="Arial" w:hAnsi="Arial" w:cs="Arial"/>
        </w:rPr>
      </w:pPr>
      <w:commentRangeStart w:id="13"/>
      <w:r w:rsidRPr="00E76E2B">
        <w:rPr>
          <w:rFonts w:ascii="Arial" w:hAnsi="Arial" w:cs="Arial"/>
        </w:rPr>
        <w:t xml:space="preserve">Fredricks, J. A., Blumenfeld, P. C., &amp; Paris, A. H. (2004). School engagement: Potential of the </w:t>
      </w:r>
    </w:p>
    <w:p w14:paraId="19A53D1D" w14:textId="62574ACC" w:rsidR="00E76E2B" w:rsidRPr="00E76E2B" w:rsidRDefault="00E76E2B" w:rsidP="00E76E2B">
      <w:pPr>
        <w:ind w:left="720"/>
        <w:jc w:val="both"/>
        <w:rPr>
          <w:rFonts w:ascii="Arial" w:hAnsi="Arial" w:cs="Arial"/>
        </w:rPr>
      </w:pPr>
      <w:r w:rsidRPr="00E76E2B">
        <w:rPr>
          <w:rFonts w:ascii="Arial" w:hAnsi="Arial" w:cs="Arial"/>
        </w:rPr>
        <w:t>concept, state of the evidence. </w:t>
      </w:r>
      <w:r w:rsidRPr="00E76E2B">
        <w:rPr>
          <w:rFonts w:ascii="Arial" w:hAnsi="Arial" w:cs="Arial"/>
          <w:i/>
          <w:iCs/>
        </w:rPr>
        <w:t>Review of educational research</w:t>
      </w:r>
      <w:r w:rsidRPr="00E76E2B">
        <w:rPr>
          <w:rFonts w:ascii="Arial" w:hAnsi="Arial" w:cs="Arial"/>
        </w:rPr>
        <w:t>, </w:t>
      </w:r>
      <w:r w:rsidRPr="00E76E2B">
        <w:rPr>
          <w:rFonts w:ascii="Arial" w:hAnsi="Arial" w:cs="Arial"/>
          <w:i/>
          <w:iCs/>
        </w:rPr>
        <w:t>74</w:t>
      </w:r>
      <w:r w:rsidRPr="00E76E2B">
        <w:rPr>
          <w:rFonts w:ascii="Arial" w:hAnsi="Arial" w:cs="Arial"/>
        </w:rPr>
        <w:t xml:space="preserve">(1), 59-109. </w:t>
      </w:r>
      <w:hyperlink r:id="rId26" w:history="1">
        <w:r w:rsidRPr="00582D3D">
          <w:rPr>
            <w:rStyle w:val="Hyperlink"/>
            <w:rFonts w:ascii="Arial" w:hAnsi="Arial" w:cs="Arial"/>
          </w:rPr>
          <w:t>https://doi.org/10.3102/00346543074001059</w:t>
        </w:r>
      </w:hyperlink>
      <w:commentRangeEnd w:id="13"/>
      <w:r w:rsidR="00BC37A0">
        <w:rPr>
          <w:rStyle w:val="CommentReference"/>
          <w:rFonts w:ascii="Times New Roman" w:hAnsi="Times New Roman"/>
          <w:lang w:val="nb-NO" w:eastAsia="nb-NO"/>
        </w:rPr>
        <w:commentReference w:id="13"/>
      </w:r>
    </w:p>
    <w:p w14:paraId="7326463E" w14:textId="77777777" w:rsidR="00E76E2B" w:rsidRPr="00E76E2B" w:rsidRDefault="00E76E2B" w:rsidP="00E76E2B">
      <w:pPr>
        <w:jc w:val="both"/>
        <w:rPr>
          <w:rFonts w:ascii="Arial" w:hAnsi="Arial" w:cs="Arial"/>
        </w:rPr>
      </w:pPr>
    </w:p>
    <w:p w14:paraId="1E61A805" w14:textId="77777777" w:rsidR="00E76E2B" w:rsidRPr="00E76E2B" w:rsidRDefault="00E76E2B" w:rsidP="00E76E2B">
      <w:pPr>
        <w:jc w:val="both"/>
        <w:rPr>
          <w:rFonts w:ascii="Arial" w:hAnsi="Arial" w:cs="Arial"/>
        </w:rPr>
      </w:pPr>
      <w:r w:rsidRPr="00E76E2B">
        <w:rPr>
          <w:rFonts w:ascii="Arial" w:hAnsi="Arial" w:cs="Arial"/>
        </w:rPr>
        <w:t xml:space="preserve">Gamit, A. M. (2022). Cognitive skills in basic mathematics of college freshmen in the Philippines. </w:t>
      </w:r>
    </w:p>
    <w:p w14:paraId="23778615" w14:textId="21E7A879" w:rsidR="00E76E2B" w:rsidRPr="00E76E2B" w:rsidRDefault="00EF3AF5" w:rsidP="00E76E2B">
      <w:pPr>
        <w:ind w:firstLine="720"/>
        <w:jc w:val="both"/>
        <w:rPr>
          <w:rFonts w:ascii="Arial" w:hAnsi="Arial" w:cs="Arial"/>
        </w:rPr>
      </w:pPr>
      <w:hyperlink r:id="rId27" w:history="1">
        <w:r w:rsidR="00E76E2B" w:rsidRPr="00582D3D">
          <w:rPr>
            <w:rStyle w:val="Hyperlink"/>
            <w:rFonts w:ascii="Arial" w:hAnsi="Arial" w:cs="Arial"/>
          </w:rPr>
          <w:t>https://doi.org/10.4236/jamp.2022.1012240</w:t>
        </w:r>
      </w:hyperlink>
      <w:r w:rsidR="00E76E2B" w:rsidRPr="00E76E2B">
        <w:rPr>
          <w:rFonts w:ascii="Arial" w:hAnsi="Arial" w:cs="Arial"/>
        </w:rPr>
        <w:t xml:space="preserve"> </w:t>
      </w:r>
    </w:p>
    <w:p w14:paraId="3B5FAB4C" w14:textId="77777777" w:rsidR="00E76E2B" w:rsidRPr="00E76E2B" w:rsidRDefault="00E76E2B" w:rsidP="00E76E2B">
      <w:pPr>
        <w:jc w:val="both"/>
        <w:rPr>
          <w:rFonts w:ascii="Arial" w:hAnsi="Arial" w:cs="Arial"/>
        </w:rPr>
      </w:pPr>
    </w:p>
    <w:p w14:paraId="603B4A04" w14:textId="77777777" w:rsidR="00E76E2B" w:rsidRPr="00E76E2B" w:rsidRDefault="00E76E2B" w:rsidP="00E76E2B">
      <w:pPr>
        <w:jc w:val="both"/>
        <w:rPr>
          <w:rFonts w:ascii="Arial" w:hAnsi="Arial" w:cs="Arial"/>
        </w:rPr>
      </w:pPr>
      <w:r w:rsidRPr="00E76E2B">
        <w:rPr>
          <w:rFonts w:ascii="Arial" w:hAnsi="Arial" w:cs="Arial"/>
        </w:rPr>
        <w:t xml:space="preserve">Heong, Y. M., Yunos, J. M., Hassan, R., Othman, W., Mohamad, M. M., &amp; Kiong, T. T. (2016). </w:t>
      </w:r>
    </w:p>
    <w:p w14:paraId="5D935943" w14:textId="77777777" w:rsidR="00E76E2B" w:rsidRPr="00E76E2B" w:rsidRDefault="00E76E2B" w:rsidP="00E76E2B">
      <w:pPr>
        <w:ind w:left="720"/>
        <w:jc w:val="both"/>
        <w:rPr>
          <w:rFonts w:ascii="Arial" w:hAnsi="Arial" w:cs="Arial"/>
          <w:i/>
          <w:iCs/>
        </w:rPr>
      </w:pPr>
      <w:r w:rsidRPr="00E76E2B">
        <w:rPr>
          <w:rFonts w:ascii="Arial" w:hAnsi="Arial" w:cs="Arial"/>
          <w:i/>
          <w:iCs/>
        </w:rPr>
        <w:t>The role of higher order thinking skills in enhancing students’ mathematical learning engagement.</w:t>
      </w:r>
      <w:r w:rsidRPr="00E76E2B">
        <w:rPr>
          <w:rFonts w:ascii="Arial" w:hAnsi="Arial" w:cs="Arial"/>
        </w:rPr>
        <w:t xml:space="preserve"> </w:t>
      </w:r>
      <w:r w:rsidRPr="00E76E2B">
        <w:rPr>
          <w:rFonts w:ascii="Arial" w:hAnsi="Arial" w:cs="Arial"/>
          <w:i/>
          <w:iCs/>
        </w:rPr>
        <w:t>International Journal of Academic Research in Business and Social Sciences, 6</w:t>
      </w:r>
      <w:r w:rsidRPr="00E76E2B">
        <w:rPr>
          <w:rFonts w:ascii="Arial" w:hAnsi="Arial" w:cs="Arial"/>
        </w:rPr>
        <w:t xml:space="preserve">(11), 174-185. </w:t>
      </w:r>
      <w:hyperlink r:id="rId28" w:history="1">
        <w:r w:rsidRPr="00E76E2B">
          <w:rPr>
            <w:rStyle w:val="Hyperlink"/>
            <w:rFonts w:ascii="Arial" w:hAnsi="Arial" w:cs="Arial"/>
          </w:rPr>
          <w:t>https://doi.org/10.6007/IJARBSS/v6-i11/2371</w:t>
        </w:r>
      </w:hyperlink>
    </w:p>
    <w:p w14:paraId="78D4490F" w14:textId="77777777" w:rsidR="00E76E2B" w:rsidRPr="00E76E2B" w:rsidRDefault="00E76E2B" w:rsidP="00E76E2B">
      <w:pPr>
        <w:jc w:val="both"/>
        <w:rPr>
          <w:rFonts w:ascii="Arial" w:hAnsi="Arial" w:cs="Arial"/>
        </w:rPr>
      </w:pPr>
    </w:p>
    <w:p w14:paraId="0303CFF8" w14:textId="77777777" w:rsidR="00E76E2B" w:rsidRPr="00E76E2B" w:rsidRDefault="00E76E2B" w:rsidP="00E76E2B">
      <w:pPr>
        <w:jc w:val="both"/>
        <w:rPr>
          <w:rFonts w:ascii="Arial" w:hAnsi="Arial" w:cs="Arial"/>
        </w:rPr>
      </w:pPr>
      <w:r w:rsidRPr="00E76E2B">
        <w:rPr>
          <w:rFonts w:ascii="Arial" w:hAnsi="Arial" w:cs="Arial"/>
        </w:rPr>
        <w:t xml:space="preserve">Joshi, D. R., Adhikari, K. P., Khanal, B., Khadka, J., &amp; Belbase, S. (2022). Behavioral, cognitive, </w:t>
      </w:r>
    </w:p>
    <w:p w14:paraId="444E18F6" w14:textId="77777777" w:rsidR="00E76E2B" w:rsidRPr="00E76E2B" w:rsidRDefault="00E76E2B" w:rsidP="00E76E2B">
      <w:pPr>
        <w:ind w:left="720"/>
        <w:jc w:val="both"/>
        <w:rPr>
          <w:rFonts w:ascii="Arial" w:hAnsi="Arial" w:cs="Arial"/>
        </w:rPr>
      </w:pPr>
      <w:r w:rsidRPr="00E76E2B">
        <w:rPr>
          <w:rFonts w:ascii="Arial" w:hAnsi="Arial" w:cs="Arial"/>
        </w:rPr>
        <w:t>emotional and social engagement in mathematics learning during COVID-19 pandemic. </w:t>
      </w:r>
      <w:r w:rsidRPr="00E76E2B">
        <w:rPr>
          <w:rFonts w:ascii="Arial" w:hAnsi="Arial" w:cs="Arial"/>
          <w:i/>
          <w:iCs/>
        </w:rPr>
        <w:t>PloS one</w:t>
      </w:r>
      <w:r w:rsidRPr="00E76E2B">
        <w:rPr>
          <w:rFonts w:ascii="Arial" w:hAnsi="Arial" w:cs="Arial"/>
        </w:rPr>
        <w:t>, </w:t>
      </w:r>
      <w:r w:rsidRPr="00E76E2B">
        <w:rPr>
          <w:rFonts w:ascii="Arial" w:hAnsi="Arial" w:cs="Arial"/>
          <w:i/>
          <w:iCs/>
        </w:rPr>
        <w:t>17</w:t>
      </w:r>
      <w:r w:rsidRPr="00E76E2B">
        <w:rPr>
          <w:rFonts w:ascii="Arial" w:hAnsi="Arial" w:cs="Arial"/>
        </w:rPr>
        <w:t xml:space="preserve">(11), e0278052. </w:t>
      </w:r>
      <w:hyperlink r:id="rId29" w:history="1">
        <w:r w:rsidRPr="00E76E2B">
          <w:rPr>
            <w:rStyle w:val="Hyperlink"/>
            <w:rFonts w:ascii="Arial" w:hAnsi="Arial" w:cs="Arial"/>
          </w:rPr>
          <w:t>https://doi.org/10.1371/journal.pone.0278052</w:t>
        </w:r>
      </w:hyperlink>
      <w:r w:rsidRPr="00E76E2B">
        <w:rPr>
          <w:rFonts w:ascii="Arial" w:hAnsi="Arial" w:cs="Arial"/>
        </w:rPr>
        <w:t xml:space="preserve">  </w:t>
      </w:r>
    </w:p>
    <w:p w14:paraId="0320743C" w14:textId="77777777" w:rsidR="00E76E2B" w:rsidRPr="00E76E2B" w:rsidRDefault="00E76E2B" w:rsidP="00E76E2B">
      <w:pPr>
        <w:jc w:val="both"/>
        <w:rPr>
          <w:rFonts w:ascii="Arial" w:hAnsi="Arial" w:cs="Arial"/>
        </w:rPr>
      </w:pPr>
    </w:p>
    <w:p w14:paraId="0F17C444" w14:textId="77777777" w:rsidR="00E76E2B" w:rsidRPr="00E76E2B" w:rsidRDefault="00E76E2B" w:rsidP="00E76E2B">
      <w:pPr>
        <w:jc w:val="both"/>
        <w:rPr>
          <w:rFonts w:ascii="Arial" w:hAnsi="Arial" w:cs="Arial"/>
        </w:rPr>
      </w:pPr>
      <w:r w:rsidRPr="00E76E2B">
        <w:rPr>
          <w:rFonts w:ascii="Arial" w:hAnsi="Arial" w:cs="Arial"/>
        </w:rPr>
        <w:t xml:space="preserve">Krath, J., Schürmann, L., &amp; Von Korflesch, H. F. (2021). Revealing the theoretical basis of </w:t>
      </w:r>
    </w:p>
    <w:p w14:paraId="1DD12D77" w14:textId="77777777" w:rsidR="00E76E2B" w:rsidRPr="00E76E2B" w:rsidRDefault="00E76E2B" w:rsidP="00E76E2B">
      <w:pPr>
        <w:ind w:left="720"/>
        <w:jc w:val="both"/>
        <w:rPr>
          <w:rFonts w:ascii="Arial" w:hAnsi="Arial" w:cs="Arial"/>
        </w:rPr>
      </w:pPr>
      <w:r w:rsidRPr="00E76E2B">
        <w:rPr>
          <w:rFonts w:ascii="Arial" w:hAnsi="Arial" w:cs="Arial"/>
        </w:rPr>
        <w:t>gamification: A systematic review and analysis of theory in research on gamification, serious games and game-based learning. </w:t>
      </w:r>
      <w:r w:rsidRPr="00E76E2B">
        <w:rPr>
          <w:rFonts w:ascii="Arial" w:hAnsi="Arial" w:cs="Arial"/>
          <w:i/>
          <w:iCs/>
        </w:rPr>
        <w:t>Computers in human behavior</w:t>
      </w:r>
      <w:r w:rsidRPr="00E76E2B">
        <w:rPr>
          <w:rFonts w:ascii="Arial" w:hAnsi="Arial" w:cs="Arial"/>
        </w:rPr>
        <w:t>, </w:t>
      </w:r>
      <w:r w:rsidRPr="00E76E2B">
        <w:rPr>
          <w:rFonts w:ascii="Arial" w:hAnsi="Arial" w:cs="Arial"/>
          <w:i/>
          <w:iCs/>
        </w:rPr>
        <w:t>125</w:t>
      </w:r>
      <w:r w:rsidRPr="00E76E2B">
        <w:rPr>
          <w:rFonts w:ascii="Arial" w:hAnsi="Arial" w:cs="Arial"/>
        </w:rPr>
        <w:t xml:space="preserve">, 106963. </w:t>
      </w:r>
      <w:hyperlink r:id="rId30" w:tgtFrame="_blank" w:tooltip="Persistent link using digital object identifier" w:history="1">
        <w:r w:rsidRPr="00E76E2B">
          <w:rPr>
            <w:rStyle w:val="Hyperlink"/>
            <w:rFonts w:ascii="Arial" w:hAnsi="Arial" w:cs="Arial"/>
          </w:rPr>
          <w:t>https://doi.org/10.1016/j.chb.2021.106963</w:t>
        </w:r>
      </w:hyperlink>
    </w:p>
    <w:p w14:paraId="7CC9E0A7" w14:textId="77777777" w:rsidR="00E76E2B" w:rsidRPr="00E76E2B" w:rsidRDefault="00E76E2B" w:rsidP="00E76E2B">
      <w:pPr>
        <w:jc w:val="both"/>
        <w:rPr>
          <w:rFonts w:ascii="Arial" w:hAnsi="Arial" w:cs="Arial"/>
        </w:rPr>
      </w:pPr>
    </w:p>
    <w:p w14:paraId="67BC703C" w14:textId="77777777" w:rsidR="00E76E2B" w:rsidRPr="00E76E2B" w:rsidRDefault="00E76E2B" w:rsidP="00E76E2B">
      <w:pPr>
        <w:jc w:val="both"/>
        <w:rPr>
          <w:rFonts w:ascii="Arial" w:hAnsi="Arial" w:cs="Arial"/>
        </w:rPr>
      </w:pPr>
    </w:p>
    <w:p w14:paraId="432A9A85" w14:textId="77777777" w:rsidR="00E76E2B" w:rsidRPr="00E76E2B" w:rsidRDefault="00E76E2B" w:rsidP="00E76E2B">
      <w:pPr>
        <w:jc w:val="both"/>
        <w:rPr>
          <w:rFonts w:ascii="Arial" w:hAnsi="Arial" w:cs="Arial"/>
        </w:rPr>
      </w:pPr>
    </w:p>
    <w:p w14:paraId="5476A94C" w14:textId="77777777" w:rsidR="00E76E2B" w:rsidRPr="00E76E2B" w:rsidRDefault="00E76E2B" w:rsidP="00E76E2B">
      <w:pPr>
        <w:jc w:val="both"/>
        <w:rPr>
          <w:rFonts w:ascii="Arial" w:hAnsi="Arial" w:cs="Arial"/>
          <w:i/>
          <w:iCs/>
        </w:rPr>
      </w:pPr>
      <w:r w:rsidRPr="00E76E2B">
        <w:rPr>
          <w:rFonts w:ascii="Arial" w:hAnsi="Arial" w:cs="Arial"/>
        </w:rPr>
        <w:t xml:space="preserve">Kunter, M., Klusmann, U., Baumert, J., Richter, D., Voss, T., &amp; Hachfeld, A. (2016). </w:t>
      </w:r>
      <w:r w:rsidRPr="00E76E2B">
        <w:rPr>
          <w:rFonts w:ascii="Arial" w:hAnsi="Arial" w:cs="Arial"/>
          <w:i/>
          <w:iCs/>
        </w:rPr>
        <w:t xml:space="preserve">Professional </w:t>
      </w:r>
    </w:p>
    <w:p w14:paraId="67499F4D" w14:textId="77777777" w:rsidR="00E76E2B" w:rsidRPr="00E76E2B" w:rsidRDefault="00E76E2B" w:rsidP="00E76E2B">
      <w:pPr>
        <w:ind w:left="720"/>
        <w:jc w:val="both"/>
        <w:rPr>
          <w:rFonts w:ascii="Arial" w:hAnsi="Arial" w:cs="Arial"/>
          <w:i/>
          <w:iCs/>
        </w:rPr>
      </w:pPr>
      <w:r w:rsidRPr="00E76E2B">
        <w:rPr>
          <w:rFonts w:ascii="Arial" w:hAnsi="Arial" w:cs="Arial"/>
          <w:i/>
          <w:iCs/>
        </w:rPr>
        <w:t>competence of teachers: Effects on instructional quality and student development.</w:t>
      </w:r>
      <w:r w:rsidRPr="00E76E2B">
        <w:rPr>
          <w:rFonts w:ascii="Arial" w:hAnsi="Arial" w:cs="Arial"/>
        </w:rPr>
        <w:t xml:space="preserve"> </w:t>
      </w:r>
      <w:r w:rsidRPr="00E76E2B">
        <w:rPr>
          <w:rFonts w:ascii="Arial" w:hAnsi="Arial" w:cs="Arial"/>
          <w:i/>
          <w:iCs/>
        </w:rPr>
        <w:t>Journal of Educational Psychology, 108</w:t>
      </w:r>
      <w:r w:rsidRPr="00E76E2B">
        <w:rPr>
          <w:rFonts w:ascii="Arial" w:hAnsi="Arial" w:cs="Arial"/>
        </w:rPr>
        <w:t xml:space="preserve">(5), 805-820. </w:t>
      </w:r>
      <w:hyperlink r:id="rId31" w:history="1">
        <w:r w:rsidRPr="00E76E2B">
          <w:rPr>
            <w:rStyle w:val="Hyperlink"/>
            <w:rFonts w:ascii="Arial" w:hAnsi="Arial" w:cs="Arial"/>
          </w:rPr>
          <w:t>https://doi.org/10.1037/edu0000081</w:t>
        </w:r>
      </w:hyperlink>
    </w:p>
    <w:p w14:paraId="0E712CE2" w14:textId="77777777" w:rsidR="00E76E2B" w:rsidRPr="00E76E2B" w:rsidRDefault="00E76E2B" w:rsidP="00E76E2B">
      <w:pPr>
        <w:jc w:val="both"/>
        <w:rPr>
          <w:rFonts w:ascii="Arial" w:hAnsi="Arial" w:cs="Arial"/>
        </w:rPr>
      </w:pPr>
    </w:p>
    <w:p w14:paraId="26D3A0C3" w14:textId="77777777" w:rsidR="00E76E2B" w:rsidRPr="00E76E2B" w:rsidRDefault="00E76E2B" w:rsidP="00E76E2B">
      <w:pPr>
        <w:jc w:val="both"/>
        <w:rPr>
          <w:rFonts w:ascii="Arial" w:hAnsi="Arial" w:cs="Arial"/>
        </w:rPr>
      </w:pPr>
      <w:r w:rsidRPr="00E76E2B">
        <w:rPr>
          <w:rFonts w:ascii="Arial" w:hAnsi="Arial" w:cs="Arial"/>
        </w:rPr>
        <w:t xml:space="preserve">Li, W., Huang, J. Y., Liu, C. Y., Tseng, J. C., &amp; Wang, S. P. (2023). A study on the relationship </w:t>
      </w:r>
    </w:p>
    <w:p w14:paraId="1FCB1755" w14:textId="77777777" w:rsidR="00E76E2B" w:rsidRPr="00E76E2B" w:rsidRDefault="00E76E2B" w:rsidP="00E76E2B">
      <w:pPr>
        <w:ind w:left="720"/>
        <w:jc w:val="both"/>
        <w:rPr>
          <w:rFonts w:ascii="Arial" w:hAnsi="Arial" w:cs="Arial"/>
        </w:rPr>
      </w:pPr>
      <w:r w:rsidRPr="00E76E2B">
        <w:rPr>
          <w:rFonts w:ascii="Arial" w:hAnsi="Arial" w:cs="Arial"/>
        </w:rPr>
        <w:t>between student'learning engagements and higher-order thinking skills in programming learning. </w:t>
      </w:r>
      <w:r w:rsidRPr="00E76E2B">
        <w:rPr>
          <w:rFonts w:ascii="Arial" w:hAnsi="Arial" w:cs="Arial"/>
          <w:i/>
          <w:iCs/>
        </w:rPr>
        <w:t>Thinking Skills and Creativity</w:t>
      </w:r>
      <w:r w:rsidRPr="00E76E2B">
        <w:rPr>
          <w:rFonts w:ascii="Arial" w:hAnsi="Arial" w:cs="Arial"/>
        </w:rPr>
        <w:t>, </w:t>
      </w:r>
      <w:r w:rsidRPr="00E76E2B">
        <w:rPr>
          <w:rFonts w:ascii="Arial" w:hAnsi="Arial" w:cs="Arial"/>
          <w:i/>
          <w:iCs/>
        </w:rPr>
        <w:t>49</w:t>
      </w:r>
      <w:r w:rsidRPr="00E76E2B">
        <w:rPr>
          <w:rFonts w:ascii="Arial" w:hAnsi="Arial" w:cs="Arial"/>
        </w:rPr>
        <w:t xml:space="preserve">, 101369. </w:t>
      </w:r>
      <w:hyperlink r:id="rId32" w:history="1">
        <w:r w:rsidRPr="00E76E2B">
          <w:rPr>
            <w:rStyle w:val="Hyperlink"/>
            <w:rFonts w:ascii="Arial" w:hAnsi="Arial" w:cs="Arial"/>
          </w:rPr>
          <w:t>https://doi.org/10.1016/j.tsc.2023.101369</w:t>
        </w:r>
      </w:hyperlink>
      <w:r w:rsidRPr="00E76E2B">
        <w:rPr>
          <w:rFonts w:ascii="Arial" w:hAnsi="Arial" w:cs="Arial"/>
        </w:rPr>
        <w:t xml:space="preserve"> </w:t>
      </w:r>
    </w:p>
    <w:p w14:paraId="4D4ADE16" w14:textId="77777777" w:rsidR="00E76E2B" w:rsidRPr="00E76E2B" w:rsidRDefault="00E76E2B" w:rsidP="00E76E2B">
      <w:pPr>
        <w:jc w:val="both"/>
        <w:rPr>
          <w:rFonts w:ascii="Arial" w:hAnsi="Arial" w:cs="Arial"/>
        </w:rPr>
      </w:pPr>
    </w:p>
    <w:p w14:paraId="4C36D366" w14:textId="77777777" w:rsidR="00E76E2B" w:rsidRPr="00E76E2B" w:rsidRDefault="00E76E2B" w:rsidP="00E76E2B">
      <w:pPr>
        <w:jc w:val="both"/>
        <w:rPr>
          <w:rFonts w:ascii="Arial" w:hAnsi="Arial" w:cs="Arial"/>
        </w:rPr>
      </w:pPr>
      <w:r w:rsidRPr="00E76E2B">
        <w:rPr>
          <w:rFonts w:ascii="Arial" w:hAnsi="Arial" w:cs="Arial"/>
        </w:rPr>
        <w:t xml:space="preserve">Llorente, H. M. C., &amp; Tado, P. P. (2024). The mediating effect of problem-based learning on the </w:t>
      </w:r>
    </w:p>
    <w:p w14:paraId="6E58CEFD" w14:textId="77777777" w:rsidR="00E76E2B" w:rsidRPr="00E76E2B" w:rsidRDefault="00E76E2B" w:rsidP="00E76E2B">
      <w:pPr>
        <w:ind w:left="720"/>
        <w:jc w:val="both"/>
        <w:rPr>
          <w:rFonts w:ascii="Arial" w:hAnsi="Arial" w:cs="Arial"/>
        </w:rPr>
      </w:pPr>
      <w:r w:rsidRPr="00E76E2B">
        <w:rPr>
          <w:rFonts w:ascii="Arial" w:hAnsi="Arial" w:cs="Arial"/>
        </w:rPr>
        <w:t>relationship between technology integration and student engagement in mathematics. </w:t>
      </w:r>
      <w:r w:rsidRPr="00E76E2B">
        <w:rPr>
          <w:rFonts w:ascii="Arial" w:hAnsi="Arial" w:cs="Arial"/>
          <w:i/>
          <w:iCs/>
        </w:rPr>
        <w:t>Asian Journal of Education and Social Studies</w:t>
      </w:r>
      <w:r w:rsidRPr="00E76E2B">
        <w:rPr>
          <w:rFonts w:ascii="Arial" w:hAnsi="Arial" w:cs="Arial"/>
        </w:rPr>
        <w:t>, </w:t>
      </w:r>
      <w:r w:rsidRPr="00E76E2B">
        <w:rPr>
          <w:rFonts w:ascii="Arial" w:hAnsi="Arial" w:cs="Arial"/>
          <w:i/>
          <w:iCs/>
        </w:rPr>
        <w:t>50</w:t>
      </w:r>
      <w:r w:rsidRPr="00E76E2B">
        <w:rPr>
          <w:rFonts w:ascii="Arial" w:hAnsi="Arial" w:cs="Arial"/>
        </w:rPr>
        <w:t>(4), 54-69.</w:t>
      </w:r>
      <w:hyperlink r:id="rId33" w:history="1">
        <w:r w:rsidRPr="00E76E2B">
          <w:rPr>
            <w:rStyle w:val="Hyperlink"/>
            <w:rFonts w:ascii="Arial" w:hAnsi="Arial" w:cs="Arial"/>
          </w:rPr>
          <w:t>https://doi.org/10.9734/ajess/2024/v50i41310</w:t>
        </w:r>
      </w:hyperlink>
      <w:r w:rsidRPr="00E76E2B">
        <w:rPr>
          <w:rFonts w:ascii="Arial" w:hAnsi="Arial" w:cs="Arial"/>
        </w:rPr>
        <w:t xml:space="preserve"> </w:t>
      </w:r>
    </w:p>
    <w:p w14:paraId="60099F11" w14:textId="77777777" w:rsidR="00E76E2B" w:rsidRPr="00E76E2B" w:rsidRDefault="00E76E2B" w:rsidP="00E76E2B">
      <w:pPr>
        <w:jc w:val="both"/>
        <w:rPr>
          <w:rFonts w:ascii="Arial" w:hAnsi="Arial" w:cs="Arial"/>
        </w:rPr>
      </w:pPr>
    </w:p>
    <w:p w14:paraId="6C284363" w14:textId="77777777" w:rsidR="00E76E2B" w:rsidRPr="00E76E2B" w:rsidRDefault="00E76E2B" w:rsidP="00E76E2B">
      <w:pPr>
        <w:jc w:val="both"/>
        <w:rPr>
          <w:rFonts w:ascii="Arial" w:hAnsi="Arial" w:cs="Arial"/>
        </w:rPr>
      </w:pPr>
      <w:r w:rsidRPr="00E76E2B">
        <w:rPr>
          <w:rFonts w:ascii="Arial" w:hAnsi="Arial" w:cs="Arial"/>
        </w:rPr>
        <w:t xml:space="preserve">Lo, C. K., Hew, K. F., &amp; Jong, M. S. Y. (2024). The influence of ChatGPT on student engagement: </w:t>
      </w:r>
    </w:p>
    <w:p w14:paraId="5FAE229A" w14:textId="22C14137" w:rsidR="00E76E2B" w:rsidRPr="00E76E2B" w:rsidRDefault="00E76E2B" w:rsidP="00E76E2B">
      <w:pPr>
        <w:ind w:left="720"/>
        <w:jc w:val="both"/>
        <w:rPr>
          <w:rFonts w:ascii="Arial" w:hAnsi="Arial" w:cs="Arial"/>
        </w:rPr>
      </w:pPr>
      <w:r w:rsidRPr="00E76E2B">
        <w:rPr>
          <w:rFonts w:ascii="Arial" w:hAnsi="Arial" w:cs="Arial"/>
        </w:rPr>
        <w:t>A systematic review and future research agenda. </w:t>
      </w:r>
      <w:r w:rsidRPr="00E76E2B">
        <w:rPr>
          <w:rFonts w:ascii="Arial" w:hAnsi="Arial" w:cs="Arial"/>
          <w:i/>
          <w:iCs/>
        </w:rPr>
        <w:t>Computers &amp; Education</w:t>
      </w:r>
      <w:r w:rsidRPr="00E76E2B">
        <w:rPr>
          <w:rFonts w:ascii="Arial" w:hAnsi="Arial" w:cs="Arial"/>
        </w:rPr>
        <w:t xml:space="preserve">, 105100. </w:t>
      </w:r>
      <w:hyperlink r:id="rId34" w:history="1">
        <w:r w:rsidRPr="00582D3D">
          <w:rPr>
            <w:rStyle w:val="Hyperlink"/>
            <w:rFonts w:ascii="Arial" w:hAnsi="Arial" w:cs="Arial"/>
          </w:rPr>
          <w:t>https://doi.org/10.1016/j.compedu.2024.105100</w:t>
        </w:r>
      </w:hyperlink>
    </w:p>
    <w:p w14:paraId="36724EAE" w14:textId="77777777" w:rsidR="00E76E2B" w:rsidRPr="00E76E2B" w:rsidRDefault="00E76E2B" w:rsidP="00E76E2B">
      <w:pPr>
        <w:jc w:val="both"/>
        <w:rPr>
          <w:rFonts w:ascii="Arial" w:hAnsi="Arial" w:cs="Arial"/>
        </w:rPr>
      </w:pPr>
    </w:p>
    <w:p w14:paraId="5A412FCB" w14:textId="77777777" w:rsidR="00E76E2B" w:rsidRPr="00E76E2B" w:rsidRDefault="00E76E2B" w:rsidP="00E76E2B">
      <w:pPr>
        <w:jc w:val="both"/>
        <w:rPr>
          <w:rFonts w:ascii="Arial" w:hAnsi="Arial" w:cs="Arial"/>
        </w:rPr>
      </w:pPr>
      <w:r w:rsidRPr="00E76E2B">
        <w:rPr>
          <w:rFonts w:ascii="Arial" w:hAnsi="Arial" w:cs="Arial"/>
        </w:rPr>
        <w:t xml:space="preserve">Mariani, M. M., Hashemi, N., &amp; Wirtz, J. (2023). Artificial intelligence empowered conversational </w:t>
      </w:r>
    </w:p>
    <w:p w14:paraId="11D35CA2" w14:textId="1F8F7C9A" w:rsidR="00E76E2B" w:rsidRDefault="00E76E2B" w:rsidP="00E76E2B">
      <w:pPr>
        <w:ind w:left="720"/>
        <w:jc w:val="both"/>
        <w:rPr>
          <w:rFonts w:ascii="Arial" w:hAnsi="Arial" w:cs="Arial"/>
        </w:rPr>
      </w:pPr>
      <w:r w:rsidRPr="00E76E2B">
        <w:rPr>
          <w:rFonts w:ascii="Arial" w:hAnsi="Arial" w:cs="Arial"/>
        </w:rPr>
        <w:lastRenderedPageBreak/>
        <w:t>agents: A systematic literature review and research agenda. </w:t>
      </w:r>
      <w:r w:rsidRPr="00E76E2B">
        <w:rPr>
          <w:rFonts w:ascii="Arial" w:hAnsi="Arial" w:cs="Arial"/>
          <w:i/>
          <w:iCs/>
        </w:rPr>
        <w:t>Journal of Business Research</w:t>
      </w:r>
      <w:r w:rsidRPr="00E76E2B">
        <w:rPr>
          <w:rFonts w:ascii="Arial" w:hAnsi="Arial" w:cs="Arial"/>
        </w:rPr>
        <w:t>, </w:t>
      </w:r>
      <w:r w:rsidRPr="00E76E2B">
        <w:rPr>
          <w:rFonts w:ascii="Arial" w:hAnsi="Arial" w:cs="Arial"/>
          <w:i/>
          <w:iCs/>
        </w:rPr>
        <w:t>161</w:t>
      </w:r>
      <w:r w:rsidRPr="00E76E2B">
        <w:rPr>
          <w:rFonts w:ascii="Arial" w:hAnsi="Arial" w:cs="Arial"/>
        </w:rPr>
        <w:t xml:space="preserve">, 113838. </w:t>
      </w:r>
      <w:hyperlink r:id="rId35" w:history="1">
        <w:r w:rsidRPr="00582D3D">
          <w:rPr>
            <w:rStyle w:val="Hyperlink"/>
            <w:rFonts w:ascii="Arial" w:hAnsi="Arial" w:cs="Arial"/>
          </w:rPr>
          <w:t>https://doi.org/10.1016/j.jbusres.2023.113838</w:t>
        </w:r>
      </w:hyperlink>
      <w:r w:rsidRPr="00E76E2B">
        <w:rPr>
          <w:rFonts w:ascii="Arial" w:hAnsi="Arial" w:cs="Arial"/>
        </w:rPr>
        <w:t xml:space="preserve"> </w:t>
      </w:r>
    </w:p>
    <w:p w14:paraId="447BD50F" w14:textId="77777777" w:rsidR="00E76E2B" w:rsidRPr="00E76E2B" w:rsidRDefault="00E76E2B" w:rsidP="00E76E2B">
      <w:pPr>
        <w:ind w:left="720"/>
        <w:jc w:val="both"/>
        <w:rPr>
          <w:rFonts w:ascii="Arial" w:hAnsi="Arial" w:cs="Arial"/>
        </w:rPr>
      </w:pPr>
    </w:p>
    <w:p w14:paraId="74957D2D" w14:textId="77777777" w:rsidR="00E76E2B" w:rsidRPr="00E76E2B" w:rsidRDefault="00E76E2B" w:rsidP="00E76E2B">
      <w:pPr>
        <w:jc w:val="both"/>
        <w:rPr>
          <w:rFonts w:ascii="Arial" w:hAnsi="Arial" w:cs="Arial"/>
          <w:lang w:val="it-IT"/>
        </w:rPr>
      </w:pPr>
      <w:r w:rsidRPr="00E76E2B">
        <w:rPr>
          <w:rFonts w:ascii="Arial" w:hAnsi="Arial" w:cs="Arial"/>
          <w:lang w:val="it-IT"/>
        </w:rPr>
        <w:t xml:space="preserve">McMullen, J., Bui, P., Brezovszky, B., Lehtinen, E., &amp; Hannula-Sormunen, M. (2023). </w:t>
      </w:r>
    </w:p>
    <w:p w14:paraId="25F02EBF" w14:textId="77777777" w:rsidR="00E76E2B" w:rsidRPr="00E76E2B" w:rsidRDefault="00E76E2B" w:rsidP="00E76E2B">
      <w:pPr>
        <w:ind w:left="720"/>
        <w:jc w:val="both"/>
        <w:rPr>
          <w:rFonts w:ascii="Arial" w:hAnsi="Arial" w:cs="Arial"/>
        </w:rPr>
      </w:pPr>
      <w:r w:rsidRPr="00E76E2B">
        <w:rPr>
          <w:rFonts w:ascii="Arial" w:hAnsi="Arial" w:cs="Arial"/>
          <w:lang w:val="it-IT"/>
        </w:rPr>
        <w:t>Mathematical game performance as an indicator of deliberate practice. </w:t>
      </w:r>
      <w:r w:rsidRPr="00E76E2B">
        <w:rPr>
          <w:rFonts w:ascii="Arial" w:hAnsi="Arial" w:cs="Arial"/>
          <w:i/>
          <w:iCs/>
          <w:lang w:val="it-IT"/>
        </w:rPr>
        <w:t>International Journal of Serious Games</w:t>
      </w:r>
      <w:r w:rsidRPr="00E76E2B">
        <w:rPr>
          <w:rFonts w:ascii="Arial" w:hAnsi="Arial" w:cs="Arial"/>
          <w:lang w:val="it-IT"/>
        </w:rPr>
        <w:t>, </w:t>
      </w:r>
      <w:r w:rsidRPr="00E76E2B">
        <w:rPr>
          <w:rFonts w:ascii="Arial" w:hAnsi="Arial" w:cs="Arial"/>
          <w:i/>
          <w:iCs/>
          <w:lang w:val="it-IT"/>
        </w:rPr>
        <w:t>10</w:t>
      </w:r>
      <w:r w:rsidRPr="00E76E2B">
        <w:rPr>
          <w:rFonts w:ascii="Arial" w:hAnsi="Arial" w:cs="Arial"/>
          <w:lang w:val="it-IT"/>
        </w:rPr>
        <w:t xml:space="preserve">(4), 113-130. </w:t>
      </w:r>
      <w:hyperlink r:id="rId36" w:history="1">
        <w:r w:rsidRPr="00E76E2B">
          <w:rPr>
            <w:rStyle w:val="Hyperlink"/>
            <w:rFonts w:ascii="Arial" w:hAnsi="Arial" w:cs="Arial"/>
            <w:lang w:val="it-IT"/>
          </w:rPr>
          <w:t>https://doi.org/10.17083/ijsg.v10i4.634</w:t>
        </w:r>
      </w:hyperlink>
      <w:r w:rsidRPr="00E76E2B">
        <w:rPr>
          <w:rFonts w:ascii="Arial" w:hAnsi="Arial" w:cs="Arial"/>
          <w:lang w:val="it-IT"/>
        </w:rPr>
        <w:t xml:space="preserve"> </w:t>
      </w:r>
    </w:p>
    <w:p w14:paraId="0A3E118F" w14:textId="77777777" w:rsidR="00E76E2B" w:rsidRPr="00E76E2B" w:rsidRDefault="00E76E2B" w:rsidP="00E76E2B">
      <w:pPr>
        <w:jc w:val="both"/>
        <w:rPr>
          <w:rFonts w:ascii="Arial" w:hAnsi="Arial" w:cs="Arial"/>
        </w:rPr>
      </w:pPr>
    </w:p>
    <w:p w14:paraId="0A3448F5" w14:textId="77777777" w:rsidR="00E76E2B" w:rsidRPr="00E76E2B" w:rsidRDefault="00E76E2B" w:rsidP="00E76E2B">
      <w:pPr>
        <w:jc w:val="both"/>
        <w:rPr>
          <w:rFonts w:ascii="Arial" w:hAnsi="Arial" w:cs="Arial"/>
          <w:i/>
          <w:iCs/>
        </w:rPr>
      </w:pPr>
      <w:r w:rsidRPr="00E76E2B">
        <w:rPr>
          <w:rFonts w:ascii="Arial" w:hAnsi="Arial" w:cs="Arial"/>
        </w:rPr>
        <w:t>Ngunjiri, M. (2022). The role of assessment in mathematics classrooms: a review. </w:t>
      </w:r>
      <w:r w:rsidRPr="00E76E2B">
        <w:rPr>
          <w:rFonts w:ascii="Arial" w:hAnsi="Arial" w:cs="Arial"/>
          <w:i/>
          <w:iCs/>
        </w:rPr>
        <w:t xml:space="preserve">International </w:t>
      </w:r>
    </w:p>
    <w:p w14:paraId="12DFA6B7" w14:textId="77777777" w:rsidR="00E76E2B" w:rsidRPr="00E76E2B" w:rsidRDefault="00E76E2B" w:rsidP="00E76E2B">
      <w:pPr>
        <w:ind w:firstLine="720"/>
        <w:jc w:val="both"/>
        <w:rPr>
          <w:rFonts w:ascii="Arial" w:hAnsi="Arial" w:cs="Arial"/>
          <w:i/>
          <w:iCs/>
        </w:rPr>
      </w:pPr>
      <w:r w:rsidRPr="00E76E2B">
        <w:rPr>
          <w:rFonts w:ascii="Arial" w:hAnsi="Arial" w:cs="Arial"/>
          <w:i/>
          <w:iCs/>
        </w:rPr>
        <w:t>Journal of Advanced Research</w:t>
      </w:r>
      <w:r w:rsidRPr="00E76E2B">
        <w:rPr>
          <w:rFonts w:ascii="Arial" w:hAnsi="Arial" w:cs="Arial"/>
        </w:rPr>
        <w:t>, </w:t>
      </w:r>
      <w:r w:rsidRPr="00E76E2B">
        <w:rPr>
          <w:rFonts w:ascii="Arial" w:hAnsi="Arial" w:cs="Arial"/>
          <w:i/>
          <w:iCs/>
        </w:rPr>
        <w:t>5</w:t>
      </w:r>
      <w:r w:rsidRPr="00E76E2B">
        <w:rPr>
          <w:rFonts w:ascii="Arial" w:hAnsi="Arial" w:cs="Arial"/>
        </w:rPr>
        <w:t xml:space="preserve">(1), 156-160. </w:t>
      </w:r>
      <w:hyperlink r:id="rId37" w:history="1">
        <w:r w:rsidRPr="00E76E2B">
          <w:rPr>
            <w:rStyle w:val="Hyperlink"/>
            <w:rFonts w:ascii="Arial" w:hAnsi="Arial" w:cs="Arial"/>
          </w:rPr>
          <w:t>https://doi.org/10.37284/ijar.5.1.887</w:t>
        </w:r>
      </w:hyperlink>
      <w:r w:rsidRPr="00E76E2B">
        <w:rPr>
          <w:rFonts w:ascii="Arial" w:hAnsi="Arial" w:cs="Arial"/>
        </w:rPr>
        <w:t xml:space="preserve"> </w:t>
      </w:r>
    </w:p>
    <w:p w14:paraId="290B6770" w14:textId="77777777" w:rsidR="00E76E2B" w:rsidRPr="00E76E2B" w:rsidRDefault="00E76E2B" w:rsidP="00E76E2B">
      <w:pPr>
        <w:jc w:val="both"/>
        <w:rPr>
          <w:rFonts w:ascii="Arial" w:hAnsi="Arial" w:cs="Arial"/>
        </w:rPr>
      </w:pPr>
    </w:p>
    <w:p w14:paraId="358C0CEE" w14:textId="77777777" w:rsidR="00E76E2B" w:rsidRPr="00E76E2B" w:rsidRDefault="00E76E2B" w:rsidP="00E76E2B">
      <w:pPr>
        <w:jc w:val="both"/>
        <w:rPr>
          <w:rFonts w:ascii="Arial" w:hAnsi="Arial" w:cs="Arial"/>
        </w:rPr>
      </w:pPr>
      <w:r w:rsidRPr="00E76E2B">
        <w:rPr>
          <w:rFonts w:ascii="Arial" w:hAnsi="Arial" w:cs="Arial"/>
        </w:rPr>
        <w:t xml:space="preserve">Nonyelum, D. N., Ogugua, K. K., &amp; Abah, J. A. (2022). Influence of student-teacher relationship </w:t>
      </w:r>
    </w:p>
    <w:p w14:paraId="58D8C6C0" w14:textId="77777777" w:rsidR="00E76E2B" w:rsidRPr="00E76E2B" w:rsidRDefault="00E76E2B" w:rsidP="00E76E2B">
      <w:pPr>
        <w:ind w:left="720"/>
        <w:jc w:val="both"/>
        <w:rPr>
          <w:rFonts w:ascii="Arial" w:hAnsi="Arial" w:cs="Arial"/>
        </w:rPr>
      </w:pPr>
      <w:r w:rsidRPr="00E76E2B">
        <w:rPr>
          <w:rFonts w:ascii="Arial" w:hAnsi="Arial" w:cs="Arial"/>
        </w:rPr>
        <w:t>on the academic performance of junior secondary school students in mathematics in Makurdi Local Government Area of Benue State, Nigeria. </w:t>
      </w:r>
      <w:r w:rsidRPr="00E76E2B">
        <w:rPr>
          <w:rFonts w:ascii="Arial" w:hAnsi="Arial" w:cs="Arial"/>
          <w:i/>
          <w:iCs/>
        </w:rPr>
        <w:t>VillageMath Educational Review (VER)</w:t>
      </w:r>
      <w:r w:rsidRPr="00E76E2B">
        <w:rPr>
          <w:rFonts w:ascii="Arial" w:hAnsi="Arial" w:cs="Arial"/>
        </w:rPr>
        <w:t>, </w:t>
      </w:r>
      <w:r w:rsidRPr="00E76E2B">
        <w:rPr>
          <w:rFonts w:ascii="Arial" w:hAnsi="Arial" w:cs="Arial"/>
          <w:i/>
          <w:iCs/>
        </w:rPr>
        <w:t>3</w:t>
      </w:r>
      <w:r w:rsidRPr="00E76E2B">
        <w:rPr>
          <w:rFonts w:ascii="Arial" w:hAnsi="Arial" w:cs="Arial"/>
        </w:rPr>
        <w:t>(1), 26-52. http://doi.org/</w:t>
      </w:r>
      <w:r w:rsidRPr="00E76E2B">
        <w:rPr>
          <w:rFonts w:ascii="Arial" w:hAnsi="Arial" w:cs="Arial"/>
          <w:kern w:val="2"/>
        </w:rPr>
        <w:t xml:space="preserve"> </w:t>
      </w:r>
      <w:hyperlink r:id="rId38" w:tgtFrame="_blank" w:history="1">
        <w:r w:rsidRPr="00E76E2B">
          <w:rPr>
            <w:rStyle w:val="Hyperlink"/>
            <w:rFonts w:ascii="Arial" w:hAnsi="Arial" w:cs="Arial"/>
          </w:rPr>
          <w:t>10.5281/zenodo.5817149</w:t>
        </w:r>
      </w:hyperlink>
      <w:r w:rsidRPr="00E76E2B">
        <w:rPr>
          <w:rFonts w:ascii="Arial" w:hAnsi="Arial" w:cs="Arial"/>
        </w:rPr>
        <w:t xml:space="preserve"> </w:t>
      </w:r>
    </w:p>
    <w:p w14:paraId="0F4D87BF" w14:textId="77777777" w:rsidR="00E76E2B" w:rsidRPr="00E76E2B" w:rsidRDefault="00E76E2B" w:rsidP="00E76E2B">
      <w:pPr>
        <w:jc w:val="both"/>
        <w:rPr>
          <w:rFonts w:ascii="Arial" w:hAnsi="Arial" w:cs="Arial"/>
        </w:rPr>
      </w:pPr>
    </w:p>
    <w:p w14:paraId="4E337891" w14:textId="77777777" w:rsidR="00E76E2B" w:rsidRDefault="00E76E2B" w:rsidP="00E76E2B">
      <w:pPr>
        <w:jc w:val="both"/>
        <w:rPr>
          <w:rFonts w:ascii="Arial" w:hAnsi="Arial" w:cs="Arial"/>
        </w:rPr>
      </w:pPr>
    </w:p>
    <w:p w14:paraId="5052ADF9" w14:textId="77777777" w:rsidR="00E76E2B" w:rsidRDefault="00E76E2B" w:rsidP="00E76E2B">
      <w:pPr>
        <w:jc w:val="both"/>
        <w:rPr>
          <w:rFonts w:ascii="Arial" w:hAnsi="Arial" w:cs="Arial"/>
        </w:rPr>
      </w:pPr>
    </w:p>
    <w:p w14:paraId="2C5D759E" w14:textId="19AB0104" w:rsidR="00E76E2B" w:rsidRPr="00E76E2B" w:rsidRDefault="00E76E2B" w:rsidP="00E76E2B">
      <w:pPr>
        <w:jc w:val="both"/>
        <w:rPr>
          <w:rFonts w:ascii="Arial" w:hAnsi="Arial" w:cs="Arial"/>
        </w:rPr>
      </w:pPr>
      <w:r w:rsidRPr="00E76E2B">
        <w:rPr>
          <w:rFonts w:ascii="Arial" w:hAnsi="Arial" w:cs="Arial"/>
        </w:rPr>
        <w:t xml:space="preserve">Peteros, E. D., Benemerito, G. N., Peconcillo Jr, L. B., de Vera, J. V., &amp; Alcantara, G. A. (2022). </w:t>
      </w:r>
    </w:p>
    <w:p w14:paraId="1875EFF7" w14:textId="77777777" w:rsidR="00E76E2B" w:rsidRPr="00E76E2B" w:rsidRDefault="00E76E2B" w:rsidP="00E76E2B">
      <w:pPr>
        <w:ind w:left="720"/>
        <w:jc w:val="both"/>
        <w:rPr>
          <w:rFonts w:ascii="Arial" w:hAnsi="Arial" w:cs="Arial"/>
        </w:rPr>
      </w:pPr>
      <w:r w:rsidRPr="00E76E2B">
        <w:rPr>
          <w:rFonts w:ascii="Arial" w:hAnsi="Arial" w:cs="Arial"/>
        </w:rPr>
        <w:t>Investigating the attitudes and performance of retained students in mathematics: A case of Cebu, Philippines. </w:t>
      </w:r>
      <w:r w:rsidRPr="00E76E2B">
        <w:rPr>
          <w:rFonts w:ascii="Arial" w:hAnsi="Arial" w:cs="Arial"/>
          <w:i/>
          <w:iCs/>
        </w:rPr>
        <w:t>Journal of Positive School Psychology</w:t>
      </w:r>
      <w:r w:rsidRPr="00E76E2B">
        <w:rPr>
          <w:rFonts w:ascii="Arial" w:hAnsi="Arial" w:cs="Arial"/>
        </w:rPr>
        <w:t>, </w:t>
      </w:r>
      <w:r w:rsidRPr="00E76E2B">
        <w:rPr>
          <w:rFonts w:ascii="Arial" w:hAnsi="Arial" w:cs="Arial"/>
          <w:i/>
          <w:iCs/>
        </w:rPr>
        <w:t>6</w:t>
      </w:r>
      <w:r w:rsidRPr="00E76E2B">
        <w:rPr>
          <w:rFonts w:ascii="Arial" w:hAnsi="Arial" w:cs="Arial"/>
        </w:rPr>
        <w:t xml:space="preserve">(3), 8692-8704.  </w:t>
      </w:r>
      <w:hyperlink r:id="rId39" w:history="1">
        <w:r w:rsidRPr="00E76E2B">
          <w:rPr>
            <w:rStyle w:val="Hyperlink"/>
            <w:rFonts w:ascii="Arial" w:hAnsi="Arial" w:cs="Arial"/>
          </w:rPr>
          <w:t>https://tinyurl.com/2b9ypebk</w:t>
        </w:r>
      </w:hyperlink>
      <w:r w:rsidRPr="00E76E2B">
        <w:rPr>
          <w:rFonts w:ascii="Arial" w:hAnsi="Arial" w:cs="Arial"/>
        </w:rPr>
        <w:t xml:space="preserve"> </w:t>
      </w:r>
    </w:p>
    <w:p w14:paraId="7F8387BB" w14:textId="77777777" w:rsidR="00E76E2B" w:rsidRPr="00E76E2B" w:rsidRDefault="00E76E2B" w:rsidP="00E76E2B">
      <w:pPr>
        <w:jc w:val="both"/>
        <w:rPr>
          <w:rFonts w:ascii="Arial" w:hAnsi="Arial" w:cs="Arial"/>
        </w:rPr>
      </w:pPr>
    </w:p>
    <w:p w14:paraId="73FB0931" w14:textId="77777777" w:rsidR="00E76E2B" w:rsidRPr="00E76E2B" w:rsidRDefault="00E76E2B" w:rsidP="00E76E2B">
      <w:pPr>
        <w:jc w:val="both"/>
        <w:rPr>
          <w:rFonts w:ascii="Arial" w:hAnsi="Arial" w:cs="Arial"/>
        </w:rPr>
      </w:pPr>
      <w:r w:rsidRPr="00E76E2B">
        <w:rPr>
          <w:rFonts w:ascii="Arial" w:hAnsi="Arial" w:cs="Arial"/>
        </w:rPr>
        <w:t xml:space="preserve">Poquita, J.K.C.  (2023).  Self-efficacy and motivation as predictors to mathematics performance </w:t>
      </w:r>
    </w:p>
    <w:p w14:paraId="009C8B2D" w14:textId="77777777" w:rsidR="00E76E2B" w:rsidRPr="00E76E2B" w:rsidRDefault="00E76E2B" w:rsidP="00E76E2B">
      <w:pPr>
        <w:ind w:firstLine="720"/>
        <w:jc w:val="both"/>
        <w:rPr>
          <w:rFonts w:ascii="Arial" w:hAnsi="Arial" w:cs="Arial"/>
        </w:rPr>
      </w:pPr>
      <w:r w:rsidRPr="00E76E2B">
        <w:rPr>
          <w:rFonts w:ascii="Arial" w:hAnsi="Arial" w:cs="Arial"/>
        </w:rPr>
        <w:t xml:space="preserve">in online learning.  </w:t>
      </w:r>
      <w:r w:rsidRPr="00E76E2B">
        <w:rPr>
          <w:rFonts w:ascii="Arial" w:hAnsi="Arial" w:cs="Arial"/>
          <w:i/>
          <w:iCs/>
        </w:rPr>
        <w:t>International Journal of Innovative Science and Research Technology.</w:t>
      </w:r>
    </w:p>
    <w:p w14:paraId="1093DFE5" w14:textId="77777777" w:rsidR="00E76E2B" w:rsidRPr="00E76E2B" w:rsidRDefault="00E76E2B" w:rsidP="00E76E2B">
      <w:pPr>
        <w:jc w:val="both"/>
        <w:rPr>
          <w:rFonts w:ascii="Arial" w:hAnsi="Arial" w:cs="Arial"/>
        </w:rPr>
      </w:pPr>
    </w:p>
    <w:p w14:paraId="1400FD8E" w14:textId="77777777" w:rsidR="00E76E2B" w:rsidRPr="00E76E2B" w:rsidRDefault="00E76E2B" w:rsidP="00E76E2B">
      <w:pPr>
        <w:jc w:val="both"/>
        <w:rPr>
          <w:rFonts w:ascii="Arial" w:hAnsi="Arial" w:cs="Arial"/>
        </w:rPr>
      </w:pPr>
      <w:commentRangeStart w:id="14"/>
      <w:r w:rsidRPr="00E76E2B">
        <w:rPr>
          <w:rFonts w:ascii="Arial" w:hAnsi="Arial" w:cs="Arial"/>
        </w:rPr>
        <w:t xml:space="preserve">Ryan, R. M., &amp; Deci, E. L. (2000). Self-determination theory and the facilitation of intrinsic </w:t>
      </w:r>
    </w:p>
    <w:p w14:paraId="050BF9C2" w14:textId="01E9F321" w:rsidR="00E76E2B" w:rsidRPr="00E76E2B" w:rsidRDefault="00E76E2B" w:rsidP="00E76E2B">
      <w:pPr>
        <w:ind w:left="720"/>
        <w:jc w:val="both"/>
        <w:rPr>
          <w:rFonts w:ascii="Arial" w:hAnsi="Arial" w:cs="Arial"/>
        </w:rPr>
      </w:pPr>
      <w:r w:rsidRPr="00E76E2B">
        <w:rPr>
          <w:rFonts w:ascii="Arial" w:hAnsi="Arial" w:cs="Arial"/>
        </w:rPr>
        <w:t>motivation, social development, and well-being. </w:t>
      </w:r>
      <w:r w:rsidRPr="00E76E2B">
        <w:rPr>
          <w:rFonts w:ascii="Arial" w:hAnsi="Arial" w:cs="Arial"/>
          <w:i/>
          <w:iCs/>
        </w:rPr>
        <w:t>American psychologist</w:t>
      </w:r>
      <w:r w:rsidRPr="00E76E2B">
        <w:rPr>
          <w:rFonts w:ascii="Arial" w:hAnsi="Arial" w:cs="Arial"/>
        </w:rPr>
        <w:t>, </w:t>
      </w:r>
      <w:r w:rsidRPr="00E76E2B">
        <w:rPr>
          <w:rFonts w:ascii="Arial" w:hAnsi="Arial" w:cs="Arial"/>
          <w:i/>
          <w:iCs/>
        </w:rPr>
        <w:t>55</w:t>
      </w:r>
      <w:r w:rsidRPr="00E76E2B">
        <w:rPr>
          <w:rFonts w:ascii="Arial" w:hAnsi="Arial" w:cs="Arial"/>
        </w:rPr>
        <w:t xml:space="preserve">(1), 68. </w:t>
      </w:r>
      <w:hyperlink r:id="rId40" w:history="1">
        <w:r w:rsidRPr="00582D3D">
          <w:rPr>
            <w:rStyle w:val="Hyperlink"/>
            <w:rFonts w:ascii="Arial" w:hAnsi="Arial" w:cs="Arial"/>
          </w:rPr>
          <w:t>https://doi.org/10.1037/0003-066X.55.1.68</w:t>
        </w:r>
      </w:hyperlink>
      <w:commentRangeEnd w:id="14"/>
      <w:r w:rsidR="00BC37A0">
        <w:rPr>
          <w:rStyle w:val="CommentReference"/>
          <w:rFonts w:ascii="Times New Roman" w:hAnsi="Times New Roman"/>
          <w:lang w:val="nb-NO" w:eastAsia="nb-NO"/>
        </w:rPr>
        <w:commentReference w:id="14"/>
      </w:r>
    </w:p>
    <w:p w14:paraId="3779360C" w14:textId="77777777" w:rsidR="00E76E2B" w:rsidRPr="00E76E2B" w:rsidRDefault="00E76E2B" w:rsidP="00E76E2B">
      <w:pPr>
        <w:jc w:val="both"/>
        <w:rPr>
          <w:rFonts w:ascii="Arial" w:hAnsi="Arial" w:cs="Arial"/>
        </w:rPr>
      </w:pPr>
    </w:p>
    <w:p w14:paraId="401B2CC9" w14:textId="77777777" w:rsidR="00E76E2B" w:rsidRPr="00E76E2B" w:rsidRDefault="00E76E2B" w:rsidP="00E76E2B">
      <w:pPr>
        <w:jc w:val="both"/>
        <w:rPr>
          <w:rFonts w:ascii="Arial" w:hAnsi="Arial" w:cs="Arial"/>
          <w:i/>
          <w:iCs/>
        </w:rPr>
      </w:pPr>
      <w:r w:rsidRPr="00E76E2B">
        <w:rPr>
          <w:rFonts w:ascii="Arial" w:hAnsi="Arial" w:cs="Arial"/>
        </w:rPr>
        <w:t>Savin-Baden, M., &amp; Major, C. (2023). </w:t>
      </w:r>
      <w:r w:rsidRPr="00E76E2B">
        <w:rPr>
          <w:rFonts w:ascii="Arial" w:hAnsi="Arial" w:cs="Arial"/>
          <w:i/>
          <w:iCs/>
        </w:rPr>
        <w:t xml:space="preserve">Qualitative research: The essential guide to theory and </w:t>
      </w:r>
    </w:p>
    <w:p w14:paraId="6D91E2A6" w14:textId="77777777" w:rsidR="00E76E2B" w:rsidRPr="00E76E2B" w:rsidRDefault="00E76E2B" w:rsidP="00E76E2B">
      <w:pPr>
        <w:ind w:firstLine="720"/>
        <w:jc w:val="both"/>
        <w:rPr>
          <w:rFonts w:ascii="Arial" w:hAnsi="Arial" w:cs="Arial"/>
        </w:rPr>
      </w:pPr>
      <w:r w:rsidRPr="00E76E2B">
        <w:rPr>
          <w:rFonts w:ascii="Arial" w:hAnsi="Arial" w:cs="Arial"/>
          <w:i/>
          <w:iCs/>
        </w:rPr>
        <w:t>practice</w:t>
      </w:r>
      <w:r w:rsidRPr="00E76E2B">
        <w:rPr>
          <w:rFonts w:ascii="Arial" w:hAnsi="Arial" w:cs="Arial"/>
        </w:rPr>
        <w:t xml:space="preserve">. Routledge. </w:t>
      </w:r>
      <w:hyperlink r:id="rId41" w:history="1">
        <w:r w:rsidRPr="00E76E2B">
          <w:rPr>
            <w:rStyle w:val="Hyperlink"/>
            <w:rFonts w:ascii="Arial" w:hAnsi="Arial" w:cs="Arial"/>
          </w:rPr>
          <w:t>https://doi.org/10.4324/9781003377986</w:t>
        </w:r>
      </w:hyperlink>
      <w:r w:rsidRPr="00E76E2B">
        <w:rPr>
          <w:rFonts w:ascii="Arial" w:hAnsi="Arial" w:cs="Arial"/>
        </w:rPr>
        <w:t xml:space="preserve"> </w:t>
      </w:r>
    </w:p>
    <w:p w14:paraId="10B0ED06" w14:textId="77777777" w:rsidR="00E76E2B" w:rsidRPr="00E76E2B" w:rsidRDefault="00E76E2B" w:rsidP="00E76E2B">
      <w:pPr>
        <w:jc w:val="both"/>
        <w:rPr>
          <w:rFonts w:ascii="Arial" w:hAnsi="Arial" w:cs="Arial"/>
        </w:rPr>
      </w:pPr>
    </w:p>
    <w:p w14:paraId="6E81B640" w14:textId="77777777" w:rsidR="00E76E2B" w:rsidRPr="00E76E2B" w:rsidRDefault="00E76E2B" w:rsidP="00E76E2B">
      <w:pPr>
        <w:jc w:val="both"/>
        <w:rPr>
          <w:rFonts w:ascii="Arial" w:hAnsi="Arial" w:cs="Arial"/>
        </w:rPr>
      </w:pPr>
      <w:r w:rsidRPr="00E76E2B">
        <w:rPr>
          <w:rFonts w:ascii="Arial" w:hAnsi="Arial" w:cs="Arial"/>
        </w:rPr>
        <w:t xml:space="preserve">Shcheglova, I., Koreshnikova, Y., &amp; Parshina, O. (2019). The role of engagement in the </w:t>
      </w:r>
    </w:p>
    <w:p w14:paraId="0139A280" w14:textId="78EDBF4E" w:rsidR="00E76E2B" w:rsidRPr="00E76E2B" w:rsidRDefault="00E76E2B" w:rsidP="00E76E2B">
      <w:pPr>
        <w:ind w:left="720"/>
        <w:jc w:val="both"/>
        <w:rPr>
          <w:rFonts w:ascii="Arial" w:hAnsi="Arial" w:cs="Arial"/>
        </w:rPr>
      </w:pPr>
      <w:r w:rsidRPr="00E76E2B">
        <w:rPr>
          <w:rFonts w:ascii="Arial" w:hAnsi="Arial" w:cs="Arial"/>
        </w:rPr>
        <w:t>development of critical thinking in undergraduates. </w:t>
      </w:r>
      <w:r w:rsidRPr="00E76E2B">
        <w:rPr>
          <w:rFonts w:ascii="Arial" w:hAnsi="Arial" w:cs="Arial"/>
          <w:i/>
          <w:iCs/>
        </w:rPr>
        <w:t>Вопросы образования</w:t>
      </w:r>
      <w:r w:rsidRPr="00E76E2B">
        <w:rPr>
          <w:rFonts w:ascii="Arial" w:hAnsi="Arial" w:cs="Arial"/>
        </w:rPr>
        <w:t xml:space="preserve">, (1 (eng)), 264-289. </w:t>
      </w:r>
      <w:hyperlink r:id="rId42" w:history="1">
        <w:r w:rsidRPr="00582D3D">
          <w:rPr>
            <w:rStyle w:val="Hyperlink"/>
            <w:rFonts w:ascii="Arial" w:hAnsi="Arial" w:cs="Arial"/>
          </w:rPr>
          <w:t>https://tinyurl.com/rejaum9z</w:t>
        </w:r>
      </w:hyperlink>
      <w:r w:rsidRPr="00E76E2B">
        <w:rPr>
          <w:rFonts w:ascii="Arial" w:hAnsi="Arial" w:cs="Arial"/>
        </w:rPr>
        <w:t xml:space="preserve"> </w:t>
      </w:r>
    </w:p>
    <w:p w14:paraId="1B1BB5AF" w14:textId="77777777" w:rsidR="00E76E2B" w:rsidRPr="00E76E2B" w:rsidRDefault="00E76E2B" w:rsidP="00E76E2B">
      <w:pPr>
        <w:jc w:val="both"/>
        <w:rPr>
          <w:rFonts w:ascii="Arial" w:hAnsi="Arial" w:cs="Arial"/>
        </w:rPr>
      </w:pPr>
    </w:p>
    <w:p w14:paraId="1115C25C" w14:textId="77777777" w:rsidR="00E76E2B" w:rsidRPr="00E76E2B" w:rsidRDefault="00E76E2B" w:rsidP="00E76E2B">
      <w:pPr>
        <w:jc w:val="both"/>
        <w:rPr>
          <w:rFonts w:ascii="Arial" w:hAnsi="Arial" w:cs="Arial"/>
        </w:rPr>
      </w:pPr>
      <w:r w:rsidRPr="00E76E2B">
        <w:rPr>
          <w:rFonts w:ascii="Arial" w:hAnsi="Arial" w:cs="Arial"/>
        </w:rPr>
        <w:t xml:space="preserve">Skilling, K., Bobis, J., &amp; Martin, A. J. (2021). The “ins and outs” of student engagement in </w:t>
      </w:r>
    </w:p>
    <w:p w14:paraId="0ACE02DA" w14:textId="77777777" w:rsidR="00E76E2B" w:rsidRPr="00E76E2B" w:rsidRDefault="00E76E2B" w:rsidP="00E76E2B">
      <w:pPr>
        <w:ind w:left="720"/>
        <w:jc w:val="both"/>
        <w:rPr>
          <w:rFonts w:ascii="Arial" w:hAnsi="Arial" w:cs="Arial"/>
        </w:rPr>
      </w:pPr>
      <w:r w:rsidRPr="00E76E2B">
        <w:rPr>
          <w:rFonts w:ascii="Arial" w:hAnsi="Arial" w:cs="Arial"/>
        </w:rPr>
        <w:t>mathematics: Shifts in engagement factors among high and low achievers. </w:t>
      </w:r>
      <w:r w:rsidRPr="00E76E2B">
        <w:rPr>
          <w:rFonts w:ascii="Arial" w:hAnsi="Arial" w:cs="Arial"/>
          <w:i/>
          <w:iCs/>
        </w:rPr>
        <w:t>Mathematics Education Research Journal</w:t>
      </w:r>
      <w:r w:rsidRPr="00E76E2B">
        <w:rPr>
          <w:rFonts w:ascii="Arial" w:hAnsi="Arial" w:cs="Arial"/>
        </w:rPr>
        <w:t>, </w:t>
      </w:r>
      <w:r w:rsidRPr="00E76E2B">
        <w:rPr>
          <w:rFonts w:ascii="Arial" w:hAnsi="Arial" w:cs="Arial"/>
          <w:i/>
          <w:iCs/>
        </w:rPr>
        <w:t>33</w:t>
      </w:r>
      <w:r w:rsidRPr="00E76E2B">
        <w:rPr>
          <w:rFonts w:ascii="Arial" w:hAnsi="Arial" w:cs="Arial"/>
        </w:rPr>
        <w:t xml:space="preserve">(3), 469-493.  </w:t>
      </w:r>
      <w:hyperlink r:id="rId43" w:history="1">
        <w:r w:rsidRPr="00E76E2B">
          <w:rPr>
            <w:rStyle w:val="Hyperlink"/>
            <w:rFonts w:ascii="Arial" w:hAnsi="Arial" w:cs="Arial"/>
          </w:rPr>
          <w:t xml:space="preserve">https://doi.org/10.1007/s13394-020-00313-2 </w:t>
        </w:r>
      </w:hyperlink>
    </w:p>
    <w:p w14:paraId="1C50229A" w14:textId="77777777" w:rsidR="00E76E2B" w:rsidRPr="00E76E2B" w:rsidRDefault="00E76E2B" w:rsidP="00E76E2B">
      <w:pPr>
        <w:jc w:val="both"/>
        <w:rPr>
          <w:rFonts w:ascii="Arial" w:hAnsi="Arial" w:cs="Arial"/>
        </w:rPr>
      </w:pPr>
    </w:p>
    <w:p w14:paraId="494C2F05" w14:textId="77777777" w:rsidR="00E76E2B" w:rsidRPr="00E76E2B" w:rsidRDefault="00E76E2B" w:rsidP="00E76E2B">
      <w:pPr>
        <w:jc w:val="both"/>
        <w:rPr>
          <w:rFonts w:ascii="Arial" w:hAnsi="Arial" w:cs="Arial"/>
        </w:rPr>
      </w:pPr>
    </w:p>
    <w:p w14:paraId="0AB4B670" w14:textId="77777777" w:rsidR="00E76E2B" w:rsidRPr="00E76E2B" w:rsidRDefault="00E76E2B" w:rsidP="00E76E2B">
      <w:pPr>
        <w:jc w:val="both"/>
        <w:rPr>
          <w:rFonts w:ascii="Arial" w:hAnsi="Arial" w:cs="Arial"/>
          <w:i/>
          <w:iCs/>
        </w:rPr>
      </w:pPr>
      <w:r w:rsidRPr="00E76E2B">
        <w:rPr>
          <w:rFonts w:ascii="Arial" w:hAnsi="Arial" w:cs="Arial"/>
        </w:rPr>
        <w:t>Steele, J., Holbeck, R., &amp; Mandernach, J. (2019). Defining effective online pedagogy. </w:t>
      </w:r>
      <w:r w:rsidRPr="00E76E2B">
        <w:rPr>
          <w:rFonts w:ascii="Arial" w:hAnsi="Arial" w:cs="Arial"/>
          <w:i/>
          <w:iCs/>
        </w:rPr>
        <w:t xml:space="preserve">Journal of </w:t>
      </w:r>
    </w:p>
    <w:p w14:paraId="51C799CA" w14:textId="77777777" w:rsidR="00E76E2B" w:rsidRPr="00E76E2B" w:rsidRDefault="00E76E2B" w:rsidP="00E76E2B">
      <w:pPr>
        <w:ind w:firstLine="720"/>
        <w:jc w:val="both"/>
        <w:rPr>
          <w:rFonts w:ascii="Arial" w:hAnsi="Arial" w:cs="Arial"/>
          <w:i/>
          <w:iCs/>
        </w:rPr>
      </w:pPr>
      <w:r w:rsidRPr="00E76E2B">
        <w:rPr>
          <w:rFonts w:ascii="Arial" w:hAnsi="Arial" w:cs="Arial"/>
          <w:i/>
          <w:iCs/>
        </w:rPr>
        <w:t>Instructional Research</w:t>
      </w:r>
      <w:r w:rsidRPr="00E76E2B">
        <w:rPr>
          <w:rFonts w:ascii="Arial" w:hAnsi="Arial" w:cs="Arial"/>
        </w:rPr>
        <w:t>, </w:t>
      </w:r>
      <w:r w:rsidRPr="00E76E2B">
        <w:rPr>
          <w:rFonts w:ascii="Arial" w:hAnsi="Arial" w:cs="Arial"/>
          <w:i/>
          <w:iCs/>
        </w:rPr>
        <w:t>8</w:t>
      </w:r>
      <w:r w:rsidRPr="00E76E2B">
        <w:rPr>
          <w:rFonts w:ascii="Arial" w:hAnsi="Arial" w:cs="Arial"/>
        </w:rPr>
        <w:t xml:space="preserve">(2), 5-8.  </w:t>
      </w:r>
      <w:hyperlink r:id="rId44" w:history="1">
        <w:r w:rsidRPr="00E76E2B">
          <w:rPr>
            <w:rStyle w:val="Hyperlink"/>
            <w:rFonts w:ascii="Arial" w:hAnsi="Arial" w:cs="Arial"/>
          </w:rPr>
          <w:t>https://doi.org/10.9743/jir.2019.8.2.1</w:t>
        </w:r>
      </w:hyperlink>
      <w:r w:rsidRPr="00E76E2B">
        <w:rPr>
          <w:rFonts w:ascii="Arial" w:hAnsi="Arial" w:cs="Arial"/>
        </w:rPr>
        <w:t xml:space="preserve"> </w:t>
      </w:r>
    </w:p>
    <w:p w14:paraId="7163AF93" w14:textId="77777777" w:rsidR="00E76E2B" w:rsidRPr="00E76E2B" w:rsidRDefault="00E76E2B" w:rsidP="00E76E2B">
      <w:pPr>
        <w:jc w:val="both"/>
        <w:rPr>
          <w:rFonts w:ascii="Arial" w:hAnsi="Arial" w:cs="Arial"/>
        </w:rPr>
      </w:pPr>
    </w:p>
    <w:p w14:paraId="18538866" w14:textId="77777777" w:rsidR="00E76E2B" w:rsidRPr="00E76E2B" w:rsidRDefault="00E76E2B" w:rsidP="00E76E2B">
      <w:pPr>
        <w:jc w:val="both"/>
        <w:rPr>
          <w:rFonts w:ascii="Arial" w:hAnsi="Arial" w:cs="Arial"/>
          <w:i/>
          <w:iCs/>
        </w:rPr>
      </w:pPr>
      <w:r w:rsidRPr="00E76E2B">
        <w:rPr>
          <w:rFonts w:ascii="Arial" w:hAnsi="Arial" w:cs="Arial"/>
        </w:rPr>
        <w:t>Stronge, J. H. (2012). Teacher effectiveness performance evaluation system. </w:t>
      </w:r>
      <w:r w:rsidRPr="00E76E2B">
        <w:rPr>
          <w:rFonts w:ascii="Arial" w:hAnsi="Arial" w:cs="Arial"/>
          <w:i/>
          <w:iCs/>
        </w:rPr>
        <w:t xml:space="preserve">Stronge &amp; </w:t>
      </w:r>
    </w:p>
    <w:p w14:paraId="57A47D68" w14:textId="77777777" w:rsidR="00E76E2B" w:rsidRPr="00E76E2B" w:rsidRDefault="00E76E2B" w:rsidP="00E76E2B">
      <w:pPr>
        <w:ind w:firstLine="720"/>
        <w:jc w:val="both"/>
        <w:rPr>
          <w:rFonts w:ascii="Arial" w:hAnsi="Arial" w:cs="Arial"/>
        </w:rPr>
      </w:pPr>
      <w:r w:rsidRPr="00E76E2B">
        <w:rPr>
          <w:rFonts w:ascii="Arial" w:hAnsi="Arial" w:cs="Arial"/>
          <w:i/>
          <w:iCs/>
        </w:rPr>
        <w:t>Associates</w:t>
      </w:r>
      <w:r w:rsidRPr="00E76E2B">
        <w:rPr>
          <w:rFonts w:ascii="Arial" w:hAnsi="Arial" w:cs="Arial"/>
        </w:rPr>
        <w:t xml:space="preserve">. </w:t>
      </w:r>
      <w:hyperlink r:id="rId45" w:history="1">
        <w:r w:rsidRPr="00E76E2B">
          <w:rPr>
            <w:rStyle w:val="Hyperlink"/>
            <w:rFonts w:ascii="Arial" w:hAnsi="Arial" w:cs="Arial"/>
          </w:rPr>
          <w:t>https://tinyurl.com/4stf6ab8</w:t>
        </w:r>
      </w:hyperlink>
      <w:r w:rsidRPr="00E76E2B">
        <w:rPr>
          <w:rFonts w:ascii="Arial" w:hAnsi="Arial" w:cs="Arial"/>
        </w:rPr>
        <w:t xml:space="preserve"> </w:t>
      </w:r>
    </w:p>
    <w:p w14:paraId="5C6BDC24" w14:textId="77777777" w:rsidR="00E76E2B" w:rsidRPr="00E76E2B" w:rsidRDefault="00E76E2B" w:rsidP="00E76E2B">
      <w:pPr>
        <w:jc w:val="both"/>
        <w:rPr>
          <w:rFonts w:ascii="Arial" w:hAnsi="Arial" w:cs="Arial"/>
        </w:rPr>
      </w:pPr>
    </w:p>
    <w:p w14:paraId="30E9375B" w14:textId="77777777" w:rsidR="00E76E2B" w:rsidRPr="00E76E2B" w:rsidRDefault="00E76E2B" w:rsidP="00E76E2B">
      <w:pPr>
        <w:jc w:val="both"/>
        <w:rPr>
          <w:rFonts w:ascii="Arial" w:hAnsi="Arial" w:cs="Arial"/>
        </w:rPr>
      </w:pPr>
      <w:r w:rsidRPr="00E76E2B">
        <w:rPr>
          <w:rFonts w:ascii="Arial" w:hAnsi="Arial" w:cs="Arial"/>
        </w:rPr>
        <w:t>Stronge, J. H. (2018). </w:t>
      </w:r>
      <w:r w:rsidRPr="00E76E2B">
        <w:rPr>
          <w:rFonts w:ascii="Arial" w:hAnsi="Arial" w:cs="Arial"/>
          <w:i/>
          <w:iCs/>
        </w:rPr>
        <w:t>Qualities of effective teachers</w:t>
      </w:r>
      <w:r w:rsidRPr="00E76E2B">
        <w:rPr>
          <w:rFonts w:ascii="Arial" w:hAnsi="Arial" w:cs="Arial"/>
        </w:rPr>
        <w:t xml:space="preserve">. Ascd. </w:t>
      </w:r>
      <w:hyperlink r:id="rId46" w:history="1">
        <w:r w:rsidRPr="00E76E2B">
          <w:rPr>
            <w:rStyle w:val="Hyperlink"/>
            <w:rFonts w:ascii="Arial" w:hAnsi="Arial" w:cs="Arial"/>
          </w:rPr>
          <w:t>https://tinyurl.com/mrxt8jwn</w:t>
        </w:r>
      </w:hyperlink>
      <w:r w:rsidRPr="00E76E2B">
        <w:rPr>
          <w:rFonts w:ascii="Arial" w:hAnsi="Arial" w:cs="Arial"/>
        </w:rPr>
        <w:t xml:space="preserve"> </w:t>
      </w:r>
    </w:p>
    <w:p w14:paraId="7DFD7592" w14:textId="77777777" w:rsidR="00E76E2B" w:rsidRPr="00E76E2B" w:rsidRDefault="00E76E2B" w:rsidP="00E76E2B">
      <w:pPr>
        <w:jc w:val="both"/>
        <w:rPr>
          <w:rFonts w:ascii="Arial" w:hAnsi="Arial" w:cs="Arial"/>
        </w:rPr>
      </w:pPr>
    </w:p>
    <w:p w14:paraId="7F94683B" w14:textId="77777777" w:rsidR="00E76E2B" w:rsidRPr="00E76E2B" w:rsidRDefault="00E76E2B" w:rsidP="00E76E2B">
      <w:pPr>
        <w:jc w:val="both"/>
        <w:rPr>
          <w:rFonts w:ascii="Arial" w:hAnsi="Arial" w:cs="Arial"/>
        </w:rPr>
      </w:pPr>
      <w:r w:rsidRPr="00E76E2B">
        <w:rPr>
          <w:rFonts w:ascii="Arial" w:hAnsi="Arial" w:cs="Arial"/>
        </w:rPr>
        <w:t xml:space="preserve">Tambunan, H., Sinaga, B., &amp; Widada, W. (2021). Analysis of Teacher Performance to Build </w:t>
      </w:r>
    </w:p>
    <w:p w14:paraId="7B6FABEC" w14:textId="77777777" w:rsidR="00E76E2B" w:rsidRPr="00E76E2B" w:rsidRDefault="00E76E2B" w:rsidP="00E76E2B">
      <w:pPr>
        <w:ind w:firstLine="720"/>
        <w:jc w:val="both"/>
        <w:rPr>
          <w:rFonts w:ascii="Arial" w:hAnsi="Arial" w:cs="Arial"/>
          <w:i/>
          <w:iCs/>
        </w:rPr>
      </w:pPr>
      <w:r w:rsidRPr="00E76E2B">
        <w:rPr>
          <w:rFonts w:ascii="Arial" w:hAnsi="Arial" w:cs="Arial"/>
        </w:rPr>
        <w:t>Student Interest and Motivation towards Mathematics Achievement. </w:t>
      </w:r>
      <w:r w:rsidRPr="00E76E2B">
        <w:rPr>
          <w:rFonts w:ascii="Arial" w:hAnsi="Arial" w:cs="Arial"/>
          <w:i/>
          <w:iCs/>
        </w:rPr>
        <w:t xml:space="preserve">International Journal </w:t>
      </w:r>
    </w:p>
    <w:p w14:paraId="06236CC2" w14:textId="77777777" w:rsidR="00E76E2B" w:rsidRPr="00E76E2B" w:rsidRDefault="00E76E2B" w:rsidP="00E76E2B">
      <w:pPr>
        <w:ind w:firstLine="720"/>
        <w:jc w:val="both"/>
        <w:rPr>
          <w:rFonts w:ascii="Arial" w:hAnsi="Arial" w:cs="Arial"/>
        </w:rPr>
      </w:pPr>
      <w:r w:rsidRPr="00E76E2B">
        <w:rPr>
          <w:rFonts w:ascii="Arial" w:hAnsi="Arial" w:cs="Arial"/>
          <w:i/>
          <w:iCs/>
        </w:rPr>
        <w:t>of Evaluation and Research in Education</w:t>
      </w:r>
      <w:r w:rsidRPr="00E76E2B">
        <w:rPr>
          <w:rFonts w:ascii="Arial" w:hAnsi="Arial" w:cs="Arial"/>
        </w:rPr>
        <w:t>, </w:t>
      </w:r>
      <w:r w:rsidRPr="00E76E2B">
        <w:rPr>
          <w:rFonts w:ascii="Arial" w:hAnsi="Arial" w:cs="Arial"/>
          <w:i/>
          <w:iCs/>
        </w:rPr>
        <w:t>10</w:t>
      </w:r>
      <w:r w:rsidRPr="00E76E2B">
        <w:rPr>
          <w:rFonts w:ascii="Arial" w:hAnsi="Arial" w:cs="Arial"/>
        </w:rPr>
        <w:t xml:space="preserve">(1), 42-47. </w:t>
      </w:r>
      <w:hyperlink r:id="rId47" w:history="1">
        <w:r w:rsidRPr="00E76E2B">
          <w:rPr>
            <w:rStyle w:val="Hyperlink"/>
            <w:rFonts w:ascii="Arial" w:hAnsi="Arial" w:cs="Arial"/>
          </w:rPr>
          <w:t>https://doi.org/10.11591/ijere.v10i1.20711</w:t>
        </w:r>
      </w:hyperlink>
      <w:r w:rsidRPr="00E76E2B">
        <w:rPr>
          <w:rFonts w:ascii="Arial" w:hAnsi="Arial" w:cs="Arial"/>
        </w:rPr>
        <w:t xml:space="preserve"> </w:t>
      </w:r>
    </w:p>
    <w:p w14:paraId="180FF0DF" w14:textId="77777777" w:rsidR="00E76E2B" w:rsidRPr="00E76E2B" w:rsidRDefault="00E76E2B" w:rsidP="00E76E2B">
      <w:pPr>
        <w:jc w:val="both"/>
        <w:rPr>
          <w:rFonts w:ascii="Arial" w:hAnsi="Arial" w:cs="Arial"/>
        </w:rPr>
      </w:pPr>
    </w:p>
    <w:p w14:paraId="36985CCD" w14:textId="77777777" w:rsidR="00E76E2B" w:rsidRPr="00E76E2B" w:rsidRDefault="00E76E2B" w:rsidP="00E76E2B">
      <w:pPr>
        <w:jc w:val="both"/>
        <w:rPr>
          <w:rFonts w:ascii="Arial" w:hAnsi="Arial" w:cs="Arial"/>
        </w:rPr>
      </w:pPr>
      <w:r w:rsidRPr="00E76E2B">
        <w:rPr>
          <w:rFonts w:ascii="Arial" w:hAnsi="Arial" w:cs="Arial"/>
        </w:rPr>
        <w:t>Thornhill-Miller, B., Camarda, A., Mercier, M., Burkhardt, J. M., Morisseau, T., Bourgeois-</w:t>
      </w:r>
    </w:p>
    <w:p w14:paraId="0E2CEA62" w14:textId="77777777" w:rsidR="00E76E2B" w:rsidRPr="00E76E2B" w:rsidRDefault="00E76E2B" w:rsidP="00E76E2B">
      <w:pPr>
        <w:ind w:left="720"/>
        <w:jc w:val="both"/>
        <w:rPr>
          <w:rFonts w:ascii="Arial" w:hAnsi="Arial" w:cs="Arial"/>
        </w:rPr>
      </w:pPr>
      <w:r w:rsidRPr="00E76E2B">
        <w:rPr>
          <w:rFonts w:ascii="Arial" w:hAnsi="Arial" w:cs="Arial"/>
        </w:rPr>
        <w:t>Bougrine, S., ... &amp; Lubart, T. (2023). Creativity, critical thinking, communication, and collaboration: assessment, certification, and promotion of 21st century skills for the future of work and education. </w:t>
      </w:r>
      <w:r w:rsidRPr="00E76E2B">
        <w:rPr>
          <w:rFonts w:ascii="Arial" w:hAnsi="Arial" w:cs="Arial"/>
          <w:i/>
          <w:iCs/>
        </w:rPr>
        <w:t>Journal of Intelligence</w:t>
      </w:r>
      <w:r w:rsidRPr="00E76E2B">
        <w:rPr>
          <w:rFonts w:ascii="Arial" w:hAnsi="Arial" w:cs="Arial"/>
        </w:rPr>
        <w:t>, </w:t>
      </w:r>
      <w:r w:rsidRPr="00E76E2B">
        <w:rPr>
          <w:rFonts w:ascii="Arial" w:hAnsi="Arial" w:cs="Arial"/>
          <w:i/>
          <w:iCs/>
        </w:rPr>
        <w:t>11</w:t>
      </w:r>
      <w:r w:rsidRPr="00E76E2B">
        <w:rPr>
          <w:rFonts w:ascii="Arial" w:hAnsi="Arial" w:cs="Arial"/>
        </w:rPr>
        <w:t xml:space="preserve">(3), 54. </w:t>
      </w:r>
      <w:hyperlink r:id="rId48" w:history="1">
        <w:r w:rsidRPr="00E76E2B">
          <w:rPr>
            <w:rStyle w:val="Hyperlink"/>
            <w:rFonts w:ascii="Arial" w:hAnsi="Arial" w:cs="Arial"/>
          </w:rPr>
          <w:t>https://doi.org/10.3390/jintelligence11030054</w:t>
        </w:r>
      </w:hyperlink>
      <w:r w:rsidRPr="00E76E2B">
        <w:rPr>
          <w:rFonts w:ascii="Arial" w:hAnsi="Arial" w:cs="Arial"/>
        </w:rPr>
        <w:t xml:space="preserve"> </w:t>
      </w:r>
    </w:p>
    <w:p w14:paraId="6C287722" w14:textId="77777777" w:rsidR="00E76E2B" w:rsidRPr="00E76E2B" w:rsidRDefault="00E76E2B" w:rsidP="00E76E2B">
      <w:pPr>
        <w:jc w:val="both"/>
        <w:rPr>
          <w:rFonts w:ascii="Arial" w:hAnsi="Arial" w:cs="Arial"/>
        </w:rPr>
      </w:pPr>
    </w:p>
    <w:p w14:paraId="676F42C5" w14:textId="77777777" w:rsidR="00E76E2B" w:rsidRPr="00E76E2B" w:rsidRDefault="00E76E2B" w:rsidP="00E76E2B">
      <w:pPr>
        <w:jc w:val="both"/>
        <w:rPr>
          <w:rFonts w:ascii="Arial" w:hAnsi="Arial" w:cs="Arial"/>
        </w:rPr>
      </w:pPr>
      <w:r w:rsidRPr="00E76E2B">
        <w:rPr>
          <w:rFonts w:ascii="Arial" w:hAnsi="Arial" w:cs="Arial"/>
        </w:rPr>
        <w:t xml:space="preserve">Torrejos, R. L. (2024). College students’ engagement in mathematics in the modern world: The </w:t>
      </w:r>
    </w:p>
    <w:p w14:paraId="32615D4E" w14:textId="77777777" w:rsidR="00E76E2B" w:rsidRPr="00E76E2B" w:rsidRDefault="00E76E2B" w:rsidP="00E76E2B">
      <w:pPr>
        <w:ind w:left="720"/>
        <w:jc w:val="both"/>
        <w:rPr>
          <w:rFonts w:ascii="Arial" w:hAnsi="Arial" w:cs="Arial"/>
        </w:rPr>
      </w:pPr>
      <w:r w:rsidRPr="00E76E2B">
        <w:rPr>
          <w:rFonts w:ascii="Arial" w:hAnsi="Arial" w:cs="Arial"/>
        </w:rPr>
        <w:lastRenderedPageBreak/>
        <w:t>influential role of perceived teaching performance of instructors and critical thinking skills in a blended learning environment. </w:t>
      </w:r>
      <w:r w:rsidRPr="00E76E2B">
        <w:rPr>
          <w:rFonts w:ascii="Arial" w:hAnsi="Arial" w:cs="Arial"/>
          <w:i/>
          <w:iCs/>
        </w:rPr>
        <w:t>European Journal of Contemporary Education and E-Learning</w:t>
      </w:r>
      <w:r w:rsidRPr="00E76E2B">
        <w:rPr>
          <w:rFonts w:ascii="Arial" w:hAnsi="Arial" w:cs="Arial"/>
        </w:rPr>
        <w:t>, </w:t>
      </w:r>
      <w:r w:rsidRPr="00E76E2B">
        <w:rPr>
          <w:rFonts w:ascii="Arial" w:hAnsi="Arial" w:cs="Arial"/>
          <w:i/>
          <w:iCs/>
        </w:rPr>
        <w:t>2</w:t>
      </w:r>
      <w:r w:rsidRPr="00E76E2B">
        <w:rPr>
          <w:rFonts w:ascii="Arial" w:hAnsi="Arial" w:cs="Arial"/>
        </w:rPr>
        <w:t xml:space="preserve">(3), 74-89. </w:t>
      </w:r>
      <w:hyperlink r:id="rId49" w:history="1">
        <w:r w:rsidRPr="00E76E2B">
          <w:rPr>
            <w:rStyle w:val="Hyperlink"/>
            <w:rFonts w:ascii="Arial" w:hAnsi="Arial" w:cs="Arial"/>
          </w:rPr>
          <w:t>https://doi.org/10.59324/ejceel.2024.2(3).07</w:t>
        </w:r>
      </w:hyperlink>
    </w:p>
    <w:p w14:paraId="5C4535BA" w14:textId="77777777" w:rsidR="00E76E2B" w:rsidRPr="00E76E2B" w:rsidRDefault="00E76E2B" w:rsidP="00E76E2B">
      <w:pPr>
        <w:jc w:val="both"/>
        <w:rPr>
          <w:rFonts w:ascii="Arial" w:hAnsi="Arial" w:cs="Arial"/>
        </w:rPr>
      </w:pPr>
    </w:p>
    <w:p w14:paraId="662B09D8" w14:textId="77777777" w:rsidR="00E76E2B" w:rsidRPr="00E76E2B" w:rsidRDefault="00E76E2B" w:rsidP="00E76E2B">
      <w:pPr>
        <w:jc w:val="both"/>
        <w:rPr>
          <w:rFonts w:ascii="Arial" w:hAnsi="Arial" w:cs="Arial"/>
        </w:rPr>
      </w:pPr>
      <w:commentRangeStart w:id="15"/>
      <w:r w:rsidRPr="00E76E2B">
        <w:rPr>
          <w:rFonts w:ascii="Arial" w:hAnsi="Arial" w:cs="Arial"/>
        </w:rPr>
        <w:t xml:space="preserve">Trigwell, K., Prosser, M., &amp; Waterhouse, F. (1999). Relations between teachers' approaches to </w:t>
      </w:r>
    </w:p>
    <w:p w14:paraId="1C25852E" w14:textId="77777777" w:rsidR="00E76E2B" w:rsidRPr="00E76E2B" w:rsidRDefault="00E76E2B" w:rsidP="00E76E2B">
      <w:pPr>
        <w:ind w:firstLine="720"/>
        <w:jc w:val="both"/>
        <w:rPr>
          <w:rFonts w:ascii="Arial" w:hAnsi="Arial" w:cs="Arial"/>
        </w:rPr>
      </w:pPr>
      <w:r w:rsidRPr="00E76E2B">
        <w:rPr>
          <w:rFonts w:ascii="Arial" w:hAnsi="Arial" w:cs="Arial"/>
        </w:rPr>
        <w:t>teaching and students' approaches to learning. </w:t>
      </w:r>
      <w:r w:rsidRPr="00E76E2B">
        <w:rPr>
          <w:rFonts w:ascii="Arial" w:hAnsi="Arial" w:cs="Arial"/>
          <w:i/>
          <w:iCs/>
        </w:rPr>
        <w:t>Higher education</w:t>
      </w:r>
      <w:r w:rsidRPr="00E76E2B">
        <w:rPr>
          <w:rFonts w:ascii="Arial" w:hAnsi="Arial" w:cs="Arial"/>
        </w:rPr>
        <w:t>, </w:t>
      </w:r>
      <w:r w:rsidRPr="00E76E2B">
        <w:rPr>
          <w:rFonts w:ascii="Arial" w:hAnsi="Arial" w:cs="Arial"/>
          <w:i/>
          <w:iCs/>
        </w:rPr>
        <w:t>37</w:t>
      </w:r>
      <w:r w:rsidRPr="00E76E2B">
        <w:rPr>
          <w:rFonts w:ascii="Arial" w:hAnsi="Arial" w:cs="Arial"/>
        </w:rPr>
        <w:t xml:space="preserve">(1), 57-70. </w:t>
      </w:r>
      <w:hyperlink r:id="rId50" w:history="1">
        <w:r w:rsidRPr="00E76E2B">
          <w:rPr>
            <w:rStyle w:val="Hyperlink"/>
            <w:rFonts w:ascii="Arial" w:hAnsi="Arial" w:cs="Arial"/>
          </w:rPr>
          <w:t>https://tinyurl.com/mve67rew</w:t>
        </w:r>
      </w:hyperlink>
      <w:r w:rsidRPr="00E76E2B">
        <w:rPr>
          <w:rFonts w:ascii="Arial" w:hAnsi="Arial" w:cs="Arial"/>
        </w:rPr>
        <w:t xml:space="preserve"> </w:t>
      </w:r>
      <w:commentRangeEnd w:id="15"/>
      <w:r w:rsidR="002D1BB3">
        <w:rPr>
          <w:rStyle w:val="CommentReference"/>
          <w:rFonts w:ascii="Times New Roman" w:hAnsi="Times New Roman"/>
          <w:lang w:val="nb-NO" w:eastAsia="nb-NO"/>
        </w:rPr>
        <w:commentReference w:id="15"/>
      </w:r>
    </w:p>
    <w:p w14:paraId="6672E3CA" w14:textId="77777777" w:rsidR="00E76E2B" w:rsidRPr="00E76E2B" w:rsidRDefault="00E76E2B" w:rsidP="00E76E2B">
      <w:pPr>
        <w:jc w:val="both"/>
        <w:rPr>
          <w:rFonts w:ascii="Arial" w:hAnsi="Arial" w:cs="Arial"/>
        </w:rPr>
      </w:pPr>
    </w:p>
    <w:p w14:paraId="6099B16B" w14:textId="77777777" w:rsidR="00E76E2B" w:rsidRPr="00E76E2B" w:rsidRDefault="00E76E2B" w:rsidP="00E76E2B">
      <w:pPr>
        <w:jc w:val="both"/>
        <w:rPr>
          <w:rFonts w:ascii="Arial" w:hAnsi="Arial" w:cs="Arial"/>
        </w:rPr>
      </w:pPr>
      <w:r w:rsidRPr="00E76E2B">
        <w:rPr>
          <w:rFonts w:ascii="Arial" w:hAnsi="Arial" w:cs="Arial"/>
        </w:rPr>
        <w:t xml:space="preserve">Villa, E. A., &amp; Sebastian, M. A. (2021). Achievement motivation, locus of control and study habits </w:t>
      </w:r>
    </w:p>
    <w:p w14:paraId="03384B70" w14:textId="77777777" w:rsidR="00E76E2B" w:rsidRPr="00E76E2B" w:rsidRDefault="00E76E2B" w:rsidP="00E76E2B">
      <w:pPr>
        <w:ind w:left="720"/>
        <w:jc w:val="both"/>
        <w:rPr>
          <w:rFonts w:ascii="Arial" w:hAnsi="Arial" w:cs="Arial"/>
        </w:rPr>
      </w:pPr>
      <w:r w:rsidRPr="00E76E2B">
        <w:rPr>
          <w:rFonts w:ascii="Arial" w:hAnsi="Arial" w:cs="Arial"/>
        </w:rPr>
        <w:t>as predictors of mathematics achievement of new college students. </w:t>
      </w:r>
      <w:r w:rsidRPr="00E76E2B">
        <w:rPr>
          <w:rFonts w:ascii="Arial" w:hAnsi="Arial" w:cs="Arial"/>
          <w:i/>
          <w:iCs/>
        </w:rPr>
        <w:t>International Electronic Journal of Mathematics Education</w:t>
      </w:r>
      <w:r w:rsidRPr="00E76E2B">
        <w:rPr>
          <w:rFonts w:ascii="Arial" w:hAnsi="Arial" w:cs="Arial"/>
        </w:rPr>
        <w:t>, </w:t>
      </w:r>
      <w:r w:rsidRPr="00E76E2B">
        <w:rPr>
          <w:rFonts w:ascii="Arial" w:hAnsi="Arial" w:cs="Arial"/>
          <w:i/>
          <w:iCs/>
        </w:rPr>
        <w:t>16</w:t>
      </w:r>
      <w:r w:rsidRPr="00E76E2B">
        <w:rPr>
          <w:rFonts w:ascii="Arial" w:hAnsi="Arial" w:cs="Arial"/>
        </w:rPr>
        <w:t xml:space="preserve">(3), em0661. </w:t>
      </w:r>
      <w:hyperlink r:id="rId51" w:history="1">
        <w:r w:rsidRPr="00E76E2B">
          <w:rPr>
            <w:rStyle w:val="Hyperlink"/>
            <w:rFonts w:ascii="Arial" w:hAnsi="Arial" w:cs="Arial"/>
          </w:rPr>
          <w:t>https://doi.org/10.29333/iejme/11297</w:t>
        </w:r>
      </w:hyperlink>
      <w:r w:rsidRPr="00E76E2B">
        <w:rPr>
          <w:rFonts w:ascii="Arial" w:hAnsi="Arial" w:cs="Arial"/>
        </w:rPr>
        <w:t xml:space="preserve"> </w:t>
      </w:r>
    </w:p>
    <w:p w14:paraId="21B2BAF1" w14:textId="77777777" w:rsidR="00E76E2B" w:rsidRPr="00E76E2B" w:rsidRDefault="00E76E2B" w:rsidP="00E76E2B">
      <w:pPr>
        <w:jc w:val="both"/>
        <w:rPr>
          <w:rFonts w:ascii="Arial" w:hAnsi="Arial" w:cs="Arial"/>
        </w:rPr>
      </w:pPr>
    </w:p>
    <w:p w14:paraId="60BA6C51" w14:textId="77777777" w:rsidR="00E76E2B" w:rsidRPr="00E76E2B" w:rsidRDefault="00E76E2B" w:rsidP="00E76E2B">
      <w:pPr>
        <w:jc w:val="both"/>
        <w:rPr>
          <w:rFonts w:ascii="Arial" w:hAnsi="Arial" w:cs="Arial"/>
          <w:i/>
          <w:iCs/>
        </w:rPr>
      </w:pPr>
      <w:r w:rsidRPr="00E76E2B">
        <w:rPr>
          <w:rFonts w:ascii="Arial" w:hAnsi="Arial" w:cs="Arial"/>
        </w:rPr>
        <w:t xml:space="preserve">Wang, M. T., &amp; Degol, J. L. (2017). </w:t>
      </w:r>
      <w:r w:rsidRPr="00E76E2B">
        <w:rPr>
          <w:rFonts w:ascii="Arial" w:hAnsi="Arial" w:cs="Arial"/>
          <w:i/>
          <w:iCs/>
        </w:rPr>
        <w:t xml:space="preserve">Gender gap in STEM: Revisiting the role of social and </w:t>
      </w:r>
    </w:p>
    <w:p w14:paraId="6ADA5C2E" w14:textId="77777777" w:rsidR="00E76E2B" w:rsidRPr="00E76E2B" w:rsidRDefault="00E76E2B" w:rsidP="00E76E2B">
      <w:pPr>
        <w:ind w:firstLine="720"/>
        <w:jc w:val="both"/>
        <w:rPr>
          <w:rFonts w:ascii="Arial" w:hAnsi="Arial" w:cs="Arial"/>
        </w:rPr>
      </w:pPr>
      <w:r w:rsidRPr="00E76E2B">
        <w:rPr>
          <w:rFonts w:ascii="Arial" w:hAnsi="Arial" w:cs="Arial"/>
          <w:i/>
          <w:iCs/>
        </w:rPr>
        <w:t>academic engagement.</w:t>
      </w:r>
      <w:r w:rsidRPr="00E76E2B">
        <w:rPr>
          <w:rFonts w:ascii="Arial" w:hAnsi="Arial" w:cs="Arial"/>
        </w:rPr>
        <w:t xml:space="preserve"> </w:t>
      </w:r>
      <w:r w:rsidRPr="00E76E2B">
        <w:rPr>
          <w:rFonts w:ascii="Arial" w:hAnsi="Arial" w:cs="Arial"/>
          <w:i/>
          <w:iCs/>
        </w:rPr>
        <w:t>Educational Researcher, 46</w:t>
      </w:r>
      <w:r w:rsidRPr="00E76E2B">
        <w:rPr>
          <w:rFonts w:ascii="Arial" w:hAnsi="Arial" w:cs="Arial"/>
        </w:rPr>
        <w:t xml:space="preserve">(5), 223-234. </w:t>
      </w:r>
      <w:hyperlink r:id="rId52" w:history="1">
        <w:r w:rsidRPr="00E76E2B">
          <w:rPr>
            <w:rStyle w:val="Hyperlink"/>
            <w:rFonts w:ascii="Arial" w:hAnsi="Arial" w:cs="Arial"/>
          </w:rPr>
          <w:t>https://doi.org/10.3102/0013189X17712639</w:t>
        </w:r>
      </w:hyperlink>
    </w:p>
    <w:p w14:paraId="560F3B1C" w14:textId="77777777" w:rsidR="00E76E2B" w:rsidRPr="00E76E2B" w:rsidRDefault="00E76E2B" w:rsidP="00E76E2B">
      <w:pPr>
        <w:jc w:val="both"/>
        <w:rPr>
          <w:rFonts w:ascii="Arial" w:hAnsi="Arial" w:cs="Arial"/>
        </w:rPr>
      </w:pPr>
    </w:p>
    <w:p w14:paraId="215B7851" w14:textId="77777777" w:rsidR="00E76E2B" w:rsidRPr="00E76E2B" w:rsidRDefault="00E76E2B" w:rsidP="00E76E2B">
      <w:pPr>
        <w:jc w:val="both"/>
        <w:rPr>
          <w:rFonts w:ascii="Arial" w:hAnsi="Arial" w:cs="Arial"/>
        </w:rPr>
      </w:pPr>
      <w:r w:rsidRPr="00E76E2B">
        <w:rPr>
          <w:rFonts w:ascii="Arial" w:hAnsi="Arial" w:cs="Arial"/>
        </w:rPr>
        <w:t xml:space="preserve">Wang, M. T., Hofkens, T., &amp; Ye, F. (2020). Classroom quality and adolescent student engagement </w:t>
      </w:r>
    </w:p>
    <w:p w14:paraId="4D23786B" w14:textId="77777777" w:rsidR="00E76E2B" w:rsidRPr="00E76E2B" w:rsidRDefault="00E76E2B" w:rsidP="00E76E2B">
      <w:pPr>
        <w:ind w:left="720"/>
        <w:jc w:val="both"/>
        <w:rPr>
          <w:rFonts w:ascii="Arial" w:hAnsi="Arial" w:cs="Arial"/>
        </w:rPr>
      </w:pPr>
      <w:r w:rsidRPr="00E76E2B">
        <w:rPr>
          <w:rFonts w:ascii="Arial" w:hAnsi="Arial" w:cs="Arial"/>
        </w:rPr>
        <w:t>and performance in mathematics: A multi-method and multi-informant approach. </w:t>
      </w:r>
      <w:r w:rsidRPr="00E76E2B">
        <w:rPr>
          <w:rFonts w:ascii="Arial" w:hAnsi="Arial" w:cs="Arial"/>
          <w:i/>
          <w:iCs/>
        </w:rPr>
        <w:t>Journal of youth and adolescence</w:t>
      </w:r>
      <w:r w:rsidRPr="00E76E2B">
        <w:rPr>
          <w:rFonts w:ascii="Arial" w:hAnsi="Arial" w:cs="Arial"/>
        </w:rPr>
        <w:t>, </w:t>
      </w:r>
      <w:r w:rsidRPr="00E76E2B">
        <w:rPr>
          <w:rFonts w:ascii="Arial" w:hAnsi="Arial" w:cs="Arial"/>
          <w:i/>
          <w:iCs/>
        </w:rPr>
        <w:t>49</w:t>
      </w:r>
      <w:r w:rsidRPr="00E76E2B">
        <w:rPr>
          <w:rFonts w:ascii="Arial" w:hAnsi="Arial" w:cs="Arial"/>
        </w:rPr>
        <w:t xml:space="preserve">, 1987-2002. </w:t>
      </w:r>
      <w:hyperlink r:id="rId53" w:history="1">
        <w:r w:rsidRPr="00E76E2B">
          <w:rPr>
            <w:rStyle w:val="Hyperlink"/>
            <w:rFonts w:ascii="Arial" w:hAnsi="Arial" w:cs="Arial"/>
          </w:rPr>
          <w:t>https://doi.org/10.1007/s10964-020-01195-0</w:t>
        </w:r>
      </w:hyperlink>
      <w:r w:rsidRPr="00E76E2B">
        <w:rPr>
          <w:rFonts w:ascii="Arial" w:hAnsi="Arial" w:cs="Arial"/>
        </w:rPr>
        <w:t xml:space="preserve"> </w:t>
      </w:r>
    </w:p>
    <w:p w14:paraId="64CF752A" w14:textId="77777777" w:rsidR="00E76E2B" w:rsidRPr="00E76E2B" w:rsidRDefault="00E76E2B" w:rsidP="00E76E2B">
      <w:pPr>
        <w:jc w:val="both"/>
        <w:rPr>
          <w:rFonts w:ascii="Arial" w:hAnsi="Arial" w:cs="Arial"/>
        </w:rPr>
      </w:pPr>
    </w:p>
    <w:p w14:paraId="05CEB35D" w14:textId="77777777" w:rsidR="00E76E2B" w:rsidRPr="00E76E2B" w:rsidRDefault="00E76E2B" w:rsidP="00E76E2B">
      <w:pPr>
        <w:jc w:val="both"/>
        <w:rPr>
          <w:rFonts w:ascii="Arial" w:hAnsi="Arial" w:cs="Arial"/>
        </w:rPr>
      </w:pPr>
      <w:r w:rsidRPr="00E76E2B">
        <w:rPr>
          <w:rFonts w:ascii="Arial" w:hAnsi="Arial" w:cs="Arial"/>
        </w:rPr>
        <w:t xml:space="preserve">Xia, Q., Yin, H., Hu, R., Li, X., &amp; Shang, J. (2022). Motivation, engagement, and mathematics </w:t>
      </w:r>
    </w:p>
    <w:p w14:paraId="45B02E85" w14:textId="45896FAE" w:rsidR="00E76E2B" w:rsidRPr="00E76E2B" w:rsidRDefault="00E76E2B" w:rsidP="00E76E2B">
      <w:pPr>
        <w:ind w:left="720"/>
        <w:jc w:val="both"/>
        <w:rPr>
          <w:rFonts w:ascii="Arial" w:hAnsi="Arial" w:cs="Arial"/>
        </w:rPr>
      </w:pPr>
      <w:r w:rsidRPr="00E76E2B">
        <w:rPr>
          <w:rFonts w:ascii="Arial" w:hAnsi="Arial" w:cs="Arial"/>
        </w:rPr>
        <w:t>achievement: An exploratory study among Chinese primary students. </w:t>
      </w:r>
      <w:r w:rsidRPr="00E76E2B">
        <w:rPr>
          <w:rFonts w:ascii="Arial" w:hAnsi="Arial" w:cs="Arial"/>
          <w:i/>
          <w:iCs/>
        </w:rPr>
        <w:t>SAGE Open</w:t>
      </w:r>
      <w:r w:rsidRPr="00E76E2B">
        <w:rPr>
          <w:rFonts w:ascii="Arial" w:hAnsi="Arial" w:cs="Arial"/>
        </w:rPr>
        <w:t>, </w:t>
      </w:r>
      <w:r w:rsidRPr="00E76E2B">
        <w:rPr>
          <w:rFonts w:ascii="Arial" w:hAnsi="Arial" w:cs="Arial"/>
          <w:i/>
          <w:iCs/>
        </w:rPr>
        <w:t>12</w:t>
      </w:r>
      <w:r w:rsidRPr="00E76E2B">
        <w:rPr>
          <w:rFonts w:ascii="Arial" w:hAnsi="Arial" w:cs="Arial"/>
        </w:rPr>
        <w:t xml:space="preserve">(4), 21582440221134609. </w:t>
      </w:r>
      <w:hyperlink r:id="rId54" w:history="1">
        <w:r w:rsidRPr="00582D3D">
          <w:rPr>
            <w:rStyle w:val="Hyperlink"/>
            <w:rFonts w:ascii="Arial" w:hAnsi="Arial" w:cs="Arial"/>
          </w:rPr>
          <w:t>https://doi.org/10.1177/2158244022113460</w:t>
        </w:r>
      </w:hyperlink>
    </w:p>
    <w:p w14:paraId="0231036C" w14:textId="77777777" w:rsidR="00790ADA" w:rsidRPr="00FB3A86" w:rsidRDefault="00790ADA" w:rsidP="00441B6F">
      <w:pPr>
        <w:pStyle w:val="Body"/>
        <w:spacing w:after="0"/>
        <w:rPr>
          <w:rFonts w:ascii="Arial" w:hAnsi="Arial" w:cs="Arial"/>
        </w:rPr>
      </w:pPr>
    </w:p>
    <w:p w14:paraId="60410B2E" w14:textId="77777777" w:rsidR="00B01FCD" w:rsidRPr="00FB3A86" w:rsidRDefault="00B01FCD" w:rsidP="00441B6F">
      <w:pPr>
        <w:pStyle w:val="Appendix"/>
        <w:spacing w:after="0"/>
        <w:jc w:val="both"/>
        <w:rPr>
          <w:rFonts w:ascii="Arial" w:hAnsi="Arial" w:cs="Arial"/>
          <w:b w:val="0"/>
        </w:rPr>
      </w:pPr>
    </w:p>
    <w:sectPr w:rsidR="00B01FCD" w:rsidRPr="00FB3A86" w:rsidSect="00024F7D">
      <w:headerReference w:type="even" r:id="rId55"/>
      <w:headerReference w:type="default" r:id="rId56"/>
      <w:footerReference w:type="default" r:id="rId57"/>
      <w:headerReference w:type="first" r:id="rId5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ABIRU FARUK" w:date="2025-04-28T07:59:00Z" w:initials="KF">
    <w:p w14:paraId="3292442B" w14:textId="44CB0CDC" w:rsidR="002D1BB3" w:rsidRDefault="002D1BB3">
      <w:pPr>
        <w:pStyle w:val="CommentText"/>
      </w:pPr>
      <w:r>
        <w:rPr>
          <w:rStyle w:val="CommentReference"/>
        </w:rPr>
        <w:annotationRef/>
      </w:r>
      <w:r>
        <w:t xml:space="preserve">Catagorize your introduction in to </w:t>
      </w:r>
    </w:p>
    <w:p w14:paraId="42F825B3" w14:textId="2F8C4FC4" w:rsidR="002D1BB3" w:rsidRDefault="002D1BB3">
      <w:pPr>
        <w:pStyle w:val="CommentText"/>
      </w:pPr>
      <w:r>
        <w:t>World view</w:t>
      </w:r>
    </w:p>
    <w:p w14:paraId="1D4D0A2E" w14:textId="40084D33" w:rsidR="002D1BB3" w:rsidRDefault="002D1BB3">
      <w:pPr>
        <w:pStyle w:val="CommentText"/>
      </w:pPr>
      <w:r>
        <w:t xml:space="preserve">National view and </w:t>
      </w:r>
    </w:p>
    <w:p w14:paraId="3213E36B" w14:textId="121147AA" w:rsidR="002D1BB3" w:rsidRDefault="002D1BB3">
      <w:pPr>
        <w:pStyle w:val="CommentText"/>
      </w:pPr>
      <w:r>
        <w:t>Local view</w:t>
      </w:r>
    </w:p>
    <w:p w14:paraId="302B6A28" w14:textId="77777777" w:rsidR="002D1BB3" w:rsidRDefault="002D1BB3">
      <w:pPr>
        <w:pStyle w:val="CommentText"/>
      </w:pPr>
    </w:p>
  </w:comment>
  <w:comment w:id="1" w:author="KABIRU FARUK" w:date="2025-04-28T08:02:00Z" w:initials="KF">
    <w:p w14:paraId="0E8C513A" w14:textId="45B64967" w:rsidR="002D1BB3" w:rsidRDefault="002D1BB3">
      <w:pPr>
        <w:pStyle w:val="CommentText"/>
      </w:pPr>
      <w:r>
        <w:rPr>
          <w:rStyle w:val="CommentReference"/>
        </w:rPr>
        <w:annotationRef/>
      </w:r>
      <w:r>
        <w:t>State what co</w:t>
      </w:r>
      <w:r w:rsidR="009C32BD">
        <w:t>nfronted</w:t>
      </w:r>
      <w:r>
        <w:t xml:space="preserve"> you to do this re</w:t>
      </w:r>
      <w:r w:rsidR="009C32BD">
        <w:t>erarch work</w:t>
      </w:r>
    </w:p>
  </w:comment>
  <w:comment w:id="2" w:author="KABIRU FARUK" w:date="2025-04-28T07:33:00Z" w:initials="KF">
    <w:p w14:paraId="09D4C71D" w14:textId="2F29AD4F" w:rsidR="00624515" w:rsidRDefault="00624515">
      <w:pPr>
        <w:pStyle w:val="CommentText"/>
      </w:pPr>
      <w:r>
        <w:rPr>
          <w:rStyle w:val="CommentReference"/>
        </w:rPr>
        <w:annotationRef/>
      </w:r>
      <w:r>
        <w:t xml:space="preserve">How explain in details </w:t>
      </w:r>
    </w:p>
  </w:comment>
  <w:comment w:id="3" w:author="KABIRU FARUK" w:date="2025-04-28T07:35:00Z" w:initials="KF">
    <w:p w14:paraId="3AB3BE14" w14:textId="426582E6" w:rsidR="005B65F5" w:rsidRDefault="005B65F5">
      <w:pPr>
        <w:pStyle w:val="CommentText"/>
      </w:pPr>
      <w:r>
        <w:rPr>
          <w:rStyle w:val="CommentReference"/>
        </w:rPr>
        <w:annotationRef/>
      </w:r>
      <w:r>
        <w:rPr>
          <w:rStyle w:val="Strong"/>
        </w:rPr>
        <w:t>Pearson correlation</w:t>
      </w:r>
      <w:r>
        <w:t xml:space="preserve"> should be used </w:t>
      </w:r>
      <w:r>
        <w:t>to check relationships</w:t>
      </w:r>
    </w:p>
  </w:comment>
  <w:comment w:id="4" w:author="KABIRU FARUK" w:date="2025-04-28T07:36:00Z" w:initials="KF">
    <w:p w14:paraId="4B5B8134" w14:textId="2BDDF205" w:rsidR="005B65F5" w:rsidRDefault="005B65F5">
      <w:pPr>
        <w:pStyle w:val="CommentText"/>
      </w:pPr>
      <w:r>
        <w:rPr>
          <w:rStyle w:val="CommentReference"/>
        </w:rPr>
        <w:annotationRef/>
      </w:r>
      <w:r>
        <w:t>This can only be used to see</w:t>
      </w:r>
      <w:r>
        <w:t xml:space="preserve"> how well perceived teaching performance and critical thinking skills predict student engagement</w:t>
      </w:r>
    </w:p>
  </w:comment>
  <w:comment w:id="5" w:author="KABIRU FARUK" w:date="2025-04-28T07:38:00Z" w:initials="KF">
    <w:p w14:paraId="7C9A8440" w14:textId="1F11EF45" w:rsidR="005B65F5" w:rsidRDefault="005B65F5">
      <w:pPr>
        <w:pStyle w:val="CommentText"/>
      </w:pPr>
      <w:r>
        <w:rPr>
          <w:rStyle w:val="CommentReference"/>
        </w:rPr>
        <w:annotationRef/>
      </w:r>
      <w:r>
        <w:t xml:space="preserve">No need to mention </w:t>
      </w:r>
    </w:p>
  </w:comment>
  <w:comment w:id="7" w:author="KABIRU FARUK" w:date="2025-04-28T07:40:00Z" w:initials="KF">
    <w:p w14:paraId="49D87891" w14:textId="3E770CB1" w:rsidR="005B65F5" w:rsidRDefault="005B65F5">
      <w:pPr>
        <w:pStyle w:val="CommentText"/>
      </w:pPr>
      <w:r>
        <w:rPr>
          <w:rStyle w:val="CommentReference"/>
        </w:rPr>
        <w:annotationRef/>
      </w:r>
      <w:r>
        <w:t>Write it in full</w:t>
      </w:r>
    </w:p>
  </w:comment>
  <w:comment w:id="6" w:author="KABIRU FARUK" w:date="2025-04-28T07:39:00Z" w:initials="KF">
    <w:p w14:paraId="0E14F380" w14:textId="0A967A24" w:rsidR="005B65F5" w:rsidRDefault="005B65F5">
      <w:pPr>
        <w:pStyle w:val="CommentText"/>
      </w:pPr>
      <w:r>
        <w:rPr>
          <w:rStyle w:val="CommentReference"/>
        </w:rPr>
        <w:annotationRef/>
      </w:r>
      <w:r>
        <w:t>There is need for more explation on usig stratified random sampling method</w:t>
      </w:r>
    </w:p>
  </w:comment>
  <w:comment w:id="8" w:author="KABIRU FARUK" w:date="2025-04-28T07:42:00Z" w:initials="KF">
    <w:p w14:paraId="4C96D251" w14:textId="74729E40" w:rsidR="00CF19ED" w:rsidRDefault="00CF19ED">
      <w:pPr>
        <w:pStyle w:val="CommentText"/>
      </w:pPr>
      <w:r>
        <w:rPr>
          <w:rStyle w:val="CommentReference"/>
        </w:rPr>
        <w:annotationRef/>
      </w:r>
      <w:r>
        <w:t>Was the  instrument Adopted or dapted?</w:t>
      </w:r>
    </w:p>
    <w:p w14:paraId="21C7A573" w14:textId="0D31C345" w:rsidR="00CF19ED" w:rsidRDefault="00CF19ED">
      <w:pPr>
        <w:pStyle w:val="CommentText"/>
      </w:pPr>
      <w:r>
        <w:t xml:space="preserve">State it specifically </w:t>
      </w:r>
    </w:p>
  </w:comment>
  <w:comment w:id="9" w:author="KABIRU FARUK" w:date="2025-04-28T07:21:00Z" w:initials="KF">
    <w:p w14:paraId="6491A4C4" w14:textId="16FBA0CC" w:rsidR="006D2005" w:rsidRDefault="006D2005">
      <w:pPr>
        <w:pStyle w:val="CommentText"/>
      </w:pPr>
      <w:r>
        <w:rPr>
          <w:rStyle w:val="CommentReference"/>
        </w:rPr>
        <w:annotationRef/>
      </w:r>
      <w:r>
        <w:t xml:space="preserve">No need for this </w:t>
      </w:r>
    </w:p>
  </w:comment>
  <w:comment w:id="12" w:author="KABIRU FARUK" w:date="2025-04-28T07:54:00Z" w:initials="KF">
    <w:p w14:paraId="196F6D22" w14:textId="7D2293EF" w:rsidR="002D1BB3" w:rsidRDefault="002D1BB3">
      <w:pPr>
        <w:pStyle w:val="CommentText"/>
      </w:pPr>
      <w:r>
        <w:rPr>
          <w:rStyle w:val="CommentReference"/>
        </w:rPr>
        <w:annotationRef/>
      </w:r>
      <w:r>
        <w:t>Should invest what?</w:t>
      </w:r>
    </w:p>
  </w:comment>
  <w:comment w:id="13" w:author="KABIRU FARUK" w:date="2025-04-28T07:51:00Z" w:initials="KF">
    <w:p w14:paraId="314000DE" w14:textId="77476A55" w:rsidR="00BC37A0" w:rsidRDefault="00BC37A0">
      <w:pPr>
        <w:pStyle w:val="CommentText"/>
      </w:pPr>
      <w:r>
        <w:rPr>
          <w:rStyle w:val="CommentReference"/>
        </w:rPr>
        <w:annotationRef/>
      </w:r>
      <w:r>
        <w:t xml:space="preserve">This is old </w:t>
      </w:r>
    </w:p>
  </w:comment>
  <w:comment w:id="14" w:author="KABIRU FARUK" w:date="2025-04-28T07:52:00Z" w:initials="KF">
    <w:p w14:paraId="09C72D1A" w14:textId="15EE7419" w:rsidR="00BC37A0" w:rsidRDefault="00BC37A0">
      <w:pPr>
        <w:pStyle w:val="CommentText"/>
      </w:pPr>
      <w:r>
        <w:rPr>
          <w:rStyle w:val="CommentReference"/>
        </w:rPr>
        <w:annotationRef/>
      </w:r>
      <w:r>
        <w:t xml:space="preserve">This is old </w:t>
      </w:r>
    </w:p>
  </w:comment>
  <w:comment w:id="15" w:author="KABIRU FARUK" w:date="2025-04-28T07:52:00Z" w:initials="KF">
    <w:p w14:paraId="057A8E9E" w14:textId="77777777" w:rsidR="002D1BB3" w:rsidRDefault="002D1BB3">
      <w:pPr>
        <w:pStyle w:val="CommentText"/>
      </w:pPr>
      <w:r>
        <w:rPr>
          <w:rStyle w:val="CommentReference"/>
        </w:rPr>
        <w:annotationRef/>
      </w:r>
      <w:r>
        <w:t xml:space="preserve">This is old </w:t>
      </w:r>
    </w:p>
    <w:p w14:paraId="548D5EA6" w14:textId="49BE026A" w:rsidR="002D1BB3" w:rsidRDefault="002D1BB3">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2B6A28" w15:done="0"/>
  <w15:commentEx w15:paraId="0E8C513A" w15:done="0"/>
  <w15:commentEx w15:paraId="09D4C71D" w15:done="0"/>
  <w15:commentEx w15:paraId="3AB3BE14" w15:done="0"/>
  <w15:commentEx w15:paraId="4B5B8134" w15:done="0"/>
  <w15:commentEx w15:paraId="7C9A8440" w15:done="0"/>
  <w15:commentEx w15:paraId="49D87891" w15:done="0"/>
  <w15:commentEx w15:paraId="0E14F380" w15:done="0"/>
  <w15:commentEx w15:paraId="21C7A573" w15:done="0"/>
  <w15:commentEx w15:paraId="6491A4C4" w15:done="0"/>
  <w15:commentEx w15:paraId="196F6D22" w15:done="0"/>
  <w15:commentEx w15:paraId="314000DE" w15:done="0"/>
  <w15:commentEx w15:paraId="09C72D1A" w15:done="0"/>
  <w15:commentEx w15:paraId="548D5E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92061" w14:textId="77777777" w:rsidR="00EF3AF5" w:rsidRDefault="00EF3AF5" w:rsidP="00C37E61">
      <w:r>
        <w:separator/>
      </w:r>
    </w:p>
  </w:endnote>
  <w:endnote w:type="continuationSeparator" w:id="0">
    <w:p w14:paraId="3B9FEB19" w14:textId="77777777" w:rsidR="00EF3AF5" w:rsidRDefault="00EF3AF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CD6BF" w14:textId="77777777" w:rsidR="00024F7D" w:rsidRDefault="00024F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7191B" w14:textId="77777777" w:rsidR="00024F7D" w:rsidRDefault="00024F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C6B05" w14:textId="77777777" w:rsidR="009E048A" w:rsidRDefault="009E048A">
    <w:pPr>
      <w:pStyle w:val="Footer"/>
      <w:rPr>
        <w:rFonts w:ascii="Arial" w:hAnsi="Arial" w:cs="Arial"/>
        <w:sz w:val="16"/>
      </w:rPr>
    </w:pPr>
  </w:p>
  <w:p w14:paraId="24926F2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0BE8721" w14:textId="77777777" w:rsidR="009E048A" w:rsidRDefault="009E048A">
    <w:pPr>
      <w:pStyle w:val="Footer"/>
      <w:rPr>
        <w:rFonts w:ascii="Arial" w:hAnsi="Arial" w:cs="Arial"/>
        <w:sz w:val="16"/>
      </w:rPr>
    </w:pPr>
  </w:p>
  <w:p w14:paraId="4852C8A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98FFE"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A3037" w14:textId="77777777" w:rsidR="00EF3AF5" w:rsidRDefault="00EF3AF5" w:rsidP="00C37E61">
      <w:r>
        <w:separator/>
      </w:r>
    </w:p>
  </w:footnote>
  <w:footnote w:type="continuationSeparator" w:id="0">
    <w:p w14:paraId="7E8D848D" w14:textId="77777777" w:rsidR="00EF3AF5" w:rsidRDefault="00EF3AF5"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70FD8" w14:textId="549958C6" w:rsidR="00024F7D" w:rsidRDefault="00EF3AF5">
    <w:pPr>
      <w:pStyle w:val="Header"/>
    </w:pPr>
    <w:r>
      <w:rPr>
        <w:noProof/>
      </w:rPr>
      <w:pict w14:anchorId="1E2A3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351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281FF" w14:textId="52C072CB" w:rsidR="00024F7D" w:rsidRDefault="00EF3AF5">
    <w:pPr>
      <w:pStyle w:val="Header"/>
    </w:pPr>
    <w:r>
      <w:rPr>
        <w:noProof/>
      </w:rPr>
      <w:pict w14:anchorId="2BF78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351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A9D1C" w14:textId="7213B0CC" w:rsidR="00296529" w:rsidRPr="00296529" w:rsidRDefault="00EF3AF5" w:rsidP="00296529">
    <w:pPr>
      <w:ind w:left="2160"/>
      <w:jc w:val="center"/>
      <w:rPr>
        <w:rFonts w:ascii="Times New Roman" w:eastAsia="Calibri" w:hAnsi="Times New Roman"/>
        <w:i/>
        <w:sz w:val="18"/>
        <w:szCs w:val="22"/>
      </w:rPr>
    </w:pPr>
    <w:r>
      <w:rPr>
        <w:noProof/>
      </w:rPr>
      <w:pict w14:anchorId="54DB09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351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4E9FE1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C54D5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34B0B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6B1E9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823C3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24DA37C"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63387" w14:textId="2B20DD90" w:rsidR="00024F7D" w:rsidRDefault="00EF3AF5">
    <w:pPr>
      <w:pStyle w:val="Header"/>
    </w:pPr>
    <w:r>
      <w:rPr>
        <w:noProof/>
      </w:rPr>
      <w:pict w14:anchorId="4C246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351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A0296" w14:textId="53F75CF2" w:rsidR="00024F7D" w:rsidRDefault="00EF3AF5">
    <w:pPr>
      <w:pStyle w:val="Header"/>
    </w:pPr>
    <w:r>
      <w:rPr>
        <w:noProof/>
      </w:rPr>
      <w:pict w14:anchorId="6F922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352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17AA4" w14:textId="3E5651D6" w:rsidR="00024F7D" w:rsidRDefault="00EF3AF5">
    <w:pPr>
      <w:pStyle w:val="Header"/>
    </w:pPr>
    <w:r>
      <w:rPr>
        <w:noProof/>
      </w:rPr>
      <w:pict w14:anchorId="3B5B7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351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BIRU FARUK">
    <w15:presenceInfo w15:providerId="None" w15:userId="KABIRU FAR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4F7D"/>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7AD8"/>
    <w:rsid w:val="00231920"/>
    <w:rsid w:val="0023195C"/>
    <w:rsid w:val="0024282C"/>
    <w:rsid w:val="002460DC"/>
    <w:rsid w:val="00250985"/>
    <w:rsid w:val="002556F6"/>
    <w:rsid w:val="00263EDC"/>
    <w:rsid w:val="00283105"/>
    <w:rsid w:val="00284C4C"/>
    <w:rsid w:val="00287E68"/>
    <w:rsid w:val="00296529"/>
    <w:rsid w:val="002B27FB"/>
    <w:rsid w:val="002B685A"/>
    <w:rsid w:val="002C57D2"/>
    <w:rsid w:val="002D1BB3"/>
    <w:rsid w:val="002E0D56"/>
    <w:rsid w:val="00315186"/>
    <w:rsid w:val="0033343E"/>
    <w:rsid w:val="0034163F"/>
    <w:rsid w:val="003512C2"/>
    <w:rsid w:val="00371FB6"/>
    <w:rsid w:val="003763C1"/>
    <w:rsid w:val="00376BBE"/>
    <w:rsid w:val="0039224F"/>
    <w:rsid w:val="003A43A4"/>
    <w:rsid w:val="003A7E18"/>
    <w:rsid w:val="003C4C86"/>
    <w:rsid w:val="003C6258"/>
    <w:rsid w:val="003E0E3A"/>
    <w:rsid w:val="003E2904"/>
    <w:rsid w:val="00401927"/>
    <w:rsid w:val="0041027F"/>
    <w:rsid w:val="00412475"/>
    <w:rsid w:val="00423789"/>
    <w:rsid w:val="00440F43"/>
    <w:rsid w:val="00441B6F"/>
    <w:rsid w:val="00446221"/>
    <w:rsid w:val="00450E62"/>
    <w:rsid w:val="004539DB"/>
    <w:rsid w:val="00471A80"/>
    <w:rsid w:val="0048050F"/>
    <w:rsid w:val="004D305E"/>
    <w:rsid w:val="004D4277"/>
    <w:rsid w:val="00502516"/>
    <w:rsid w:val="00505F06"/>
    <w:rsid w:val="00506828"/>
    <w:rsid w:val="0053056E"/>
    <w:rsid w:val="00554FDA"/>
    <w:rsid w:val="005B65F5"/>
    <w:rsid w:val="005C784C"/>
    <w:rsid w:val="005D17F6"/>
    <w:rsid w:val="005E5539"/>
    <w:rsid w:val="006023E4"/>
    <w:rsid w:val="00602BF5"/>
    <w:rsid w:val="00617FDD"/>
    <w:rsid w:val="00624515"/>
    <w:rsid w:val="00633614"/>
    <w:rsid w:val="00633F68"/>
    <w:rsid w:val="00636EB2"/>
    <w:rsid w:val="006375B8"/>
    <w:rsid w:val="0066510A"/>
    <w:rsid w:val="00673F9F"/>
    <w:rsid w:val="00686953"/>
    <w:rsid w:val="00687DEA"/>
    <w:rsid w:val="00687E67"/>
    <w:rsid w:val="006967F7"/>
    <w:rsid w:val="006A250C"/>
    <w:rsid w:val="006B21D3"/>
    <w:rsid w:val="006B57D0"/>
    <w:rsid w:val="006D2005"/>
    <w:rsid w:val="006D30FF"/>
    <w:rsid w:val="006D6940"/>
    <w:rsid w:val="006F11EC"/>
    <w:rsid w:val="0070082C"/>
    <w:rsid w:val="007278AB"/>
    <w:rsid w:val="0073492E"/>
    <w:rsid w:val="007369E6"/>
    <w:rsid w:val="00746E59"/>
    <w:rsid w:val="00754C9A"/>
    <w:rsid w:val="0075599A"/>
    <w:rsid w:val="00761D52"/>
    <w:rsid w:val="00774D0E"/>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128D"/>
    <w:rsid w:val="009659BA"/>
    <w:rsid w:val="00983040"/>
    <w:rsid w:val="009B3FB9"/>
    <w:rsid w:val="009C2465"/>
    <w:rsid w:val="009C32BD"/>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37A0"/>
    <w:rsid w:val="00BC53A0"/>
    <w:rsid w:val="00BE62AD"/>
    <w:rsid w:val="00BF121F"/>
    <w:rsid w:val="00BF1F80"/>
    <w:rsid w:val="00C137E1"/>
    <w:rsid w:val="00C166EF"/>
    <w:rsid w:val="00C17EB0"/>
    <w:rsid w:val="00C27F5F"/>
    <w:rsid w:val="00C30A0F"/>
    <w:rsid w:val="00C37E61"/>
    <w:rsid w:val="00C70F1B"/>
    <w:rsid w:val="00C71A47"/>
    <w:rsid w:val="00C7464C"/>
    <w:rsid w:val="00C85588"/>
    <w:rsid w:val="00CB5971"/>
    <w:rsid w:val="00CD5D92"/>
    <w:rsid w:val="00CD6755"/>
    <w:rsid w:val="00CD6856"/>
    <w:rsid w:val="00CE0089"/>
    <w:rsid w:val="00CE793C"/>
    <w:rsid w:val="00CF193C"/>
    <w:rsid w:val="00CF19ED"/>
    <w:rsid w:val="00D173F1"/>
    <w:rsid w:val="00D74CB0"/>
    <w:rsid w:val="00D8295D"/>
    <w:rsid w:val="00DB0A9C"/>
    <w:rsid w:val="00DC2A65"/>
    <w:rsid w:val="00DE15F0"/>
    <w:rsid w:val="00DE5663"/>
    <w:rsid w:val="00DE78AA"/>
    <w:rsid w:val="00E053D0"/>
    <w:rsid w:val="00E15994"/>
    <w:rsid w:val="00E3114E"/>
    <w:rsid w:val="00E31A70"/>
    <w:rsid w:val="00E35B02"/>
    <w:rsid w:val="00E62C7F"/>
    <w:rsid w:val="00E66496"/>
    <w:rsid w:val="00E66B35"/>
    <w:rsid w:val="00E66E10"/>
    <w:rsid w:val="00E769F6"/>
    <w:rsid w:val="00E76E2B"/>
    <w:rsid w:val="00E8407C"/>
    <w:rsid w:val="00E84F3C"/>
    <w:rsid w:val="00EA012C"/>
    <w:rsid w:val="00EC6A55"/>
    <w:rsid w:val="00ED0288"/>
    <w:rsid w:val="00EE52CB"/>
    <w:rsid w:val="00EF3AF5"/>
    <w:rsid w:val="00EF581D"/>
    <w:rsid w:val="00EF7FD8"/>
    <w:rsid w:val="00F06F59"/>
    <w:rsid w:val="00F17988"/>
    <w:rsid w:val="00F469F0"/>
    <w:rsid w:val="00F53273"/>
    <w:rsid w:val="00F56D3C"/>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84865C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B597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CB5971"/>
    <w:rPr>
      <w:rFonts w:asciiTheme="majorHAnsi" w:eastAsiaTheme="majorEastAsia" w:hAnsiTheme="majorHAnsi" w:cstheme="majorBidi"/>
      <w:color w:val="243F60" w:themeColor="accent1" w:themeShade="7F"/>
      <w:sz w:val="24"/>
      <w:szCs w:val="24"/>
    </w:rPr>
  </w:style>
  <w:style w:type="paragraph" w:styleId="NoSpacing">
    <w:name w:val="No Spacing"/>
    <w:link w:val="NoSpacingChar"/>
    <w:uiPriority w:val="1"/>
    <w:qFormat/>
    <w:rsid w:val="00CB5971"/>
    <w:rPr>
      <w:rFonts w:asciiTheme="minorHAnsi" w:eastAsiaTheme="minorHAnsi" w:hAnsiTheme="minorHAnsi" w:cstheme="minorBidi"/>
      <w:sz w:val="22"/>
      <w:szCs w:val="22"/>
      <w:lang w:val="en-PH"/>
    </w:rPr>
  </w:style>
  <w:style w:type="character" w:customStyle="1" w:styleId="NoSpacingChar">
    <w:name w:val="No Spacing Char"/>
    <w:link w:val="NoSpacing"/>
    <w:autoRedefine/>
    <w:uiPriority w:val="1"/>
    <w:qFormat/>
    <w:rsid w:val="00CB5971"/>
    <w:rPr>
      <w:rFonts w:asciiTheme="minorHAnsi" w:eastAsiaTheme="minorHAnsi" w:hAnsiTheme="minorHAnsi" w:cstheme="minorBidi"/>
      <w:sz w:val="22"/>
      <w:szCs w:val="22"/>
      <w:lang w:val="en-PH"/>
    </w:rPr>
  </w:style>
  <w:style w:type="paragraph" w:styleId="CommentSubject">
    <w:name w:val="annotation subject"/>
    <w:basedOn w:val="CommentText"/>
    <w:next w:val="CommentText"/>
    <w:link w:val="CommentSubjectChar"/>
    <w:semiHidden/>
    <w:unhideWhenUsed/>
    <w:rsid w:val="006D2005"/>
    <w:rPr>
      <w:rFonts w:ascii="Helvetica" w:hAnsi="Helvetica"/>
      <w:b/>
      <w:bCs/>
      <w:lang w:val="en-US" w:eastAsia="en-US"/>
    </w:rPr>
  </w:style>
  <w:style w:type="character" w:customStyle="1" w:styleId="CommentSubjectChar">
    <w:name w:val="Comment Subject Char"/>
    <w:basedOn w:val="CommentTextChar"/>
    <w:link w:val="CommentSubject"/>
    <w:semiHidden/>
    <w:rsid w:val="006D2005"/>
    <w:rPr>
      <w:rFonts w:ascii="Helvetica" w:hAnsi="Helvetica"/>
      <w:b/>
      <w:bCs/>
      <w:lang w:val="nb-NO" w:eastAsia="nb-NO"/>
    </w:rPr>
  </w:style>
  <w:style w:type="character" w:styleId="Strong">
    <w:name w:val="Strong"/>
    <w:basedOn w:val="DefaultParagraphFont"/>
    <w:uiPriority w:val="22"/>
    <w:qFormat/>
    <w:rsid w:val="005B65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794750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3809366">
      <w:bodyDiv w:val="1"/>
      <w:marLeft w:val="0"/>
      <w:marRight w:val="0"/>
      <w:marTop w:val="0"/>
      <w:marBottom w:val="0"/>
      <w:divBdr>
        <w:top w:val="none" w:sz="0" w:space="0" w:color="auto"/>
        <w:left w:val="none" w:sz="0" w:space="0" w:color="auto"/>
        <w:bottom w:val="none" w:sz="0" w:space="0" w:color="auto"/>
        <w:right w:val="none" w:sz="0" w:space="0" w:color="auto"/>
      </w:divBdr>
    </w:div>
    <w:div w:id="17669553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129550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422597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1901476">
      <w:bodyDiv w:val="1"/>
      <w:marLeft w:val="0"/>
      <w:marRight w:val="0"/>
      <w:marTop w:val="0"/>
      <w:marBottom w:val="0"/>
      <w:divBdr>
        <w:top w:val="none" w:sz="0" w:space="0" w:color="auto"/>
        <w:left w:val="none" w:sz="0" w:space="0" w:color="auto"/>
        <w:bottom w:val="none" w:sz="0" w:space="0" w:color="auto"/>
        <w:right w:val="none" w:sz="0" w:space="0" w:color="auto"/>
      </w:divBdr>
    </w:div>
    <w:div w:id="1139617108">
      <w:bodyDiv w:val="1"/>
      <w:marLeft w:val="0"/>
      <w:marRight w:val="0"/>
      <w:marTop w:val="0"/>
      <w:marBottom w:val="0"/>
      <w:divBdr>
        <w:top w:val="none" w:sz="0" w:space="0" w:color="auto"/>
        <w:left w:val="none" w:sz="0" w:space="0" w:color="auto"/>
        <w:bottom w:val="none" w:sz="0" w:space="0" w:color="auto"/>
        <w:right w:val="none" w:sz="0" w:space="0" w:color="auto"/>
      </w:divBdr>
    </w:div>
    <w:div w:id="1180437670">
      <w:bodyDiv w:val="1"/>
      <w:marLeft w:val="0"/>
      <w:marRight w:val="0"/>
      <w:marTop w:val="0"/>
      <w:marBottom w:val="0"/>
      <w:divBdr>
        <w:top w:val="none" w:sz="0" w:space="0" w:color="auto"/>
        <w:left w:val="none" w:sz="0" w:space="0" w:color="auto"/>
        <w:bottom w:val="none" w:sz="0" w:space="0" w:color="auto"/>
        <w:right w:val="none" w:sz="0" w:space="0" w:color="auto"/>
      </w:divBdr>
    </w:div>
    <w:div w:id="1243488537">
      <w:bodyDiv w:val="1"/>
      <w:marLeft w:val="0"/>
      <w:marRight w:val="0"/>
      <w:marTop w:val="0"/>
      <w:marBottom w:val="0"/>
      <w:divBdr>
        <w:top w:val="none" w:sz="0" w:space="0" w:color="auto"/>
        <w:left w:val="none" w:sz="0" w:space="0" w:color="auto"/>
        <w:bottom w:val="none" w:sz="0" w:space="0" w:color="auto"/>
        <w:right w:val="none" w:sz="0" w:space="0" w:color="auto"/>
      </w:divBdr>
    </w:div>
    <w:div w:id="1442265964">
      <w:bodyDiv w:val="1"/>
      <w:marLeft w:val="0"/>
      <w:marRight w:val="0"/>
      <w:marTop w:val="0"/>
      <w:marBottom w:val="0"/>
      <w:divBdr>
        <w:top w:val="none" w:sz="0" w:space="0" w:color="auto"/>
        <w:left w:val="none" w:sz="0" w:space="0" w:color="auto"/>
        <w:bottom w:val="none" w:sz="0" w:space="0" w:color="auto"/>
        <w:right w:val="none" w:sz="0" w:space="0" w:color="auto"/>
      </w:divBdr>
    </w:div>
    <w:div w:id="1443963453">
      <w:bodyDiv w:val="1"/>
      <w:marLeft w:val="0"/>
      <w:marRight w:val="0"/>
      <w:marTop w:val="0"/>
      <w:marBottom w:val="0"/>
      <w:divBdr>
        <w:top w:val="none" w:sz="0" w:space="0" w:color="auto"/>
        <w:left w:val="none" w:sz="0" w:space="0" w:color="auto"/>
        <w:bottom w:val="none" w:sz="0" w:space="0" w:color="auto"/>
        <w:right w:val="none" w:sz="0" w:space="0" w:color="auto"/>
      </w:divBdr>
    </w:div>
    <w:div w:id="163147370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4984908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059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89/fpsyg.2021.713057" TargetMode="External"/><Relationship Id="rId26" Type="http://schemas.openxmlformats.org/officeDocument/2006/relationships/hyperlink" Target="https://doi.org/10.3102/00346543074001059" TargetMode="External"/><Relationship Id="rId39" Type="http://schemas.openxmlformats.org/officeDocument/2006/relationships/hyperlink" Target="https://tinyurl.com/2b9ypebk" TargetMode="External"/><Relationship Id="rId21" Type="http://schemas.openxmlformats.org/officeDocument/2006/relationships/hyperlink" Target="https://tinyurl.com/3efnmwea" TargetMode="External"/><Relationship Id="rId34" Type="http://schemas.openxmlformats.org/officeDocument/2006/relationships/hyperlink" Target="https://doi.org/10.1016/j.compedu.2024.105100" TargetMode="External"/><Relationship Id="rId42" Type="http://schemas.openxmlformats.org/officeDocument/2006/relationships/hyperlink" Target="https://tinyurl.com/rejaum9z" TargetMode="External"/><Relationship Id="rId47" Type="http://schemas.openxmlformats.org/officeDocument/2006/relationships/hyperlink" Target="https://doi.org/10.11591/ijere.v10i1.20711" TargetMode="External"/><Relationship Id="rId50" Type="http://schemas.openxmlformats.org/officeDocument/2006/relationships/hyperlink" Target="https://tinyurl.com/mve67rew" TargetMode="Externa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8/1742-6596/1882/1/012156" TargetMode="External"/><Relationship Id="rId20" Type="http://schemas.openxmlformats.org/officeDocument/2006/relationships/hyperlink" Target="https://doi.org/10.1080/10888691.2016.1265048" TargetMode="External"/><Relationship Id="rId29" Type="http://schemas.openxmlformats.org/officeDocument/2006/relationships/hyperlink" Target="https://doi.org/10.1371/journal.pone.0278052" TargetMode="External"/><Relationship Id="rId41" Type="http://schemas.openxmlformats.org/officeDocument/2006/relationships/hyperlink" Target="https://doi.org/10.4324/9781003377986" TargetMode="External"/><Relationship Id="rId54" Type="http://schemas.openxmlformats.org/officeDocument/2006/relationships/hyperlink" Target="https://doi.org/10.1177/21582440221134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tinyurl.com/ye26mrwc" TargetMode="External"/><Relationship Id="rId32" Type="http://schemas.openxmlformats.org/officeDocument/2006/relationships/hyperlink" Target="https://doi.org/10.1016/j.tsc.2023.101369" TargetMode="External"/><Relationship Id="rId37" Type="http://schemas.openxmlformats.org/officeDocument/2006/relationships/hyperlink" Target="https://doi.org/10.37284/ijar.5.1.887" TargetMode="External"/><Relationship Id="rId40" Type="http://schemas.openxmlformats.org/officeDocument/2006/relationships/hyperlink" Target="https://doi.org/10.1037/0003-066X.55.1.68" TargetMode="External"/><Relationship Id="rId45" Type="http://schemas.openxmlformats.org/officeDocument/2006/relationships/hyperlink" Target="https://tinyurl.com/4stf6ab8" TargetMode="External"/><Relationship Id="rId53" Type="http://schemas.openxmlformats.org/officeDocument/2006/relationships/hyperlink" Target="https://doi.org/10.1007/s10964-020-01195-0" TargetMode="External"/><Relationship Id="rId58"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1080/0020739X.2017.1305130" TargetMode="External"/><Relationship Id="rId28" Type="http://schemas.openxmlformats.org/officeDocument/2006/relationships/hyperlink" Target="https://doi.org/10.6007/IJARBSS/v6-i11/2371" TargetMode="External"/><Relationship Id="rId36" Type="http://schemas.openxmlformats.org/officeDocument/2006/relationships/hyperlink" Target="https://doi.org/10.17083/ijsg.v10i4.634" TargetMode="External"/><Relationship Id="rId49" Type="http://schemas.openxmlformats.org/officeDocument/2006/relationships/hyperlink" Target="https://doi.org/10.59324/ejceel.2024.2(3).07" TargetMode="External"/><Relationship Id="rId57" Type="http://schemas.openxmlformats.org/officeDocument/2006/relationships/footer" Target="footer4.xm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16/j.lindif.2022.102183" TargetMode="External"/><Relationship Id="rId31" Type="http://schemas.openxmlformats.org/officeDocument/2006/relationships/hyperlink" Target="https://doi.org/10.1037/edu0000081" TargetMode="External"/><Relationship Id="rId44" Type="http://schemas.openxmlformats.org/officeDocument/2006/relationships/hyperlink" Target="https://doi.org/10.9743/jir.2019.8.2.1" TargetMode="External"/><Relationship Id="rId52" Type="http://schemas.openxmlformats.org/officeDocument/2006/relationships/hyperlink" Target="https://doi.org/10.3102/0013189X17712639" TargetMode="Externa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007/s13394-017-0199-1" TargetMode="External"/><Relationship Id="rId27" Type="http://schemas.openxmlformats.org/officeDocument/2006/relationships/hyperlink" Target="https://doi.org/10.4236/jamp.2022.1012240" TargetMode="External"/><Relationship Id="rId30" Type="http://schemas.openxmlformats.org/officeDocument/2006/relationships/hyperlink" Target="https://doi.org/10.1016/j.chb.2021.106963" TargetMode="External"/><Relationship Id="rId35" Type="http://schemas.openxmlformats.org/officeDocument/2006/relationships/hyperlink" Target="https://doi.org/10.1016/j.jbusres.2023.113838" TargetMode="External"/><Relationship Id="rId43" Type="http://schemas.openxmlformats.org/officeDocument/2006/relationships/hyperlink" Target="https://doi.org/10.1007/s13394-020-00313-2%20" TargetMode="External"/><Relationship Id="rId48" Type="http://schemas.openxmlformats.org/officeDocument/2006/relationships/hyperlink" Target="https://doi.org/10.3390/jintelligence11030054" TargetMode="External"/><Relationship Id="rId56"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doi.org/10.29333/iejme/11297"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doi.org/10.11591/ijere.v10i3.21792" TargetMode="External"/><Relationship Id="rId25" Type="http://schemas.openxmlformats.org/officeDocument/2006/relationships/hyperlink" Target="https://doi.org/10.36106/paripex/721147" TargetMode="External"/><Relationship Id="rId33" Type="http://schemas.openxmlformats.org/officeDocument/2006/relationships/hyperlink" Target="https://doi.org/10.9734/ajess/2024/v50i41310" TargetMode="External"/><Relationship Id="rId38" Type="http://schemas.openxmlformats.org/officeDocument/2006/relationships/hyperlink" Target="https://dx.doi.org/10.5281/zenodo.5817149" TargetMode="External"/><Relationship Id="rId46" Type="http://schemas.openxmlformats.org/officeDocument/2006/relationships/hyperlink" Target="https://tinyurl.com/mrxt8jwn" TargetMode="External"/><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AFD5B-C812-46CD-A817-F9C9ADA11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9</Pages>
  <Words>5301</Words>
  <Characters>30219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35450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KABIRU FARUK</cp:lastModifiedBy>
  <cp:revision>2</cp:revision>
  <cp:lastPrinted>1999-07-06T11:00:00Z</cp:lastPrinted>
  <dcterms:created xsi:type="dcterms:W3CDTF">2025-04-28T15:09:00Z</dcterms:created>
  <dcterms:modified xsi:type="dcterms:W3CDTF">2025-04-28T15:09:00Z</dcterms:modified>
</cp:coreProperties>
</file>