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C1CA5" w14:textId="77777777" w:rsidR="00B47300" w:rsidRDefault="00414E9C">
      <w:pPr>
        <w:spacing w:line="240" w:lineRule="auto"/>
        <w:jc w:val="center"/>
      </w:pPr>
      <w:r>
        <w:rPr>
          <w:rFonts w:ascii="Times New Roman" w:eastAsia="Times New Roman" w:hAnsi="Times New Roman" w:cs="Times New Roman"/>
          <w:b/>
          <w:sz w:val="24"/>
          <w:szCs w:val="24"/>
        </w:rPr>
        <w:t xml:space="preserve">Social Anxiety among University Undergraduates: The Role of Mobile Gaming Addiction </w:t>
      </w:r>
    </w:p>
    <w:p w14:paraId="1D53B1B2" w14:textId="77777777" w:rsidR="00B47300" w:rsidRDefault="00B47300">
      <w:pPr>
        <w:spacing w:line="240" w:lineRule="auto"/>
        <w:jc w:val="center"/>
        <w:rPr>
          <w:rFonts w:ascii="Times New Roman" w:eastAsia="Times New Roman" w:hAnsi="Times New Roman" w:cs="Times New Roman"/>
          <w:b/>
          <w:sz w:val="24"/>
          <w:szCs w:val="24"/>
        </w:rPr>
      </w:pPr>
    </w:p>
    <w:p w14:paraId="49B4A558" w14:textId="05D1D7ED" w:rsidR="00B47300" w:rsidRDefault="00B47300">
      <w:pPr>
        <w:spacing w:line="240" w:lineRule="auto"/>
        <w:jc w:val="center"/>
        <w:rPr>
          <w:rFonts w:ascii="Times New Roman" w:eastAsia="Times New Roman" w:hAnsi="Times New Roman" w:cs="Times New Roman"/>
          <w:sz w:val="24"/>
          <w:szCs w:val="24"/>
        </w:rPr>
      </w:pPr>
    </w:p>
    <w:p w14:paraId="5E55411D" w14:textId="77777777" w:rsidR="00043475" w:rsidRDefault="00043475">
      <w:pPr>
        <w:spacing w:line="240" w:lineRule="auto"/>
        <w:jc w:val="center"/>
        <w:rPr>
          <w:rFonts w:ascii="Times New Roman" w:eastAsia="Times New Roman" w:hAnsi="Times New Roman" w:cs="Times New Roman"/>
          <w:sz w:val="24"/>
          <w:szCs w:val="24"/>
        </w:rPr>
      </w:pPr>
    </w:p>
    <w:p w14:paraId="323808D2"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14:paraId="2AB730B0" w14:textId="388A4F1A"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research aimed to investigate the predictive influence of mobile gaming addiction on social anxiety (SA) among undergraduates at </w:t>
      </w:r>
      <w:commentRangeStart w:id="0"/>
      <w:r>
        <w:rPr>
          <w:rFonts w:ascii="Times New Roman" w:eastAsia="Times New Roman" w:hAnsi="Times New Roman" w:cs="Times New Roman"/>
          <w:color w:val="0E101A"/>
          <w:sz w:val="24"/>
          <w:szCs w:val="24"/>
        </w:rPr>
        <w:t>a selected Nigerian university</w:t>
      </w:r>
      <w:commentRangeEnd w:id="0"/>
      <w:r w:rsidR="007875F0">
        <w:rPr>
          <w:rStyle w:val="af2"/>
        </w:rPr>
        <w:commentReference w:id="0"/>
      </w:r>
      <w:r>
        <w:rPr>
          <w:rFonts w:ascii="Times New Roman" w:eastAsia="Times New Roman" w:hAnsi="Times New Roman" w:cs="Times New Roman"/>
          <w:color w:val="0E101A"/>
          <w:sz w:val="24"/>
          <w:szCs w:val="24"/>
        </w:rPr>
        <w:t>. This cross-sectional survey utilized a multistage sampling technique to select 300 participants (149 male, 151 female) with a mean age of 19.53 ±2.22. Participants completed the Internet Gaming Disorder Scale–Short-Form (IGDS9-SF) and the Social Interaction Anxiety Scale (SIAS). A prevalence of 5.9% and 1.7% was reported for social anxiety and mobile gaming addiction respectively. Mobile gaming addiction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.27,</w:t>
      </w:r>
      <w:r w:rsidR="009B583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i/>
          <w:iCs/>
          <w:color w:val="0E101A"/>
          <w:sz w:val="24"/>
          <w:szCs w:val="24"/>
        </w:rPr>
        <w:t xml:space="preserve">t </w:t>
      </w:r>
      <w:r>
        <w:rPr>
          <w:rFonts w:ascii="Times New Roman" w:eastAsia="Times New Roman" w:hAnsi="Times New Roman" w:cs="Times New Roman"/>
          <w:color w:val="0E101A"/>
          <w:sz w:val="24"/>
          <w:szCs w:val="24"/>
        </w:rPr>
        <w:t xml:space="preserve">= 4.40,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Age also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-.98,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 -2.31,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with younger students showing higher levels of anxiety. Years spent in university did not significantly influence social anxiety levels [</w:t>
      </w:r>
      <w:r>
        <w:rPr>
          <w:rFonts w:ascii="Times New Roman" w:eastAsia="Times New Roman" w:hAnsi="Times New Roman" w:cs="Times New Roman"/>
          <w:i/>
          <w:iCs/>
          <w:color w:val="0E101A"/>
          <w:sz w:val="24"/>
          <w:szCs w:val="24"/>
        </w:rPr>
        <w:t>F</w:t>
      </w:r>
      <w:r>
        <w:rPr>
          <w:rFonts w:ascii="Times New Roman" w:eastAsia="Times New Roman" w:hAnsi="Times New Roman" w:cs="Times New Roman"/>
          <w:color w:val="0E101A"/>
          <w:sz w:val="24"/>
          <w:szCs w:val="24"/>
        </w:rPr>
        <w:t xml:space="preserve"> (4,295) = .26,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&gt;0.05]. No significant gender difference was found in social anxiety scores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(298) = -2.35,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&gt; .05], although female students (M = 36.86, SD = 15.85) scored slightly higher than male students (M = 32.39, SD = 16.65). These findings </w:t>
      </w:r>
      <w:commentRangeStart w:id="1"/>
      <w:r>
        <w:rPr>
          <w:rFonts w:ascii="Times New Roman" w:eastAsia="Times New Roman" w:hAnsi="Times New Roman" w:cs="Times New Roman"/>
          <w:color w:val="0E101A"/>
          <w:sz w:val="24"/>
          <w:szCs w:val="24"/>
        </w:rPr>
        <w:t xml:space="preserve">reveal </w:t>
      </w:r>
      <w:commentRangeEnd w:id="1"/>
      <w:r w:rsidR="007875F0">
        <w:rPr>
          <w:rStyle w:val="af2"/>
        </w:rPr>
        <w:commentReference w:id="1"/>
      </w:r>
      <w:r>
        <w:rPr>
          <w:rFonts w:ascii="Times New Roman" w:eastAsia="Times New Roman" w:hAnsi="Times New Roman" w:cs="Times New Roman"/>
          <w:color w:val="0E101A"/>
          <w:sz w:val="24"/>
          <w:szCs w:val="24"/>
        </w:rPr>
        <w:t>a high prevalence of social anxiety among Nigerian undergraduates and underscore the strong role mobile gaming addiction and age play in SA. The study suggests a need for targeted interventions to address gaming-related issues and SA, particularly among younger students. Future research should explore additional factors contributing to SA in university settings and develop effective strategies for supporting student mental health.</w:t>
      </w:r>
    </w:p>
    <w:p w14:paraId="50D3A5F4" w14:textId="77777777" w:rsidR="00B47300" w:rsidRDefault="00B47300">
      <w:pPr>
        <w:spacing w:line="240" w:lineRule="auto"/>
        <w:rPr>
          <w:rFonts w:ascii="Times New Roman" w:eastAsia="Times New Roman" w:hAnsi="Times New Roman" w:cs="Times New Roman"/>
          <w:b/>
          <w:bCs/>
          <w:color w:val="0E101A"/>
          <w:sz w:val="24"/>
          <w:szCs w:val="24"/>
        </w:rPr>
      </w:pPr>
    </w:p>
    <w:p w14:paraId="62926F8F"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Keywords</w:t>
      </w:r>
      <w:r>
        <w:rPr>
          <w:rFonts w:ascii="Times New Roman" w:eastAsia="Times New Roman" w:hAnsi="Times New Roman" w:cs="Times New Roman"/>
          <w:color w:val="0E101A"/>
          <w:sz w:val="24"/>
          <w:szCs w:val="24"/>
        </w:rPr>
        <w:t>: Mobile gaming addiction, social anxiety, university undergraduates, Nigeria</w:t>
      </w:r>
      <w:commentRangeStart w:id="2"/>
      <w:r>
        <w:rPr>
          <w:rFonts w:ascii="Times New Roman" w:eastAsia="Times New Roman" w:hAnsi="Times New Roman" w:cs="Times New Roman"/>
          <w:color w:val="0E101A"/>
          <w:sz w:val="24"/>
          <w:szCs w:val="24"/>
        </w:rPr>
        <w:t>.</w:t>
      </w:r>
      <w:commentRangeEnd w:id="2"/>
      <w:r w:rsidR="007248A0">
        <w:rPr>
          <w:rStyle w:val="af2"/>
        </w:rPr>
        <w:commentReference w:id="2"/>
      </w:r>
      <w:r>
        <w:rPr>
          <w:rFonts w:ascii="Times New Roman" w:eastAsia="Times New Roman" w:hAnsi="Times New Roman" w:cs="Times New Roman"/>
          <w:color w:val="0E101A"/>
          <w:sz w:val="24"/>
          <w:szCs w:val="24"/>
        </w:rPr>
        <w:t xml:space="preserve"> </w:t>
      </w:r>
    </w:p>
    <w:p w14:paraId="26CEACB3" w14:textId="77777777" w:rsidR="00B47300" w:rsidRDefault="00B47300">
      <w:pPr>
        <w:spacing w:line="240" w:lineRule="auto"/>
        <w:rPr>
          <w:rFonts w:ascii="Times New Roman" w:eastAsia="Times New Roman" w:hAnsi="Times New Roman" w:cs="Times New Roman"/>
          <w:b/>
          <w:bCs/>
          <w:color w:val="0E101A"/>
          <w:sz w:val="24"/>
          <w:szCs w:val="24"/>
        </w:rPr>
      </w:pPr>
    </w:p>
    <w:p w14:paraId="61C40A25" w14:textId="77777777" w:rsidR="00B47300" w:rsidRDefault="00414E9C">
      <w:pPr>
        <w:spacing w:line="240" w:lineRule="auto"/>
        <w:rPr>
          <w:rFonts w:ascii="Times New Roman" w:eastAsia="Times New Roman" w:hAnsi="Times New Roman" w:cs="Times New Roman"/>
          <w:color w:val="0E101A"/>
          <w:sz w:val="24"/>
          <w:szCs w:val="24"/>
        </w:rPr>
      </w:pPr>
      <w:commentRangeStart w:id="3"/>
      <w:r>
        <w:rPr>
          <w:rFonts w:ascii="Times New Roman" w:eastAsia="Times New Roman" w:hAnsi="Times New Roman" w:cs="Times New Roman"/>
          <w:b/>
          <w:bCs/>
          <w:color w:val="0E101A"/>
          <w:sz w:val="24"/>
          <w:szCs w:val="24"/>
        </w:rPr>
        <w:t>Introduction</w:t>
      </w:r>
      <w:r>
        <w:rPr>
          <w:rFonts w:ascii="Times New Roman" w:eastAsia="Times New Roman" w:hAnsi="Times New Roman" w:cs="Times New Roman"/>
          <w:color w:val="0E101A"/>
          <w:sz w:val="24"/>
          <w:szCs w:val="24"/>
        </w:rPr>
        <w:t xml:space="preserve"> </w:t>
      </w:r>
      <w:commentRangeEnd w:id="3"/>
      <w:r w:rsidR="00E121DA">
        <w:rPr>
          <w:rStyle w:val="af2"/>
        </w:rPr>
        <w:commentReference w:id="3"/>
      </w:r>
    </w:p>
    <w:p w14:paraId="38C61358"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4"/>
      <w:r>
        <w:rPr>
          <w:rFonts w:ascii="Times New Roman" w:eastAsia="Times New Roman" w:hAnsi="Times New Roman" w:cs="Times New Roman"/>
          <w:color w:val="0E101A"/>
          <w:sz w:val="24"/>
          <w:szCs w:val="24"/>
        </w:rPr>
        <w:t>Social anxiety (SA) is a common and debilitating mental disorder that involves a persistent fear of being negatively evaluated or embarrassed in social situations. People with social anxiety may avoid or endure social interactions with intense distress, which can impair their functioning and quality of life. Social anxiety can affect people of any age, culture, or background, but it often begins in adolescence or early adulthood</w:t>
      </w:r>
      <w:commentRangeEnd w:id="4"/>
      <w:r w:rsidR="007248A0">
        <w:rPr>
          <w:rStyle w:val="af2"/>
        </w:rPr>
        <w:commentReference w:id="4"/>
      </w:r>
      <w:r>
        <w:rPr>
          <w:rFonts w:ascii="Times New Roman" w:eastAsia="Times New Roman" w:hAnsi="Times New Roman" w:cs="Times New Roman"/>
          <w:color w:val="0E101A"/>
          <w:sz w:val="24"/>
          <w:szCs w:val="24"/>
        </w:rPr>
        <w:t xml:space="preserve">. Social anxiety in Nigeria may be influenced by various cultural and contextual factors, such as stigma, discrimination, violence, poverty, and lack of mental health services. Some studies have suggested that Nigerians may have different conceptualizations and expressions of social anxiety than Western populations and that social anxiety may be related to specific fears of witchcraft, evil spirits, or curses (Jefferies &amp; Ungar 2020). Moreover, social anxiety may be exacerbated by the high expectations and pressures to conform to social norms and roles in Nigerian society, especially for women and young people </w:t>
      </w:r>
      <w:commentRangeStart w:id="5"/>
      <w:r>
        <w:rPr>
          <w:rFonts w:ascii="Times New Roman" w:eastAsia="Times New Roman" w:hAnsi="Times New Roman" w:cs="Times New Roman"/>
          <w:color w:val="0E101A"/>
          <w:sz w:val="24"/>
          <w:szCs w:val="24"/>
        </w:rPr>
        <w:t>(Jefferies &amp; Ungar 2020)</w:t>
      </w:r>
      <w:commentRangeEnd w:id="5"/>
      <w:r w:rsidR="007248A0">
        <w:rPr>
          <w:rStyle w:val="af2"/>
        </w:rPr>
        <w:commentReference w:id="5"/>
      </w:r>
      <w:r>
        <w:rPr>
          <w:rFonts w:ascii="Times New Roman" w:eastAsia="Times New Roman" w:hAnsi="Times New Roman" w:cs="Times New Roman"/>
          <w:color w:val="0E101A"/>
          <w:sz w:val="24"/>
          <w:szCs w:val="24"/>
        </w:rPr>
        <w:t>.</w:t>
      </w:r>
    </w:p>
    <w:p w14:paraId="21E0F20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Social Anxiety Disorder (SAD) affects 12.1% of the population</w:t>
      </w:r>
      <w:commentRangeStart w:id="6"/>
      <w:r>
        <w:rPr>
          <w:rFonts w:ascii="Times New Roman" w:eastAsia="Times New Roman" w:hAnsi="Times New Roman" w:cs="Times New Roman"/>
          <w:color w:val="0E101A"/>
          <w:sz w:val="24"/>
          <w:szCs w:val="24"/>
        </w:rPr>
        <w:t>,</w:t>
      </w:r>
      <w:commentRangeEnd w:id="6"/>
      <w:r w:rsidR="009D2627">
        <w:rPr>
          <w:rStyle w:val="af2"/>
        </w:rPr>
        <w:commentReference w:id="6"/>
      </w:r>
      <w:r>
        <w:rPr>
          <w:rFonts w:ascii="Times New Roman" w:eastAsia="Times New Roman" w:hAnsi="Times New Roman" w:cs="Times New Roman"/>
          <w:color w:val="0E101A"/>
          <w:sz w:val="24"/>
          <w:szCs w:val="24"/>
        </w:rPr>
        <w:t xml:space="preserve"> is chronic, and can lead to significant disabilities in education, employment, and relationships (Maya et al., 2017). For example, individuals with social anxiety are more likely to leave school early, achieve lower educational qualifications, and experience increased bullying (Acquah et al., 2016; Leigh &amp; Clark, 2018). In the workplace, they often have lower productivity, higher absenteeism (Leigh &amp; Clark, 2018), and fewer friendships across different areas of their lives (Jefferies &amp; Ungar, 2020). SAD commonly co-occurs with other conditions like depression, generalized anxiety disorder, and substance abuse (Spence &amp; Rapee, 2016; Goodwin &amp; Stein, 2021), and it is </w:t>
      </w:r>
      <w:r>
        <w:rPr>
          <w:rFonts w:ascii="Times New Roman" w:eastAsia="Times New Roman" w:hAnsi="Times New Roman" w:cs="Times New Roman"/>
          <w:color w:val="0E101A"/>
          <w:sz w:val="24"/>
          <w:szCs w:val="24"/>
        </w:rPr>
        <w:lastRenderedPageBreak/>
        <w:t>associated with reduced well-being (Jefferies &amp; Ungar, 2020). Despite the severe distress caused by social anxiety symptoms, most individuals with SAD do not seek treatment (</w:t>
      </w:r>
      <w:commentRangeStart w:id="7"/>
      <w:r>
        <w:rPr>
          <w:rFonts w:ascii="Times New Roman" w:eastAsia="Times New Roman" w:hAnsi="Times New Roman" w:cs="Times New Roman"/>
          <w:color w:val="0E101A"/>
          <w:sz w:val="24"/>
          <w:szCs w:val="24"/>
        </w:rPr>
        <w:t>Anxiety and Depression Association of America, ADAA</w:t>
      </w:r>
      <w:commentRangeEnd w:id="7"/>
      <w:r w:rsidR="009D2627">
        <w:rPr>
          <w:rStyle w:val="af2"/>
        </w:rPr>
        <w:commentReference w:id="7"/>
      </w:r>
      <w:r>
        <w:rPr>
          <w:rFonts w:ascii="Times New Roman" w:eastAsia="Times New Roman" w:hAnsi="Times New Roman" w:cs="Times New Roman"/>
          <w:color w:val="0E101A"/>
          <w:sz w:val="24"/>
          <w:szCs w:val="24"/>
        </w:rPr>
        <w:t>). Consequently, SAD has a lasting impact on individuals' lives, even though effective treatments exist (Hur et al., 2020).</w:t>
      </w:r>
    </w:p>
    <w:p w14:paraId="4DB104CD"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from both community and clinical settings identifies SAD as a prevalent and debilitating condition (Stein et al., 2017). The National Comorbidity Survey (NCS) and its follow-up (NCS-R) in the United States found that SAD is among the most common mental disorders in adults, with lifetime prevalence rates of 16% and 12.1%, respectively (Ruscio et al., 2008). These surveys also highlighted that SAD typically begins at an early age and is frequently associated with other mental disorders (Hugo et al., 2022). Most epidemiological data on SAD comes from Western high-income countries (Stein et al., 2017). Data from Europe and the US show similar patterns of high SAD prevalence and comorbidity (Stein et al., 2017). However, some argue that SAD might be a uniquely Western phenomenon (Dowbiggin, 2009). To investigate this, Stein et al. (2017) used data from the WHO World Mental Health (WMH) Survey Initiative to examine SAD's epidemiology globally. Their study revealed that SAD prevalence rates were lowest in low/lower-middle-income countries, Africa, and the Eastern Mediterranean regions and highest in high-income countries, the Americas, and the Western Pacific regions.</w:t>
      </w:r>
    </w:p>
    <w:p w14:paraId="1B1210A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the WHO </w:t>
      </w:r>
      <w:commentRangeStart w:id="8"/>
      <w:r>
        <w:rPr>
          <w:rFonts w:ascii="Times New Roman" w:eastAsia="Times New Roman" w:hAnsi="Times New Roman" w:cs="Times New Roman"/>
          <w:color w:val="0E101A"/>
          <w:sz w:val="24"/>
          <w:szCs w:val="24"/>
        </w:rPr>
        <w:t>World Mental Health (WMH) Survey Initiative</w:t>
      </w:r>
      <w:commentRangeEnd w:id="8"/>
      <w:r w:rsidR="00E121DA">
        <w:rPr>
          <w:rStyle w:val="af2"/>
        </w:rPr>
        <w:commentReference w:id="8"/>
      </w:r>
      <w:r>
        <w:rPr>
          <w:rFonts w:ascii="Times New Roman" w:eastAsia="Times New Roman" w:hAnsi="Times New Roman" w:cs="Times New Roman"/>
          <w:color w:val="0E101A"/>
          <w:sz w:val="24"/>
          <w:szCs w:val="24"/>
        </w:rPr>
        <w:t xml:space="preserve">, the prevalence of SAD among adults aged 18 and above in Nigeria is 0.2%, significantly lower than the global average of 4.0%. However, the report also </w:t>
      </w:r>
      <w:commentRangeStart w:id="9"/>
      <w:r>
        <w:rPr>
          <w:rFonts w:ascii="Times New Roman" w:eastAsia="Times New Roman" w:hAnsi="Times New Roman" w:cs="Times New Roman"/>
          <w:color w:val="0E101A"/>
          <w:sz w:val="24"/>
          <w:szCs w:val="24"/>
        </w:rPr>
        <w:t xml:space="preserve">notes </w:t>
      </w:r>
      <w:commentRangeEnd w:id="9"/>
      <w:r w:rsidR="007412A3">
        <w:rPr>
          <w:rStyle w:val="af2"/>
        </w:rPr>
        <w:commentReference w:id="9"/>
      </w:r>
      <w:r>
        <w:rPr>
          <w:rFonts w:ascii="Times New Roman" w:eastAsia="Times New Roman" w:hAnsi="Times New Roman" w:cs="Times New Roman"/>
          <w:color w:val="0E101A"/>
          <w:sz w:val="24"/>
          <w:szCs w:val="24"/>
        </w:rPr>
        <w:t xml:space="preserve">that reliable data on mental health in Nigeria is scarce, and many people with SAD may not seek help due to stigma, lack of awareness, or limited access to mental health services. Therefore, the actual prevalence of SAD in Nigeria may be higher than reported. The study also found that SAD typically begins early in life worldwide. In Nigeria, the median age of onset is 11 years, meaning that half of the individuals who develop SAD experience symptoms by this age, with symptoms persisting the longest in upper-middle-income countries and the Eastern Mediterranean. Furthermore, SAD was linked to socio-demographic factors, including younger age, female gender, unmarried status, lower education, and lower income across different countries, suggesting that the epidemiology of SAD is consistent globally. </w:t>
      </w:r>
      <w:commentRangeStart w:id="10"/>
      <w:r>
        <w:rPr>
          <w:rFonts w:ascii="Times New Roman" w:eastAsia="Times New Roman" w:hAnsi="Times New Roman" w:cs="Times New Roman"/>
          <w:color w:val="0E101A"/>
          <w:sz w:val="24"/>
          <w:szCs w:val="24"/>
        </w:rPr>
        <w:t>This global analysis indicates that SAD is not exclusively a Western phenomenon and underscores its significance in international clinical and public health.</w:t>
      </w:r>
      <w:commentRangeEnd w:id="10"/>
      <w:r w:rsidR="007412A3">
        <w:rPr>
          <w:rStyle w:val="af2"/>
        </w:rPr>
        <w:commentReference w:id="10"/>
      </w:r>
    </w:p>
    <w:p w14:paraId="1F15AAE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Gaming is a popular form of entertainment enjoyed by tens of millions worldwide. While most individuals encounter no issues with their gaming habits, certain adverse effects can arise for some. Research has indicated that excessive use of technological devices may pose risks, especially for adolescents (Eleuteri et al., 2017). The American Psychiatric Association (2013) identified "Internet gaming disorder" as a condition warranting further study in the 5th edition of the Diagnostic and Statistical Manual of Mental Disorders (DSM-5). The DSM-5 outlines nine criteria for this disorder: preoccupation, withdrawal symptoms, tolerance, unsuccessful attempts to reduce use, loss of interest in previous hobbies, continued excessive use, deception, using gaming to escape negative moods, and jeopardizing significant relationships, jobs, or opportunities (</w:t>
      </w:r>
      <w:commentRangeStart w:id="11"/>
      <w:r>
        <w:rPr>
          <w:rFonts w:ascii="Times New Roman" w:eastAsia="Times New Roman" w:hAnsi="Times New Roman" w:cs="Times New Roman"/>
          <w:color w:val="0E101A"/>
          <w:sz w:val="24"/>
          <w:szCs w:val="24"/>
        </w:rPr>
        <w:t>APA, 2013</w:t>
      </w:r>
      <w:commentRangeEnd w:id="11"/>
      <w:r w:rsidR="00E266B8">
        <w:rPr>
          <w:rStyle w:val="af2"/>
        </w:rPr>
        <w:commentReference w:id="11"/>
      </w:r>
      <w:r>
        <w:rPr>
          <w:rFonts w:ascii="Times New Roman" w:eastAsia="Times New Roman" w:hAnsi="Times New Roman" w:cs="Times New Roman"/>
          <w:color w:val="0E101A"/>
          <w:sz w:val="24"/>
          <w:szCs w:val="24"/>
        </w:rPr>
        <w:t xml:space="preserve">). The World Health Organization also recognized gaming disorder (GD), including its criteria in the 11th edition of the International Classification of Diseases (ICD-11), receiving validation from experts (Castro-Calvo et al., 2021). Gaming has become a daily routine for many, with the Entertainment Software Association's (ESA) 2020 report estimating 214 million gamers in the United States, 75% of </w:t>
      </w:r>
      <w:commentRangeStart w:id="12"/>
      <w:r>
        <w:rPr>
          <w:rFonts w:ascii="Times New Roman" w:eastAsia="Times New Roman" w:hAnsi="Times New Roman" w:cs="Times New Roman"/>
          <w:color w:val="0E101A"/>
          <w:sz w:val="24"/>
          <w:szCs w:val="24"/>
        </w:rPr>
        <w:t xml:space="preserve">who </w:t>
      </w:r>
      <w:commentRangeEnd w:id="12"/>
      <w:r w:rsidR="00E266B8">
        <w:rPr>
          <w:rStyle w:val="af2"/>
        </w:rPr>
        <w:commentReference w:id="12"/>
      </w:r>
      <w:r>
        <w:rPr>
          <w:rFonts w:ascii="Times New Roman" w:eastAsia="Times New Roman" w:hAnsi="Times New Roman" w:cs="Times New Roman"/>
          <w:color w:val="0E101A"/>
          <w:sz w:val="24"/>
          <w:szCs w:val="24"/>
        </w:rPr>
        <w:t xml:space="preserve">are children and adolescents. In Sub-Saharan Africa, gamers increased from 77 million to 186 million between 2015 and 2021, </w:t>
      </w:r>
      <w:r>
        <w:rPr>
          <w:rFonts w:ascii="Times New Roman" w:eastAsia="Times New Roman" w:hAnsi="Times New Roman" w:cs="Times New Roman"/>
          <w:color w:val="0E101A"/>
          <w:sz w:val="24"/>
          <w:szCs w:val="24"/>
        </w:rPr>
        <w:lastRenderedPageBreak/>
        <w:t>with Nigeria leading with 46.5 million gamers and holding the second-largest gaming market in Africa, valued at 184.6 million USD (Newzoo, 2021). Gaming spans three main categories: PC gaming, console gaming, and mobile gaming.</w:t>
      </w:r>
    </w:p>
    <w:p w14:paraId="1D49A69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is a form of digital entertainment that involves playing games on mobile devices, such as smartphones or tablets. Mobile gaming has become increasingly popular and accessible in Nigeria, due to the large and youthful population, the improving internet penetration, and the availability of affordable internet-enabled devices (</w:t>
      </w:r>
      <w:commentRangeStart w:id="13"/>
      <w:r>
        <w:rPr>
          <w:rFonts w:ascii="Times New Roman" w:eastAsia="Times New Roman" w:hAnsi="Times New Roman" w:cs="Times New Roman"/>
          <w:color w:val="0E101A"/>
          <w:sz w:val="24"/>
          <w:szCs w:val="24"/>
        </w:rPr>
        <w:t>PwC</w:t>
      </w:r>
      <w:commentRangeEnd w:id="13"/>
      <w:r w:rsidR="00CE420F">
        <w:rPr>
          <w:rStyle w:val="af2"/>
        </w:rPr>
        <w:commentReference w:id="13"/>
      </w:r>
      <w:r>
        <w:rPr>
          <w:rFonts w:ascii="Times New Roman" w:eastAsia="Times New Roman" w:hAnsi="Times New Roman" w:cs="Times New Roman"/>
          <w:color w:val="0E101A"/>
          <w:sz w:val="24"/>
          <w:szCs w:val="24"/>
        </w:rPr>
        <w:t xml:space="preserve"> 2018). The mobile gaming market in Nigeria is projected to reach US$55.92 million in revenue in 2023, with a user penetration of 36.0%. The app-based mobile gaming market is estimated to be worth approximately $126 million in 2023. (Statista Market Forecast, 2023). Gaming disorder has been extensively studied worldwide, particularly in Western and Asian countries (Berle et al., 2015; Stavropolous et al., 2016; Anderson et al., 2016; Raneri et al., 2022; Dong &amp; Potenza, 2022; Wang et al., 2022). However, research on this topic has been less prevalent in Africa, especially in Nigeria. According to a Statista report (2023), the number of gamers in Africa is projected to rise to 457.20 million by 2027, with a substantial proportion of these users being adolescents. This highlights the need for focused and appropriate research in this area.</w:t>
      </w:r>
    </w:p>
    <w:p w14:paraId="2D8917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 mobile gaming also poses some risks and challenges for the users, especially the young ones, who may develop mobile gaming addiction, which is a compulsive and excessive use of mobile games that interferes with one's daily life and well-being. Mobile gaming addiction can have negative consequences for the physical, psychological, social, and academic aspects of the users' lives, such as eye strain, sleep deprivation, anxiety, depression, isolation, poor academic performance, and financial problems (Haberlin, et al, 2022; Aguocha &amp; Uwakwe 2020)</w:t>
      </w:r>
    </w:p>
    <w:p w14:paraId="7F49BEEE"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14"/>
      <w:r>
        <w:rPr>
          <w:rFonts w:ascii="Times New Roman" w:eastAsia="Times New Roman" w:hAnsi="Times New Roman" w:cs="Times New Roman"/>
          <w:color w:val="0E101A"/>
          <w:sz w:val="24"/>
          <w:szCs w:val="24"/>
        </w:rPr>
        <w:t xml:space="preserve">Research by </w:t>
      </w:r>
      <w:commentRangeEnd w:id="14"/>
      <w:r w:rsidR="005B51B2">
        <w:rPr>
          <w:rStyle w:val="af2"/>
        </w:rPr>
        <w:commentReference w:id="14"/>
      </w:r>
      <w:r>
        <w:rPr>
          <w:rFonts w:ascii="Times New Roman" w:eastAsia="Times New Roman" w:hAnsi="Times New Roman" w:cs="Times New Roman"/>
          <w:color w:val="0E101A"/>
          <w:sz w:val="24"/>
          <w:szCs w:val="24"/>
        </w:rPr>
        <w:t>Onivehu (2021) has brought the issue of video gaming addiction into the spotlight within Nigeria’s educational community. This study explored the occurrence and associated factors of video gaming addiction among a random sample of adolescents attending both public and private secondary schools in Kwara State. It was discovered that video gaming addiction affected 6.7% of the surveyed students. Another study by Aguocha &amp; Uwakwe</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 xml:space="preserve">(2020) found that 18.5% of senior secondary school students in Owerri met the criteria for mobile gaming addiction and that male students, students from private schools, and students who spent more than two hours per day on mobile gaming were more likely to be addicted. The causes and factors that contribute to mobile gaming addiction in Nigeria are complex and multifaceted, but some possible explanations include: the gratification and escapism that mobile games provide for the users; the social and competitive aspects of mobile games that foster peer pressure and social comparison; the materialistic and consumerist culture that encourages spending money on mobile games; the lack of awareness and regulation of mobile gaming among the users, parents, educators, and authorities; and the lack of alternative recreational and educational opportunities for the users(Haberlin &amp; Atkin 2022) </w:t>
      </w:r>
    </w:p>
    <w:p w14:paraId="4B2E9E2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studies have found that mobile gaming addiction is positively associated with social anxiety, as well as depression and loneliness (Wang, et al., 2019</w:t>
      </w:r>
      <w:commentRangeStart w:id="15"/>
      <w:r>
        <w:rPr>
          <w:rFonts w:ascii="Times New Roman" w:eastAsia="Times New Roman" w:hAnsi="Times New Roman" w:cs="Times New Roman"/>
          <w:color w:val="0E101A"/>
          <w:sz w:val="24"/>
          <w:szCs w:val="24"/>
        </w:rPr>
        <w:t>,</w:t>
      </w:r>
      <w:commentRangeEnd w:id="15"/>
      <w:r w:rsidR="00077527">
        <w:rPr>
          <w:rStyle w:val="af2"/>
        </w:rPr>
        <w:commentReference w:id="15"/>
      </w:r>
      <w:r>
        <w:rPr>
          <w:rFonts w:ascii="Times New Roman" w:eastAsia="Times New Roman" w:hAnsi="Times New Roman" w:cs="Times New Roman"/>
          <w:color w:val="0E101A"/>
          <w:sz w:val="24"/>
          <w:szCs w:val="24"/>
        </w:rPr>
        <w:t xml:space="preserve"> Gioia, et al., 2022). One possible explanation is that </w:t>
      </w:r>
      <w:commentRangeStart w:id="16"/>
      <w:r>
        <w:rPr>
          <w:rFonts w:ascii="Times New Roman" w:eastAsia="Times New Roman" w:hAnsi="Times New Roman" w:cs="Times New Roman"/>
          <w:color w:val="0E101A"/>
          <w:sz w:val="24"/>
          <w:szCs w:val="24"/>
        </w:rPr>
        <w:t xml:space="preserve">socially </w:t>
      </w:r>
      <w:commentRangeEnd w:id="16"/>
      <w:r w:rsidR="00077527">
        <w:rPr>
          <w:rStyle w:val="af2"/>
        </w:rPr>
        <w:commentReference w:id="16"/>
      </w:r>
      <w:r>
        <w:rPr>
          <w:rFonts w:ascii="Times New Roman" w:eastAsia="Times New Roman" w:hAnsi="Times New Roman" w:cs="Times New Roman"/>
          <w:color w:val="0E101A"/>
          <w:sz w:val="24"/>
          <w:szCs w:val="24"/>
        </w:rPr>
        <w:t>anxious individuals may perceive online games as safer and more comfortable social environments than face-to-face interactions, and may use them as a coping strategy to escape from their negative emotions or real-life challenges (</w:t>
      </w:r>
      <w:commentRangeStart w:id="17"/>
      <w:r>
        <w:rPr>
          <w:rFonts w:ascii="Times New Roman" w:eastAsia="Times New Roman" w:hAnsi="Times New Roman" w:cs="Times New Roman"/>
          <w:color w:val="0E101A"/>
          <w:sz w:val="24"/>
          <w:szCs w:val="24"/>
        </w:rPr>
        <w:t>Wang, et al., 2019, Gioia, et al., 2022</w:t>
      </w:r>
      <w:commentRangeEnd w:id="17"/>
      <w:r w:rsidR="00077527">
        <w:rPr>
          <w:rStyle w:val="af2"/>
        </w:rPr>
        <w:commentReference w:id="17"/>
      </w:r>
      <w:r>
        <w:rPr>
          <w:rFonts w:ascii="Times New Roman" w:eastAsia="Times New Roman" w:hAnsi="Times New Roman" w:cs="Times New Roman"/>
          <w:color w:val="0E101A"/>
          <w:sz w:val="24"/>
          <w:szCs w:val="24"/>
        </w:rPr>
        <w:t>). However, this may also create a vicious cycle, as excessive gaming may isolate them from real social contacts and worsen their social skills and self-esteem, which in turn may increase their social anxiety (</w:t>
      </w:r>
      <w:commentRangeStart w:id="18"/>
      <w:r>
        <w:rPr>
          <w:rFonts w:ascii="Times New Roman" w:eastAsia="Times New Roman" w:hAnsi="Times New Roman" w:cs="Times New Roman"/>
          <w:color w:val="0E101A"/>
          <w:sz w:val="24"/>
          <w:szCs w:val="24"/>
        </w:rPr>
        <w:t>Wang, et al., 2019, Gioia, et al., 2022</w:t>
      </w:r>
      <w:commentRangeEnd w:id="18"/>
      <w:r w:rsidR="00077527">
        <w:rPr>
          <w:rStyle w:val="af2"/>
        </w:rPr>
        <w:commentReference w:id="18"/>
      </w:r>
      <w:r>
        <w:rPr>
          <w:rFonts w:ascii="Times New Roman" w:eastAsia="Times New Roman" w:hAnsi="Times New Roman" w:cs="Times New Roman"/>
          <w:color w:val="0E101A"/>
          <w:sz w:val="24"/>
          <w:szCs w:val="24"/>
        </w:rPr>
        <w:t>).</w:t>
      </w:r>
    </w:p>
    <w:p w14:paraId="56763B5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Another possible explanation is that mobile gaming addiction may cause social anxiety, as it may interfere with other aspects of one's life, such as physical and mental health, relationships, and academic or work performance (Wang, et al., 2019). Individuals who are addicted to mobile games may experience guilt, shame, or fear of being judged by others for their gaming behaviour, and may avoid social situations where they may be exposed or criticized (</w:t>
      </w:r>
      <w:commentRangeStart w:id="19"/>
      <w:r>
        <w:rPr>
          <w:rFonts w:ascii="Times New Roman" w:eastAsia="Times New Roman" w:hAnsi="Times New Roman" w:cs="Times New Roman"/>
          <w:color w:val="0E101A"/>
          <w:sz w:val="24"/>
          <w:szCs w:val="24"/>
        </w:rPr>
        <w:t>Wang, et al., 2019</w:t>
      </w:r>
      <w:commentRangeEnd w:id="19"/>
      <w:r w:rsidR="00077527">
        <w:rPr>
          <w:rStyle w:val="af2"/>
        </w:rPr>
        <w:commentReference w:id="19"/>
      </w:r>
      <w:r>
        <w:rPr>
          <w:rFonts w:ascii="Times New Roman" w:eastAsia="Times New Roman" w:hAnsi="Times New Roman" w:cs="Times New Roman"/>
          <w:color w:val="0E101A"/>
          <w:sz w:val="24"/>
          <w:szCs w:val="24"/>
        </w:rPr>
        <w:t>). Adolescents may also suffer from withdrawal symptoms, such as irritability, anxiety, or depression when they are not able to play their favourite games (</w:t>
      </w:r>
      <w:commentRangeStart w:id="20"/>
      <w:r>
        <w:rPr>
          <w:rFonts w:ascii="Times New Roman" w:eastAsia="Times New Roman" w:hAnsi="Times New Roman" w:cs="Times New Roman"/>
          <w:color w:val="0E101A"/>
          <w:sz w:val="24"/>
          <w:szCs w:val="24"/>
        </w:rPr>
        <w:t>Wang, et al., 2019</w:t>
      </w:r>
      <w:commentRangeEnd w:id="20"/>
      <w:r w:rsidR="00077527">
        <w:rPr>
          <w:rStyle w:val="af2"/>
        </w:rPr>
        <w:commentReference w:id="20"/>
      </w:r>
      <w:r>
        <w:rPr>
          <w:rFonts w:ascii="Times New Roman" w:eastAsia="Times New Roman" w:hAnsi="Times New Roman" w:cs="Times New Roman"/>
          <w:color w:val="0E101A"/>
          <w:sz w:val="24"/>
          <w:szCs w:val="24"/>
        </w:rPr>
        <w:t>). Despite the increasing research on mobile gaming addiction and its psychological implications, there is a significant gap in the literature regarding its relationship with social anxiety, particularly among undergraduate students. Most studies have focused on the general population or younger adolescents, leaving the undergraduate population largely unexplored (Gioia, et al., 2022). Furthermore, the predictive nature of mobile gaming addiction on social anxiety has not been thoroughly investigated. This study aims to fill these gaps by examining the predictive role of mobile gaming addiction on social anxiety among undergraduate students.</w:t>
      </w:r>
    </w:p>
    <w:p w14:paraId="10D0995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significance of studying the relationship between mobile gaming addiction and social anxiety lies in the potential negative effects of this new type of behavioural addiction on mental health. With the fast development of mobile technology, many functions of desktop computers have been transferred to mobile devices like smartphones and tablets, which is especially the case for game applications. Mobile video games are particularly popular when they can be downloaded for free and adolescents are the main user group.</w:t>
      </w:r>
    </w:p>
    <w:p w14:paraId="2D981CD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has shown that mobile game addiction is positively associated with social anxiety, depression, and loneliness (Wang, et al., 2019). By studying this relationship, we can better understand the impact of mobile gaming on mental health and develop strategies to address these issues. For example, understanding the gender differences in the relationship between mobile gaming addiction and social anxiety can help us develop targeted interventions.</w:t>
      </w:r>
    </w:p>
    <w:p w14:paraId="3F972358"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2433CC8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Materials and Methods</w:t>
      </w:r>
    </w:p>
    <w:p w14:paraId="723902B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Research Design </w:t>
      </w:r>
    </w:p>
    <w:p w14:paraId="1029495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cross-sectional design was utilised for this study. The survey design, consisting of self-administered instruments was used to evaluate mobile gaming addiction as a predictor of social anxiety among undergraduate students.  </w:t>
      </w:r>
    </w:p>
    <w:p w14:paraId="1AEF975A"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748E1E2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Participants</w:t>
      </w:r>
    </w:p>
    <w:p w14:paraId="0B26A7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participants comprised 300 undergraduate students from Redeemers University. The sample was drawn between January and March 2024. Multi-stage sampling method was used for sample selection.  </w:t>
      </w:r>
    </w:p>
    <w:p w14:paraId="650574D5"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1D5FF6A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Measures </w:t>
      </w:r>
    </w:p>
    <w:p w14:paraId="058563D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w:t>
      </w:r>
      <w:commentRangeStart w:id="21"/>
      <w:r>
        <w:rPr>
          <w:rFonts w:ascii="Times New Roman" w:eastAsia="Times New Roman" w:hAnsi="Times New Roman" w:cs="Times New Roman"/>
          <w:color w:val="0E101A"/>
          <w:sz w:val="24"/>
          <w:szCs w:val="24"/>
        </w:rPr>
        <w:t xml:space="preserve">will use </w:t>
      </w:r>
      <w:commentRangeEnd w:id="21"/>
      <w:r w:rsidR="005342EF">
        <w:rPr>
          <w:rStyle w:val="af2"/>
        </w:rPr>
        <w:commentReference w:id="21"/>
      </w:r>
      <w:r>
        <w:rPr>
          <w:rFonts w:ascii="Times New Roman" w:eastAsia="Times New Roman" w:hAnsi="Times New Roman" w:cs="Times New Roman"/>
          <w:color w:val="0E101A"/>
          <w:sz w:val="24"/>
          <w:szCs w:val="24"/>
        </w:rPr>
        <w:t xml:space="preserve">two self-report questionnaires to measure social interaction anxiety and </w:t>
      </w:r>
    </w:p>
    <w:p w14:paraId="69550C4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w:t>
      </w:r>
    </w:p>
    <w:p w14:paraId="7EC49DFC"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7EDD47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Social Interaction Anxiety Scale (SIAS):</w:t>
      </w:r>
      <w:r>
        <w:rPr>
          <w:rFonts w:ascii="Times New Roman" w:eastAsia="Times New Roman" w:hAnsi="Times New Roman" w:cs="Times New Roman"/>
          <w:color w:val="0E101A"/>
          <w:sz w:val="24"/>
          <w:szCs w:val="24"/>
        </w:rPr>
        <w:t xml:space="preserve"> The Social Interaction Anxiety Scale (SIAS) was developed by Mattick and Clarke in 1998. It is a 20-item self-report measure designed to assess anxiety related to social interactions. Each item is scored on a 5-point Likert scale, ranging from 0 (not at all characteristic or true of me) to 4 (extremely characteristic or true of me). The total score is obtained by summing the responses, with higher scores indicating greater social </w:t>
      </w:r>
      <w:r>
        <w:rPr>
          <w:rFonts w:ascii="Times New Roman" w:eastAsia="Times New Roman" w:hAnsi="Times New Roman" w:cs="Times New Roman"/>
          <w:color w:val="0E101A"/>
          <w:sz w:val="24"/>
          <w:szCs w:val="24"/>
        </w:rPr>
        <w:lastRenderedPageBreak/>
        <w:t>interaction anxiety. The SIAS has a Cronbach's alpha of .96, indicating excellent internal consistency.</w:t>
      </w:r>
    </w:p>
    <w:p w14:paraId="59FCC640"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14E6A1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Internet Gaming Disorder Scale–Short-Form (IGDS9-SF):</w:t>
      </w:r>
      <w:r>
        <w:rPr>
          <w:rFonts w:ascii="Times New Roman" w:eastAsia="Times New Roman" w:hAnsi="Times New Roman" w:cs="Times New Roman"/>
          <w:color w:val="0E101A"/>
          <w:sz w:val="24"/>
          <w:szCs w:val="24"/>
        </w:rPr>
        <w:t xml:space="preserve"> The Internet Gaming Disorder Scale–Short-Form (IGDS9-SF) was developed by Pontes and Griffiths in 2015. It is a 9-item self-report scale designed to assess the severity of internet gaming disorder based on the criteria in the DSM-5. Each item is scored on a 5-point Likert scale, ranging from 1 (never) to 5 (very often). The total score is obtained by summing the item responses, with higher scores indicating a higher level of internet gaming disorder symptoms. The IGDS9-SF is a valid and reliable measure of IGD in adolescents and adults. The IGDS9-SF has a Cronbach's alpha of .86, indicating good internal consistency.</w:t>
      </w:r>
    </w:p>
    <w:p w14:paraId="48495404"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4028FED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Results</w:t>
      </w:r>
    </w:p>
    <w:p w14:paraId="7FC61CDA" w14:textId="77777777" w:rsidR="00B47300" w:rsidRDefault="00414E9C">
      <w:pPr>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Socio-Demographic Characteristics of the participants</w:t>
      </w:r>
    </w:p>
    <w:p w14:paraId="6E4DDCB7"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rPr>
        <w:t>O</w:t>
      </w:r>
      <w:r>
        <w:rPr>
          <w:rFonts w:ascii="Times New Roman" w:hAnsi="Times New Roman" w:cs="Times New Roman"/>
          <w:sz w:val="24"/>
          <w:szCs w:val="24"/>
        </w:rPr>
        <w:t xml:space="preserve">f the 300 participants, 149 (49.7%) were male while 151 were female (50.3%). Distribution of the level of study showed that 113(37.7%) were in 100 level, 66(22.0%) 200 level, 50(16.7%) in 300 level, 56(18.7%) in 400 level while 15(5.0%) are in 500 level. </w:t>
      </w:r>
      <w:r>
        <w:rPr>
          <w:rFonts w:ascii="Times New Roman" w:hAnsi="Times New Roman" w:cs="Times New Roman"/>
          <w:color w:val="000000"/>
          <w:sz w:val="24"/>
          <w:szCs w:val="24"/>
          <w:lang w:eastAsia="zh-CN"/>
        </w:rPr>
        <w:t>The participants’ age ranged between 13 years and 26 years (19.53± 2.22).</w:t>
      </w:r>
    </w:p>
    <w:p w14:paraId="3C194CB2" w14:textId="2D0970F0" w:rsidR="00B47300" w:rsidRDefault="00B47300">
      <w:pPr>
        <w:spacing w:line="240" w:lineRule="auto"/>
        <w:jc w:val="both"/>
        <w:rPr>
          <w:rFonts w:ascii="Times New Roman" w:hAnsi="Times New Roman" w:cs="Times New Roman"/>
          <w:color w:val="000000"/>
          <w:sz w:val="24"/>
          <w:szCs w:val="24"/>
          <w:lang w:eastAsia="zh-CN"/>
        </w:rPr>
      </w:pPr>
    </w:p>
    <w:p w14:paraId="5E3E6E85" w14:textId="77777777" w:rsidR="009B5838" w:rsidRDefault="009B5838">
      <w:pPr>
        <w:spacing w:line="240" w:lineRule="auto"/>
        <w:jc w:val="both"/>
        <w:rPr>
          <w:rFonts w:ascii="Times New Roman" w:hAnsi="Times New Roman" w:cs="Times New Roman"/>
          <w:color w:val="000000"/>
          <w:sz w:val="24"/>
          <w:szCs w:val="24"/>
          <w:lang w:eastAsia="zh-CN"/>
        </w:rPr>
      </w:pPr>
    </w:p>
    <w:p w14:paraId="31A01804" w14:textId="77777777" w:rsidR="00B47300" w:rsidRDefault="00414E9C">
      <w:pPr>
        <w:spacing w:line="240" w:lineRule="auto"/>
        <w:jc w:val="both"/>
        <w:rPr>
          <w:rFonts w:ascii="Times New Roman" w:hAnsi="Times New Roman" w:cs="Times New Roman"/>
          <w:b/>
          <w:iCs/>
          <w:color w:val="000000"/>
          <w:sz w:val="24"/>
          <w:szCs w:val="24"/>
          <w:lang w:eastAsia="zh-CN"/>
        </w:rPr>
      </w:pPr>
      <w:r>
        <w:rPr>
          <w:rFonts w:ascii="Times New Roman" w:hAnsi="Times New Roman" w:cs="Times New Roman"/>
          <w:b/>
          <w:iCs/>
          <w:color w:val="000000"/>
          <w:sz w:val="24"/>
          <w:szCs w:val="24"/>
          <w:lang w:eastAsia="zh-CN"/>
        </w:rPr>
        <w:t>Prevalence of the Variables of the Study</w:t>
      </w:r>
    </w:p>
    <w:p w14:paraId="65C612A4" w14:textId="77777777" w:rsidR="00B47300" w:rsidRDefault="00B47300">
      <w:pPr>
        <w:spacing w:line="240" w:lineRule="auto"/>
        <w:jc w:val="both"/>
        <w:rPr>
          <w:rFonts w:ascii="Times New Roman" w:hAnsi="Times New Roman" w:cs="Times New Roman"/>
          <w:b/>
          <w:iCs/>
          <w:color w:val="000000"/>
          <w:sz w:val="24"/>
          <w:szCs w:val="24"/>
          <w:lang w:eastAsia="zh-CN"/>
        </w:rPr>
      </w:pPr>
    </w:p>
    <w:p w14:paraId="7AC5F876" w14:textId="77777777" w:rsidR="00B47300" w:rsidRDefault="00414E9C">
      <w:pPr>
        <w:spacing w:line="240" w:lineRule="auto"/>
        <w:jc w:val="both"/>
        <w:rPr>
          <w:rFonts w:ascii="Times New Roman" w:hAnsi="Times New Roman" w:cs="Times New Roman"/>
          <w:b/>
          <w:iCs/>
          <w:sz w:val="24"/>
          <w:szCs w:val="24"/>
        </w:rPr>
      </w:pPr>
      <w:r>
        <w:rPr>
          <w:rFonts w:ascii="Times New Roman" w:hAnsi="Times New Roman" w:cs="Times New Roman"/>
          <w:b/>
          <w:iCs/>
          <w:color w:val="000000"/>
          <w:sz w:val="24"/>
          <w:szCs w:val="24"/>
          <w:lang w:eastAsia="zh-CN"/>
        </w:rPr>
        <w:t>Table 1</w:t>
      </w:r>
    </w:p>
    <w:p w14:paraId="17D9D3BC" w14:textId="77777777" w:rsidR="00B47300" w:rsidRDefault="00414E9C">
      <w:pPr>
        <w:widowControl w:val="0"/>
        <w:spacing w:line="240" w:lineRule="auto"/>
        <w:jc w:val="both"/>
        <w:rPr>
          <w:rFonts w:ascii="Times New Roman" w:hAnsi="Times New Roman" w:cs="Times New Roman"/>
          <w:bCs/>
          <w:i/>
          <w:color w:val="000000"/>
          <w:sz w:val="18"/>
          <w:szCs w:val="18"/>
          <w:lang w:eastAsia="zh-CN"/>
        </w:rPr>
      </w:pPr>
      <w:commentRangeStart w:id="22"/>
      <w:r>
        <w:rPr>
          <w:rFonts w:ascii="Times New Roman" w:hAnsi="Times New Roman" w:cs="Times New Roman"/>
          <w:bCs/>
          <w:i/>
          <w:color w:val="000000"/>
          <w:sz w:val="24"/>
          <w:szCs w:val="24"/>
          <w:lang w:eastAsia="zh-CN"/>
        </w:rPr>
        <w:t>Frequency, Percentage, Mean, and Standard Deviation Showing the Prevalence of the Variables of the Study</w:t>
      </w:r>
      <w:commentRangeEnd w:id="22"/>
      <w:r w:rsidR="00376A57">
        <w:rPr>
          <w:rStyle w:val="af2"/>
        </w:rPr>
        <w:commentReference w:id="22"/>
      </w:r>
    </w:p>
    <w:tbl>
      <w:tblPr>
        <w:tblStyle w:val="TableGrid2"/>
        <w:tblpPr w:leftFromText="180" w:rightFromText="180" w:vertAnchor="text" w:horzAnchor="margin" w:tblpXSpec="center" w:tblpY="303"/>
        <w:tblW w:w="9602"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8"/>
        <w:gridCol w:w="713"/>
        <w:gridCol w:w="637"/>
        <w:gridCol w:w="800"/>
        <w:gridCol w:w="725"/>
        <w:gridCol w:w="900"/>
        <w:gridCol w:w="625"/>
        <w:gridCol w:w="813"/>
        <w:gridCol w:w="537"/>
        <w:gridCol w:w="638"/>
        <w:gridCol w:w="686"/>
      </w:tblGrid>
      <w:tr w:rsidR="00B47300" w14:paraId="0A2B2139" w14:textId="77777777">
        <w:trPr>
          <w:trHeight w:val="78"/>
          <w:jc w:val="center"/>
        </w:trPr>
        <w:tc>
          <w:tcPr>
            <w:tcW w:w="9599" w:type="dxa"/>
            <w:gridSpan w:val="12"/>
            <w:tcBorders>
              <w:top w:val="single" w:sz="4" w:space="0" w:color="auto"/>
              <w:bottom w:val="nil"/>
            </w:tcBorders>
            <w:shd w:val="clear" w:color="auto" w:fill="auto"/>
          </w:tcPr>
          <w:p w14:paraId="1A9C995C" w14:textId="77777777" w:rsidR="00B47300" w:rsidRDefault="00414E9C">
            <w:pPr>
              <w:spacing w:line="240" w:lineRule="auto"/>
              <w:jc w:val="center"/>
              <w:rPr>
                <w:rFonts w:ascii="Calibri" w:eastAsia="Times New Roman" w:hAnsi="Calibri" w:cs="Times New Roman"/>
                <w:sz w:val="18"/>
                <w:szCs w:val="18"/>
              </w:rPr>
            </w:pPr>
            <w:r>
              <w:rPr>
                <w:rFonts w:ascii="Times New Roman" w:eastAsia="Times New Roman" w:hAnsi="Times New Roman" w:cs="Times New Roman"/>
                <w:sz w:val="18"/>
                <w:szCs w:val="18"/>
              </w:rPr>
              <w:t>Prevalence</w:t>
            </w:r>
          </w:p>
          <w:p w14:paraId="04B40B8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 </w:t>
            </w:r>
          </w:p>
        </w:tc>
      </w:tr>
      <w:tr w:rsidR="00B47300" w14:paraId="5C5013C3" w14:textId="77777777">
        <w:trPr>
          <w:trHeight w:val="153"/>
          <w:jc w:val="center"/>
        </w:trPr>
        <w:tc>
          <w:tcPr>
            <w:tcW w:w="1888" w:type="dxa"/>
            <w:tcBorders>
              <w:top w:val="nil"/>
              <w:bottom w:val="single" w:sz="4" w:space="0" w:color="auto"/>
            </w:tcBorders>
            <w:shd w:val="clear" w:color="auto" w:fill="auto"/>
          </w:tcPr>
          <w:p w14:paraId="33A63FC1"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0BE8A3DC" w14:textId="77777777" w:rsidR="00B47300" w:rsidRDefault="00B47300">
            <w:pPr>
              <w:spacing w:line="240" w:lineRule="auto"/>
              <w:rPr>
                <w:rFonts w:ascii="Times New Roman" w:eastAsia="Times New Roman" w:hAnsi="Times New Roman" w:cs="Times New Roman"/>
                <w:sz w:val="18"/>
                <w:szCs w:val="18"/>
              </w:rPr>
            </w:pPr>
          </w:p>
        </w:tc>
        <w:tc>
          <w:tcPr>
            <w:tcW w:w="713" w:type="dxa"/>
            <w:tcBorders>
              <w:top w:val="nil"/>
              <w:bottom w:val="single" w:sz="4" w:space="0" w:color="auto"/>
            </w:tcBorders>
            <w:shd w:val="clear" w:color="auto" w:fill="auto"/>
          </w:tcPr>
          <w:p w14:paraId="76E2F31B"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7B9537E2" w14:textId="77777777" w:rsidR="00B47300" w:rsidRDefault="00B47300">
            <w:pPr>
              <w:spacing w:line="240" w:lineRule="auto"/>
              <w:rPr>
                <w:rFonts w:ascii="Times New Roman" w:eastAsia="Times New Roman" w:hAnsi="Times New Roman" w:cs="Times New Roman"/>
                <w:sz w:val="18"/>
                <w:szCs w:val="18"/>
              </w:rPr>
            </w:pPr>
          </w:p>
        </w:tc>
        <w:tc>
          <w:tcPr>
            <w:tcW w:w="1525" w:type="dxa"/>
            <w:gridSpan w:val="2"/>
            <w:tcBorders>
              <w:top w:val="nil"/>
              <w:bottom w:val="single" w:sz="4" w:space="0" w:color="auto"/>
            </w:tcBorders>
            <w:shd w:val="clear" w:color="auto" w:fill="auto"/>
          </w:tcPr>
          <w:p w14:paraId="268DDAA8" w14:textId="77777777" w:rsidR="00B47300" w:rsidRDefault="00B47300">
            <w:pPr>
              <w:spacing w:line="240" w:lineRule="auto"/>
              <w:rPr>
                <w:rFonts w:ascii="Times New Roman" w:eastAsia="Times New Roman" w:hAnsi="Times New Roman" w:cs="Times New Roman"/>
                <w:sz w:val="18"/>
                <w:szCs w:val="18"/>
              </w:rPr>
            </w:pPr>
          </w:p>
          <w:p w14:paraId="2B0A14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None </w:t>
            </w:r>
          </w:p>
        </w:tc>
        <w:tc>
          <w:tcPr>
            <w:tcW w:w="1525" w:type="dxa"/>
            <w:gridSpan w:val="2"/>
            <w:tcBorders>
              <w:top w:val="nil"/>
              <w:bottom w:val="single" w:sz="4" w:space="0" w:color="auto"/>
            </w:tcBorders>
            <w:shd w:val="clear" w:color="auto" w:fill="auto"/>
          </w:tcPr>
          <w:p w14:paraId="3CCB1305" w14:textId="77777777" w:rsidR="00B47300" w:rsidRDefault="00B47300">
            <w:pPr>
              <w:spacing w:line="240" w:lineRule="auto"/>
              <w:rPr>
                <w:rFonts w:ascii="Times New Roman" w:eastAsia="Times New Roman" w:hAnsi="Times New Roman" w:cs="Times New Roman"/>
                <w:sz w:val="18"/>
                <w:szCs w:val="18"/>
              </w:rPr>
            </w:pPr>
          </w:p>
          <w:p w14:paraId="55A577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Low </w:t>
            </w:r>
          </w:p>
        </w:tc>
        <w:tc>
          <w:tcPr>
            <w:tcW w:w="1350" w:type="dxa"/>
            <w:gridSpan w:val="2"/>
            <w:tcBorders>
              <w:top w:val="nil"/>
              <w:bottom w:val="single" w:sz="4" w:space="0" w:color="auto"/>
            </w:tcBorders>
            <w:shd w:val="clear" w:color="auto" w:fill="auto"/>
          </w:tcPr>
          <w:p w14:paraId="47EC8E39" w14:textId="77777777" w:rsidR="00B47300" w:rsidRDefault="00B47300">
            <w:pPr>
              <w:spacing w:line="240" w:lineRule="auto"/>
              <w:rPr>
                <w:rFonts w:ascii="Times New Roman" w:eastAsia="Times New Roman" w:hAnsi="Times New Roman" w:cs="Times New Roman"/>
                <w:sz w:val="18"/>
                <w:szCs w:val="18"/>
              </w:rPr>
            </w:pPr>
          </w:p>
          <w:p w14:paraId="5918F5E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Moderate </w:t>
            </w:r>
          </w:p>
        </w:tc>
        <w:tc>
          <w:tcPr>
            <w:tcW w:w="1324" w:type="dxa"/>
            <w:gridSpan w:val="2"/>
            <w:tcBorders>
              <w:top w:val="nil"/>
              <w:bottom w:val="single" w:sz="4" w:space="0" w:color="auto"/>
            </w:tcBorders>
            <w:shd w:val="clear" w:color="auto" w:fill="auto"/>
          </w:tcPr>
          <w:p w14:paraId="2D9E668D" w14:textId="77777777" w:rsidR="00B47300" w:rsidRDefault="00B47300">
            <w:pPr>
              <w:spacing w:line="240" w:lineRule="auto"/>
              <w:rPr>
                <w:rFonts w:ascii="Times New Roman" w:eastAsia="Times New Roman" w:hAnsi="Times New Roman" w:cs="Times New Roman"/>
                <w:sz w:val="18"/>
                <w:szCs w:val="18"/>
              </w:rPr>
            </w:pPr>
          </w:p>
          <w:p w14:paraId="30D0FB9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High </w:t>
            </w:r>
          </w:p>
        </w:tc>
      </w:tr>
      <w:tr w:rsidR="00B47300" w14:paraId="346D0792" w14:textId="77777777" w:rsidTr="00F442A4">
        <w:trPr>
          <w:trHeight w:val="274"/>
          <w:jc w:val="center"/>
        </w:trPr>
        <w:tc>
          <w:tcPr>
            <w:tcW w:w="1888" w:type="dxa"/>
            <w:tcBorders>
              <w:top w:val="single" w:sz="4" w:space="0" w:color="auto"/>
            </w:tcBorders>
            <w:shd w:val="clear" w:color="auto" w:fill="auto"/>
          </w:tcPr>
          <w:p w14:paraId="0713061F"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single" w:sz="4" w:space="0" w:color="auto"/>
            </w:tcBorders>
            <w:shd w:val="clear" w:color="auto" w:fill="auto"/>
          </w:tcPr>
          <w:p w14:paraId="7FDE846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 </w:t>
            </w:r>
          </w:p>
        </w:tc>
        <w:tc>
          <w:tcPr>
            <w:tcW w:w="713" w:type="dxa"/>
            <w:tcBorders>
              <w:top w:val="single" w:sz="4" w:space="0" w:color="auto"/>
            </w:tcBorders>
            <w:shd w:val="clear" w:color="auto" w:fill="auto"/>
          </w:tcPr>
          <w:p w14:paraId="168AB65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Mean </w:t>
            </w:r>
          </w:p>
        </w:tc>
        <w:tc>
          <w:tcPr>
            <w:tcW w:w="637" w:type="dxa"/>
            <w:tcBorders>
              <w:top w:val="single" w:sz="4" w:space="0" w:color="auto"/>
            </w:tcBorders>
            <w:shd w:val="clear" w:color="auto" w:fill="auto"/>
          </w:tcPr>
          <w:p w14:paraId="62820DB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SD</w:t>
            </w:r>
          </w:p>
        </w:tc>
        <w:tc>
          <w:tcPr>
            <w:tcW w:w="800" w:type="dxa"/>
            <w:tcBorders>
              <w:top w:val="single" w:sz="4" w:space="0" w:color="auto"/>
            </w:tcBorders>
            <w:shd w:val="clear" w:color="auto" w:fill="auto"/>
          </w:tcPr>
          <w:p w14:paraId="3255AEE1"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725" w:type="dxa"/>
            <w:tcBorders>
              <w:top w:val="single" w:sz="4" w:space="0" w:color="auto"/>
            </w:tcBorders>
            <w:shd w:val="clear" w:color="auto" w:fill="auto"/>
          </w:tcPr>
          <w:p w14:paraId="1C22AF7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900" w:type="dxa"/>
            <w:tcBorders>
              <w:top w:val="single" w:sz="4" w:space="0" w:color="auto"/>
            </w:tcBorders>
            <w:shd w:val="clear" w:color="auto" w:fill="auto"/>
          </w:tcPr>
          <w:p w14:paraId="79B1B41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625" w:type="dxa"/>
            <w:tcBorders>
              <w:top w:val="single" w:sz="4" w:space="0" w:color="auto"/>
            </w:tcBorders>
            <w:shd w:val="clear" w:color="auto" w:fill="auto"/>
            <w:vAlign w:val="bottom"/>
          </w:tcPr>
          <w:p w14:paraId="57C5E04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813" w:type="dxa"/>
            <w:tcBorders>
              <w:top w:val="single" w:sz="4" w:space="0" w:color="auto"/>
            </w:tcBorders>
            <w:shd w:val="clear" w:color="auto" w:fill="auto"/>
          </w:tcPr>
          <w:p w14:paraId="5D39C5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537" w:type="dxa"/>
            <w:tcBorders>
              <w:top w:val="single" w:sz="4" w:space="0" w:color="auto"/>
            </w:tcBorders>
            <w:shd w:val="clear" w:color="auto" w:fill="auto"/>
          </w:tcPr>
          <w:p w14:paraId="0C5DAB0A" w14:textId="77777777" w:rsidR="00B47300" w:rsidRDefault="00B47300">
            <w:pPr>
              <w:spacing w:line="240" w:lineRule="auto"/>
              <w:rPr>
                <w:rFonts w:ascii="Times New Roman" w:eastAsia="Times New Roman" w:hAnsi="Times New Roman" w:cs="Times New Roman"/>
                <w:sz w:val="18"/>
                <w:szCs w:val="18"/>
              </w:rPr>
            </w:pPr>
          </w:p>
          <w:p w14:paraId="0077642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638" w:type="dxa"/>
            <w:tcBorders>
              <w:top w:val="single" w:sz="4" w:space="0" w:color="auto"/>
            </w:tcBorders>
            <w:shd w:val="clear" w:color="auto" w:fill="auto"/>
          </w:tcPr>
          <w:p w14:paraId="7F4A8EA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686" w:type="dxa"/>
            <w:tcBorders>
              <w:top w:val="single" w:sz="4" w:space="0" w:color="auto"/>
            </w:tcBorders>
            <w:shd w:val="clear" w:color="auto" w:fill="auto"/>
          </w:tcPr>
          <w:p w14:paraId="6A506082" w14:textId="77777777" w:rsidR="00B47300" w:rsidRDefault="00B47300">
            <w:pPr>
              <w:spacing w:line="240" w:lineRule="auto"/>
              <w:rPr>
                <w:rFonts w:ascii="Times New Roman" w:eastAsia="Times New Roman" w:hAnsi="Times New Roman" w:cs="Times New Roman"/>
                <w:sz w:val="18"/>
                <w:szCs w:val="18"/>
              </w:rPr>
            </w:pPr>
          </w:p>
          <w:p w14:paraId="2893428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r>
      <w:tr w:rsidR="00B47300" w14:paraId="7036D12C" w14:textId="77777777">
        <w:trPr>
          <w:trHeight w:val="233"/>
          <w:jc w:val="center"/>
        </w:trPr>
        <w:tc>
          <w:tcPr>
            <w:tcW w:w="1888" w:type="dxa"/>
            <w:shd w:val="clear" w:color="auto" w:fill="auto"/>
          </w:tcPr>
          <w:p w14:paraId="55C8388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Social anxiety </w:t>
            </w:r>
          </w:p>
        </w:tc>
        <w:tc>
          <w:tcPr>
            <w:tcW w:w="637" w:type="dxa"/>
            <w:shd w:val="clear" w:color="auto" w:fill="auto"/>
          </w:tcPr>
          <w:p w14:paraId="7D2DF16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6693E6F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1.26</w:t>
            </w:r>
          </w:p>
        </w:tc>
        <w:tc>
          <w:tcPr>
            <w:tcW w:w="637" w:type="dxa"/>
            <w:shd w:val="clear" w:color="auto" w:fill="auto"/>
          </w:tcPr>
          <w:p w14:paraId="53119CF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0.86</w:t>
            </w:r>
          </w:p>
        </w:tc>
        <w:tc>
          <w:tcPr>
            <w:tcW w:w="800" w:type="dxa"/>
            <w:shd w:val="clear" w:color="auto" w:fill="auto"/>
          </w:tcPr>
          <w:p w14:paraId="65C002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62</w:t>
            </w:r>
          </w:p>
        </w:tc>
        <w:tc>
          <w:tcPr>
            <w:tcW w:w="725" w:type="dxa"/>
            <w:shd w:val="clear" w:color="auto" w:fill="auto"/>
          </w:tcPr>
          <w:p w14:paraId="122FC6D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21.6</w:t>
            </w:r>
          </w:p>
        </w:tc>
        <w:tc>
          <w:tcPr>
            <w:tcW w:w="900" w:type="dxa"/>
            <w:shd w:val="clear" w:color="auto" w:fill="auto"/>
          </w:tcPr>
          <w:p w14:paraId="4DEC5FE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106</w:t>
            </w:r>
          </w:p>
        </w:tc>
        <w:tc>
          <w:tcPr>
            <w:tcW w:w="625" w:type="dxa"/>
            <w:shd w:val="clear" w:color="auto" w:fill="auto"/>
            <w:vAlign w:val="bottom"/>
          </w:tcPr>
          <w:p w14:paraId="0028F2EC" w14:textId="77777777" w:rsidR="00B47300" w:rsidRDefault="00B47300">
            <w:pPr>
              <w:spacing w:line="240" w:lineRule="auto"/>
              <w:rPr>
                <w:rFonts w:ascii="Times New Roman" w:eastAsia="Times New Roman" w:hAnsi="Times New Roman" w:cs="Times New Roman"/>
                <w:sz w:val="18"/>
                <w:szCs w:val="18"/>
              </w:rPr>
            </w:pPr>
          </w:p>
          <w:p w14:paraId="3DFC09D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36.9</w:t>
            </w:r>
          </w:p>
        </w:tc>
        <w:tc>
          <w:tcPr>
            <w:tcW w:w="813" w:type="dxa"/>
            <w:shd w:val="clear" w:color="auto" w:fill="auto"/>
          </w:tcPr>
          <w:p w14:paraId="09119F1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102</w:t>
            </w:r>
          </w:p>
        </w:tc>
        <w:tc>
          <w:tcPr>
            <w:tcW w:w="537" w:type="dxa"/>
            <w:shd w:val="clear" w:color="auto" w:fill="auto"/>
          </w:tcPr>
          <w:p w14:paraId="04105F57" w14:textId="77777777" w:rsidR="00B47300" w:rsidRDefault="00B47300">
            <w:pPr>
              <w:spacing w:line="240" w:lineRule="auto"/>
              <w:rPr>
                <w:rFonts w:ascii="Times New Roman" w:eastAsia="Times New Roman" w:hAnsi="Times New Roman" w:cs="Times New Roman"/>
                <w:sz w:val="18"/>
                <w:szCs w:val="18"/>
              </w:rPr>
            </w:pPr>
          </w:p>
          <w:p w14:paraId="0326525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35.5</w:t>
            </w:r>
          </w:p>
        </w:tc>
        <w:tc>
          <w:tcPr>
            <w:tcW w:w="638" w:type="dxa"/>
            <w:shd w:val="clear" w:color="auto" w:fill="auto"/>
          </w:tcPr>
          <w:p w14:paraId="703297B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c>
          <w:tcPr>
            <w:tcW w:w="686" w:type="dxa"/>
            <w:shd w:val="clear" w:color="auto" w:fill="auto"/>
          </w:tcPr>
          <w:p w14:paraId="5FF44BAF" w14:textId="77777777" w:rsidR="00B47300" w:rsidRDefault="00B47300">
            <w:pPr>
              <w:spacing w:line="240" w:lineRule="auto"/>
              <w:rPr>
                <w:rFonts w:ascii="Times New Roman" w:eastAsia="Times New Roman" w:hAnsi="Times New Roman" w:cs="Times New Roman"/>
                <w:sz w:val="18"/>
                <w:szCs w:val="18"/>
              </w:rPr>
            </w:pPr>
          </w:p>
          <w:p w14:paraId="3A086C7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5.9</w:t>
            </w:r>
          </w:p>
        </w:tc>
      </w:tr>
      <w:tr w:rsidR="00B47300" w14:paraId="6AF2BFCB" w14:textId="77777777">
        <w:trPr>
          <w:trHeight w:val="233"/>
          <w:jc w:val="center"/>
        </w:trPr>
        <w:tc>
          <w:tcPr>
            <w:tcW w:w="1888" w:type="dxa"/>
            <w:shd w:val="clear" w:color="auto" w:fill="auto"/>
          </w:tcPr>
          <w:p w14:paraId="0203760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Mobile gaming addiction </w:t>
            </w:r>
          </w:p>
        </w:tc>
        <w:tc>
          <w:tcPr>
            <w:tcW w:w="637" w:type="dxa"/>
            <w:shd w:val="clear" w:color="auto" w:fill="auto"/>
          </w:tcPr>
          <w:p w14:paraId="59D4AE4F"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4F2FE185"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1.62</w:t>
            </w:r>
          </w:p>
        </w:tc>
        <w:tc>
          <w:tcPr>
            <w:tcW w:w="637" w:type="dxa"/>
            <w:shd w:val="clear" w:color="auto" w:fill="auto"/>
          </w:tcPr>
          <w:p w14:paraId="7AEB8D7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0.72</w:t>
            </w:r>
          </w:p>
        </w:tc>
        <w:tc>
          <w:tcPr>
            <w:tcW w:w="800" w:type="dxa"/>
            <w:shd w:val="clear" w:color="auto" w:fill="auto"/>
          </w:tcPr>
          <w:p w14:paraId="399F32D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152</w:t>
            </w:r>
          </w:p>
        </w:tc>
        <w:tc>
          <w:tcPr>
            <w:tcW w:w="725" w:type="dxa"/>
            <w:shd w:val="clear" w:color="auto" w:fill="auto"/>
          </w:tcPr>
          <w:p w14:paraId="2B6E8B3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50.7</w:t>
            </w:r>
          </w:p>
        </w:tc>
        <w:tc>
          <w:tcPr>
            <w:tcW w:w="900" w:type="dxa"/>
            <w:shd w:val="clear" w:color="auto" w:fill="auto"/>
          </w:tcPr>
          <w:p w14:paraId="4ADFBB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115</w:t>
            </w:r>
          </w:p>
        </w:tc>
        <w:tc>
          <w:tcPr>
            <w:tcW w:w="625" w:type="dxa"/>
            <w:shd w:val="clear" w:color="auto" w:fill="auto"/>
            <w:vAlign w:val="bottom"/>
          </w:tcPr>
          <w:p w14:paraId="0432E835" w14:textId="77777777" w:rsidR="00B47300" w:rsidRDefault="00B47300">
            <w:pPr>
              <w:spacing w:line="240" w:lineRule="auto"/>
              <w:rPr>
                <w:rFonts w:ascii="Times New Roman" w:eastAsia="Times New Roman" w:hAnsi="Times New Roman" w:cs="Times New Roman"/>
                <w:sz w:val="18"/>
                <w:szCs w:val="18"/>
              </w:rPr>
            </w:pPr>
          </w:p>
          <w:p w14:paraId="3002EDD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38.3</w:t>
            </w:r>
          </w:p>
        </w:tc>
        <w:tc>
          <w:tcPr>
            <w:tcW w:w="813" w:type="dxa"/>
            <w:shd w:val="clear" w:color="auto" w:fill="auto"/>
          </w:tcPr>
          <w:p w14:paraId="7B6BB1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28</w:t>
            </w:r>
          </w:p>
        </w:tc>
        <w:tc>
          <w:tcPr>
            <w:tcW w:w="537" w:type="dxa"/>
            <w:shd w:val="clear" w:color="auto" w:fill="auto"/>
          </w:tcPr>
          <w:p w14:paraId="6D8BAF0E" w14:textId="77777777" w:rsidR="00B47300" w:rsidRDefault="00B47300">
            <w:pPr>
              <w:spacing w:line="240" w:lineRule="auto"/>
              <w:rPr>
                <w:rFonts w:ascii="Times New Roman" w:eastAsia="Times New Roman" w:hAnsi="Times New Roman" w:cs="Times New Roman"/>
                <w:sz w:val="18"/>
                <w:szCs w:val="18"/>
              </w:rPr>
            </w:pPr>
          </w:p>
          <w:p w14:paraId="22C7A64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9.3</w:t>
            </w:r>
          </w:p>
        </w:tc>
        <w:tc>
          <w:tcPr>
            <w:tcW w:w="638" w:type="dxa"/>
            <w:shd w:val="clear" w:color="auto" w:fill="auto"/>
          </w:tcPr>
          <w:p w14:paraId="60436EF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w:t>
            </w:r>
          </w:p>
        </w:tc>
        <w:tc>
          <w:tcPr>
            <w:tcW w:w="686" w:type="dxa"/>
            <w:shd w:val="clear" w:color="auto" w:fill="auto"/>
          </w:tcPr>
          <w:p w14:paraId="16053D99" w14:textId="77777777" w:rsidR="00B47300" w:rsidRDefault="00B47300">
            <w:pPr>
              <w:spacing w:line="240" w:lineRule="auto"/>
              <w:rPr>
                <w:rFonts w:ascii="Times New Roman" w:eastAsia="Times New Roman" w:hAnsi="Times New Roman" w:cs="Times New Roman"/>
                <w:sz w:val="18"/>
                <w:szCs w:val="18"/>
              </w:rPr>
            </w:pPr>
          </w:p>
          <w:p w14:paraId="6218C2B7"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r>
    </w:tbl>
    <w:p w14:paraId="7DB4BC5D" w14:textId="4DADD8F7" w:rsidR="00B47300" w:rsidRDefault="00B47300">
      <w:pPr>
        <w:spacing w:line="240" w:lineRule="auto"/>
        <w:rPr>
          <w:rFonts w:ascii="Times New Roman" w:hAnsi="Times New Roman" w:cs="Times New Roman"/>
          <w:b/>
          <w:bCs/>
          <w:kern w:val="2"/>
          <w:sz w:val="24"/>
          <w:szCs w:val="24"/>
        </w:rPr>
      </w:pPr>
    </w:p>
    <w:p w14:paraId="57ADBBBA" w14:textId="3299C4E2" w:rsidR="00B47300" w:rsidRPr="00220693" w:rsidRDefault="00414E9C" w:rsidP="00220693">
      <w:pPr>
        <w:spacing w:line="240" w:lineRule="auto"/>
        <w:jc w:val="both"/>
      </w:pPr>
      <w:r>
        <w:rPr>
          <w:rFonts w:ascii="Times New Roman" w:hAnsi="Times New Roman" w:cs="Times New Roman"/>
          <w:bCs/>
          <w:color w:val="000000"/>
          <w:sz w:val="24"/>
          <w:szCs w:val="24"/>
          <w:lang w:eastAsia="zh-CN"/>
        </w:rPr>
        <w:t>The findings on the prevalence of social anxiety, as indicated in Table 1, show that 36.9% displayed</w:t>
      </w:r>
      <w:r>
        <w:rPr>
          <w:rFonts w:ascii="Times New Roman" w:hAnsi="Times New Roman" w:cs="Times New Roman"/>
          <w:color w:val="000000"/>
          <w:sz w:val="24"/>
          <w:szCs w:val="24"/>
          <w:lang w:eastAsia="zh-CN"/>
        </w:rPr>
        <w:t xml:space="preserve"> a low form of social anxiety, 35.5% displayed a moderate form of social anxiety, and 5.9% displayed a high form of social anxiety.</w:t>
      </w:r>
      <w:r w:rsidR="00220693">
        <w:t xml:space="preserve"> </w:t>
      </w:r>
      <w:r w:rsidR="00220693">
        <w:rPr>
          <w:rFonts w:ascii="Times New Roman" w:hAnsi="Times New Roman" w:cs="Times New Roman"/>
          <w:bCs/>
          <w:color w:val="000000"/>
          <w:sz w:val="24"/>
          <w:szCs w:val="24"/>
          <w:lang w:eastAsia="zh-CN"/>
        </w:rPr>
        <w:t>As for mobile gaming addiction, as indicated in Table 1, t</w:t>
      </w:r>
      <w:r>
        <w:rPr>
          <w:rFonts w:ascii="Times New Roman" w:hAnsi="Times New Roman" w:cs="Times New Roman"/>
          <w:bCs/>
          <w:color w:val="000000"/>
          <w:sz w:val="24"/>
          <w:szCs w:val="24"/>
          <w:lang w:eastAsia="zh-CN"/>
        </w:rPr>
        <w:t>he findings on the prevalence of show that 38.3% displayed</w:t>
      </w:r>
      <w:r>
        <w:rPr>
          <w:rFonts w:ascii="Times New Roman" w:hAnsi="Times New Roman" w:cs="Times New Roman"/>
          <w:color w:val="000000"/>
          <w:sz w:val="24"/>
          <w:szCs w:val="24"/>
          <w:lang w:eastAsia="zh-CN"/>
        </w:rPr>
        <w:t xml:space="preserve"> a low form of mobile gaming addiction, 9.3% displayed a moderate form of mobile gaming addiction, and 1.7% displayed a high form of mobile gaming addiction.</w:t>
      </w:r>
    </w:p>
    <w:p w14:paraId="3F07B5D2" w14:textId="77777777" w:rsidR="00B47300" w:rsidRDefault="00B47300">
      <w:pPr>
        <w:spacing w:line="240" w:lineRule="auto"/>
        <w:jc w:val="both"/>
        <w:rPr>
          <w:rFonts w:ascii="Times New Roman" w:hAnsi="Times New Roman" w:cs="Times New Roman"/>
          <w:color w:val="000000"/>
          <w:sz w:val="24"/>
          <w:szCs w:val="24"/>
          <w:lang w:eastAsia="zh-CN"/>
        </w:rPr>
      </w:pPr>
    </w:p>
    <w:p w14:paraId="25D71EAB" w14:textId="77777777" w:rsidR="00B47300" w:rsidRDefault="00414E9C">
      <w:pPr>
        <w:widowControl w:val="0"/>
        <w:spacing w:line="240" w:lineRule="auto"/>
      </w:pPr>
      <w:r>
        <w:rPr>
          <w:rFonts w:ascii="Times New Roman" w:hAnsi="Times New Roman" w:cs="Times New Roman"/>
          <w:b/>
          <w:color w:val="000000"/>
          <w:sz w:val="24"/>
          <w:szCs w:val="24"/>
          <w:lang w:eastAsia="zh-CN"/>
        </w:rPr>
        <w:t>Test of Relationship</w:t>
      </w:r>
    </w:p>
    <w:p w14:paraId="48C056BE" w14:textId="77777777" w:rsidR="00B47300" w:rsidRDefault="00414E9C">
      <w:pPr>
        <w:widowControl w:val="0"/>
        <w:spacing w:line="240" w:lineRule="auto"/>
        <w:rPr>
          <w:rFonts w:ascii="Times New Roman" w:hAnsi="Times New Roman" w:cs="Times New Roman"/>
          <w:b/>
          <w:sz w:val="24"/>
          <w:szCs w:val="24"/>
        </w:rPr>
      </w:pPr>
      <w:r>
        <w:rPr>
          <w:rFonts w:ascii="Times New Roman" w:hAnsi="Times New Roman" w:cs="Times New Roman"/>
          <w:b/>
          <w:color w:val="000000"/>
          <w:sz w:val="24"/>
          <w:szCs w:val="24"/>
          <w:lang w:eastAsia="zh-CN"/>
        </w:rPr>
        <w:t>Table 2</w:t>
      </w:r>
    </w:p>
    <w:p w14:paraId="15CCA1F3" w14:textId="77777777" w:rsidR="00B47300" w:rsidRDefault="00414E9C">
      <w:pPr>
        <w:widowControl w:val="0"/>
        <w:spacing w:line="240" w:lineRule="auto"/>
        <w:rPr>
          <w:rFonts w:ascii="Times New Roman" w:hAnsi="Times New Roman" w:cs="Times New Roman"/>
          <w:bCs/>
          <w:i/>
          <w:iCs/>
          <w:sz w:val="24"/>
          <w:szCs w:val="24"/>
        </w:rPr>
      </w:pPr>
      <w:r>
        <w:rPr>
          <w:rFonts w:ascii="Times New Roman" w:hAnsi="Times New Roman" w:cs="Times New Roman"/>
          <w:bCs/>
          <w:i/>
          <w:iCs/>
          <w:color w:val="000000"/>
          <w:sz w:val="24"/>
          <w:szCs w:val="24"/>
          <w:lang w:eastAsia="zh-CN"/>
        </w:rPr>
        <w:t>Correlation Matrix Showing Relationships among Study Variables</w:t>
      </w:r>
    </w:p>
    <w:p w14:paraId="666DA278" w14:textId="77777777" w:rsidR="00B47300" w:rsidRDefault="00B47300">
      <w:pPr>
        <w:spacing w:line="240" w:lineRule="auto"/>
        <w:rPr>
          <w:rFonts w:ascii="Times New Roman" w:hAnsi="Times New Roman" w:cs="Times New Roman"/>
          <w:b/>
          <w:bCs/>
          <w:sz w:val="24"/>
          <w:szCs w:val="24"/>
        </w:rPr>
      </w:pPr>
    </w:p>
    <w:tbl>
      <w:tblPr>
        <w:tblStyle w:val="TableGrid"/>
        <w:tblW w:w="10615" w:type="dxa"/>
        <w:tblInd w:w="0" w:type="dxa"/>
        <w:tblCellMar>
          <w:left w:w="108" w:type="dxa"/>
          <w:right w:w="108" w:type="dxa"/>
        </w:tblCellMar>
        <w:tblLook w:val="04A0" w:firstRow="1" w:lastRow="0" w:firstColumn="1" w:lastColumn="0" w:noHBand="0" w:noVBand="1"/>
      </w:tblPr>
      <w:tblGrid>
        <w:gridCol w:w="2474"/>
        <w:gridCol w:w="1178"/>
        <w:gridCol w:w="1217"/>
        <w:gridCol w:w="1066"/>
        <w:gridCol w:w="912"/>
        <w:gridCol w:w="1064"/>
        <w:gridCol w:w="761"/>
        <w:gridCol w:w="1943"/>
      </w:tblGrid>
      <w:tr w:rsidR="00B47300" w14:paraId="6302A1C0" w14:textId="77777777">
        <w:trPr>
          <w:trHeight w:val="229"/>
        </w:trPr>
        <w:tc>
          <w:tcPr>
            <w:tcW w:w="2304" w:type="dxa"/>
            <w:tcBorders>
              <w:top w:val="single" w:sz="18" w:space="0" w:color="000000"/>
              <w:bottom w:val="single" w:sz="18" w:space="0" w:color="000000"/>
            </w:tcBorders>
            <w:shd w:val="clear" w:color="auto" w:fill="auto"/>
          </w:tcPr>
          <w:p w14:paraId="16FEC278"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Variables</w:t>
            </w:r>
          </w:p>
        </w:tc>
        <w:tc>
          <w:tcPr>
            <w:tcW w:w="1097" w:type="dxa"/>
            <w:tcBorders>
              <w:top w:val="single" w:sz="18" w:space="0" w:color="000000"/>
              <w:bottom w:val="single" w:sz="18" w:space="0" w:color="000000"/>
            </w:tcBorders>
            <w:shd w:val="clear" w:color="auto" w:fill="auto"/>
            <w:vAlign w:val="bottom"/>
          </w:tcPr>
          <w:p w14:paraId="46772626"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1</w:t>
            </w:r>
          </w:p>
        </w:tc>
        <w:tc>
          <w:tcPr>
            <w:tcW w:w="1133" w:type="dxa"/>
            <w:tcBorders>
              <w:top w:val="single" w:sz="18" w:space="0" w:color="000000"/>
              <w:bottom w:val="single" w:sz="18" w:space="0" w:color="000000"/>
            </w:tcBorders>
            <w:shd w:val="clear" w:color="auto" w:fill="auto"/>
            <w:vAlign w:val="bottom"/>
          </w:tcPr>
          <w:p w14:paraId="63FF4E41"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2</w:t>
            </w:r>
          </w:p>
        </w:tc>
        <w:tc>
          <w:tcPr>
            <w:tcW w:w="993" w:type="dxa"/>
            <w:tcBorders>
              <w:top w:val="single" w:sz="18" w:space="0" w:color="000000"/>
              <w:bottom w:val="single" w:sz="18" w:space="0" w:color="000000"/>
            </w:tcBorders>
            <w:shd w:val="clear" w:color="auto" w:fill="auto"/>
            <w:vAlign w:val="bottom"/>
          </w:tcPr>
          <w:p w14:paraId="5469F445"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3</w:t>
            </w:r>
          </w:p>
        </w:tc>
        <w:tc>
          <w:tcPr>
            <w:tcW w:w="849" w:type="dxa"/>
            <w:tcBorders>
              <w:top w:val="single" w:sz="18" w:space="0" w:color="000000"/>
              <w:bottom w:val="single" w:sz="18" w:space="0" w:color="000000"/>
            </w:tcBorders>
            <w:shd w:val="clear" w:color="auto" w:fill="auto"/>
            <w:vAlign w:val="bottom"/>
          </w:tcPr>
          <w:p w14:paraId="7FCCE10A"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4</w:t>
            </w:r>
          </w:p>
        </w:tc>
        <w:tc>
          <w:tcPr>
            <w:tcW w:w="991" w:type="dxa"/>
            <w:tcBorders>
              <w:top w:val="single" w:sz="18" w:space="0" w:color="000000"/>
              <w:bottom w:val="single" w:sz="18" w:space="0" w:color="000000"/>
            </w:tcBorders>
            <w:shd w:val="clear" w:color="auto" w:fill="auto"/>
            <w:vAlign w:val="bottom"/>
          </w:tcPr>
          <w:p w14:paraId="71E24500"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5</w:t>
            </w:r>
          </w:p>
        </w:tc>
        <w:tc>
          <w:tcPr>
            <w:tcW w:w="709" w:type="dxa"/>
            <w:tcBorders>
              <w:top w:val="single" w:sz="18" w:space="0" w:color="000000"/>
              <w:bottom w:val="single" w:sz="18" w:space="0" w:color="000000"/>
            </w:tcBorders>
            <w:shd w:val="clear" w:color="auto" w:fill="auto"/>
            <w:vAlign w:val="bottom"/>
          </w:tcPr>
          <w:p w14:paraId="107E0152"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6</w:t>
            </w:r>
          </w:p>
        </w:tc>
        <w:tc>
          <w:tcPr>
            <w:tcW w:w="1810" w:type="dxa"/>
            <w:vMerge w:val="restart"/>
            <w:shd w:val="clear" w:color="auto" w:fill="auto"/>
          </w:tcPr>
          <w:p w14:paraId="4D05650E" w14:textId="77777777" w:rsidR="00B47300" w:rsidRDefault="00B47300">
            <w:pPr>
              <w:spacing w:line="240" w:lineRule="auto"/>
              <w:rPr>
                <w:rFonts w:eastAsiaTheme="minorEastAsia"/>
              </w:rPr>
            </w:pPr>
          </w:p>
        </w:tc>
      </w:tr>
      <w:tr w:rsidR="00B47300" w14:paraId="18CA90AB" w14:textId="77777777">
        <w:trPr>
          <w:trHeight w:val="241"/>
        </w:trPr>
        <w:tc>
          <w:tcPr>
            <w:tcW w:w="2304" w:type="dxa"/>
            <w:tcBorders>
              <w:top w:val="single" w:sz="18" w:space="0" w:color="000000"/>
            </w:tcBorders>
            <w:shd w:val="clear" w:color="auto" w:fill="auto"/>
          </w:tcPr>
          <w:p w14:paraId="7704308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 Age</w:t>
            </w:r>
          </w:p>
        </w:tc>
        <w:tc>
          <w:tcPr>
            <w:tcW w:w="1097" w:type="dxa"/>
            <w:tcBorders>
              <w:top w:val="single" w:sz="18" w:space="0" w:color="000000"/>
            </w:tcBorders>
            <w:shd w:val="clear" w:color="auto" w:fill="auto"/>
          </w:tcPr>
          <w:p w14:paraId="76C63C2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1133" w:type="dxa"/>
            <w:tcBorders>
              <w:top w:val="single" w:sz="18" w:space="0" w:color="000000"/>
            </w:tcBorders>
            <w:shd w:val="clear" w:color="auto" w:fill="auto"/>
            <w:vAlign w:val="center"/>
          </w:tcPr>
          <w:p w14:paraId="2DFD815A" w14:textId="77777777" w:rsidR="00B47300" w:rsidRDefault="00B47300">
            <w:pPr>
              <w:widowControl w:val="0"/>
              <w:spacing w:line="240" w:lineRule="auto"/>
              <w:rPr>
                <w:rFonts w:ascii="Times New Roman" w:eastAsiaTheme="minorEastAsia" w:hAnsi="Times New Roman" w:cs="Times New Roman"/>
                <w:sz w:val="20"/>
                <w:szCs w:val="20"/>
              </w:rPr>
            </w:pPr>
          </w:p>
        </w:tc>
        <w:tc>
          <w:tcPr>
            <w:tcW w:w="993" w:type="dxa"/>
            <w:tcBorders>
              <w:top w:val="single" w:sz="18" w:space="0" w:color="000000"/>
            </w:tcBorders>
            <w:shd w:val="clear" w:color="auto" w:fill="auto"/>
            <w:vAlign w:val="center"/>
          </w:tcPr>
          <w:p w14:paraId="7158188F" w14:textId="77777777" w:rsidR="00B47300" w:rsidRDefault="00B47300">
            <w:pPr>
              <w:widowControl w:val="0"/>
              <w:spacing w:line="240" w:lineRule="auto"/>
              <w:rPr>
                <w:rFonts w:ascii="Times New Roman" w:eastAsiaTheme="minorEastAsia" w:hAnsi="Times New Roman" w:cs="Times New Roman"/>
                <w:sz w:val="20"/>
                <w:szCs w:val="20"/>
              </w:rPr>
            </w:pPr>
          </w:p>
        </w:tc>
        <w:tc>
          <w:tcPr>
            <w:tcW w:w="849" w:type="dxa"/>
            <w:tcBorders>
              <w:top w:val="single" w:sz="18" w:space="0" w:color="000000"/>
            </w:tcBorders>
            <w:shd w:val="clear" w:color="auto" w:fill="auto"/>
            <w:vAlign w:val="center"/>
          </w:tcPr>
          <w:p w14:paraId="5BB30EFF"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tcBorders>
              <w:top w:val="single" w:sz="18" w:space="0" w:color="000000"/>
            </w:tcBorders>
            <w:shd w:val="clear" w:color="auto" w:fill="auto"/>
            <w:vAlign w:val="center"/>
          </w:tcPr>
          <w:p w14:paraId="7F533FF3"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tcBorders>
              <w:top w:val="single" w:sz="18" w:space="0" w:color="000000"/>
            </w:tcBorders>
            <w:shd w:val="clear" w:color="auto" w:fill="auto"/>
            <w:vAlign w:val="center"/>
          </w:tcPr>
          <w:p w14:paraId="37C93C06"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3E1077A3" w14:textId="77777777" w:rsidR="00B47300" w:rsidRDefault="00B47300">
            <w:pPr>
              <w:spacing w:line="240" w:lineRule="auto"/>
              <w:rPr>
                <w:rFonts w:eastAsiaTheme="minorEastAsia"/>
                <w:sz w:val="20"/>
                <w:szCs w:val="20"/>
              </w:rPr>
            </w:pPr>
          </w:p>
        </w:tc>
      </w:tr>
      <w:tr w:rsidR="00B47300" w14:paraId="190B366C" w14:textId="77777777">
        <w:trPr>
          <w:trHeight w:val="93"/>
        </w:trPr>
        <w:tc>
          <w:tcPr>
            <w:tcW w:w="2304" w:type="dxa"/>
            <w:shd w:val="clear" w:color="auto" w:fill="auto"/>
          </w:tcPr>
          <w:p w14:paraId="2E1CAB8A"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lastRenderedPageBreak/>
              <w:t>2. Gender</w:t>
            </w:r>
          </w:p>
        </w:tc>
        <w:tc>
          <w:tcPr>
            <w:tcW w:w="1097" w:type="dxa"/>
            <w:shd w:val="clear" w:color="auto" w:fill="auto"/>
          </w:tcPr>
          <w:p w14:paraId="1CEDA88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rPr>
              <w:t>-.22**</w:t>
            </w:r>
          </w:p>
        </w:tc>
        <w:tc>
          <w:tcPr>
            <w:tcW w:w="1133" w:type="dxa"/>
            <w:shd w:val="clear" w:color="auto" w:fill="auto"/>
          </w:tcPr>
          <w:p w14:paraId="6467CD69"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993" w:type="dxa"/>
            <w:shd w:val="clear" w:color="auto" w:fill="auto"/>
            <w:vAlign w:val="center"/>
          </w:tcPr>
          <w:p w14:paraId="7D402B14" w14:textId="77777777" w:rsidR="00B47300" w:rsidRDefault="00B47300">
            <w:pPr>
              <w:widowControl w:val="0"/>
              <w:spacing w:line="240" w:lineRule="auto"/>
              <w:rPr>
                <w:rFonts w:ascii="Times New Roman" w:eastAsiaTheme="minorEastAsia" w:hAnsi="Times New Roman" w:cs="Times New Roman"/>
                <w:sz w:val="20"/>
                <w:szCs w:val="20"/>
              </w:rPr>
            </w:pPr>
          </w:p>
        </w:tc>
        <w:tc>
          <w:tcPr>
            <w:tcW w:w="849" w:type="dxa"/>
            <w:shd w:val="clear" w:color="auto" w:fill="auto"/>
            <w:vAlign w:val="center"/>
          </w:tcPr>
          <w:p w14:paraId="21C19AB9"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shd w:val="clear" w:color="auto" w:fill="auto"/>
            <w:vAlign w:val="center"/>
          </w:tcPr>
          <w:p w14:paraId="1B5979CF"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52A2C26E"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4909D3B2"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4D757425" w14:textId="77777777">
        <w:trPr>
          <w:trHeight w:val="66"/>
        </w:trPr>
        <w:tc>
          <w:tcPr>
            <w:tcW w:w="2304" w:type="dxa"/>
            <w:shd w:val="clear" w:color="auto" w:fill="auto"/>
          </w:tcPr>
          <w:p w14:paraId="5E339025"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3. Faculty</w:t>
            </w:r>
          </w:p>
        </w:tc>
        <w:tc>
          <w:tcPr>
            <w:tcW w:w="1097" w:type="dxa"/>
            <w:shd w:val="clear" w:color="auto" w:fill="auto"/>
          </w:tcPr>
          <w:p w14:paraId="7B2DBD25"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r>
              <w:rPr>
                <w:rFonts w:ascii="Times New Roman" w:eastAsiaTheme="minorEastAsia" w:hAnsi="Times New Roman" w:cs="Times New Roman"/>
                <w:sz w:val="20"/>
                <w:szCs w:val="20"/>
                <w:vertAlign w:val="superscript"/>
                <w:lang w:eastAsia="zh-CN"/>
              </w:rPr>
              <w:t>*</w:t>
            </w:r>
          </w:p>
        </w:tc>
        <w:tc>
          <w:tcPr>
            <w:tcW w:w="1133" w:type="dxa"/>
            <w:shd w:val="clear" w:color="auto" w:fill="auto"/>
          </w:tcPr>
          <w:p w14:paraId="24BE2F4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.26</w:t>
            </w:r>
            <w:r>
              <w:rPr>
                <w:rFonts w:ascii="Times New Roman" w:eastAsiaTheme="minorEastAsia" w:hAnsi="Times New Roman" w:cs="Times New Roman"/>
                <w:sz w:val="20"/>
                <w:szCs w:val="20"/>
                <w:vertAlign w:val="superscript"/>
                <w:lang w:eastAsia="zh-CN"/>
              </w:rPr>
              <w:t>**</w:t>
            </w:r>
          </w:p>
        </w:tc>
        <w:tc>
          <w:tcPr>
            <w:tcW w:w="993" w:type="dxa"/>
            <w:shd w:val="clear" w:color="auto" w:fill="auto"/>
          </w:tcPr>
          <w:p w14:paraId="2F27790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849" w:type="dxa"/>
            <w:shd w:val="clear" w:color="auto" w:fill="auto"/>
            <w:vAlign w:val="center"/>
          </w:tcPr>
          <w:p w14:paraId="1859CB2C"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shd w:val="clear" w:color="auto" w:fill="auto"/>
            <w:vAlign w:val="center"/>
          </w:tcPr>
          <w:p w14:paraId="47D4061D"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2BFB6A0B"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671FE3DD"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5B571B27" w14:textId="77777777">
        <w:trPr>
          <w:trHeight w:val="252"/>
        </w:trPr>
        <w:tc>
          <w:tcPr>
            <w:tcW w:w="2304" w:type="dxa"/>
            <w:shd w:val="clear" w:color="auto" w:fill="auto"/>
          </w:tcPr>
          <w:p w14:paraId="2DF587A2"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4. Level</w:t>
            </w:r>
          </w:p>
        </w:tc>
        <w:tc>
          <w:tcPr>
            <w:tcW w:w="1097" w:type="dxa"/>
            <w:shd w:val="clear" w:color="auto" w:fill="auto"/>
          </w:tcPr>
          <w:p w14:paraId="3F6123A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62**</w:t>
            </w:r>
          </w:p>
        </w:tc>
        <w:tc>
          <w:tcPr>
            <w:tcW w:w="1133" w:type="dxa"/>
            <w:shd w:val="clear" w:color="auto" w:fill="auto"/>
          </w:tcPr>
          <w:p w14:paraId="0CA264D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3" w:type="dxa"/>
            <w:shd w:val="clear" w:color="auto" w:fill="auto"/>
          </w:tcPr>
          <w:p w14:paraId="4D02458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.14*</w:t>
            </w:r>
          </w:p>
        </w:tc>
        <w:tc>
          <w:tcPr>
            <w:tcW w:w="849" w:type="dxa"/>
            <w:shd w:val="clear" w:color="auto" w:fill="auto"/>
          </w:tcPr>
          <w:p w14:paraId="6B32D85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991" w:type="dxa"/>
            <w:shd w:val="clear" w:color="auto" w:fill="auto"/>
            <w:vAlign w:val="center"/>
          </w:tcPr>
          <w:p w14:paraId="18A32CB9"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46F76CE1"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1D18CC02"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7B9CCB68" w14:textId="77777777">
        <w:trPr>
          <w:trHeight w:val="259"/>
        </w:trPr>
        <w:tc>
          <w:tcPr>
            <w:tcW w:w="2304" w:type="dxa"/>
            <w:shd w:val="clear" w:color="auto" w:fill="auto"/>
          </w:tcPr>
          <w:p w14:paraId="37B98A6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5. Mobile Gaming</w:t>
            </w:r>
          </w:p>
        </w:tc>
        <w:tc>
          <w:tcPr>
            <w:tcW w:w="1097" w:type="dxa"/>
            <w:shd w:val="clear" w:color="auto" w:fill="auto"/>
          </w:tcPr>
          <w:p w14:paraId="63FE4B3B"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p>
        </w:tc>
        <w:tc>
          <w:tcPr>
            <w:tcW w:w="1133" w:type="dxa"/>
            <w:shd w:val="clear" w:color="auto" w:fill="auto"/>
          </w:tcPr>
          <w:p w14:paraId="2D9905C7"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-.21</w:t>
            </w:r>
            <w:r>
              <w:rPr>
                <w:rFonts w:ascii="Times New Roman" w:eastAsiaTheme="minorEastAsia" w:hAnsi="Times New Roman" w:cs="Times New Roman"/>
                <w:sz w:val="20"/>
                <w:szCs w:val="20"/>
                <w:vertAlign w:val="superscript"/>
                <w:lang w:eastAsia="zh-CN"/>
              </w:rPr>
              <w:t>**</w:t>
            </w:r>
          </w:p>
        </w:tc>
        <w:tc>
          <w:tcPr>
            <w:tcW w:w="993" w:type="dxa"/>
            <w:shd w:val="clear" w:color="auto" w:fill="auto"/>
          </w:tcPr>
          <w:p w14:paraId="627F79F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.12*</w:t>
            </w:r>
          </w:p>
        </w:tc>
        <w:tc>
          <w:tcPr>
            <w:tcW w:w="849" w:type="dxa"/>
            <w:shd w:val="clear" w:color="auto" w:fill="auto"/>
          </w:tcPr>
          <w:p w14:paraId="4F77987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1" w:type="dxa"/>
            <w:shd w:val="clear" w:color="auto" w:fill="auto"/>
          </w:tcPr>
          <w:p w14:paraId="3A208729"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709" w:type="dxa"/>
            <w:shd w:val="clear" w:color="auto" w:fill="auto"/>
            <w:vAlign w:val="center"/>
          </w:tcPr>
          <w:p w14:paraId="0CEE14C0"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249ECFF6"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72175DA8" w14:textId="77777777">
        <w:trPr>
          <w:trHeight w:val="259"/>
        </w:trPr>
        <w:tc>
          <w:tcPr>
            <w:tcW w:w="2304" w:type="dxa"/>
            <w:tcBorders>
              <w:bottom w:val="single" w:sz="18" w:space="0" w:color="000000"/>
            </w:tcBorders>
            <w:shd w:val="clear" w:color="auto" w:fill="auto"/>
          </w:tcPr>
          <w:p w14:paraId="49345A1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6. Social Anxiety</w:t>
            </w:r>
          </w:p>
        </w:tc>
        <w:tc>
          <w:tcPr>
            <w:tcW w:w="1097" w:type="dxa"/>
            <w:tcBorders>
              <w:bottom w:val="single" w:sz="18" w:space="0" w:color="000000"/>
            </w:tcBorders>
            <w:shd w:val="clear" w:color="auto" w:fill="auto"/>
          </w:tcPr>
          <w:p w14:paraId="7870907F"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r>
              <w:rPr>
                <w:rFonts w:ascii="Times New Roman" w:eastAsiaTheme="minorEastAsia" w:hAnsi="Times New Roman" w:cs="Times New Roman"/>
                <w:sz w:val="20"/>
                <w:szCs w:val="20"/>
                <w:vertAlign w:val="superscript"/>
                <w:lang w:eastAsia="zh-CN"/>
              </w:rPr>
              <w:t>*</w:t>
            </w:r>
          </w:p>
        </w:tc>
        <w:tc>
          <w:tcPr>
            <w:tcW w:w="1133" w:type="dxa"/>
            <w:tcBorders>
              <w:bottom w:val="single" w:sz="18" w:space="0" w:color="000000"/>
            </w:tcBorders>
            <w:shd w:val="clear" w:color="auto" w:fill="auto"/>
          </w:tcPr>
          <w:p w14:paraId="1164532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.14*</w:t>
            </w:r>
          </w:p>
        </w:tc>
        <w:tc>
          <w:tcPr>
            <w:tcW w:w="993" w:type="dxa"/>
            <w:tcBorders>
              <w:bottom w:val="single" w:sz="18" w:space="0" w:color="000000"/>
            </w:tcBorders>
            <w:shd w:val="clear" w:color="auto" w:fill="auto"/>
          </w:tcPr>
          <w:p w14:paraId="50D77C5A"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-.05</w:t>
            </w:r>
          </w:p>
        </w:tc>
        <w:tc>
          <w:tcPr>
            <w:tcW w:w="849" w:type="dxa"/>
            <w:tcBorders>
              <w:bottom w:val="single" w:sz="18" w:space="0" w:color="000000"/>
            </w:tcBorders>
            <w:shd w:val="clear" w:color="auto" w:fill="auto"/>
          </w:tcPr>
          <w:p w14:paraId="75CA5977"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1" w:type="dxa"/>
            <w:tcBorders>
              <w:bottom w:val="single" w:sz="18" w:space="0" w:color="000000"/>
            </w:tcBorders>
            <w:shd w:val="clear" w:color="auto" w:fill="auto"/>
          </w:tcPr>
          <w:p w14:paraId="6ED72316"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.25**</w:t>
            </w:r>
          </w:p>
        </w:tc>
        <w:tc>
          <w:tcPr>
            <w:tcW w:w="709" w:type="dxa"/>
            <w:tcBorders>
              <w:bottom w:val="single" w:sz="18" w:space="0" w:color="000000"/>
            </w:tcBorders>
            <w:shd w:val="clear" w:color="auto" w:fill="auto"/>
          </w:tcPr>
          <w:p w14:paraId="4E6A02BF"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1810" w:type="dxa"/>
            <w:vMerge/>
            <w:shd w:val="clear" w:color="auto" w:fill="auto"/>
          </w:tcPr>
          <w:p w14:paraId="53F827B0" w14:textId="77777777" w:rsidR="00B47300" w:rsidRDefault="00B47300">
            <w:pPr>
              <w:widowControl w:val="0"/>
              <w:spacing w:line="240" w:lineRule="auto"/>
              <w:rPr>
                <w:rFonts w:ascii="Times New Roman" w:eastAsiaTheme="minorEastAsia" w:hAnsi="Times New Roman" w:cs="Times New Roman"/>
                <w:sz w:val="20"/>
                <w:szCs w:val="20"/>
              </w:rPr>
            </w:pPr>
          </w:p>
        </w:tc>
      </w:tr>
    </w:tbl>
    <w:p w14:paraId="0570E441" w14:textId="77777777" w:rsidR="00B47300" w:rsidRDefault="00B47300">
      <w:pPr>
        <w:spacing w:line="240" w:lineRule="auto"/>
        <w:rPr>
          <w:rFonts w:ascii="Times New Roman" w:hAnsi="Times New Roman" w:cs="Times New Roman"/>
          <w:b/>
          <w:bCs/>
          <w:sz w:val="24"/>
          <w:szCs w:val="24"/>
        </w:rPr>
      </w:pPr>
    </w:p>
    <w:p w14:paraId="56F14C95" w14:textId="77777777"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4BF02400" w14:textId="64442AEE" w:rsidR="00B47300" w:rsidRDefault="00414E9C" w:rsidP="00220693">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The result in Table 2 shows the test of the relationship between variables. From the table, it was indicated that mobile gaming addiction had a significant positive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.25, </w:t>
      </w:r>
      <w:r>
        <w:rPr>
          <w:rFonts w:ascii="Times New Roman" w:hAnsi="Times New Roman" w:cs="Times New Roman"/>
          <w:i/>
          <w:iCs/>
          <w:color w:val="000000"/>
          <w:sz w:val="24"/>
          <w:szCs w:val="24"/>
          <w:lang w:eastAsia="zh-CN"/>
        </w:rPr>
        <w:t xml:space="preserve">p </w:t>
      </w:r>
      <w:r>
        <w:rPr>
          <w:rFonts w:ascii="Times New Roman" w:hAnsi="Times New Roman" w:cs="Times New Roman"/>
          <w:color w:val="000000"/>
          <w:sz w:val="24"/>
          <w:szCs w:val="24"/>
          <w:lang w:eastAsia="zh-CN"/>
        </w:rPr>
        <w:t>&lt;.01].</w:t>
      </w:r>
      <w:r w:rsidR="00220693">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The socio-demographic factors indicated that gender had a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.14,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Age had a significant association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.13,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The level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-.01,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 Faculty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-.05,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w:t>
      </w:r>
    </w:p>
    <w:p w14:paraId="6D55E56C" w14:textId="77777777" w:rsidR="000C1572" w:rsidRDefault="000C1572" w:rsidP="00220693">
      <w:pPr>
        <w:widowControl w:val="0"/>
        <w:spacing w:line="240" w:lineRule="auto"/>
        <w:jc w:val="both"/>
        <w:rPr>
          <w:rFonts w:ascii="Times New Roman" w:hAnsi="Times New Roman" w:cs="Times New Roman"/>
          <w:color w:val="000000"/>
          <w:sz w:val="24"/>
          <w:szCs w:val="24"/>
          <w:lang w:eastAsia="zh-CN"/>
        </w:rPr>
      </w:pPr>
    </w:p>
    <w:p w14:paraId="1B4E2F61" w14:textId="77777777" w:rsidR="00B47300" w:rsidRDefault="00414E9C">
      <w:pPr>
        <w:spacing w:line="240" w:lineRule="auto"/>
        <w:ind w:right="536"/>
        <w:rPr>
          <w:rFonts w:ascii="Times New Roman" w:hAnsi="Times New Roman" w:cs="Times New Roman"/>
          <w:b/>
          <w:bCs/>
          <w:sz w:val="24"/>
          <w:szCs w:val="24"/>
        </w:rPr>
      </w:pPr>
      <w:r>
        <w:rPr>
          <w:rFonts w:ascii="Times New Roman" w:hAnsi="Times New Roman" w:cs="Times New Roman"/>
          <w:b/>
          <w:bCs/>
          <w:sz w:val="24"/>
          <w:szCs w:val="24"/>
        </w:rPr>
        <w:t>Hypotheses Testing</w:t>
      </w:r>
    </w:p>
    <w:p w14:paraId="217C6A3E" w14:textId="77777777" w:rsidR="00B47300" w:rsidRDefault="00B47300">
      <w:pPr>
        <w:spacing w:line="240" w:lineRule="auto"/>
        <w:ind w:left="-15" w:right="536"/>
        <w:jc w:val="both"/>
        <w:rPr>
          <w:rFonts w:ascii="Times New Roman" w:hAnsi="Times New Roman" w:cs="Times New Roman"/>
          <w:b/>
          <w:bCs/>
          <w:sz w:val="24"/>
          <w:szCs w:val="24"/>
        </w:rPr>
      </w:pPr>
    </w:p>
    <w:p w14:paraId="3D04835F"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Hypothesis 1</w:t>
      </w:r>
    </w:p>
    <w:p w14:paraId="7130ABD9"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Mobile gaming addiction will predict higher levels of social anxiety among undergraduate students at Redeemer’s University.</w:t>
      </w:r>
    </w:p>
    <w:p w14:paraId="733DA9F3" w14:textId="77777777" w:rsidR="00B47300" w:rsidRDefault="00B47300">
      <w:pPr>
        <w:spacing w:line="240" w:lineRule="auto"/>
        <w:rPr>
          <w:rFonts w:ascii="Times New Roman" w:hAnsi="Times New Roman" w:cs="Times New Roman"/>
          <w:sz w:val="24"/>
          <w:szCs w:val="24"/>
        </w:rPr>
      </w:pPr>
    </w:p>
    <w:p w14:paraId="1FADD4E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3 </w:t>
      </w:r>
    </w:p>
    <w:p w14:paraId="6ACC6A1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 on mobile gaming addiction as a predictor of social anxiety</w:t>
      </w: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2DEF4313" w14:textId="77777777">
        <w:trPr>
          <w:trHeight w:val="583"/>
        </w:trPr>
        <w:tc>
          <w:tcPr>
            <w:tcW w:w="1868" w:type="dxa"/>
            <w:tcBorders>
              <w:top w:val="single" w:sz="16" w:space="0" w:color="000000"/>
              <w:bottom w:val="single" w:sz="16" w:space="0" w:color="000000"/>
            </w:tcBorders>
            <w:shd w:val="clear" w:color="auto" w:fill="auto"/>
          </w:tcPr>
          <w:p w14:paraId="3F0FEB72"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60C859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0123D1A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562DDA4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i/>
                <w:iCs/>
                <w:sz w:val="24"/>
                <w:szCs w:val="24"/>
              </w:rPr>
              <w:t xml:space="preserve">P </w:t>
            </w:r>
          </w:p>
        </w:tc>
        <w:tc>
          <w:tcPr>
            <w:tcW w:w="890" w:type="dxa"/>
            <w:tcBorders>
              <w:top w:val="single" w:sz="16" w:space="0" w:color="000000"/>
              <w:bottom w:val="single" w:sz="16" w:space="0" w:color="000000"/>
            </w:tcBorders>
            <w:shd w:val="clear" w:color="auto" w:fill="auto"/>
          </w:tcPr>
          <w:p w14:paraId="381C29B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2B78445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3FE1A92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4F23DD57"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236C2CF8" w14:textId="77777777">
        <w:trPr>
          <w:trHeight w:val="421"/>
        </w:trPr>
        <w:tc>
          <w:tcPr>
            <w:tcW w:w="1868" w:type="dxa"/>
            <w:tcBorders>
              <w:top w:val="single" w:sz="16" w:space="0" w:color="000000"/>
            </w:tcBorders>
            <w:shd w:val="clear" w:color="auto" w:fill="auto"/>
          </w:tcPr>
          <w:p w14:paraId="4EECFC0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748D875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748EC70F"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2477875B"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1890801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7A8F61A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.06 </w:t>
            </w:r>
          </w:p>
        </w:tc>
        <w:tc>
          <w:tcPr>
            <w:tcW w:w="1068" w:type="dxa"/>
            <w:tcBorders>
              <w:top w:val="single" w:sz="16" w:space="0" w:color="000000"/>
            </w:tcBorders>
            <w:shd w:val="clear" w:color="auto" w:fill="auto"/>
          </w:tcPr>
          <w:p w14:paraId="69A309D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2EBCFE1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19.39</w:t>
            </w:r>
          </w:p>
        </w:tc>
      </w:tr>
      <w:tr w:rsidR="00B47300" w14:paraId="43A150CF" w14:textId="77777777">
        <w:trPr>
          <w:trHeight w:val="717"/>
        </w:trPr>
        <w:tc>
          <w:tcPr>
            <w:tcW w:w="1868" w:type="dxa"/>
            <w:tcBorders>
              <w:bottom w:val="single" w:sz="18" w:space="0" w:color="000000"/>
            </w:tcBorders>
            <w:shd w:val="clear" w:color="auto" w:fill="auto"/>
          </w:tcPr>
          <w:p w14:paraId="0805E88F"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Mobile Gaming Addiction  </w:t>
            </w:r>
          </w:p>
        </w:tc>
        <w:tc>
          <w:tcPr>
            <w:tcW w:w="802" w:type="dxa"/>
            <w:tcBorders>
              <w:bottom w:val="single" w:sz="18" w:space="0" w:color="000000"/>
            </w:tcBorders>
            <w:shd w:val="clear" w:color="auto" w:fill="auto"/>
          </w:tcPr>
          <w:p w14:paraId="65B76D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895" w:type="dxa"/>
            <w:tcBorders>
              <w:bottom w:val="single" w:sz="18" w:space="0" w:color="000000"/>
            </w:tcBorders>
            <w:shd w:val="clear" w:color="auto" w:fill="auto"/>
          </w:tcPr>
          <w:p w14:paraId="48FDE4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4.40 </w:t>
            </w:r>
          </w:p>
        </w:tc>
        <w:tc>
          <w:tcPr>
            <w:tcW w:w="892" w:type="dxa"/>
            <w:tcBorders>
              <w:bottom w:val="single" w:sz="18" w:space="0" w:color="000000"/>
            </w:tcBorders>
            <w:shd w:val="clear" w:color="auto" w:fill="auto"/>
          </w:tcPr>
          <w:p w14:paraId="4F393401"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608CEEB1"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19ADDE76"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3E3C0665"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1FCE2D01" w14:textId="77777777" w:rsidR="00B47300" w:rsidRDefault="00B47300">
            <w:pPr>
              <w:spacing w:line="240" w:lineRule="auto"/>
            </w:pPr>
            <w:bookmarkStart w:id="23" w:name="_Hlk161582075"/>
            <w:bookmarkEnd w:id="23"/>
          </w:p>
        </w:tc>
      </w:tr>
    </w:tbl>
    <w:p w14:paraId="1EA6000D" w14:textId="77777777" w:rsidR="00B47300" w:rsidRDefault="00B47300">
      <w:pPr>
        <w:spacing w:line="240" w:lineRule="auto"/>
        <w:rPr>
          <w:rFonts w:ascii="Times New Roman" w:hAnsi="Times New Roman" w:cs="Times New Roman"/>
          <w:sz w:val="24"/>
          <w:szCs w:val="24"/>
        </w:rPr>
      </w:pPr>
    </w:p>
    <w:p w14:paraId="615CA6F2" w14:textId="77777777" w:rsidR="00B47300" w:rsidRDefault="00414E9C">
      <w:pPr>
        <w:spacing w:line="240" w:lineRule="auto"/>
        <w:ind w:left="-5" w:right="536"/>
        <w:jc w:val="both"/>
        <w:rPr>
          <w:rFonts w:ascii="Times New Roman" w:hAnsi="Times New Roman" w:cs="Times New Roman"/>
          <w:sz w:val="24"/>
          <w:szCs w:val="24"/>
        </w:rPr>
      </w:pPr>
      <w:bookmarkStart w:id="24" w:name="_Hlk161582375"/>
      <w:r>
        <w:rPr>
          <w:rFonts w:ascii="Times New Roman" w:hAnsi="Times New Roman" w:cs="Times New Roman"/>
          <w:sz w:val="24"/>
          <w:szCs w:val="24"/>
        </w:rPr>
        <w:t>A linear regression analysis was used to test the hypothesis. As summarized in Table 3, mobile gaming addiction had a significant positive prediction of social anxiety [</w:t>
      </w:r>
      <w:r>
        <w:rPr>
          <w:rFonts w:ascii="Times New Roman" w:hAnsi="Times New Roman" w:cs="Times New Roman"/>
          <w:i/>
          <w:iCs/>
          <w:sz w:val="24"/>
          <w:szCs w:val="24"/>
        </w:rPr>
        <w:t>β</w:t>
      </w:r>
      <w:r>
        <w:rPr>
          <w:rFonts w:ascii="Times New Roman" w:hAnsi="Times New Roman" w:cs="Times New Roman"/>
          <w:sz w:val="24"/>
          <w:szCs w:val="24"/>
        </w:rPr>
        <w:t xml:space="preserve"> = .27, </w:t>
      </w:r>
      <w:r>
        <w:rPr>
          <w:rFonts w:ascii="Times New Roman" w:hAnsi="Times New Roman" w:cs="Times New Roman"/>
          <w:i/>
          <w:iCs/>
          <w:sz w:val="24"/>
          <w:szCs w:val="24"/>
        </w:rPr>
        <w:t>t</w:t>
      </w:r>
      <w:r>
        <w:rPr>
          <w:rFonts w:ascii="Times New Roman" w:hAnsi="Times New Roman" w:cs="Times New Roman"/>
          <w:sz w:val="24"/>
          <w:szCs w:val="24"/>
        </w:rPr>
        <w:t xml:space="preserve"> = 4.40, </w:t>
      </w:r>
      <w:r>
        <w:rPr>
          <w:rFonts w:ascii="Times New Roman" w:hAnsi="Times New Roman" w:cs="Times New Roman"/>
          <w:i/>
          <w:iCs/>
          <w:sz w:val="24"/>
          <w:szCs w:val="24"/>
        </w:rPr>
        <w:t>p</w:t>
      </w:r>
      <w:r>
        <w:rPr>
          <w:rFonts w:ascii="Times New Roman" w:hAnsi="Times New Roman" w:cs="Times New Roman"/>
          <w:sz w:val="24"/>
          <w:szCs w:val="24"/>
        </w:rPr>
        <w:t xml:space="preserve"> &lt;.01]. This means that an increase in mobile gaming addiction will cause a significant increase in social anxiety among undergraduates at Redeemers University. </w:t>
      </w:r>
      <w:r>
        <w:rPr>
          <w:rFonts w:ascii="Times New Roman" w:hAnsi="Times New Roman" w:cs="Times New Roman"/>
          <w:color w:val="000000"/>
          <w:sz w:val="24"/>
          <w:szCs w:val="24"/>
          <w:lang w:eastAsia="zh-CN"/>
        </w:rPr>
        <w:t xml:space="preserve">Furthermore, the analysis showed an </w:t>
      </w:r>
      <w:r>
        <w:rPr>
          <w:rFonts w:ascii="Times New Roman" w:hAnsi="Times New Roman" w:cs="Times New Roman"/>
          <w:i/>
          <w:iCs/>
          <w:color w:val="000000"/>
          <w:sz w:val="24"/>
          <w:szCs w:val="24"/>
          <w:lang w:eastAsia="zh-CN"/>
        </w:rPr>
        <w:t>R</w:t>
      </w:r>
      <w:r>
        <w:rPr>
          <w:rFonts w:ascii="Times New Roman" w:hAnsi="Times New Roman" w:cs="Times New Roman"/>
          <w:i/>
          <w:iCs/>
          <w:color w:val="000000"/>
          <w:sz w:val="24"/>
          <w:szCs w:val="24"/>
          <w:vertAlign w:val="superscript"/>
          <w:lang w:eastAsia="zh-CN"/>
        </w:rPr>
        <w:t>2</w:t>
      </w:r>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of .061 (p&lt;0.01) indicating that a 6.1% variance in the anxiety severity among the participants is accounted for by internet gaming addiction.</w:t>
      </w:r>
      <w:r>
        <w:rPr>
          <w:rFonts w:ascii="Times New Roman" w:hAnsi="Times New Roman" w:cs="Times New Roman"/>
          <w:sz w:val="24"/>
          <w:szCs w:val="24"/>
        </w:rPr>
        <w:t xml:space="preserve"> </w:t>
      </w:r>
      <w:bookmarkEnd w:id="24"/>
    </w:p>
    <w:p w14:paraId="3A7D82E8" w14:textId="77777777" w:rsidR="00B47300" w:rsidRDefault="00B47300">
      <w:pPr>
        <w:spacing w:line="240" w:lineRule="auto"/>
        <w:rPr>
          <w:rFonts w:ascii="Times New Roman" w:hAnsi="Times New Roman" w:cs="Times New Roman"/>
          <w:b/>
          <w:bCs/>
          <w:sz w:val="24"/>
          <w:szCs w:val="24"/>
        </w:rPr>
      </w:pPr>
    </w:p>
    <w:p w14:paraId="7C13D4D2"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2 </w:t>
      </w:r>
    </w:p>
    <w:p w14:paraId="1FD874A0" w14:textId="77777777" w:rsidR="00B47300" w:rsidRDefault="00414E9C">
      <w:pPr>
        <w:spacing w:line="240" w:lineRule="auto"/>
        <w:jc w:val="both"/>
        <w:rPr>
          <w:rFonts w:ascii="Times New Roman" w:hAnsi="Times New Roman" w:cs="Times New Roman"/>
          <w:sz w:val="24"/>
          <w:szCs w:val="24"/>
        </w:rPr>
      </w:pPr>
      <w:r>
        <w:rPr>
          <w:rFonts w:ascii="Times New Roman" w:hAnsi="Times New Roman" w:cs="Times New Roman"/>
          <w:sz w:val="24"/>
          <w:szCs w:val="24"/>
        </w:rPr>
        <w:t>Younger undergraduates will report higher levels of social anxiety than older students.</w:t>
      </w:r>
    </w:p>
    <w:p w14:paraId="4DFEED2C" w14:textId="77777777" w:rsidR="00B47300" w:rsidRDefault="00B47300">
      <w:pPr>
        <w:spacing w:line="240" w:lineRule="auto"/>
        <w:rPr>
          <w:rFonts w:ascii="Times New Roman" w:hAnsi="Times New Roman" w:cs="Times New Roman"/>
          <w:sz w:val="24"/>
          <w:szCs w:val="24"/>
        </w:rPr>
      </w:pPr>
    </w:p>
    <w:p w14:paraId="47DDA306"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 </w:t>
      </w:r>
    </w:p>
    <w:p w14:paraId="1CC4088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 on age as a predictor of social anxiety</w:t>
      </w: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3F64B653" w14:textId="77777777" w:rsidTr="0044459D">
        <w:trPr>
          <w:trHeight w:val="583"/>
        </w:trPr>
        <w:tc>
          <w:tcPr>
            <w:tcW w:w="1869" w:type="dxa"/>
            <w:tcBorders>
              <w:top w:val="single" w:sz="16" w:space="0" w:color="000000"/>
              <w:bottom w:val="single" w:sz="16" w:space="0" w:color="000000"/>
            </w:tcBorders>
            <w:shd w:val="clear" w:color="auto" w:fill="auto"/>
          </w:tcPr>
          <w:p w14:paraId="4B27FB3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57DD462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5ED8D92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400E78B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P </w:t>
            </w:r>
          </w:p>
        </w:tc>
        <w:tc>
          <w:tcPr>
            <w:tcW w:w="890" w:type="dxa"/>
            <w:tcBorders>
              <w:top w:val="single" w:sz="16" w:space="0" w:color="000000"/>
              <w:bottom w:val="single" w:sz="16" w:space="0" w:color="000000"/>
            </w:tcBorders>
            <w:shd w:val="clear" w:color="auto" w:fill="auto"/>
          </w:tcPr>
          <w:p w14:paraId="063ADBE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1B120BD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1E5C634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5958D15D"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56C3EF4E" w14:textId="77777777" w:rsidTr="0044459D">
        <w:trPr>
          <w:trHeight w:val="421"/>
        </w:trPr>
        <w:tc>
          <w:tcPr>
            <w:tcW w:w="1869" w:type="dxa"/>
            <w:tcBorders>
              <w:top w:val="single" w:sz="16" w:space="0" w:color="000000"/>
            </w:tcBorders>
            <w:shd w:val="clear" w:color="auto" w:fill="auto"/>
          </w:tcPr>
          <w:p w14:paraId="15B36A51"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1F0268F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3A808BE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708469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22DD7B8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25D7DD6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.018</w:t>
            </w:r>
          </w:p>
        </w:tc>
        <w:tc>
          <w:tcPr>
            <w:tcW w:w="1068" w:type="dxa"/>
            <w:tcBorders>
              <w:top w:val="single" w:sz="16" w:space="0" w:color="000000"/>
            </w:tcBorders>
            <w:shd w:val="clear" w:color="auto" w:fill="auto"/>
          </w:tcPr>
          <w:p w14:paraId="6555949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1F31DB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5.35</w:t>
            </w:r>
          </w:p>
        </w:tc>
      </w:tr>
      <w:tr w:rsidR="00B47300" w14:paraId="624855B9" w14:textId="77777777" w:rsidTr="0044459D">
        <w:trPr>
          <w:trHeight w:val="717"/>
        </w:trPr>
        <w:tc>
          <w:tcPr>
            <w:tcW w:w="1869" w:type="dxa"/>
            <w:tcBorders>
              <w:bottom w:val="single" w:sz="18" w:space="0" w:color="000000"/>
            </w:tcBorders>
            <w:shd w:val="clear" w:color="auto" w:fill="auto"/>
          </w:tcPr>
          <w:p w14:paraId="35C05D2D"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lastRenderedPageBreak/>
              <w:t xml:space="preserve">Age   </w:t>
            </w:r>
          </w:p>
        </w:tc>
        <w:tc>
          <w:tcPr>
            <w:tcW w:w="802" w:type="dxa"/>
            <w:tcBorders>
              <w:bottom w:val="single" w:sz="18" w:space="0" w:color="000000"/>
            </w:tcBorders>
            <w:shd w:val="clear" w:color="auto" w:fill="auto"/>
          </w:tcPr>
          <w:p w14:paraId="2FC3590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-.983</w:t>
            </w:r>
          </w:p>
        </w:tc>
        <w:tc>
          <w:tcPr>
            <w:tcW w:w="895" w:type="dxa"/>
            <w:tcBorders>
              <w:bottom w:val="single" w:sz="18" w:space="0" w:color="000000"/>
            </w:tcBorders>
            <w:shd w:val="clear" w:color="auto" w:fill="auto"/>
          </w:tcPr>
          <w:p w14:paraId="743AEE3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-2.31</w:t>
            </w:r>
          </w:p>
        </w:tc>
        <w:tc>
          <w:tcPr>
            <w:tcW w:w="892" w:type="dxa"/>
            <w:tcBorders>
              <w:bottom w:val="single" w:sz="18" w:space="0" w:color="000000"/>
            </w:tcBorders>
            <w:shd w:val="clear" w:color="auto" w:fill="auto"/>
          </w:tcPr>
          <w:p w14:paraId="13D1357B"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5BFD7B6F"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267543AB"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7BB1B1A3"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6AF8B518" w14:textId="77777777" w:rsidR="00B47300" w:rsidRDefault="00B47300">
            <w:pPr>
              <w:spacing w:line="240" w:lineRule="auto"/>
              <w:rPr>
                <w:rFonts w:ascii="Times New Roman" w:hAnsi="Times New Roman" w:cs="Times New Roman"/>
                <w:sz w:val="24"/>
                <w:szCs w:val="24"/>
              </w:rPr>
            </w:pPr>
          </w:p>
        </w:tc>
      </w:tr>
    </w:tbl>
    <w:p w14:paraId="0C0D8BBA" w14:textId="77777777" w:rsidR="00B47300" w:rsidRDefault="00414E9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B61929" w14:textId="77777777" w:rsidR="00B47300" w:rsidRDefault="00414E9C">
      <w:pPr>
        <w:spacing w:line="240" w:lineRule="auto"/>
        <w:ind w:left="-5" w:right="536"/>
        <w:jc w:val="both"/>
        <w:rPr>
          <w:rFonts w:ascii="Times New Roman" w:eastAsia="Calibri" w:hAnsi="Times New Roman" w:cs="Times New Roman"/>
          <w:sz w:val="24"/>
          <w:szCs w:val="24"/>
        </w:rPr>
      </w:pPr>
      <w:r>
        <w:rPr>
          <w:rFonts w:ascii="Times New Roman" w:hAnsi="Times New Roman" w:cs="Times New Roman"/>
          <w:sz w:val="24"/>
          <w:szCs w:val="24"/>
        </w:rPr>
        <w:t>A linear regression analysis was used to test the hypothesis. As summarized in Table 4, age had a significant negative prediction on social anxiety [</w:t>
      </w:r>
      <w:r>
        <w:rPr>
          <w:rFonts w:ascii="Times New Roman" w:hAnsi="Times New Roman" w:cs="Times New Roman"/>
          <w:i/>
          <w:iCs/>
          <w:sz w:val="24"/>
          <w:szCs w:val="24"/>
        </w:rPr>
        <w:t xml:space="preserve">β </w:t>
      </w:r>
      <w:r>
        <w:rPr>
          <w:rFonts w:ascii="Times New Roman" w:hAnsi="Times New Roman" w:cs="Times New Roman"/>
          <w:sz w:val="24"/>
          <w:szCs w:val="24"/>
        </w:rPr>
        <w:t xml:space="preserve">= -.98, </w:t>
      </w:r>
      <w:r>
        <w:rPr>
          <w:rFonts w:ascii="Times New Roman" w:hAnsi="Times New Roman" w:cs="Times New Roman"/>
          <w:i/>
          <w:iCs/>
          <w:sz w:val="24"/>
          <w:szCs w:val="24"/>
        </w:rPr>
        <w:t>t</w:t>
      </w:r>
      <w:r>
        <w:rPr>
          <w:rFonts w:ascii="Times New Roman" w:hAnsi="Times New Roman" w:cs="Times New Roman"/>
          <w:sz w:val="24"/>
          <w:szCs w:val="24"/>
        </w:rPr>
        <w:t xml:space="preserve"> = -2.31, </w:t>
      </w:r>
      <w:r>
        <w:rPr>
          <w:rFonts w:ascii="Times New Roman" w:hAnsi="Times New Roman" w:cs="Times New Roman"/>
          <w:i/>
          <w:iCs/>
          <w:sz w:val="24"/>
          <w:szCs w:val="24"/>
        </w:rPr>
        <w:t>p</w:t>
      </w:r>
      <w:r>
        <w:rPr>
          <w:rFonts w:ascii="Times New Roman" w:hAnsi="Times New Roman" w:cs="Times New Roman"/>
          <w:sz w:val="24"/>
          <w:szCs w:val="24"/>
        </w:rPr>
        <w:t xml:space="preserve"> &lt;.01],</w:t>
      </w:r>
      <w:r>
        <w:rPr>
          <w:rFonts w:ascii="Times New Roman" w:hAnsi="Times New Roman" w:cs="Times New Roman"/>
          <w:i/>
          <w:iCs/>
          <w:sz w:val="24"/>
          <w:szCs w:val="24"/>
        </w:rPr>
        <w:t xml:space="preserve"> </w:t>
      </w:r>
      <w:r>
        <w:rPr>
          <w:rFonts w:ascii="Times New Roman" w:hAnsi="Times New Roman" w:cs="Times New Roman"/>
          <w:sz w:val="24"/>
          <w:szCs w:val="24"/>
        </w:rPr>
        <w:t xml:space="preserve">This means that as age decreases there will be a significant increase in social anxiety among undergraduates at Redeemers University. Furthermore, the analysis showed an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of .018 (p&lt;0.01) indicating that a 1.8% variance in the anxiety severity among the participants is accounted for by age. </w:t>
      </w:r>
    </w:p>
    <w:p w14:paraId="2AF03BBF" w14:textId="77777777" w:rsidR="00B47300" w:rsidRDefault="00B47300">
      <w:pPr>
        <w:spacing w:line="240" w:lineRule="auto"/>
        <w:ind w:right="536"/>
        <w:jc w:val="both"/>
        <w:rPr>
          <w:rFonts w:ascii="Times New Roman" w:eastAsia="Calibri" w:hAnsi="Times New Roman" w:cs="Times New Roman"/>
          <w:sz w:val="24"/>
          <w:szCs w:val="24"/>
        </w:rPr>
      </w:pPr>
    </w:p>
    <w:p w14:paraId="5D30DFFB" w14:textId="2304935F" w:rsidR="00B47300" w:rsidRDefault="00414E9C">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Hypothesis 3</w:t>
      </w:r>
    </w:p>
    <w:p w14:paraId="370D98F8" w14:textId="77777777" w:rsidR="00B47300" w:rsidRDefault="00414E9C">
      <w:pPr>
        <w:pStyle w:val="ac"/>
        <w:spacing w:beforeAutospacing="0" w:afterAutospacing="0"/>
        <w:jc w:val="both"/>
        <w:textAlignment w:val="baseline"/>
        <w:rPr>
          <w:color w:val="000000"/>
        </w:rPr>
      </w:pPr>
      <w:r>
        <w:rPr>
          <w:color w:val="000000"/>
        </w:rPr>
        <w:t>Undergraduate students who have spent more years in Redeemer’s University will have higher levels of social anxiety than those who have spent fewer years.</w:t>
      </w:r>
    </w:p>
    <w:p w14:paraId="1FB23471" w14:textId="77777777" w:rsidR="00B47300" w:rsidRDefault="00B47300">
      <w:pPr>
        <w:pStyle w:val="ac"/>
        <w:spacing w:beforeAutospacing="0" w:afterAutospacing="0"/>
        <w:jc w:val="both"/>
        <w:textAlignment w:val="baseline"/>
        <w:rPr>
          <w:color w:val="000000"/>
        </w:rPr>
      </w:pPr>
    </w:p>
    <w:p w14:paraId="12929E6F" w14:textId="77777777" w:rsidR="00B47300" w:rsidRDefault="00414E9C">
      <w:pPr>
        <w:pStyle w:val="ac"/>
        <w:spacing w:beforeAutospacing="0" w:afterAutospacing="0"/>
        <w:jc w:val="both"/>
        <w:textAlignment w:val="baseline"/>
        <w:rPr>
          <w:color w:val="000000"/>
        </w:rPr>
      </w:pPr>
      <w:r>
        <w:rPr>
          <w:color w:val="000000"/>
        </w:rPr>
        <w:t xml:space="preserve">Table 5 </w:t>
      </w:r>
    </w:p>
    <w:p w14:paraId="1DD4B176"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One-way ANOVA showing students' level of social anxiety</w:t>
      </w:r>
    </w:p>
    <w:tbl>
      <w:tblPr>
        <w:tblW w:w="9285" w:type="dxa"/>
        <w:tblCellMar>
          <w:left w:w="0" w:type="dxa"/>
          <w:right w:w="0" w:type="dxa"/>
        </w:tblCellMar>
        <w:tblLook w:val="04A0" w:firstRow="1" w:lastRow="0" w:firstColumn="1" w:lastColumn="0" w:noHBand="0" w:noVBand="1"/>
      </w:tblPr>
      <w:tblGrid>
        <w:gridCol w:w="1861"/>
        <w:gridCol w:w="1768"/>
        <w:gridCol w:w="1368"/>
        <w:gridCol w:w="1551"/>
        <w:gridCol w:w="1368"/>
        <w:gridCol w:w="1369"/>
      </w:tblGrid>
      <w:tr w:rsidR="00B47300" w14:paraId="37BCA6FD" w14:textId="77777777" w:rsidTr="00BF69A8">
        <w:trPr>
          <w:cantSplit/>
        </w:trPr>
        <w:tc>
          <w:tcPr>
            <w:tcW w:w="1861" w:type="dxa"/>
            <w:tcBorders>
              <w:top w:val="single" w:sz="8" w:space="0" w:color="000000"/>
              <w:bottom w:val="single" w:sz="8" w:space="0" w:color="000000"/>
            </w:tcBorders>
            <w:shd w:val="clear" w:color="auto" w:fill="FFFFFF"/>
            <w:vAlign w:val="bottom"/>
          </w:tcPr>
          <w:p w14:paraId="7D8044EA" w14:textId="77777777" w:rsidR="00B47300" w:rsidRDefault="00B47300">
            <w:pPr>
              <w:spacing w:line="240" w:lineRule="auto"/>
              <w:rPr>
                <w:rFonts w:ascii="Times New Roman" w:eastAsiaTheme="minorHAnsi" w:hAnsi="Times New Roman" w:cs="Times New Roman"/>
                <w:sz w:val="24"/>
                <w:szCs w:val="24"/>
              </w:rPr>
            </w:pPr>
          </w:p>
        </w:tc>
        <w:tc>
          <w:tcPr>
            <w:tcW w:w="1768" w:type="dxa"/>
            <w:tcBorders>
              <w:top w:val="single" w:sz="8" w:space="0" w:color="000000"/>
              <w:bottom w:val="single" w:sz="8" w:space="0" w:color="000000"/>
            </w:tcBorders>
            <w:shd w:val="clear" w:color="auto" w:fill="FFFFFF"/>
            <w:vAlign w:val="bottom"/>
          </w:tcPr>
          <w:p w14:paraId="3CE0D29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Sum of Squares</w:t>
            </w:r>
          </w:p>
        </w:tc>
        <w:tc>
          <w:tcPr>
            <w:tcW w:w="1368" w:type="dxa"/>
            <w:tcBorders>
              <w:top w:val="single" w:sz="8" w:space="0" w:color="000000"/>
              <w:bottom w:val="single" w:sz="8" w:space="0" w:color="000000"/>
            </w:tcBorders>
            <w:shd w:val="clear" w:color="auto" w:fill="FFFFFF"/>
            <w:vAlign w:val="bottom"/>
          </w:tcPr>
          <w:p w14:paraId="17FD034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df</w:t>
            </w:r>
          </w:p>
        </w:tc>
        <w:tc>
          <w:tcPr>
            <w:tcW w:w="1551" w:type="dxa"/>
            <w:tcBorders>
              <w:top w:val="single" w:sz="8" w:space="0" w:color="000000"/>
              <w:bottom w:val="single" w:sz="8" w:space="0" w:color="000000"/>
            </w:tcBorders>
            <w:shd w:val="clear" w:color="auto" w:fill="FFFFFF"/>
            <w:vAlign w:val="bottom"/>
          </w:tcPr>
          <w:p w14:paraId="60740C7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Mean Square</w:t>
            </w:r>
          </w:p>
        </w:tc>
        <w:tc>
          <w:tcPr>
            <w:tcW w:w="1368" w:type="dxa"/>
            <w:tcBorders>
              <w:top w:val="single" w:sz="8" w:space="0" w:color="000000"/>
              <w:bottom w:val="single" w:sz="8" w:space="0" w:color="000000"/>
            </w:tcBorders>
            <w:shd w:val="clear" w:color="auto" w:fill="FFFFFF"/>
            <w:vAlign w:val="bottom"/>
          </w:tcPr>
          <w:p w14:paraId="5F0E2DB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w:t>
            </w:r>
          </w:p>
        </w:tc>
        <w:tc>
          <w:tcPr>
            <w:tcW w:w="1369" w:type="dxa"/>
            <w:tcBorders>
              <w:top w:val="single" w:sz="8" w:space="0" w:color="000000"/>
              <w:bottom w:val="single" w:sz="8" w:space="0" w:color="000000"/>
            </w:tcBorders>
            <w:shd w:val="clear" w:color="auto" w:fill="FFFFFF"/>
            <w:vAlign w:val="bottom"/>
          </w:tcPr>
          <w:p w14:paraId="3DFD413D"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Sig.</w:t>
            </w:r>
          </w:p>
        </w:tc>
      </w:tr>
      <w:tr w:rsidR="00B47300" w14:paraId="0A09F81B" w14:textId="77777777" w:rsidTr="00BF69A8">
        <w:trPr>
          <w:cantSplit/>
        </w:trPr>
        <w:tc>
          <w:tcPr>
            <w:tcW w:w="1861" w:type="dxa"/>
            <w:tcBorders>
              <w:top w:val="single" w:sz="8" w:space="0" w:color="000000"/>
            </w:tcBorders>
            <w:shd w:val="clear" w:color="auto" w:fill="FFFFFF"/>
          </w:tcPr>
          <w:p w14:paraId="5B5F0BFA"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Between Groups</w:t>
            </w:r>
          </w:p>
        </w:tc>
        <w:tc>
          <w:tcPr>
            <w:tcW w:w="1768" w:type="dxa"/>
            <w:tcBorders>
              <w:top w:val="single" w:sz="8" w:space="0" w:color="000000"/>
            </w:tcBorders>
            <w:shd w:val="clear" w:color="auto" w:fill="FFFFFF"/>
          </w:tcPr>
          <w:p w14:paraId="685B6E6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279.808</w:t>
            </w:r>
          </w:p>
        </w:tc>
        <w:tc>
          <w:tcPr>
            <w:tcW w:w="1368" w:type="dxa"/>
            <w:tcBorders>
              <w:top w:val="single" w:sz="8" w:space="0" w:color="000000"/>
            </w:tcBorders>
            <w:shd w:val="clear" w:color="auto" w:fill="FFFFFF"/>
          </w:tcPr>
          <w:p w14:paraId="16A6630C"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4</w:t>
            </w:r>
          </w:p>
        </w:tc>
        <w:tc>
          <w:tcPr>
            <w:tcW w:w="1551" w:type="dxa"/>
            <w:tcBorders>
              <w:top w:val="single" w:sz="8" w:space="0" w:color="000000"/>
            </w:tcBorders>
            <w:shd w:val="clear" w:color="auto" w:fill="FFFFFF"/>
          </w:tcPr>
          <w:p w14:paraId="083274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69.952</w:t>
            </w:r>
          </w:p>
        </w:tc>
        <w:tc>
          <w:tcPr>
            <w:tcW w:w="1368" w:type="dxa"/>
            <w:tcBorders>
              <w:top w:val="single" w:sz="8" w:space="0" w:color="000000"/>
            </w:tcBorders>
            <w:shd w:val="clear" w:color="auto" w:fill="FFFFFF"/>
          </w:tcPr>
          <w:p w14:paraId="12B5450A"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.258</w:t>
            </w:r>
          </w:p>
        </w:tc>
        <w:tc>
          <w:tcPr>
            <w:tcW w:w="1369" w:type="dxa"/>
            <w:tcBorders>
              <w:top w:val="single" w:sz="8" w:space="0" w:color="000000"/>
            </w:tcBorders>
            <w:shd w:val="clear" w:color="auto" w:fill="FFFFFF"/>
          </w:tcPr>
          <w:p w14:paraId="4F2643F5"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.905</w:t>
            </w:r>
          </w:p>
        </w:tc>
      </w:tr>
      <w:tr w:rsidR="00B47300" w14:paraId="5F956E70" w14:textId="77777777" w:rsidTr="00BF69A8">
        <w:trPr>
          <w:cantSplit/>
        </w:trPr>
        <w:tc>
          <w:tcPr>
            <w:tcW w:w="1861" w:type="dxa"/>
            <w:shd w:val="clear" w:color="auto" w:fill="FFFFFF"/>
          </w:tcPr>
          <w:p w14:paraId="3B7FDF14"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Within Groups</w:t>
            </w:r>
          </w:p>
        </w:tc>
        <w:tc>
          <w:tcPr>
            <w:tcW w:w="1768" w:type="dxa"/>
            <w:shd w:val="clear" w:color="auto" w:fill="FFFFFF"/>
          </w:tcPr>
          <w:p w14:paraId="339DCF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79973.312</w:t>
            </w:r>
          </w:p>
        </w:tc>
        <w:tc>
          <w:tcPr>
            <w:tcW w:w="1368" w:type="dxa"/>
            <w:shd w:val="clear" w:color="auto" w:fill="FFFFFF"/>
          </w:tcPr>
          <w:p w14:paraId="48377ED2"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295</w:t>
            </w:r>
          </w:p>
        </w:tc>
        <w:tc>
          <w:tcPr>
            <w:tcW w:w="1551" w:type="dxa"/>
            <w:shd w:val="clear" w:color="auto" w:fill="FFFFFF"/>
          </w:tcPr>
          <w:p w14:paraId="14090D1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271.096</w:t>
            </w:r>
          </w:p>
        </w:tc>
        <w:tc>
          <w:tcPr>
            <w:tcW w:w="1368" w:type="dxa"/>
            <w:shd w:val="clear" w:color="auto" w:fill="FFFFFF"/>
            <w:vAlign w:val="center"/>
          </w:tcPr>
          <w:p w14:paraId="3A48EEAC" w14:textId="77777777" w:rsidR="00B47300" w:rsidRDefault="00B47300">
            <w:pPr>
              <w:spacing w:line="240" w:lineRule="auto"/>
              <w:rPr>
                <w:rFonts w:ascii="Times New Roman" w:eastAsiaTheme="minorHAnsi" w:hAnsi="Times New Roman" w:cs="Times New Roman"/>
                <w:sz w:val="24"/>
                <w:szCs w:val="24"/>
              </w:rPr>
            </w:pPr>
          </w:p>
        </w:tc>
        <w:tc>
          <w:tcPr>
            <w:tcW w:w="1369" w:type="dxa"/>
            <w:shd w:val="clear" w:color="auto" w:fill="FFFFFF"/>
            <w:vAlign w:val="center"/>
          </w:tcPr>
          <w:p w14:paraId="1AF90DDC" w14:textId="77777777" w:rsidR="00B47300" w:rsidRDefault="00B47300">
            <w:pPr>
              <w:spacing w:line="240" w:lineRule="auto"/>
              <w:rPr>
                <w:rFonts w:ascii="Times New Roman" w:eastAsiaTheme="minorHAnsi" w:hAnsi="Times New Roman" w:cs="Times New Roman"/>
                <w:sz w:val="24"/>
                <w:szCs w:val="24"/>
              </w:rPr>
            </w:pPr>
          </w:p>
        </w:tc>
      </w:tr>
      <w:tr w:rsidR="00B47300" w14:paraId="12E595B9" w14:textId="77777777" w:rsidTr="00BF69A8">
        <w:trPr>
          <w:cantSplit/>
        </w:trPr>
        <w:tc>
          <w:tcPr>
            <w:tcW w:w="1861" w:type="dxa"/>
            <w:tcBorders>
              <w:bottom w:val="single" w:sz="8" w:space="0" w:color="000000"/>
            </w:tcBorders>
            <w:shd w:val="clear" w:color="auto" w:fill="FFFFFF"/>
          </w:tcPr>
          <w:p w14:paraId="02BA9D67"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Total</w:t>
            </w:r>
          </w:p>
        </w:tc>
        <w:tc>
          <w:tcPr>
            <w:tcW w:w="1768" w:type="dxa"/>
            <w:tcBorders>
              <w:bottom w:val="single" w:sz="8" w:space="0" w:color="000000"/>
            </w:tcBorders>
            <w:shd w:val="clear" w:color="auto" w:fill="FFFFFF"/>
          </w:tcPr>
          <w:p w14:paraId="4C351C4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80253.120</w:t>
            </w:r>
          </w:p>
        </w:tc>
        <w:tc>
          <w:tcPr>
            <w:tcW w:w="1368" w:type="dxa"/>
            <w:tcBorders>
              <w:bottom w:val="single" w:sz="8" w:space="0" w:color="000000"/>
            </w:tcBorders>
            <w:shd w:val="clear" w:color="auto" w:fill="FFFFFF"/>
          </w:tcPr>
          <w:p w14:paraId="2C8BDCC4"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299</w:t>
            </w:r>
          </w:p>
        </w:tc>
        <w:tc>
          <w:tcPr>
            <w:tcW w:w="1551" w:type="dxa"/>
            <w:tcBorders>
              <w:bottom w:val="single" w:sz="8" w:space="0" w:color="000000"/>
            </w:tcBorders>
            <w:shd w:val="clear" w:color="auto" w:fill="FFFFFF"/>
            <w:vAlign w:val="center"/>
          </w:tcPr>
          <w:p w14:paraId="0CA1226C" w14:textId="77777777" w:rsidR="00B47300" w:rsidRDefault="00B47300">
            <w:pPr>
              <w:spacing w:line="240" w:lineRule="auto"/>
              <w:rPr>
                <w:rFonts w:ascii="Times New Roman" w:eastAsiaTheme="minorHAnsi" w:hAnsi="Times New Roman" w:cs="Times New Roman"/>
                <w:sz w:val="24"/>
                <w:szCs w:val="24"/>
              </w:rPr>
            </w:pPr>
          </w:p>
        </w:tc>
        <w:tc>
          <w:tcPr>
            <w:tcW w:w="1368" w:type="dxa"/>
            <w:tcBorders>
              <w:bottom w:val="single" w:sz="8" w:space="0" w:color="000000"/>
            </w:tcBorders>
            <w:shd w:val="clear" w:color="auto" w:fill="FFFFFF"/>
            <w:vAlign w:val="center"/>
          </w:tcPr>
          <w:p w14:paraId="1CB24D32" w14:textId="77777777" w:rsidR="00B47300" w:rsidRDefault="00B47300">
            <w:pPr>
              <w:spacing w:line="240" w:lineRule="auto"/>
              <w:rPr>
                <w:rFonts w:ascii="Times New Roman" w:eastAsiaTheme="minorHAnsi" w:hAnsi="Times New Roman" w:cs="Times New Roman"/>
                <w:sz w:val="24"/>
                <w:szCs w:val="24"/>
              </w:rPr>
            </w:pPr>
          </w:p>
        </w:tc>
        <w:tc>
          <w:tcPr>
            <w:tcW w:w="1369" w:type="dxa"/>
            <w:tcBorders>
              <w:bottom w:val="single" w:sz="8" w:space="0" w:color="000000"/>
            </w:tcBorders>
            <w:shd w:val="clear" w:color="auto" w:fill="FFFFFF"/>
            <w:vAlign w:val="center"/>
          </w:tcPr>
          <w:p w14:paraId="7F484755" w14:textId="77777777" w:rsidR="00B47300" w:rsidRDefault="00B47300">
            <w:pPr>
              <w:spacing w:line="240" w:lineRule="auto"/>
              <w:rPr>
                <w:rFonts w:ascii="Times New Roman" w:eastAsiaTheme="minorHAnsi" w:hAnsi="Times New Roman" w:cs="Times New Roman"/>
                <w:sz w:val="24"/>
                <w:szCs w:val="24"/>
              </w:rPr>
            </w:pPr>
          </w:p>
        </w:tc>
      </w:tr>
    </w:tbl>
    <w:p w14:paraId="0CAD87D8" w14:textId="77777777" w:rsidR="00B47300" w:rsidRDefault="00B47300">
      <w:pPr>
        <w:pStyle w:val="ac"/>
        <w:spacing w:beforeAutospacing="0" w:afterAutospacing="0"/>
        <w:jc w:val="both"/>
        <w:textAlignment w:val="baseline"/>
        <w:rPr>
          <w:color w:val="000000"/>
        </w:rPr>
      </w:pPr>
    </w:p>
    <w:p w14:paraId="78410E55" w14:textId="77777777" w:rsidR="00B47300" w:rsidRDefault="00414E9C">
      <w:pPr>
        <w:pStyle w:val="ac"/>
        <w:spacing w:beforeAutospacing="0" w:afterAutospacing="0"/>
        <w:jc w:val="both"/>
        <w:textAlignment w:val="baseline"/>
        <w:rPr>
          <w:color w:val="000000"/>
        </w:rPr>
      </w:pPr>
      <w:r>
        <w:rPr>
          <w:color w:val="000000"/>
        </w:rPr>
        <w:t>A One-way ANOVA was used to test the hypothesis. The level of study of the participants showed that 113 were from the 100 level, 66 participants were in the 200 level, 50 were in the 300 level, 56 were in the 400 level and 15 were in the 500 level. The result summarized in Table 5 showed that there was no significant influence of years spent in university on social anxiety among the participants [F (4,295) = .26, P &gt; 0.05]. This implies that years spent in the university do not affect the levels of social anxiety in students.</w:t>
      </w:r>
    </w:p>
    <w:p w14:paraId="72CFBACD" w14:textId="77777777" w:rsidR="00B47300" w:rsidRDefault="00B47300">
      <w:pPr>
        <w:spacing w:line="240" w:lineRule="auto"/>
        <w:rPr>
          <w:rFonts w:ascii="Times New Roman" w:hAnsi="Times New Roman" w:cs="Times New Roman"/>
          <w:b/>
          <w:bCs/>
          <w:sz w:val="24"/>
          <w:szCs w:val="24"/>
        </w:rPr>
      </w:pPr>
    </w:p>
    <w:p w14:paraId="263E4847"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4 </w:t>
      </w:r>
    </w:p>
    <w:p w14:paraId="3E67A4BC"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Male undergraduates will have higher levels of social anxiety than female students.</w:t>
      </w:r>
    </w:p>
    <w:p w14:paraId="29278B14" w14:textId="77777777" w:rsidR="00B47300" w:rsidRDefault="00B47300">
      <w:pPr>
        <w:spacing w:line="240" w:lineRule="auto"/>
        <w:jc w:val="both"/>
        <w:textAlignment w:val="baseline"/>
        <w:rPr>
          <w:rFonts w:ascii="Times New Roman" w:hAnsi="Times New Roman" w:cs="Times New Roman"/>
          <w:sz w:val="24"/>
          <w:szCs w:val="24"/>
        </w:rPr>
      </w:pPr>
    </w:p>
    <w:p w14:paraId="6D0F3C61"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Table 6 </w:t>
      </w:r>
    </w:p>
    <w:p w14:paraId="7C8C4554"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Independent t-test showing the influence of gender on social anxiety</w:t>
      </w:r>
    </w:p>
    <w:tbl>
      <w:tblPr>
        <w:tblStyle w:val="TableGrid2"/>
        <w:tblW w:w="9083" w:type="dxa"/>
        <w:tblInd w:w="57" w:type="dxa"/>
        <w:tblLook w:val="04A0" w:firstRow="1" w:lastRow="0" w:firstColumn="1" w:lastColumn="0" w:noHBand="0" w:noVBand="1"/>
      </w:tblPr>
      <w:tblGrid>
        <w:gridCol w:w="1316"/>
        <w:gridCol w:w="464"/>
        <w:gridCol w:w="1133"/>
        <w:gridCol w:w="576"/>
        <w:gridCol w:w="1122"/>
        <w:gridCol w:w="1119"/>
        <w:gridCol w:w="1117"/>
        <w:gridCol w:w="1117"/>
        <w:gridCol w:w="1119"/>
      </w:tblGrid>
      <w:tr w:rsidR="00B47300" w14:paraId="6876D760" w14:textId="77777777">
        <w:trPr>
          <w:trHeight w:val="300"/>
        </w:trPr>
        <w:tc>
          <w:tcPr>
            <w:tcW w:w="1316" w:type="dxa"/>
            <w:tcBorders>
              <w:left w:val="single" w:sz="12" w:space="0" w:color="FFFFFF"/>
              <w:right w:val="single" w:sz="12" w:space="0" w:color="FFFFFF"/>
            </w:tcBorders>
            <w:shd w:val="clear" w:color="auto" w:fill="auto"/>
          </w:tcPr>
          <w:p w14:paraId="2C4C9D87"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right w:val="single" w:sz="12" w:space="0" w:color="FFFFFF"/>
            </w:tcBorders>
            <w:shd w:val="clear" w:color="auto" w:fill="auto"/>
          </w:tcPr>
          <w:p w14:paraId="1244212F"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576" w:type="dxa"/>
            <w:tcBorders>
              <w:left w:val="single" w:sz="12" w:space="0" w:color="FFFFFF"/>
              <w:right w:val="single" w:sz="12" w:space="0" w:color="FFFFFF"/>
            </w:tcBorders>
            <w:shd w:val="clear" w:color="auto" w:fill="auto"/>
          </w:tcPr>
          <w:p w14:paraId="5AB9B315"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 </w:t>
            </w:r>
          </w:p>
        </w:tc>
        <w:tc>
          <w:tcPr>
            <w:tcW w:w="1122" w:type="dxa"/>
            <w:tcBorders>
              <w:left w:val="single" w:sz="12" w:space="0" w:color="FFFFFF"/>
              <w:right w:val="single" w:sz="12" w:space="0" w:color="FFFFFF"/>
            </w:tcBorders>
            <w:shd w:val="clear" w:color="auto" w:fill="auto"/>
          </w:tcPr>
          <w:p w14:paraId="21181083"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Mean </w:t>
            </w:r>
          </w:p>
        </w:tc>
        <w:tc>
          <w:tcPr>
            <w:tcW w:w="1119" w:type="dxa"/>
            <w:tcBorders>
              <w:left w:val="single" w:sz="12" w:space="0" w:color="FFFFFF"/>
              <w:right w:val="single" w:sz="12" w:space="0" w:color="FFFFFF"/>
            </w:tcBorders>
            <w:shd w:val="clear" w:color="auto" w:fill="auto"/>
          </w:tcPr>
          <w:p w14:paraId="333E29F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SD</w:t>
            </w:r>
          </w:p>
        </w:tc>
        <w:tc>
          <w:tcPr>
            <w:tcW w:w="1117" w:type="dxa"/>
            <w:tcBorders>
              <w:left w:val="single" w:sz="12" w:space="0" w:color="FFFFFF"/>
              <w:right w:val="single" w:sz="12" w:space="0" w:color="FFFFFF"/>
            </w:tcBorders>
            <w:shd w:val="clear" w:color="auto" w:fill="auto"/>
          </w:tcPr>
          <w:p w14:paraId="72DBA67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df</w:t>
            </w:r>
          </w:p>
        </w:tc>
        <w:tc>
          <w:tcPr>
            <w:tcW w:w="1117" w:type="dxa"/>
            <w:tcBorders>
              <w:left w:val="single" w:sz="12" w:space="0" w:color="FFFFFF"/>
              <w:right w:val="single" w:sz="12" w:space="0" w:color="FFFFFF"/>
            </w:tcBorders>
            <w:shd w:val="clear" w:color="auto" w:fill="auto"/>
          </w:tcPr>
          <w:p w14:paraId="6F8D171D"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t</w:t>
            </w:r>
          </w:p>
        </w:tc>
        <w:tc>
          <w:tcPr>
            <w:tcW w:w="1119" w:type="dxa"/>
            <w:tcBorders>
              <w:left w:val="single" w:sz="12" w:space="0" w:color="FFFFFF"/>
              <w:right w:val="single" w:sz="12" w:space="0" w:color="FFFFFF"/>
            </w:tcBorders>
            <w:shd w:val="clear" w:color="auto" w:fill="auto"/>
          </w:tcPr>
          <w:p w14:paraId="12BC9A44"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P </w:t>
            </w:r>
          </w:p>
        </w:tc>
      </w:tr>
      <w:tr w:rsidR="00B47300" w14:paraId="118700BF" w14:textId="77777777">
        <w:trPr>
          <w:trHeight w:val="210"/>
        </w:trPr>
        <w:tc>
          <w:tcPr>
            <w:tcW w:w="1316" w:type="dxa"/>
            <w:tcBorders>
              <w:left w:val="single" w:sz="12" w:space="0" w:color="FFFFFF"/>
              <w:bottom w:val="single" w:sz="12" w:space="0" w:color="FFFFFF"/>
              <w:right w:val="single" w:sz="12" w:space="0" w:color="FFFFFF"/>
            </w:tcBorders>
            <w:shd w:val="clear" w:color="auto" w:fill="auto"/>
          </w:tcPr>
          <w:p w14:paraId="32317251"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bottom w:val="single" w:sz="12" w:space="0" w:color="FFFFFF"/>
              <w:right w:val="single" w:sz="12" w:space="0" w:color="FFFFFF"/>
            </w:tcBorders>
            <w:shd w:val="clear" w:color="auto" w:fill="auto"/>
          </w:tcPr>
          <w:p w14:paraId="2DFB4B3E" w14:textId="77777777" w:rsidR="00B47300" w:rsidRDefault="00B47300">
            <w:pPr>
              <w:spacing w:line="240" w:lineRule="auto"/>
              <w:rPr>
                <w:rFonts w:ascii="Times New Roman" w:eastAsia="Times New Roman" w:hAnsi="Times New Roman" w:cs="Times New Roman"/>
                <w:sz w:val="24"/>
                <w:szCs w:val="24"/>
              </w:rPr>
            </w:pPr>
          </w:p>
        </w:tc>
        <w:tc>
          <w:tcPr>
            <w:tcW w:w="576" w:type="dxa"/>
            <w:tcBorders>
              <w:left w:val="single" w:sz="12" w:space="0" w:color="FFFFFF"/>
              <w:bottom w:val="single" w:sz="12" w:space="0" w:color="FFFFFF"/>
              <w:right w:val="single" w:sz="12" w:space="0" w:color="FFFFFF"/>
            </w:tcBorders>
            <w:shd w:val="clear" w:color="auto" w:fill="auto"/>
          </w:tcPr>
          <w:p w14:paraId="1C825DBF" w14:textId="77777777" w:rsidR="00B47300" w:rsidRDefault="00B47300">
            <w:pPr>
              <w:spacing w:line="240" w:lineRule="auto"/>
              <w:rPr>
                <w:rFonts w:ascii="Times New Roman" w:eastAsia="Times New Roman" w:hAnsi="Times New Roman" w:cs="Times New Roman"/>
                <w:sz w:val="24"/>
                <w:szCs w:val="24"/>
              </w:rPr>
            </w:pPr>
          </w:p>
        </w:tc>
        <w:tc>
          <w:tcPr>
            <w:tcW w:w="1122" w:type="dxa"/>
            <w:tcBorders>
              <w:left w:val="single" w:sz="12" w:space="0" w:color="FFFFFF"/>
              <w:bottom w:val="single" w:sz="12" w:space="0" w:color="FFFFFF"/>
              <w:right w:val="single" w:sz="12" w:space="0" w:color="FFFFFF"/>
            </w:tcBorders>
            <w:shd w:val="clear" w:color="auto" w:fill="auto"/>
          </w:tcPr>
          <w:p w14:paraId="50532228"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20523419"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0CA55536"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3DC2BFF3"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734AA41E" w14:textId="77777777" w:rsidR="00B47300" w:rsidRDefault="00B47300">
            <w:pPr>
              <w:spacing w:line="240" w:lineRule="auto"/>
              <w:rPr>
                <w:rFonts w:ascii="Times New Roman" w:eastAsia="Times New Roman" w:hAnsi="Times New Roman" w:cs="Times New Roman"/>
                <w:sz w:val="24"/>
                <w:szCs w:val="24"/>
              </w:rPr>
            </w:pPr>
          </w:p>
        </w:tc>
      </w:tr>
      <w:tr w:rsidR="00B47300" w14:paraId="468056A4" w14:textId="77777777">
        <w:tc>
          <w:tcPr>
            <w:tcW w:w="1316" w:type="dxa"/>
            <w:tcBorders>
              <w:top w:val="single" w:sz="12" w:space="0" w:color="FFFFFF"/>
              <w:left w:val="single" w:sz="12" w:space="0" w:color="FFFFFF"/>
              <w:bottom w:val="single" w:sz="12" w:space="0" w:color="FFFFFF"/>
              <w:right w:val="single" w:sz="12" w:space="0" w:color="FFFFFF"/>
            </w:tcBorders>
            <w:shd w:val="clear" w:color="auto" w:fill="auto"/>
          </w:tcPr>
          <w:p w14:paraId="03345DF5"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right w:val="single" w:sz="12" w:space="0" w:color="FFFFFF"/>
            </w:tcBorders>
            <w:shd w:val="clear" w:color="auto" w:fill="auto"/>
          </w:tcPr>
          <w:p w14:paraId="0B0526D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Male </w:t>
            </w: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5FAEFD3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149</w:t>
            </w: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5734F6EB"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32.39</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25F17F0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16.65</w:t>
            </w: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3CA2C100"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4AD30334"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1C2EB271" w14:textId="77777777" w:rsidR="00B47300" w:rsidRDefault="00B47300">
            <w:pPr>
              <w:spacing w:line="240" w:lineRule="auto"/>
              <w:rPr>
                <w:rFonts w:ascii="Times New Roman" w:eastAsia="Times New Roman" w:hAnsi="Times New Roman" w:cs="Times New Roman"/>
                <w:sz w:val="24"/>
                <w:szCs w:val="24"/>
              </w:rPr>
            </w:pPr>
          </w:p>
        </w:tc>
      </w:tr>
      <w:tr w:rsidR="00B47300" w14:paraId="6F29AEC6" w14:textId="77777777">
        <w:tc>
          <w:tcPr>
            <w:tcW w:w="1780" w:type="dxa"/>
            <w:gridSpan w:val="2"/>
            <w:tcBorders>
              <w:top w:val="single" w:sz="12" w:space="0" w:color="FFFFFF"/>
              <w:left w:val="single" w:sz="12" w:space="0" w:color="FFFFFF"/>
              <w:right w:val="single" w:sz="12" w:space="0" w:color="FFFFFF"/>
            </w:tcBorders>
            <w:shd w:val="clear" w:color="auto" w:fill="auto"/>
          </w:tcPr>
          <w:p w14:paraId="4488B74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Social anxiety </w:t>
            </w:r>
          </w:p>
        </w:tc>
        <w:tc>
          <w:tcPr>
            <w:tcW w:w="1133" w:type="dxa"/>
            <w:tcBorders>
              <w:top w:val="single" w:sz="12" w:space="0" w:color="FFFFFF"/>
              <w:left w:val="single" w:sz="12" w:space="0" w:color="FFFFFF"/>
              <w:right w:val="single" w:sz="12" w:space="0" w:color="FFFFFF"/>
            </w:tcBorders>
            <w:shd w:val="clear" w:color="auto" w:fill="auto"/>
          </w:tcPr>
          <w:p w14:paraId="4BEB251C" w14:textId="77777777" w:rsidR="00B47300" w:rsidRDefault="00B47300">
            <w:pPr>
              <w:spacing w:line="240" w:lineRule="auto"/>
              <w:rPr>
                <w:rFonts w:ascii="Times New Roman" w:eastAsia="Times New Roman" w:hAnsi="Times New Roman" w:cs="Times New Roman"/>
                <w:sz w:val="24"/>
                <w:szCs w:val="24"/>
              </w:rPr>
            </w:pP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16FB7D9D" w14:textId="77777777" w:rsidR="00B47300" w:rsidRDefault="00B47300">
            <w:pPr>
              <w:spacing w:line="240" w:lineRule="auto"/>
              <w:rPr>
                <w:rFonts w:ascii="Times New Roman" w:eastAsia="Times New Roman" w:hAnsi="Times New Roman" w:cs="Times New Roman"/>
                <w:sz w:val="24"/>
                <w:szCs w:val="24"/>
              </w:rPr>
            </w:pP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490EACBA"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3053A5B"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0A9C8649"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298</w:t>
            </w:r>
          </w:p>
        </w:tc>
        <w:tc>
          <w:tcPr>
            <w:tcW w:w="1116" w:type="dxa"/>
            <w:tcBorders>
              <w:top w:val="single" w:sz="12" w:space="0" w:color="FFFFFF"/>
              <w:left w:val="single" w:sz="12" w:space="0" w:color="FFFFFF"/>
              <w:bottom w:val="single" w:sz="12" w:space="0" w:color="FFFFFF"/>
              <w:right w:val="single" w:sz="12" w:space="0" w:color="FFFFFF"/>
            </w:tcBorders>
            <w:shd w:val="clear" w:color="auto" w:fill="auto"/>
          </w:tcPr>
          <w:p w14:paraId="31D84E1A"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-2.38</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238FC08" w14:textId="77777777" w:rsidR="00B47300" w:rsidRDefault="00414E9C">
            <w:pPr>
              <w:spacing w:line="240" w:lineRule="auto"/>
              <w:rPr>
                <w:rFonts w:ascii="Times New Roman" w:hAnsi="Times New Roman" w:cs="Times New Roman"/>
                <w:b/>
                <w:sz w:val="24"/>
                <w:szCs w:val="24"/>
              </w:rPr>
            </w:pPr>
            <w:r>
              <w:rPr>
                <w:rFonts w:ascii="Times New Roman" w:eastAsia="Times New Roman" w:hAnsi="Times New Roman" w:cs="Times New Roman"/>
                <w:sz w:val="24"/>
                <w:szCs w:val="24"/>
              </w:rPr>
              <w:t>&lt; .05</w:t>
            </w:r>
          </w:p>
        </w:tc>
      </w:tr>
      <w:tr w:rsidR="00B47300" w14:paraId="7D0125C8" w14:textId="77777777">
        <w:tc>
          <w:tcPr>
            <w:tcW w:w="1316" w:type="dxa"/>
            <w:tcBorders>
              <w:top w:val="single" w:sz="12" w:space="0" w:color="FFFFFF"/>
              <w:left w:val="single" w:sz="12" w:space="0" w:color="FFFFFF"/>
              <w:bottom w:val="single" w:sz="12" w:space="0" w:color="000000"/>
              <w:right w:val="single" w:sz="12" w:space="0" w:color="FFFFFF"/>
            </w:tcBorders>
            <w:shd w:val="clear" w:color="auto" w:fill="auto"/>
          </w:tcPr>
          <w:p w14:paraId="2D22C30A"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bottom w:val="single" w:sz="12" w:space="0" w:color="000000"/>
              <w:right w:val="single" w:sz="12" w:space="0" w:color="FFFFFF"/>
            </w:tcBorders>
            <w:shd w:val="clear" w:color="auto" w:fill="auto"/>
          </w:tcPr>
          <w:p w14:paraId="29A119B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576" w:type="dxa"/>
            <w:tcBorders>
              <w:top w:val="single" w:sz="12" w:space="0" w:color="FFFFFF"/>
              <w:left w:val="single" w:sz="12" w:space="0" w:color="FFFFFF"/>
              <w:bottom w:val="single" w:sz="12" w:space="0" w:color="000000"/>
              <w:right w:val="single" w:sz="12" w:space="0" w:color="FFFFFF"/>
            </w:tcBorders>
            <w:shd w:val="clear" w:color="auto" w:fill="auto"/>
          </w:tcPr>
          <w:p w14:paraId="24638AF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151</w:t>
            </w:r>
          </w:p>
        </w:tc>
        <w:tc>
          <w:tcPr>
            <w:tcW w:w="1122" w:type="dxa"/>
            <w:tcBorders>
              <w:top w:val="single" w:sz="12" w:space="0" w:color="FFFFFF"/>
              <w:left w:val="single" w:sz="12" w:space="0" w:color="FFFFFF"/>
              <w:bottom w:val="single" w:sz="12" w:space="0" w:color="000000"/>
              <w:right w:val="single" w:sz="12" w:space="0" w:color="FFFFFF"/>
            </w:tcBorders>
            <w:shd w:val="clear" w:color="auto" w:fill="auto"/>
          </w:tcPr>
          <w:p w14:paraId="19D6321E"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36.86</w:t>
            </w: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494D785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15.85</w:t>
            </w: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3C0DD04F"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78FD3D77"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262BE51C" w14:textId="77777777" w:rsidR="00B47300" w:rsidRDefault="00B47300">
            <w:pPr>
              <w:spacing w:line="240" w:lineRule="auto"/>
              <w:rPr>
                <w:rFonts w:ascii="Times New Roman" w:eastAsia="Times New Roman" w:hAnsi="Times New Roman" w:cs="Times New Roman"/>
                <w:sz w:val="24"/>
                <w:szCs w:val="24"/>
              </w:rPr>
            </w:pPr>
          </w:p>
        </w:tc>
      </w:tr>
    </w:tbl>
    <w:p w14:paraId="301355DB" w14:textId="77777777" w:rsidR="00B47300" w:rsidRDefault="00B47300">
      <w:pPr>
        <w:spacing w:line="240" w:lineRule="auto"/>
        <w:rPr>
          <w:rFonts w:ascii="Times New Roman" w:hAnsi="Times New Roman" w:cs="Times New Roman"/>
          <w:sz w:val="24"/>
          <w:szCs w:val="24"/>
        </w:rPr>
      </w:pPr>
    </w:p>
    <w:p w14:paraId="70D1711F" w14:textId="77777777" w:rsidR="00B47300" w:rsidRDefault="00414E9C">
      <w:pPr>
        <w:spacing w:line="240" w:lineRule="auto"/>
        <w:jc w:val="both"/>
      </w:pPr>
      <w:r>
        <w:rPr>
          <w:rFonts w:ascii="Times New Roman" w:hAnsi="Times New Roman" w:cs="Times New Roman"/>
          <w:sz w:val="24"/>
          <w:szCs w:val="24"/>
        </w:rPr>
        <w:t xml:space="preserve">The result in Table 6 indicated that gender had no significant influence on social anxiety [t (298) = -2.35, p&lt;.05].  However, there was a difference such that male students (M =32.39, SD= 16.65) scored lower in social anxiety when compared with female students (M=36.86, SD=15.85). </w:t>
      </w:r>
    </w:p>
    <w:p w14:paraId="2DEDA5CD" w14:textId="77777777" w:rsidR="00B47300" w:rsidRDefault="00B47300">
      <w:pPr>
        <w:spacing w:line="240" w:lineRule="auto"/>
        <w:ind w:left="-5" w:right="536"/>
        <w:jc w:val="both"/>
        <w:rPr>
          <w:rFonts w:ascii="Times New Roman" w:hAnsi="Times New Roman" w:cs="Times New Roman"/>
          <w:sz w:val="24"/>
          <w:szCs w:val="24"/>
        </w:rPr>
      </w:pPr>
    </w:p>
    <w:p w14:paraId="10FE86E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lastRenderedPageBreak/>
        <w:t>Discussions</w:t>
      </w:r>
    </w:p>
    <w:p w14:paraId="0F8A5F88" w14:textId="5D7A133D"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goal of this study was to examine the associations between mobile game addiction and social anxiety</w:t>
      </w:r>
      <w:r w:rsidR="00A27F4A">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r w:rsidR="00A27F4A">
        <w:rPr>
          <w:rFonts w:ascii="Times New Roman" w:eastAsia="Times New Roman" w:hAnsi="Times New Roman" w:cs="Times New Roman"/>
          <w:color w:val="0E101A"/>
          <w:sz w:val="24"/>
          <w:szCs w:val="24"/>
        </w:rPr>
        <w:t>T</w:t>
      </w:r>
      <w:r>
        <w:rPr>
          <w:rFonts w:ascii="Times New Roman" w:eastAsia="Times New Roman" w:hAnsi="Times New Roman" w:cs="Times New Roman"/>
          <w:color w:val="0E101A"/>
          <w:sz w:val="24"/>
          <w:szCs w:val="24"/>
        </w:rPr>
        <w:t xml:space="preserve">he potential gender, age and time spent in the university difference in these associations were also investigated.  The findings of the study regarding the prevalence and pattern of mobile gaming addiction and social anxiety </w:t>
      </w:r>
      <w:commentRangeStart w:id="25"/>
      <w:r>
        <w:rPr>
          <w:rFonts w:ascii="Times New Roman" w:eastAsia="Times New Roman" w:hAnsi="Times New Roman" w:cs="Times New Roman"/>
          <w:color w:val="0E101A"/>
          <w:sz w:val="24"/>
          <w:szCs w:val="24"/>
        </w:rPr>
        <w:t xml:space="preserve">reveal </w:t>
      </w:r>
      <w:commentRangeEnd w:id="25"/>
      <w:r w:rsidR="00423C99">
        <w:rPr>
          <w:rStyle w:val="af2"/>
        </w:rPr>
        <w:commentReference w:id="25"/>
      </w:r>
      <w:r>
        <w:rPr>
          <w:rFonts w:ascii="Times New Roman" w:eastAsia="Times New Roman" w:hAnsi="Times New Roman" w:cs="Times New Roman"/>
          <w:color w:val="0E101A"/>
          <w:sz w:val="24"/>
          <w:szCs w:val="24"/>
        </w:rPr>
        <w:t>important insights into the well-being of this population. The study found that 5.9% of the participant’s students have severe social anxiety. The study also found a 9.3% mild to moderate and 1.7% moderate to severe prevalence of mobile gaming addiction among undergraduates. This observed prevalence supports previous findings on the high prevalence of internet gaming among Nigerian young people (Akpunne &amp; Akinnawo, 2019; Ariyo et al., 2020; David-Daniel et al., 2023).</w:t>
      </w:r>
    </w:p>
    <w:p w14:paraId="4A7F917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1AFB55E6"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 positively predicted social anxiety, implying that an increase in mobile gaming addiction will cause a significant increase in social anxiety among undergraduate students. This result is consistent with prior research demonstrating a connection between mobile gaming addiction and social anxiety. For instance, Wang et al., (2019) found that mobile online game addiction has a significant positive correlation with loneliness, anxiety, and depression among college students. Mobile online games can be an appealing escape for individuals who experience social anxiety (Chen &amp; Chang 2019). These games offer a virtual environment where players can interact with others without the need for face-to-face contact. For people with social anxiety, face-to-face social interactions can be distressing and anxiety-provoking. By engaging in mobile online games, individuals with social anxiety may find solace in the virtual world, where they can communicate and connect with others while avoiding the potential discomfort of in-person interactions (Carruthers et al., 2019).</w:t>
      </w:r>
    </w:p>
    <w:p w14:paraId="24F6D19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sense of control and anonymity provided by mobile online games may contribute to a feeling of safety and reduced social anxiety. In these virtual environments, individuals can carefully curate their online persona, choose when and how to interact with others, and even remain anonymous if desired. This level of control can alleviate some of the pressures and uncertainties associated with face-to-face social interactions, making mobile online games an attractive alternative for those with social anxiety. </w:t>
      </w:r>
    </w:p>
    <w:p w14:paraId="2BD2E27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findings of </w:t>
      </w:r>
      <w:commentRangeStart w:id="26"/>
      <w:r>
        <w:rPr>
          <w:rFonts w:ascii="Times New Roman" w:eastAsia="Times New Roman" w:hAnsi="Times New Roman" w:cs="Times New Roman"/>
          <w:color w:val="0E101A"/>
          <w:sz w:val="24"/>
          <w:szCs w:val="24"/>
        </w:rPr>
        <w:t xml:space="preserve">our </w:t>
      </w:r>
      <w:commentRangeEnd w:id="26"/>
      <w:r w:rsidR="003D1B2F">
        <w:rPr>
          <w:rStyle w:val="af2"/>
        </w:rPr>
        <w:commentReference w:id="26"/>
      </w:r>
      <w:r>
        <w:rPr>
          <w:rFonts w:ascii="Times New Roman" w:eastAsia="Times New Roman" w:hAnsi="Times New Roman" w:cs="Times New Roman"/>
          <w:color w:val="0E101A"/>
          <w:sz w:val="24"/>
          <w:szCs w:val="24"/>
        </w:rPr>
        <w:t xml:space="preserve">second hypothesis </w:t>
      </w:r>
      <w:commentRangeStart w:id="27"/>
      <w:r>
        <w:rPr>
          <w:rFonts w:ascii="Times New Roman" w:eastAsia="Times New Roman" w:hAnsi="Times New Roman" w:cs="Times New Roman"/>
          <w:color w:val="0E101A"/>
          <w:sz w:val="24"/>
          <w:szCs w:val="24"/>
        </w:rPr>
        <w:t xml:space="preserve">show </w:t>
      </w:r>
      <w:commentRangeEnd w:id="27"/>
      <w:r w:rsidR="003D1B2F">
        <w:rPr>
          <w:rStyle w:val="af2"/>
        </w:rPr>
        <w:commentReference w:id="27"/>
      </w:r>
      <w:r>
        <w:rPr>
          <w:rFonts w:ascii="Times New Roman" w:eastAsia="Times New Roman" w:hAnsi="Times New Roman" w:cs="Times New Roman"/>
          <w:color w:val="0E101A"/>
          <w:sz w:val="24"/>
          <w:szCs w:val="24"/>
        </w:rPr>
        <w:t xml:space="preserve">that younger students are more prone to social anxiety than older students. The result is consistent with prior research demonstrating a connection between age and social anxiety (Hunt 2024). One study by Jefferies and Ungar (2020) explored the prevalence of social anxiety globally using a self-report survey of 6,825 individuals aged 16–29 years from seven countries selected for their cultural and economic diversity. The global prevalence of social anxiety was found to be significantly higher than previously reported, with more than 1 in 3 (36%) respondents meeting the threshold criteria for having Social Anxiety Disorder (SAD). Prevalence and severity of social anxiety symptoms did not differ between sexes but varied as a function of age. Another study by Guy-Evans (2022) found that social anxiety disorder often peaks in adolescence, with many cases diagnosed before age 23. One reason is that younger people are still developing their social skills and may not have had as much experience interacting with others in social situations. Additionally, younger people may be more self-conscious and concerned about how they are perceived by others, which can lead to feelings of anxiety in social situations. </w:t>
      </w:r>
    </w:p>
    <w:p w14:paraId="4521F00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‌Furthermore, there was no significant influence of gender on social anxiety among students in this study. However Female undergraduates reported a higher level of social anxiety than males. The result is consistent with prior research demonstrating a connection between gender and </w:t>
      </w:r>
      <w:r>
        <w:rPr>
          <w:rFonts w:ascii="Times New Roman" w:eastAsia="Times New Roman" w:hAnsi="Times New Roman" w:cs="Times New Roman"/>
          <w:color w:val="0E101A"/>
          <w:sz w:val="24"/>
          <w:szCs w:val="24"/>
        </w:rPr>
        <w:lastRenderedPageBreak/>
        <w:t xml:space="preserve">social anxiety (Asher et al., 2017). </w:t>
      </w:r>
      <w:commentRangeStart w:id="28"/>
      <w:r>
        <w:rPr>
          <w:rFonts w:ascii="Times New Roman" w:eastAsia="Times New Roman" w:hAnsi="Times New Roman" w:cs="Times New Roman"/>
          <w:color w:val="0E101A"/>
          <w:sz w:val="24"/>
          <w:szCs w:val="24"/>
        </w:rPr>
        <w:t xml:space="preserve">One study by Zentner et al., (2022) investigated the underlying mechanisms that produce cultural and gender differences in social anxiety. The study found that Asian-Canadian undergraduates reported a similar level of social anxiety to European-Canadian undergraduates, and females reported higher social anxiety than males. The study found that females tend to report higher social anxiety levels than males, which could be attributed to societal expectations and gender roles. Societal norms often place greater emphasis on women’s appearance, behaviour, and social interactions, leading to increased pressure and self-consciousness (Strahan et al., 2006). </w:t>
      </w:r>
      <w:commentRangeEnd w:id="28"/>
      <w:r w:rsidR="006C22D5">
        <w:rPr>
          <w:rStyle w:val="af2"/>
        </w:rPr>
        <w:commentReference w:id="28"/>
      </w:r>
      <w:r>
        <w:rPr>
          <w:rFonts w:ascii="Times New Roman" w:eastAsia="Times New Roman" w:hAnsi="Times New Roman" w:cs="Times New Roman"/>
          <w:color w:val="0E101A"/>
          <w:sz w:val="24"/>
          <w:szCs w:val="24"/>
        </w:rPr>
        <w:t>These expectations can contribute to higher levels of social anxiety among females. Additionally, related literature suggests that gender role identification plays a role in social anxiety (Zentner et al., 2022). Individuals who strongly identify with a masculine gender role may feel pressured to conform to societal expectations of confidence and assertiveness. This pressure can lead to increased anxiety in social situations, particularly if they perceive a mismatch between their behaviour and societal expectations.</w:t>
      </w:r>
    </w:p>
    <w:p w14:paraId="4202498F"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6CCCC6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Conclusions and Recommendations </w:t>
      </w:r>
    </w:p>
    <w:p w14:paraId="06F8FD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Based on the findings of the study, it is concluded that there is a high prevalence of internet gaming addiction among the participants which contributes substantially to levels of social anxiety among undergraduates. Secondly, the study confirmed that younger students tend to experience higher levels of social anxiety compared to older students, highlighting age as a relevant factor in understanding social anxiety among this demographic. Contrary to expectations, the number of years spent at the university did not significantly influence social anxiety levels, suggesting that other factors may be more influential. Lastly, gender did not prove to be a significant factor in social anxiety levels among students, implying that social anxiety affects male and female students at a comparable rate within the context of this study.</w:t>
      </w:r>
    </w:p>
    <w:p w14:paraId="37689BBB" w14:textId="1E782553"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Thus, the authors recommend that </w:t>
      </w:r>
      <w:commentRangeStart w:id="29"/>
      <w:r>
        <w:rPr>
          <w:rFonts w:ascii="Times New Roman" w:eastAsia="Times New Roman" w:hAnsi="Times New Roman" w:cs="Times New Roman"/>
          <w:color w:val="0E101A"/>
          <w:sz w:val="24"/>
          <w:szCs w:val="24"/>
        </w:rPr>
        <w:t xml:space="preserve">Universities </w:t>
      </w:r>
      <w:commentRangeEnd w:id="29"/>
      <w:r w:rsidR="00764AC1">
        <w:rPr>
          <w:rStyle w:val="af2"/>
        </w:rPr>
        <w:commentReference w:id="29"/>
      </w:r>
      <w:r>
        <w:rPr>
          <w:rFonts w:ascii="Times New Roman" w:eastAsia="Times New Roman" w:hAnsi="Times New Roman" w:cs="Times New Roman"/>
          <w:color w:val="0E101A"/>
          <w:sz w:val="24"/>
          <w:szCs w:val="24"/>
        </w:rPr>
        <w:t xml:space="preserve">should provide students with information about the potential risks of mobile gaming addiction and social anxiety. Also, </w:t>
      </w:r>
      <w:r w:rsidRPr="00764AC1">
        <w:rPr>
          <w:rFonts w:ascii="Times New Roman" w:eastAsia="Times New Roman" w:hAnsi="Times New Roman" w:cs="Times New Roman"/>
          <w:color w:val="FF0000"/>
          <w:sz w:val="24"/>
          <w:szCs w:val="24"/>
        </w:rPr>
        <w:t xml:space="preserve">Universities </w:t>
      </w:r>
      <w:r>
        <w:rPr>
          <w:rFonts w:ascii="Times New Roman" w:eastAsia="Times New Roman" w:hAnsi="Times New Roman" w:cs="Times New Roman"/>
          <w:color w:val="0E101A"/>
          <w:sz w:val="24"/>
          <w:szCs w:val="24"/>
        </w:rPr>
        <w:t xml:space="preserve">and colleges should offer programs and services to help students who are struggling with mobile gaming addiction and social anxiety. </w:t>
      </w:r>
      <w:commentRangeStart w:id="30"/>
      <w:r>
        <w:rPr>
          <w:rFonts w:ascii="Times New Roman" w:eastAsia="Times New Roman" w:hAnsi="Times New Roman" w:cs="Times New Roman"/>
          <w:color w:val="0E101A"/>
          <w:sz w:val="24"/>
          <w:szCs w:val="24"/>
        </w:rPr>
        <w:t>We</w:t>
      </w:r>
      <w:commentRangeEnd w:id="30"/>
      <w:r w:rsidR="00764AC1">
        <w:rPr>
          <w:rStyle w:val="af2"/>
        </w:rPr>
        <w:commentReference w:id="30"/>
      </w:r>
      <w:r>
        <w:rPr>
          <w:rFonts w:ascii="Times New Roman" w:eastAsia="Times New Roman" w:hAnsi="Times New Roman" w:cs="Times New Roman"/>
          <w:color w:val="0E101A"/>
          <w:sz w:val="24"/>
          <w:szCs w:val="24"/>
        </w:rPr>
        <w:t xml:space="preserve"> also recommend that future research should investigate the factors that contribute to social anxiety among undergraduate students, including the role of mobile gaming addiction, age, gender, and other factors. Nigerian </w:t>
      </w:r>
      <w:commentRangeStart w:id="31"/>
      <w:r>
        <w:rPr>
          <w:rFonts w:ascii="Times New Roman" w:eastAsia="Times New Roman" w:hAnsi="Times New Roman" w:cs="Times New Roman"/>
          <w:color w:val="0E101A"/>
          <w:sz w:val="24"/>
          <w:szCs w:val="24"/>
        </w:rPr>
        <w:t>Universities</w:t>
      </w:r>
      <w:commentRangeEnd w:id="31"/>
      <w:r w:rsidR="00764AC1">
        <w:rPr>
          <w:rStyle w:val="af2"/>
        </w:rPr>
        <w:commentReference w:id="31"/>
      </w:r>
      <w:r>
        <w:rPr>
          <w:rFonts w:ascii="Times New Roman" w:eastAsia="Times New Roman" w:hAnsi="Times New Roman" w:cs="Times New Roman"/>
          <w:color w:val="0E101A"/>
          <w:sz w:val="24"/>
          <w:szCs w:val="24"/>
        </w:rPr>
        <w:t xml:space="preserve"> and colleges should provide students with access to mental health services such as counselling, therapy, and support groups as well as regular university community-wide psycho-education programmes on the importance of mental </w:t>
      </w:r>
      <w:r w:rsidR="00F442A4">
        <w:rPr>
          <w:rFonts w:ascii="Times New Roman" w:eastAsia="Times New Roman" w:hAnsi="Times New Roman" w:cs="Times New Roman"/>
          <w:color w:val="0E101A"/>
          <w:sz w:val="24"/>
          <w:szCs w:val="24"/>
        </w:rPr>
        <w:t>health, the</w:t>
      </w:r>
      <w:r>
        <w:rPr>
          <w:rFonts w:ascii="Times New Roman" w:eastAsia="Times New Roman" w:hAnsi="Times New Roman" w:cs="Times New Roman"/>
          <w:color w:val="0E101A"/>
          <w:sz w:val="24"/>
          <w:szCs w:val="24"/>
        </w:rPr>
        <w:t xml:space="preserve"> signs and symptoms of social anxiety, and the importance of seeking help if for social anxiety.</w:t>
      </w:r>
    </w:p>
    <w:p w14:paraId="0E7E53F6" w14:textId="77777777" w:rsidR="00F972BB" w:rsidRDefault="00F972BB">
      <w:pPr>
        <w:spacing w:line="240" w:lineRule="auto"/>
        <w:jc w:val="both"/>
        <w:rPr>
          <w:rFonts w:ascii="Times New Roman" w:eastAsia="Times New Roman" w:hAnsi="Times New Roman" w:cs="Times New Roman"/>
          <w:color w:val="0E101A"/>
          <w:sz w:val="24"/>
          <w:szCs w:val="24"/>
        </w:rPr>
      </w:pPr>
    </w:p>
    <w:p w14:paraId="4A4B370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COMPETING INTERESTS DISCLAIMER:</w:t>
      </w:r>
    </w:p>
    <w:p w14:paraId="428ABFD0"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5FED783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p>
    <w:p w14:paraId="697D814F" w14:textId="77777777" w:rsidR="00B47300" w:rsidRDefault="00414E9C">
      <w:pPr>
        <w:spacing w:line="240" w:lineRule="auto"/>
        <w:jc w:val="both"/>
      </w:pPr>
      <w:commentRangeStart w:id="32"/>
      <w:r>
        <w:rPr>
          <w:rFonts w:ascii="Times New Roman" w:hAnsi="Times New Roman" w:cs="Times New Roman"/>
          <w:b/>
          <w:bCs/>
          <w:sz w:val="24"/>
          <w:szCs w:val="24"/>
        </w:rPr>
        <w:t>References</w:t>
      </w:r>
      <w:commentRangeEnd w:id="32"/>
      <w:r w:rsidR="000A5466">
        <w:rPr>
          <w:rStyle w:val="af2"/>
        </w:rPr>
        <w:commentReference w:id="32"/>
      </w:r>
    </w:p>
    <w:p w14:paraId="0ED69BEE" w14:textId="77777777" w:rsidR="00B47300" w:rsidRDefault="00414E9C">
      <w:pPr>
        <w:pStyle w:val="ac"/>
        <w:spacing w:before="280" w:after="280"/>
        <w:ind w:left="567" w:hanging="720"/>
        <w:jc w:val="both"/>
      </w:pPr>
      <w:r>
        <w:t xml:space="preserve">Achangwa, C., Ryu, H. S., Lee, J. K., &amp; Jang, J. D. (2022). Adverse </w:t>
      </w:r>
      <w:commentRangeStart w:id="33"/>
      <w:r>
        <w:t>Effects of Smartphone Addiction among University Students in South Korea</w:t>
      </w:r>
      <w:commentRangeEnd w:id="33"/>
      <w:r w:rsidR="00504C2F">
        <w:rPr>
          <w:rStyle w:val="af2"/>
          <w:rFonts w:ascii="Arial" w:eastAsia="Arial" w:hAnsi="Arial" w:cs="Arial"/>
        </w:rPr>
        <w:commentReference w:id="33"/>
      </w:r>
      <w:r>
        <w:t xml:space="preserve">: A Systematic Review. </w:t>
      </w:r>
      <w:commentRangeStart w:id="34"/>
      <w:r>
        <w:t>Healthcare (Basel, Switzerland), 11</w:t>
      </w:r>
      <w:commentRangeEnd w:id="34"/>
      <w:r w:rsidR="00504C2F">
        <w:rPr>
          <w:rStyle w:val="af2"/>
          <w:rFonts w:ascii="Arial" w:eastAsia="Arial" w:hAnsi="Arial" w:cs="Arial"/>
        </w:rPr>
        <w:commentReference w:id="34"/>
      </w:r>
      <w:r>
        <w:t>(1), 14. https://doi.org/10.3390/healthcare11010014</w:t>
      </w:r>
    </w:p>
    <w:p w14:paraId="5A289FF9" w14:textId="77777777" w:rsidR="00B47300" w:rsidRDefault="00414E9C">
      <w:pPr>
        <w:pStyle w:val="ac"/>
        <w:spacing w:before="280" w:after="280"/>
        <w:ind w:left="567" w:hanging="720"/>
        <w:jc w:val="both"/>
      </w:pPr>
      <w:r>
        <w:lastRenderedPageBreak/>
        <w:t xml:space="preserve">Acquah, E. O., Topalli, P. Z., Wilson, M. L., Junttila, N., &amp; Niemi, P. M. (2016). Adolescent </w:t>
      </w:r>
      <w:commentRangeStart w:id="35"/>
      <w:r>
        <w:t>loneliness and social anxiety as predictors of bullying victimisation</w:t>
      </w:r>
      <w:commentRangeEnd w:id="35"/>
      <w:r w:rsidR="00504C2F">
        <w:rPr>
          <w:rStyle w:val="af2"/>
          <w:rFonts w:ascii="Arial" w:eastAsia="Arial" w:hAnsi="Arial" w:cs="Arial"/>
        </w:rPr>
        <w:commentReference w:id="35"/>
      </w:r>
      <w:r>
        <w:t xml:space="preserve">. </w:t>
      </w:r>
      <w:commentRangeStart w:id="36"/>
      <w:r>
        <w:t>International Journal of Adolescence and Youth, 21</w:t>
      </w:r>
      <w:commentRangeEnd w:id="36"/>
      <w:r w:rsidR="00504C2F">
        <w:rPr>
          <w:rStyle w:val="af2"/>
          <w:rFonts w:ascii="Arial" w:eastAsia="Arial" w:hAnsi="Arial" w:cs="Arial"/>
        </w:rPr>
        <w:commentReference w:id="36"/>
      </w:r>
      <w:r>
        <w:t>(3), 320-331</w:t>
      </w:r>
    </w:p>
    <w:p w14:paraId="638DFB3B" w14:textId="77777777" w:rsidR="00B47300" w:rsidRDefault="00414E9C">
      <w:pPr>
        <w:pStyle w:val="ac"/>
        <w:spacing w:before="280" w:after="280"/>
        <w:ind w:left="567" w:hanging="720"/>
        <w:jc w:val="both"/>
      </w:pPr>
      <w:r>
        <w:rPr>
          <w:rFonts w:eastAsiaTheme="minorHAnsi"/>
          <w:color w:val="000000" w:themeColor="text1"/>
        </w:rPr>
        <w:t xml:space="preserve">Akpunne B. C., &amp; Akinnawo E. O. (2019). Internet addiction, problematic smartphone use and psychological health of Nigerian University Undergraduates. </w:t>
      </w:r>
      <w:r>
        <w:rPr>
          <w:rFonts w:eastAsiaTheme="minorHAnsi"/>
          <w:i/>
          <w:color w:val="000000" w:themeColor="text1"/>
        </w:rPr>
        <w:t>International Neuropsychiatric Disease Journal</w:t>
      </w:r>
      <w:r>
        <w:rPr>
          <w:rFonts w:eastAsiaTheme="minorHAnsi"/>
          <w:color w:val="000000" w:themeColor="text1"/>
        </w:rPr>
        <w:t xml:space="preserve">, 12(3) 1-13 </w:t>
      </w:r>
      <w:hyperlink r:id="rId10" w:history="1">
        <w:r>
          <w:rPr>
            <w:rStyle w:val="Hyperlink"/>
            <w:rFonts w:eastAsiaTheme="minorHAnsi"/>
            <w:color w:val="000000" w:themeColor="text1"/>
          </w:rPr>
          <w:t>http://doi.org/10.9734/INDJ/2018/v12i330093</w:t>
        </w:r>
      </w:hyperlink>
    </w:p>
    <w:p w14:paraId="58EBF63A" w14:textId="77777777" w:rsidR="00B47300" w:rsidRDefault="00414E9C">
      <w:pPr>
        <w:pStyle w:val="ac"/>
        <w:spacing w:before="280" w:after="280"/>
        <w:ind w:left="567" w:hanging="720"/>
        <w:jc w:val="both"/>
      </w:pPr>
      <w:r>
        <w:t>American Psychiatric Association. (2013). Diagnostic and statistical manual of mental disorders (5th ed.). Washington, DC: American Psychiatric Association.</w:t>
      </w:r>
    </w:p>
    <w:p w14:paraId="6F51E935" w14:textId="77777777" w:rsidR="00B47300" w:rsidRDefault="00414E9C">
      <w:pPr>
        <w:pStyle w:val="ac"/>
        <w:spacing w:before="280" w:after="280"/>
        <w:ind w:left="567" w:hanging="720"/>
        <w:jc w:val="both"/>
      </w:pPr>
      <w:r>
        <w:t xml:space="preserve">Anderson, E. S., Steen, E., &amp; Stavropoulos, V. (2016). Internet use and Problematic Internet Use: a systematic review of longitudinal research trends in adolescence and emergent adulthood. International Journal of Adolescence and Youth, 22(4), 430–454. </w:t>
      </w:r>
      <w:hyperlink>
        <w:r>
          <w:rPr>
            <w:rStyle w:val="InternetLink"/>
          </w:rPr>
          <w:t>https://doi.org/10.1080/02673843.2016.1227716</w:t>
        </w:r>
      </w:hyperlink>
    </w:p>
    <w:p w14:paraId="346C83CD" w14:textId="77777777" w:rsidR="00B47300" w:rsidRDefault="00414E9C">
      <w:pPr>
        <w:pStyle w:val="ac"/>
        <w:spacing w:before="280" w:after="280"/>
        <w:ind w:left="567" w:hanging="720"/>
        <w:jc w:val="both"/>
      </w:pPr>
      <w:r>
        <w:rPr>
          <w:sz w:val="22"/>
          <w:szCs w:val="22"/>
        </w:rPr>
        <w:t xml:space="preserve">Ariyo J. O, Akinnawo E.O, Akpunne B.C. (2020). Predictive Influence of Internet Gaming Addiction on Severities of Attention Deficit Hyperactivity Disorder Among Nigerian Adolescents. </w:t>
      </w:r>
      <w:r>
        <w:rPr>
          <w:i/>
          <w:iCs/>
          <w:sz w:val="22"/>
          <w:szCs w:val="22"/>
        </w:rPr>
        <w:t>International Journal of Progressive Sciences and Technologies</w:t>
      </w:r>
      <w:r>
        <w:rPr>
          <w:sz w:val="22"/>
          <w:szCs w:val="22"/>
        </w:rPr>
        <w:t xml:space="preserve">. 22(2) pp. 347-356.   </w:t>
      </w:r>
      <w:hyperlink r:id="rId11">
        <w:r>
          <w:rPr>
            <w:rStyle w:val="InternetLink"/>
            <w:sz w:val="22"/>
            <w:szCs w:val="22"/>
          </w:rPr>
          <w:t>https://ijpsat.ijsht-journals.org/index.php/ijpsat</w:t>
        </w:r>
      </w:hyperlink>
      <w:r>
        <w:rPr>
          <w:sz w:val="22"/>
          <w:szCs w:val="22"/>
        </w:rPr>
        <w:t xml:space="preserve"> </w:t>
      </w:r>
    </w:p>
    <w:p w14:paraId="42091887" w14:textId="77777777" w:rsidR="00B47300" w:rsidRDefault="00414E9C">
      <w:pPr>
        <w:pStyle w:val="ac"/>
        <w:spacing w:beforeAutospacing="0" w:afterAutospacing="0"/>
        <w:ind w:left="720" w:hanging="720"/>
        <w:rPr>
          <w:color w:val="000000"/>
        </w:rPr>
      </w:pPr>
      <w:r>
        <w:rPr>
          <w:color w:val="000000"/>
        </w:rPr>
        <w:t>Asher, M., Asnaani, A., &amp; Aderka, I. M. (2017). Gender differences in social anxiety disorder: A review. </w:t>
      </w:r>
      <w:r>
        <w:rPr>
          <w:i/>
          <w:iCs/>
          <w:color w:val="000000"/>
        </w:rPr>
        <w:t>Clinical Psychology Review</w:t>
      </w:r>
      <w:r>
        <w:rPr>
          <w:color w:val="000000"/>
        </w:rPr>
        <w:t>, </w:t>
      </w:r>
      <w:r>
        <w:rPr>
          <w:i/>
          <w:iCs/>
          <w:color w:val="000000"/>
        </w:rPr>
        <w:t>56</w:t>
      </w:r>
      <w:r>
        <w:rPr>
          <w:color w:val="000000"/>
        </w:rPr>
        <w:t xml:space="preserve">(56), 1–12. </w:t>
      </w:r>
      <w:hyperlink r:id="rId12" w:history="1">
        <w:r>
          <w:rPr>
            <w:rStyle w:val="Hyperlink"/>
          </w:rPr>
          <w:t>https://doi.org/10.1016/j.cpr.2017.05.004</w:t>
        </w:r>
      </w:hyperlink>
      <w:r>
        <w:rPr>
          <w:color w:val="000000"/>
        </w:rPr>
        <w:t xml:space="preserve"> </w:t>
      </w:r>
    </w:p>
    <w:p w14:paraId="71FED0B3" w14:textId="77777777" w:rsidR="00B47300" w:rsidRDefault="00414E9C">
      <w:pPr>
        <w:pStyle w:val="ac"/>
        <w:spacing w:before="280" w:after="280"/>
        <w:ind w:left="567" w:hanging="720"/>
        <w:jc w:val="both"/>
      </w:pPr>
      <w:r>
        <w:t xml:space="preserve"> Berle, D., Starcevic, V., Porter, G., &amp;Fenech, P. (2014). Are some video games associated with more life interference and psychopathology than others? Comparing massively multiplayer online role-playing games with other forms of video game. Australian Journal of Psychology, 67(2), 105–114. https://doi.org/10.1111/ajpy.12066</w:t>
      </w:r>
    </w:p>
    <w:p w14:paraId="5799652D" w14:textId="77777777" w:rsidR="00B47300" w:rsidRDefault="00414E9C">
      <w:pPr>
        <w:pStyle w:val="ac"/>
        <w:spacing w:before="280" w:after="280"/>
        <w:ind w:left="567" w:hanging="720"/>
        <w:jc w:val="both"/>
      </w:pPr>
      <w:r>
        <w:t>Aguocha, C.M., K.A. Uwakwe (2020). Prevalence and Pattern of Mobile Gaming among Senior Secondary School Students in Owerri Metropolis Imo State Nigeria. Journal of Community Medicine &amp; Primary Health Care 32(1), 12-19.</w:t>
      </w:r>
    </w:p>
    <w:p w14:paraId="32CB5CD2" w14:textId="77777777" w:rsidR="00B47300" w:rsidRDefault="00414E9C">
      <w:pPr>
        <w:pStyle w:val="ac"/>
        <w:spacing w:before="280" w:after="280"/>
        <w:ind w:left="567" w:hanging="720"/>
        <w:jc w:val="both"/>
      </w:pPr>
      <w:r>
        <w:t>Carruthers, S. E., Warnock-Parkes, E. L., &amp; Clark, D. M. (2019). Accessing social media: Help or hindrance for people with social anxiety?. </w:t>
      </w:r>
      <w:r>
        <w:rPr>
          <w:i/>
          <w:iCs/>
        </w:rPr>
        <w:t>Journal of experimental psychopathology</w:t>
      </w:r>
      <w:r>
        <w:t>, </w:t>
      </w:r>
      <w:r>
        <w:rPr>
          <w:i/>
          <w:iCs/>
        </w:rPr>
        <w:t>10</w:t>
      </w:r>
      <w:r>
        <w:t>(2), 2043808719837811. https://doi.org/10.1177/2043808719837811</w:t>
      </w:r>
    </w:p>
    <w:p w14:paraId="3EB4A63A" w14:textId="77777777" w:rsidR="00B47300" w:rsidRDefault="00414E9C">
      <w:pPr>
        <w:pStyle w:val="ac"/>
        <w:spacing w:before="280" w:after="280"/>
        <w:ind w:left="567" w:hanging="720"/>
        <w:jc w:val="both"/>
        <w:rPr>
          <w:rStyle w:val="InternetLink"/>
        </w:rPr>
      </w:pPr>
      <w:r>
        <w:t xml:space="preserve">Castro‐Calvo, J., King, D. L., Stein, D. J., Brand, M., Carmi, L., Chamberlain, S. R., Demetrovics, Z., Fineberg, N. A., Rumpf, H., Yücel, M., Achab, S., Ambekar, A., Bahar, N., Blaszczynski, A., Bowden‐Jones, H., Carbonell, X., Chan, E. M. L., Ko, C., Timary, P., &amp;Dufour, M. (2021). Expert appraisal of criteria for assessing gaming disorder: an international Delphi study. Addiction, 116(9), 2463–2475. </w:t>
      </w:r>
      <w:hyperlink>
        <w:r>
          <w:rPr>
            <w:rStyle w:val="InternetLink"/>
          </w:rPr>
          <w:t>https://doi.org/10.1111/add.15411</w:t>
        </w:r>
      </w:hyperlink>
    </w:p>
    <w:p w14:paraId="3359D2EB" w14:textId="77777777" w:rsidR="00B47300" w:rsidRDefault="00414E9C">
      <w:pPr>
        <w:pStyle w:val="ac"/>
        <w:spacing w:before="280" w:after="280"/>
        <w:ind w:left="567" w:hanging="720"/>
        <w:jc w:val="both"/>
      </w:pPr>
      <w:r>
        <w:rPr>
          <w:color w:val="282828"/>
        </w:rPr>
        <w:lastRenderedPageBreak/>
        <w:t>Chen, C.Y, &amp; Chang, S. L. (2019) Moderating effects of information-oriented versus escapism-oriented motivations on the relationship between psychological well-being and problematic use of video game live-streaming services. </w:t>
      </w:r>
      <w:r>
        <w:rPr>
          <w:i/>
          <w:iCs/>
          <w:color w:val="282828"/>
        </w:rPr>
        <w:t>J Behav Addict</w:t>
      </w:r>
      <w:r>
        <w:rPr>
          <w:color w:val="282828"/>
        </w:rPr>
        <w:t xml:space="preserve">. (2019) 8:564–73. doi: 10.1556/2006.8.2019.34 </w:t>
      </w:r>
    </w:p>
    <w:p w14:paraId="17FD3EAA" w14:textId="77777777" w:rsidR="00B47300" w:rsidRDefault="00414E9C">
      <w:pPr>
        <w:pStyle w:val="ac"/>
        <w:spacing w:before="280" w:after="280"/>
        <w:ind w:left="567" w:hanging="720"/>
        <w:jc w:val="both"/>
      </w:pPr>
      <w:r>
        <w:rPr>
          <w:color w:val="000000"/>
        </w:rPr>
        <w:t xml:space="preserve">David-Daniel O. A., Akpunne B. C., Mopa-Egbunu A., &amp; Charles-Akpunne O J. (2023). Self-esteem family functioning and internet gaming disorder among In-school adolesents. </w:t>
      </w:r>
      <w:r>
        <w:rPr>
          <w:i/>
          <w:color w:val="000000"/>
        </w:rPr>
        <w:t>Corpus Intellectual</w:t>
      </w:r>
      <w:r>
        <w:rPr>
          <w:color w:val="000000"/>
        </w:rPr>
        <w:t xml:space="preserve"> 2(3)</w:t>
      </w:r>
    </w:p>
    <w:p w14:paraId="6959C98F" w14:textId="77777777" w:rsidR="00B47300" w:rsidRDefault="00414E9C">
      <w:pPr>
        <w:pStyle w:val="ac"/>
        <w:spacing w:before="280" w:after="280"/>
        <w:ind w:left="567" w:hanging="720"/>
        <w:jc w:val="both"/>
      </w:pPr>
      <w:r>
        <w:t>Dong, G., &amp; Potenza, M. N. (2022). Considering gender differences in the study and treatment of internet gaming disorder. Journal of Psychiatric Research, 153, 25–29. https://doi.org/10.1016/j.jpsychires.2022.06.057</w:t>
      </w:r>
    </w:p>
    <w:p w14:paraId="34966FEE" w14:textId="77777777" w:rsidR="00B47300" w:rsidRDefault="00414E9C">
      <w:pPr>
        <w:pStyle w:val="ac"/>
        <w:spacing w:before="280" w:after="280"/>
        <w:ind w:left="567" w:hanging="720"/>
        <w:jc w:val="both"/>
      </w:pPr>
      <w:r>
        <w:t>Dowbiggin, I. R. (2009). High anxieties: the social construction of anxiety disorders. The Canadian Journal of Psychiatry, 54(7), 429-436.</w:t>
      </w:r>
    </w:p>
    <w:p w14:paraId="0A50D668" w14:textId="77777777" w:rsidR="00B47300" w:rsidRDefault="00414E9C">
      <w:pPr>
        <w:pStyle w:val="ac"/>
        <w:spacing w:before="280" w:after="280"/>
        <w:ind w:left="567" w:hanging="720"/>
        <w:jc w:val="both"/>
      </w:pPr>
      <w:r>
        <w:t>Eleuteri, S., Saladino, V., &amp;Verrastro, V. (2017). Identity, relationships, sexuality, and risky behaviours of adolescents in the context of social media. Sexual and Relationship Therapy, 32(3-4), 354–365. https://doi.org/10.1080/14681994.2017.1397953</w:t>
      </w:r>
    </w:p>
    <w:p w14:paraId="5A3DF832" w14:textId="77777777" w:rsidR="00B47300" w:rsidRDefault="00414E9C">
      <w:pPr>
        <w:pStyle w:val="ac"/>
        <w:spacing w:before="280" w:after="280"/>
        <w:ind w:left="567" w:hanging="720"/>
        <w:jc w:val="both"/>
      </w:pPr>
      <w:r>
        <w:t>Gioia, F., Colella, G. M., &amp; Boursier, V. (2022). Evidence on problematic online gaming and social anxiety over the past ten years: a systematic literature review. Current Addiction Reports, 9(1), 32–47. https://doi.org/10.1007/s40429-021-00406-3</w:t>
      </w:r>
    </w:p>
    <w:p w14:paraId="16677AA5" w14:textId="77777777" w:rsidR="00B47300" w:rsidRDefault="00414E9C">
      <w:pPr>
        <w:pStyle w:val="ac"/>
        <w:spacing w:before="280" w:after="280"/>
        <w:ind w:left="567" w:hanging="720"/>
        <w:jc w:val="both"/>
      </w:pPr>
      <w:r>
        <w:t>Goodwin GM, Stein DJ. Generalised Anxiety Disorder and Depression: Contemporary Treatment Approaches. Adv Ther. 2021 Sep;38(Suppl2):45-51. doi: 10.1007/s12325-021-01859-8. Epub 2021 Aug 21. PMID: 34417991; PMCID: PMC8437834.</w:t>
      </w:r>
    </w:p>
    <w:p w14:paraId="1AD8D5AC" w14:textId="77777777" w:rsidR="00B47300" w:rsidRDefault="00414E9C">
      <w:pPr>
        <w:pStyle w:val="ac"/>
        <w:spacing w:before="280" w:after="280"/>
        <w:ind w:left="567" w:hanging="720"/>
        <w:jc w:val="both"/>
      </w:pPr>
      <w:r>
        <w:t>Guy-Evans, O. (2022, March 30). Social Anxiety in Teens: Signs, Symptoms, and How to Help Simply Psychology. Www.simplypsychology.org. https://www.simplypsychology.org/social-anxiety-in-teens.html</w:t>
      </w:r>
    </w:p>
    <w:p w14:paraId="0B89F723" w14:textId="77777777" w:rsidR="00B47300" w:rsidRDefault="00414E9C">
      <w:pPr>
        <w:pStyle w:val="ac"/>
        <w:spacing w:before="280" w:after="280"/>
        <w:ind w:left="567" w:hanging="720"/>
        <w:jc w:val="both"/>
      </w:pPr>
      <w:r>
        <w:t>Haberlin, K.A., &amp; Atkin, D.J. (2022). Mobile gaming and Internet addiction: When is playing no longer just fun and games? Computers in Human Behavior</w:t>
      </w:r>
    </w:p>
    <w:p w14:paraId="46DAB06A" w14:textId="77777777" w:rsidR="00B47300" w:rsidRDefault="00414E9C">
      <w:pPr>
        <w:pStyle w:val="ac"/>
        <w:ind w:left="567" w:hanging="720"/>
        <w:jc w:val="both"/>
      </w:pPr>
      <w:r>
        <w:rPr>
          <w:color w:val="212121"/>
        </w:rPr>
        <w:t>Peyre, H., Barret, S., Landman, B., Blanco, C., Ellul, P., Limosin, F., Hoertel, N., &amp; Delorme, R. (2022). Age of onset of social anxiety disorder and psychiatric and mental health outcomes: Results from a nationally representative study. </w:t>
      </w:r>
      <w:r>
        <w:rPr>
          <w:i/>
          <w:color w:val="212121"/>
        </w:rPr>
        <w:t>Journal of affective disorders</w:t>
      </w:r>
      <w:r>
        <w:rPr>
          <w:color w:val="212121"/>
        </w:rPr>
        <w:t>, </w:t>
      </w:r>
      <w:r>
        <w:rPr>
          <w:i/>
          <w:color w:val="212121"/>
        </w:rPr>
        <w:t>309</w:t>
      </w:r>
      <w:r>
        <w:rPr>
          <w:color w:val="212121"/>
        </w:rPr>
        <w:t>, 252–258. https://doi.org/10.1016/j.jad.2022.04.149</w:t>
      </w:r>
      <w:r>
        <w:t xml:space="preserve">  </w:t>
      </w:r>
    </w:p>
    <w:p w14:paraId="4EAE9CE9"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Hunt A., (2024). Feeling anxious? Understanding the rise in anxiety disorders among young adults | News</w:t>
      </w:r>
      <w:r>
        <w:rPr>
          <w:rFonts w:ascii="Times New Roman" w:eastAsia="Times New Roman" w:hAnsi="Times New Roman" w:cs="Times New Roman"/>
          <w:color w:val="000000"/>
          <w:sz w:val="24"/>
          <w:szCs w:val="24"/>
        </w:rPr>
        <w:t xml:space="preserve">. (July 17). Llu.edu. </w:t>
      </w:r>
      <w:hyperlink r:id="rId13" w:history="1">
        <w:r>
          <w:rPr>
            <w:rStyle w:val="Hyperlink"/>
            <w:rFonts w:ascii="Times New Roman" w:eastAsia="Times New Roman" w:hAnsi="Times New Roman" w:cs="Times New Roman"/>
            <w:sz w:val="24"/>
            <w:szCs w:val="24"/>
          </w:rPr>
          <w:t>https://news.llu.edu/health-wellness/feeling-anxious-understanding-rise-anxiety-disorders-among-young-adults</w:t>
        </w:r>
      </w:hyperlink>
      <w:r>
        <w:rPr>
          <w:rFonts w:ascii="Times New Roman" w:eastAsia="Times New Roman" w:hAnsi="Times New Roman" w:cs="Times New Roman"/>
          <w:color w:val="000000"/>
          <w:sz w:val="24"/>
          <w:szCs w:val="24"/>
        </w:rPr>
        <w:t xml:space="preserve"> </w:t>
      </w:r>
    </w:p>
    <w:p w14:paraId="1BC67EA6" w14:textId="77777777" w:rsidR="00B47300" w:rsidRDefault="00414E9C">
      <w:pPr>
        <w:pStyle w:val="ac"/>
        <w:spacing w:before="280" w:after="280"/>
        <w:ind w:left="567" w:hanging="720"/>
        <w:jc w:val="both"/>
      </w:pPr>
      <w:r>
        <w:t xml:space="preserve">Hur J, DeYoung K. A, Islam S, Anderson A.S, Barstead M.G, Shackman A.J. (2020). Social context and the real-world consequences of social anxiety. Psychol Med.  </w:t>
      </w:r>
      <w:r>
        <w:lastRenderedPageBreak/>
        <w:t>Sep;50(12):1989-2000. doi: 10.1017/S0033291719002022. Epub 2019 Aug 19. PMID: 31423954; PMCID: PMC7028452.</w:t>
      </w:r>
    </w:p>
    <w:p w14:paraId="28F55E47" w14:textId="77777777" w:rsidR="00B47300" w:rsidRDefault="00414E9C">
      <w:pPr>
        <w:pStyle w:val="ac"/>
        <w:spacing w:before="280" w:after="280"/>
        <w:ind w:left="567" w:hanging="720"/>
        <w:jc w:val="both"/>
      </w:pPr>
      <w:r>
        <w:t>Igbokwe, C. C., Ejeh, V. J., Agbaje, O. S., Umoke, P. I. C., Iweama, C. N., &amp; Ozoemena, E. L. (2020). Prevalence of loneliness and association with depressive and anxiety symptoms among retirees in Northcentral Nigeria: a cross-sectional study. BMC geriatrics, 20(1), 153. https://doi.org/10.1186/s12877-020-01561-4</w:t>
      </w:r>
    </w:p>
    <w:p w14:paraId="682E9791" w14:textId="77777777" w:rsidR="00B47300" w:rsidRDefault="00414E9C">
      <w:pPr>
        <w:pStyle w:val="ac"/>
        <w:spacing w:before="280" w:after="280"/>
        <w:ind w:left="567" w:hanging="720"/>
        <w:jc w:val="both"/>
      </w:pPr>
      <w:r>
        <w:t>Jefferies, P., &amp; Ungar, M. (2020). Social anxiety in young people: A prevalence study in seven countries. PloS one, 15(9), e0239133. https://doi.org/10.1371/journal.pone.0239133</w:t>
      </w:r>
    </w:p>
    <w:p w14:paraId="5E798458" w14:textId="77777777" w:rsidR="00B47300" w:rsidRDefault="00414E9C">
      <w:pPr>
        <w:pStyle w:val="ac"/>
        <w:spacing w:before="280" w:after="280"/>
        <w:ind w:left="567" w:hanging="720"/>
        <w:jc w:val="both"/>
      </w:pPr>
      <w:r>
        <w:t xml:space="preserve">Leigh E, Clark DM. (2018). Understanding Social Anxiety Disorder in Adolescents and Improving Treatment Outcomes: Applying the Cognitive Model of Clark and Wells (1995). </w:t>
      </w:r>
      <w:r>
        <w:rPr>
          <w:i/>
          <w:iCs/>
        </w:rPr>
        <w:t>Clin Child Fam Psychol Rev.</w:t>
      </w:r>
      <w:r>
        <w:t xml:space="preserve"> 21(3):388-414. doi: 10.1007/s10567-018-0258-5. PMID: 29654442; PMCID: PMC6447508.</w:t>
      </w:r>
    </w:p>
    <w:p w14:paraId="76D708AB" w14:textId="77777777" w:rsidR="00B47300" w:rsidRDefault="00414E9C">
      <w:pPr>
        <w:pStyle w:val="ac"/>
        <w:spacing w:before="280" w:after="280"/>
        <w:ind w:left="567" w:hanging="720"/>
        <w:jc w:val="both"/>
      </w:pPr>
      <w:r>
        <w:t xml:space="preserve">Mattick, R. P., &amp; Clarke, J. C. (1998). Development and validation of measures of social phobia scrutiny fear and social interaction anxiety. </w:t>
      </w:r>
      <w:r>
        <w:rPr>
          <w:i/>
          <w:iCs/>
        </w:rPr>
        <w:t>Behaviour Research and Therapy</w:t>
      </w:r>
      <w:r>
        <w:t>, 36(4), 455–470. https://doi.org/10.1016/S0005-7967(97)10031-6</w:t>
      </w:r>
    </w:p>
    <w:p w14:paraId="32748D1F" w14:textId="77777777" w:rsidR="00B47300" w:rsidRDefault="00414E9C">
      <w:pPr>
        <w:pStyle w:val="ac"/>
        <w:spacing w:before="280" w:after="280"/>
        <w:ind w:left="567" w:hanging="720"/>
        <w:jc w:val="both"/>
      </w:pPr>
      <w:r>
        <w:t xml:space="preserve">Maya Asher, Anu Asnaani, Idan M. Aderka, (2017). Gender differences in social anxiety disorder: A review, </w:t>
      </w:r>
      <w:r>
        <w:rPr>
          <w:i/>
          <w:iCs/>
        </w:rPr>
        <w:t>Clinical Psychology Review</w:t>
      </w:r>
      <w:r>
        <w:t>, Volume 56, 2017, Pages 1-12, ISSN 0272-7358, https://doi.org/10.1016/j.cpr..05.004.</w:t>
      </w:r>
    </w:p>
    <w:p w14:paraId="3C56A19F" w14:textId="77777777" w:rsidR="00B47300" w:rsidRDefault="00414E9C">
      <w:pPr>
        <w:pStyle w:val="ac"/>
        <w:spacing w:before="280" w:after="280"/>
        <w:ind w:left="567" w:hanging="720"/>
        <w:jc w:val="both"/>
      </w:pPr>
      <w:r>
        <w:t>Mobile Games - Nigeria | Statista Market Forecast. (n.d.). Retrieved June 19, 2023, from https://www.statista.com/outlook/dmo/digital-media/video-games/mobile-games/nigeria</w:t>
      </w:r>
    </w:p>
    <w:p w14:paraId="628335EA" w14:textId="77777777" w:rsidR="00B47300" w:rsidRDefault="00414E9C">
      <w:pPr>
        <w:pStyle w:val="ac"/>
        <w:spacing w:before="280" w:after="280"/>
        <w:ind w:left="567" w:hanging="720"/>
        <w:jc w:val="both"/>
      </w:pPr>
      <w:r>
        <w:t>Newzoo (2021). Free 2021 global games market report. Retrieved from https://newzoo.com/.</w:t>
      </w:r>
    </w:p>
    <w:p w14:paraId="5EB83416" w14:textId="77777777" w:rsidR="00B47300" w:rsidRDefault="00414E9C">
      <w:pPr>
        <w:pStyle w:val="ac"/>
        <w:spacing w:before="280" w:after="280"/>
        <w:ind w:left="567" w:hanging="720"/>
        <w:jc w:val="both"/>
      </w:pPr>
      <w:r>
        <w:t>Onivehu, A. O. (2021). Prevalence and correlates of video gaming addiction among Nigerian in-school adolescents. Pedagogická orientace, 30(4), 425-459. https://doi.org/10.5817/PedOr2020-4-425</w:t>
      </w:r>
    </w:p>
    <w:p w14:paraId="5BB32747" w14:textId="77777777" w:rsidR="00B47300" w:rsidRDefault="00414E9C">
      <w:pPr>
        <w:pStyle w:val="ac"/>
        <w:spacing w:before="280" w:after="280"/>
        <w:ind w:left="567" w:hanging="720"/>
        <w:jc w:val="both"/>
      </w:pPr>
      <w:r>
        <w:t>Pontes, H. M., &amp; Griffiths, M. D. (2015). Measuring DSM-5 Internet gaming disorder: Development and validation of a short psychometric scale. Computers in Human Behavior, 45, 137–143. https://doi.org/10.1016/j.chb.2014.12.006</w:t>
      </w:r>
    </w:p>
    <w:p w14:paraId="02F6AF3B" w14:textId="77777777" w:rsidR="00B47300" w:rsidRDefault="00414E9C">
      <w:pPr>
        <w:pStyle w:val="ac"/>
        <w:spacing w:before="280" w:after="280"/>
        <w:ind w:left="567" w:hanging="720"/>
        <w:jc w:val="both"/>
      </w:pPr>
      <w:r>
        <w:t>PwC (2018). The Nigeria Gaming Industry. Retrieved from https://www.pwc.com/ng/en/assets/pdf/nigeria-gaming-industry.pdf</w:t>
      </w:r>
    </w:p>
    <w:p w14:paraId="4CAD1524" w14:textId="77777777" w:rsidR="00B47300" w:rsidRDefault="00414E9C">
      <w:pPr>
        <w:pStyle w:val="ac"/>
        <w:spacing w:before="280" w:after="280"/>
        <w:ind w:left="567" w:hanging="720"/>
        <w:jc w:val="both"/>
      </w:pPr>
      <w:r>
        <w:t>Raneri, P. C., Montag, C., Rozgonjuk, D., Satel, J., &amp; Pontes, H. M. (2022). The role of microtransactions in Internet Gaming Disorder and Gambling Disorder: A preregistered systematic review. Addictive Behaviors Reports, 15, 100415. https://doi.org/10.1016/j.abrep.2022.100415</w:t>
      </w:r>
    </w:p>
    <w:p w14:paraId="2710F474" w14:textId="77777777" w:rsidR="00B47300" w:rsidRDefault="00414E9C">
      <w:pPr>
        <w:pStyle w:val="ac"/>
        <w:spacing w:before="280" w:after="280"/>
        <w:ind w:left="567" w:hanging="720"/>
        <w:jc w:val="both"/>
      </w:pPr>
      <w:r>
        <w:lastRenderedPageBreak/>
        <w:t xml:space="preserve">Ruscio, A.M., Brown, T.A., Chiu, W.T., Sareen, J., Stein, M.B., &amp; Kessler, R.C. (2008). Social fears and social phobia in the USA: Results from the National Comorbidity Survey Replication. Psychological Medicine, 38, 15-28. Doi: 10.1017/S0033291707001699 </w:t>
      </w:r>
    </w:p>
    <w:p w14:paraId="507EBF9C" w14:textId="77777777" w:rsidR="00B47300" w:rsidRDefault="00414E9C">
      <w:pPr>
        <w:pStyle w:val="ac"/>
        <w:spacing w:before="280" w:after="280"/>
        <w:ind w:left="567" w:hanging="720"/>
        <w:jc w:val="both"/>
      </w:pPr>
      <w:r>
        <w:t>Spence, S. H., &amp; Rapee, R. M. (2016). The aetiology of social anxiety disorder: An evidence-based model. Behaviour Research and Therapy, 86, 50–66</w:t>
      </w:r>
    </w:p>
    <w:p w14:paraId="2989A9BA" w14:textId="77777777" w:rsidR="00B47300" w:rsidRDefault="00414E9C">
      <w:pPr>
        <w:pStyle w:val="ac"/>
        <w:spacing w:before="280" w:after="280"/>
        <w:ind w:left="567" w:hanging="720"/>
        <w:jc w:val="both"/>
      </w:pPr>
      <w:r>
        <w:t xml:space="preserve">Statista. (2023). Video Games - Africa | Statista Market forecast. https://www.statista.com/outlook/dmo/digital-media/video games/Africa </w:t>
      </w:r>
    </w:p>
    <w:p w14:paraId="2141072F" w14:textId="77777777" w:rsidR="00B47300" w:rsidRDefault="00414E9C">
      <w:pPr>
        <w:pStyle w:val="ac"/>
        <w:spacing w:before="280" w:after="280"/>
        <w:ind w:left="567" w:hanging="720"/>
        <w:jc w:val="both"/>
      </w:pPr>
      <w:r>
        <w:t>Stavropoulos, V., Gentile, D., &amp; Motti-Stefanidi, F. (2016). A multilevel longitudinal study of adolescent Internet addiction: the role of obsessive-compulsive symptoms and classroom openness to experience. European Journal of Developmental Psychology, 13(1), 99–114</w:t>
      </w:r>
    </w:p>
    <w:p w14:paraId="56BD5BE8" w14:textId="77777777" w:rsidR="00B47300" w:rsidRDefault="00414E9C">
      <w:pPr>
        <w:pStyle w:val="ac"/>
        <w:spacing w:before="280" w:after="280"/>
        <w:ind w:left="567" w:hanging="720"/>
        <w:jc w:val="both"/>
      </w:pPr>
      <w:r>
        <w:t>Stein, D. J., Lim, C. C. W., Roest, A. M., de Jonge, P., Aguilar-Gaxiola, S., Al-Hamzawi, A., … &amp; WHO World Mental Health Survey Collaborators. (2017). The cross-national epidemiology of social anxiety disorder: Data from the World Mental Health Survey Initiative.</w:t>
      </w:r>
    </w:p>
    <w:p w14:paraId="397BB836" w14:textId="77777777" w:rsidR="00B47300" w:rsidRDefault="00414E9C">
      <w:pPr>
        <w:pStyle w:val="ac"/>
        <w:spacing w:before="280" w:after="280"/>
        <w:ind w:left="567" w:hanging="720"/>
        <w:jc w:val="both"/>
      </w:pPr>
      <w:r>
        <w:t xml:space="preserve">Stein, D. J., Lim, C. C. W., Roest, A. M., de Jonge, P., Aguilar-Gaxiola, S., Al-Hamzawi, A., … Williams, D. R. (2017). The cross-national epidemiology of social anxiety disorder: Data from the World Mental Health Survey Initiative. BMC Medicine, 15(1), 1–21. </w:t>
      </w:r>
    </w:p>
    <w:p w14:paraId="5A56BCCB"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Strahan, E. J., Wilson, A. E., Cressman, K. E., &amp; Buote, V. M. (2006). Comparing to perfection: How cultural norms for appearance affect social comparisons and self-image. </w:t>
      </w:r>
      <w:r>
        <w:rPr>
          <w:rFonts w:ascii="Times New Roman" w:eastAsia="Times New Roman" w:hAnsi="Times New Roman" w:cs="Times New Roman"/>
          <w:i/>
          <w:iCs/>
          <w:color w:val="000000"/>
          <w:sz w:val="24"/>
          <w:szCs w:val="24"/>
        </w:rPr>
        <w:t>Body Image</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z w:val="24"/>
          <w:szCs w:val="24"/>
        </w:rPr>
        <w:t>(3), 211–227.</w:t>
      </w:r>
    </w:p>
    <w:p w14:paraId="21833338" w14:textId="59780F27" w:rsidR="00B47300" w:rsidRDefault="00414E9C" w:rsidP="007B4F9B">
      <w:pPr>
        <w:pStyle w:val="ac"/>
        <w:spacing w:before="280" w:after="280"/>
        <w:ind w:left="567" w:hanging="720"/>
        <w:jc w:val="both"/>
      </w:pPr>
      <w:r>
        <w:rPr>
          <w:color w:val="1B1B1B"/>
          <w:shd w:val="clear" w:color="auto" w:fill="FFFFFF"/>
        </w:rPr>
        <w:t>Wang, J. L., Sheng, J. R., &amp; Wang, H. Z. (2019). The Association Between Mobile Game Addiction and Depression, Social Anxiety, and Loneliness. </w:t>
      </w:r>
      <w:r>
        <w:rPr>
          <w:i/>
          <w:iCs/>
          <w:color w:val="1B1B1B"/>
          <w:shd w:val="clear" w:color="auto" w:fill="FFFFFF"/>
        </w:rPr>
        <w:t>Frontiers in public health</w:t>
      </w:r>
      <w:r>
        <w:rPr>
          <w:color w:val="1B1B1B"/>
          <w:shd w:val="clear" w:color="auto" w:fill="FFFFFF"/>
        </w:rPr>
        <w:t>, </w:t>
      </w:r>
      <w:r>
        <w:rPr>
          <w:i/>
          <w:iCs/>
          <w:color w:val="1B1B1B"/>
          <w:shd w:val="clear" w:color="auto" w:fill="FFFFFF"/>
        </w:rPr>
        <w:t>7</w:t>
      </w:r>
      <w:r>
        <w:rPr>
          <w:color w:val="1B1B1B"/>
          <w:shd w:val="clear" w:color="auto" w:fill="FFFFFF"/>
        </w:rPr>
        <w:t xml:space="preserve">, 247. </w:t>
      </w:r>
      <w:hyperlink r:id="rId14" w:history="1">
        <w:r>
          <w:rPr>
            <w:rStyle w:val="Hyperlink"/>
            <w:shd w:val="clear" w:color="auto" w:fill="FFFFFF"/>
          </w:rPr>
          <w:t>https://doi.org/10.3389/fpubh.2019.00247</w:t>
        </w:r>
      </w:hyperlink>
    </w:p>
    <w:p w14:paraId="4150A09E" w14:textId="77777777" w:rsidR="00B47300" w:rsidRDefault="00414E9C">
      <w:pPr>
        <w:pStyle w:val="ac"/>
        <w:spacing w:beforeAutospacing="0" w:afterAutospacing="0"/>
        <w:ind w:left="567" w:hanging="720"/>
        <w:jc w:val="both"/>
      </w:pPr>
      <w:r>
        <w:t>Wang, L., Chen, B., Hwang, G., Guan, J., &amp; Wang, Y. (2022). Effects of digital game-based STEM education on students‟ learning achievement: a meta-analysis. International Journal of STEM Education, 9(1). https://doi.org/10.1186/s40594-022-00344-0.</w:t>
      </w:r>
    </w:p>
    <w:p w14:paraId="7560A6FF" w14:textId="0617AE99" w:rsidR="00B47300" w:rsidRDefault="00414E9C" w:rsidP="007B4F9B">
      <w:pPr>
        <w:pStyle w:val="ac"/>
        <w:spacing w:before="280" w:after="280"/>
        <w:ind w:left="567" w:hanging="720"/>
        <w:jc w:val="both"/>
      </w:pPr>
      <w:r>
        <w:t xml:space="preserve">Zentner, K. E., Lee, H., Dueck, B. S., &amp; Masuda, T. (2022, </w:t>
      </w:r>
      <w:commentRangeStart w:id="37"/>
      <w:r>
        <w:t>May 28</w:t>
      </w:r>
      <w:commentRangeEnd w:id="37"/>
      <w:r w:rsidR="00911808">
        <w:rPr>
          <w:rStyle w:val="af2"/>
          <w:rFonts w:ascii="Arial" w:eastAsia="Arial" w:hAnsi="Arial" w:cs="Arial"/>
        </w:rPr>
        <w:commentReference w:id="37"/>
      </w:r>
      <w:r>
        <w:t>). Cultural and gender differences in social anxiety: The mediating role of self-construals and gender role identification - current psychology. SpringerLink. https://link.springer.com/article/10.1007/s12144-022-03116-9</w:t>
      </w:r>
    </w:p>
    <w:sectPr w:rsidR="00B4730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0" w:gutter="0"/>
      <w:pgNumType w:start="1"/>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A" w:date="2025-04-09T06:48:00Z" w:initials="A">
    <w:p w14:paraId="55FEFD1A" w14:textId="6CCE6A31" w:rsidR="007875F0" w:rsidRDefault="007875F0">
      <w:pPr>
        <w:pStyle w:val="a6"/>
      </w:pPr>
      <w:r>
        <w:rPr>
          <w:rStyle w:val="af2"/>
        </w:rPr>
        <w:annotationRef/>
      </w:r>
      <w:r>
        <w:t>Mention the name of the university.</w:t>
      </w:r>
    </w:p>
  </w:comment>
  <w:comment w:id="1" w:author="AA" w:date="2025-04-09T06:51:00Z" w:initials="A">
    <w:p w14:paraId="45CCC014" w14:textId="1DA8004C" w:rsidR="007875F0" w:rsidRDefault="007875F0">
      <w:pPr>
        <w:pStyle w:val="a6"/>
      </w:pPr>
      <w:r>
        <w:rPr>
          <w:rStyle w:val="af2"/>
        </w:rPr>
        <w:annotationRef/>
      </w:r>
      <w:r>
        <w:t>Use past simple.</w:t>
      </w:r>
    </w:p>
  </w:comment>
  <w:comment w:id="2" w:author="AA" w:date="2025-04-09T06:52:00Z" w:initials="A">
    <w:p w14:paraId="5A40251D" w14:textId="6B78BEBB" w:rsidR="007248A0" w:rsidRDefault="007248A0">
      <w:pPr>
        <w:pStyle w:val="a6"/>
      </w:pPr>
      <w:r>
        <w:rPr>
          <w:rStyle w:val="af2"/>
        </w:rPr>
        <w:annotationRef/>
      </w:r>
      <w:r>
        <w:t xml:space="preserve">Cross out </w:t>
      </w:r>
      <w:r w:rsidR="00E266B8">
        <w:t>full stop</w:t>
      </w:r>
    </w:p>
  </w:comment>
  <w:comment w:id="3" w:author="AA" w:date="2025-04-09T07:06:00Z" w:initials="A">
    <w:p w14:paraId="45FE569B" w14:textId="57E20D2F" w:rsidR="00E121DA" w:rsidRDefault="00E121DA">
      <w:pPr>
        <w:pStyle w:val="a6"/>
      </w:pPr>
      <w:r>
        <w:rPr>
          <w:rStyle w:val="af2"/>
        </w:rPr>
        <w:annotationRef/>
      </w:r>
      <w:r>
        <w:t xml:space="preserve">There should be a section for the Previous </w:t>
      </w:r>
      <w:r w:rsidR="00E266B8">
        <w:t>Studies</w:t>
      </w:r>
      <w:r>
        <w:t>.</w:t>
      </w:r>
    </w:p>
  </w:comment>
  <w:comment w:id="4" w:author="AA" w:date="2025-04-09T06:54:00Z" w:initials="A">
    <w:p w14:paraId="5B0F7859" w14:textId="56D314CD" w:rsidR="007248A0" w:rsidRDefault="007248A0">
      <w:pPr>
        <w:pStyle w:val="a6"/>
      </w:pPr>
      <w:r>
        <w:rPr>
          <w:rStyle w:val="af2"/>
        </w:rPr>
        <w:annotationRef/>
      </w:r>
      <w:r>
        <w:t>Reference/s?</w:t>
      </w:r>
    </w:p>
  </w:comment>
  <w:comment w:id="5" w:author="AA" w:date="2025-04-09T06:56:00Z" w:initials="A">
    <w:p w14:paraId="7AD1EA2A" w14:textId="5AB42856" w:rsidR="007248A0" w:rsidRDefault="007248A0">
      <w:pPr>
        <w:pStyle w:val="a6"/>
      </w:pPr>
      <w:r>
        <w:rPr>
          <w:rStyle w:val="af2"/>
        </w:rPr>
        <w:annotationRef/>
      </w:r>
      <w:r>
        <w:t>Write (ibid) instead.</w:t>
      </w:r>
    </w:p>
  </w:comment>
  <w:comment w:id="6" w:author="AA" w:date="2025-04-09T06:57:00Z" w:initials="A">
    <w:p w14:paraId="55A1C6DA" w14:textId="4699750E" w:rsidR="009D2627" w:rsidRDefault="009D2627">
      <w:pPr>
        <w:pStyle w:val="a6"/>
      </w:pPr>
      <w:r>
        <w:rPr>
          <w:rStyle w:val="af2"/>
        </w:rPr>
        <w:annotationRef/>
      </w:r>
      <w:r>
        <w:t>Begin a new sentence. (It is chronic…)</w:t>
      </w:r>
    </w:p>
  </w:comment>
  <w:comment w:id="7" w:author="AA" w:date="2025-04-09T07:01:00Z" w:initials="A">
    <w:p w14:paraId="082C7667" w14:textId="4A9953F9" w:rsidR="009D2627" w:rsidRDefault="009D2627">
      <w:pPr>
        <w:pStyle w:val="a6"/>
      </w:pPr>
      <w:r>
        <w:rPr>
          <w:rStyle w:val="af2"/>
        </w:rPr>
        <w:annotationRef/>
      </w:r>
      <w:r>
        <w:t>This needs documentation.</w:t>
      </w:r>
    </w:p>
  </w:comment>
  <w:comment w:id="8" w:author="AA" w:date="2025-04-09T07:05:00Z" w:initials="A">
    <w:p w14:paraId="3EE97BBA" w14:textId="59E149BD" w:rsidR="00E121DA" w:rsidRDefault="00E121DA">
      <w:pPr>
        <w:pStyle w:val="a6"/>
      </w:pPr>
      <w:r>
        <w:rPr>
          <w:rStyle w:val="af2"/>
        </w:rPr>
        <w:annotationRef/>
      </w:r>
      <w:r>
        <w:t>I</w:t>
      </w:r>
      <w:r w:rsidR="007412A3">
        <w:t>s</w:t>
      </w:r>
      <w:r>
        <w:t xml:space="preserve"> there a specific timing for this survey?</w:t>
      </w:r>
    </w:p>
  </w:comment>
  <w:comment w:id="9" w:author="AA" w:date="2025-04-09T07:12:00Z" w:initials="A">
    <w:p w14:paraId="101F2D99" w14:textId="302E8A53" w:rsidR="007412A3" w:rsidRDefault="007412A3">
      <w:pPr>
        <w:pStyle w:val="a6"/>
      </w:pPr>
      <w:r>
        <w:rPr>
          <w:rStyle w:val="af2"/>
        </w:rPr>
        <w:annotationRef/>
      </w:r>
      <w:r>
        <w:t>Use past simple.</w:t>
      </w:r>
    </w:p>
  </w:comment>
  <w:comment w:id="10" w:author="AA" w:date="2025-04-09T07:16:00Z" w:initials="A">
    <w:p w14:paraId="4A41B197" w14:textId="2F82B2BF" w:rsidR="007412A3" w:rsidRDefault="007412A3" w:rsidP="007412A3">
      <w:pPr>
        <w:pStyle w:val="a6"/>
      </w:pPr>
      <w:r>
        <w:rPr>
          <w:rStyle w:val="af2"/>
        </w:rPr>
        <w:annotationRef/>
      </w:r>
      <w:r>
        <w:rPr>
          <w:rStyle w:val="af2"/>
        </w:rPr>
        <w:annotationRef/>
      </w:r>
      <w:r>
        <w:t>Better to document.</w:t>
      </w:r>
    </w:p>
  </w:comment>
  <w:comment w:id="11" w:author="AA" w:date="2025-04-09T07:19:00Z" w:initials="A">
    <w:p w14:paraId="7BB3130C" w14:textId="480B5F6A" w:rsidR="00E266B8" w:rsidRDefault="00E266B8" w:rsidP="00E266B8">
      <w:pPr>
        <w:pStyle w:val="a6"/>
      </w:pPr>
      <w:r>
        <w:rPr>
          <w:rStyle w:val="af2"/>
        </w:rPr>
        <w:annotationRef/>
      </w:r>
      <w:r>
        <w:rPr>
          <w:rStyle w:val="af2"/>
        </w:rPr>
        <w:annotationRef/>
      </w:r>
      <w:r>
        <w:t>Write (ibid) instead.</w:t>
      </w:r>
    </w:p>
  </w:comment>
  <w:comment w:id="12" w:author="AA" w:date="2025-04-09T07:21:00Z" w:initials="A">
    <w:p w14:paraId="77583E4B" w14:textId="1746B3E0" w:rsidR="00E266B8" w:rsidRDefault="00E266B8">
      <w:pPr>
        <w:pStyle w:val="a6"/>
      </w:pPr>
      <w:r>
        <w:rPr>
          <w:rStyle w:val="af2"/>
        </w:rPr>
        <w:annotationRef/>
      </w:r>
      <w:r>
        <w:t xml:space="preserve">Not appropriate. </w:t>
      </w:r>
    </w:p>
  </w:comment>
  <w:comment w:id="13" w:author="AA" w:date="2025-04-09T07:23:00Z" w:initials="A">
    <w:p w14:paraId="71EF14AF" w14:textId="184FC98A" w:rsidR="00CE420F" w:rsidRDefault="00CE420F">
      <w:pPr>
        <w:pStyle w:val="a6"/>
      </w:pPr>
      <w:r>
        <w:rPr>
          <w:rStyle w:val="af2"/>
        </w:rPr>
        <w:annotationRef/>
      </w:r>
      <w:r>
        <w:t>Stands for?</w:t>
      </w:r>
    </w:p>
  </w:comment>
  <w:comment w:id="14" w:author="AA" w:date="2025-04-09T07:24:00Z" w:initials="A">
    <w:p w14:paraId="49BE8028" w14:textId="128CC1F2" w:rsidR="005B51B2" w:rsidRDefault="005B51B2">
      <w:pPr>
        <w:pStyle w:val="a6"/>
      </w:pPr>
      <w:r>
        <w:rPr>
          <w:rStyle w:val="af2"/>
        </w:rPr>
        <w:annotationRef/>
      </w:r>
      <w:r>
        <w:t>You can write 'The study of….)</w:t>
      </w:r>
    </w:p>
  </w:comment>
  <w:comment w:id="15" w:author="AA" w:date="2025-04-09T07:27:00Z" w:initials="A">
    <w:p w14:paraId="1C98FB34" w14:textId="1CC54090" w:rsidR="00077527" w:rsidRDefault="00077527">
      <w:pPr>
        <w:pStyle w:val="a6"/>
      </w:pPr>
      <w:r>
        <w:rPr>
          <w:rStyle w:val="af2"/>
        </w:rPr>
        <w:annotationRef/>
      </w:r>
      <w:r>
        <w:t>Use 'and'</w:t>
      </w:r>
    </w:p>
  </w:comment>
  <w:comment w:id="16" w:author="AA" w:date="2025-04-09T07:27:00Z" w:initials="A">
    <w:p w14:paraId="564A83E4" w14:textId="5CEAEF42" w:rsidR="00077527" w:rsidRDefault="00077527">
      <w:pPr>
        <w:pStyle w:val="a6"/>
      </w:pPr>
      <w:r>
        <w:rPr>
          <w:rStyle w:val="af2"/>
        </w:rPr>
        <w:annotationRef/>
      </w:r>
      <w:r>
        <w:t>Do you mean 'social'?</w:t>
      </w:r>
    </w:p>
  </w:comment>
  <w:comment w:id="17" w:author="AA" w:date="2025-04-09T07:29:00Z" w:initials="A">
    <w:p w14:paraId="70D253C1" w14:textId="2EBAE071" w:rsidR="00077527" w:rsidRDefault="00077527" w:rsidP="00077527">
      <w:pPr>
        <w:pStyle w:val="a6"/>
      </w:pPr>
      <w:r>
        <w:rPr>
          <w:rStyle w:val="af2"/>
        </w:rPr>
        <w:annotationRef/>
      </w:r>
      <w:r>
        <w:t>Write (ibid) instead.</w:t>
      </w:r>
    </w:p>
  </w:comment>
  <w:comment w:id="18" w:author="AA" w:date="2025-04-09T07:29:00Z" w:initials="A">
    <w:p w14:paraId="52412179" w14:textId="48840F1F" w:rsidR="00077527" w:rsidRDefault="00077527" w:rsidP="00077527">
      <w:pPr>
        <w:pStyle w:val="a6"/>
      </w:pPr>
      <w:r>
        <w:rPr>
          <w:rStyle w:val="af2"/>
        </w:rPr>
        <w:annotationRef/>
      </w:r>
      <w:r>
        <w:t>Write (ibid) instead.</w:t>
      </w:r>
    </w:p>
  </w:comment>
  <w:comment w:id="19" w:author="AA" w:date="2025-04-09T07:30:00Z" w:initials="A">
    <w:p w14:paraId="0D44F0C1" w14:textId="47B52357" w:rsidR="00077527" w:rsidRDefault="00077527" w:rsidP="00077527">
      <w:pPr>
        <w:pStyle w:val="a6"/>
      </w:pPr>
      <w:r>
        <w:rPr>
          <w:rStyle w:val="af2"/>
        </w:rPr>
        <w:annotationRef/>
      </w:r>
      <w:r>
        <w:t>Write (ibid) instead.</w:t>
      </w:r>
    </w:p>
  </w:comment>
  <w:comment w:id="20" w:author="AA" w:date="2025-04-09T07:30:00Z" w:initials="A">
    <w:p w14:paraId="0B19A670" w14:textId="463349C0" w:rsidR="00077527" w:rsidRDefault="00077527" w:rsidP="00077527">
      <w:pPr>
        <w:pStyle w:val="a6"/>
      </w:pPr>
      <w:r>
        <w:rPr>
          <w:rStyle w:val="af2"/>
        </w:rPr>
        <w:annotationRef/>
      </w:r>
      <w:r>
        <w:t>Write (ibid) instead.</w:t>
      </w:r>
    </w:p>
  </w:comment>
  <w:comment w:id="21" w:author="AA" w:date="2025-04-09T07:33:00Z" w:initials="A">
    <w:p w14:paraId="03BC1722" w14:textId="69E24BC6" w:rsidR="005342EF" w:rsidRDefault="005342EF">
      <w:pPr>
        <w:pStyle w:val="a6"/>
      </w:pPr>
      <w:r>
        <w:rPr>
          <w:rStyle w:val="af2"/>
        </w:rPr>
        <w:annotationRef/>
      </w:r>
      <w:r>
        <w:t>Use past simple.</w:t>
      </w:r>
    </w:p>
  </w:comment>
  <w:comment w:id="22" w:author="AA" w:date="2025-04-09T07:35:00Z" w:initials="A">
    <w:p w14:paraId="385E87B6" w14:textId="7EA2D90B" w:rsidR="00376A57" w:rsidRDefault="00376A57">
      <w:pPr>
        <w:pStyle w:val="a6"/>
      </w:pPr>
      <w:r>
        <w:rPr>
          <w:rStyle w:val="af2"/>
        </w:rPr>
        <w:annotationRef/>
      </w:r>
      <w:r>
        <w:t>No need to write in italic.</w:t>
      </w:r>
    </w:p>
  </w:comment>
  <w:comment w:id="25" w:author="AA" w:date="2025-04-10T02:23:00Z" w:initials="A">
    <w:p w14:paraId="0305D6A5" w14:textId="6FCAD91C" w:rsidR="00423C99" w:rsidRDefault="00423C99">
      <w:pPr>
        <w:pStyle w:val="a6"/>
      </w:pPr>
      <w:r>
        <w:rPr>
          <w:rStyle w:val="af2"/>
        </w:rPr>
        <w:annotationRef/>
      </w:r>
      <w:r>
        <w:t>Use past simple</w:t>
      </w:r>
    </w:p>
  </w:comment>
  <w:comment w:id="26" w:author="AA" w:date="2025-04-10T02:28:00Z" w:initials="A">
    <w:p w14:paraId="15A89077" w14:textId="44C4C7DA" w:rsidR="003D1B2F" w:rsidRDefault="003D1B2F">
      <w:pPr>
        <w:pStyle w:val="a6"/>
      </w:pPr>
      <w:r>
        <w:rPr>
          <w:rStyle w:val="af2"/>
        </w:rPr>
        <w:annotationRef/>
      </w:r>
      <w:r>
        <w:t>Use 'the' instead</w:t>
      </w:r>
    </w:p>
  </w:comment>
  <w:comment w:id="27" w:author="AA" w:date="2025-04-10T02:29:00Z" w:initials="A">
    <w:p w14:paraId="180FBB1C" w14:textId="2922E27B" w:rsidR="003D1B2F" w:rsidRDefault="003D1B2F">
      <w:pPr>
        <w:pStyle w:val="a6"/>
      </w:pPr>
      <w:r>
        <w:rPr>
          <w:rStyle w:val="af2"/>
        </w:rPr>
        <w:annotationRef/>
      </w:r>
      <w:r>
        <w:t>Use past simple</w:t>
      </w:r>
    </w:p>
  </w:comment>
  <w:comment w:id="28" w:author="AA" w:date="2025-04-10T02:36:00Z" w:initials="A">
    <w:p w14:paraId="0B8B5F97" w14:textId="2C259DE7" w:rsidR="006C22D5" w:rsidRDefault="006C22D5">
      <w:pPr>
        <w:pStyle w:val="a6"/>
      </w:pPr>
      <w:r>
        <w:rPr>
          <w:rStyle w:val="af2"/>
        </w:rPr>
        <w:annotationRef/>
      </w:r>
      <w:r>
        <w:t xml:space="preserve">Do these studies relate to your discussion? Compare </w:t>
      </w:r>
      <w:r w:rsidR="00764AC1">
        <w:t xml:space="preserve">or contrast to your findings. </w:t>
      </w:r>
    </w:p>
  </w:comment>
  <w:comment w:id="29" w:author="AA" w:date="2025-04-10T02:40:00Z" w:initials="A">
    <w:p w14:paraId="3A276B41" w14:textId="7E22475B" w:rsidR="00764AC1" w:rsidRDefault="00764AC1">
      <w:pPr>
        <w:pStyle w:val="a6"/>
      </w:pPr>
      <w:r>
        <w:rPr>
          <w:rStyle w:val="af2"/>
        </w:rPr>
        <w:annotationRef/>
      </w:r>
      <w:r>
        <w:t>Use lower case</w:t>
      </w:r>
    </w:p>
  </w:comment>
  <w:comment w:id="30" w:author="AA" w:date="2025-04-10T02:41:00Z" w:initials="A">
    <w:p w14:paraId="041875AF" w14:textId="68F49E6A" w:rsidR="00764AC1" w:rsidRDefault="00764AC1">
      <w:pPr>
        <w:pStyle w:val="a6"/>
      </w:pPr>
      <w:r>
        <w:rPr>
          <w:rStyle w:val="af2"/>
        </w:rPr>
        <w:annotationRef/>
      </w:r>
      <w:r>
        <w:t>Use 'The researchers' instead</w:t>
      </w:r>
    </w:p>
  </w:comment>
  <w:comment w:id="31" w:author="AA" w:date="2025-04-10T02:41:00Z" w:initials="A">
    <w:p w14:paraId="7A2B447B" w14:textId="03F4F92C" w:rsidR="00764AC1" w:rsidRDefault="00764AC1" w:rsidP="00764AC1">
      <w:pPr>
        <w:pStyle w:val="a6"/>
      </w:pPr>
      <w:r>
        <w:rPr>
          <w:rStyle w:val="af2"/>
        </w:rPr>
        <w:annotationRef/>
      </w:r>
      <w:r>
        <w:t>Use lower case</w:t>
      </w:r>
    </w:p>
  </w:comment>
  <w:comment w:id="32" w:author="AA" w:date="2025-04-09T07:47:00Z" w:initials="A">
    <w:p w14:paraId="1D2035BE" w14:textId="09C2E0C4" w:rsidR="000A5466" w:rsidRDefault="000A5466">
      <w:pPr>
        <w:pStyle w:val="a6"/>
      </w:pPr>
      <w:r>
        <w:rPr>
          <w:rStyle w:val="af2"/>
        </w:rPr>
        <w:annotationRef/>
      </w:r>
      <w:r w:rsidR="009E61AD">
        <w:t>Rev</w:t>
      </w:r>
      <w:r>
        <w:t>isit APA, 7</w:t>
      </w:r>
      <w:r w:rsidRPr="000A5466">
        <w:rPr>
          <w:vertAlign w:val="superscript"/>
        </w:rPr>
        <w:t>th</w:t>
      </w:r>
      <w:r>
        <w:t xml:space="preserve"> edition, </w:t>
      </w:r>
      <w:r w:rsidR="009E61AD">
        <w:t>for proper documentation.</w:t>
      </w:r>
      <w:r w:rsidR="002F745E">
        <w:t xml:space="preserve"> </w:t>
      </w:r>
      <w:r w:rsidR="009E61AD">
        <w:t xml:space="preserve"> </w:t>
      </w:r>
    </w:p>
  </w:comment>
  <w:comment w:id="33" w:author="AA" w:date="2025-04-09T07:45:00Z" w:initials="A">
    <w:p w14:paraId="2C998608" w14:textId="6B159923" w:rsidR="00504C2F" w:rsidRDefault="00504C2F" w:rsidP="00504C2F">
      <w:pPr>
        <w:pStyle w:val="a6"/>
      </w:pPr>
      <w:r>
        <w:rPr>
          <w:rStyle w:val="af2"/>
        </w:rPr>
        <w:annotationRef/>
      </w:r>
      <w:r>
        <w:t>Here written in upper case form.</w:t>
      </w:r>
    </w:p>
  </w:comment>
  <w:comment w:id="34" w:author="AA" w:date="2025-04-09T07:45:00Z" w:initials="A">
    <w:p w14:paraId="36A0C7EE" w14:textId="71C2D8FF" w:rsidR="00504C2F" w:rsidRDefault="00504C2F">
      <w:pPr>
        <w:pStyle w:val="a6"/>
      </w:pPr>
      <w:r>
        <w:rPr>
          <w:rStyle w:val="af2"/>
        </w:rPr>
        <w:annotationRef/>
      </w:r>
      <w:r>
        <w:t>Italicize.</w:t>
      </w:r>
      <w:r w:rsidR="002F745E">
        <w:t xml:space="preserve"> Apply to all references of journals</w:t>
      </w:r>
      <w:r>
        <w:t xml:space="preserve"> </w:t>
      </w:r>
    </w:p>
  </w:comment>
  <w:comment w:id="35" w:author="AA" w:date="2025-04-09T07:43:00Z" w:initials="A">
    <w:p w14:paraId="477FED75" w14:textId="31F945C7" w:rsidR="00504C2F" w:rsidRDefault="00504C2F" w:rsidP="00504C2F">
      <w:pPr>
        <w:pStyle w:val="a6"/>
      </w:pPr>
      <w:r>
        <w:rPr>
          <w:rStyle w:val="af2"/>
        </w:rPr>
        <w:annotationRef/>
      </w:r>
      <w:r>
        <w:rPr>
          <w:rStyle w:val="af2"/>
        </w:rPr>
        <w:annotationRef/>
      </w:r>
      <w:r>
        <w:t xml:space="preserve">Here written in lower case form. Have one unified form. </w:t>
      </w:r>
    </w:p>
  </w:comment>
  <w:comment w:id="36" w:author="AA" w:date="2025-04-09T07:46:00Z" w:initials="A">
    <w:p w14:paraId="27FC781F" w14:textId="77777777" w:rsidR="00504C2F" w:rsidRDefault="00504C2F" w:rsidP="00504C2F">
      <w:pPr>
        <w:pStyle w:val="a6"/>
      </w:pPr>
      <w:r>
        <w:rPr>
          <w:rStyle w:val="af2"/>
        </w:rPr>
        <w:annotationRef/>
      </w:r>
      <w:r>
        <w:rPr>
          <w:rStyle w:val="af2"/>
        </w:rPr>
        <w:annotationRef/>
      </w:r>
      <w:r>
        <w:t xml:space="preserve">Italicize. </w:t>
      </w:r>
    </w:p>
    <w:p w14:paraId="2559C71E" w14:textId="191CDEBE" w:rsidR="00504C2F" w:rsidRDefault="00504C2F">
      <w:pPr>
        <w:pStyle w:val="a6"/>
      </w:pPr>
      <w:r>
        <w:t xml:space="preserve">Please, generalise. </w:t>
      </w:r>
    </w:p>
  </w:comment>
  <w:comment w:id="37" w:author="AA" w:date="2025-04-09T07:50:00Z" w:initials="A">
    <w:p w14:paraId="1BA368F6" w14:textId="4A2CDA2D" w:rsidR="00911808" w:rsidRDefault="00911808">
      <w:pPr>
        <w:pStyle w:val="a6"/>
      </w:pPr>
      <w:r>
        <w:rPr>
          <w:rStyle w:val="af2"/>
        </w:rPr>
        <w:annotationRef/>
      </w:r>
      <w:r>
        <w:t xml:space="preserve">Remove. </w:t>
      </w:r>
      <w:r w:rsidR="002F745E">
        <w:br/>
        <w:t>References need to be fixed according to APA style 7</w:t>
      </w:r>
      <w:r w:rsidR="002F745E" w:rsidRPr="002F745E">
        <w:rPr>
          <w:vertAlign w:val="superscript"/>
        </w:rPr>
        <w:t>th</w:t>
      </w:r>
      <w:r w:rsidR="002F745E">
        <w:t xml:space="preserve"> edition.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EFD1A" w15:done="0"/>
  <w15:commentEx w15:paraId="45CCC014" w15:done="0"/>
  <w15:commentEx w15:paraId="5A40251D" w15:done="0"/>
  <w15:commentEx w15:paraId="45FE569B" w15:done="0"/>
  <w15:commentEx w15:paraId="5B0F7859" w15:done="0"/>
  <w15:commentEx w15:paraId="7AD1EA2A" w15:done="0"/>
  <w15:commentEx w15:paraId="55A1C6DA" w15:done="0"/>
  <w15:commentEx w15:paraId="082C7667" w15:done="0"/>
  <w15:commentEx w15:paraId="3EE97BBA" w15:done="0"/>
  <w15:commentEx w15:paraId="101F2D99" w15:done="0"/>
  <w15:commentEx w15:paraId="4A41B197" w15:done="0"/>
  <w15:commentEx w15:paraId="7BB3130C" w15:done="0"/>
  <w15:commentEx w15:paraId="77583E4B" w15:done="0"/>
  <w15:commentEx w15:paraId="71EF14AF" w15:done="0"/>
  <w15:commentEx w15:paraId="49BE8028" w15:done="0"/>
  <w15:commentEx w15:paraId="1C98FB34" w15:done="0"/>
  <w15:commentEx w15:paraId="564A83E4" w15:done="0"/>
  <w15:commentEx w15:paraId="70D253C1" w15:done="0"/>
  <w15:commentEx w15:paraId="52412179" w15:done="0"/>
  <w15:commentEx w15:paraId="0D44F0C1" w15:done="0"/>
  <w15:commentEx w15:paraId="0B19A670" w15:done="0"/>
  <w15:commentEx w15:paraId="03BC1722" w15:done="0"/>
  <w15:commentEx w15:paraId="385E87B6" w15:done="0"/>
  <w15:commentEx w15:paraId="0305D6A5" w15:done="0"/>
  <w15:commentEx w15:paraId="15A89077" w15:done="0"/>
  <w15:commentEx w15:paraId="180FBB1C" w15:done="0"/>
  <w15:commentEx w15:paraId="0B8B5F97" w15:done="0"/>
  <w15:commentEx w15:paraId="3A276B41" w15:done="0"/>
  <w15:commentEx w15:paraId="041875AF" w15:done="0"/>
  <w15:commentEx w15:paraId="7A2B447B" w15:done="0"/>
  <w15:commentEx w15:paraId="1D2035BE" w15:done="0"/>
  <w15:commentEx w15:paraId="2C998608" w15:done="0"/>
  <w15:commentEx w15:paraId="36A0C7EE" w15:done="0"/>
  <w15:commentEx w15:paraId="477FED75" w15:done="0"/>
  <w15:commentEx w15:paraId="2559C71E" w15:done="0"/>
  <w15:commentEx w15:paraId="1BA368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A096B3" w16cex:dateUtc="2025-04-09T03:48:00Z"/>
  <w16cex:commentExtensible w16cex:durableId="2BA09769" w16cex:dateUtc="2025-04-09T03:51:00Z"/>
  <w16cex:commentExtensible w16cex:durableId="2BA097BB" w16cex:dateUtc="2025-04-09T03:52:00Z"/>
  <w16cex:commentExtensible w16cex:durableId="2BA09AE3" w16cex:dateUtc="2025-04-09T04:06:00Z"/>
  <w16cex:commentExtensible w16cex:durableId="2BA09809" w16cex:dateUtc="2025-04-09T03:54:00Z"/>
  <w16cex:commentExtensible w16cex:durableId="2BA0989A" w16cex:dateUtc="2025-04-09T03:56:00Z"/>
  <w16cex:commentExtensible w16cex:durableId="2BA098E9" w16cex:dateUtc="2025-04-09T03:57:00Z"/>
  <w16cex:commentExtensible w16cex:durableId="2BA099AC" w16cex:dateUtc="2025-04-09T04:01:00Z"/>
  <w16cex:commentExtensible w16cex:durableId="2BA09AA3" w16cex:dateUtc="2025-04-09T04:05:00Z"/>
  <w16cex:commentExtensible w16cex:durableId="2BA09C76" w16cex:dateUtc="2025-04-09T04:12:00Z"/>
  <w16cex:commentExtensible w16cex:durableId="2BA09D39" w16cex:dateUtc="2025-04-09T04:16:00Z"/>
  <w16cex:commentExtensible w16cex:durableId="2BA09E14" w16cex:dateUtc="2025-04-09T04:19:00Z"/>
  <w16cex:commentExtensible w16cex:durableId="2BA09E62" w16cex:dateUtc="2025-04-09T04:21:00Z"/>
  <w16cex:commentExtensible w16cex:durableId="2BA09EE1" w16cex:dateUtc="2025-04-09T04:23:00Z"/>
  <w16cex:commentExtensible w16cex:durableId="2BA09F3D" w16cex:dateUtc="2025-04-09T04:24:00Z"/>
  <w16cex:commentExtensible w16cex:durableId="2BA09FCF" w16cex:dateUtc="2025-04-09T04:27:00Z"/>
  <w16cex:commentExtensible w16cex:durableId="2BA09FEC" w16cex:dateUtc="2025-04-09T04:27:00Z"/>
  <w16cex:commentExtensible w16cex:durableId="2BA0A03C" w16cex:dateUtc="2025-04-09T04:29:00Z"/>
  <w16cex:commentExtensible w16cex:durableId="2BA0A055" w16cex:dateUtc="2025-04-09T04:29:00Z"/>
  <w16cex:commentExtensible w16cex:durableId="2BA0A07B" w16cex:dateUtc="2025-04-09T04:30:00Z"/>
  <w16cex:commentExtensible w16cex:durableId="2BA0A095" w16cex:dateUtc="2025-04-09T04:30:00Z"/>
  <w16cex:commentExtensible w16cex:durableId="2BA0A154" w16cex:dateUtc="2025-04-09T04:33:00Z"/>
  <w16cex:commentExtensible w16cex:durableId="2BA0A1B8" w16cex:dateUtc="2025-04-09T04:35:00Z"/>
  <w16cex:commentExtensible w16cex:durableId="2BA1AA2C" w16cex:dateUtc="2025-04-09T23:23:00Z"/>
  <w16cex:commentExtensible w16cex:durableId="2BA1AB52" w16cex:dateUtc="2025-04-09T23:28:00Z"/>
  <w16cex:commentExtensible w16cex:durableId="2BA1AB71" w16cex:dateUtc="2025-04-09T23:29:00Z"/>
  <w16cex:commentExtensible w16cex:durableId="2BA1AD3A" w16cex:dateUtc="2025-04-09T23:36:00Z"/>
  <w16cex:commentExtensible w16cex:durableId="2BA1AE1F" w16cex:dateUtc="2025-04-09T23:40:00Z"/>
  <w16cex:commentExtensible w16cex:durableId="2BA1AE3F" w16cex:dateUtc="2025-04-09T23:41:00Z"/>
  <w16cex:commentExtensible w16cex:durableId="2BA1AE6E" w16cex:dateUtc="2025-04-09T23:41:00Z"/>
  <w16cex:commentExtensible w16cex:durableId="2BA0A48A" w16cex:dateUtc="2025-04-09T04:47:00Z"/>
  <w16cex:commentExtensible w16cex:durableId="2BA0A40C" w16cex:dateUtc="2025-04-09T04:45:00Z"/>
  <w16cex:commentExtensible w16cex:durableId="2BA0A42A" w16cex:dateUtc="2025-04-09T04:45:00Z"/>
  <w16cex:commentExtensible w16cex:durableId="2BA0A3BD" w16cex:dateUtc="2025-04-09T04:43:00Z"/>
  <w16cex:commentExtensible w16cex:durableId="2BA0A457" w16cex:dateUtc="2025-04-09T04:46:00Z"/>
  <w16cex:commentExtensible w16cex:durableId="2BA0A528" w16cex:dateUtc="2025-04-09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EFD1A" w16cid:durableId="2BA096B3"/>
  <w16cid:commentId w16cid:paraId="45CCC014" w16cid:durableId="2BA09769"/>
  <w16cid:commentId w16cid:paraId="5A40251D" w16cid:durableId="2BA097BB"/>
  <w16cid:commentId w16cid:paraId="45FE569B" w16cid:durableId="2BA09AE3"/>
  <w16cid:commentId w16cid:paraId="5B0F7859" w16cid:durableId="2BA09809"/>
  <w16cid:commentId w16cid:paraId="7AD1EA2A" w16cid:durableId="2BA0989A"/>
  <w16cid:commentId w16cid:paraId="55A1C6DA" w16cid:durableId="2BA098E9"/>
  <w16cid:commentId w16cid:paraId="082C7667" w16cid:durableId="2BA099AC"/>
  <w16cid:commentId w16cid:paraId="3EE97BBA" w16cid:durableId="2BA09AA3"/>
  <w16cid:commentId w16cid:paraId="101F2D99" w16cid:durableId="2BA09C76"/>
  <w16cid:commentId w16cid:paraId="4A41B197" w16cid:durableId="2BA09D39"/>
  <w16cid:commentId w16cid:paraId="7BB3130C" w16cid:durableId="2BA09E14"/>
  <w16cid:commentId w16cid:paraId="77583E4B" w16cid:durableId="2BA09E62"/>
  <w16cid:commentId w16cid:paraId="71EF14AF" w16cid:durableId="2BA09EE1"/>
  <w16cid:commentId w16cid:paraId="49BE8028" w16cid:durableId="2BA09F3D"/>
  <w16cid:commentId w16cid:paraId="1C98FB34" w16cid:durableId="2BA09FCF"/>
  <w16cid:commentId w16cid:paraId="564A83E4" w16cid:durableId="2BA09FEC"/>
  <w16cid:commentId w16cid:paraId="70D253C1" w16cid:durableId="2BA0A03C"/>
  <w16cid:commentId w16cid:paraId="52412179" w16cid:durableId="2BA0A055"/>
  <w16cid:commentId w16cid:paraId="0D44F0C1" w16cid:durableId="2BA0A07B"/>
  <w16cid:commentId w16cid:paraId="0B19A670" w16cid:durableId="2BA0A095"/>
  <w16cid:commentId w16cid:paraId="03BC1722" w16cid:durableId="2BA0A154"/>
  <w16cid:commentId w16cid:paraId="385E87B6" w16cid:durableId="2BA0A1B8"/>
  <w16cid:commentId w16cid:paraId="0305D6A5" w16cid:durableId="2BA1AA2C"/>
  <w16cid:commentId w16cid:paraId="15A89077" w16cid:durableId="2BA1AB52"/>
  <w16cid:commentId w16cid:paraId="180FBB1C" w16cid:durableId="2BA1AB71"/>
  <w16cid:commentId w16cid:paraId="0B8B5F97" w16cid:durableId="2BA1AD3A"/>
  <w16cid:commentId w16cid:paraId="3A276B41" w16cid:durableId="2BA1AE1F"/>
  <w16cid:commentId w16cid:paraId="041875AF" w16cid:durableId="2BA1AE3F"/>
  <w16cid:commentId w16cid:paraId="7A2B447B" w16cid:durableId="2BA1AE6E"/>
  <w16cid:commentId w16cid:paraId="1D2035BE" w16cid:durableId="2BA0A48A"/>
  <w16cid:commentId w16cid:paraId="2C998608" w16cid:durableId="2BA0A40C"/>
  <w16cid:commentId w16cid:paraId="36A0C7EE" w16cid:durableId="2BA0A42A"/>
  <w16cid:commentId w16cid:paraId="477FED75" w16cid:durableId="2BA0A3BD"/>
  <w16cid:commentId w16cid:paraId="2559C71E" w16cid:durableId="2BA0A457"/>
  <w16cid:commentId w16cid:paraId="1BA368F6" w16cid:durableId="2BA0A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CD0F8" w14:textId="77777777" w:rsidR="00684126" w:rsidRDefault="00684126">
      <w:pPr>
        <w:spacing w:line="240" w:lineRule="auto"/>
      </w:pPr>
      <w:r>
        <w:separator/>
      </w:r>
    </w:p>
  </w:endnote>
  <w:endnote w:type="continuationSeparator" w:id="0">
    <w:p w14:paraId="0048742E" w14:textId="77777777" w:rsidR="00684126" w:rsidRDefault="00684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B40C" w14:textId="77777777" w:rsidR="00043475" w:rsidRDefault="0004347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A373C" w14:textId="77777777" w:rsidR="00043475" w:rsidRDefault="0004347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C8A91" w14:textId="77777777" w:rsidR="00043475" w:rsidRDefault="000434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DD20F" w14:textId="77777777" w:rsidR="00684126" w:rsidRDefault="00684126">
      <w:r>
        <w:separator/>
      </w:r>
    </w:p>
  </w:footnote>
  <w:footnote w:type="continuationSeparator" w:id="0">
    <w:p w14:paraId="47ED0E0E" w14:textId="77777777" w:rsidR="00684126" w:rsidRDefault="0068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51B8A" w14:textId="71FEBB7F" w:rsidR="00043475" w:rsidRDefault="00684126">
    <w:pPr>
      <w:pStyle w:val="aa"/>
    </w:pPr>
    <w:r>
      <w:rPr>
        <w:noProof/>
      </w:rPr>
      <w:pict w14:anchorId="67D1A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F5896" w14:textId="026B188C" w:rsidR="00B47300" w:rsidRDefault="00684126">
    <w:r>
      <w:rPr>
        <w:noProof/>
      </w:rPr>
      <w:pict w14:anchorId="3795A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64F65240" w14:textId="77777777" w:rsidR="00B47300" w:rsidRDefault="00B473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B1602" w14:textId="3BB0C9DE" w:rsidR="00043475" w:rsidRDefault="00684126">
    <w:pPr>
      <w:pStyle w:val="aa"/>
    </w:pPr>
    <w:r>
      <w:rPr>
        <w:noProof/>
      </w:rPr>
      <w:pict w14:anchorId="623C3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A">
    <w15:presenceInfo w15:providerId="None" w15:userI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32F"/>
    <w:rsid w:val="00043475"/>
    <w:rsid w:val="00045EA3"/>
    <w:rsid w:val="00051C1A"/>
    <w:rsid w:val="00066E32"/>
    <w:rsid w:val="00077527"/>
    <w:rsid w:val="000A5466"/>
    <w:rsid w:val="000C1572"/>
    <w:rsid w:val="00107A05"/>
    <w:rsid w:val="001407E0"/>
    <w:rsid w:val="00146548"/>
    <w:rsid w:val="0017371E"/>
    <w:rsid w:val="00191AAA"/>
    <w:rsid w:val="001B18A4"/>
    <w:rsid w:val="001F128D"/>
    <w:rsid w:val="00220693"/>
    <w:rsid w:val="002638AE"/>
    <w:rsid w:val="002F745E"/>
    <w:rsid w:val="00356FB9"/>
    <w:rsid w:val="00376A57"/>
    <w:rsid w:val="003D1B2F"/>
    <w:rsid w:val="00414E9C"/>
    <w:rsid w:val="00423C99"/>
    <w:rsid w:val="0044459D"/>
    <w:rsid w:val="0045333C"/>
    <w:rsid w:val="00504C2F"/>
    <w:rsid w:val="005342EF"/>
    <w:rsid w:val="00540788"/>
    <w:rsid w:val="005B51B2"/>
    <w:rsid w:val="00616F05"/>
    <w:rsid w:val="00684126"/>
    <w:rsid w:val="006C22D5"/>
    <w:rsid w:val="007248A0"/>
    <w:rsid w:val="007412A3"/>
    <w:rsid w:val="00764AC1"/>
    <w:rsid w:val="00776BF6"/>
    <w:rsid w:val="007875F0"/>
    <w:rsid w:val="007B4F9B"/>
    <w:rsid w:val="0088082D"/>
    <w:rsid w:val="008A432F"/>
    <w:rsid w:val="008C15AC"/>
    <w:rsid w:val="00911808"/>
    <w:rsid w:val="00923FC2"/>
    <w:rsid w:val="0093761D"/>
    <w:rsid w:val="0095680B"/>
    <w:rsid w:val="00994072"/>
    <w:rsid w:val="009B2CB5"/>
    <w:rsid w:val="009B5838"/>
    <w:rsid w:val="009D2627"/>
    <w:rsid w:val="009D55A2"/>
    <w:rsid w:val="009E61AD"/>
    <w:rsid w:val="009E7C90"/>
    <w:rsid w:val="00A03821"/>
    <w:rsid w:val="00A27F4A"/>
    <w:rsid w:val="00A3007F"/>
    <w:rsid w:val="00A338B5"/>
    <w:rsid w:val="00A51821"/>
    <w:rsid w:val="00AA6A1F"/>
    <w:rsid w:val="00B22F44"/>
    <w:rsid w:val="00B47300"/>
    <w:rsid w:val="00B83B06"/>
    <w:rsid w:val="00BF69A8"/>
    <w:rsid w:val="00BF6D22"/>
    <w:rsid w:val="00CE420F"/>
    <w:rsid w:val="00D34914"/>
    <w:rsid w:val="00D36532"/>
    <w:rsid w:val="00D928A0"/>
    <w:rsid w:val="00DE181E"/>
    <w:rsid w:val="00E121DA"/>
    <w:rsid w:val="00E266B8"/>
    <w:rsid w:val="00F06403"/>
    <w:rsid w:val="00F442A4"/>
    <w:rsid w:val="00F972BB"/>
    <w:rsid w:val="00FA05C7"/>
    <w:rsid w:val="235278A0"/>
    <w:rsid w:val="37AA1E76"/>
    <w:rsid w:val="5A3F6EA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1493E"/>
  <w15:docId w15:val="{573168DB-96C8-4754-8EB0-8A32BEE7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eastAsia="Arial" w:hAnsi="Arial" w:cs="Arial"/>
      <w:sz w:val="22"/>
      <w:szCs w:val="22"/>
    </w:rPr>
  </w:style>
  <w:style w:type="paragraph" w:styleId="1">
    <w:name w:val="heading 1"/>
    <w:basedOn w:val="a"/>
    <w:next w:val="a"/>
    <w:link w:val="1Char"/>
    <w:uiPriority w:val="9"/>
    <w:qFormat/>
    <w:pPr>
      <w:keepNext/>
      <w:keepLines/>
      <w:spacing w:before="400" w:after="120"/>
      <w:outlineLvl w:val="0"/>
    </w:pPr>
    <w:rPr>
      <w:sz w:val="40"/>
      <w:szCs w:val="40"/>
    </w:rPr>
  </w:style>
  <w:style w:type="paragraph" w:styleId="2">
    <w:name w:val="heading 2"/>
    <w:basedOn w:val="a"/>
    <w:next w:val="a"/>
    <w:link w:val="2Char"/>
    <w:uiPriority w:val="9"/>
    <w:semiHidden/>
    <w:unhideWhenUsed/>
    <w:qFormat/>
    <w:pPr>
      <w:keepNext/>
      <w:keepLines/>
      <w:spacing w:before="360" w:after="120"/>
      <w:outlineLvl w:val="1"/>
    </w:pPr>
    <w:rPr>
      <w:sz w:val="32"/>
      <w:szCs w:val="32"/>
    </w:rPr>
  </w:style>
  <w:style w:type="paragraph" w:styleId="3">
    <w:name w:val="heading 3"/>
    <w:basedOn w:val="a"/>
    <w:next w:val="a"/>
    <w:link w:val="3Char"/>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Char"/>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Char"/>
    <w:uiPriority w:val="9"/>
    <w:semiHidden/>
    <w:unhideWhenUsed/>
    <w:qFormat/>
    <w:pPr>
      <w:keepNext/>
      <w:keepLines/>
      <w:spacing w:before="240" w:after="80"/>
      <w:outlineLvl w:val="4"/>
    </w:pPr>
    <w:rPr>
      <w:color w:val="666666"/>
    </w:rPr>
  </w:style>
  <w:style w:type="paragraph" w:styleId="6">
    <w:name w:val="heading 6"/>
    <w:basedOn w:val="a"/>
    <w:next w:val="a"/>
    <w:link w:val="6Char"/>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rFonts w:ascii="Segoe UI" w:hAnsi="Segoe UI" w:cs="Segoe UI"/>
      <w:sz w:val="18"/>
      <w:szCs w:val="18"/>
    </w:rPr>
  </w:style>
  <w:style w:type="paragraph" w:styleId="a4">
    <w:name w:val="Body Text"/>
    <w:basedOn w:val="a"/>
    <w:qFormat/>
    <w:pPr>
      <w:spacing w:after="140"/>
    </w:pPr>
  </w:style>
  <w:style w:type="paragraph" w:styleId="a5">
    <w:name w:val="caption"/>
    <w:basedOn w:val="a"/>
    <w:qFormat/>
    <w:pPr>
      <w:suppressLineNumbers/>
      <w:spacing w:before="120" w:after="120"/>
    </w:pPr>
    <w:rPr>
      <w:rFonts w:cs="Lucida Sans"/>
      <w:i/>
      <w:iCs/>
      <w:sz w:val="24"/>
      <w:szCs w:val="24"/>
    </w:rPr>
  </w:style>
  <w:style w:type="paragraph" w:styleId="a6">
    <w:name w:val="annotation text"/>
    <w:basedOn w:val="a"/>
    <w:link w:val="Char0"/>
    <w:uiPriority w:val="99"/>
    <w:semiHidden/>
    <w:unhideWhenUsed/>
    <w:qFormat/>
    <w:pPr>
      <w:spacing w:line="240" w:lineRule="auto"/>
    </w:pPr>
    <w:rPr>
      <w:sz w:val="20"/>
      <w:szCs w:val="20"/>
    </w:rPr>
  </w:style>
  <w:style w:type="paragraph" w:styleId="a7">
    <w:name w:val="annotation subject"/>
    <w:basedOn w:val="a6"/>
    <w:next w:val="a6"/>
    <w:link w:val="Char1"/>
    <w:uiPriority w:val="99"/>
    <w:semiHidden/>
    <w:unhideWhenUsed/>
    <w:qFormat/>
    <w:rPr>
      <w:b/>
      <w:bCs/>
    </w:rPr>
  </w:style>
  <w:style w:type="character" w:styleId="a8">
    <w:name w:val="Emphasis"/>
    <w:basedOn w:val="a0"/>
    <w:uiPriority w:val="20"/>
    <w:qFormat/>
    <w:rPr>
      <w:i/>
      <w:iCs/>
    </w:rPr>
  </w:style>
  <w:style w:type="paragraph" w:styleId="a9">
    <w:name w:val="footer"/>
    <w:basedOn w:val="a"/>
    <w:link w:val="Char2"/>
    <w:uiPriority w:val="99"/>
    <w:unhideWhenUsed/>
    <w:qFormat/>
    <w:pPr>
      <w:tabs>
        <w:tab w:val="center" w:pos="4513"/>
        <w:tab w:val="right" w:pos="9026"/>
      </w:tabs>
      <w:spacing w:line="240" w:lineRule="auto"/>
    </w:pPr>
  </w:style>
  <w:style w:type="paragraph" w:styleId="aa">
    <w:name w:val="header"/>
    <w:basedOn w:val="a"/>
    <w:link w:val="Char3"/>
    <w:uiPriority w:val="99"/>
    <w:unhideWhenUsed/>
    <w:qFormat/>
    <w:pPr>
      <w:tabs>
        <w:tab w:val="center" w:pos="4513"/>
        <w:tab w:val="right" w:pos="9026"/>
      </w:tabs>
      <w:spacing w:line="240" w:lineRule="auto"/>
    </w:pPr>
  </w:style>
  <w:style w:type="character" w:styleId="Hyperlink">
    <w:name w:val="Hyperlink"/>
    <w:basedOn w:val="a0"/>
    <w:uiPriority w:val="99"/>
    <w:qFormat/>
    <w:rPr>
      <w:color w:val="0000FF"/>
      <w:u w:val="single"/>
    </w:rPr>
  </w:style>
  <w:style w:type="paragraph" w:styleId="ab">
    <w:name w:val="List"/>
    <w:basedOn w:val="a4"/>
    <w:qFormat/>
    <w:rPr>
      <w:rFonts w:cs="Lucida Sans"/>
    </w:rPr>
  </w:style>
  <w:style w:type="paragraph" w:styleId="ac">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Pr>
      <w:b/>
      <w:bCs/>
    </w:rPr>
  </w:style>
  <w:style w:type="paragraph" w:styleId="ae">
    <w:name w:val="Subtitle"/>
    <w:basedOn w:val="a"/>
    <w:next w:val="a"/>
    <w:link w:val="Char4"/>
    <w:uiPriority w:val="11"/>
    <w:qFormat/>
    <w:pPr>
      <w:keepNext/>
      <w:keepLines/>
      <w:spacing w:after="320"/>
    </w:pPr>
    <w:rPr>
      <w:color w:val="666666"/>
      <w:sz w:val="30"/>
      <w:szCs w:val="30"/>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Char5"/>
    <w:uiPriority w:val="10"/>
    <w:qFormat/>
    <w:pPr>
      <w:keepNext/>
      <w:keepLines/>
      <w:spacing w:after="60"/>
    </w:pPr>
    <w:rPr>
      <w:sz w:val="52"/>
      <w:szCs w:val="52"/>
    </w:rPr>
  </w:style>
  <w:style w:type="character" w:customStyle="1" w:styleId="1Char">
    <w:name w:val="العنوان 1 Char"/>
    <w:basedOn w:val="a0"/>
    <w:link w:val="1"/>
    <w:uiPriority w:val="9"/>
    <w:qFormat/>
    <w:rPr>
      <w:rFonts w:ascii="Arial" w:eastAsia="Arial" w:hAnsi="Arial" w:cs="Arial"/>
      <w:sz w:val="40"/>
      <w:szCs w:val="40"/>
    </w:rPr>
  </w:style>
  <w:style w:type="character" w:customStyle="1" w:styleId="2Char">
    <w:name w:val="عنوان 2 Char"/>
    <w:basedOn w:val="a0"/>
    <w:link w:val="2"/>
    <w:uiPriority w:val="9"/>
    <w:semiHidden/>
    <w:qFormat/>
    <w:rPr>
      <w:rFonts w:ascii="Arial" w:eastAsia="Arial" w:hAnsi="Arial" w:cs="Arial"/>
      <w:sz w:val="32"/>
      <w:szCs w:val="32"/>
    </w:rPr>
  </w:style>
  <w:style w:type="character" w:customStyle="1" w:styleId="3Char">
    <w:name w:val="عنوان 3 Char"/>
    <w:basedOn w:val="a0"/>
    <w:link w:val="3"/>
    <w:uiPriority w:val="9"/>
    <w:semiHidden/>
    <w:qFormat/>
    <w:rPr>
      <w:rFonts w:ascii="Arial" w:eastAsia="Arial" w:hAnsi="Arial" w:cs="Arial"/>
      <w:color w:val="434343"/>
      <w:sz w:val="28"/>
      <w:szCs w:val="28"/>
    </w:rPr>
  </w:style>
  <w:style w:type="character" w:customStyle="1" w:styleId="4Char">
    <w:name w:val="عنوان 4 Char"/>
    <w:basedOn w:val="a0"/>
    <w:link w:val="4"/>
    <w:uiPriority w:val="9"/>
    <w:semiHidden/>
    <w:qFormat/>
    <w:rPr>
      <w:rFonts w:ascii="Arial" w:eastAsia="Arial" w:hAnsi="Arial" w:cs="Arial"/>
      <w:color w:val="666666"/>
      <w:sz w:val="24"/>
      <w:szCs w:val="24"/>
    </w:rPr>
  </w:style>
  <w:style w:type="character" w:customStyle="1" w:styleId="5Char">
    <w:name w:val="عنوان 5 Char"/>
    <w:basedOn w:val="a0"/>
    <w:link w:val="5"/>
    <w:uiPriority w:val="9"/>
    <w:semiHidden/>
    <w:qFormat/>
    <w:rPr>
      <w:rFonts w:ascii="Arial" w:eastAsia="Arial" w:hAnsi="Arial" w:cs="Arial"/>
      <w:color w:val="666666"/>
    </w:rPr>
  </w:style>
  <w:style w:type="character" w:customStyle="1" w:styleId="6Char">
    <w:name w:val="عنوان 6 Char"/>
    <w:basedOn w:val="a0"/>
    <w:link w:val="6"/>
    <w:uiPriority w:val="9"/>
    <w:semiHidden/>
    <w:qFormat/>
    <w:rPr>
      <w:rFonts w:ascii="Arial" w:eastAsia="Arial" w:hAnsi="Arial" w:cs="Arial"/>
      <w:i/>
      <w:color w:val="666666"/>
    </w:rPr>
  </w:style>
  <w:style w:type="character" w:customStyle="1" w:styleId="Char5">
    <w:name w:val="العنوان Char"/>
    <w:basedOn w:val="a0"/>
    <w:link w:val="af0"/>
    <w:uiPriority w:val="10"/>
    <w:qFormat/>
    <w:rPr>
      <w:rFonts w:ascii="Arial" w:eastAsia="Arial" w:hAnsi="Arial" w:cs="Arial"/>
      <w:sz w:val="52"/>
      <w:szCs w:val="52"/>
    </w:rPr>
  </w:style>
  <w:style w:type="character" w:customStyle="1" w:styleId="Char4">
    <w:name w:val="عنوان فرعي Char"/>
    <w:basedOn w:val="a0"/>
    <w:link w:val="ae"/>
    <w:uiPriority w:val="11"/>
    <w:qFormat/>
    <w:rPr>
      <w:rFonts w:ascii="Arial" w:eastAsia="Arial" w:hAnsi="Arial" w:cs="Arial"/>
      <w:color w:val="666666"/>
      <w:sz w:val="30"/>
      <w:szCs w:val="30"/>
    </w:rPr>
  </w:style>
  <w:style w:type="character" w:customStyle="1" w:styleId="InternetLink">
    <w:name w:val="Internet Link"/>
    <w:basedOn w:val="a0"/>
    <w:uiPriority w:val="99"/>
    <w:unhideWhenUsed/>
    <w:qFormat/>
    <w:rPr>
      <w:color w:val="0563C1" w:themeColor="hyperlink"/>
      <w:u w:val="single"/>
    </w:rPr>
  </w:style>
  <w:style w:type="character" w:customStyle="1" w:styleId="Char3">
    <w:name w:val="رأس الصفحة Char"/>
    <w:basedOn w:val="a0"/>
    <w:link w:val="aa"/>
    <w:uiPriority w:val="99"/>
    <w:qFormat/>
    <w:rPr>
      <w:rFonts w:ascii="Arial" w:eastAsia="Arial" w:hAnsi="Arial" w:cs="Arial"/>
    </w:rPr>
  </w:style>
  <w:style w:type="character" w:customStyle="1" w:styleId="Char2">
    <w:name w:val="تذييل الصفحة Char"/>
    <w:basedOn w:val="a0"/>
    <w:link w:val="a9"/>
    <w:uiPriority w:val="99"/>
    <w:qFormat/>
    <w:rPr>
      <w:rFonts w:ascii="Arial" w:eastAsia="Arial" w:hAnsi="Arial" w:cs="Arial"/>
    </w:rPr>
  </w:style>
  <w:style w:type="character" w:customStyle="1" w:styleId="Char0">
    <w:name w:val="نص تعليق Char"/>
    <w:basedOn w:val="a0"/>
    <w:link w:val="a6"/>
    <w:uiPriority w:val="99"/>
    <w:semiHidden/>
    <w:qFormat/>
    <w:rPr>
      <w:rFonts w:ascii="Arial" w:eastAsia="Arial" w:hAnsi="Arial" w:cs="Arial"/>
      <w:sz w:val="20"/>
      <w:szCs w:val="20"/>
    </w:rPr>
  </w:style>
  <w:style w:type="character" w:customStyle="1" w:styleId="Char1">
    <w:name w:val="موضوع تعليق Char"/>
    <w:basedOn w:val="Char0"/>
    <w:link w:val="a7"/>
    <w:uiPriority w:val="99"/>
    <w:semiHidden/>
    <w:qFormat/>
    <w:rPr>
      <w:rFonts w:ascii="Arial" w:eastAsia="Arial" w:hAnsi="Arial" w:cs="Arial"/>
      <w:b/>
      <w:bCs/>
      <w:sz w:val="20"/>
      <w:szCs w:val="20"/>
    </w:rPr>
  </w:style>
  <w:style w:type="character" w:customStyle="1" w:styleId="Char">
    <w:name w:val="نص في بالون Char"/>
    <w:basedOn w:val="a0"/>
    <w:link w:val="a3"/>
    <w:uiPriority w:val="99"/>
    <w:semiHidden/>
    <w:qFormat/>
    <w:rPr>
      <w:rFonts w:ascii="Segoe UI" w:eastAsia="Arial" w:hAnsi="Segoe UI" w:cs="Segoe UI"/>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cs="Times New Roman"/>
      <w:sz w:val="24"/>
      <w:szCs w:val="24"/>
    </w:rPr>
  </w:style>
  <w:style w:type="paragraph" w:customStyle="1" w:styleId="Heading">
    <w:name w:val="Heading"/>
    <w:basedOn w:val="a"/>
    <w:next w:val="a4"/>
    <w:qFormat/>
    <w:pPr>
      <w:keepNext/>
      <w:spacing w:before="240" w:after="120"/>
    </w:pPr>
    <w:rPr>
      <w:rFonts w:eastAsia="Microsoft YaHei" w:cs="Lucida Sans"/>
      <w:sz w:val="28"/>
      <w:szCs w:val="28"/>
    </w:rPr>
  </w:style>
  <w:style w:type="paragraph" w:customStyle="1" w:styleId="Index">
    <w:name w:val="Index"/>
    <w:basedOn w:val="a"/>
    <w:qFormat/>
    <w:pPr>
      <w:suppressLineNumbers/>
    </w:pPr>
    <w:rPr>
      <w:rFonts w:cs="Lucida Sans"/>
    </w:rPr>
  </w:style>
  <w:style w:type="paragraph" w:styleId="af1">
    <w:name w:val="List Paragraph"/>
    <w:basedOn w:val="a"/>
    <w:uiPriority w:val="34"/>
    <w:qFormat/>
    <w:pPr>
      <w:ind w:left="720"/>
      <w:contextualSpacing/>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Pr>
      <w:rFonts w:eastAsiaTheme="minorEastAsia"/>
      <w:lang w:val="en-GB" w:eastAsia="en-GB"/>
    </w:rPr>
    <w:tblPr>
      <w:tblCellMar>
        <w:top w:w="0" w:type="dxa"/>
        <w:left w:w="0" w:type="dxa"/>
        <w:bottom w:w="0" w:type="dxa"/>
        <w:right w:w="0" w:type="dxa"/>
      </w:tblCellMar>
    </w:tblPr>
  </w:style>
  <w:style w:type="paragraph" w:customStyle="1" w:styleId="referencescopy1">
    <w:name w:val="referencescopy1"/>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qFormat/>
  </w:style>
  <w:style w:type="character" w:customStyle="1" w:styleId="16">
    <w:name w:val="16"/>
    <w:basedOn w:val="a0"/>
    <w:qFormat/>
    <w:rPr>
      <w:rFonts w:ascii="Times New Roman" w:hAnsi="Times New Roman" w:cs="Times New Roman" w:hint="default"/>
      <w:color w:val="0563C1"/>
      <w:u w:val="single"/>
    </w:rPr>
  </w:style>
  <w:style w:type="character" w:styleId="af2">
    <w:name w:val="annotation reference"/>
    <w:basedOn w:val="a0"/>
    <w:uiPriority w:val="99"/>
    <w:semiHidden/>
    <w:unhideWhenUsed/>
    <w:rsid w:val="007875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news.llu.edu/health-wellness/feeling-anxious-understanding-rise-anxiety-disorders-among-young-adult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doi.org/10.1016/j.cpr.2017.05.00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ijpsat.ijsht-journals.org/index.php/ijpsat"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doi.org/10.9734/INDJ/2018/v12i330093" TargetMode="External"/><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3389/fpubh.2019.0024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2540</TotalTime>
  <Pages>13</Pages>
  <Words>5844</Words>
  <Characters>33317</Characters>
  <Application>Microsoft Office Word</Application>
  <DocSecurity>0</DocSecurity>
  <Lines>277</Lines>
  <Paragraphs>78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AA</cp:lastModifiedBy>
  <cp:revision>29</cp:revision>
  <dcterms:created xsi:type="dcterms:W3CDTF">2024-10-15T19:26:00Z</dcterms:created>
  <dcterms:modified xsi:type="dcterms:W3CDTF">2025-04-09T23:46:00Z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1033-12.2.0.20326</vt:lpwstr>
  </property>
  <property fmtid="{D5CDD505-2E9C-101B-9397-08002B2CF9AE}" pid="10" name="ICV">
    <vt:lpwstr>FC1E91953A8B4555B746622A7A427600_13</vt:lpwstr>
  </property>
</Properties>
</file>