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6B9CB" w14:textId="77777777" w:rsidR="00754C9A" w:rsidRPr="00404AFF" w:rsidRDefault="00754C9A" w:rsidP="00441B6F">
      <w:pPr>
        <w:pStyle w:val="Title"/>
        <w:spacing w:after="0"/>
        <w:jc w:val="both"/>
        <w:rPr>
          <w:rFonts w:ascii="Arial" w:hAnsi="Arial" w:cs="Arial"/>
          <w:sz w:val="22"/>
          <w:szCs w:val="22"/>
        </w:rPr>
      </w:pPr>
    </w:p>
    <w:p w14:paraId="1B628B39" w14:textId="25BAC4A6" w:rsidR="00163BC4" w:rsidRPr="00404AFF" w:rsidRDefault="00CF4C47" w:rsidP="00441B6F">
      <w:pPr>
        <w:pStyle w:val="Author"/>
        <w:spacing w:line="240" w:lineRule="auto"/>
        <w:rPr>
          <w:rFonts w:ascii="Arial" w:hAnsi="Arial" w:cs="Arial"/>
          <w:bCs/>
          <w:iCs/>
          <w:kern w:val="28"/>
          <w:sz w:val="22"/>
          <w:szCs w:val="22"/>
        </w:rPr>
      </w:pPr>
      <w:r w:rsidRPr="00404AFF">
        <w:rPr>
          <w:rFonts w:ascii="Arial" w:hAnsi="Arial" w:cs="Arial"/>
          <w:bCs/>
          <w:iCs/>
          <w:kern w:val="28"/>
          <w:sz w:val="22"/>
          <w:szCs w:val="22"/>
        </w:rPr>
        <w:t>POTENTIALS OF ISLAMIC BANKS IN THE SWAHILI: A case study on Kenya</w:t>
      </w:r>
    </w:p>
    <w:p w14:paraId="2E83C188" w14:textId="77777777" w:rsidR="00A258C3" w:rsidRPr="00404AFF" w:rsidRDefault="00A258C3" w:rsidP="00441B6F">
      <w:pPr>
        <w:pStyle w:val="Author"/>
        <w:spacing w:line="240" w:lineRule="auto"/>
        <w:jc w:val="both"/>
        <w:rPr>
          <w:rFonts w:ascii="Arial" w:hAnsi="Arial" w:cs="Arial"/>
          <w:sz w:val="22"/>
          <w:szCs w:val="22"/>
        </w:rPr>
      </w:pPr>
    </w:p>
    <w:p w14:paraId="19C4C3EF" w14:textId="77777777" w:rsidR="00326964" w:rsidRDefault="00326964" w:rsidP="00441B6F">
      <w:pPr>
        <w:pStyle w:val="Copyright"/>
        <w:spacing w:after="0" w:line="240" w:lineRule="auto"/>
        <w:jc w:val="both"/>
        <w:rPr>
          <w:rFonts w:ascii="Arial" w:hAnsi="Arial" w:cs="Arial"/>
          <w:sz w:val="22"/>
          <w:szCs w:val="22"/>
        </w:rPr>
      </w:pPr>
    </w:p>
    <w:p w14:paraId="51E77742" w14:textId="199C3C5F" w:rsidR="00B01FCD" w:rsidRPr="00404AFF" w:rsidRDefault="0000232D" w:rsidP="00441B6F">
      <w:pPr>
        <w:pStyle w:val="Copyright"/>
        <w:spacing w:after="0" w:line="240" w:lineRule="auto"/>
        <w:jc w:val="both"/>
        <w:rPr>
          <w:rFonts w:ascii="Arial" w:hAnsi="Arial" w:cs="Arial"/>
          <w:sz w:val="22"/>
          <w:szCs w:val="22"/>
        </w:rPr>
        <w:sectPr w:rsidR="00B01FCD" w:rsidRPr="00404AFF" w:rsidSect="0032696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404AFF">
        <w:rPr>
          <w:rFonts w:ascii="Arial" w:hAnsi="Arial" w:cs="Arial"/>
          <w:noProof/>
          <w:sz w:val="22"/>
          <w:szCs w:val="22"/>
        </w:rPr>
        <mc:AlternateContent>
          <mc:Choice Requires="wps">
            <w:drawing>
              <wp:inline distT="0" distB="0" distL="0" distR="0" wp14:anchorId="455904EA" wp14:editId="5934828A">
                <wp:extent cx="5303520" cy="635"/>
                <wp:effectExtent l="17145" t="16510" r="13335" b="12065"/>
                <wp:docPr id="12688075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95C6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04AFF">
        <w:rPr>
          <w:rFonts w:ascii="Arial" w:hAnsi="Arial" w:cs="Arial"/>
          <w:sz w:val="22"/>
          <w:szCs w:val="22"/>
        </w:rPr>
        <w:t>.</w:t>
      </w:r>
    </w:p>
    <w:p w14:paraId="37D6F046" w14:textId="200A4700" w:rsidR="00B01FCD" w:rsidRPr="00404AFF" w:rsidRDefault="00B01FCD" w:rsidP="00441B6F">
      <w:pPr>
        <w:pStyle w:val="AbstHead"/>
        <w:spacing w:after="0"/>
        <w:jc w:val="both"/>
        <w:rPr>
          <w:rFonts w:ascii="Arial" w:hAnsi="Arial" w:cs="Arial"/>
          <w:szCs w:val="22"/>
        </w:rPr>
      </w:pPr>
      <w:r w:rsidRPr="00404AFF">
        <w:rPr>
          <w:rFonts w:ascii="Arial" w:hAnsi="Arial" w:cs="Arial"/>
          <w:szCs w:val="22"/>
        </w:rPr>
        <w:lastRenderedPageBreak/>
        <w:t>ABSTRACT</w:t>
      </w:r>
      <w:r w:rsidR="0066510A" w:rsidRPr="00404AFF">
        <w:rPr>
          <w:rFonts w:ascii="Arial" w:hAnsi="Arial" w:cs="Arial"/>
          <w:szCs w:val="22"/>
        </w:rPr>
        <w:t xml:space="preserve"> </w:t>
      </w:r>
    </w:p>
    <w:p w14:paraId="4BCC8A57" w14:textId="77777777" w:rsidR="00790ADA" w:rsidRPr="00404AFF"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04AFF" w14:paraId="4B126006" w14:textId="77777777" w:rsidTr="001E44FE">
        <w:tc>
          <w:tcPr>
            <w:tcW w:w="9576" w:type="dxa"/>
            <w:shd w:val="clear" w:color="auto" w:fill="F2F2F2"/>
          </w:tcPr>
          <w:p w14:paraId="3982765A" w14:textId="42AA4716" w:rsidR="00435BD4" w:rsidRPr="008C5F54" w:rsidRDefault="00435BD4" w:rsidP="00435BD4">
            <w:pPr>
              <w:pStyle w:val="Body"/>
              <w:rPr>
                <w:rFonts w:ascii="Arial" w:eastAsia="Calibri" w:hAnsi="Arial" w:cs="Arial"/>
              </w:rPr>
            </w:pPr>
            <w:r w:rsidRPr="00435BD4">
              <w:rPr>
                <w:rFonts w:ascii="Arial" w:eastAsia="Calibri" w:hAnsi="Arial" w:cs="Arial"/>
                <w:b/>
              </w:rPr>
              <w:t xml:space="preserve">Aims: </w:t>
            </w:r>
            <w:commentRangeStart w:id="0"/>
            <w:r w:rsidRPr="008C5F54">
              <w:rPr>
                <w:rFonts w:ascii="Arial" w:eastAsia="Calibri" w:hAnsi="Arial" w:cs="Arial"/>
              </w:rPr>
              <w:t xml:space="preserve">Islamic finance is an increasingly important segment of the global financial industry. </w:t>
            </w:r>
            <w:commentRangeEnd w:id="0"/>
            <w:r w:rsidR="00E358B9">
              <w:rPr>
                <w:rStyle w:val="CommentReference"/>
                <w:rFonts w:ascii="Times New Roman" w:hAnsi="Times New Roman"/>
                <w:lang w:val="nb-NO" w:eastAsia="nb-NO"/>
              </w:rPr>
              <w:commentReference w:id="0"/>
            </w:r>
            <w:commentRangeStart w:id="1"/>
            <w:r w:rsidRPr="008C5F54">
              <w:rPr>
                <w:rFonts w:ascii="Arial" w:eastAsia="Calibri" w:hAnsi="Arial" w:cs="Arial"/>
              </w:rPr>
              <w:t xml:space="preserve">This </w:t>
            </w:r>
            <w:commentRangeEnd w:id="1"/>
            <w:r w:rsidR="00E358B9">
              <w:rPr>
                <w:rStyle w:val="CommentReference"/>
                <w:rFonts w:ascii="Times New Roman" w:hAnsi="Times New Roman"/>
                <w:lang w:val="nb-NO" w:eastAsia="nb-NO"/>
              </w:rPr>
              <w:commentReference w:id="1"/>
            </w:r>
            <w:r w:rsidRPr="008C5F54">
              <w:rPr>
                <w:rFonts w:ascii="Arial" w:eastAsia="Calibri" w:hAnsi="Arial" w:cs="Arial"/>
              </w:rPr>
              <w:t xml:space="preserve">paper examines the </w:t>
            </w:r>
            <w:commentRangeStart w:id="2"/>
            <w:r w:rsidRPr="008C5F54">
              <w:rPr>
                <w:rFonts w:ascii="Arial" w:eastAsia="Calibri" w:hAnsi="Arial" w:cs="Arial"/>
              </w:rPr>
              <w:t xml:space="preserve">potential </w:t>
            </w:r>
            <w:commentRangeEnd w:id="2"/>
            <w:r w:rsidR="00E358B9">
              <w:rPr>
                <w:rStyle w:val="CommentReference"/>
                <w:rFonts w:ascii="Times New Roman" w:hAnsi="Times New Roman"/>
                <w:lang w:val="nb-NO" w:eastAsia="nb-NO"/>
              </w:rPr>
              <w:commentReference w:id="2"/>
            </w:r>
            <w:r w:rsidRPr="008C5F54">
              <w:rPr>
                <w:rFonts w:ascii="Arial" w:eastAsia="Calibri" w:hAnsi="Arial" w:cs="Arial"/>
              </w:rPr>
              <w:t>of Islamic banks within the Kenyan financial landscape. The study's objective is to investigate these opportunities and identify the requisite resources for their successful realization.</w:t>
            </w:r>
          </w:p>
          <w:p w14:paraId="5CB03836" w14:textId="263E0E01" w:rsidR="00435BD4" w:rsidRPr="00882068" w:rsidRDefault="00435BD4" w:rsidP="00435BD4">
            <w:pPr>
              <w:pStyle w:val="Body"/>
              <w:rPr>
                <w:rFonts w:ascii="Arial" w:eastAsia="Calibri" w:hAnsi="Arial" w:cs="Arial"/>
              </w:rPr>
            </w:pPr>
            <w:r w:rsidRPr="00435BD4">
              <w:rPr>
                <w:rFonts w:ascii="Arial" w:eastAsia="Calibri" w:hAnsi="Arial" w:cs="Arial"/>
                <w:b/>
              </w:rPr>
              <w:t xml:space="preserve">Methodology: </w:t>
            </w:r>
            <w:commentRangeStart w:id="3"/>
            <w:r w:rsidR="00882068" w:rsidRPr="00882068">
              <w:rPr>
                <w:rFonts w:ascii="Arial" w:eastAsia="Calibri" w:hAnsi="Arial" w:cs="Arial"/>
              </w:rPr>
              <w:t xml:space="preserve">This </w:t>
            </w:r>
            <w:commentRangeEnd w:id="3"/>
            <w:r w:rsidR="00E358B9">
              <w:rPr>
                <w:rStyle w:val="CommentReference"/>
                <w:rFonts w:ascii="Times New Roman" w:hAnsi="Times New Roman"/>
                <w:lang w:val="nb-NO" w:eastAsia="nb-NO"/>
              </w:rPr>
              <w:commentReference w:id="3"/>
            </w:r>
            <w:r w:rsidR="00882068" w:rsidRPr="00882068">
              <w:rPr>
                <w:rFonts w:ascii="Arial" w:eastAsia="Calibri" w:hAnsi="Arial" w:cs="Arial"/>
              </w:rPr>
              <w:t>study employs a comprehensive literature review methodology, synthesizing existing research on Islamic banking in Kenya to identify key trends, challenges, and opportunities.</w:t>
            </w:r>
          </w:p>
          <w:p w14:paraId="367E704E" w14:textId="35661973" w:rsidR="00435BD4" w:rsidRPr="008C5F54" w:rsidRDefault="00435BD4" w:rsidP="00435BD4">
            <w:pPr>
              <w:pStyle w:val="Body"/>
              <w:rPr>
                <w:rFonts w:ascii="Arial" w:eastAsia="Calibri" w:hAnsi="Arial" w:cs="Arial"/>
              </w:rPr>
            </w:pPr>
            <w:r w:rsidRPr="00435BD4">
              <w:rPr>
                <w:rFonts w:ascii="Arial" w:eastAsia="Calibri" w:hAnsi="Arial" w:cs="Arial"/>
                <w:b/>
              </w:rPr>
              <w:t xml:space="preserve">Results: </w:t>
            </w:r>
            <w:r w:rsidRPr="008C5F54">
              <w:rPr>
                <w:rFonts w:ascii="Arial" w:eastAsia="Calibri" w:hAnsi="Arial" w:cs="Arial"/>
              </w:rPr>
              <w:t xml:space="preserve">The findings indicate significant demand for </w:t>
            </w:r>
            <w:proofErr w:type="spellStart"/>
            <w:r w:rsidR="00095ED8" w:rsidRPr="008C5F54">
              <w:rPr>
                <w:rFonts w:ascii="Arial" w:eastAsia="Calibri" w:hAnsi="Arial" w:cs="Arial"/>
              </w:rPr>
              <w:t>Shari’ah</w:t>
            </w:r>
            <w:proofErr w:type="spellEnd"/>
            <w:r w:rsidRPr="008C5F54">
              <w:rPr>
                <w:rFonts w:ascii="Arial" w:eastAsia="Calibri" w:hAnsi="Arial" w:cs="Arial"/>
              </w:rPr>
              <w:t xml:space="preserve">-compliant financial products as a primary driver for the establishment of Islamic banks in Kenya. </w:t>
            </w:r>
            <w:commentRangeStart w:id="4"/>
            <w:r w:rsidRPr="008C5F54">
              <w:rPr>
                <w:rFonts w:ascii="Arial" w:eastAsia="Calibri" w:hAnsi="Arial" w:cs="Arial"/>
              </w:rPr>
              <w:t>However</w:t>
            </w:r>
            <w:commentRangeEnd w:id="4"/>
            <w:r w:rsidR="00E358B9">
              <w:rPr>
                <w:rStyle w:val="CommentReference"/>
                <w:rFonts w:ascii="Times New Roman" w:hAnsi="Times New Roman"/>
                <w:lang w:val="nb-NO" w:eastAsia="nb-NO"/>
              </w:rPr>
              <w:commentReference w:id="4"/>
            </w:r>
            <w:r w:rsidRPr="008C5F54">
              <w:rPr>
                <w:rFonts w:ascii="Arial" w:eastAsia="Calibri" w:hAnsi="Arial" w:cs="Arial"/>
              </w:rPr>
              <w:t xml:space="preserve">, the study </w:t>
            </w:r>
            <w:commentRangeStart w:id="5"/>
            <w:r w:rsidRPr="008C5F54">
              <w:rPr>
                <w:rFonts w:ascii="Arial" w:eastAsia="Calibri" w:hAnsi="Arial" w:cs="Arial"/>
              </w:rPr>
              <w:t xml:space="preserve">also </w:t>
            </w:r>
            <w:commentRangeEnd w:id="5"/>
            <w:r w:rsidR="00E94D4E">
              <w:rPr>
                <w:rStyle w:val="CommentReference"/>
                <w:rFonts w:ascii="Times New Roman" w:hAnsi="Times New Roman"/>
                <w:lang w:val="nb-NO" w:eastAsia="nb-NO"/>
              </w:rPr>
              <w:commentReference w:id="5"/>
            </w:r>
            <w:r w:rsidRPr="008C5F54">
              <w:rPr>
                <w:rFonts w:ascii="Arial" w:eastAsia="Calibri" w:hAnsi="Arial" w:cs="Arial"/>
              </w:rPr>
              <w:t xml:space="preserve">reveals that </w:t>
            </w:r>
            <w:commentRangeStart w:id="6"/>
            <w:r w:rsidRPr="008C5F54">
              <w:rPr>
                <w:rFonts w:ascii="Arial" w:eastAsia="Calibri" w:hAnsi="Arial" w:cs="Arial"/>
              </w:rPr>
              <w:t xml:space="preserve">these institutions face several challenges, with the absence of a comprehensive </w:t>
            </w:r>
            <w:r w:rsidR="00095ED8" w:rsidRPr="008C5F54">
              <w:rPr>
                <w:rFonts w:ascii="Arial" w:eastAsia="Calibri" w:hAnsi="Arial" w:cs="Arial"/>
              </w:rPr>
              <w:t>Shari’ah</w:t>
            </w:r>
            <w:r w:rsidRPr="008C5F54">
              <w:rPr>
                <w:rFonts w:ascii="Arial" w:eastAsia="Calibri" w:hAnsi="Arial" w:cs="Arial"/>
              </w:rPr>
              <w:t>-compliant legal framework representing a significant obstacle.</w:t>
            </w:r>
            <w:commentRangeEnd w:id="6"/>
            <w:r w:rsidR="00E94D4E">
              <w:rPr>
                <w:rStyle w:val="CommentReference"/>
                <w:rFonts w:ascii="Times New Roman" w:hAnsi="Times New Roman"/>
                <w:lang w:val="nb-NO" w:eastAsia="nb-NO"/>
              </w:rPr>
              <w:commentReference w:id="6"/>
            </w:r>
          </w:p>
          <w:p w14:paraId="192567F8" w14:textId="20232872" w:rsidR="00505F06" w:rsidRPr="00882068" w:rsidRDefault="00435BD4" w:rsidP="00882068">
            <w:pPr>
              <w:pStyle w:val="Body"/>
              <w:spacing w:after="0"/>
              <w:rPr>
                <w:rFonts w:ascii="Arial" w:eastAsia="Calibri" w:hAnsi="Arial" w:cs="Arial"/>
              </w:rPr>
            </w:pPr>
            <w:r w:rsidRPr="00435BD4">
              <w:rPr>
                <w:rFonts w:ascii="Arial" w:eastAsia="Calibri" w:hAnsi="Arial" w:cs="Arial"/>
                <w:b/>
              </w:rPr>
              <w:t xml:space="preserve">Conclusion: </w:t>
            </w:r>
            <w:r w:rsidRPr="008C5F54">
              <w:rPr>
                <w:rFonts w:ascii="Arial" w:eastAsia="Calibri" w:hAnsi="Arial" w:cs="Arial"/>
              </w:rPr>
              <w:t xml:space="preserve">Despite </w:t>
            </w:r>
            <w:commentRangeStart w:id="7"/>
            <w:r w:rsidRPr="008C5F54">
              <w:rPr>
                <w:rFonts w:ascii="Arial" w:eastAsia="Calibri" w:hAnsi="Arial" w:cs="Arial"/>
              </w:rPr>
              <w:t xml:space="preserve">existing </w:t>
            </w:r>
            <w:commentRangeEnd w:id="7"/>
            <w:r w:rsidR="00E94D4E">
              <w:rPr>
                <w:rStyle w:val="CommentReference"/>
                <w:rFonts w:ascii="Times New Roman" w:hAnsi="Times New Roman"/>
                <w:lang w:val="nb-NO" w:eastAsia="nb-NO"/>
              </w:rPr>
              <w:commentReference w:id="7"/>
            </w:r>
            <w:r w:rsidRPr="008C5F54">
              <w:rPr>
                <w:rFonts w:ascii="Arial" w:eastAsia="Calibri" w:hAnsi="Arial" w:cs="Arial"/>
              </w:rPr>
              <w:t xml:space="preserve">challenges, the study concludes that substantial </w:t>
            </w:r>
            <w:commentRangeStart w:id="8"/>
            <w:r w:rsidRPr="008C5F54">
              <w:rPr>
                <w:rFonts w:ascii="Arial" w:eastAsia="Calibri" w:hAnsi="Arial" w:cs="Arial"/>
              </w:rPr>
              <w:t xml:space="preserve">potential </w:t>
            </w:r>
            <w:commentRangeEnd w:id="8"/>
            <w:r w:rsidR="00E94D4E">
              <w:rPr>
                <w:rStyle w:val="CommentReference"/>
                <w:rFonts w:ascii="Times New Roman" w:hAnsi="Times New Roman"/>
                <w:lang w:val="nb-NO" w:eastAsia="nb-NO"/>
              </w:rPr>
              <w:commentReference w:id="8"/>
            </w:r>
            <w:commentRangeStart w:id="9"/>
            <w:r w:rsidRPr="008C5F54">
              <w:rPr>
                <w:rFonts w:ascii="Arial" w:eastAsia="Calibri" w:hAnsi="Arial" w:cs="Arial"/>
              </w:rPr>
              <w:t xml:space="preserve">exists </w:t>
            </w:r>
            <w:commentRangeEnd w:id="9"/>
            <w:r w:rsidR="00E94D4E">
              <w:rPr>
                <w:rStyle w:val="CommentReference"/>
                <w:rFonts w:ascii="Times New Roman" w:hAnsi="Times New Roman"/>
                <w:lang w:val="nb-NO" w:eastAsia="nb-NO"/>
              </w:rPr>
              <w:commentReference w:id="9"/>
            </w:r>
            <w:r w:rsidRPr="008C5F54">
              <w:rPr>
                <w:rFonts w:ascii="Arial" w:eastAsia="Calibri" w:hAnsi="Arial" w:cs="Arial"/>
              </w:rPr>
              <w:t>for Islamic banking in Kenya, particularly for investors willing to engage</w:t>
            </w:r>
            <w:commentRangeStart w:id="10"/>
            <w:r w:rsidRPr="008C5F54">
              <w:rPr>
                <w:rFonts w:ascii="Arial" w:eastAsia="Calibri" w:hAnsi="Arial" w:cs="Arial"/>
              </w:rPr>
              <w:t xml:space="preserve"> </w:t>
            </w:r>
            <w:commentRangeEnd w:id="10"/>
            <w:r w:rsidR="00E94D4E">
              <w:rPr>
                <w:rStyle w:val="CommentReference"/>
                <w:rFonts w:ascii="Times New Roman" w:hAnsi="Times New Roman"/>
                <w:lang w:val="nb-NO" w:eastAsia="nb-NO"/>
              </w:rPr>
              <w:commentReference w:id="10"/>
            </w:r>
            <w:r w:rsidRPr="008C5F54">
              <w:rPr>
                <w:rFonts w:ascii="Arial" w:eastAsia="Calibri" w:hAnsi="Arial" w:cs="Arial"/>
              </w:rPr>
              <w:t xml:space="preserve">in the Islamic finance sector. This potential </w:t>
            </w:r>
            <w:commentRangeStart w:id="11"/>
            <w:r w:rsidRPr="008C5F54">
              <w:rPr>
                <w:rFonts w:ascii="Arial" w:eastAsia="Calibri" w:hAnsi="Arial" w:cs="Arial"/>
              </w:rPr>
              <w:t xml:space="preserve">is </w:t>
            </w:r>
            <w:commentRangeEnd w:id="11"/>
            <w:r w:rsidR="00E94D4E">
              <w:rPr>
                <w:rStyle w:val="CommentReference"/>
                <w:rFonts w:ascii="Times New Roman" w:hAnsi="Times New Roman"/>
                <w:lang w:val="nb-NO" w:eastAsia="nb-NO"/>
              </w:rPr>
              <w:commentReference w:id="11"/>
            </w:r>
            <w:r w:rsidRPr="008C5F54">
              <w:rPr>
                <w:rFonts w:ascii="Arial" w:eastAsia="Calibri" w:hAnsi="Arial" w:cs="Arial"/>
              </w:rPr>
              <w:t xml:space="preserve">supported </w:t>
            </w:r>
            <w:commentRangeStart w:id="12"/>
            <w:r w:rsidRPr="008C5F54">
              <w:rPr>
                <w:rFonts w:ascii="Arial" w:eastAsia="Calibri" w:hAnsi="Arial" w:cs="Arial"/>
              </w:rPr>
              <w:t xml:space="preserve">by </w:t>
            </w:r>
            <w:commentRangeEnd w:id="12"/>
            <w:r w:rsidR="00E94D4E">
              <w:rPr>
                <w:rStyle w:val="CommentReference"/>
                <w:rFonts w:ascii="Times New Roman" w:hAnsi="Times New Roman"/>
                <w:lang w:val="nb-NO" w:eastAsia="nb-NO"/>
              </w:rPr>
              <w:commentReference w:id="12"/>
            </w:r>
            <w:r w:rsidRPr="008C5F54">
              <w:rPr>
                <w:rFonts w:ascii="Arial" w:eastAsia="Calibri" w:hAnsi="Arial" w:cs="Arial"/>
              </w:rPr>
              <w:t xml:space="preserve">governmental efforts </w:t>
            </w:r>
            <w:commentRangeStart w:id="13"/>
            <w:r w:rsidRPr="008C5F54">
              <w:rPr>
                <w:rFonts w:ascii="Arial" w:eastAsia="Calibri" w:hAnsi="Arial" w:cs="Arial"/>
              </w:rPr>
              <w:t xml:space="preserve">to </w:t>
            </w:r>
            <w:commentRangeEnd w:id="13"/>
            <w:r w:rsidR="00E94D4E">
              <w:rPr>
                <w:rStyle w:val="CommentReference"/>
                <w:rFonts w:ascii="Times New Roman" w:hAnsi="Times New Roman"/>
                <w:lang w:val="nb-NO" w:eastAsia="nb-NO"/>
              </w:rPr>
              <w:commentReference w:id="13"/>
            </w:r>
            <w:commentRangeStart w:id="14"/>
            <w:r w:rsidRPr="008C5F54">
              <w:rPr>
                <w:rFonts w:ascii="Arial" w:eastAsia="Calibri" w:hAnsi="Arial" w:cs="Arial"/>
              </w:rPr>
              <w:t xml:space="preserve">create </w:t>
            </w:r>
            <w:commentRangeEnd w:id="14"/>
            <w:r w:rsidR="00E94D4E">
              <w:rPr>
                <w:rStyle w:val="CommentReference"/>
                <w:rFonts w:ascii="Times New Roman" w:hAnsi="Times New Roman"/>
                <w:lang w:val="nb-NO" w:eastAsia="nb-NO"/>
              </w:rPr>
              <w:commentReference w:id="14"/>
            </w:r>
            <w:r w:rsidRPr="008C5F54">
              <w:rPr>
                <w:rFonts w:ascii="Arial" w:eastAsia="Calibri" w:hAnsi="Arial" w:cs="Arial"/>
              </w:rPr>
              <w:t xml:space="preserve">a more level playing field for Islamic banks through policy initiatives, the sizable Muslim population in Kenya, and the promising trend of non-Muslim customers utilizing Islamic banking services. The study recommends the establishment of a national </w:t>
            </w:r>
            <w:r w:rsidR="00095ED8" w:rsidRPr="008C5F54">
              <w:rPr>
                <w:rFonts w:ascii="Arial" w:eastAsia="Calibri" w:hAnsi="Arial" w:cs="Arial"/>
              </w:rPr>
              <w:t>Shari’ah</w:t>
            </w:r>
            <w:r w:rsidRPr="008C5F54">
              <w:rPr>
                <w:rFonts w:ascii="Arial" w:eastAsia="Calibri" w:hAnsi="Arial" w:cs="Arial"/>
              </w:rPr>
              <w:t xml:space="preserve"> board, the implementation of capacity-building programs in Islamic finance, public awareness campaigns to promote </w:t>
            </w:r>
            <w:commentRangeStart w:id="15"/>
            <w:r w:rsidRPr="008C5F54">
              <w:rPr>
                <w:rFonts w:ascii="Arial" w:eastAsia="Calibri" w:hAnsi="Arial" w:cs="Arial"/>
              </w:rPr>
              <w:t xml:space="preserve">understanding of </w:t>
            </w:r>
            <w:commentRangeEnd w:id="15"/>
            <w:r w:rsidR="00A97101">
              <w:rPr>
                <w:rStyle w:val="CommentReference"/>
                <w:rFonts w:ascii="Times New Roman" w:hAnsi="Times New Roman"/>
                <w:lang w:val="nb-NO" w:eastAsia="nb-NO"/>
              </w:rPr>
              <w:commentReference w:id="15"/>
            </w:r>
            <w:r w:rsidRPr="008C5F54">
              <w:rPr>
                <w:rFonts w:ascii="Arial" w:eastAsia="Calibri" w:hAnsi="Arial" w:cs="Arial"/>
              </w:rPr>
              <w:t>Islamic finance</w:t>
            </w:r>
            <w:commentRangeStart w:id="16"/>
            <w:r w:rsidRPr="008C5F54">
              <w:rPr>
                <w:rFonts w:ascii="Arial" w:eastAsia="Calibri" w:hAnsi="Arial" w:cs="Arial"/>
              </w:rPr>
              <w:t xml:space="preserve"> </w:t>
            </w:r>
            <w:commentRangeEnd w:id="16"/>
            <w:r w:rsidR="00A97101">
              <w:rPr>
                <w:rStyle w:val="CommentReference"/>
                <w:rFonts w:ascii="Times New Roman" w:hAnsi="Times New Roman"/>
                <w:lang w:val="nb-NO" w:eastAsia="nb-NO"/>
              </w:rPr>
              <w:commentReference w:id="16"/>
            </w:r>
            <w:r w:rsidRPr="008C5F54">
              <w:rPr>
                <w:rFonts w:ascii="Arial" w:eastAsia="Calibri" w:hAnsi="Arial" w:cs="Arial"/>
              </w:rPr>
              <w:t>principles</w:t>
            </w:r>
            <w:commentRangeStart w:id="17"/>
            <w:r w:rsidRPr="008C5F54">
              <w:rPr>
                <w:rFonts w:ascii="Arial" w:eastAsia="Calibri" w:hAnsi="Arial" w:cs="Arial"/>
              </w:rPr>
              <w:t>,</w:t>
            </w:r>
            <w:commentRangeEnd w:id="17"/>
            <w:r w:rsidR="00A97101">
              <w:rPr>
                <w:rStyle w:val="CommentReference"/>
                <w:rFonts w:ascii="Times New Roman" w:hAnsi="Times New Roman"/>
                <w:lang w:val="nb-NO" w:eastAsia="nb-NO"/>
              </w:rPr>
              <w:commentReference w:id="17"/>
            </w:r>
            <w:r w:rsidRPr="008C5F54">
              <w:rPr>
                <w:rFonts w:ascii="Arial" w:eastAsia="Calibri" w:hAnsi="Arial" w:cs="Arial"/>
              </w:rPr>
              <w:t xml:space="preserve"> </w:t>
            </w:r>
            <w:commentRangeStart w:id="18"/>
            <w:r w:rsidRPr="008C5F54">
              <w:rPr>
                <w:rFonts w:ascii="Arial" w:eastAsia="Calibri" w:hAnsi="Arial" w:cs="Arial"/>
              </w:rPr>
              <w:t xml:space="preserve">and </w:t>
            </w:r>
            <w:commentRangeEnd w:id="18"/>
            <w:r w:rsidR="00A97101">
              <w:rPr>
                <w:rStyle w:val="CommentReference"/>
                <w:rFonts w:ascii="Times New Roman" w:hAnsi="Times New Roman"/>
                <w:lang w:val="nb-NO" w:eastAsia="nb-NO"/>
              </w:rPr>
              <w:commentReference w:id="18"/>
            </w:r>
            <w:r w:rsidRPr="008C5F54">
              <w:rPr>
                <w:rFonts w:ascii="Arial" w:eastAsia="Calibri" w:hAnsi="Arial" w:cs="Arial"/>
              </w:rPr>
              <w:t>further research to explore these issues in</w:t>
            </w:r>
            <w:commentRangeStart w:id="19"/>
            <w:r w:rsidRPr="008C5F54">
              <w:rPr>
                <w:rFonts w:ascii="Arial" w:eastAsia="Calibri" w:hAnsi="Arial" w:cs="Arial"/>
              </w:rPr>
              <w:t xml:space="preserve"> </w:t>
            </w:r>
            <w:commentRangeEnd w:id="19"/>
            <w:r w:rsidR="00A97101">
              <w:rPr>
                <w:rStyle w:val="CommentReference"/>
                <w:rFonts w:ascii="Times New Roman" w:hAnsi="Times New Roman"/>
                <w:lang w:val="nb-NO" w:eastAsia="nb-NO"/>
              </w:rPr>
              <w:commentReference w:id="19"/>
            </w:r>
            <w:r w:rsidRPr="008C5F54">
              <w:rPr>
                <w:rFonts w:ascii="Arial" w:eastAsia="Calibri" w:hAnsi="Arial" w:cs="Arial"/>
              </w:rPr>
              <w:t>greater depth.</w:t>
            </w:r>
          </w:p>
        </w:tc>
      </w:tr>
    </w:tbl>
    <w:p w14:paraId="1AFA923C" w14:textId="77777777" w:rsidR="00636EB2" w:rsidRPr="00404AFF" w:rsidRDefault="00636EB2" w:rsidP="00441B6F">
      <w:pPr>
        <w:pStyle w:val="Body"/>
        <w:spacing w:after="0"/>
        <w:rPr>
          <w:rFonts w:ascii="Arial" w:hAnsi="Arial" w:cs="Arial"/>
          <w:i/>
          <w:sz w:val="22"/>
          <w:szCs w:val="22"/>
        </w:rPr>
      </w:pPr>
    </w:p>
    <w:p w14:paraId="19C8C949" w14:textId="4E9A74C0" w:rsidR="00A24E7E" w:rsidRPr="008C5F54" w:rsidRDefault="00A24E7E" w:rsidP="00441B6F">
      <w:pPr>
        <w:pStyle w:val="Body"/>
        <w:spacing w:after="0"/>
        <w:rPr>
          <w:rFonts w:ascii="Arial" w:hAnsi="Arial" w:cs="Arial"/>
          <w:i/>
        </w:rPr>
      </w:pPr>
      <w:r w:rsidRPr="008C5F54">
        <w:rPr>
          <w:rFonts w:ascii="Arial" w:hAnsi="Arial" w:cs="Arial"/>
          <w:i/>
        </w:rPr>
        <w:t>Keywords:</w:t>
      </w:r>
      <w:r w:rsidR="00CF4C47" w:rsidRPr="008C5F54">
        <w:rPr>
          <w:rFonts w:ascii="Arial" w:hAnsi="Arial" w:cs="Arial"/>
          <w:i/>
        </w:rPr>
        <w:t xml:space="preserve"> </w:t>
      </w:r>
      <w:commentRangeStart w:id="20"/>
      <w:r w:rsidR="00CF4C47" w:rsidRPr="008C5F54">
        <w:rPr>
          <w:rFonts w:ascii="Arial" w:hAnsi="Arial" w:cs="Arial"/>
          <w:i/>
        </w:rPr>
        <w:t xml:space="preserve">Islamic Banks, potentials, </w:t>
      </w:r>
      <w:r w:rsidR="0000232D" w:rsidRPr="008C5F54">
        <w:rPr>
          <w:rFonts w:ascii="Arial" w:hAnsi="Arial" w:cs="Arial"/>
          <w:i/>
        </w:rPr>
        <w:t>Kenya</w:t>
      </w:r>
      <w:commentRangeEnd w:id="20"/>
      <w:r w:rsidR="00A97101">
        <w:rPr>
          <w:rStyle w:val="CommentReference"/>
          <w:rFonts w:ascii="Times New Roman" w:hAnsi="Times New Roman"/>
          <w:lang w:val="nb-NO" w:eastAsia="nb-NO"/>
        </w:rPr>
        <w:commentReference w:id="20"/>
      </w:r>
    </w:p>
    <w:p w14:paraId="18027C30" w14:textId="77777777" w:rsidR="0024282C" w:rsidRPr="00404AFF" w:rsidRDefault="0024282C" w:rsidP="00441B6F">
      <w:pPr>
        <w:pStyle w:val="Body"/>
        <w:spacing w:after="0"/>
        <w:rPr>
          <w:rFonts w:ascii="Arial" w:hAnsi="Arial" w:cs="Arial"/>
          <w:i/>
          <w:sz w:val="22"/>
          <w:szCs w:val="22"/>
        </w:rPr>
      </w:pPr>
    </w:p>
    <w:p w14:paraId="3262F8DB" w14:textId="77777777" w:rsidR="00505F06" w:rsidRPr="00404AFF" w:rsidRDefault="00505F06" w:rsidP="00441B6F">
      <w:pPr>
        <w:pStyle w:val="Body"/>
        <w:spacing w:after="0"/>
        <w:rPr>
          <w:rFonts w:ascii="Arial" w:hAnsi="Arial" w:cs="Arial"/>
          <w:i/>
          <w:sz w:val="22"/>
          <w:szCs w:val="22"/>
        </w:rPr>
      </w:pPr>
    </w:p>
    <w:p w14:paraId="19F1C4F9" w14:textId="677FA503" w:rsidR="007F7B32" w:rsidRPr="00404AFF" w:rsidRDefault="00902823" w:rsidP="00441B6F">
      <w:pPr>
        <w:pStyle w:val="AbstHead"/>
        <w:spacing w:after="0"/>
        <w:jc w:val="both"/>
        <w:rPr>
          <w:rFonts w:ascii="Arial" w:hAnsi="Arial" w:cs="Arial"/>
          <w:szCs w:val="22"/>
        </w:rPr>
      </w:pPr>
      <w:r w:rsidRPr="00404AFF">
        <w:rPr>
          <w:rFonts w:ascii="Arial" w:hAnsi="Arial" w:cs="Arial"/>
          <w:szCs w:val="22"/>
        </w:rPr>
        <w:t xml:space="preserve">1. </w:t>
      </w:r>
      <w:r w:rsidR="00B01FCD" w:rsidRPr="00404AFF">
        <w:rPr>
          <w:rFonts w:ascii="Arial" w:hAnsi="Arial" w:cs="Arial"/>
          <w:szCs w:val="22"/>
        </w:rPr>
        <w:t>INTRODUCTION</w:t>
      </w:r>
      <w:r w:rsidR="007F7B32" w:rsidRPr="00404AFF">
        <w:rPr>
          <w:rFonts w:ascii="Arial" w:hAnsi="Arial" w:cs="Arial"/>
          <w:szCs w:val="22"/>
        </w:rPr>
        <w:t xml:space="preserve"> </w:t>
      </w:r>
    </w:p>
    <w:p w14:paraId="6B1E4F02" w14:textId="77777777" w:rsidR="00790ADA" w:rsidRPr="00404AFF" w:rsidRDefault="00790ADA" w:rsidP="00441B6F">
      <w:pPr>
        <w:pStyle w:val="AbstHead"/>
        <w:spacing w:after="0"/>
        <w:jc w:val="both"/>
        <w:rPr>
          <w:rFonts w:ascii="Arial" w:hAnsi="Arial" w:cs="Arial"/>
          <w:szCs w:val="22"/>
        </w:rPr>
      </w:pPr>
    </w:p>
    <w:p w14:paraId="2975025C" w14:textId="239C6C67" w:rsidR="00750E6E" w:rsidRPr="00750E6E" w:rsidRDefault="00686648" w:rsidP="00750E6E">
      <w:pPr>
        <w:pStyle w:val="Body"/>
        <w:rPr>
          <w:rFonts w:ascii="Arial" w:hAnsi="Arial" w:cs="Arial"/>
        </w:rPr>
      </w:pPr>
      <w:r w:rsidRPr="00686648">
        <w:rPr>
          <w:rFonts w:ascii="Arial" w:hAnsi="Arial" w:cs="Arial"/>
        </w:rPr>
        <w:t xml:space="preserve">Islamic finance continues to demonstrate its significance within the global financial industry, with the global Islamic Financial Services Industry (IFSI) assets reaching USD3.38 trillion in 2023, a 4% year-on-year (YoY) growth, driven primarily by the Islamic banking sector which constitutes 70.21% of the total global IFSI assets and saw a YoY growth of 7.21%, reaching USD2.37 trillion by Q4 2023, despite a challenging macroeconomic environment </w:t>
      </w:r>
      <w:r w:rsidR="00095ED8" w:rsidRPr="00686648">
        <w:rPr>
          <w:rFonts w:ascii="Arial" w:hAnsi="Arial" w:cs="Arial"/>
        </w:rPr>
        <w:t>characterized</w:t>
      </w:r>
      <w:r w:rsidRPr="00686648">
        <w:rPr>
          <w:rFonts w:ascii="Arial" w:hAnsi="Arial" w:cs="Arial"/>
        </w:rPr>
        <w:t xml:space="preserve"> by inflationary pressures, geopolitical tensions and banking sector stresses</w:t>
      </w:r>
      <w:r>
        <w:rPr>
          <w:rFonts w:ascii="Arial" w:hAnsi="Arial" w:cs="Arial"/>
        </w:rPr>
        <w:t xml:space="preserve"> </w:t>
      </w:r>
      <w:sdt>
        <w:sdtPr>
          <w:rPr>
            <w:rFonts w:ascii="Arial" w:hAnsi="Arial" w:cs="Arial"/>
          </w:rPr>
          <w:id w:val="-593620504"/>
          <w:citation/>
        </w:sdtPr>
        <w:sdtEndPr/>
        <w:sdtContent>
          <w:r>
            <w:rPr>
              <w:rFonts w:ascii="Arial" w:hAnsi="Arial" w:cs="Arial"/>
            </w:rPr>
            <w:fldChar w:fldCharType="begin"/>
          </w:r>
          <w:r>
            <w:rPr>
              <w:rFonts w:ascii="Arial" w:hAnsi="Arial" w:cs="Arial"/>
            </w:rPr>
            <w:instrText xml:space="preserve"> CITATION ISL24 \l 1033 </w:instrText>
          </w:r>
          <w:r>
            <w:rPr>
              <w:rFonts w:ascii="Arial" w:hAnsi="Arial" w:cs="Arial"/>
            </w:rPr>
            <w:fldChar w:fldCharType="separate"/>
          </w:r>
          <w:r w:rsidRPr="00686648">
            <w:rPr>
              <w:rFonts w:ascii="Arial" w:hAnsi="Arial" w:cs="Arial"/>
              <w:noProof/>
            </w:rPr>
            <w:t>(ISLAMIC FINANCIAL SERVICES BOARD, 2024)</w:t>
          </w:r>
          <w:r>
            <w:rPr>
              <w:rFonts w:ascii="Arial" w:hAnsi="Arial" w:cs="Arial"/>
            </w:rPr>
            <w:fldChar w:fldCharType="end"/>
          </w:r>
        </w:sdtContent>
      </w:sdt>
      <w:r w:rsidRPr="00686648">
        <w:rPr>
          <w:rFonts w:ascii="Arial" w:hAnsi="Arial" w:cs="Arial"/>
        </w:rPr>
        <w:t>.</w:t>
      </w:r>
      <w:r>
        <w:rPr>
          <w:rFonts w:ascii="Arial" w:hAnsi="Arial" w:cs="Arial"/>
        </w:rPr>
        <w:t xml:space="preserve"> </w:t>
      </w:r>
      <w:r w:rsidR="00AE1817">
        <w:rPr>
          <w:rFonts w:ascii="Arial" w:hAnsi="Arial" w:cs="Arial"/>
        </w:rPr>
        <w:t>Kahf (2015)</w:t>
      </w:r>
      <w:r w:rsidR="00750E6E" w:rsidRPr="00750E6E">
        <w:rPr>
          <w:rFonts w:ascii="Arial" w:hAnsi="Arial" w:cs="Arial"/>
        </w:rPr>
        <w:t xml:space="preserve"> defines </w:t>
      </w:r>
      <w:commentRangeStart w:id="21"/>
      <w:r w:rsidR="00750E6E" w:rsidRPr="00750E6E">
        <w:rPr>
          <w:rFonts w:ascii="Arial" w:hAnsi="Arial" w:cs="Arial"/>
        </w:rPr>
        <w:t xml:space="preserve">an </w:t>
      </w:r>
      <w:commentRangeEnd w:id="21"/>
      <w:r w:rsidR="003D5931">
        <w:rPr>
          <w:rStyle w:val="CommentReference"/>
          <w:rFonts w:ascii="Times New Roman" w:hAnsi="Times New Roman"/>
          <w:lang w:val="nb-NO" w:eastAsia="nb-NO"/>
        </w:rPr>
        <w:commentReference w:id="21"/>
      </w:r>
      <w:r w:rsidR="00750E6E" w:rsidRPr="00750E6E">
        <w:rPr>
          <w:rFonts w:ascii="Arial" w:hAnsi="Arial" w:cs="Arial"/>
        </w:rPr>
        <w:t>Islamic bank as "a depository institution of financial intermediation specialized in providing financial services in accordance with the tenets of Shari'ah, especially the moral criteria and prohibition of riba (interest)." More broadly, an Islamic bank can be understood as a financial institution that adheres to both Shari'ah principles and jurisdictional laws. This dual obligation, operating within both religious and secular legal frameworks, presents a unique set of complexities, particularly in non-Islamic jurisdictions. Despite these challenges, Islamic banks continue to expand in the financial industry, indicating significant untapped potential.</w:t>
      </w:r>
    </w:p>
    <w:p w14:paraId="08E84EF4" w14:textId="111F5D51" w:rsidR="00750E6E" w:rsidRPr="00750E6E" w:rsidRDefault="00750E6E" w:rsidP="00750E6E">
      <w:pPr>
        <w:pStyle w:val="Body"/>
        <w:rPr>
          <w:rFonts w:ascii="Arial" w:hAnsi="Arial" w:cs="Arial"/>
        </w:rPr>
      </w:pPr>
      <w:r w:rsidRPr="00750E6E">
        <w:rPr>
          <w:rFonts w:ascii="Arial" w:hAnsi="Arial" w:cs="Arial"/>
        </w:rPr>
        <w:t>While often perceived solely as interest</w:t>
      </w:r>
      <w:r w:rsidR="00E338DA">
        <w:rPr>
          <w:rFonts w:ascii="Arial" w:hAnsi="Arial" w:cs="Arial"/>
        </w:rPr>
        <w:t xml:space="preserve"> (riba)-free banking, Islamic banking</w:t>
      </w:r>
      <w:r w:rsidRPr="00750E6E">
        <w:rPr>
          <w:rFonts w:ascii="Arial" w:hAnsi="Arial" w:cs="Arial"/>
        </w:rPr>
        <w:t xml:space="preserve"> encompasses a broader ethical framework. In addition to prohibiting interest-based transactions, Islamic banking operations must adhere to stringent ethical guidelines, promoting transparency, fairness, and social responsibility. </w:t>
      </w:r>
      <w:commentRangeStart w:id="22"/>
      <w:r w:rsidRPr="00750E6E">
        <w:rPr>
          <w:rFonts w:ascii="Arial" w:hAnsi="Arial" w:cs="Arial"/>
        </w:rPr>
        <w:t>Furthermore,</w:t>
      </w:r>
      <w:commentRangeEnd w:id="22"/>
      <w:r w:rsidR="003D5931">
        <w:rPr>
          <w:rStyle w:val="CommentReference"/>
          <w:rFonts w:ascii="Times New Roman" w:hAnsi="Times New Roman"/>
          <w:lang w:val="nb-NO" w:eastAsia="nb-NO"/>
        </w:rPr>
        <w:commentReference w:id="22"/>
      </w:r>
      <w:r w:rsidRPr="00750E6E">
        <w:rPr>
          <w:rFonts w:ascii="Arial" w:hAnsi="Arial" w:cs="Arial"/>
        </w:rPr>
        <w:t xml:space="preserve"> Islamic banks are expected to be competitive within their respective markets and contribute actively to the economic visions and missions of the countries in which they operate.</w:t>
      </w:r>
    </w:p>
    <w:p w14:paraId="53299DB6" w14:textId="4506665F" w:rsidR="00750E6E" w:rsidRPr="00750E6E" w:rsidRDefault="00750E6E" w:rsidP="00750E6E">
      <w:pPr>
        <w:pStyle w:val="Body"/>
        <w:rPr>
          <w:rFonts w:ascii="Arial" w:hAnsi="Arial" w:cs="Arial"/>
        </w:rPr>
      </w:pPr>
      <w:r w:rsidRPr="00750E6E">
        <w:rPr>
          <w:rFonts w:ascii="Arial" w:hAnsi="Arial" w:cs="Arial"/>
        </w:rPr>
        <w:lastRenderedPageBreak/>
        <w:t>Kenya, an East African nation with a diverse economy and a significant Muslim population</w:t>
      </w:r>
      <w:r w:rsidR="00E338DA">
        <w:rPr>
          <w:rFonts w:ascii="Arial" w:hAnsi="Arial" w:cs="Arial"/>
        </w:rPr>
        <w:t xml:space="preserve"> (5.2 million as of 2019)</w:t>
      </w:r>
      <w:r w:rsidR="00E338DA">
        <w:rPr>
          <w:rStyle w:val="FootnoteReference"/>
          <w:rFonts w:ascii="Arial" w:hAnsi="Arial" w:cs="Arial"/>
        </w:rPr>
        <w:footnoteReference w:id="1"/>
      </w:r>
      <w:r w:rsidRPr="00750E6E">
        <w:rPr>
          <w:rFonts w:ascii="Arial" w:hAnsi="Arial" w:cs="Arial"/>
        </w:rPr>
        <w:t>, presents a compelling case study for examining the potential of Islamic banking. With major cities including Nairobi, Kisumu, and Mombasa, and a monetary medium of exchange based on the Kenyan shilling (KES), Kenya's financial sector has experienced significant growth in both size and complexity, supporting the overall economy</w:t>
      </w:r>
      <w:r w:rsidR="00E338DA">
        <w:rPr>
          <w:rFonts w:ascii="Arial" w:hAnsi="Arial" w:cs="Arial"/>
        </w:rPr>
        <w:t>,</w:t>
      </w:r>
      <w:r w:rsidRPr="00750E6E">
        <w:rPr>
          <w:rFonts w:ascii="Arial" w:hAnsi="Arial" w:cs="Arial"/>
        </w:rPr>
        <w:t xml:space="preserve"> (The Kenya Financial Sector Stability Report, 2016). The sector comprises various institutions, including banking, capital markets, insurance, pensions, savings and credit cooperatives, microfinance institutions, money remittance companies, foreign exchange bureaus, and development finance institutions.</w:t>
      </w:r>
      <w:commentRangeStart w:id="23"/>
      <w:r w:rsidRPr="00750E6E">
        <w:rPr>
          <w:rFonts w:ascii="Arial" w:hAnsi="Arial" w:cs="Arial"/>
        </w:rPr>
        <w:t xml:space="preserve"> </w:t>
      </w:r>
      <w:commentRangeEnd w:id="23"/>
      <w:r w:rsidR="003D5931">
        <w:rPr>
          <w:rStyle w:val="CommentReference"/>
          <w:rFonts w:ascii="Times New Roman" w:hAnsi="Times New Roman"/>
          <w:lang w:val="nb-NO" w:eastAsia="nb-NO"/>
        </w:rPr>
        <w:commentReference w:id="23"/>
      </w:r>
      <w:r w:rsidRPr="00750E6E">
        <w:rPr>
          <w:rFonts w:ascii="Arial" w:hAnsi="Arial" w:cs="Arial"/>
        </w:rPr>
        <w:t>Christianity is the predomina</w:t>
      </w:r>
      <w:r w:rsidR="00AE1817">
        <w:rPr>
          <w:rFonts w:ascii="Arial" w:hAnsi="Arial" w:cs="Arial"/>
        </w:rPr>
        <w:t>nt religion, followed by Islam</w:t>
      </w:r>
      <w:commentRangeStart w:id="24"/>
      <w:r w:rsidR="00AE1817">
        <w:rPr>
          <w:rFonts w:ascii="Arial" w:hAnsi="Arial" w:cs="Arial"/>
        </w:rPr>
        <w:t xml:space="preserve"> </w:t>
      </w:r>
      <w:commentRangeEnd w:id="24"/>
      <w:r w:rsidR="003D5931">
        <w:rPr>
          <w:rStyle w:val="CommentReference"/>
          <w:rFonts w:ascii="Times New Roman" w:hAnsi="Times New Roman"/>
          <w:lang w:val="nb-NO" w:eastAsia="nb-NO"/>
        </w:rPr>
        <w:commentReference w:id="24"/>
      </w:r>
      <w:proofErr w:type="spellStart"/>
      <w:r w:rsidRPr="00750E6E">
        <w:rPr>
          <w:rFonts w:ascii="Arial" w:hAnsi="Arial" w:cs="Arial"/>
        </w:rPr>
        <w:t>SoftK</w:t>
      </w:r>
      <w:r w:rsidR="00AE1817">
        <w:rPr>
          <w:rFonts w:ascii="Arial" w:hAnsi="Arial" w:cs="Arial"/>
        </w:rPr>
        <w:t>enya</w:t>
      </w:r>
      <w:proofErr w:type="spellEnd"/>
      <w:r w:rsidRPr="00750E6E">
        <w:rPr>
          <w:rFonts w:ascii="Arial" w:hAnsi="Arial" w:cs="Arial"/>
        </w:rPr>
        <w:t xml:space="preserve"> </w:t>
      </w:r>
      <w:r w:rsidR="00AE1817">
        <w:rPr>
          <w:rFonts w:ascii="Arial" w:hAnsi="Arial" w:cs="Arial"/>
        </w:rPr>
        <w:t>(</w:t>
      </w:r>
      <w:r w:rsidRPr="00750E6E">
        <w:rPr>
          <w:rFonts w:ascii="Arial" w:hAnsi="Arial" w:cs="Arial"/>
        </w:rPr>
        <w:t>2017).</w:t>
      </w:r>
    </w:p>
    <w:p w14:paraId="7E943C5C" w14:textId="53E52BCA" w:rsidR="00750E6E" w:rsidRPr="00750E6E" w:rsidRDefault="00750E6E" w:rsidP="00750E6E">
      <w:pPr>
        <w:pStyle w:val="Body"/>
        <w:rPr>
          <w:rFonts w:ascii="Arial" w:hAnsi="Arial" w:cs="Arial"/>
        </w:rPr>
      </w:pPr>
      <w:r w:rsidRPr="00750E6E">
        <w:rPr>
          <w:rFonts w:ascii="Arial" w:hAnsi="Arial" w:cs="Arial"/>
        </w:rPr>
        <w:t xml:space="preserve">The factors influencing consumer choice of Islamic banks have been the </w:t>
      </w:r>
      <w:commentRangeStart w:id="25"/>
      <w:r w:rsidRPr="00750E6E">
        <w:rPr>
          <w:rFonts w:ascii="Arial" w:hAnsi="Arial" w:cs="Arial"/>
        </w:rPr>
        <w:t xml:space="preserve">subject </w:t>
      </w:r>
      <w:commentRangeEnd w:id="25"/>
      <w:r w:rsidR="003D5931">
        <w:rPr>
          <w:rStyle w:val="CommentReference"/>
          <w:rFonts w:ascii="Times New Roman" w:hAnsi="Times New Roman"/>
          <w:lang w:val="nb-NO" w:eastAsia="nb-NO"/>
        </w:rPr>
        <w:commentReference w:id="25"/>
      </w:r>
      <w:r w:rsidRPr="00750E6E">
        <w:rPr>
          <w:rFonts w:ascii="Arial" w:hAnsi="Arial" w:cs="Arial"/>
        </w:rPr>
        <w:t xml:space="preserve">of scholarly </w:t>
      </w:r>
      <w:commentRangeStart w:id="26"/>
      <w:r w:rsidRPr="00750E6E">
        <w:rPr>
          <w:rFonts w:ascii="Arial" w:hAnsi="Arial" w:cs="Arial"/>
        </w:rPr>
        <w:t>debate</w:t>
      </w:r>
      <w:commentRangeEnd w:id="26"/>
      <w:r w:rsidR="003D5931">
        <w:rPr>
          <w:rStyle w:val="CommentReference"/>
          <w:rFonts w:ascii="Times New Roman" w:hAnsi="Times New Roman"/>
          <w:lang w:val="nb-NO" w:eastAsia="nb-NO"/>
        </w:rPr>
        <w:commentReference w:id="26"/>
      </w:r>
      <w:r w:rsidRPr="00750E6E">
        <w:rPr>
          <w:rFonts w:ascii="Arial" w:hAnsi="Arial" w:cs="Arial"/>
        </w:rPr>
        <w:t xml:space="preserve">. Some studies suggest that individual choices to bank with Islamic banks, by both Muslims and non-Muslims, are primarily driven by cost-benefit analysis, service delivery, convenience, and social influence (Marimuthu, 2010; Haron, 1994). These findings imply that ethnic and religious beliefs may not necessarily be </w:t>
      </w:r>
      <w:r w:rsidR="00E338DA">
        <w:rPr>
          <w:rFonts w:ascii="Arial" w:hAnsi="Arial" w:cs="Arial"/>
        </w:rPr>
        <w:t xml:space="preserve">the </w:t>
      </w:r>
      <w:r w:rsidRPr="00750E6E">
        <w:rPr>
          <w:rFonts w:ascii="Arial" w:hAnsi="Arial" w:cs="Arial"/>
        </w:rPr>
        <w:t xml:space="preserve">primary determinants in bank selection. However, these conclusions are contradicted by others. Kadubo (2010) </w:t>
      </w:r>
      <w:r w:rsidR="00E338DA">
        <w:rPr>
          <w:rFonts w:ascii="Arial" w:hAnsi="Arial" w:cs="Arial"/>
        </w:rPr>
        <w:t>as cited</w:t>
      </w:r>
      <w:r w:rsidRPr="00750E6E">
        <w:rPr>
          <w:rFonts w:ascii="Arial" w:hAnsi="Arial" w:cs="Arial"/>
        </w:rPr>
        <w:t xml:space="preserve"> </w:t>
      </w:r>
      <w:r w:rsidR="00E338DA">
        <w:rPr>
          <w:rFonts w:ascii="Arial" w:hAnsi="Arial" w:cs="Arial"/>
        </w:rPr>
        <w:t>i</w:t>
      </w:r>
      <w:r w:rsidR="00E338DA" w:rsidRPr="00750E6E">
        <w:rPr>
          <w:rFonts w:ascii="Arial" w:hAnsi="Arial" w:cs="Arial"/>
        </w:rPr>
        <w:t>n</w:t>
      </w:r>
      <w:r w:rsidR="00E338DA">
        <w:rPr>
          <w:rFonts w:ascii="Arial" w:hAnsi="Arial" w:cs="Arial"/>
        </w:rPr>
        <w:t xml:space="preserve"> Gerrald</w:t>
      </w:r>
      <w:r w:rsidRPr="00750E6E">
        <w:rPr>
          <w:rFonts w:ascii="Arial" w:hAnsi="Arial" w:cs="Arial"/>
        </w:rPr>
        <w:t xml:space="preserve"> 1997 studies, </w:t>
      </w:r>
      <w:commentRangeStart w:id="27"/>
      <w:r w:rsidRPr="00750E6E">
        <w:rPr>
          <w:rFonts w:ascii="Arial" w:hAnsi="Arial" w:cs="Arial"/>
        </w:rPr>
        <w:t xml:space="preserve">which </w:t>
      </w:r>
      <w:commentRangeEnd w:id="27"/>
      <w:r w:rsidR="00FD4D58">
        <w:rPr>
          <w:rStyle w:val="CommentReference"/>
          <w:rFonts w:ascii="Times New Roman" w:hAnsi="Times New Roman"/>
          <w:lang w:val="nb-NO" w:eastAsia="nb-NO"/>
        </w:rPr>
        <w:commentReference w:id="27"/>
      </w:r>
      <w:commentRangeStart w:id="28"/>
      <w:r w:rsidRPr="00750E6E">
        <w:rPr>
          <w:rFonts w:ascii="Arial" w:hAnsi="Arial" w:cs="Arial"/>
        </w:rPr>
        <w:t xml:space="preserve">suggest </w:t>
      </w:r>
      <w:commentRangeEnd w:id="28"/>
      <w:r w:rsidR="00FD4D58">
        <w:rPr>
          <w:rStyle w:val="CommentReference"/>
          <w:rFonts w:ascii="Times New Roman" w:hAnsi="Times New Roman"/>
          <w:lang w:val="nb-NO" w:eastAsia="nb-NO"/>
        </w:rPr>
        <w:commentReference w:id="28"/>
      </w:r>
      <w:r w:rsidRPr="00750E6E">
        <w:rPr>
          <w:rFonts w:ascii="Arial" w:hAnsi="Arial" w:cs="Arial"/>
        </w:rPr>
        <w:t xml:space="preserve">that religious belief and social responsibilities are key determinants of bank selection. This </w:t>
      </w:r>
      <w:commentRangeStart w:id="29"/>
      <w:r w:rsidRPr="00750E6E">
        <w:rPr>
          <w:rFonts w:ascii="Arial" w:hAnsi="Arial" w:cs="Arial"/>
        </w:rPr>
        <w:t xml:space="preserve">presents </w:t>
      </w:r>
      <w:commentRangeEnd w:id="29"/>
      <w:r w:rsidR="00FD4D58">
        <w:rPr>
          <w:rStyle w:val="CommentReference"/>
          <w:rFonts w:ascii="Times New Roman" w:hAnsi="Times New Roman"/>
          <w:lang w:val="nb-NO" w:eastAsia="nb-NO"/>
        </w:rPr>
        <w:commentReference w:id="29"/>
      </w:r>
      <w:r w:rsidRPr="00750E6E">
        <w:rPr>
          <w:rFonts w:ascii="Arial" w:hAnsi="Arial" w:cs="Arial"/>
        </w:rPr>
        <w:t xml:space="preserve">that the findings on the </w:t>
      </w:r>
      <w:commentRangeStart w:id="30"/>
      <w:r w:rsidRPr="00750E6E">
        <w:rPr>
          <w:rFonts w:ascii="Arial" w:hAnsi="Arial" w:cs="Arial"/>
        </w:rPr>
        <w:t xml:space="preserve">factors </w:t>
      </w:r>
      <w:commentRangeEnd w:id="30"/>
      <w:r w:rsidR="00FD4D58">
        <w:rPr>
          <w:rStyle w:val="CommentReference"/>
          <w:rFonts w:ascii="Times New Roman" w:hAnsi="Times New Roman"/>
          <w:lang w:val="nb-NO" w:eastAsia="nb-NO"/>
        </w:rPr>
        <w:commentReference w:id="30"/>
      </w:r>
      <w:r w:rsidRPr="00750E6E">
        <w:rPr>
          <w:rFonts w:ascii="Arial" w:hAnsi="Arial" w:cs="Arial"/>
        </w:rPr>
        <w:t>for</w:t>
      </w:r>
      <w:commentRangeStart w:id="31"/>
      <w:r w:rsidRPr="00750E6E">
        <w:rPr>
          <w:rFonts w:ascii="Arial" w:hAnsi="Arial" w:cs="Arial"/>
        </w:rPr>
        <w:t xml:space="preserve"> </w:t>
      </w:r>
      <w:commentRangeEnd w:id="31"/>
      <w:r w:rsidR="00FD4D58">
        <w:rPr>
          <w:rStyle w:val="CommentReference"/>
          <w:rFonts w:ascii="Times New Roman" w:hAnsi="Times New Roman"/>
          <w:lang w:val="nb-NO" w:eastAsia="nb-NO"/>
        </w:rPr>
        <w:commentReference w:id="31"/>
      </w:r>
      <w:commentRangeStart w:id="32"/>
      <w:r w:rsidRPr="00750E6E">
        <w:rPr>
          <w:rFonts w:ascii="Arial" w:hAnsi="Arial" w:cs="Arial"/>
        </w:rPr>
        <w:t xml:space="preserve">adoption </w:t>
      </w:r>
      <w:commentRangeEnd w:id="32"/>
      <w:r w:rsidR="00FD4D58">
        <w:rPr>
          <w:rStyle w:val="CommentReference"/>
          <w:rFonts w:ascii="Times New Roman" w:hAnsi="Times New Roman"/>
          <w:lang w:val="nb-NO" w:eastAsia="nb-NO"/>
        </w:rPr>
        <w:commentReference w:id="32"/>
      </w:r>
      <w:commentRangeStart w:id="33"/>
      <w:r w:rsidRPr="00750E6E">
        <w:rPr>
          <w:rFonts w:ascii="Arial" w:hAnsi="Arial" w:cs="Arial"/>
        </w:rPr>
        <w:t>by non-Muslims for Islamic</w:t>
      </w:r>
      <w:commentRangeEnd w:id="33"/>
      <w:r w:rsidR="00FD4D58">
        <w:rPr>
          <w:rStyle w:val="CommentReference"/>
          <w:rFonts w:ascii="Times New Roman" w:hAnsi="Times New Roman"/>
          <w:lang w:val="nb-NO" w:eastAsia="nb-NO"/>
        </w:rPr>
        <w:commentReference w:id="33"/>
      </w:r>
      <w:r w:rsidRPr="00750E6E">
        <w:rPr>
          <w:rFonts w:ascii="Arial" w:hAnsi="Arial" w:cs="Arial"/>
        </w:rPr>
        <w:t xml:space="preserve"> are mixed. </w:t>
      </w:r>
      <w:commentRangeStart w:id="34"/>
      <w:r w:rsidRPr="00750E6E">
        <w:rPr>
          <w:rFonts w:ascii="Arial" w:hAnsi="Arial" w:cs="Arial"/>
        </w:rPr>
        <w:t xml:space="preserve">Further </w:t>
      </w:r>
      <w:commentRangeEnd w:id="34"/>
      <w:r w:rsidR="00FD4D58">
        <w:rPr>
          <w:rStyle w:val="CommentReference"/>
          <w:rFonts w:ascii="Times New Roman" w:hAnsi="Times New Roman"/>
          <w:lang w:val="nb-NO" w:eastAsia="nb-NO"/>
        </w:rPr>
        <w:commentReference w:id="34"/>
      </w:r>
      <w:r w:rsidRPr="00750E6E">
        <w:rPr>
          <w:rFonts w:ascii="Arial" w:hAnsi="Arial" w:cs="Arial"/>
        </w:rPr>
        <w:t xml:space="preserve">complicating the landscape, </w:t>
      </w:r>
      <w:proofErr w:type="spellStart"/>
      <w:r w:rsidRPr="00750E6E">
        <w:rPr>
          <w:rFonts w:ascii="Arial" w:hAnsi="Arial" w:cs="Arial"/>
        </w:rPr>
        <w:t>Oundo</w:t>
      </w:r>
      <w:proofErr w:type="spellEnd"/>
      <w:r w:rsidRPr="00750E6E">
        <w:rPr>
          <w:rFonts w:ascii="Arial" w:hAnsi="Arial" w:cs="Arial"/>
        </w:rPr>
        <w:t xml:space="preserve"> (2009) indicates that some financial products associated with Islam in Kenya's financial industry may not fully adhere to Shari'ah principles, and that awareness of Islamic banking principles and operations </w:t>
      </w:r>
      <w:commentRangeStart w:id="35"/>
      <w:r w:rsidRPr="00750E6E">
        <w:rPr>
          <w:rFonts w:ascii="Arial" w:hAnsi="Arial" w:cs="Arial"/>
        </w:rPr>
        <w:t xml:space="preserve">remains </w:t>
      </w:r>
      <w:commentRangeEnd w:id="35"/>
      <w:r w:rsidR="00FD4D58">
        <w:rPr>
          <w:rStyle w:val="CommentReference"/>
          <w:rFonts w:ascii="Times New Roman" w:hAnsi="Times New Roman"/>
          <w:lang w:val="nb-NO" w:eastAsia="nb-NO"/>
        </w:rPr>
        <w:commentReference w:id="35"/>
      </w:r>
      <w:r w:rsidRPr="00750E6E">
        <w:rPr>
          <w:rFonts w:ascii="Arial" w:hAnsi="Arial" w:cs="Arial"/>
        </w:rPr>
        <w:t xml:space="preserve">limited among the Kenyan population. This knowledge gap represents a significant challenge for Islamic banks to </w:t>
      </w:r>
      <w:commentRangeStart w:id="36"/>
      <w:r w:rsidRPr="00750E6E">
        <w:rPr>
          <w:rFonts w:ascii="Arial" w:hAnsi="Arial" w:cs="Arial"/>
        </w:rPr>
        <w:t xml:space="preserve">address </w:t>
      </w:r>
      <w:commentRangeEnd w:id="36"/>
      <w:r w:rsidR="00FD4D58">
        <w:rPr>
          <w:rStyle w:val="CommentReference"/>
          <w:rFonts w:ascii="Times New Roman" w:hAnsi="Times New Roman"/>
          <w:lang w:val="nb-NO" w:eastAsia="nb-NO"/>
        </w:rPr>
        <w:commentReference w:id="36"/>
      </w:r>
      <w:r w:rsidRPr="00750E6E">
        <w:rPr>
          <w:rFonts w:ascii="Arial" w:hAnsi="Arial" w:cs="Arial"/>
        </w:rPr>
        <w:t>(</w:t>
      </w:r>
      <w:proofErr w:type="spellStart"/>
      <w:r w:rsidRPr="00750E6E">
        <w:rPr>
          <w:rFonts w:ascii="Arial" w:hAnsi="Arial" w:cs="Arial"/>
        </w:rPr>
        <w:t>Haron</w:t>
      </w:r>
      <w:proofErr w:type="spellEnd"/>
      <w:r w:rsidRPr="00750E6E">
        <w:rPr>
          <w:rFonts w:ascii="Arial" w:hAnsi="Arial" w:cs="Arial"/>
        </w:rPr>
        <w:t>, 1994).</w:t>
      </w:r>
    </w:p>
    <w:p w14:paraId="0E666C4C" w14:textId="07648A67" w:rsidR="00750E6E" w:rsidRPr="00E338DA" w:rsidRDefault="00750E6E" w:rsidP="008422BF">
      <w:pPr>
        <w:pStyle w:val="Body"/>
        <w:rPr>
          <w:rFonts w:ascii="Arial" w:hAnsi="Arial" w:cs="Arial"/>
        </w:rPr>
      </w:pPr>
      <w:r w:rsidRPr="00750E6E">
        <w:rPr>
          <w:rFonts w:ascii="Arial" w:hAnsi="Arial" w:cs="Arial"/>
        </w:rPr>
        <w:t>In light of these considerations, this study aims to investigate the potentials of Islamic banks in Kenya and the resources (both human and capital) required to realize these opportunities. The study seeks to explore how Islamic banks can expand their customer base, strengthen their position within Kenya's financial industry, and develop innovative Shari’ah-compliant products.</w:t>
      </w:r>
    </w:p>
    <w:p w14:paraId="0E7C60DC" w14:textId="1DE5B1FF" w:rsidR="007F7B32" w:rsidRPr="00404AFF" w:rsidRDefault="00902823" w:rsidP="00B45D49">
      <w:pPr>
        <w:pStyle w:val="AbstHead"/>
        <w:spacing w:after="0"/>
        <w:jc w:val="both"/>
        <w:rPr>
          <w:rFonts w:ascii="Arial" w:hAnsi="Arial" w:cs="Arial"/>
          <w:szCs w:val="22"/>
        </w:rPr>
      </w:pPr>
      <w:r w:rsidRPr="00404AFF">
        <w:rPr>
          <w:rFonts w:ascii="Arial" w:hAnsi="Arial" w:cs="Arial"/>
          <w:szCs w:val="22"/>
        </w:rPr>
        <w:t>2</w:t>
      </w:r>
      <w:r w:rsidR="00B45D49">
        <w:rPr>
          <w:rFonts w:ascii="Arial" w:hAnsi="Arial" w:cs="Arial"/>
          <w:szCs w:val="22"/>
        </w:rPr>
        <w:t>.</w:t>
      </w:r>
      <w:r w:rsidRPr="00404AFF">
        <w:rPr>
          <w:rFonts w:ascii="Arial" w:hAnsi="Arial" w:cs="Arial"/>
          <w:szCs w:val="22"/>
        </w:rPr>
        <w:t xml:space="preserve"> </w:t>
      </w:r>
      <w:r w:rsidR="002F7E3D" w:rsidRPr="00404AFF">
        <w:rPr>
          <w:rFonts w:ascii="Arial" w:hAnsi="Arial" w:cs="Arial"/>
          <w:szCs w:val="22"/>
        </w:rPr>
        <w:t>Literature Review</w:t>
      </w:r>
    </w:p>
    <w:p w14:paraId="441AA2D5" w14:textId="77777777" w:rsidR="00B45D49" w:rsidRDefault="00B45D49" w:rsidP="008C5F54">
      <w:pPr>
        <w:jc w:val="both"/>
        <w:rPr>
          <w:rFonts w:ascii="Arial" w:hAnsi="Arial" w:cs="Arial"/>
        </w:rPr>
      </w:pPr>
    </w:p>
    <w:p w14:paraId="0FDF4282" w14:textId="69E12236" w:rsidR="00750E6E" w:rsidRDefault="00750E6E" w:rsidP="008C5F54">
      <w:pPr>
        <w:jc w:val="both"/>
        <w:rPr>
          <w:rFonts w:ascii="Arial" w:hAnsi="Arial" w:cs="Arial"/>
        </w:rPr>
      </w:pPr>
      <w:r w:rsidRPr="00750E6E">
        <w:rPr>
          <w:rFonts w:ascii="Arial" w:hAnsi="Arial" w:cs="Arial"/>
        </w:rPr>
        <w:t xml:space="preserve">This section reviews the existing scholarly literature pertaining to the development and characteristics of Islamic banking in Kenya. It investigates the key factors that have contributed to the emergence of Islamic financial institutions in the Kenyan context. Specific attention will be given to: (1) the influence of unmet demand for </w:t>
      </w:r>
      <w:r w:rsidR="00095ED8" w:rsidRPr="00750E6E">
        <w:rPr>
          <w:rFonts w:ascii="Arial" w:hAnsi="Arial" w:cs="Arial"/>
        </w:rPr>
        <w:t>Shari’ah</w:t>
      </w:r>
      <w:r w:rsidRPr="00750E6E">
        <w:rPr>
          <w:rFonts w:ascii="Arial" w:hAnsi="Arial" w:cs="Arial"/>
        </w:rPr>
        <w:t>-compliant financial products; (2) strategic responses by financial institutions to competitors offering Islamic banking services; (3) the broader competitive dynamics within the Kenyan banking sector; and (4) the impact of global trends in Islamic finance on local developments. Furthermore, the review will analyze the challenges confronting Islamic banks in Kenya, including regulatory constraints, issues related to information asymmetry, and their effects on customer bank selection processes. Finally, the section will examine the various market penetration strategies employed by Islamic banks as they seek to establish and expand their presence in the Kenyan financial market. This comprehensive review will provide the theoretical and empirical foundation for the subsequent analysis presented in this paper.</w:t>
      </w:r>
    </w:p>
    <w:p w14:paraId="19CCA9C4" w14:textId="097E6C00" w:rsidR="002F7E3D" w:rsidRPr="00404AFF" w:rsidRDefault="002F7E3D" w:rsidP="008422BF">
      <w:pPr>
        <w:pStyle w:val="AbstHead"/>
        <w:spacing w:after="0"/>
        <w:jc w:val="both"/>
        <w:rPr>
          <w:rFonts w:ascii="Arial" w:hAnsi="Arial" w:cs="Arial"/>
          <w:b w:val="0"/>
          <w:bCs/>
          <w:szCs w:val="22"/>
        </w:rPr>
      </w:pPr>
    </w:p>
    <w:p w14:paraId="549C8CE5" w14:textId="2E3CE782" w:rsidR="00790ADA" w:rsidRDefault="00B45D49" w:rsidP="008C5F54">
      <w:pPr>
        <w:pStyle w:val="AbstHead"/>
        <w:spacing w:after="0"/>
        <w:rPr>
          <w:rFonts w:ascii="Arial" w:hAnsi="Arial" w:cs="Arial"/>
          <w:caps w:val="0"/>
          <w:szCs w:val="22"/>
        </w:rPr>
      </w:pPr>
      <w:r w:rsidRPr="00404AFF">
        <w:rPr>
          <w:rFonts w:ascii="Arial" w:hAnsi="Arial" w:cs="Arial"/>
          <w:caps w:val="0"/>
          <w:szCs w:val="22"/>
        </w:rPr>
        <w:t xml:space="preserve">2.1 History </w:t>
      </w:r>
      <w:r>
        <w:rPr>
          <w:rFonts w:ascii="Arial" w:hAnsi="Arial" w:cs="Arial"/>
          <w:caps w:val="0"/>
          <w:szCs w:val="22"/>
        </w:rPr>
        <w:t>o</w:t>
      </w:r>
      <w:r w:rsidRPr="00404AFF">
        <w:rPr>
          <w:rFonts w:ascii="Arial" w:hAnsi="Arial" w:cs="Arial"/>
          <w:caps w:val="0"/>
          <w:szCs w:val="22"/>
        </w:rPr>
        <w:t xml:space="preserve">f Islamic Banking </w:t>
      </w:r>
      <w:r>
        <w:rPr>
          <w:rFonts w:ascii="Arial" w:hAnsi="Arial" w:cs="Arial"/>
          <w:caps w:val="0"/>
          <w:szCs w:val="22"/>
        </w:rPr>
        <w:t>i</w:t>
      </w:r>
      <w:r w:rsidRPr="00404AFF">
        <w:rPr>
          <w:rFonts w:ascii="Arial" w:hAnsi="Arial" w:cs="Arial"/>
          <w:caps w:val="0"/>
          <w:szCs w:val="22"/>
        </w:rPr>
        <w:t>n Kenya</w:t>
      </w:r>
    </w:p>
    <w:p w14:paraId="5656A44A" w14:textId="77777777" w:rsidR="00B45D49" w:rsidRPr="00404AFF" w:rsidRDefault="00B45D49" w:rsidP="008C5F54">
      <w:pPr>
        <w:pStyle w:val="AbstHead"/>
        <w:spacing w:after="0"/>
        <w:rPr>
          <w:rFonts w:ascii="Arial" w:hAnsi="Arial" w:cs="Arial"/>
          <w:szCs w:val="22"/>
        </w:rPr>
      </w:pPr>
    </w:p>
    <w:p w14:paraId="7FF942C7" w14:textId="184421E7" w:rsidR="00F94C08" w:rsidRPr="008A6FAC" w:rsidRDefault="008A6FAC" w:rsidP="00F94C08">
      <w:pPr>
        <w:pStyle w:val="Body"/>
        <w:rPr>
          <w:rFonts w:ascii="Arial" w:hAnsi="Arial" w:cs="Arial"/>
        </w:rPr>
      </w:pPr>
      <w:r w:rsidRPr="008A6FAC">
        <w:rPr>
          <w:rFonts w:ascii="Arial" w:hAnsi="Arial" w:cs="Arial"/>
        </w:rPr>
        <w:t xml:space="preserve">Islamic banking was introduced in Kenya in 2007, marking a pioneering development within the East and Central African region. Gulf African Bank (GAB) became the first institution to receive a license from the Central Bank of Kenya (CBK) to operate as a fully </w:t>
      </w:r>
      <w:r w:rsidR="00AE1817" w:rsidRPr="008A6FAC">
        <w:rPr>
          <w:rFonts w:ascii="Arial" w:hAnsi="Arial" w:cs="Arial"/>
        </w:rPr>
        <w:t>Shari’ah</w:t>
      </w:r>
      <w:r w:rsidRPr="008A6FAC">
        <w:rPr>
          <w:rFonts w:ascii="Arial" w:hAnsi="Arial" w:cs="Arial"/>
        </w:rPr>
        <w:t>-compliant bank. GAB has since emerged as one of the largest and fastest-growing Islamic banks in the country. In 2008, First Community Bank also obtained a license to operate as an Islamic bank, further solidifying the foundation for Islamic finance in Kenya. Within a relatively short period, these two institutions demonstrated promising performance, contributing approximately 0.8% to the gross assets of the Kenyan banking sector (Aden, 2014). By 2010, the Central Bank of Kenya reported that the two pioneering Islamic banks collectively held a market share of 0.9% within the banking sector, with gross assets amounting to KES 16.54 billion (US$185.98 million), net financing and advances of KES 9.23 billion (US$104.67 million), and deposits worth KES 13.76 billion (US$156.04 million) (Laving, 2013)</w:t>
      </w:r>
      <w:r w:rsidR="00F94C08">
        <w:rPr>
          <w:rFonts w:ascii="Arial" w:hAnsi="Arial" w:cs="Arial"/>
        </w:rPr>
        <w:t xml:space="preserve">. </w:t>
      </w:r>
      <w:commentRangeStart w:id="37"/>
      <w:r w:rsidR="00F94C08" w:rsidRPr="008A6FAC">
        <w:rPr>
          <w:rFonts w:ascii="Arial" w:hAnsi="Arial" w:cs="Arial"/>
        </w:rPr>
        <w:t>Furthermore,</w:t>
      </w:r>
      <w:commentRangeEnd w:id="37"/>
      <w:r w:rsidR="00984E98">
        <w:rPr>
          <w:rStyle w:val="CommentReference"/>
          <w:rFonts w:ascii="Times New Roman" w:hAnsi="Times New Roman"/>
          <w:lang w:val="nb-NO" w:eastAsia="nb-NO"/>
        </w:rPr>
        <w:commentReference w:id="37"/>
      </w:r>
      <w:r w:rsidR="00F94C08" w:rsidRPr="008A6FAC">
        <w:rPr>
          <w:rFonts w:ascii="Arial" w:hAnsi="Arial" w:cs="Arial"/>
        </w:rPr>
        <w:t xml:space="preserve"> by the end of December 2010, these banks had attracted a total of 58,101 deposit accounts and 2,609 financing accounts. These institutions offer </w:t>
      </w:r>
      <w:r w:rsidR="00095ED8" w:rsidRPr="008A6FAC">
        <w:rPr>
          <w:rFonts w:ascii="Arial" w:hAnsi="Arial" w:cs="Arial"/>
        </w:rPr>
        <w:t>Shari’ah</w:t>
      </w:r>
      <w:r w:rsidR="00F94C08" w:rsidRPr="008A6FAC">
        <w:rPr>
          <w:rFonts w:ascii="Arial" w:hAnsi="Arial" w:cs="Arial"/>
        </w:rPr>
        <w:t>-compliant products, and in 2012 it was estimated that they were 80% compliant (Laving, 2013).</w:t>
      </w:r>
    </w:p>
    <w:p w14:paraId="23D53BEB" w14:textId="3BBA8EB4" w:rsidR="00F94C08" w:rsidRDefault="008A6FAC" w:rsidP="008A6FAC">
      <w:pPr>
        <w:pStyle w:val="Body"/>
        <w:rPr>
          <w:rFonts w:ascii="Arial" w:hAnsi="Arial" w:cs="Arial"/>
        </w:rPr>
      </w:pPr>
      <w:r w:rsidRPr="008A6FAC">
        <w:rPr>
          <w:rFonts w:ascii="Arial" w:hAnsi="Arial" w:cs="Arial"/>
        </w:rPr>
        <w:t xml:space="preserve">. </w:t>
      </w:r>
    </w:p>
    <w:p w14:paraId="3231DD60" w14:textId="771EDE96" w:rsidR="00F94C08" w:rsidRDefault="00F94C08" w:rsidP="008A6FAC">
      <w:pPr>
        <w:pStyle w:val="Body"/>
        <w:rPr>
          <w:rFonts w:ascii="Arial" w:hAnsi="Arial" w:cs="Arial"/>
        </w:rPr>
      </w:pPr>
      <w:r w:rsidRPr="00F94C08">
        <w:rPr>
          <w:rFonts w:ascii="Arial" w:hAnsi="Arial" w:cs="Arial"/>
        </w:rPr>
        <w:t xml:space="preserve">In 2023, Islamic banks in Kenya held a 1.1% share of the total banking sector assets, amounting to over </w:t>
      </w:r>
      <w:proofErr w:type="spellStart"/>
      <w:r w:rsidRPr="00F94C08">
        <w:rPr>
          <w:rFonts w:ascii="Arial" w:hAnsi="Arial" w:cs="Arial"/>
        </w:rPr>
        <w:t>KSh</w:t>
      </w:r>
      <w:proofErr w:type="spellEnd"/>
      <w:r w:rsidRPr="00F94C08">
        <w:rPr>
          <w:rFonts w:ascii="Arial" w:hAnsi="Arial" w:cs="Arial"/>
        </w:rPr>
        <w:t xml:space="preserve">. 92 billion. Despite initial projections, their share of loan accounts was only 0.1% and deposit accounts 0.2%. This underperformance </w:t>
      </w:r>
      <w:r w:rsidRPr="00F94C08">
        <w:rPr>
          <w:rFonts w:ascii="Arial" w:hAnsi="Arial" w:cs="Arial"/>
        </w:rPr>
        <w:lastRenderedPageBreak/>
        <w:t>is attributed to factors like low public awareness of Islamic financial products and the dual banking system's competitive nature</w:t>
      </w:r>
      <w:r>
        <w:rPr>
          <w:rStyle w:val="FootnoteReference"/>
          <w:rFonts w:ascii="Arial" w:hAnsi="Arial" w:cs="Arial"/>
        </w:rPr>
        <w:footnoteReference w:id="2"/>
      </w:r>
      <w:r>
        <w:rPr>
          <w:rFonts w:ascii="Arial" w:hAnsi="Arial" w:cs="Arial"/>
        </w:rPr>
        <w:t>.</w:t>
      </w:r>
    </w:p>
    <w:p w14:paraId="76028471" w14:textId="4FEED673" w:rsidR="008A6FAC" w:rsidRDefault="008A6FAC" w:rsidP="00F94C08">
      <w:pPr>
        <w:pStyle w:val="Body"/>
        <w:rPr>
          <w:rFonts w:ascii="Arial" w:hAnsi="Arial" w:cs="Arial"/>
        </w:rPr>
      </w:pPr>
      <w:r w:rsidRPr="008A6FAC">
        <w:rPr>
          <w:rFonts w:ascii="Arial" w:hAnsi="Arial" w:cs="Arial"/>
        </w:rPr>
        <w:t>In addition to</w:t>
      </w:r>
      <w:commentRangeStart w:id="38"/>
      <w:r w:rsidRPr="008A6FAC">
        <w:rPr>
          <w:rFonts w:ascii="Arial" w:hAnsi="Arial" w:cs="Arial"/>
        </w:rPr>
        <w:t xml:space="preserve"> </w:t>
      </w:r>
      <w:commentRangeEnd w:id="38"/>
      <w:r w:rsidR="00984E98">
        <w:rPr>
          <w:rStyle w:val="CommentReference"/>
          <w:rFonts w:ascii="Times New Roman" w:hAnsi="Times New Roman"/>
          <w:lang w:val="nb-NO" w:eastAsia="nb-NO"/>
        </w:rPr>
        <w:commentReference w:id="38"/>
      </w:r>
      <w:commentRangeStart w:id="39"/>
      <w:r w:rsidRPr="008A6FAC">
        <w:rPr>
          <w:rFonts w:ascii="Arial" w:hAnsi="Arial" w:cs="Arial"/>
        </w:rPr>
        <w:t xml:space="preserve">dedicated </w:t>
      </w:r>
      <w:commentRangeEnd w:id="39"/>
      <w:r w:rsidR="00984E98">
        <w:rPr>
          <w:rStyle w:val="CommentReference"/>
          <w:rFonts w:ascii="Times New Roman" w:hAnsi="Times New Roman"/>
          <w:lang w:val="nb-NO" w:eastAsia="nb-NO"/>
        </w:rPr>
        <w:commentReference w:id="39"/>
      </w:r>
      <w:r w:rsidRPr="008A6FAC">
        <w:rPr>
          <w:rFonts w:ascii="Arial" w:hAnsi="Arial" w:cs="Arial"/>
        </w:rPr>
        <w:t xml:space="preserve">Islamic banks, several conventional banks in Kenya, such as Chase Bank Kenya and Standard Chartered Bank, have established separate windows to offer </w:t>
      </w:r>
      <w:r w:rsidR="00095ED8" w:rsidRPr="008A6FAC">
        <w:rPr>
          <w:rFonts w:ascii="Arial" w:hAnsi="Arial" w:cs="Arial"/>
        </w:rPr>
        <w:t>Shari’ah</w:t>
      </w:r>
      <w:r w:rsidRPr="008A6FAC">
        <w:rPr>
          <w:rFonts w:ascii="Arial" w:hAnsi="Arial" w:cs="Arial"/>
        </w:rPr>
        <w:t xml:space="preserve">-compliant products and services (Aden, 2014). While not a primary line of business for these conventional banks, the increasing provision of Islamic financial products </w:t>
      </w:r>
      <w:commentRangeStart w:id="40"/>
      <w:r w:rsidRPr="008A6FAC">
        <w:rPr>
          <w:rFonts w:ascii="Arial" w:hAnsi="Arial" w:cs="Arial"/>
        </w:rPr>
        <w:t xml:space="preserve">suggests </w:t>
      </w:r>
      <w:commentRangeEnd w:id="40"/>
      <w:r w:rsidR="00984E98">
        <w:rPr>
          <w:rStyle w:val="CommentReference"/>
          <w:rFonts w:ascii="Times New Roman" w:hAnsi="Times New Roman"/>
          <w:lang w:val="nb-NO" w:eastAsia="nb-NO"/>
        </w:rPr>
        <w:commentReference w:id="40"/>
      </w:r>
      <w:r w:rsidRPr="008A6FAC">
        <w:rPr>
          <w:rFonts w:ascii="Arial" w:hAnsi="Arial" w:cs="Arial"/>
        </w:rPr>
        <w:t>a strategic response to growing market demand and the perceived potential for expansion within the Kenyan financial sector. However, empirical research on Islamic banking and finance within the Kenyan context remains limited (Guyo &amp; Adan, 2013).</w:t>
      </w:r>
    </w:p>
    <w:p w14:paraId="5D0CFE6D" w14:textId="77777777" w:rsidR="006B3A83" w:rsidRPr="00404AFF" w:rsidRDefault="006B3A83" w:rsidP="00435BD4">
      <w:pPr>
        <w:pStyle w:val="Body"/>
        <w:spacing w:after="0"/>
        <w:rPr>
          <w:rFonts w:ascii="Arial" w:hAnsi="Arial" w:cs="Arial"/>
          <w:sz w:val="22"/>
          <w:szCs w:val="22"/>
        </w:rPr>
      </w:pPr>
    </w:p>
    <w:p w14:paraId="532A1525" w14:textId="19819B95" w:rsidR="006B3A83" w:rsidRPr="00404AFF" w:rsidRDefault="00B45D49" w:rsidP="00435BD4">
      <w:pPr>
        <w:pStyle w:val="AbstHead"/>
        <w:spacing w:after="0"/>
        <w:jc w:val="both"/>
        <w:rPr>
          <w:rFonts w:ascii="Arial" w:hAnsi="Arial" w:cs="Arial"/>
          <w:szCs w:val="22"/>
        </w:rPr>
      </w:pPr>
      <w:r w:rsidRPr="00404AFF">
        <w:rPr>
          <w:rFonts w:ascii="Arial" w:hAnsi="Arial" w:cs="Arial"/>
          <w:caps w:val="0"/>
          <w:szCs w:val="22"/>
        </w:rPr>
        <w:t xml:space="preserve">2.2 Factors </w:t>
      </w:r>
      <w:r>
        <w:rPr>
          <w:rFonts w:ascii="Arial" w:hAnsi="Arial" w:cs="Arial"/>
          <w:caps w:val="0"/>
          <w:szCs w:val="22"/>
        </w:rPr>
        <w:t>t</w:t>
      </w:r>
      <w:r w:rsidRPr="00404AFF">
        <w:rPr>
          <w:rFonts w:ascii="Arial" w:hAnsi="Arial" w:cs="Arial"/>
          <w:caps w:val="0"/>
          <w:szCs w:val="22"/>
        </w:rPr>
        <w:t xml:space="preserve">hat Led </w:t>
      </w:r>
      <w:r>
        <w:rPr>
          <w:rFonts w:ascii="Arial" w:hAnsi="Arial" w:cs="Arial"/>
          <w:caps w:val="0"/>
          <w:szCs w:val="22"/>
        </w:rPr>
        <w:t>t</w:t>
      </w:r>
      <w:r w:rsidRPr="00404AFF">
        <w:rPr>
          <w:rFonts w:ascii="Arial" w:hAnsi="Arial" w:cs="Arial"/>
          <w:caps w:val="0"/>
          <w:szCs w:val="22"/>
        </w:rPr>
        <w:t xml:space="preserve">o </w:t>
      </w:r>
      <w:r>
        <w:rPr>
          <w:rFonts w:ascii="Arial" w:hAnsi="Arial" w:cs="Arial"/>
          <w:caps w:val="0"/>
          <w:szCs w:val="22"/>
        </w:rPr>
        <w:t>t</w:t>
      </w:r>
      <w:r w:rsidRPr="00404AFF">
        <w:rPr>
          <w:rFonts w:ascii="Arial" w:hAnsi="Arial" w:cs="Arial"/>
          <w:caps w:val="0"/>
          <w:szCs w:val="22"/>
        </w:rPr>
        <w:t xml:space="preserve">he Emergence </w:t>
      </w:r>
      <w:r>
        <w:rPr>
          <w:rFonts w:ascii="Arial" w:hAnsi="Arial" w:cs="Arial"/>
          <w:caps w:val="0"/>
          <w:szCs w:val="22"/>
        </w:rPr>
        <w:t>o</w:t>
      </w:r>
      <w:r w:rsidRPr="00404AFF">
        <w:rPr>
          <w:rFonts w:ascii="Arial" w:hAnsi="Arial" w:cs="Arial"/>
          <w:caps w:val="0"/>
          <w:szCs w:val="22"/>
        </w:rPr>
        <w:t xml:space="preserve">f Islamic Banking </w:t>
      </w:r>
      <w:r>
        <w:rPr>
          <w:rFonts w:ascii="Arial" w:hAnsi="Arial" w:cs="Arial"/>
          <w:caps w:val="0"/>
          <w:szCs w:val="22"/>
        </w:rPr>
        <w:t>i</w:t>
      </w:r>
      <w:r w:rsidRPr="00404AFF">
        <w:rPr>
          <w:rFonts w:ascii="Arial" w:hAnsi="Arial" w:cs="Arial"/>
          <w:caps w:val="0"/>
          <w:szCs w:val="22"/>
        </w:rPr>
        <w:t>n Kenya</w:t>
      </w:r>
    </w:p>
    <w:p w14:paraId="251D378F" w14:textId="77777777" w:rsidR="00B45D49" w:rsidRDefault="00B45D49">
      <w:pPr>
        <w:pStyle w:val="AbstHead"/>
        <w:spacing w:after="0"/>
        <w:jc w:val="both"/>
        <w:rPr>
          <w:rFonts w:ascii="Arial" w:hAnsi="Arial" w:cs="Arial"/>
          <w:sz w:val="20"/>
        </w:rPr>
      </w:pPr>
    </w:p>
    <w:p w14:paraId="3BC4BC2E" w14:textId="5D5BC83A" w:rsidR="006B3A83" w:rsidRPr="008C5F54" w:rsidRDefault="006B3A83">
      <w:pPr>
        <w:pStyle w:val="AbstHead"/>
        <w:spacing w:after="0"/>
        <w:jc w:val="both"/>
        <w:rPr>
          <w:rFonts w:ascii="Arial" w:hAnsi="Arial" w:cs="Arial"/>
          <w:sz w:val="20"/>
          <w:u w:val="single"/>
        </w:rPr>
      </w:pPr>
      <w:r w:rsidRPr="008C5F54">
        <w:rPr>
          <w:rFonts w:ascii="Arial" w:hAnsi="Arial" w:cs="Arial"/>
          <w:sz w:val="20"/>
          <w:u w:val="single"/>
        </w:rPr>
        <w:t xml:space="preserve">2.2.1 </w:t>
      </w:r>
      <w:r w:rsidR="00404AFF" w:rsidRPr="008C5F54">
        <w:rPr>
          <w:rFonts w:ascii="Arial" w:hAnsi="Arial" w:cs="Arial"/>
          <w:caps w:val="0"/>
          <w:sz w:val="20"/>
          <w:u w:val="single"/>
        </w:rPr>
        <w:t>Demand for Islamic Finance Products</w:t>
      </w:r>
    </w:p>
    <w:p w14:paraId="61223756" w14:textId="1C3A5B67" w:rsidR="008A6FAC" w:rsidRDefault="008A6FAC">
      <w:pPr>
        <w:pStyle w:val="AbstHead"/>
        <w:spacing w:after="0"/>
        <w:jc w:val="both"/>
        <w:rPr>
          <w:rFonts w:ascii="Arial" w:hAnsi="Arial" w:cs="Arial"/>
          <w:b w:val="0"/>
          <w:caps w:val="0"/>
          <w:sz w:val="20"/>
        </w:rPr>
      </w:pPr>
    </w:p>
    <w:p w14:paraId="6C668F18" w14:textId="5C2ED86D" w:rsidR="00180915" w:rsidRPr="00180915" w:rsidRDefault="00180915" w:rsidP="00180915">
      <w:pPr>
        <w:pStyle w:val="AbstHead"/>
        <w:jc w:val="both"/>
        <w:rPr>
          <w:rFonts w:ascii="Arial" w:hAnsi="Arial" w:cs="Arial"/>
          <w:b w:val="0"/>
          <w:caps w:val="0"/>
          <w:sz w:val="20"/>
        </w:rPr>
      </w:pPr>
      <w:r w:rsidRPr="00180915">
        <w:rPr>
          <w:rFonts w:ascii="Arial" w:hAnsi="Arial" w:cs="Arial"/>
          <w:b w:val="0"/>
          <w:caps w:val="0"/>
          <w:sz w:val="20"/>
        </w:rPr>
        <w:t>In economic theory, demand and supply are fundamental forces that shape productive sectors. These elements are key indicators of the interaction between producers of goods and services and the consumers who demand them. Demand refers to the quantity of goods or services that consumers are willing and able to purchase at a specific price and time. Market demand, therefore, represents the aggregate of individual consumer demands.</w:t>
      </w:r>
    </w:p>
    <w:p w14:paraId="685FD6D4" w14:textId="58CD8728" w:rsidR="00180915" w:rsidRPr="00180915" w:rsidRDefault="00180915" w:rsidP="00180915">
      <w:pPr>
        <w:pStyle w:val="AbstHead"/>
        <w:jc w:val="both"/>
        <w:rPr>
          <w:rFonts w:ascii="Arial" w:hAnsi="Arial" w:cs="Arial"/>
          <w:b w:val="0"/>
          <w:caps w:val="0"/>
          <w:sz w:val="20"/>
        </w:rPr>
      </w:pPr>
      <w:r w:rsidRPr="00180915">
        <w:rPr>
          <w:rFonts w:ascii="Arial" w:hAnsi="Arial" w:cs="Arial"/>
          <w:b w:val="0"/>
          <w:caps w:val="0"/>
          <w:sz w:val="20"/>
        </w:rPr>
        <w:t xml:space="preserve">Market demand for </w:t>
      </w:r>
      <w:r w:rsidR="00F94C08" w:rsidRPr="00180915">
        <w:rPr>
          <w:rFonts w:ascii="Arial" w:hAnsi="Arial" w:cs="Arial"/>
          <w:b w:val="0"/>
          <w:caps w:val="0"/>
          <w:sz w:val="20"/>
        </w:rPr>
        <w:t>Shari’ah</w:t>
      </w:r>
      <w:r w:rsidRPr="00180915">
        <w:rPr>
          <w:rFonts w:ascii="Arial" w:hAnsi="Arial" w:cs="Arial"/>
          <w:b w:val="0"/>
          <w:caps w:val="0"/>
          <w:sz w:val="20"/>
        </w:rPr>
        <w:t>-compliant financial products and services is a significant factor underpinning the establishment of Islamic banks in Kenya. While some scholars argue that religious affiliation does not significantly influence banking choices, others contend that the growing Muslim population in Africa is a primary driver of this demand. PricewaterhouseCoopers (PwC) (2013) notes that the growing Muslim populations, particularly in Africa and Asia (which together account for over 95% of the global Muslim population), has fuelled the emergence of Islamic banks. PwC also suggests that the future sustainability of these institutions is linked to the projected growth of the Muslim population, estimated at 35% by 2030. In addition, PwC (2013) identifies the existence of an attractive market among the emerging middle classes for Islamic deposits, lending, protection, and payment products, a large unbanked population, and growth in the retirement market creating demand for Islamic pension and asset management products as driving demand.</w:t>
      </w:r>
    </w:p>
    <w:p w14:paraId="21B29460" w14:textId="039D92D6" w:rsidR="00180915" w:rsidRDefault="00180915" w:rsidP="00180915">
      <w:pPr>
        <w:pStyle w:val="AbstHead"/>
        <w:spacing w:after="0"/>
        <w:jc w:val="both"/>
        <w:rPr>
          <w:rFonts w:ascii="Arial" w:hAnsi="Arial" w:cs="Arial"/>
          <w:b w:val="0"/>
          <w:caps w:val="0"/>
          <w:sz w:val="20"/>
        </w:rPr>
      </w:pPr>
      <w:r w:rsidRPr="00180915">
        <w:rPr>
          <w:rFonts w:ascii="Arial" w:hAnsi="Arial" w:cs="Arial"/>
          <w:b w:val="0"/>
          <w:caps w:val="0"/>
          <w:sz w:val="20"/>
        </w:rPr>
        <w:t>In Kenya, the Musli</w:t>
      </w:r>
      <w:r w:rsidR="001A2A78">
        <w:rPr>
          <w:rFonts w:ascii="Arial" w:hAnsi="Arial" w:cs="Arial"/>
          <w:b w:val="0"/>
          <w:caps w:val="0"/>
          <w:sz w:val="20"/>
        </w:rPr>
        <w:t>m population is estimated at 5.2 million in 2019</w:t>
      </w:r>
      <w:r w:rsidR="001A2A78">
        <w:rPr>
          <w:rStyle w:val="FootnoteReference"/>
          <w:rFonts w:ascii="Arial" w:hAnsi="Arial" w:cs="Arial"/>
          <w:b w:val="0"/>
          <w:caps w:val="0"/>
          <w:sz w:val="20"/>
        </w:rPr>
        <w:footnoteReference w:id="3"/>
      </w:r>
      <w:r w:rsidR="001A2A78">
        <w:rPr>
          <w:rFonts w:ascii="Arial" w:hAnsi="Arial" w:cs="Arial"/>
          <w:b w:val="0"/>
          <w:caps w:val="0"/>
          <w:sz w:val="20"/>
        </w:rPr>
        <w:t xml:space="preserve"> </w:t>
      </w:r>
      <w:r w:rsidRPr="00180915">
        <w:rPr>
          <w:rFonts w:ascii="Arial" w:hAnsi="Arial" w:cs="Arial"/>
          <w:b w:val="0"/>
          <w:caps w:val="0"/>
          <w:sz w:val="20"/>
        </w:rPr>
        <w:t xml:space="preserve">. While a significant portion of Kenya's population comprises youths (60% between the ages of 16 and 25), the population of older adults (60 years and above) is projected to increase from 2.1 million to 9.2 million by 2050 (Isabella Aboderin, 2015). Mutua (2017) concludes that demand for Islamic products by mainstream customers has also contributed to the emergence of Islamic banks in Kenya. The prohibition of riba (interest) in Islam, due to its perceived injustice, is a key factor driving demand for Islamic financial services. Islamic principles stipulate that entitlement to an increment (interest) is only permissible if it is linked to the ownership of a property with intrinsic value. The practice of riba is considered a serious offense in Islam, further motivating Muslims to seek </w:t>
      </w:r>
      <w:r w:rsidR="00095ED8" w:rsidRPr="00180915">
        <w:rPr>
          <w:rFonts w:ascii="Arial" w:hAnsi="Arial" w:cs="Arial"/>
          <w:b w:val="0"/>
          <w:caps w:val="0"/>
          <w:sz w:val="20"/>
        </w:rPr>
        <w:t>Shari’ah</w:t>
      </w:r>
      <w:r w:rsidRPr="00180915">
        <w:rPr>
          <w:rFonts w:ascii="Arial" w:hAnsi="Arial" w:cs="Arial"/>
          <w:b w:val="0"/>
          <w:caps w:val="0"/>
          <w:sz w:val="20"/>
        </w:rPr>
        <w:t>-compliant alternatives.</w:t>
      </w:r>
    </w:p>
    <w:p w14:paraId="441B4A69" w14:textId="77777777" w:rsidR="00180915" w:rsidRDefault="00180915">
      <w:pPr>
        <w:pStyle w:val="AbstHead"/>
        <w:spacing w:after="0"/>
        <w:jc w:val="both"/>
        <w:rPr>
          <w:rFonts w:ascii="Arial" w:hAnsi="Arial" w:cs="Arial"/>
          <w:b w:val="0"/>
          <w:caps w:val="0"/>
          <w:sz w:val="20"/>
        </w:rPr>
      </w:pPr>
    </w:p>
    <w:p w14:paraId="4B244FF7" w14:textId="5A004EA4" w:rsidR="004030C7" w:rsidRPr="008C5F54" w:rsidRDefault="00180915" w:rsidP="004030C7">
      <w:pPr>
        <w:pStyle w:val="AbstHead"/>
        <w:jc w:val="center"/>
        <w:rPr>
          <w:rFonts w:ascii="Arial" w:hAnsi="Arial" w:cs="Arial"/>
          <w:b w:val="0"/>
          <w:bCs/>
          <w:i/>
          <w:caps w:val="0"/>
          <w:color w:val="7F7F7F" w:themeColor="text1" w:themeTint="80"/>
          <w:sz w:val="20"/>
        </w:rPr>
      </w:pPr>
      <w:r w:rsidRPr="00180915" w:rsidDel="00180915">
        <w:rPr>
          <w:rFonts w:ascii="Arial" w:hAnsi="Arial" w:cs="Arial"/>
          <w:b w:val="0"/>
          <w:caps w:val="0"/>
          <w:sz w:val="20"/>
        </w:rPr>
        <w:t xml:space="preserve"> </w:t>
      </w:r>
      <w:r w:rsidR="004030C7" w:rsidRPr="008C5F54">
        <w:rPr>
          <w:rFonts w:ascii="Arial" w:hAnsi="Arial" w:cs="Arial"/>
          <w:b w:val="0"/>
          <w:bCs/>
          <w:i/>
          <w:caps w:val="0"/>
          <w:color w:val="7F7F7F" w:themeColor="text1" w:themeTint="80"/>
          <w:sz w:val="20"/>
        </w:rPr>
        <w:t>“Those who swallow down interest cannot stand (on the Day of Resurrection) except as one stands who is being beaten by Shaitan into insanity. That is because they say, trading is just like interest; and Allah has permitted trading and forbidden interest. To whomsoever then the admonition has come from his Lord, then he desists, he shall have what has already passed, and his affair is in the hands of Allah; and whoever returns (to it) these are the inmates of the fire; they shall abide in it” (2:275)</w:t>
      </w:r>
    </w:p>
    <w:p w14:paraId="574BFD9E" w14:textId="58151921" w:rsidR="006C4240" w:rsidRDefault="006C4240" w:rsidP="008422BF">
      <w:pPr>
        <w:pStyle w:val="AbstHead"/>
        <w:jc w:val="both"/>
        <w:rPr>
          <w:rFonts w:ascii="Arial" w:hAnsi="Arial" w:cs="Arial"/>
          <w:b w:val="0"/>
          <w:bCs/>
          <w:caps w:val="0"/>
          <w:sz w:val="20"/>
        </w:rPr>
      </w:pPr>
      <w:r w:rsidRPr="006C4240">
        <w:rPr>
          <w:rFonts w:ascii="Arial" w:hAnsi="Arial" w:cs="Arial"/>
          <w:b w:val="0"/>
          <w:bCs/>
          <w:caps w:val="0"/>
          <w:sz w:val="20"/>
        </w:rPr>
        <w:t>Given the severe implications of engaging in riba, Muslims are obligated to avoid it, a task that can be difficult with conventional banks. Thus, Islamic banks are often viewed as essential alternatives, providing Shariah-compliant options. Supporting this view, a Kenyan study by Sheikh (2009) found that 100% of respondents agreed that the demand for Islamic finance products was a driver for the establishment of Islamic banks, with 94% considering it a very important factor.</w:t>
      </w:r>
    </w:p>
    <w:p w14:paraId="4B7392D6" w14:textId="102D819F" w:rsidR="006B3A83" w:rsidRPr="00B45D49" w:rsidRDefault="006B3A83" w:rsidP="00B45D49">
      <w:pPr>
        <w:pStyle w:val="AbstHead"/>
        <w:spacing w:after="0"/>
        <w:jc w:val="both"/>
        <w:rPr>
          <w:rFonts w:ascii="Arial" w:hAnsi="Arial" w:cs="Arial"/>
          <w:caps w:val="0"/>
          <w:sz w:val="20"/>
          <w:u w:val="single"/>
        </w:rPr>
      </w:pPr>
      <w:r w:rsidRPr="008C5F54">
        <w:rPr>
          <w:rFonts w:ascii="Arial" w:hAnsi="Arial" w:cs="Arial"/>
          <w:caps w:val="0"/>
          <w:sz w:val="20"/>
          <w:u w:val="single"/>
        </w:rPr>
        <w:t xml:space="preserve">2.2.2 </w:t>
      </w:r>
      <w:r w:rsidR="00404AFF" w:rsidRPr="008C5F54">
        <w:rPr>
          <w:rFonts w:ascii="Arial" w:hAnsi="Arial" w:cs="Arial"/>
          <w:caps w:val="0"/>
          <w:sz w:val="20"/>
          <w:u w:val="single"/>
        </w:rPr>
        <w:t>Direct Response to Competitors Introducing Islamic Banking Products</w:t>
      </w:r>
    </w:p>
    <w:p w14:paraId="3CD26224" w14:textId="77777777" w:rsidR="00B45D49" w:rsidRPr="008C5F54" w:rsidRDefault="00B45D49" w:rsidP="00B45D49">
      <w:pPr>
        <w:pStyle w:val="AbstHead"/>
        <w:spacing w:after="0"/>
        <w:jc w:val="both"/>
        <w:rPr>
          <w:rFonts w:ascii="Arial" w:hAnsi="Arial" w:cs="Arial"/>
          <w:caps w:val="0"/>
          <w:sz w:val="20"/>
          <w:u w:val="single"/>
        </w:rPr>
      </w:pPr>
    </w:p>
    <w:p w14:paraId="77B9221E" w14:textId="1CE4560A" w:rsidR="006C4240" w:rsidRDefault="006C4240" w:rsidP="00435BD4">
      <w:pPr>
        <w:pStyle w:val="AbstHead"/>
        <w:spacing w:after="0"/>
        <w:jc w:val="both"/>
        <w:rPr>
          <w:rFonts w:ascii="Arial" w:hAnsi="Arial" w:cs="Arial"/>
          <w:b w:val="0"/>
          <w:bCs/>
          <w:caps w:val="0"/>
          <w:sz w:val="20"/>
        </w:rPr>
      </w:pPr>
      <w:r w:rsidRPr="006C4240">
        <w:rPr>
          <w:rFonts w:ascii="Arial" w:hAnsi="Arial" w:cs="Arial"/>
          <w:b w:val="0"/>
          <w:bCs/>
          <w:caps w:val="0"/>
          <w:sz w:val="20"/>
        </w:rPr>
        <w:t xml:space="preserve">The presence of Islamic banking windows in conventional banks, as seen in Kenya, intensifies market competition, requiring fully-fledged Islamic banks to prioritize innovation in high-quality, </w:t>
      </w:r>
      <w:r w:rsidR="00095ED8" w:rsidRPr="006C4240">
        <w:rPr>
          <w:rFonts w:ascii="Arial" w:hAnsi="Arial" w:cs="Arial"/>
          <w:b w:val="0"/>
          <w:bCs/>
          <w:caps w:val="0"/>
          <w:sz w:val="20"/>
        </w:rPr>
        <w:t>Shari’ah</w:t>
      </w:r>
      <w:r w:rsidRPr="006C4240">
        <w:rPr>
          <w:rFonts w:ascii="Arial" w:hAnsi="Arial" w:cs="Arial"/>
          <w:b w:val="0"/>
          <w:bCs/>
          <w:caps w:val="0"/>
          <w:sz w:val="20"/>
        </w:rPr>
        <w:t xml:space="preserve">-compliant products. Superior product quality provides a key competitive advantage, as "quality leads to both market share and gains in market expansion" (Buzzell &amp; Gale, 1987). Islamic banks must also enhance customer product awareness through regular surveys and strive to develop </w:t>
      </w:r>
      <w:r w:rsidR="00095ED8" w:rsidRPr="006C4240">
        <w:rPr>
          <w:rFonts w:ascii="Arial" w:hAnsi="Arial" w:cs="Arial"/>
          <w:b w:val="0"/>
          <w:bCs/>
          <w:caps w:val="0"/>
          <w:sz w:val="20"/>
        </w:rPr>
        <w:t>Shari’ah</w:t>
      </w:r>
      <w:r w:rsidRPr="006C4240">
        <w:rPr>
          <w:rFonts w:ascii="Arial" w:hAnsi="Arial" w:cs="Arial"/>
          <w:b w:val="0"/>
          <w:bCs/>
          <w:caps w:val="0"/>
          <w:sz w:val="20"/>
        </w:rPr>
        <w:t>-compliant alternatives to conventional offerings, ensuring sustainability and competitiveness.</w:t>
      </w:r>
      <w:r w:rsidR="00095ED8">
        <w:rPr>
          <w:rFonts w:ascii="Arial" w:hAnsi="Arial" w:cs="Arial"/>
          <w:b w:val="0"/>
          <w:bCs/>
          <w:caps w:val="0"/>
          <w:sz w:val="20"/>
        </w:rPr>
        <w:t xml:space="preserve"> </w:t>
      </w:r>
      <w:r w:rsidR="003447F3" w:rsidRPr="003447F3">
        <w:rPr>
          <w:rFonts w:ascii="Arial" w:hAnsi="Arial" w:cs="Arial"/>
          <w:b w:val="0"/>
          <w:bCs/>
          <w:caps w:val="0"/>
          <w:sz w:val="20"/>
        </w:rPr>
        <w:t xml:space="preserve">A study by Sheikh </w:t>
      </w:r>
      <w:r w:rsidR="003447F3" w:rsidRPr="003447F3">
        <w:rPr>
          <w:rFonts w:ascii="Arial" w:hAnsi="Arial" w:cs="Arial"/>
          <w:b w:val="0"/>
          <w:bCs/>
          <w:caps w:val="0"/>
          <w:sz w:val="20"/>
        </w:rPr>
        <w:lastRenderedPageBreak/>
        <w:t>(2009) indicates that 47% of respondents believed that the emergence of Islamic banks in Kenya was a direct response to competition from existing market players. The remaining respondents did not consider this a contributing factor.</w:t>
      </w:r>
    </w:p>
    <w:p w14:paraId="29193974" w14:textId="34FB5D08" w:rsidR="001F5411" w:rsidRPr="008C5F54" w:rsidRDefault="001F5411" w:rsidP="008C5F54">
      <w:pPr>
        <w:jc w:val="both"/>
        <w:rPr>
          <w:rFonts w:ascii="Arial" w:hAnsi="Arial" w:cs="Arial"/>
        </w:rPr>
      </w:pPr>
    </w:p>
    <w:p w14:paraId="5628E7E4" w14:textId="2687877C" w:rsidR="001F5411" w:rsidRPr="008C5F54" w:rsidRDefault="001F5411" w:rsidP="008C5F54">
      <w:pPr>
        <w:jc w:val="both"/>
        <w:rPr>
          <w:rFonts w:ascii="Arial" w:hAnsi="Arial" w:cs="Arial"/>
          <w:b/>
          <w:bCs/>
          <w:i/>
          <w:u w:val="single"/>
        </w:rPr>
      </w:pPr>
      <w:r w:rsidRPr="008C5F54">
        <w:rPr>
          <w:rFonts w:ascii="Arial" w:hAnsi="Arial" w:cs="Arial"/>
          <w:b/>
          <w:bCs/>
          <w:i/>
          <w:u w:val="single"/>
        </w:rPr>
        <w:t>2.2.</w:t>
      </w:r>
      <w:r w:rsidR="003447F3">
        <w:rPr>
          <w:rFonts w:ascii="Arial" w:hAnsi="Arial" w:cs="Arial"/>
          <w:b/>
          <w:bCs/>
          <w:i/>
          <w:u w:val="single"/>
        </w:rPr>
        <w:t>3</w:t>
      </w:r>
      <w:r w:rsidRPr="008C5F54">
        <w:rPr>
          <w:rFonts w:ascii="Arial" w:hAnsi="Arial" w:cs="Arial"/>
          <w:b/>
          <w:bCs/>
          <w:i/>
          <w:u w:val="single"/>
        </w:rPr>
        <w:t xml:space="preserve"> </w:t>
      </w:r>
      <w:r w:rsidR="00404AFF" w:rsidRPr="008C5F54">
        <w:rPr>
          <w:rFonts w:ascii="Arial" w:hAnsi="Arial" w:cs="Arial"/>
          <w:b/>
          <w:bCs/>
          <w:i/>
          <w:u w:val="single"/>
        </w:rPr>
        <w:t>In</w:t>
      </w:r>
      <w:r w:rsidR="00095ED8">
        <w:rPr>
          <w:rFonts w:ascii="Arial" w:hAnsi="Arial" w:cs="Arial"/>
          <w:b/>
          <w:bCs/>
          <w:i/>
          <w:u w:val="single"/>
        </w:rPr>
        <w:t xml:space="preserve"> </w:t>
      </w:r>
      <w:r w:rsidR="00404AFF" w:rsidRPr="008C5F54">
        <w:rPr>
          <w:rFonts w:ascii="Arial" w:hAnsi="Arial" w:cs="Arial"/>
          <w:b/>
          <w:bCs/>
          <w:i/>
          <w:u w:val="single"/>
        </w:rPr>
        <w:t>Response to World Trend</w:t>
      </w:r>
    </w:p>
    <w:p w14:paraId="20A2692B" w14:textId="77777777" w:rsidR="00B45D49" w:rsidRPr="00B45D49" w:rsidRDefault="00B45D49" w:rsidP="008C5F54">
      <w:pPr>
        <w:jc w:val="both"/>
        <w:rPr>
          <w:rFonts w:ascii="Arial" w:hAnsi="Arial" w:cs="Arial"/>
          <w:b/>
          <w:bCs/>
        </w:rPr>
      </w:pPr>
    </w:p>
    <w:p w14:paraId="726B555C" w14:textId="47E31139" w:rsidR="003447F3" w:rsidRDefault="003447F3" w:rsidP="008C5F54">
      <w:pPr>
        <w:jc w:val="both"/>
        <w:rPr>
          <w:rFonts w:ascii="Arial" w:hAnsi="Arial" w:cs="Arial"/>
        </w:rPr>
      </w:pPr>
      <w:r w:rsidRPr="003447F3">
        <w:rPr>
          <w:rFonts w:ascii="Arial" w:hAnsi="Arial" w:cs="Arial"/>
        </w:rPr>
        <w:t>In an increasingly globalized market, financial institutions often adapt to international standards and trends. Islamic banking has become a prominent force in the global financial industry, and responding to this worldwide trend appears to have influenced developments in Kenya. Indeed, Sheikh (2009) found that 94% of respondents agreed that the need to align with global trends contributed to the emergence of Islamic banks in Kenya, while 6% disagreed.</w:t>
      </w:r>
    </w:p>
    <w:p w14:paraId="6D188960" w14:textId="77777777" w:rsidR="003447F3" w:rsidRDefault="003447F3" w:rsidP="008C5F54">
      <w:pPr>
        <w:jc w:val="both"/>
        <w:rPr>
          <w:rFonts w:ascii="Arial" w:hAnsi="Arial" w:cs="Arial"/>
        </w:rPr>
      </w:pPr>
    </w:p>
    <w:p w14:paraId="252616FE" w14:textId="77777777" w:rsidR="001F5411" w:rsidRPr="00404AFF" w:rsidRDefault="001F5411" w:rsidP="008422BF">
      <w:pPr>
        <w:pStyle w:val="AbstHead"/>
        <w:spacing w:after="0"/>
        <w:jc w:val="both"/>
        <w:rPr>
          <w:rFonts w:ascii="Arial" w:hAnsi="Arial" w:cs="Arial"/>
          <w:b w:val="0"/>
          <w:bCs/>
          <w:szCs w:val="22"/>
        </w:rPr>
      </w:pPr>
    </w:p>
    <w:p w14:paraId="315BFBBB" w14:textId="4387B04A" w:rsidR="001F5411" w:rsidRPr="00404AFF" w:rsidRDefault="001F5411" w:rsidP="00435BD4">
      <w:pPr>
        <w:pStyle w:val="AbstHead"/>
        <w:spacing w:after="0"/>
        <w:jc w:val="both"/>
        <w:rPr>
          <w:rFonts w:ascii="Arial" w:hAnsi="Arial" w:cs="Arial"/>
          <w:szCs w:val="22"/>
        </w:rPr>
      </w:pPr>
      <w:r w:rsidRPr="00E81829">
        <w:rPr>
          <w:rFonts w:ascii="Arial" w:hAnsi="Arial" w:cs="Arial"/>
          <w:bCs/>
          <w:szCs w:val="22"/>
        </w:rPr>
        <w:t>2.3</w:t>
      </w:r>
      <w:r w:rsidRPr="00404AFF">
        <w:rPr>
          <w:rFonts w:ascii="Arial" w:hAnsi="Arial" w:cs="Arial"/>
          <w:b w:val="0"/>
          <w:bCs/>
          <w:szCs w:val="22"/>
        </w:rPr>
        <w:t xml:space="preserve"> </w:t>
      </w:r>
      <w:r w:rsidR="00404AFF" w:rsidRPr="00404AFF">
        <w:rPr>
          <w:rFonts w:ascii="Arial" w:hAnsi="Arial" w:cs="Arial"/>
          <w:caps w:val="0"/>
          <w:szCs w:val="22"/>
        </w:rPr>
        <w:t>Cha</w:t>
      </w:r>
      <w:r w:rsidR="00095ED8">
        <w:rPr>
          <w:rFonts w:ascii="Arial" w:hAnsi="Arial" w:cs="Arial"/>
          <w:caps w:val="0"/>
          <w:szCs w:val="22"/>
        </w:rPr>
        <w:t xml:space="preserve">llenges Faced </w:t>
      </w:r>
      <w:r w:rsidR="00E45057">
        <w:rPr>
          <w:rFonts w:ascii="Arial" w:hAnsi="Arial" w:cs="Arial"/>
          <w:caps w:val="0"/>
          <w:szCs w:val="22"/>
        </w:rPr>
        <w:t>b</w:t>
      </w:r>
      <w:r w:rsidR="00095ED8">
        <w:rPr>
          <w:rFonts w:ascii="Arial" w:hAnsi="Arial" w:cs="Arial"/>
          <w:caps w:val="0"/>
          <w:szCs w:val="22"/>
        </w:rPr>
        <w:t>y Islamic Banks i</w:t>
      </w:r>
      <w:r w:rsidR="00404AFF" w:rsidRPr="00404AFF">
        <w:rPr>
          <w:rFonts w:ascii="Arial" w:hAnsi="Arial" w:cs="Arial"/>
          <w:caps w:val="0"/>
          <w:szCs w:val="22"/>
        </w:rPr>
        <w:t>n Kenya</w:t>
      </w:r>
    </w:p>
    <w:p w14:paraId="0D9174BD" w14:textId="77777777" w:rsidR="00B45D49" w:rsidRDefault="00B45D49" w:rsidP="00435BD4">
      <w:pPr>
        <w:pStyle w:val="AbstHead"/>
        <w:spacing w:after="0"/>
        <w:jc w:val="both"/>
        <w:rPr>
          <w:rFonts w:ascii="Arial" w:hAnsi="Arial" w:cs="Arial"/>
          <w:sz w:val="20"/>
        </w:rPr>
      </w:pPr>
    </w:p>
    <w:p w14:paraId="0ADB51DF" w14:textId="6220179B" w:rsidR="001F5411" w:rsidRPr="008C5F54" w:rsidRDefault="001F5411" w:rsidP="00435BD4">
      <w:pPr>
        <w:pStyle w:val="AbstHead"/>
        <w:spacing w:after="0"/>
        <w:jc w:val="both"/>
        <w:rPr>
          <w:rFonts w:ascii="Arial" w:hAnsi="Arial" w:cs="Arial"/>
          <w:caps w:val="0"/>
          <w:sz w:val="20"/>
          <w:u w:val="single"/>
        </w:rPr>
      </w:pPr>
      <w:r w:rsidRPr="008C5F54">
        <w:rPr>
          <w:rFonts w:ascii="Arial" w:hAnsi="Arial" w:cs="Arial"/>
          <w:sz w:val="20"/>
          <w:u w:val="single"/>
        </w:rPr>
        <w:t xml:space="preserve">2.3.1 </w:t>
      </w:r>
      <w:r w:rsidR="00404AFF" w:rsidRPr="008C5F54">
        <w:rPr>
          <w:rFonts w:ascii="Arial" w:hAnsi="Arial" w:cs="Arial"/>
          <w:caps w:val="0"/>
          <w:sz w:val="20"/>
          <w:u w:val="single"/>
        </w:rPr>
        <w:t>Regulatory Challenges</w:t>
      </w:r>
    </w:p>
    <w:p w14:paraId="043686FB" w14:textId="77777777" w:rsidR="00B45D49" w:rsidRPr="00694ACB" w:rsidRDefault="00B45D49">
      <w:pPr>
        <w:pStyle w:val="AbstHead"/>
        <w:spacing w:after="0"/>
        <w:jc w:val="both"/>
        <w:rPr>
          <w:rFonts w:ascii="Arial" w:hAnsi="Arial" w:cs="Arial"/>
          <w:sz w:val="20"/>
        </w:rPr>
      </w:pPr>
    </w:p>
    <w:p w14:paraId="0B126E5E" w14:textId="57136ADF" w:rsidR="0073517E" w:rsidRDefault="009C4D08" w:rsidP="008C5F54">
      <w:pPr>
        <w:jc w:val="both"/>
        <w:rPr>
          <w:rFonts w:ascii="Arial" w:hAnsi="Arial" w:cs="Arial"/>
        </w:rPr>
      </w:pPr>
      <w:sdt>
        <w:sdtPr>
          <w:rPr>
            <w:rFonts w:ascii="Arial" w:hAnsi="Arial" w:cs="Arial"/>
          </w:rPr>
          <w:id w:val="241380336"/>
          <w:citation/>
        </w:sdtPr>
        <w:sdtEndPr/>
        <w:sdtContent>
          <w:r w:rsidR="001F5411" w:rsidRPr="008C5F54">
            <w:rPr>
              <w:rFonts w:ascii="Arial" w:hAnsi="Arial" w:cs="Arial"/>
            </w:rPr>
            <w:fldChar w:fldCharType="begin"/>
          </w:r>
          <w:r w:rsidR="001F5411" w:rsidRPr="008C5F54">
            <w:rPr>
              <w:rFonts w:ascii="Arial" w:hAnsi="Arial" w:cs="Arial"/>
            </w:rPr>
            <w:instrText xml:space="preserve"> CITATION Kin13 \l 1033 </w:instrText>
          </w:r>
          <w:r w:rsidR="001F5411" w:rsidRPr="008C5F54">
            <w:rPr>
              <w:rFonts w:ascii="Arial" w:hAnsi="Arial" w:cs="Arial"/>
            </w:rPr>
            <w:fldChar w:fldCharType="separate"/>
          </w:r>
          <w:r w:rsidR="001F5411" w:rsidRPr="008C5F54">
            <w:rPr>
              <w:rFonts w:ascii="Arial" w:hAnsi="Arial" w:cs="Arial"/>
              <w:noProof/>
            </w:rPr>
            <w:t>(Kinyanjui, 2013.)</w:t>
          </w:r>
          <w:r w:rsidR="001F5411" w:rsidRPr="008C5F54">
            <w:rPr>
              <w:rFonts w:ascii="Arial" w:hAnsi="Arial" w:cs="Arial"/>
            </w:rPr>
            <w:fldChar w:fldCharType="end"/>
          </w:r>
        </w:sdtContent>
      </w:sdt>
      <w:r w:rsidR="001F5411" w:rsidRPr="008C5F54">
        <w:rPr>
          <w:rFonts w:ascii="Arial" w:hAnsi="Arial" w:cs="Arial"/>
        </w:rPr>
        <w:t xml:space="preserve">, </w:t>
      </w:r>
      <w:r w:rsidR="003447F3" w:rsidRPr="003447F3">
        <w:rPr>
          <w:rFonts w:ascii="Arial" w:hAnsi="Arial" w:cs="Arial"/>
        </w:rPr>
        <w:t xml:space="preserve">identifies the absence of a </w:t>
      </w:r>
      <w:r w:rsidR="00095ED8" w:rsidRPr="003447F3">
        <w:rPr>
          <w:rFonts w:ascii="Arial" w:hAnsi="Arial" w:cs="Arial"/>
        </w:rPr>
        <w:t>Shari’ah</w:t>
      </w:r>
      <w:r w:rsidR="003447F3" w:rsidRPr="003447F3">
        <w:rPr>
          <w:rFonts w:ascii="Arial" w:hAnsi="Arial" w:cs="Arial"/>
        </w:rPr>
        <w:t>-compliant legal framework as a significant challenge hindering the development of Islamic banking in Kenya. This deficiency stems from a lack of legal provisions tailored to the specific requirements of Islamic finance. Islamic laws operate within a distinct framework that governs financial transactions, and existing commercial banking and company laws may not adequately accommodate Islamic financial contracts</w:t>
      </w:r>
      <w:r w:rsidR="0073517E">
        <w:rPr>
          <w:rFonts w:ascii="Arial" w:hAnsi="Arial" w:cs="Arial"/>
        </w:rPr>
        <w:t xml:space="preserve">. </w:t>
      </w:r>
      <w:r w:rsidR="0073517E" w:rsidRPr="0073517E">
        <w:rPr>
          <w:rFonts w:ascii="Arial" w:hAnsi="Arial" w:cs="Arial"/>
        </w:rPr>
        <w:t>This discrepancy necessitates the establishment of specific laws to ensure the smooth and efficient implementation of Islamic financial transactions. Kinyanjui (2013) suggests several components for an appropriate legal framework, including the establishment of specialized Islamic banking courts. As with any business, Islamic banks may face legal disputes; however, the unique nature of their operations warrants dedicated courts to handle their cases. This may entail amending existing laws or enacting separate legislation specifically for Islamic banks.</w:t>
      </w:r>
    </w:p>
    <w:p w14:paraId="720ED94D" w14:textId="77777777" w:rsidR="0073517E" w:rsidRDefault="0073517E" w:rsidP="008C5F54">
      <w:pPr>
        <w:jc w:val="both"/>
        <w:rPr>
          <w:rFonts w:ascii="Arial" w:hAnsi="Arial" w:cs="Arial"/>
        </w:rPr>
      </w:pPr>
    </w:p>
    <w:p w14:paraId="35C03F08" w14:textId="7CC8B7CE" w:rsidR="003447F3" w:rsidRDefault="0073517E" w:rsidP="008C5F54">
      <w:pPr>
        <w:jc w:val="both"/>
        <w:rPr>
          <w:rFonts w:ascii="Arial" w:hAnsi="Arial" w:cs="Arial"/>
        </w:rPr>
      </w:pPr>
      <w:r w:rsidRPr="0073517E">
        <w:rPr>
          <w:rFonts w:ascii="Arial" w:hAnsi="Arial" w:cs="Arial"/>
        </w:rPr>
        <w:t xml:space="preserve">Another regulatory challenge arises from the decentralized nature of </w:t>
      </w:r>
      <w:r w:rsidR="00095ED8" w:rsidRPr="0073517E">
        <w:rPr>
          <w:rFonts w:ascii="Arial" w:hAnsi="Arial" w:cs="Arial"/>
        </w:rPr>
        <w:t>Shari’ah</w:t>
      </w:r>
      <w:r w:rsidRPr="0073517E">
        <w:rPr>
          <w:rFonts w:ascii="Arial" w:hAnsi="Arial" w:cs="Arial"/>
        </w:rPr>
        <w:t xml:space="preserve"> oversight. While individual Islamic banks typically have their own </w:t>
      </w:r>
      <w:r w:rsidR="00095ED8" w:rsidRPr="0073517E">
        <w:rPr>
          <w:rFonts w:ascii="Arial" w:hAnsi="Arial" w:cs="Arial"/>
        </w:rPr>
        <w:t>Shari’ah</w:t>
      </w:r>
      <w:r w:rsidRPr="0073517E">
        <w:rPr>
          <w:rFonts w:ascii="Arial" w:hAnsi="Arial" w:cs="Arial"/>
        </w:rPr>
        <w:t xml:space="preserve"> boards to provide internal guidance and approve products, varying interpretations among </w:t>
      </w:r>
      <w:r w:rsidR="00095ED8" w:rsidRPr="0073517E">
        <w:rPr>
          <w:rFonts w:ascii="Arial" w:hAnsi="Arial" w:cs="Arial"/>
        </w:rPr>
        <w:t>Shari’ah</w:t>
      </w:r>
      <w:r w:rsidRPr="0073517E">
        <w:rPr>
          <w:rFonts w:ascii="Arial" w:hAnsi="Arial" w:cs="Arial"/>
        </w:rPr>
        <w:t xml:space="preserve"> scholars can lead to inconsistencies. Hemed (2009) notes that "different interpretations of the acceptability of various products from a Shari'ah perspective makes standardization difficult, leading to the same Islamic finance product being rejected by one Shari'ah board and accepted by another because the rulings of the Shari'ah board members are based on their understanding of the Shari'ah principles." This lack of standardization can create uncertainty and hinder the growth of the Islamic banking sector.</w:t>
      </w:r>
      <w:r w:rsidR="003447F3" w:rsidRPr="003447F3">
        <w:rPr>
          <w:rFonts w:ascii="Arial" w:hAnsi="Arial" w:cs="Arial"/>
        </w:rPr>
        <w:t xml:space="preserve"> </w:t>
      </w:r>
    </w:p>
    <w:p w14:paraId="3340FECE" w14:textId="77777777" w:rsidR="001F5411" w:rsidRPr="008C5F54" w:rsidRDefault="001F5411" w:rsidP="008422BF">
      <w:pPr>
        <w:pStyle w:val="AbstHead"/>
        <w:spacing w:after="0"/>
        <w:jc w:val="both"/>
        <w:rPr>
          <w:rFonts w:ascii="Arial" w:hAnsi="Arial" w:cs="Arial"/>
          <w:b w:val="0"/>
          <w:bCs/>
          <w:sz w:val="20"/>
        </w:rPr>
      </w:pPr>
    </w:p>
    <w:p w14:paraId="1DE79EB8" w14:textId="03BF0A97" w:rsidR="001F5411" w:rsidRPr="008C5F54" w:rsidRDefault="001F5411" w:rsidP="00712977">
      <w:pPr>
        <w:pStyle w:val="AbstHead"/>
        <w:spacing w:after="0"/>
        <w:jc w:val="both"/>
        <w:rPr>
          <w:rFonts w:ascii="Arial" w:hAnsi="Arial" w:cs="Arial"/>
          <w:caps w:val="0"/>
          <w:sz w:val="20"/>
          <w:u w:val="single"/>
        </w:rPr>
      </w:pPr>
      <w:r w:rsidRPr="008C5F54">
        <w:rPr>
          <w:rFonts w:ascii="Arial" w:hAnsi="Arial" w:cs="Arial"/>
          <w:sz w:val="20"/>
          <w:u w:val="single"/>
        </w:rPr>
        <w:t xml:space="preserve">2.3.2 </w:t>
      </w:r>
      <w:r w:rsidR="00694ACB" w:rsidRPr="008C5F54">
        <w:rPr>
          <w:rFonts w:ascii="Arial" w:hAnsi="Arial" w:cs="Arial"/>
          <w:caps w:val="0"/>
          <w:sz w:val="20"/>
          <w:u w:val="single"/>
        </w:rPr>
        <w:t>Information</w:t>
      </w:r>
      <w:r w:rsidR="0073517E">
        <w:rPr>
          <w:rFonts w:ascii="Arial" w:hAnsi="Arial" w:cs="Arial"/>
          <w:caps w:val="0"/>
          <w:sz w:val="20"/>
          <w:u w:val="single"/>
        </w:rPr>
        <w:t xml:space="preserve"> Asymmetry</w:t>
      </w:r>
      <w:r w:rsidR="00694ACB" w:rsidRPr="008C5F54">
        <w:rPr>
          <w:rFonts w:ascii="Arial" w:hAnsi="Arial" w:cs="Arial"/>
          <w:caps w:val="0"/>
          <w:sz w:val="20"/>
          <w:u w:val="single"/>
        </w:rPr>
        <w:t xml:space="preserve"> and Bank Selection</w:t>
      </w:r>
    </w:p>
    <w:p w14:paraId="3E4E9551" w14:textId="4892657F" w:rsidR="0073517E" w:rsidRDefault="0073517E" w:rsidP="008C5F54">
      <w:pPr>
        <w:jc w:val="both"/>
        <w:rPr>
          <w:rFonts w:ascii="Arial" w:hAnsi="Arial" w:cs="Arial"/>
        </w:rPr>
      </w:pPr>
    </w:p>
    <w:p w14:paraId="0C518679" w14:textId="546A5F1E" w:rsidR="004E1B00" w:rsidRPr="004E1B00" w:rsidRDefault="004E1B00" w:rsidP="004E1B00">
      <w:pPr>
        <w:jc w:val="both"/>
        <w:rPr>
          <w:rFonts w:ascii="Arial" w:hAnsi="Arial" w:cs="Arial"/>
        </w:rPr>
      </w:pPr>
      <w:r w:rsidRPr="004E1B00">
        <w:rPr>
          <w:rFonts w:ascii="Arial" w:hAnsi="Arial" w:cs="Arial"/>
        </w:rPr>
        <w:t xml:space="preserve">A significant obstacle facing Islamic banks in Kenya is the limited public awareness regarding their objectives and operational modalities (Laving, 2013). Potential customers may be primarily focused on investment returns, and the inability of Islamic banks to guarantee fixed returns, due to the prohibition of interest, may deter some individuals who prioritize assured returns over </w:t>
      </w:r>
      <w:r w:rsidR="00095ED8" w:rsidRPr="004E1B00">
        <w:rPr>
          <w:rFonts w:ascii="Arial" w:hAnsi="Arial" w:cs="Arial"/>
        </w:rPr>
        <w:t>Shari’ah</w:t>
      </w:r>
      <w:r w:rsidRPr="004E1B00">
        <w:rPr>
          <w:rFonts w:ascii="Arial" w:hAnsi="Arial" w:cs="Arial"/>
        </w:rPr>
        <w:t xml:space="preserve"> compliance.</w:t>
      </w:r>
    </w:p>
    <w:p w14:paraId="2EA076EC" w14:textId="77777777" w:rsidR="004E1B00" w:rsidRPr="004E1B00" w:rsidRDefault="004E1B00" w:rsidP="004E1B00">
      <w:pPr>
        <w:jc w:val="both"/>
        <w:rPr>
          <w:rFonts w:ascii="Arial" w:hAnsi="Arial" w:cs="Arial"/>
        </w:rPr>
      </w:pPr>
    </w:p>
    <w:p w14:paraId="5CFF0098" w14:textId="32B08C62" w:rsidR="004E1B00" w:rsidRPr="004E1B00" w:rsidRDefault="004E1B00" w:rsidP="004E1B00">
      <w:pPr>
        <w:jc w:val="both"/>
        <w:rPr>
          <w:rFonts w:ascii="Arial" w:hAnsi="Arial" w:cs="Arial"/>
        </w:rPr>
      </w:pPr>
      <w:r w:rsidRPr="004E1B00">
        <w:rPr>
          <w:rFonts w:ascii="Arial" w:hAnsi="Arial" w:cs="Arial"/>
        </w:rPr>
        <w:t xml:space="preserve">To address this challenge, Islamic banks should proactively educate the public through various channels, such as public lectures and targeted marketing campaigns, to clearly differentiate themselves from conventional banks and highlight the unique benefits they offer. Promoting greater understanding of the ethical implications of riba and the </w:t>
      </w:r>
      <w:r w:rsidR="00095ED8" w:rsidRPr="004E1B00">
        <w:rPr>
          <w:rFonts w:ascii="Arial" w:hAnsi="Arial" w:cs="Arial"/>
        </w:rPr>
        <w:t>Shari’ah</w:t>
      </w:r>
      <w:r w:rsidRPr="004E1B00">
        <w:rPr>
          <w:rFonts w:ascii="Arial" w:hAnsi="Arial" w:cs="Arial"/>
        </w:rPr>
        <w:t xml:space="preserve">-compliant nature of Islamic finance could also resonate with a broader audience. </w:t>
      </w:r>
      <w:proofErr w:type="spellStart"/>
      <w:r w:rsidRPr="004E1B00">
        <w:rPr>
          <w:rFonts w:ascii="Arial" w:hAnsi="Arial" w:cs="Arial"/>
        </w:rPr>
        <w:t>Kaabachi</w:t>
      </w:r>
      <w:proofErr w:type="spellEnd"/>
      <w:r w:rsidRPr="004E1B00">
        <w:rPr>
          <w:rFonts w:ascii="Arial" w:hAnsi="Arial" w:cs="Arial"/>
        </w:rPr>
        <w:t xml:space="preserve"> (2016) emphasizes that "consumer education and trust will be key factors in the rapid expansion of Islamic Banking." Furthermore, Islamic banks must articulate their value proposition in a clear and accessible manner, emphasizing the benefits of banking with them at both the individual and national levels.</w:t>
      </w:r>
    </w:p>
    <w:p w14:paraId="3DC69E49" w14:textId="77777777" w:rsidR="004E1B00" w:rsidRPr="004E1B00" w:rsidRDefault="004E1B00" w:rsidP="004E1B00">
      <w:pPr>
        <w:jc w:val="both"/>
        <w:rPr>
          <w:rFonts w:ascii="Arial" w:hAnsi="Arial" w:cs="Arial"/>
        </w:rPr>
      </w:pPr>
    </w:p>
    <w:p w14:paraId="4B718EA3" w14:textId="7E097FD8" w:rsidR="004E1B00" w:rsidRDefault="004E1B00" w:rsidP="008C5F54">
      <w:pPr>
        <w:jc w:val="both"/>
        <w:rPr>
          <w:rFonts w:ascii="Arial" w:hAnsi="Arial" w:cs="Arial"/>
        </w:rPr>
      </w:pPr>
      <w:r w:rsidRPr="004E1B00">
        <w:rPr>
          <w:rFonts w:ascii="Arial" w:hAnsi="Arial" w:cs="Arial"/>
        </w:rPr>
        <w:t>It is also crucial for Islamic banks to dispel the misconception that their services are exclusively for Muslims. "The lack of knowledge about the existence of Islamic banks and the misconception on their product remains a major challenge in the Kenyan market" (MUTUA, 2017). As the managing director of Gulf African Bank noted, "</w:t>
      </w:r>
      <w:r w:rsidR="00E45057" w:rsidRPr="004E1B00">
        <w:rPr>
          <w:rFonts w:ascii="Arial" w:hAnsi="Arial" w:cs="Arial"/>
        </w:rPr>
        <w:t>The</w:t>
      </w:r>
      <w:r w:rsidRPr="004E1B00">
        <w:rPr>
          <w:rFonts w:ascii="Arial" w:hAnsi="Arial" w:cs="Arial"/>
        </w:rPr>
        <w:t xml:space="preserve"> lack of information is to be blamed on the majority of Kenyans who believe that Islamic banks are purposely designed for Muslims" (Daily Nation, 2016). Islamic banks must actively communicate that their services are available to everyone, regardless of religious affiliation. Addressing this misperception is critical for broadening their customer base and expanding their market share. Beyond these informational challenges, the sector also faces shortages of qualified </w:t>
      </w:r>
      <w:r w:rsidR="00E45057" w:rsidRPr="004E1B00">
        <w:rPr>
          <w:rFonts w:ascii="Arial" w:hAnsi="Arial" w:cs="Arial"/>
        </w:rPr>
        <w:t>Shari’ah</w:t>
      </w:r>
      <w:r w:rsidRPr="004E1B00">
        <w:rPr>
          <w:rFonts w:ascii="Arial" w:hAnsi="Arial" w:cs="Arial"/>
        </w:rPr>
        <w:t xml:space="preserve"> scholars and other operational experts.</w:t>
      </w:r>
    </w:p>
    <w:p w14:paraId="35CDADC8" w14:textId="77777777" w:rsidR="001F5411" w:rsidRPr="008C5F54" w:rsidRDefault="001F5411" w:rsidP="008422BF">
      <w:pPr>
        <w:pStyle w:val="AbstHead"/>
        <w:spacing w:after="0"/>
        <w:jc w:val="both"/>
        <w:rPr>
          <w:rFonts w:ascii="Arial" w:hAnsi="Arial" w:cs="Arial"/>
          <w:b w:val="0"/>
          <w:bCs/>
          <w:sz w:val="20"/>
        </w:rPr>
      </w:pPr>
    </w:p>
    <w:p w14:paraId="5E635086" w14:textId="725599D6" w:rsidR="001F5411" w:rsidRDefault="001F5411" w:rsidP="00712977">
      <w:pPr>
        <w:pStyle w:val="AbstHead"/>
        <w:spacing w:after="0"/>
        <w:jc w:val="both"/>
        <w:rPr>
          <w:rFonts w:ascii="Arial" w:hAnsi="Arial" w:cs="Arial"/>
          <w:caps w:val="0"/>
          <w:szCs w:val="22"/>
        </w:rPr>
      </w:pPr>
      <w:r w:rsidRPr="00404AFF">
        <w:rPr>
          <w:rFonts w:ascii="Arial" w:hAnsi="Arial" w:cs="Arial"/>
          <w:szCs w:val="22"/>
        </w:rPr>
        <w:t xml:space="preserve">2.4 </w:t>
      </w:r>
      <w:r w:rsidR="00694ACB" w:rsidRPr="00404AFF">
        <w:rPr>
          <w:rFonts w:ascii="Arial" w:hAnsi="Arial" w:cs="Arial"/>
          <w:caps w:val="0"/>
          <w:szCs w:val="22"/>
        </w:rPr>
        <w:t xml:space="preserve">Strategies Adopted by Islamic Banks </w:t>
      </w:r>
      <w:r w:rsidR="00712977">
        <w:rPr>
          <w:rFonts w:ascii="Arial" w:hAnsi="Arial" w:cs="Arial"/>
          <w:caps w:val="0"/>
          <w:szCs w:val="22"/>
        </w:rPr>
        <w:t>t</w:t>
      </w:r>
      <w:r w:rsidR="00694ACB" w:rsidRPr="00404AFF">
        <w:rPr>
          <w:rFonts w:ascii="Arial" w:hAnsi="Arial" w:cs="Arial"/>
          <w:caps w:val="0"/>
          <w:szCs w:val="22"/>
        </w:rPr>
        <w:t xml:space="preserve">o </w:t>
      </w:r>
      <w:r w:rsidR="00E45057" w:rsidRPr="00404AFF">
        <w:rPr>
          <w:rFonts w:ascii="Arial" w:hAnsi="Arial" w:cs="Arial"/>
          <w:caps w:val="0"/>
          <w:szCs w:val="22"/>
        </w:rPr>
        <w:t>Penetrate the</w:t>
      </w:r>
      <w:r w:rsidR="00694ACB" w:rsidRPr="00404AFF">
        <w:rPr>
          <w:rFonts w:ascii="Arial" w:hAnsi="Arial" w:cs="Arial"/>
          <w:caps w:val="0"/>
          <w:szCs w:val="22"/>
        </w:rPr>
        <w:t xml:space="preserve"> Kenyan Market</w:t>
      </w:r>
    </w:p>
    <w:p w14:paraId="38A78EF4" w14:textId="77777777" w:rsidR="00712977" w:rsidRPr="00404AFF" w:rsidRDefault="00712977" w:rsidP="00712977">
      <w:pPr>
        <w:pStyle w:val="AbstHead"/>
        <w:spacing w:after="0"/>
        <w:jc w:val="both"/>
        <w:rPr>
          <w:rFonts w:ascii="Arial" w:hAnsi="Arial" w:cs="Arial"/>
          <w:szCs w:val="22"/>
        </w:rPr>
      </w:pPr>
    </w:p>
    <w:p w14:paraId="28600A30" w14:textId="68696EF2" w:rsidR="004E1B00" w:rsidRDefault="004E1B00" w:rsidP="008C5F54">
      <w:pPr>
        <w:jc w:val="both"/>
        <w:rPr>
          <w:rFonts w:ascii="Arial" w:hAnsi="Arial" w:cs="Arial"/>
        </w:rPr>
      </w:pPr>
      <w:r w:rsidRPr="004E1B00">
        <w:rPr>
          <w:rFonts w:ascii="Arial" w:hAnsi="Arial" w:cs="Arial"/>
        </w:rPr>
        <w:t xml:space="preserve">A well-defined mission and vision are essential for achieving the long-term goals of any business. To realize these goals, effective strategies are critical. The strategies adopted by businesses are often dictated by their specific line of business. In </w:t>
      </w:r>
      <w:r w:rsidRPr="004E1B00">
        <w:rPr>
          <w:rFonts w:ascii="Arial" w:hAnsi="Arial" w:cs="Arial"/>
        </w:rPr>
        <w:lastRenderedPageBreak/>
        <w:t>the case of Islamic banks, various strategies are employed to penetrate the financial market, including product innovation, convenient and accessible service delivery, and raising public awareness of their operations.</w:t>
      </w:r>
    </w:p>
    <w:p w14:paraId="2FD2321A" w14:textId="77777777" w:rsidR="00E45057" w:rsidRDefault="00E45057" w:rsidP="008C5F54">
      <w:pPr>
        <w:jc w:val="both"/>
        <w:rPr>
          <w:rFonts w:ascii="Arial" w:hAnsi="Arial" w:cs="Arial"/>
        </w:rPr>
      </w:pPr>
    </w:p>
    <w:p w14:paraId="58AF2C74" w14:textId="79F1AB41" w:rsidR="004E1B00" w:rsidRDefault="009C4D08" w:rsidP="008C5F54">
      <w:pPr>
        <w:jc w:val="both"/>
        <w:rPr>
          <w:rFonts w:ascii="Arial" w:hAnsi="Arial" w:cs="Arial"/>
        </w:rPr>
      </w:pPr>
      <w:sdt>
        <w:sdtPr>
          <w:rPr>
            <w:rFonts w:ascii="Arial" w:hAnsi="Arial" w:cs="Arial"/>
          </w:rPr>
          <w:id w:val="-1015301015"/>
          <w:citation/>
        </w:sdtPr>
        <w:sdtEndPr/>
        <w:sdtContent>
          <w:r w:rsidR="001F5411" w:rsidRPr="008C5F54">
            <w:rPr>
              <w:rFonts w:ascii="Arial" w:hAnsi="Arial" w:cs="Arial"/>
            </w:rPr>
            <w:fldChar w:fldCharType="begin"/>
          </w:r>
          <w:r w:rsidR="001F5411" w:rsidRPr="008C5F54">
            <w:rPr>
              <w:rFonts w:ascii="Arial" w:hAnsi="Arial" w:cs="Arial"/>
            </w:rPr>
            <w:instrText xml:space="preserve"> CITATION MOH13 \l 1033 </w:instrText>
          </w:r>
          <w:r w:rsidR="001F5411" w:rsidRPr="008C5F54">
            <w:rPr>
              <w:rFonts w:ascii="Arial" w:hAnsi="Arial" w:cs="Arial"/>
            </w:rPr>
            <w:fldChar w:fldCharType="separate"/>
          </w:r>
          <w:r w:rsidR="001F5411" w:rsidRPr="008C5F54">
            <w:rPr>
              <w:rFonts w:ascii="Arial" w:hAnsi="Arial" w:cs="Arial"/>
              <w:noProof/>
            </w:rPr>
            <w:t>(KASMANI, 2013)</w:t>
          </w:r>
          <w:r w:rsidR="001F5411" w:rsidRPr="008C5F54">
            <w:rPr>
              <w:rFonts w:ascii="Arial" w:hAnsi="Arial" w:cs="Arial"/>
            </w:rPr>
            <w:fldChar w:fldCharType="end"/>
          </w:r>
        </w:sdtContent>
      </w:sdt>
      <w:r w:rsidR="001F5411" w:rsidRPr="008C5F54">
        <w:rPr>
          <w:rFonts w:ascii="Arial" w:hAnsi="Arial" w:cs="Arial"/>
        </w:rPr>
        <w:t>,</w:t>
      </w:r>
      <w:r w:rsidR="004E1B00" w:rsidRPr="004E1B00">
        <w:rPr>
          <w:rFonts w:ascii="Arial" w:hAnsi="Arial" w:cs="Arial"/>
        </w:rPr>
        <w:t xml:space="preserve"> notes that Gulf African Bank has successfully employed product innovation, developing specialized accounts targeted towards specific demographics such as women and children. These innovative products have not only catered to customer needs but also increased the level of competition within Kenya's financial market. Similarly, First Community Bank developed a product known as "BORESHA" (meaning Empower in Kiswahili), which was well-received by customers, particularly women (Global Finance Report, 2010). In addition to product innovation, Gulf African Bank has utilized advocacy and civic education programs to penetrate the Kenyan market (Global Finance Report, 2010). Their civic education initiatives aim to raise public awareness of Islamic banking principles across various demographics, while their advocacy efforts focus on engaging policymakers to review existing banking laws that may impede the growth of Islamic banks.</w:t>
      </w:r>
    </w:p>
    <w:p w14:paraId="0B570EAA" w14:textId="11DA8AEC" w:rsidR="00790ADA" w:rsidRDefault="00790ADA" w:rsidP="008422BF">
      <w:pPr>
        <w:pStyle w:val="Body"/>
        <w:spacing w:after="0"/>
        <w:rPr>
          <w:rFonts w:ascii="Arial" w:hAnsi="Arial" w:cs="Arial"/>
        </w:rPr>
      </w:pPr>
    </w:p>
    <w:p w14:paraId="08103683" w14:textId="77777777" w:rsidR="00E45057" w:rsidRPr="00404AFF" w:rsidRDefault="00E45057" w:rsidP="008422BF">
      <w:pPr>
        <w:pStyle w:val="Body"/>
        <w:spacing w:after="0"/>
        <w:rPr>
          <w:rFonts w:ascii="Arial" w:hAnsi="Arial" w:cs="Arial"/>
          <w:sz w:val="22"/>
          <w:szCs w:val="22"/>
        </w:rPr>
      </w:pPr>
    </w:p>
    <w:p w14:paraId="41FE9EB6" w14:textId="501AE87F" w:rsidR="00790ADA" w:rsidRDefault="00000F8F" w:rsidP="00712977">
      <w:pPr>
        <w:pStyle w:val="Head1"/>
        <w:spacing w:after="0"/>
        <w:jc w:val="both"/>
        <w:rPr>
          <w:rFonts w:ascii="Arial" w:hAnsi="Arial" w:cs="Arial"/>
          <w:szCs w:val="22"/>
        </w:rPr>
      </w:pPr>
      <w:r w:rsidRPr="00404AFF">
        <w:rPr>
          <w:rFonts w:ascii="Arial" w:hAnsi="Arial" w:cs="Arial"/>
          <w:szCs w:val="22"/>
        </w:rPr>
        <w:t>3</w:t>
      </w:r>
      <w:r w:rsidR="00902823" w:rsidRPr="00404AFF">
        <w:rPr>
          <w:rFonts w:ascii="Arial" w:hAnsi="Arial" w:cs="Arial"/>
          <w:szCs w:val="22"/>
        </w:rPr>
        <w:t xml:space="preserve">. </w:t>
      </w:r>
      <w:r w:rsidRPr="00404AFF">
        <w:rPr>
          <w:rFonts w:ascii="Arial" w:hAnsi="Arial" w:cs="Arial"/>
          <w:szCs w:val="22"/>
        </w:rPr>
        <w:t>results and discussion</w:t>
      </w:r>
    </w:p>
    <w:p w14:paraId="33562256" w14:textId="77777777" w:rsidR="00712977" w:rsidRPr="00404AFF" w:rsidRDefault="00712977" w:rsidP="00712977">
      <w:pPr>
        <w:pStyle w:val="Head1"/>
        <w:spacing w:after="0"/>
        <w:jc w:val="both"/>
        <w:rPr>
          <w:rFonts w:ascii="Arial" w:hAnsi="Arial" w:cs="Arial"/>
          <w:szCs w:val="22"/>
        </w:rPr>
      </w:pPr>
    </w:p>
    <w:p w14:paraId="716AE274" w14:textId="5FD32BF6" w:rsidR="001F5411" w:rsidRDefault="00694ACB" w:rsidP="00712977">
      <w:pPr>
        <w:pStyle w:val="Body"/>
        <w:spacing w:after="0"/>
        <w:rPr>
          <w:rFonts w:ascii="Arial" w:hAnsi="Arial" w:cs="Arial"/>
          <w:sz w:val="22"/>
          <w:szCs w:val="22"/>
        </w:rPr>
      </w:pPr>
      <w:r w:rsidRPr="00694ACB">
        <w:rPr>
          <w:rFonts w:ascii="Arial" w:hAnsi="Arial" w:cs="Arial"/>
          <w:b/>
          <w:bCs/>
          <w:sz w:val="22"/>
          <w:szCs w:val="22"/>
        </w:rPr>
        <w:t>3.1 Potentials of Islamic Banks in Kenya</w:t>
      </w:r>
      <w:r w:rsidR="001F5411" w:rsidRPr="00404AFF">
        <w:rPr>
          <w:rFonts w:ascii="Arial" w:hAnsi="Arial" w:cs="Arial"/>
          <w:sz w:val="22"/>
          <w:szCs w:val="22"/>
        </w:rPr>
        <w:t>.</w:t>
      </w:r>
    </w:p>
    <w:p w14:paraId="434A65F1" w14:textId="77777777" w:rsidR="00712977" w:rsidRPr="00404AFF" w:rsidRDefault="00712977" w:rsidP="00712977">
      <w:pPr>
        <w:pStyle w:val="Body"/>
        <w:spacing w:after="0"/>
        <w:rPr>
          <w:rFonts w:ascii="Arial" w:hAnsi="Arial" w:cs="Arial"/>
          <w:sz w:val="22"/>
          <w:szCs w:val="22"/>
        </w:rPr>
      </w:pPr>
    </w:p>
    <w:p w14:paraId="23429719" w14:textId="6D36726C" w:rsidR="008C5F54" w:rsidRPr="008C5F54" w:rsidRDefault="008C5F54" w:rsidP="008C5F54">
      <w:pPr>
        <w:jc w:val="both"/>
        <w:rPr>
          <w:rFonts w:ascii="Arial" w:hAnsi="Arial" w:cs="Arial"/>
        </w:rPr>
      </w:pPr>
      <w:r w:rsidRPr="008C5F54">
        <w:rPr>
          <w:rFonts w:ascii="Arial" w:hAnsi="Arial" w:cs="Arial"/>
        </w:rPr>
        <w:t>Kenya demonstrates significant potential for the expansion of Islamic banking. Governmental initiatives to foster a conducive environment for Islamic finance, combined with the country's demographic composition, represent key drivers for growth. As reported on the official website of the Business Daily</w:t>
      </w:r>
      <w:r w:rsidR="00E45057">
        <w:rPr>
          <w:rStyle w:val="FootnoteReference"/>
          <w:rFonts w:ascii="Arial" w:hAnsi="Arial" w:cs="Arial"/>
        </w:rPr>
        <w:footnoteReference w:id="4"/>
      </w:r>
      <w:r w:rsidRPr="008C5F54">
        <w:rPr>
          <w:rFonts w:ascii="Arial" w:hAnsi="Arial" w:cs="Arial"/>
        </w:rPr>
        <w:t>, "In order to develop the market for Islamic finance and unlock its potentials the government has established a project management office (PMO) to develop an institutional, policy and regulatory framework for the Islamic finance industry in Kenya." Recognizing that th</w:t>
      </w:r>
      <w:r w:rsidR="00E45057">
        <w:rPr>
          <w:rFonts w:ascii="Arial" w:hAnsi="Arial" w:cs="Arial"/>
        </w:rPr>
        <w:t xml:space="preserve">e absence of a Shari’ah </w:t>
      </w:r>
      <w:r w:rsidRPr="008C5F54">
        <w:rPr>
          <w:rFonts w:ascii="Arial" w:hAnsi="Arial" w:cs="Arial"/>
        </w:rPr>
        <w:t xml:space="preserve">compliant legal framework poses a major challenge for Islamic banks, the PMO has embarked on developing appropriate policies, regulatory and </w:t>
      </w:r>
      <w:r w:rsidR="00E45057" w:rsidRPr="008C5F54">
        <w:rPr>
          <w:rFonts w:ascii="Arial" w:hAnsi="Arial" w:cs="Arial"/>
        </w:rPr>
        <w:t>Shari’ah</w:t>
      </w:r>
      <w:r w:rsidRPr="008C5F54">
        <w:rPr>
          <w:rFonts w:ascii="Arial" w:hAnsi="Arial" w:cs="Arial"/>
        </w:rPr>
        <w:t xml:space="preserve"> governance frameworks, and capacity build</w:t>
      </w:r>
      <w:r w:rsidR="00E45057">
        <w:rPr>
          <w:rFonts w:ascii="Arial" w:hAnsi="Arial" w:cs="Arial"/>
        </w:rPr>
        <w:t>ing initiatives</w:t>
      </w:r>
      <w:r w:rsidRPr="008C5F54">
        <w:rPr>
          <w:rFonts w:ascii="Arial" w:hAnsi="Arial" w:cs="Arial"/>
        </w:rPr>
        <w:t xml:space="preserve">. The successful implementation of these policies would level the playing field for Islamic banks, encouraging further investment and participation in the market. </w:t>
      </w:r>
      <w:proofErr w:type="spellStart"/>
      <w:r w:rsidRPr="008C5F54">
        <w:rPr>
          <w:rFonts w:ascii="Arial" w:hAnsi="Arial" w:cs="Arial"/>
        </w:rPr>
        <w:t>Anouar</w:t>
      </w:r>
      <w:proofErr w:type="spellEnd"/>
      <w:r w:rsidRPr="008C5F54">
        <w:rPr>
          <w:rFonts w:ascii="Arial" w:hAnsi="Arial" w:cs="Arial"/>
        </w:rPr>
        <w:t xml:space="preserve"> </w:t>
      </w:r>
      <w:proofErr w:type="spellStart"/>
      <w:r w:rsidRPr="008C5F54">
        <w:rPr>
          <w:rFonts w:ascii="Arial" w:hAnsi="Arial" w:cs="Arial"/>
        </w:rPr>
        <w:t>Hassoune</w:t>
      </w:r>
      <w:proofErr w:type="spellEnd"/>
      <w:r w:rsidRPr="008C5F54">
        <w:rPr>
          <w:rFonts w:ascii="Arial" w:hAnsi="Arial" w:cs="Arial"/>
        </w:rPr>
        <w:t>, a Moody's analyst, stated in the Global Finance Report (2010) that "Islamic banks tend to do better in markets that have an established financial market infrastructure and appropriate enforcement mechanism such as South Africa and Kenya," further highlighting the potential of the Kenyan market.</w:t>
      </w:r>
    </w:p>
    <w:p w14:paraId="4CAB5ECA" w14:textId="77777777" w:rsidR="008C5F54" w:rsidRPr="008C5F54" w:rsidRDefault="008C5F54" w:rsidP="008C5F54">
      <w:pPr>
        <w:jc w:val="both"/>
        <w:rPr>
          <w:rFonts w:ascii="Arial" w:hAnsi="Arial" w:cs="Arial"/>
        </w:rPr>
      </w:pPr>
    </w:p>
    <w:p w14:paraId="65605AE0" w14:textId="529B4349" w:rsidR="008C5F54" w:rsidRPr="008C5F54" w:rsidRDefault="008C5F54" w:rsidP="008C5F54">
      <w:pPr>
        <w:jc w:val="both"/>
        <w:rPr>
          <w:rFonts w:ascii="Arial" w:hAnsi="Arial" w:cs="Arial"/>
        </w:rPr>
      </w:pPr>
      <w:r w:rsidRPr="008C5F54">
        <w:rPr>
          <w:rFonts w:ascii="Arial" w:hAnsi="Arial" w:cs="Arial"/>
        </w:rPr>
        <w:t>The demand for Islamic financial products, particularly among the Muslim population, also presents a significant op</w:t>
      </w:r>
      <w:r w:rsidR="00E45057">
        <w:rPr>
          <w:rFonts w:ascii="Arial" w:hAnsi="Arial" w:cs="Arial"/>
        </w:rPr>
        <w:t>portunity. With an estimated 5.2 million Muslims representing 10% of Kenya’s total population</w:t>
      </w:r>
      <w:r w:rsidRPr="008C5F54">
        <w:rPr>
          <w:rFonts w:ascii="Arial" w:hAnsi="Arial" w:cs="Arial"/>
        </w:rPr>
        <w:t xml:space="preserve">, Kenya's demographic profile suggests a considerable market for Islamic financial services. Building trust within the Muslim community is crucial, as a lack of confidence in </w:t>
      </w:r>
      <w:r w:rsidR="000B6C75" w:rsidRPr="008C5F54">
        <w:rPr>
          <w:rFonts w:ascii="Arial" w:hAnsi="Arial" w:cs="Arial"/>
        </w:rPr>
        <w:t>Shari’ah</w:t>
      </w:r>
      <w:r w:rsidR="000B6C75">
        <w:rPr>
          <w:rFonts w:ascii="Arial" w:hAnsi="Arial" w:cs="Arial"/>
        </w:rPr>
        <w:t xml:space="preserve"> </w:t>
      </w:r>
      <w:r w:rsidRPr="008C5F54">
        <w:rPr>
          <w:rFonts w:ascii="Arial" w:hAnsi="Arial" w:cs="Arial"/>
        </w:rPr>
        <w:t>compliant products may deter some potential customers. As the Global Finance Report (2010) suggests, "the new wave of Islamic banking in countries such as Kenya and the appetite for financial products that comply with Shari'ah is on the rise as the continent awakens to the ideological and practical richness and relevance of this form of alternative banking." This growing acceptance presents a substantial opportunity for Islamic banks in Kenya to expand their reach by fostering greater trust and understanding of their products.</w:t>
      </w:r>
    </w:p>
    <w:p w14:paraId="3C8B2801" w14:textId="77777777" w:rsidR="008C5F54" w:rsidRPr="008C5F54" w:rsidRDefault="008C5F54" w:rsidP="008C5F54">
      <w:pPr>
        <w:jc w:val="both"/>
        <w:rPr>
          <w:rFonts w:ascii="Arial" w:hAnsi="Arial" w:cs="Arial"/>
        </w:rPr>
      </w:pPr>
    </w:p>
    <w:p w14:paraId="418A8608" w14:textId="63B1631B" w:rsidR="008C5F54" w:rsidRPr="008C5F54" w:rsidRDefault="008C5F54" w:rsidP="008C5F54">
      <w:pPr>
        <w:jc w:val="both"/>
        <w:rPr>
          <w:rFonts w:ascii="Arial" w:hAnsi="Arial" w:cs="Arial"/>
        </w:rPr>
      </w:pPr>
      <w:r w:rsidRPr="008C5F54">
        <w:rPr>
          <w:rFonts w:ascii="Arial" w:hAnsi="Arial" w:cs="Arial"/>
        </w:rPr>
        <w:t xml:space="preserve">Moreover, the fact that nearly a quarter of First Community Bank's customers are non-Muslim Kenyans (Global Finance Report, 2010) aligns with previous research indicating that religious affiliation does not necessarily dictate bank selection criteria. This suggests that Islamic banks have the potential to attract a broader customer base beyond the Muslim community. Given that non-Muslims comprise the majority of Kenya's population, targeting this demographic with effective awareness campaigns and demonstrating the universal benefits of Islamic banking principles could significantly expand the market for </w:t>
      </w:r>
      <w:r w:rsidR="000B6C75" w:rsidRPr="008C5F54">
        <w:rPr>
          <w:rFonts w:ascii="Arial" w:hAnsi="Arial" w:cs="Arial"/>
        </w:rPr>
        <w:t>Shari’ah</w:t>
      </w:r>
      <w:r w:rsidRPr="008C5F54">
        <w:rPr>
          <w:rFonts w:ascii="Arial" w:hAnsi="Arial" w:cs="Arial"/>
        </w:rPr>
        <w:t>-compliant financial services.</w:t>
      </w:r>
    </w:p>
    <w:p w14:paraId="2BF7AA23" w14:textId="77777777" w:rsidR="008C5F54" w:rsidRDefault="008C5F54" w:rsidP="008C5F54">
      <w:pPr>
        <w:jc w:val="both"/>
        <w:rPr>
          <w:rFonts w:ascii="Arial" w:hAnsi="Arial" w:cs="Arial"/>
        </w:rPr>
      </w:pPr>
    </w:p>
    <w:p w14:paraId="6B130B0D" w14:textId="2172440B" w:rsidR="00790ADA" w:rsidRPr="008C5F54" w:rsidRDefault="00790ADA" w:rsidP="008C5F54">
      <w:pPr>
        <w:jc w:val="both"/>
        <w:rPr>
          <w:rFonts w:ascii="Arial" w:hAnsi="Arial" w:cs="Arial"/>
        </w:rPr>
      </w:pPr>
    </w:p>
    <w:p w14:paraId="549BDCCB" w14:textId="77777777" w:rsidR="00B01FCD" w:rsidRPr="00404AFF" w:rsidRDefault="00000F8F" w:rsidP="008422BF">
      <w:pPr>
        <w:pStyle w:val="ConcHead"/>
        <w:spacing w:after="0"/>
        <w:jc w:val="both"/>
        <w:rPr>
          <w:rFonts w:ascii="Arial" w:hAnsi="Arial" w:cs="Arial"/>
          <w:szCs w:val="22"/>
        </w:rPr>
      </w:pPr>
      <w:r w:rsidRPr="00404AFF">
        <w:rPr>
          <w:rFonts w:ascii="Arial" w:hAnsi="Arial" w:cs="Arial"/>
          <w:szCs w:val="22"/>
        </w:rPr>
        <w:t xml:space="preserve">4. </w:t>
      </w:r>
      <w:r w:rsidR="00B01FCD" w:rsidRPr="00404AFF">
        <w:rPr>
          <w:rFonts w:ascii="Arial" w:hAnsi="Arial" w:cs="Arial"/>
          <w:szCs w:val="22"/>
        </w:rPr>
        <w:t>Conclusion</w:t>
      </w:r>
    </w:p>
    <w:p w14:paraId="7A724750" w14:textId="77777777" w:rsidR="00790ADA" w:rsidRPr="00712977" w:rsidRDefault="00790ADA" w:rsidP="00712977">
      <w:pPr>
        <w:pStyle w:val="ConcHead"/>
        <w:spacing w:after="0"/>
        <w:jc w:val="both"/>
        <w:rPr>
          <w:rFonts w:ascii="Arial" w:hAnsi="Arial" w:cs="Arial"/>
          <w:szCs w:val="22"/>
        </w:rPr>
      </w:pPr>
    </w:p>
    <w:p w14:paraId="50FE056C" w14:textId="4FB32E27" w:rsidR="000B6C75" w:rsidRPr="000B6C75" w:rsidRDefault="00ED7A2D" w:rsidP="000B6C75">
      <w:pPr>
        <w:jc w:val="both"/>
        <w:rPr>
          <w:rFonts w:ascii="Arial" w:hAnsi="Arial" w:cs="Arial"/>
        </w:rPr>
      </w:pPr>
      <w:r w:rsidRPr="00ED7A2D">
        <w:rPr>
          <w:rFonts w:ascii="Arial" w:hAnsi="Arial" w:cs="Arial"/>
        </w:rPr>
        <w:t xml:space="preserve">This paper investigates the </w:t>
      </w:r>
      <w:commentRangeStart w:id="41"/>
      <w:r w:rsidRPr="00ED7A2D">
        <w:rPr>
          <w:rFonts w:ascii="Arial" w:hAnsi="Arial" w:cs="Arial"/>
        </w:rPr>
        <w:t xml:space="preserve">potential </w:t>
      </w:r>
      <w:commentRangeEnd w:id="41"/>
      <w:r w:rsidR="00150723">
        <w:rPr>
          <w:rStyle w:val="CommentReference"/>
          <w:rFonts w:ascii="Times New Roman" w:hAnsi="Times New Roman"/>
          <w:lang w:val="nb-NO" w:eastAsia="nb-NO"/>
        </w:rPr>
        <w:commentReference w:id="41"/>
      </w:r>
      <w:r w:rsidRPr="00ED7A2D">
        <w:rPr>
          <w:rFonts w:ascii="Arial" w:hAnsi="Arial" w:cs="Arial"/>
        </w:rPr>
        <w:t>of Islamic banks in Kenya by synthesizing existing research through a comprehensive literature review to examine the factors driving their emergence, the challenges they face, and the strategies they employ to penetr</w:t>
      </w:r>
      <w:r>
        <w:rPr>
          <w:rFonts w:ascii="Arial" w:hAnsi="Arial" w:cs="Arial"/>
        </w:rPr>
        <w:t>ate the Kenyan financial market</w:t>
      </w:r>
      <w:r w:rsidR="000B6C75" w:rsidRPr="000B6C75">
        <w:rPr>
          <w:rFonts w:ascii="Arial" w:hAnsi="Arial" w:cs="Arial"/>
        </w:rPr>
        <w:t>.</w:t>
      </w:r>
      <w:r>
        <w:rPr>
          <w:rFonts w:ascii="Arial" w:hAnsi="Arial" w:cs="Arial"/>
        </w:rPr>
        <w:t xml:space="preserve"> </w:t>
      </w:r>
    </w:p>
    <w:p w14:paraId="3C22E144" w14:textId="77777777" w:rsidR="000B6C75" w:rsidRPr="000B6C75" w:rsidRDefault="000B6C75" w:rsidP="000B6C75">
      <w:pPr>
        <w:jc w:val="both"/>
        <w:rPr>
          <w:rFonts w:ascii="Arial" w:hAnsi="Arial" w:cs="Arial"/>
        </w:rPr>
      </w:pPr>
    </w:p>
    <w:p w14:paraId="2128D029" w14:textId="001C257D" w:rsidR="000B6C75" w:rsidRPr="000B6C75" w:rsidRDefault="000B6C75" w:rsidP="000B6C75">
      <w:pPr>
        <w:jc w:val="both"/>
        <w:rPr>
          <w:rFonts w:ascii="Arial" w:hAnsi="Arial" w:cs="Arial"/>
        </w:rPr>
      </w:pPr>
      <w:r w:rsidRPr="000B6C75">
        <w:rPr>
          <w:rFonts w:ascii="Arial" w:hAnsi="Arial" w:cs="Arial"/>
        </w:rPr>
        <w:t xml:space="preserve">The findings indicate that market demand for Shari’ah-compliant financial products has been a primary driver in the establishment of Islamic banks in Kenya. However, the absence of a comprehensive Shari’ah-compliant legal framework represents a significant obstacle. Additional challenges include a shortage of qualified experts in the field. To overcome these challenges, Islamic banks have adopted various market penetration strategies, including developing innovative </w:t>
      </w:r>
      <w:r w:rsidRPr="000B6C75">
        <w:rPr>
          <w:rFonts w:ascii="Arial" w:hAnsi="Arial" w:cs="Arial"/>
        </w:rPr>
        <w:lastRenderedPageBreak/>
        <w:t>products that cater to customer needs while competing with conventional offerings, conducting civic education programs, and expanding their branch networks.</w:t>
      </w:r>
    </w:p>
    <w:p w14:paraId="35C6824C" w14:textId="77777777" w:rsidR="000B6C75" w:rsidRPr="000B6C75" w:rsidRDefault="000B6C75" w:rsidP="000B6C75">
      <w:pPr>
        <w:jc w:val="both"/>
        <w:rPr>
          <w:rFonts w:ascii="Arial" w:hAnsi="Arial" w:cs="Arial"/>
        </w:rPr>
      </w:pPr>
    </w:p>
    <w:p w14:paraId="1B816970" w14:textId="77777777" w:rsidR="000B6C75" w:rsidRPr="000B6C75" w:rsidRDefault="000B6C75" w:rsidP="000B6C75">
      <w:pPr>
        <w:jc w:val="both"/>
        <w:rPr>
          <w:rFonts w:ascii="Arial" w:hAnsi="Arial" w:cs="Arial"/>
        </w:rPr>
      </w:pPr>
      <w:r w:rsidRPr="000B6C75">
        <w:rPr>
          <w:rFonts w:ascii="Arial" w:hAnsi="Arial" w:cs="Arial"/>
        </w:rPr>
        <w:t>This study identifies several key areas of potential for Islamic banks in Kenya, including the enabling environment that the government is actively fostering and the significant population of both Muslims and non-Muslims within the country. Based on these findings, the study recommends the following:</w:t>
      </w:r>
    </w:p>
    <w:p w14:paraId="4EB6C0A2" w14:textId="77777777" w:rsidR="000B6C75" w:rsidRPr="000B6C75" w:rsidRDefault="000B6C75" w:rsidP="000B6C75">
      <w:pPr>
        <w:jc w:val="both"/>
        <w:rPr>
          <w:rFonts w:ascii="Arial" w:hAnsi="Arial" w:cs="Arial"/>
        </w:rPr>
      </w:pPr>
    </w:p>
    <w:p w14:paraId="5408E39D" w14:textId="70F15665" w:rsidR="000B6C75" w:rsidRPr="000B6C75" w:rsidRDefault="000B6C75" w:rsidP="000B6C75">
      <w:pPr>
        <w:jc w:val="both"/>
        <w:rPr>
          <w:rFonts w:ascii="Arial" w:hAnsi="Arial" w:cs="Arial"/>
        </w:rPr>
      </w:pPr>
      <w:r w:rsidRPr="000B6C75">
        <w:rPr>
          <w:rFonts w:ascii="Arial" w:hAnsi="Arial" w:cs="Arial"/>
          <w:b/>
        </w:rPr>
        <w:t>Establishment of a National Shari’ah Board:</w:t>
      </w:r>
      <w:r w:rsidRPr="000B6C75">
        <w:rPr>
          <w:rFonts w:ascii="Arial" w:hAnsi="Arial" w:cs="Arial"/>
        </w:rPr>
        <w:t xml:space="preserve"> This would address the issue of trust in Islamic finance products by providing an independent body responsible for screening and approving all products in accordance with Shari’ah principles. This board would serve as a central point of reference for customers, Islamic bank staff, and regulatory bodies.</w:t>
      </w:r>
    </w:p>
    <w:p w14:paraId="6F5ED0FF" w14:textId="77777777" w:rsidR="000B6C75" w:rsidRDefault="000B6C75" w:rsidP="000B6C75">
      <w:pPr>
        <w:jc w:val="both"/>
        <w:rPr>
          <w:rFonts w:ascii="Arial" w:hAnsi="Arial" w:cs="Arial"/>
        </w:rPr>
      </w:pPr>
    </w:p>
    <w:p w14:paraId="7410D2ED" w14:textId="7C79FFFF" w:rsidR="000B6C75" w:rsidRPr="000B6C75" w:rsidRDefault="000B6C75" w:rsidP="000B6C75">
      <w:pPr>
        <w:jc w:val="both"/>
        <w:rPr>
          <w:rFonts w:ascii="Arial" w:hAnsi="Arial" w:cs="Arial"/>
        </w:rPr>
      </w:pPr>
      <w:r w:rsidRPr="000B6C75">
        <w:rPr>
          <w:rFonts w:ascii="Arial" w:hAnsi="Arial" w:cs="Arial"/>
          <w:b/>
        </w:rPr>
        <w:t xml:space="preserve">Investment in Human Capital </w:t>
      </w:r>
      <w:commentRangeStart w:id="42"/>
      <w:r w:rsidRPr="000B6C75">
        <w:rPr>
          <w:rFonts w:ascii="Arial" w:hAnsi="Arial" w:cs="Arial"/>
          <w:b/>
        </w:rPr>
        <w:t>Development</w:t>
      </w:r>
      <w:commentRangeEnd w:id="42"/>
      <w:r w:rsidR="00150723">
        <w:rPr>
          <w:rStyle w:val="CommentReference"/>
          <w:rFonts w:ascii="Times New Roman" w:hAnsi="Times New Roman"/>
          <w:lang w:val="nb-NO" w:eastAsia="nb-NO"/>
        </w:rPr>
        <w:commentReference w:id="42"/>
      </w:r>
      <w:r w:rsidRPr="000B6C75">
        <w:rPr>
          <w:rFonts w:ascii="Arial" w:hAnsi="Arial" w:cs="Arial"/>
          <w:b/>
        </w:rPr>
        <w:t>:</w:t>
      </w:r>
      <w:r w:rsidRPr="000B6C75">
        <w:rPr>
          <w:rFonts w:ascii="Arial" w:hAnsi="Arial" w:cs="Arial"/>
        </w:rPr>
        <w:t xml:space="preserve"> Prioritizing capacity building initiatives is essential for strengthening the Islamic finance sector in Kenya. Academic institutions should expand their offerings in Islamic finance, providing comprehensive programs at both the undergraduate and graduate levels. Financial institutions, particularly fully-fledged Islamic banks, should also invest in training programs to enhance the skills and expertise of their staff.</w:t>
      </w:r>
    </w:p>
    <w:p w14:paraId="428895C2" w14:textId="77777777" w:rsidR="000B6C75" w:rsidRDefault="000B6C75" w:rsidP="000B6C75">
      <w:pPr>
        <w:jc w:val="both"/>
        <w:rPr>
          <w:rFonts w:ascii="Arial" w:hAnsi="Arial" w:cs="Arial"/>
        </w:rPr>
      </w:pPr>
    </w:p>
    <w:p w14:paraId="17B9FC2E" w14:textId="54E9BBAD" w:rsidR="000B6C75" w:rsidRDefault="000B6C75" w:rsidP="000B6C75">
      <w:pPr>
        <w:jc w:val="both"/>
        <w:rPr>
          <w:rFonts w:ascii="Arial" w:hAnsi="Arial" w:cs="Arial"/>
        </w:rPr>
      </w:pPr>
      <w:r w:rsidRPr="000B6C75">
        <w:rPr>
          <w:rFonts w:ascii="Arial" w:hAnsi="Arial" w:cs="Arial"/>
          <w:b/>
        </w:rPr>
        <w:t>Implementation of Public Awareness Programs:</w:t>
      </w:r>
      <w:r w:rsidRPr="000B6C75">
        <w:rPr>
          <w:rFonts w:ascii="Arial" w:hAnsi="Arial" w:cs="Arial"/>
        </w:rPr>
        <w:t xml:space="preserve"> Islamic banks should actively engage in awareness campaigns to educate the general public about their operations and the benefits of Shari’ah-compliant finance. Furthermore, they should prioritize product innovation and provide convenient banking services to attract and retain customers.</w:t>
      </w:r>
    </w:p>
    <w:p w14:paraId="2653C998" w14:textId="77777777" w:rsidR="000B6C75" w:rsidRDefault="000B6C75" w:rsidP="008C5F54">
      <w:pPr>
        <w:jc w:val="both"/>
        <w:rPr>
          <w:rFonts w:ascii="Arial" w:hAnsi="Arial" w:cs="Arial"/>
        </w:rPr>
      </w:pPr>
    </w:p>
    <w:p w14:paraId="07B26D5E" w14:textId="77777777" w:rsidR="00FA5F60" w:rsidRDefault="00FA5F60" w:rsidP="008C5F54">
      <w:pPr>
        <w:jc w:val="both"/>
        <w:rPr>
          <w:rFonts w:ascii="Arial" w:hAnsi="Arial" w:cs="Arial"/>
        </w:rPr>
      </w:pPr>
    </w:p>
    <w:p w14:paraId="318DB3EC" w14:textId="77777777" w:rsidR="00FA5F60" w:rsidRPr="00FA5F60" w:rsidRDefault="00FA5F60" w:rsidP="00FA5F60">
      <w:pPr>
        <w:jc w:val="both"/>
        <w:rPr>
          <w:rFonts w:ascii="Arial" w:hAnsi="Arial" w:cs="Arial"/>
        </w:rPr>
      </w:pPr>
      <w:r w:rsidRPr="00FA5F60">
        <w:rPr>
          <w:rFonts w:ascii="Arial" w:hAnsi="Arial" w:cs="Arial"/>
        </w:rPr>
        <w:t>COMPETING INTERESTS DISCLAIMER:</w:t>
      </w:r>
    </w:p>
    <w:p w14:paraId="243C4193" w14:textId="77777777" w:rsidR="00FA5F60" w:rsidRPr="00FA5F60" w:rsidRDefault="00FA5F60" w:rsidP="00FA5F60">
      <w:pPr>
        <w:jc w:val="both"/>
        <w:rPr>
          <w:rFonts w:ascii="Arial" w:hAnsi="Arial" w:cs="Arial"/>
        </w:rPr>
      </w:pPr>
      <w:r w:rsidRPr="00FA5F60">
        <w:rPr>
          <w:rFonts w:ascii="Arial" w:hAnsi="Arial" w:cs="Arial"/>
        </w:rPr>
        <w:t xml:space="preserve">Authors have declared that they have </w:t>
      </w:r>
      <w:commentRangeStart w:id="43"/>
      <w:r w:rsidRPr="00FA5F60">
        <w:rPr>
          <w:rFonts w:ascii="Arial" w:hAnsi="Arial" w:cs="Arial"/>
        </w:rPr>
        <w:t xml:space="preserve">no known </w:t>
      </w:r>
      <w:commentRangeEnd w:id="43"/>
      <w:r w:rsidR="00150723">
        <w:rPr>
          <w:rStyle w:val="CommentReference"/>
          <w:rFonts w:ascii="Times New Roman" w:hAnsi="Times New Roman"/>
          <w:lang w:val="nb-NO" w:eastAsia="nb-NO"/>
        </w:rPr>
        <w:commentReference w:id="43"/>
      </w:r>
      <w:r w:rsidRPr="00FA5F60">
        <w:rPr>
          <w:rFonts w:ascii="Arial" w:hAnsi="Arial" w:cs="Arial"/>
        </w:rPr>
        <w:t>competing financial interests OR non-financial interests OR personal relationships that could have appeared to influence the work reported in this paper.</w:t>
      </w:r>
    </w:p>
    <w:p w14:paraId="36AC59E7" w14:textId="77777777" w:rsidR="00FA5F60" w:rsidRPr="00FA5F60" w:rsidRDefault="00FA5F60" w:rsidP="00FA5F60">
      <w:pPr>
        <w:jc w:val="both"/>
        <w:rPr>
          <w:rFonts w:ascii="Arial" w:hAnsi="Arial" w:cs="Arial"/>
        </w:rPr>
      </w:pPr>
    </w:p>
    <w:p w14:paraId="01B165F0" w14:textId="77777777" w:rsidR="00FA5F60" w:rsidRDefault="00FA5F60" w:rsidP="008C5F54">
      <w:pPr>
        <w:jc w:val="both"/>
        <w:rPr>
          <w:rFonts w:ascii="Arial" w:hAnsi="Arial" w:cs="Arial"/>
        </w:rPr>
      </w:pPr>
    </w:p>
    <w:p w14:paraId="74AE9C36" w14:textId="77777777" w:rsidR="001F5411" w:rsidRPr="000B6C75" w:rsidRDefault="001F5411" w:rsidP="001F5411">
      <w:pPr>
        <w:pStyle w:val="Body"/>
        <w:spacing w:after="0"/>
        <w:rPr>
          <w:rFonts w:ascii="Arial" w:hAnsi="Arial" w:cs="Arial"/>
        </w:rPr>
      </w:pPr>
    </w:p>
    <w:p w14:paraId="6CA1EBFF" w14:textId="06781044" w:rsidR="00ED7A2D" w:rsidRPr="00404AFF" w:rsidRDefault="00ED7A2D" w:rsidP="00441B6F">
      <w:pPr>
        <w:pStyle w:val="ReferHead"/>
        <w:spacing w:after="0"/>
        <w:jc w:val="both"/>
        <w:rPr>
          <w:rFonts w:ascii="Arial" w:hAnsi="Arial" w:cs="Arial"/>
          <w:szCs w:val="22"/>
        </w:rPr>
      </w:pPr>
    </w:p>
    <w:p w14:paraId="1BF73490" w14:textId="77777777" w:rsidR="00B01FCD" w:rsidRPr="00404AFF" w:rsidRDefault="00B01FCD" w:rsidP="00441B6F">
      <w:pPr>
        <w:pStyle w:val="ReferHead"/>
        <w:spacing w:after="0"/>
        <w:jc w:val="both"/>
        <w:rPr>
          <w:rFonts w:ascii="Arial" w:hAnsi="Arial" w:cs="Arial"/>
          <w:szCs w:val="22"/>
        </w:rPr>
      </w:pPr>
      <w:r w:rsidRPr="00404AFF">
        <w:rPr>
          <w:rFonts w:ascii="Arial" w:hAnsi="Arial" w:cs="Arial"/>
          <w:szCs w:val="22"/>
        </w:rPr>
        <w:t>References</w:t>
      </w:r>
    </w:p>
    <w:p w14:paraId="75A82A70" w14:textId="77777777" w:rsidR="00790ADA" w:rsidRPr="00404AFF" w:rsidRDefault="00790ADA" w:rsidP="00441B6F">
      <w:pPr>
        <w:pStyle w:val="ReferHead"/>
        <w:spacing w:after="0"/>
        <w:jc w:val="both"/>
        <w:rPr>
          <w:rFonts w:ascii="Arial" w:hAnsi="Arial" w:cs="Arial"/>
          <w:szCs w:val="22"/>
        </w:rPr>
      </w:pPr>
    </w:p>
    <w:p w14:paraId="507F3EC1"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b/>
          <w:sz w:val="20"/>
          <w:szCs w:val="20"/>
        </w:rPr>
        <w:fldChar w:fldCharType="begin"/>
      </w:r>
      <w:r w:rsidRPr="00ED7A2D">
        <w:rPr>
          <w:rFonts w:ascii="Arial" w:hAnsi="Arial" w:cs="Arial"/>
          <w:b/>
          <w:sz w:val="20"/>
          <w:szCs w:val="20"/>
        </w:rPr>
        <w:instrText xml:space="preserve"> BIBLIOGRAPHY  \l 1033 </w:instrText>
      </w:r>
      <w:r w:rsidRPr="00ED7A2D">
        <w:rPr>
          <w:rFonts w:ascii="Arial" w:hAnsi="Arial" w:cs="Arial"/>
          <w:b/>
          <w:sz w:val="20"/>
          <w:szCs w:val="20"/>
        </w:rPr>
        <w:fldChar w:fldCharType="separate"/>
      </w:r>
      <w:r w:rsidRPr="00ED7A2D">
        <w:rPr>
          <w:rFonts w:ascii="Arial" w:hAnsi="Arial" w:cs="Arial"/>
          <w:noProof/>
          <w:sz w:val="20"/>
          <w:szCs w:val="20"/>
        </w:rPr>
        <w:t xml:space="preserve">ADEN, S. A. (2014). FACTORS INFLUENCING ISLAMIC BANKING IN KENYA: A CASE STUDY OF NAIROBI COUNTRY. </w:t>
      </w:r>
      <w:r w:rsidRPr="00ED7A2D">
        <w:rPr>
          <w:rFonts w:ascii="Arial" w:hAnsi="Arial" w:cs="Arial"/>
          <w:i/>
          <w:iCs/>
          <w:noProof/>
          <w:sz w:val="20"/>
          <w:szCs w:val="20"/>
        </w:rPr>
        <w:t>UNITED STATES INTERNATIONAL UNIVERSITY,NAIROBI-KENYA</w:t>
      </w:r>
      <w:r w:rsidRPr="00ED7A2D">
        <w:rPr>
          <w:rFonts w:ascii="Arial" w:hAnsi="Arial" w:cs="Arial"/>
          <w:noProof/>
          <w:sz w:val="20"/>
          <w:szCs w:val="20"/>
        </w:rPr>
        <w:t>.</w:t>
      </w:r>
    </w:p>
    <w:p w14:paraId="3C9751B9"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Ahmad, A. (2015). Development of Islamic Banking System. </w:t>
      </w:r>
      <w:r w:rsidRPr="00ED7A2D">
        <w:rPr>
          <w:rFonts w:ascii="Arial" w:hAnsi="Arial" w:cs="Arial"/>
          <w:i/>
          <w:iCs/>
          <w:noProof/>
          <w:sz w:val="20"/>
          <w:szCs w:val="20"/>
        </w:rPr>
        <w:t>Journal of Islamic Banking and Finance</w:t>
      </w:r>
      <w:r w:rsidRPr="00ED7A2D">
        <w:rPr>
          <w:rFonts w:ascii="Arial" w:hAnsi="Arial" w:cs="Arial"/>
          <w:noProof/>
          <w:sz w:val="20"/>
          <w:szCs w:val="20"/>
        </w:rPr>
        <w:t>, vol 13, pp12-25; pp12.</w:t>
      </w:r>
    </w:p>
    <w:p w14:paraId="1426F75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Bank, F. C. (n.d.). </w:t>
      </w:r>
      <w:r w:rsidRPr="00ED7A2D">
        <w:rPr>
          <w:rFonts w:ascii="Arial" w:hAnsi="Arial" w:cs="Arial"/>
          <w:i/>
          <w:iCs/>
          <w:noProof/>
          <w:sz w:val="20"/>
          <w:szCs w:val="20"/>
        </w:rPr>
        <w:t>First Community Bank</w:t>
      </w:r>
      <w:r w:rsidRPr="00ED7A2D">
        <w:rPr>
          <w:rFonts w:ascii="Arial" w:hAnsi="Arial" w:cs="Arial"/>
          <w:noProof/>
          <w:sz w:val="20"/>
          <w:szCs w:val="20"/>
        </w:rPr>
        <w:t>. Retrieved from https://www.firstcommunitybank.co.ke/locations.</w:t>
      </w:r>
    </w:p>
    <w:p w14:paraId="35EC2D09"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Bank, G. A. (2017). </w:t>
      </w:r>
      <w:r w:rsidRPr="00ED7A2D">
        <w:rPr>
          <w:rFonts w:ascii="Arial" w:hAnsi="Arial" w:cs="Arial"/>
          <w:i/>
          <w:iCs/>
          <w:noProof/>
          <w:sz w:val="20"/>
          <w:szCs w:val="20"/>
        </w:rPr>
        <w:t>Gulf African Bank</w:t>
      </w:r>
      <w:r w:rsidRPr="00ED7A2D">
        <w:rPr>
          <w:rFonts w:ascii="Arial" w:hAnsi="Arial" w:cs="Arial"/>
          <w:noProof/>
          <w:sz w:val="20"/>
          <w:szCs w:val="20"/>
        </w:rPr>
        <w:t>. Retrieved from www.gulfafricanbank.com/index.php/support-center/contact-us/locate-us.</w:t>
      </w:r>
    </w:p>
    <w:p w14:paraId="408876F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Banking Companies Ordiance act, 2. (1962). BANKING COMPANIES ORDINANCE, 1962 AND THE BANKING COMPANIES RULES 1963.</w:t>
      </w:r>
    </w:p>
    <w:p w14:paraId="4E49445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i/>
          <w:iCs/>
          <w:noProof/>
          <w:sz w:val="20"/>
          <w:szCs w:val="20"/>
        </w:rPr>
        <w:t>Global Banking and Finance unit</w:t>
      </w:r>
      <w:r w:rsidRPr="00ED7A2D">
        <w:rPr>
          <w:rFonts w:ascii="Arial" w:hAnsi="Arial" w:cs="Arial"/>
          <w:noProof/>
          <w:sz w:val="20"/>
          <w:szCs w:val="20"/>
        </w:rPr>
        <w:t>. (2013, April 04). Retrieved from https://www.globalbankingandfinance.com/list-of-islamic-banks-in-kenya/.</w:t>
      </w:r>
    </w:p>
    <w:p w14:paraId="6BCE95B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Haron, S. A. (1994). Bank patronage factors of Muslim and non-Muslim customers. . </w:t>
      </w:r>
      <w:r w:rsidRPr="00ED7A2D">
        <w:rPr>
          <w:rFonts w:ascii="Arial" w:hAnsi="Arial" w:cs="Arial"/>
          <w:i/>
          <w:iCs/>
          <w:noProof/>
          <w:sz w:val="20"/>
          <w:szCs w:val="20"/>
        </w:rPr>
        <w:t xml:space="preserve">International Journal of Bank Marketing, </w:t>
      </w:r>
      <w:r w:rsidRPr="00ED7A2D">
        <w:rPr>
          <w:rFonts w:ascii="Arial" w:hAnsi="Arial" w:cs="Arial"/>
          <w:noProof/>
          <w:sz w:val="20"/>
          <w:szCs w:val="20"/>
        </w:rPr>
        <w:t>, 12(1), 32-40.</w:t>
      </w:r>
    </w:p>
    <w:p w14:paraId="6F517EF7"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Hemed, N. (2009). Factors affecting the adoption of Islamic Banking in Kenya by Banks. </w:t>
      </w:r>
      <w:r w:rsidRPr="00ED7A2D">
        <w:rPr>
          <w:rFonts w:ascii="Arial" w:hAnsi="Arial" w:cs="Arial"/>
          <w:i/>
          <w:iCs/>
          <w:noProof/>
          <w:sz w:val="20"/>
          <w:szCs w:val="20"/>
        </w:rPr>
        <w:t>United States International University Library, Nairobi</w:t>
      </w:r>
      <w:r w:rsidRPr="00ED7A2D">
        <w:rPr>
          <w:rFonts w:ascii="Arial" w:hAnsi="Arial" w:cs="Arial"/>
          <w:noProof/>
          <w:sz w:val="20"/>
          <w:szCs w:val="20"/>
        </w:rPr>
        <w:t>.</w:t>
      </w:r>
    </w:p>
    <w:p w14:paraId="2480B7A7"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Iqbal Munawar and Molyneux Philip, ,. (2005). Thirty years of Islamic Banking: History, Performance and Prospects. </w:t>
      </w:r>
      <w:r w:rsidRPr="00ED7A2D">
        <w:rPr>
          <w:rFonts w:ascii="Arial" w:hAnsi="Arial" w:cs="Arial"/>
          <w:i/>
          <w:iCs/>
          <w:noProof/>
          <w:sz w:val="20"/>
          <w:szCs w:val="20"/>
        </w:rPr>
        <w:t>Palgrave Macmillan, London, UK</w:t>
      </w:r>
      <w:r w:rsidRPr="00ED7A2D">
        <w:rPr>
          <w:rFonts w:ascii="Arial" w:hAnsi="Arial" w:cs="Arial"/>
          <w:noProof/>
          <w:sz w:val="20"/>
          <w:szCs w:val="20"/>
        </w:rPr>
        <w:t>, PP;37.</w:t>
      </w:r>
    </w:p>
    <w:p w14:paraId="7912472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IsabellaAboderin, C. M. (2015). Human Rights and Residential Care for Older Adults in Sub-Saharan Africa; Case Study of Kenya. </w:t>
      </w:r>
      <w:r w:rsidRPr="00ED7A2D">
        <w:rPr>
          <w:rFonts w:ascii="Arial" w:hAnsi="Arial" w:cs="Arial"/>
          <w:i/>
          <w:iCs/>
          <w:noProof/>
          <w:sz w:val="20"/>
          <w:szCs w:val="20"/>
        </w:rPr>
        <w:t>https://books.google.com.qa/books?isbn=1317910737</w:t>
      </w:r>
      <w:r w:rsidRPr="00ED7A2D">
        <w:rPr>
          <w:rFonts w:ascii="Arial" w:hAnsi="Arial" w:cs="Arial"/>
          <w:noProof/>
          <w:sz w:val="20"/>
          <w:szCs w:val="20"/>
        </w:rPr>
        <w:t>.</w:t>
      </w:r>
    </w:p>
    <w:p w14:paraId="4D3F7F13"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ISLAMIC FINANCIAL SERVICES BOARD. (2024). </w:t>
      </w:r>
      <w:r w:rsidRPr="00ED7A2D">
        <w:rPr>
          <w:rFonts w:ascii="Arial" w:hAnsi="Arial" w:cs="Arial"/>
          <w:i/>
          <w:iCs/>
          <w:noProof/>
          <w:sz w:val="20"/>
          <w:szCs w:val="20"/>
        </w:rPr>
        <w:t>ISLAMIC FINANCIAL SERVICES INDUSTRY STABILITY REPORT.</w:t>
      </w:r>
      <w:r w:rsidRPr="00ED7A2D">
        <w:rPr>
          <w:rFonts w:ascii="Arial" w:hAnsi="Arial" w:cs="Arial"/>
          <w:noProof/>
          <w:sz w:val="20"/>
          <w:szCs w:val="20"/>
        </w:rPr>
        <w:t xml:space="preserve"> Malaysia: Islamic Financial Services Board.</w:t>
      </w:r>
    </w:p>
    <w:p w14:paraId="17FADDD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lastRenderedPageBreak/>
        <w:t xml:space="preserve">Kaabachi, S. K. (2016). Determinants of Islamic banking adoption in Tunisia: empirical analysis. </w:t>
      </w:r>
      <w:r w:rsidRPr="00ED7A2D">
        <w:rPr>
          <w:rFonts w:ascii="Arial" w:hAnsi="Arial" w:cs="Arial"/>
          <w:i/>
          <w:iCs/>
          <w:noProof/>
          <w:sz w:val="20"/>
          <w:szCs w:val="20"/>
        </w:rPr>
        <w:t>International Journal of Bank Marketing</w:t>
      </w:r>
      <w:r w:rsidRPr="00ED7A2D">
        <w:rPr>
          <w:rFonts w:ascii="Arial" w:hAnsi="Arial" w:cs="Arial"/>
          <w:noProof/>
          <w:sz w:val="20"/>
          <w:szCs w:val="20"/>
        </w:rPr>
        <w:t>, 34(7), 1069-1091.</w:t>
      </w:r>
    </w:p>
    <w:p w14:paraId="0E1D1DB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Kadubo, A. S. (2010). Factors influencing development of Islamic banking in Kenya. </w:t>
      </w:r>
      <w:r w:rsidRPr="00ED7A2D">
        <w:rPr>
          <w:rFonts w:ascii="Arial" w:hAnsi="Arial" w:cs="Arial"/>
          <w:i/>
          <w:iCs/>
          <w:noProof/>
          <w:sz w:val="20"/>
          <w:szCs w:val="20"/>
        </w:rPr>
        <w:t>University of Nairobi, Nairobi.</w:t>
      </w:r>
      <w:r w:rsidRPr="00ED7A2D">
        <w:rPr>
          <w:rFonts w:ascii="Arial" w:hAnsi="Arial" w:cs="Arial"/>
          <w:noProof/>
          <w:sz w:val="20"/>
          <w:szCs w:val="20"/>
        </w:rPr>
        <w:t xml:space="preserve"> </w:t>
      </w:r>
    </w:p>
    <w:p w14:paraId="0E0A514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Kahf, M. (2013). </w:t>
      </w:r>
      <w:r w:rsidRPr="00ED7A2D">
        <w:rPr>
          <w:rFonts w:ascii="Arial" w:hAnsi="Arial" w:cs="Arial"/>
          <w:i/>
          <w:iCs/>
          <w:noProof/>
          <w:sz w:val="20"/>
          <w:szCs w:val="20"/>
        </w:rPr>
        <w:t>Islamic Finance Contracts.</w:t>
      </w:r>
      <w:r w:rsidRPr="00ED7A2D">
        <w:rPr>
          <w:rFonts w:ascii="Arial" w:hAnsi="Arial" w:cs="Arial"/>
          <w:noProof/>
          <w:sz w:val="20"/>
          <w:szCs w:val="20"/>
        </w:rPr>
        <w:t xml:space="preserve"> California, USA.</w:t>
      </w:r>
    </w:p>
    <w:p w14:paraId="3CDBAE3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Kahf, M. (2015). </w:t>
      </w:r>
      <w:r w:rsidRPr="00ED7A2D">
        <w:rPr>
          <w:rFonts w:ascii="Arial" w:hAnsi="Arial" w:cs="Arial"/>
          <w:i/>
          <w:iCs/>
          <w:noProof/>
          <w:sz w:val="20"/>
          <w:szCs w:val="20"/>
        </w:rPr>
        <w:t>Islamic Finance Contracts.</w:t>
      </w:r>
      <w:r w:rsidRPr="00ED7A2D">
        <w:rPr>
          <w:rFonts w:ascii="Arial" w:hAnsi="Arial" w:cs="Arial"/>
          <w:noProof/>
          <w:sz w:val="20"/>
          <w:szCs w:val="20"/>
        </w:rPr>
        <w:t xml:space="preserve"> California.</w:t>
      </w:r>
    </w:p>
    <w:p w14:paraId="52B71CAA"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KASMANI, M. R. (2013). FACTORS INFLUENCING THE GROWTH OF ISLAMIC BANKS IN KENYA. </w:t>
      </w:r>
      <w:r w:rsidRPr="00ED7A2D">
        <w:rPr>
          <w:rFonts w:ascii="Arial" w:hAnsi="Arial" w:cs="Arial"/>
          <w:i/>
          <w:iCs/>
          <w:noProof/>
          <w:sz w:val="20"/>
          <w:szCs w:val="20"/>
        </w:rPr>
        <w:t>UNITED STATES INTERNATIONAL UNIVERSITY</w:t>
      </w:r>
      <w:r w:rsidRPr="00ED7A2D">
        <w:rPr>
          <w:rFonts w:ascii="Arial" w:hAnsi="Arial" w:cs="Arial"/>
          <w:noProof/>
          <w:sz w:val="20"/>
          <w:szCs w:val="20"/>
        </w:rPr>
        <w:t>.</w:t>
      </w:r>
    </w:p>
    <w:p w14:paraId="55D397CC"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(2017). </w:t>
      </w:r>
      <w:r w:rsidRPr="00ED7A2D">
        <w:rPr>
          <w:rFonts w:ascii="Arial" w:hAnsi="Arial" w:cs="Arial"/>
          <w:i/>
          <w:iCs/>
          <w:noProof/>
          <w:sz w:val="20"/>
          <w:szCs w:val="20"/>
        </w:rPr>
        <w:t>Kenya Economic Outlook, Joining the dots.</w:t>
      </w:r>
      <w:r w:rsidRPr="00ED7A2D">
        <w:rPr>
          <w:rFonts w:ascii="Arial" w:hAnsi="Arial" w:cs="Arial"/>
          <w:noProof/>
          <w:sz w:val="20"/>
          <w:szCs w:val="20"/>
        </w:rPr>
        <w:t xml:space="preserve"> Nairobi: Deloitte.</w:t>
      </w:r>
    </w:p>
    <w:p w14:paraId="3173587C"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Kinyanjui, S. N. (2013.). Challenges Facing the Development of Islamic Banking. Lessons from the Kenyan Experience. . </w:t>
      </w:r>
      <w:r w:rsidRPr="00ED7A2D">
        <w:rPr>
          <w:rFonts w:ascii="Arial" w:hAnsi="Arial" w:cs="Arial"/>
          <w:i/>
          <w:iCs/>
          <w:noProof/>
          <w:sz w:val="20"/>
          <w:szCs w:val="20"/>
        </w:rPr>
        <w:t>European Journal of Business and Management</w:t>
      </w:r>
      <w:r w:rsidRPr="00ED7A2D">
        <w:rPr>
          <w:rFonts w:ascii="Arial" w:hAnsi="Arial" w:cs="Arial"/>
          <w:noProof/>
          <w:sz w:val="20"/>
          <w:szCs w:val="20"/>
        </w:rPr>
        <w:t>, 5(22), 94-102.</w:t>
      </w:r>
    </w:p>
    <w:p w14:paraId="31164BB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Laving, B. A. (2013). Islamic finance in Kenya. </w:t>
      </w:r>
      <w:r w:rsidRPr="00ED7A2D">
        <w:rPr>
          <w:rFonts w:ascii="Arial" w:hAnsi="Arial" w:cs="Arial"/>
          <w:i/>
          <w:iCs/>
          <w:noProof/>
          <w:sz w:val="20"/>
          <w:szCs w:val="20"/>
        </w:rPr>
        <w:t>REDmoney Publication</w:t>
      </w:r>
      <w:r w:rsidRPr="00ED7A2D">
        <w:rPr>
          <w:rFonts w:ascii="Arial" w:hAnsi="Arial" w:cs="Arial"/>
          <w:noProof/>
          <w:sz w:val="20"/>
          <w:szCs w:val="20"/>
        </w:rPr>
        <w:t>, 2-8.</w:t>
      </w:r>
    </w:p>
    <w:p w14:paraId="3F627315"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Maran Marimuthu1, C. W. (2010). Islamic Banking: Selection Criteria and Implications. </w:t>
      </w:r>
      <w:r w:rsidRPr="00ED7A2D">
        <w:rPr>
          <w:rFonts w:ascii="Arial" w:hAnsi="Arial" w:cs="Arial"/>
          <w:i/>
          <w:iCs/>
          <w:noProof/>
          <w:sz w:val="20"/>
          <w:szCs w:val="20"/>
        </w:rPr>
        <w:t>Global Journal of Human Social Science</w:t>
      </w:r>
      <w:r w:rsidRPr="00ED7A2D">
        <w:rPr>
          <w:rFonts w:ascii="Arial" w:hAnsi="Arial" w:cs="Arial"/>
          <w:noProof/>
          <w:sz w:val="20"/>
          <w:szCs w:val="20"/>
        </w:rPr>
        <w:t>, 52-62.</w:t>
      </w:r>
    </w:p>
    <w:p w14:paraId="3EE5C5C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Mughal, Z. (2017). A Global Analysis about the Outlook of Islamic Banking and Finance . </w:t>
      </w:r>
      <w:r w:rsidRPr="00ED7A2D">
        <w:rPr>
          <w:rFonts w:ascii="Arial" w:hAnsi="Arial" w:cs="Arial"/>
          <w:i/>
          <w:iCs/>
          <w:noProof/>
          <w:sz w:val="20"/>
          <w:szCs w:val="20"/>
        </w:rPr>
        <w:t>Alhuda Center of Islamic Banking and Economics</w:t>
      </w:r>
      <w:r w:rsidRPr="00ED7A2D">
        <w:rPr>
          <w:rFonts w:ascii="Arial" w:hAnsi="Arial" w:cs="Arial"/>
          <w:noProof/>
          <w:sz w:val="20"/>
          <w:szCs w:val="20"/>
        </w:rPr>
        <w:t>.</w:t>
      </w:r>
    </w:p>
    <w:p w14:paraId="0FE1DC6F"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MUTUA, C. (2017). FACTORS AFFECTING THE GROWTH OF ISLAMIC BANKS IN KENYA. </w:t>
      </w:r>
      <w:r w:rsidRPr="00ED7A2D">
        <w:rPr>
          <w:rFonts w:ascii="Arial" w:hAnsi="Arial" w:cs="Arial"/>
          <w:i/>
          <w:iCs/>
          <w:noProof/>
          <w:sz w:val="20"/>
          <w:szCs w:val="20"/>
        </w:rPr>
        <w:t>UNITED STATES INTERNATIONAL UNIVERSITY AFRICA</w:t>
      </w:r>
      <w:r w:rsidRPr="00ED7A2D">
        <w:rPr>
          <w:rFonts w:ascii="Arial" w:hAnsi="Arial" w:cs="Arial"/>
          <w:noProof/>
          <w:sz w:val="20"/>
          <w:szCs w:val="20"/>
        </w:rPr>
        <w:t>.</w:t>
      </w:r>
    </w:p>
    <w:p w14:paraId="66D24013"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Oundo. ( 2009). The potential of Islamic Microfinance in increasing financial access to Kenya's unbankedpopulation. </w:t>
      </w:r>
      <w:r w:rsidRPr="00ED7A2D">
        <w:rPr>
          <w:rFonts w:ascii="Arial" w:hAnsi="Arial" w:cs="Arial"/>
          <w:i/>
          <w:iCs/>
          <w:noProof/>
          <w:sz w:val="20"/>
          <w:szCs w:val="20"/>
        </w:rPr>
        <w:t>Nairobi, Kenya</w:t>
      </w:r>
      <w:r w:rsidRPr="00ED7A2D">
        <w:rPr>
          <w:rFonts w:ascii="Arial" w:hAnsi="Arial" w:cs="Arial"/>
          <w:noProof/>
          <w:sz w:val="20"/>
          <w:szCs w:val="20"/>
        </w:rPr>
        <w:t>.</w:t>
      </w:r>
    </w:p>
    <w:p w14:paraId="2AF10A1F"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PriceWaterhousecoopers(PWC). (2013). </w:t>
      </w:r>
      <w:r w:rsidRPr="00ED7A2D">
        <w:rPr>
          <w:rFonts w:ascii="Arial" w:hAnsi="Arial" w:cs="Arial"/>
          <w:i/>
          <w:iCs/>
          <w:noProof/>
          <w:sz w:val="20"/>
          <w:szCs w:val="20"/>
        </w:rPr>
        <w:t xml:space="preserve">Islamic Finance Creating Value </w:t>
      </w:r>
      <w:r w:rsidRPr="00ED7A2D">
        <w:rPr>
          <w:rFonts w:ascii="Arial" w:hAnsi="Arial" w:cs="Arial"/>
          <w:noProof/>
          <w:sz w:val="20"/>
          <w:szCs w:val="20"/>
        </w:rPr>
        <w:t>. Retrieved from ceif.iba.edu.pk/pdf/PWC-IslamicFinanceCapabilityReport.pdf.</w:t>
      </w:r>
    </w:p>
    <w:p w14:paraId="7C1E0C58"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Report, G. I. (2010). Islamic Banking in Africa. </w:t>
      </w:r>
      <w:r w:rsidRPr="00ED7A2D">
        <w:rPr>
          <w:rFonts w:ascii="Arial" w:hAnsi="Arial" w:cs="Arial"/>
          <w:i/>
          <w:iCs/>
          <w:noProof/>
          <w:sz w:val="20"/>
          <w:szCs w:val="20"/>
        </w:rPr>
        <w:t>www.gifr.net/gifr2010/contents/ch_23.pdf</w:t>
      </w:r>
      <w:r w:rsidRPr="00ED7A2D">
        <w:rPr>
          <w:rFonts w:ascii="Arial" w:hAnsi="Arial" w:cs="Arial"/>
          <w:noProof/>
          <w:sz w:val="20"/>
          <w:szCs w:val="20"/>
        </w:rPr>
        <w:t>.</w:t>
      </w:r>
    </w:p>
    <w:p w14:paraId="27CC77F1"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Sheikh, S. A. (2009). FACTORS THAT LED TO THE EMERGENCE OF ISLAMIC BANKING IN KENYA AND THE REGULATORY CHALLENGES FACING THE INDUSTRY. </w:t>
      </w:r>
      <w:r w:rsidRPr="00ED7A2D">
        <w:rPr>
          <w:rFonts w:ascii="Arial" w:hAnsi="Arial" w:cs="Arial"/>
          <w:i/>
          <w:iCs/>
          <w:noProof/>
          <w:sz w:val="20"/>
          <w:szCs w:val="20"/>
        </w:rPr>
        <w:t>School of Business, University of Nairobi.</w:t>
      </w:r>
      <w:r w:rsidRPr="00ED7A2D">
        <w:rPr>
          <w:rFonts w:ascii="Arial" w:hAnsi="Arial" w:cs="Arial"/>
          <w:noProof/>
          <w:sz w:val="20"/>
          <w:szCs w:val="20"/>
        </w:rPr>
        <w:t xml:space="preserve"> </w:t>
      </w:r>
    </w:p>
    <w:p w14:paraId="6A2228A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SoftKenya. (2017, November 05). </w:t>
      </w:r>
      <w:r w:rsidRPr="00ED7A2D">
        <w:rPr>
          <w:rFonts w:ascii="Arial" w:hAnsi="Arial" w:cs="Arial"/>
          <w:i/>
          <w:iCs/>
          <w:noProof/>
          <w:sz w:val="20"/>
          <w:szCs w:val="20"/>
        </w:rPr>
        <w:t>softkenya.com</w:t>
      </w:r>
      <w:r w:rsidRPr="00ED7A2D">
        <w:rPr>
          <w:rFonts w:ascii="Arial" w:hAnsi="Arial" w:cs="Arial"/>
          <w:noProof/>
          <w:sz w:val="20"/>
          <w:szCs w:val="20"/>
        </w:rPr>
        <w:t>. Retrieved from https://softkenya.com/kenya/kenya-population/: https://softkenya.com/kenya/kenya-population/</w:t>
      </w:r>
    </w:p>
    <w:p w14:paraId="3B7E48D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Talam, N. K. (2014). EFFECT OF ISLAMIC BANKING ON FINANCIAL PERFORMANCE OF COMMERCIAL BANKS IN KENYA . </w:t>
      </w:r>
      <w:r w:rsidRPr="00ED7A2D">
        <w:rPr>
          <w:rFonts w:ascii="Arial" w:hAnsi="Arial" w:cs="Arial"/>
          <w:i/>
          <w:iCs/>
          <w:noProof/>
          <w:sz w:val="20"/>
          <w:szCs w:val="20"/>
        </w:rPr>
        <w:t xml:space="preserve">SCHOOL OF BUSINESS, UNIVERSITY OF NAIROBI </w:t>
      </w:r>
      <w:r w:rsidRPr="00ED7A2D">
        <w:rPr>
          <w:rFonts w:ascii="Arial" w:hAnsi="Arial" w:cs="Arial"/>
          <w:noProof/>
          <w:sz w:val="20"/>
          <w:szCs w:val="20"/>
        </w:rPr>
        <w:t>.</w:t>
      </w:r>
    </w:p>
    <w:p w14:paraId="76BC2B9A" w14:textId="4297419F"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(2016). </w:t>
      </w:r>
      <w:r w:rsidRPr="00ED7A2D">
        <w:rPr>
          <w:rFonts w:ascii="Arial" w:hAnsi="Arial" w:cs="Arial"/>
          <w:i/>
          <w:iCs/>
          <w:noProof/>
          <w:sz w:val="20"/>
          <w:szCs w:val="20"/>
        </w:rPr>
        <w:t>The Kenya Financial Sector Stability Report.</w:t>
      </w:r>
      <w:r w:rsidRPr="00ED7A2D">
        <w:rPr>
          <w:rFonts w:ascii="Arial" w:hAnsi="Arial" w:cs="Arial"/>
          <w:noProof/>
          <w:sz w:val="20"/>
          <w:szCs w:val="20"/>
        </w:rPr>
        <w:t xml:space="preserve"> Nairobi, Kenya: </w:t>
      </w:r>
      <w:r w:rsidR="00326964">
        <w:rPr>
          <w:rFonts w:ascii="Arial" w:hAnsi="Arial" w:cs="Arial"/>
          <w:noProof/>
          <w:sz w:val="20"/>
          <w:szCs w:val="20"/>
        </w:rPr>
        <w:t>xxxxxx</w:t>
      </w:r>
      <w:r w:rsidRPr="00ED7A2D">
        <w:rPr>
          <w:rFonts w:ascii="Arial" w:hAnsi="Arial" w:cs="Arial"/>
          <w:noProof/>
          <w:sz w:val="20"/>
          <w:szCs w:val="20"/>
        </w:rPr>
        <w:t>@ecntralbank.go.uk.</w:t>
      </w:r>
    </w:p>
    <w:p w14:paraId="31DA4399" w14:textId="50E909D1" w:rsidR="0000232D" w:rsidRPr="00404AFF" w:rsidRDefault="00ED7A2D" w:rsidP="00ED7A2D">
      <w:pPr>
        <w:pStyle w:val="Bibliography"/>
        <w:ind w:left="720" w:hanging="720"/>
        <w:jc w:val="both"/>
        <w:rPr>
          <w:rFonts w:ascii="Arial" w:hAnsi="Arial" w:cs="Arial"/>
          <w:b/>
          <w:lang w:val="da-DK"/>
        </w:rPr>
      </w:pPr>
      <w:r w:rsidRPr="00ED7A2D">
        <w:rPr>
          <w:rFonts w:ascii="Arial" w:hAnsi="Arial" w:cs="Arial"/>
          <w:b/>
          <w:sz w:val="20"/>
          <w:szCs w:val="20"/>
        </w:rPr>
        <w:fldChar w:fldCharType="end"/>
      </w:r>
    </w:p>
    <w:p w14:paraId="1D6000C0" w14:textId="77777777" w:rsidR="0000232D" w:rsidRPr="00404AFF" w:rsidRDefault="0000232D" w:rsidP="0000232D">
      <w:pPr>
        <w:rPr>
          <w:rFonts w:ascii="Arial" w:hAnsi="Arial" w:cs="Arial"/>
          <w:noProof/>
          <w:sz w:val="22"/>
          <w:szCs w:val="22"/>
          <w:lang w:val="da-DK"/>
        </w:rPr>
      </w:pPr>
      <w:r w:rsidRPr="00404AFF">
        <w:rPr>
          <w:rFonts w:ascii="Arial" w:hAnsi="Arial" w:cs="Arial"/>
          <w:sz w:val="22"/>
          <w:szCs w:val="22"/>
        </w:rPr>
        <w:fldChar w:fldCharType="begin"/>
      </w:r>
      <w:r w:rsidRPr="00404AFF">
        <w:rPr>
          <w:rFonts w:ascii="Arial" w:hAnsi="Arial" w:cs="Arial"/>
          <w:sz w:val="22"/>
          <w:szCs w:val="22"/>
          <w:lang w:val="da-DK"/>
        </w:rPr>
        <w:instrText xml:space="preserve"> BIBLIOGRAPHY  \l 1033 </w:instrText>
      </w:r>
      <w:r w:rsidRPr="00404AFF">
        <w:rPr>
          <w:rFonts w:ascii="Arial" w:hAnsi="Arial" w:cs="Arial"/>
          <w:sz w:val="22"/>
          <w:szCs w:val="22"/>
        </w:rPr>
        <w:fldChar w:fldCharType="separate"/>
      </w:r>
    </w:p>
    <w:p w14:paraId="60DE25B2" w14:textId="07099A20" w:rsidR="00B01FCD" w:rsidRPr="00404AFF" w:rsidRDefault="0000232D" w:rsidP="0000232D">
      <w:pPr>
        <w:pStyle w:val="Appendix"/>
        <w:spacing w:after="0"/>
        <w:jc w:val="both"/>
        <w:rPr>
          <w:rFonts w:ascii="Arial" w:hAnsi="Arial" w:cs="Arial"/>
          <w:b w:val="0"/>
          <w:szCs w:val="22"/>
        </w:rPr>
      </w:pPr>
      <w:r w:rsidRPr="00404AFF">
        <w:rPr>
          <w:rFonts w:ascii="Arial" w:hAnsi="Arial" w:cs="Arial"/>
          <w:szCs w:val="22"/>
        </w:rPr>
        <w:fldChar w:fldCharType="end"/>
      </w:r>
      <w:bookmarkStart w:id="44" w:name="_GoBack"/>
      <w:bookmarkEnd w:id="44"/>
    </w:p>
    <w:sectPr w:rsidR="00B01FCD" w:rsidRPr="00404AFF" w:rsidSect="00326964">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BDUL" w:date="2025-05-07T00:46:00Z" w:initials="A">
    <w:p w14:paraId="068E8CF9" w14:textId="4A4FCE23" w:rsidR="00E358B9" w:rsidRDefault="00E358B9">
      <w:pPr>
        <w:pStyle w:val="CommentText"/>
      </w:pPr>
      <w:r>
        <w:rPr>
          <w:rStyle w:val="CommentReference"/>
        </w:rPr>
        <w:annotationRef/>
      </w:r>
      <w:r>
        <w:t>Reconstruct the sentence to encompass inclusive meaning.</w:t>
      </w:r>
    </w:p>
  </w:comment>
  <w:comment w:id="1" w:author="ABDUL" w:date="2025-05-07T00:49:00Z" w:initials="A">
    <w:p w14:paraId="72A3E51C" w14:textId="3B6263E2" w:rsidR="00E358B9" w:rsidRDefault="00E358B9" w:rsidP="00E358B9">
      <w:pPr>
        <w:pStyle w:val="CommentText"/>
        <w:spacing w:line="480" w:lineRule="auto"/>
      </w:pPr>
      <w:r>
        <w:rPr>
          <w:rStyle w:val="CommentReference"/>
        </w:rPr>
        <w:annotationRef/>
      </w:r>
      <w:r>
        <w:t xml:space="preserve">Change it to ‘The’ </w:t>
      </w:r>
    </w:p>
  </w:comment>
  <w:comment w:id="2" w:author="ABDUL" w:date="2025-05-07T00:51:00Z" w:initials="A">
    <w:p w14:paraId="489EB3F6" w14:textId="6854F0EC" w:rsidR="00E358B9" w:rsidRDefault="00E358B9">
      <w:pPr>
        <w:pStyle w:val="CommentText"/>
      </w:pPr>
      <w:r>
        <w:rPr>
          <w:rStyle w:val="CommentReference"/>
        </w:rPr>
        <w:annotationRef/>
      </w:r>
      <w:r>
        <w:t xml:space="preserve">Add ‘s’ </w:t>
      </w:r>
    </w:p>
  </w:comment>
  <w:comment w:id="3" w:author="ABDUL" w:date="2025-05-07T00:52:00Z" w:initials="A">
    <w:p w14:paraId="1DAB8699" w14:textId="51404A95" w:rsidR="00E358B9" w:rsidRDefault="00E358B9">
      <w:pPr>
        <w:pStyle w:val="CommentText"/>
      </w:pPr>
      <w:r>
        <w:rPr>
          <w:rStyle w:val="CommentReference"/>
        </w:rPr>
        <w:annotationRef/>
      </w:r>
      <w:r>
        <w:t xml:space="preserve">Change it to ‘The’ </w:t>
      </w:r>
    </w:p>
  </w:comment>
  <w:comment w:id="4" w:author="ABDUL" w:date="2025-05-07T00:56:00Z" w:initials="A">
    <w:p w14:paraId="369436C2" w14:textId="34D0214E" w:rsidR="00E358B9" w:rsidRDefault="00E358B9">
      <w:pPr>
        <w:pStyle w:val="CommentText"/>
      </w:pPr>
      <w:r>
        <w:rPr>
          <w:rStyle w:val="CommentReference"/>
        </w:rPr>
        <w:annotationRef/>
      </w:r>
      <w:r>
        <w:t>Change it to ‘Although</w:t>
      </w:r>
      <w:r w:rsidR="00E94D4E">
        <w:t xml:space="preserve">’ </w:t>
      </w:r>
    </w:p>
  </w:comment>
  <w:comment w:id="5" w:author="ABDUL" w:date="2025-05-07T00:56:00Z" w:initials="A">
    <w:p w14:paraId="2F9A89B9" w14:textId="6C34D0AA" w:rsidR="00E94D4E" w:rsidRDefault="00E94D4E">
      <w:pPr>
        <w:pStyle w:val="CommentText"/>
      </w:pPr>
      <w:r>
        <w:rPr>
          <w:rStyle w:val="CommentReference"/>
        </w:rPr>
        <w:annotationRef/>
      </w:r>
      <w:r>
        <w:t xml:space="preserve">Remove it </w:t>
      </w:r>
    </w:p>
  </w:comment>
  <w:comment w:id="6" w:author="ABDUL" w:date="2025-05-07T00:57:00Z" w:initials="A">
    <w:p w14:paraId="6FAA3236" w14:textId="77777777" w:rsidR="00E94D4E" w:rsidRDefault="00E94D4E">
      <w:pPr>
        <w:pStyle w:val="CommentText"/>
      </w:pPr>
      <w:r>
        <w:rPr>
          <w:rStyle w:val="CommentReference"/>
        </w:rPr>
        <w:annotationRef/>
      </w:r>
      <w:r>
        <w:t xml:space="preserve">Let the construction be like this: </w:t>
      </w:r>
    </w:p>
    <w:p w14:paraId="307B18B3" w14:textId="77777777" w:rsidR="00E94D4E" w:rsidRDefault="00E94D4E">
      <w:pPr>
        <w:pStyle w:val="CommentText"/>
      </w:pPr>
    </w:p>
    <w:p w14:paraId="5D0F3BBD" w14:textId="12DC0767" w:rsidR="00E94D4E" w:rsidRPr="008C5F54" w:rsidRDefault="00E94D4E" w:rsidP="00E94D4E">
      <w:pPr>
        <w:pStyle w:val="Body"/>
        <w:rPr>
          <w:rFonts w:ascii="Arial" w:eastAsia="Calibri" w:hAnsi="Arial" w:cs="Arial"/>
        </w:rPr>
      </w:pPr>
      <w:r>
        <w:t>‘</w:t>
      </w:r>
      <w:r>
        <w:rPr>
          <w:rFonts w:ascii="Arial" w:eastAsia="Calibri" w:hAnsi="Arial" w:cs="Arial"/>
        </w:rPr>
        <w:t>th</w:t>
      </w:r>
      <w:r w:rsidRPr="008C5F54">
        <w:rPr>
          <w:rFonts w:ascii="Arial" w:eastAsia="Calibri" w:hAnsi="Arial" w:cs="Arial"/>
        </w:rPr>
        <w:t>e</w:t>
      </w:r>
      <w:r w:rsidRPr="00E94D4E">
        <w:rPr>
          <w:rFonts w:ascii="Arial" w:eastAsia="Calibri" w:hAnsi="Arial" w:cs="Arial"/>
        </w:rPr>
        <w:t xml:space="preserve"> </w:t>
      </w:r>
      <w:r w:rsidRPr="008C5F54">
        <w:rPr>
          <w:rFonts w:ascii="Arial" w:eastAsia="Calibri" w:hAnsi="Arial" w:cs="Arial"/>
        </w:rPr>
        <w:t xml:space="preserve">absence of a comprehensive </w:t>
      </w:r>
      <w:proofErr w:type="spellStart"/>
      <w:r w:rsidRPr="008C5F54">
        <w:rPr>
          <w:rFonts w:ascii="Arial" w:eastAsia="Calibri" w:hAnsi="Arial" w:cs="Arial"/>
        </w:rPr>
        <w:t>Shari’ah</w:t>
      </w:r>
      <w:proofErr w:type="spellEnd"/>
      <w:r w:rsidRPr="008C5F54">
        <w:rPr>
          <w:rFonts w:ascii="Arial" w:eastAsia="Calibri" w:hAnsi="Arial" w:cs="Arial"/>
        </w:rPr>
        <w:t>-compliant legal framework</w:t>
      </w:r>
      <w:r>
        <w:rPr>
          <w:rFonts w:ascii="Arial" w:eastAsia="Calibri" w:hAnsi="Arial" w:cs="Arial"/>
        </w:rPr>
        <w:t xml:space="preserve"> landed the institutions into several challenges, causing</w:t>
      </w:r>
      <w:r w:rsidRPr="008C5F54">
        <w:rPr>
          <w:rFonts w:ascii="Arial" w:eastAsia="Calibri" w:hAnsi="Arial" w:cs="Arial"/>
        </w:rPr>
        <w:t xml:space="preserve"> a significant obstacle</w:t>
      </w:r>
      <w:r>
        <w:rPr>
          <w:rFonts w:ascii="Arial" w:eastAsia="Calibri" w:hAnsi="Arial" w:cs="Arial"/>
        </w:rPr>
        <w:t xml:space="preserve"> to its progress</w:t>
      </w:r>
      <w:r w:rsidRPr="008C5F54">
        <w:rPr>
          <w:rFonts w:ascii="Arial" w:eastAsia="Calibri" w:hAnsi="Arial" w:cs="Arial"/>
        </w:rPr>
        <w:t>.</w:t>
      </w:r>
    </w:p>
    <w:p w14:paraId="17EDA94A" w14:textId="30703E35" w:rsidR="00E94D4E" w:rsidRDefault="00E94D4E">
      <w:pPr>
        <w:pStyle w:val="CommentText"/>
      </w:pPr>
    </w:p>
  </w:comment>
  <w:comment w:id="7" w:author="ABDUL" w:date="2025-05-07T01:01:00Z" w:initials="A">
    <w:p w14:paraId="1E14B131" w14:textId="75F2E84F" w:rsidR="00E94D4E" w:rsidRDefault="00E94D4E">
      <w:pPr>
        <w:pStyle w:val="CommentText"/>
      </w:pPr>
      <w:r>
        <w:rPr>
          <w:rStyle w:val="CommentReference"/>
        </w:rPr>
        <w:annotationRef/>
      </w:r>
      <w:r>
        <w:t xml:space="preserve">Change it to ‘these’ </w:t>
      </w:r>
    </w:p>
  </w:comment>
  <w:comment w:id="8" w:author="ABDUL" w:date="2025-05-07T01:01:00Z" w:initials="A">
    <w:p w14:paraId="02C727F9" w14:textId="4FBAC0EE" w:rsidR="00E94D4E" w:rsidRDefault="00E94D4E">
      <w:pPr>
        <w:pStyle w:val="CommentText"/>
      </w:pPr>
      <w:r>
        <w:rPr>
          <w:rStyle w:val="CommentReference"/>
        </w:rPr>
        <w:annotationRef/>
      </w:r>
      <w:r>
        <w:t>Add ‘s’</w:t>
      </w:r>
    </w:p>
  </w:comment>
  <w:comment w:id="9" w:author="ABDUL" w:date="2025-05-07T01:02:00Z" w:initials="A">
    <w:p w14:paraId="5B5DDFA5" w14:textId="3581E20E" w:rsidR="00E94D4E" w:rsidRDefault="00E94D4E">
      <w:pPr>
        <w:pStyle w:val="CommentText"/>
      </w:pPr>
      <w:r>
        <w:rPr>
          <w:rStyle w:val="CommentReference"/>
        </w:rPr>
        <w:annotationRef/>
      </w:r>
      <w:r>
        <w:t>Remove ‘s’</w:t>
      </w:r>
    </w:p>
  </w:comment>
  <w:comment w:id="10" w:author="ABDUL" w:date="2025-05-07T01:02:00Z" w:initials="A">
    <w:p w14:paraId="52CA0103" w14:textId="247C66BF" w:rsidR="00E94D4E" w:rsidRDefault="00E94D4E">
      <w:pPr>
        <w:pStyle w:val="CommentText"/>
      </w:pPr>
      <w:r>
        <w:rPr>
          <w:rStyle w:val="CommentReference"/>
        </w:rPr>
        <w:annotationRef/>
      </w:r>
      <w:r>
        <w:t xml:space="preserve">Add ‘and invest’ </w:t>
      </w:r>
    </w:p>
  </w:comment>
  <w:comment w:id="11" w:author="ABDUL" w:date="2025-05-07T01:04:00Z" w:initials="A">
    <w:p w14:paraId="537E6548" w14:textId="10D59A18" w:rsidR="00E94D4E" w:rsidRDefault="00E94D4E">
      <w:pPr>
        <w:pStyle w:val="CommentText"/>
      </w:pPr>
      <w:r>
        <w:rPr>
          <w:rStyle w:val="CommentReference"/>
        </w:rPr>
        <w:annotationRef/>
      </w:r>
      <w:r>
        <w:t xml:space="preserve">Change it to ‘could be’ </w:t>
      </w:r>
    </w:p>
  </w:comment>
  <w:comment w:id="12" w:author="ABDUL" w:date="2025-05-07T01:04:00Z" w:initials="A">
    <w:p w14:paraId="6D855605" w14:textId="0521EBA0" w:rsidR="00E94D4E" w:rsidRDefault="00E94D4E">
      <w:pPr>
        <w:pStyle w:val="CommentText"/>
      </w:pPr>
      <w:r>
        <w:rPr>
          <w:rStyle w:val="CommentReference"/>
        </w:rPr>
        <w:annotationRef/>
      </w:r>
      <w:r>
        <w:t>Change it to ‘through’</w:t>
      </w:r>
    </w:p>
  </w:comment>
  <w:comment w:id="13" w:author="ABDUL" w:date="2025-05-07T01:05:00Z" w:initials="A">
    <w:p w14:paraId="0159020A" w14:textId="744575ED" w:rsidR="00E94D4E" w:rsidRDefault="00E94D4E">
      <w:pPr>
        <w:pStyle w:val="CommentText"/>
      </w:pPr>
      <w:r>
        <w:rPr>
          <w:rStyle w:val="CommentReference"/>
        </w:rPr>
        <w:annotationRef/>
      </w:r>
      <w:r>
        <w:t>Change it to ‘in’</w:t>
      </w:r>
    </w:p>
  </w:comment>
  <w:comment w:id="14" w:author="ABDUL" w:date="2025-05-07T01:05:00Z" w:initials="A">
    <w:p w14:paraId="7F79762B" w14:textId="6CBD6239" w:rsidR="00E94D4E" w:rsidRDefault="00E94D4E" w:rsidP="00E94D4E">
      <w:pPr>
        <w:pStyle w:val="CommentText"/>
      </w:pPr>
      <w:r>
        <w:rPr>
          <w:rStyle w:val="CommentReference"/>
        </w:rPr>
        <w:annotationRef/>
      </w:r>
      <w:r>
        <w:t>Change it to</w:t>
      </w:r>
      <w:r>
        <w:t xml:space="preserve"> ‘creating’</w:t>
      </w:r>
    </w:p>
  </w:comment>
  <w:comment w:id="15" w:author="ABDUL" w:date="2025-05-07T01:08:00Z" w:initials="A">
    <w:p w14:paraId="25A78E6C" w14:textId="44E97485" w:rsidR="00A97101" w:rsidRDefault="00A97101">
      <w:pPr>
        <w:pStyle w:val="CommentText"/>
      </w:pPr>
      <w:r>
        <w:rPr>
          <w:rStyle w:val="CommentReference"/>
        </w:rPr>
        <w:annotationRef/>
      </w:r>
      <w:r>
        <w:t>Remove this</w:t>
      </w:r>
    </w:p>
  </w:comment>
  <w:comment w:id="16" w:author="ABDUL" w:date="2025-05-07T01:08:00Z" w:initials="A">
    <w:p w14:paraId="4B27FD9D" w14:textId="7C1CFC39" w:rsidR="00A97101" w:rsidRDefault="00A97101">
      <w:pPr>
        <w:pStyle w:val="CommentText"/>
      </w:pPr>
      <w:r>
        <w:rPr>
          <w:rStyle w:val="CommentReference"/>
        </w:rPr>
        <w:annotationRef/>
      </w:r>
      <w:r>
        <w:t xml:space="preserve">Add ‘concept and’ </w:t>
      </w:r>
    </w:p>
  </w:comment>
  <w:comment w:id="17" w:author="ABDUL" w:date="2025-05-07T01:09:00Z" w:initials="A">
    <w:p w14:paraId="7F051482" w14:textId="7D90EB73" w:rsidR="00A97101" w:rsidRDefault="00A97101">
      <w:pPr>
        <w:pStyle w:val="CommentText"/>
      </w:pPr>
      <w:r>
        <w:rPr>
          <w:rStyle w:val="CommentReference"/>
        </w:rPr>
        <w:annotationRef/>
      </w:r>
      <w:r>
        <w:t>Add (.)</w:t>
      </w:r>
    </w:p>
  </w:comment>
  <w:comment w:id="18" w:author="ABDUL" w:date="2025-05-07T01:09:00Z" w:initials="A">
    <w:p w14:paraId="3BA59CEE" w14:textId="1786A072" w:rsidR="00A97101" w:rsidRDefault="00A97101" w:rsidP="00A97101">
      <w:pPr>
        <w:pStyle w:val="CommentText"/>
      </w:pPr>
      <w:r>
        <w:rPr>
          <w:rStyle w:val="CommentReference"/>
        </w:rPr>
        <w:annotationRef/>
      </w:r>
      <w:r>
        <w:t>Change it to</w:t>
      </w:r>
      <w:r>
        <w:t xml:space="preserve"> ‘It also suggests’  </w:t>
      </w:r>
    </w:p>
  </w:comment>
  <w:comment w:id="19" w:author="ABDUL" w:date="2025-05-07T01:10:00Z" w:initials="A">
    <w:p w14:paraId="22C60238" w14:textId="7E7F56E2" w:rsidR="00A97101" w:rsidRDefault="00A97101">
      <w:pPr>
        <w:pStyle w:val="CommentText"/>
      </w:pPr>
      <w:r>
        <w:rPr>
          <w:rStyle w:val="CommentReference"/>
        </w:rPr>
        <w:annotationRef/>
      </w:r>
      <w:r>
        <w:t xml:space="preserve">Add ‘a’ </w:t>
      </w:r>
    </w:p>
  </w:comment>
  <w:comment w:id="20" w:author="ABDUL" w:date="2025-05-07T01:11:00Z" w:initials="A">
    <w:p w14:paraId="763522D2" w14:textId="65C9FEDF" w:rsidR="00A97101" w:rsidRDefault="00A97101">
      <w:pPr>
        <w:pStyle w:val="CommentText"/>
      </w:pPr>
      <w:r>
        <w:rPr>
          <w:rStyle w:val="CommentReference"/>
        </w:rPr>
        <w:annotationRef/>
      </w:r>
      <w:r>
        <w:t>Add one more KEYWORD</w:t>
      </w:r>
    </w:p>
  </w:comment>
  <w:comment w:id="21" w:author="ABDUL" w:date="2025-05-07T01:37:00Z" w:initials="A">
    <w:p w14:paraId="4EDC67E5" w14:textId="380C561D" w:rsidR="003D5931" w:rsidRDefault="003D5931">
      <w:pPr>
        <w:pStyle w:val="CommentText"/>
      </w:pPr>
      <w:r>
        <w:rPr>
          <w:rStyle w:val="CommentReference"/>
        </w:rPr>
        <w:annotationRef/>
      </w:r>
      <w:r>
        <w:t xml:space="preserve">Remove this </w:t>
      </w:r>
    </w:p>
  </w:comment>
  <w:comment w:id="22" w:author="ABDUL" w:date="2025-05-07T01:39:00Z" w:initials="A">
    <w:p w14:paraId="4C5075EB" w14:textId="755050EF" w:rsidR="003D5931" w:rsidRDefault="003D5931">
      <w:pPr>
        <w:pStyle w:val="CommentText"/>
      </w:pPr>
      <w:r>
        <w:rPr>
          <w:rStyle w:val="CommentReference"/>
        </w:rPr>
        <w:annotationRef/>
      </w:r>
      <w:r>
        <w:t xml:space="preserve">Remove this </w:t>
      </w:r>
    </w:p>
  </w:comment>
  <w:comment w:id="23" w:author="ABDUL" w:date="2025-05-07T01:42:00Z" w:initials="A">
    <w:p w14:paraId="253DC59B" w14:textId="02F55BE6" w:rsidR="003D5931" w:rsidRDefault="003D5931">
      <w:pPr>
        <w:pStyle w:val="CommentText"/>
      </w:pPr>
      <w:r>
        <w:rPr>
          <w:rStyle w:val="CommentReference"/>
        </w:rPr>
        <w:annotationRef/>
      </w:r>
      <w:r>
        <w:t xml:space="preserve">Add ‘Meanwhile......’ </w:t>
      </w:r>
    </w:p>
  </w:comment>
  <w:comment w:id="24" w:author="ABDUL" w:date="2025-05-07T01:42:00Z" w:initials="A">
    <w:p w14:paraId="19D34785" w14:textId="19EDD036" w:rsidR="003D5931" w:rsidRDefault="003D5931">
      <w:pPr>
        <w:pStyle w:val="CommentText"/>
      </w:pPr>
      <w:r>
        <w:rPr>
          <w:rStyle w:val="CommentReference"/>
        </w:rPr>
        <w:annotationRef/>
      </w:r>
      <w:r>
        <w:t xml:space="preserve">Add ‘as revealed and reported by’ </w:t>
      </w:r>
    </w:p>
  </w:comment>
  <w:comment w:id="25" w:author="ABDUL" w:date="2025-05-07T01:45:00Z" w:initials="A">
    <w:p w14:paraId="53596954" w14:textId="16128120" w:rsidR="003D5931" w:rsidRDefault="003D5931">
      <w:pPr>
        <w:pStyle w:val="CommentText"/>
      </w:pPr>
      <w:r>
        <w:rPr>
          <w:rStyle w:val="CommentReference"/>
        </w:rPr>
        <w:annotationRef/>
      </w:r>
      <w:r>
        <w:t xml:space="preserve">You may change it to ‘core’ or ‘direction’ </w:t>
      </w:r>
    </w:p>
  </w:comment>
  <w:comment w:id="26" w:author="ABDUL" w:date="2025-05-07T01:46:00Z" w:initials="A">
    <w:p w14:paraId="5EF06C5C" w14:textId="703AB596" w:rsidR="003D5931" w:rsidRDefault="003D5931">
      <w:pPr>
        <w:pStyle w:val="CommentText"/>
      </w:pPr>
      <w:r>
        <w:rPr>
          <w:rStyle w:val="CommentReference"/>
        </w:rPr>
        <w:annotationRef/>
      </w:r>
      <w:r>
        <w:t>Add ‘s’</w:t>
      </w:r>
    </w:p>
  </w:comment>
  <w:comment w:id="27" w:author="ABDUL" w:date="2025-05-07T01:47:00Z" w:initials="A">
    <w:p w14:paraId="7FF595ED" w14:textId="291BC647" w:rsidR="00FD4D58" w:rsidRDefault="00FD4D58" w:rsidP="00FD4D58">
      <w:pPr>
        <w:pStyle w:val="CommentText"/>
        <w:jc w:val="right"/>
      </w:pPr>
      <w:r>
        <w:rPr>
          <w:rStyle w:val="CommentReference"/>
        </w:rPr>
        <w:annotationRef/>
      </w:r>
      <w:r>
        <w:t xml:space="preserve">Remove this </w:t>
      </w:r>
    </w:p>
  </w:comment>
  <w:comment w:id="28" w:author="ABDUL" w:date="2025-05-07T01:47:00Z" w:initials="A">
    <w:p w14:paraId="29924C77" w14:textId="166CB46E" w:rsidR="00FD4D58" w:rsidRDefault="00FD4D58">
      <w:pPr>
        <w:pStyle w:val="CommentText"/>
      </w:pPr>
      <w:r>
        <w:rPr>
          <w:rStyle w:val="CommentReference"/>
        </w:rPr>
        <w:annotationRef/>
      </w:r>
      <w:r>
        <w:t xml:space="preserve">Change it to (submits) </w:t>
      </w:r>
    </w:p>
  </w:comment>
  <w:comment w:id="29" w:author="ABDUL" w:date="2025-05-07T01:48:00Z" w:initials="A">
    <w:p w14:paraId="6352A1AC" w14:textId="0DABDB06" w:rsidR="00FD4D58" w:rsidRDefault="00FD4D58">
      <w:pPr>
        <w:pStyle w:val="CommentText"/>
      </w:pPr>
      <w:r>
        <w:rPr>
          <w:rStyle w:val="CommentReference"/>
        </w:rPr>
        <w:annotationRef/>
      </w:r>
      <w:r>
        <w:t>Change it to (implies)</w:t>
      </w:r>
    </w:p>
  </w:comment>
  <w:comment w:id="30" w:author="ABDUL" w:date="2025-05-07T01:50:00Z" w:initials="A">
    <w:p w14:paraId="77443C22" w14:textId="62658782" w:rsidR="00FD4D58" w:rsidRDefault="00FD4D58" w:rsidP="00FD4D58">
      <w:pPr>
        <w:pStyle w:val="CommentText"/>
      </w:pPr>
      <w:r>
        <w:rPr>
          <w:rStyle w:val="CommentReference"/>
        </w:rPr>
        <w:annotationRef/>
      </w:r>
      <w:r>
        <w:t>Change it to</w:t>
      </w:r>
      <w:r>
        <w:t xml:space="preserve"> (determinants) </w:t>
      </w:r>
    </w:p>
  </w:comment>
  <w:comment w:id="31" w:author="ABDUL" w:date="2025-05-07T01:53:00Z" w:initials="A">
    <w:p w14:paraId="45872016" w14:textId="42A7E2CD" w:rsidR="00FD4D58" w:rsidRDefault="00FD4D58">
      <w:pPr>
        <w:pStyle w:val="CommentText"/>
      </w:pPr>
      <w:r>
        <w:rPr>
          <w:rStyle w:val="CommentReference"/>
        </w:rPr>
        <w:annotationRef/>
      </w:r>
      <w:r>
        <w:t xml:space="preserve">Add ‘non-Muslims’ </w:t>
      </w:r>
    </w:p>
  </w:comment>
  <w:comment w:id="32" w:author="ABDUL" w:date="2025-05-07T01:50:00Z" w:initials="A">
    <w:p w14:paraId="6C0C6F46" w14:textId="38704155" w:rsidR="00FD4D58" w:rsidRDefault="00FD4D58" w:rsidP="00FD4D58">
      <w:pPr>
        <w:pStyle w:val="CommentText"/>
      </w:pPr>
      <w:r>
        <w:rPr>
          <w:rStyle w:val="CommentReference"/>
        </w:rPr>
        <w:annotationRef/>
      </w:r>
      <w:r>
        <w:t>Change it to</w:t>
      </w:r>
      <w:r>
        <w:t xml:space="preserve"> (choosing Islamic bank) </w:t>
      </w:r>
    </w:p>
  </w:comment>
  <w:comment w:id="33" w:author="ABDUL" w:date="2025-05-07T01:53:00Z" w:initials="A">
    <w:p w14:paraId="5DE7DCAC" w14:textId="77777777" w:rsidR="00FD4D58" w:rsidRDefault="00FD4D58">
      <w:pPr>
        <w:pStyle w:val="CommentText"/>
      </w:pPr>
      <w:r>
        <w:rPr>
          <w:rStyle w:val="CommentReference"/>
        </w:rPr>
        <w:annotationRef/>
      </w:r>
      <w:r>
        <w:t>Remove this if possible</w:t>
      </w:r>
    </w:p>
    <w:p w14:paraId="44D40A39" w14:textId="77777777" w:rsidR="00FD4D58" w:rsidRDefault="00FD4D58">
      <w:pPr>
        <w:pStyle w:val="CommentText"/>
      </w:pPr>
    </w:p>
    <w:p w14:paraId="541735F5" w14:textId="77777777" w:rsidR="00FD4D58" w:rsidRDefault="00FD4D58">
      <w:pPr>
        <w:pStyle w:val="CommentText"/>
      </w:pPr>
      <w:r>
        <w:t xml:space="preserve">Or </w:t>
      </w:r>
    </w:p>
    <w:p w14:paraId="0B105B55" w14:textId="77777777" w:rsidR="00FD4D58" w:rsidRDefault="00FD4D58">
      <w:pPr>
        <w:pStyle w:val="CommentText"/>
      </w:pPr>
    </w:p>
    <w:p w14:paraId="3DB4A485" w14:textId="6F3B6541" w:rsidR="00FD4D58" w:rsidRDefault="00FD4D58">
      <w:pPr>
        <w:pStyle w:val="CommentText"/>
      </w:pPr>
      <w:r>
        <w:t xml:space="preserve">Reconstruct the entire sentence  </w:t>
      </w:r>
    </w:p>
  </w:comment>
  <w:comment w:id="34" w:author="ABDUL" w:date="2025-05-07T01:55:00Z" w:initials="A">
    <w:p w14:paraId="54A86EAA" w14:textId="1A0400B5" w:rsidR="00FD4D58" w:rsidRDefault="00FD4D58" w:rsidP="00FD4D58">
      <w:pPr>
        <w:pStyle w:val="CommentText"/>
      </w:pPr>
      <w:r>
        <w:rPr>
          <w:rStyle w:val="CommentReference"/>
        </w:rPr>
        <w:annotationRef/>
      </w:r>
      <w:r>
        <w:t>Change it to</w:t>
      </w:r>
      <w:r>
        <w:t xml:space="preserve"> ‘By’ </w:t>
      </w:r>
    </w:p>
  </w:comment>
  <w:comment w:id="35" w:author="ABDUL" w:date="2025-05-07T01:56:00Z" w:initials="A">
    <w:p w14:paraId="269BD5EE" w14:textId="0EC80929" w:rsidR="00FD4D58" w:rsidRDefault="00FD4D58">
      <w:pPr>
        <w:pStyle w:val="CommentText"/>
      </w:pPr>
      <w:r>
        <w:rPr>
          <w:rStyle w:val="CommentReference"/>
        </w:rPr>
        <w:annotationRef/>
      </w:r>
      <w:r>
        <w:t xml:space="preserve">Remove ‘s’ </w:t>
      </w:r>
    </w:p>
  </w:comment>
  <w:comment w:id="36" w:author="ABDUL" w:date="2025-05-07T01:56:00Z" w:initials="A">
    <w:p w14:paraId="2B141D72" w14:textId="3A6736CD" w:rsidR="00FD4D58" w:rsidRDefault="00FD4D58" w:rsidP="00FD4D58">
      <w:pPr>
        <w:pStyle w:val="CommentText"/>
      </w:pPr>
      <w:r>
        <w:rPr>
          <w:rStyle w:val="CommentReference"/>
        </w:rPr>
        <w:annotationRef/>
      </w:r>
      <w:r>
        <w:t>Change it to</w:t>
      </w:r>
      <w:r>
        <w:t xml:space="preserve"> ‘progress and dominate’ </w:t>
      </w:r>
    </w:p>
  </w:comment>
  <w:comment w:id="37" w:author="ABDUL" w:date="2025-05-07T02:02:00Z" w:initials="A">
    <w:p w14:paraId="50AF8F4E" w14:textId="5C16DE83" w:rsidR="00984E98" w:rsidRDefault="00984E98">
      <w:pPr>
        <w:pStyle w:val="CommentText"/>
      </w:pPr>
      <w:r>
        <w:rPr>
          <w:rStyle w:val="CommentReference"/>
        </w:rPr>
        <w:annotationRef/>
      </w:r>
      <w:r>
        <w:t xml:space="preserve">Remove this if possible </w:t>
      </w:r>
    </w:p>
  </w:comment>
  <w:comment w:id="38" w:author="ABDUL" w:date="2025-05-07T02:04:00Z" w:initials="A">
    <w:p w14:paraId="746330F9" w14:textId="3E42AA8E" w:rsidR="00984E98" w:rsidRDefault="00984E98">
      <w:pPr>
        <w:pStyle w:val="CommentText"/>
      </w:pPr>
      <w:r>
        <w:rPr>
          <w:rStyle w:val="CommentReference"/>
        </w:rPr>
        <w:annotationRef/>
      </w:r>
      <w:r>
        <w:t>Add ‘the’</w:t>
      </w:r>
    </w:p>
  </w:comment>
  <w:comment w:id="39" w:author="ABDUL" w:date="2025-05-07T02:04:00Z" w:initials="A">
    <w:p w14:paraId="1E95E90C" w14:textId="5C509E21" w:rsidR="00984E98" w:rsidRDefault="00984E98">
      <w:pPr>
        <w:pStyle w:val="CommentText"/>
      </w:pPr>
      <w:r>
        <w:rPr>
          <w:rStyle w:val="CommentReference"/>
        </w:rPr>
        <w:annotationRef/>
      </w:r>
      <w:r>
        <w:t xml:space="preserve">Dedicated, existing or designated? </w:t>
      </w:r>
    </w:p>
  </w:comment>
  <w:comment w:id="40" w:author="ABDUL" w:date="2025-05-07T02:06:00Z" w:initials="A">
    <w:p w14:paraId="1BCF51D3" w14:textId="7DD77755" w:rsidR="00984E98" w:rsidRDefault="00984E98">
      <w:pPr>
        <w:pStyle w:val="CommentText"/>
      </w:pPr>
      <w:r>
        <w:rPr>
          <w:rStyle w:val="CommentReference"/>
        </w:rPr>
        <w:annotationRef/>
      </w:r>
      <w:r>
        <w:t>Remove ‘s’</w:t>
      </w:r>
    </w:p>
  </w:comment>
  <w:comment w:id="41" w:author="ABDUL" w:date="2025-05-07T03:29:00Z" w:initials="A">
    <w:p w14:paraId="08522EC9" w14:textId="585BFA13" w:rsidR="00150723" w:rsidRDefault="00150723">
      <w:pPr>
        <w:pStyle w:val="CommentText"/>
      </w:pPr>
      <w:r>
        <w:rPr>
          <w:rStyle w:val="CommentReference"/>
        </w:rPr>
        <w:annotationRef/>
      </w:r>
      <w:r>
        <w:t xml:space="preserve">Add ‘s’ </w:t>
      </w:r>
    </w:p>
  </w:comment>
  <w:comment w:id="42" w:author="ABDUL" w:date="2025-05-07T03:34:00Z" w:initials="A">
    <w:p w14:paraId="5B959D9E" w14:textId="4DE9DEA1" w:rsidR="00150723" w:rsidRDefault="00150723">
      <w:pPr>
        <w:pStyle w:val="CommentText"/>
      </w:pPr>
      <w:r>
        <w:rPr>
          <w:rStyle w:val="CommentReference"/>
        </w:rPr>
        <w:annotationRef/>
      </w:r>
      <w:r>
        <w:t xml:space="preserve">Do you need this again here? </w:t>
      </w:r>
    </w:p>
  </w:comment>
  <w:comment w:id="43" w:author="ABDUL" w:date="2025-05-07T03:37:00Z" w:initials="A">
    <w:p w14:paraId="200E9C49" w14:textId="68B88B2D" w:rsidR="00150723" w:rsidRDefault="00150723">
      <w:pPr>
        <w:pStyle w:val="CommentText"/>
      </w:pPr>
      <w:r>
        <w:rPr>
          <w:rStyle w:val="CommentReference"/>
        </w:rPr>
        <w:annotationRef/>
      </w:r>
      <w:r>
        <w:t>Correct this and stick to one word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8E8CF9" w15:done="0"/>
  <w15:commentEx w15:paraId="72A3E51C" w15:done="0"/>
  <w15:commentEx w15:paraId="489EB3F6" w15:done="0"/>
  <w15:commentEx w15:paraId="1DAB8699" w15:done="0"/>
  <w15:commentEx w15:paraId="369436C2" w15:done="0"/>
  <w15:commentEx w15:paraId="2F9A89B9" w15:done="0"/>
  <w15:commentEx w15:paraId="17EDA94A" w15:done="0"/>
  <w15:commentEx w15:paraId="1E14B131" w15:done="0"/>
  <w15:commentEx w15:paraId="02C727F9" w15:done="0"/>
  <w15:commentEx w15:paraId="5B5DDFA5" w15:done="0"/>
  <w15:commentEx w15:paraId="52CA0103" w15:done="0"/>
  <w15:commentEx w15:paraId="537E6548" w15:done="0"/>
  <w15:commentEx w15:paraId="6D855605" w15:done="0"/>
  <w15:commentEx w15:paraId="0159020A" w15:done="0"/>
  <w15:commentEx w15:paraId="7F79762B" w15:done="0"/>
  <w15:commentEx w15:paraId="25A78E6C" w15:done="0"/>
  <w15:commentEx w15:paraId="4B27FD9D" w15:done="0"/>
  <w15:commentEx w15:paraId="7F051482" w15:done="0"/>
  <w15:commentEx w15:paraId="3BA59CEE" w15:done="0"/>
  <w15:commentEx w15:paraId="22C60238" w15:done="0"/>
  <w15:commentEx w15:paraId="763522D2" w15:done="0"/>
  <w15:commentEx w15:paraId="4EDC67E5" w15:done="0"/>
  <w15:commentEx w15:paraId="4C5075EB" w15:done="0"/>
  <w15:commentEx w15:paraId="253DC59B" w15:done="0"/>
  <w15:commentEx w15:paraId="19D34785" w15:done="0"/>
  <w15:commentEx w15:paraId="53596954" w15:done="0"/>
  <w15:commentEx w15:paraId="5EF06C5C" w15:done="0"/>
  <w15:commentEx w15:paraId="7FF595ED" w15:done="0"/>
  <w15:commentEx w15:paraId="29924C77" w15:done="0"/>
  <w15:commentEx w15:paraId="6352A1AC" w15:done="0"/>
  <w15:commentEx w15:paraId="77443C22" w15:done="0"/>
  <w15:commentEx w15:paraId="45872016" w15:done="0"/>
  <w15:commentEx w15:paraId="6C0C6F46" w15:done="0"/>
  <w15:commentEx w15:paraId="3DB4A485" w15:done="0"/>
  <w15:commentEx w15:paraId="54A86EAA" w15:done="0"/>
  <w15:commentEx w15:paraId="269BD5EE" w15:done="0"/>
  <w15:commentEx w15:paraId="2B141D72" w15:done="0"/>
  <w15:commentEx w15:paraId="50AF8F4E" w15:done="0"/>
  <w15:commentEx w15:paraId="746330F9" w15:done="0"/>
  <w15:commentEx w15:paraId="1E95E90C" w15:done="0"/>
  <w15:commentEx w15:paraId="1BCF51D3" w15:done="0"/>
  <w15:commentEx w15:paraId="08522EC9" w15:done="0"/>
  <w15:commentEx w15:paraId="5B959D9E" w15:done="0"/>
  <w15:commentEx w15:paraId="200E9C4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096E7" w14:textId="77777777" w:rsidR="009C4D08" w:rsidRDefault="009C4D08" w:rsidP="00C37E61">
      <w:r>
        <w:separator/>
      </w:r>
    </w:p>
  </w:endnote>
  <w:endnote w:type="continuationSeparator" w:id="0">
    <w:p w14:paraId="476667AE" w14:textId="77777777" w:rsidR="009C4D08" w:rsidRDefault="009C4D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3BEC" w14:textId="0CD31DAF" w:rsidR="00754C9A" w:rsidRPr="00F272BC" w:rsidRDefault="00754C9A" w:rsidP="00F272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871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ACD03" w14:textId="77777777" w:rsidR="009C4D08" w:rsidRDefault="009C4D08" w:rsidP="00C37E61">
      <w:r>
        <w:separator/>
      </w:r>
    </w:p>
  </w:footnote>
  <w:footnote w:type="continuationSeparator" w:id="0">
    <w:p w14:paraId="42574D94" w14:textId="77777777" w:rsidR="009C4D08" w:rsidRDefault="009C4D08" w:rsidP="00C37E61">
      <w:r>
        <w:continuationSeparator/>
      </w:r>
    </w:p>
  </w:footnote>
  <w:footnote w:id="1">
    <w:p w14:paraId="5ACC1BB1" w14:textId="58A902EC" w:rsidR="00E338DA" w:rsidRDefault="00E338DA">
      <w:pPr>
        <w:pStyle w:val="FootnoteText"/>
      </w:pPr>
      <w:r>
        <w:rPr>
          <w:rStyle w:val="FootnoteReference"/>
        </w:rPr>
        <w:footnoteRef/>
      </w:r>
      <w:r>
        <w:t xml:space="preserve"> </w:t>
      </w:r>
      <w:hyperlink r:id="rId1" w:history="1">
        <w:r w:rsidRPr="004F1581">
          <w:rPr>
            <w:rStyle w:val="Hyperlink"/>
          </w:rPr>
          <w:t>https://www.statista.com/statistics/1304207/population-of-kenya-by-religion/</w:t>
        </w:r>
      </w:hyperlink>
      <w:r>
        <w:t xml:space="preserve"> </w:t>
      </w:r>
    </w:p>
  </w:footnote>
  <w:footnote w:id="2">
    <w:p w14:paraId="764E299C" w14:textId="25121DCC" w:rsidR="00F94C08" w:rsidRPr="00FE58EE" w:rsidRDefault="00F94C08">
      <w:pPr>
        <w:pStyle w:val="FootnoteText"/>
      </w:pPr>
      <w:r w:rsidRPr="00FE58EE">
        <w:rPr>
          <w:rStyle w:val="FootnoteReference"/>
        </w:rPr>
        <w:footnoteRef/>
      </w:r>
      <w:r w:rsidRPr="00FE58EE">
        <w:t xml:space="preserve"> </w:t>
      </w:r>
      <w:hyperlink r:id="rId2" w:history="1">
        <w:r w:rsidR="00FE58EE" w:rsidRPr="00FE58EE">
          <w:rPr>
            <w:rStyle w:val="Hyperlink"/>
            <w:color w:val="auto"/>
          </w:rPr>
          <w:t>https://www.google.com/search?q=islamic+banks+market+share+in+kenya+as+per+central+bank+of+kenya</w:t>
        </w:r>
      </w:hyperlink>
      <w:r w:rsidR="00FE58EE" w:rsidRPr="00FE58EE">
        <w:t xml:space="preserve">, </w:t>
      </w:r>
    </w:p>
  </w:footnote>
  <w:footnote w:id="3">
    <w:p w14:paraId="3EBF68D1" w14:textId="6C094F78" w:rsidR="001A2A78" w:rsidRDefault="001A2A78">
      <w:pPr>
        <w:pStyle w:val="FootnoteText"/>
      </w:pPr>
      <w:r w:rsidRPr="00FE58EE">
        <w:rPr>
          <w:rStyle w:val="FootnoteReference"/>
        </w:rPr>
        <w:footnoteRef/>
      </w:r>
      <w:r w:rsidRPr="00FE58EE">
        <w:t xml:space="preserve"> </w:t>
      </w:r>
      <w:hyperlink r:id="rId3" w:history="1">
        <w:r w:rsidRPr="00FE58EE">
          <w:rPr>
            <w:rStyle w:val="Hyperlink"/>
            <w:color w:val="auto"/>
          </w:rPr>
          <w:t>https://www.statista.com/statistics/1304207/population-of-kenya-by-religion/</w:t>
        </w:r>
      </w:hyperlink>
      <w:r>
        <w:t xml:space="preserve"> </w:t>
      </w:r>
    </w:p>
  </w:footnote>
  <w:footnote w:id="4">
    <w:p w14:paraId="59503181" w14:textId="40B6E1D4" w:rsidR="00E45057" w:rsidRDefault="00E45057">
      <w:pPr>
        <w:pStyle w:val="FootnoteText"/>
      </w:pPr>
      <w:r>
        <w:rPr>
          <w:rStyle w:val="FootnoteReference"/>
        </w:rPr>
        <w:footnoteRef/>
      </w:r>
      <w:r>
        <w:t xml:space="preserve"> </w:t>
      </w:r>
      <w:hyperlink r:id="rId4" w:history="1">
        <w:r w:rsidRPr="004F1581">
          <w:rPr>
            <w:rStyle w:val="Hyperlink"/>
          </w:rPr>
          <w:t>https://www.businessdailyafrica.com/bd/markets/govt-moves-to-develop-and-regulate-islamic-finance-sector-2130690</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BA02" w14:textId="3ADF157D" w:rsidR="00326964" w:rsidRDefault="009C4D08">
    <w:pPr>
      <w:pStyle w:val="Header"/>
    </w:pPr>
    <w:r>
      <w:rPr>
        <w:noProof/>
      </w:rPr>
      <w:pict w14:anchorId="6FC6D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13B9" w14:textId="5E7B4DA5" w:rsidR="00326964" w:rsidRDefault="009C4D08">
    <w:pPr>
      <w:pStyle w:val="Header"/>
    </w:pPr>
    <w:r>
      <w:rPr>
        <w:noProof/>
      </w:rPr>
      <w:pict w14:anchorId="6BDED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5F72C" w14:textId="15A26D11" w:rsidR="00296529" w:rsidRPr="00296529" w:rsidRDefault="009C4D08" w:rsidP="00296529">
    <w:pPr>
      <w:ind w:left="2160"/>
      <w:jc w:val="center"/>
      <w:rPr>
        <w:rFonts w:ascii="Times New Roman" w:eastAsia="Calibri" w:hAnsi="Times New Roman"/>
        <w:i/>
        <w:sz w:val="18"/>
        <w:szCs w:val="22"/>
      </w:rPr>
    </w:pPr>
    <w:r>
      <w:rPr>
        <w:noProof/>
      </w:rPr>
      <w:pict w14:anchorId="51571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1827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A7B5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9E9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84C4B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7B8A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8311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C343" w14:textId="487FBEC4" w:rsidR="00326964" w:rsidRDefault="009C4D08">
    <w:pPr>
      <w:pStyle w:val="Header"/>
    </w:pPr>
    <w:r>
      <w:rPr>
        <w:noProof/>
      </w:rPr>
      <w:pict w14:anchorId="44E96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AB8A" w14:textId="50CA4511" w:rsidR="00326964" w:rsidRDefault="009C4D08">
    <w:pPr>
      <w:pStyle w:val="Header"/>
    </w:pPr>
    <w:r>
      <w:rPr>
        <w:noProof/>
      </w:rPr>
      <w:pict w14:anchorId="63871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3DB8" w14:textId="4A35142A" w:rsidR="00326964" w:rsidRDefault="009C4D08">
    <w:pPr>
      <w:pStyle w:val="Header"/>
    </w:pPr>
    <w:r>
      <w:rPr>
        <w:noProof/>
      </w:rPr>
      <w:pict w14:anchorId="2515A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
    <w15:presenceInfo w15:providerId="None" w15:userId="ABD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32D"/>
    <w:rsid w:val="00022435"/>
    <w:rsid w:val="00030174"/>
    <w:rsid w:val="0004579C"/>
    <w:rsid w:val="00045E4A"/>
    <w:rsid w:val="00091924"/>
    <w:rsid w:val="00095ED8"/>
    <w:rsid w:val="000A47FA"/>
    <w:rsid w:val="000A65D3"/>
    <w:rsid w:val="000A6E27"/>
    <w:rsid w:val="000B1E33"/>
    <w:rsid w:val="000B1EA1"/>
    <w:rsid w:val="000B6C75"/>
    <w:rsid w:val="000D689F"/>
    <w:rsid w:val="000E7B7B"/>
    <w:rsid w:val="000E7D62"/>
    <w:rsid w:val="00103357"/>
    <w:rsid w:val="00123C9F"/>
    <w:rsid w:val="00126190"/>
    <w:rsid w:val="00130F17"/>
    <w:rsid w:val="001320BF"/>
    <w:rsid w:val="00150723"/>
    <w:rsid w:val="00163BC4"/>
    <w:rsid w:val="00180915"/>
    <w:rsid w:val="00191062"/>
    <w:rsid w:val="00192B72"/>
    <w:rsid w:val="001A29D8"/>
    <w:rsid w:val="001A2A78"/>
    <w:rsid w:val="001A5CAA"/>
    <w:rsid w:val="001B0427"/>
    <w:rsid w:val="001D3A51"/>
    <w:rsid w:val="001E10D2"/>
    <w:rsid w:val="001E25B4"/>
    <w:rsid w:val="001E44FE"/>
    <w:rsid w:val="001F5411"/>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7E3D"/>
    <w:rsid w:val="00315186"/>
    <w:rsid w:val="00326964"/>
    <w:rsid w:val="0033343E"/>
    <w:rsid w:val="003436CA"/>
    <w:rsid w:val="003447F3"/>
    <w:rsid w:val="003512C2"/>
    <w:rsid w:val="00371FB6"/>
    <w:rsid w:val="003763C1"/>
    <w:rsid w:val="00376BBE"/>
    <w:rsid w:val="0039224F"/>
    <w:rsid w:val="003A43A4"/>
    <w:rsid w:val="003A7E18"/>
    <w:rsid w:val="003C4C86"/>
    <w:rsid w:val="003C6258"/>
    <w:rsid w:val="003D5931"/>
    <w:rsid w:val="003E2904"/>
    <w:rsid w:val="003E553B"/>
    <w:rsid w:val="00401927"/>
    <w:rsid w:val="004030C7"/>
    <w:rsid w:val="00404AFF"/>
    <w:rsid w:val="0041027F"/>
    <w:rsid w:val="00412475"/>
    <w:rsid w:val="00423789"/>
    <w:rsid w:val="00435BD4"/>
    <w:rsid w:val="00440F43"/>
    <w:rsid w:val="00441B6F"/>
    <w:rsid w:val="00446221"/>
    <w:rsid w:val="00450E62"/>
    <w:rsid w:val="004539DB"/>
    <w:rsid w:val="00471A80"/>
    <w:rsid w:val="004D305E"/>
    <w:rsid w:val="004D4277"/>
    <w:rsid w:val="004E1B00"/>
    <w:rsid w:val="00502516"/>
    <w:rsid w:val="00505F06"/>
    <w:rsid w:val="00506828"/>
    <w:rsid w:val="0053056E"/>
    <w:rsid w:val="0054064E"/>
    <w:rsid w:val="00554FDA"/>
    <w:rsid w:val="00572EA8"/>
    <w:rsid w:val="00573242"/>
    <w:rsid w:val="005C784C"/>
    <w:rsid w:val="005D17F6"/>
    <w:rsid w:val="005E5539"/>
    <w:rsid w:val="00602BF5"/>
    <w:rsid w:val="0061273A"/>
    <w:rsid w:val="00617FDD"/>
    <w:rsid w:val="00633614"/>
    <w:rsid w:val="00633F68"/>
    <w:rsid w:val="00636EB2"/>
    <w:rsid w:val="006375B8"/>
    <w:rsid w:val="0066510A"/>
    <w:rsid w:val="00673F9F"/>
    <w:rsid w:val="00686648"/>
    <w:rsid w:val="00686953"/>
    <w:rsid w:val="00687DEA"/>
    <w:rsid w:val="00687E67"/>
    <w:rsid w:val="00694ACB"/>
    <w:rsid w:val="006967F7"/>
    <w:rsid w:val="006A250C"/>
    <w:rsid w:val="006B21D3"/>
    <w:rsid w:val="006B3A83"/>
    <w:rsid w:val="006B57D0"/>
    <w:rsid w:val="006C4240"/>
    <w:rsid w:val="006D30FF"/>
    <w:rsid w:val="006D6940"/>
    <w:rsid w:val="006F11EC"/>
    <w:rsid w:val="0070082C"/>
    <w:rsid w:val="00712977"/>
    <w:rsid w:val="0073517E"/>
    <w:rsid w:val="007369E6"/>
    <w:rsid w:val="00746E59"/>
    <w:rsid w:val="00750E6E"/>
    <w:rsid w:val="00754C9A"/>
    <w:rsid w:val="0075599A"/>
    <w:rsid w:val="00761D52"/>
    <w:rsid w:val="0077749E"/>
    <w:rsid w:val="00790ADA"/>
    <w:rsid w:val="007C1231"/>
    <w:rsid w:val="007D2288"/>
    <w:rsid w:val="007E088F"/>
    <w:rsid w:val="007F7B32"/>
    <w:rsid w:val="00804BC2"/>
    <w:rsid w:val="0081431A"/>
    <w:rsid w:val="0083216F"/>
    <w:rsid w:val="008422BF"/>
    <w:rsid w:val="00860000"/>
    <w:rsid w:val="00863BD3"/>
    <w:rsid w:val="008641ED"/>
    <w:rsid w:val="00866D66"/>
    <w:rsid w:val="00866E02"/>
    <w:rsid w:val="008671C6"/>
    <w:rsid w:val="00875803"/>
    <w:rsid w:val="00882068"/>
    <w:rsid w:val="008A6FAC"/>
    <w:rsid w:val="008B459E"/>
    <w:rsid w:val="008C5F54"/>
    <w:rsid w:val="008E13AE"/>
    <w:rsid w:val="008E1506"/>
    <w:rsid w:val="008E710C"/>
    <w:rsid w:val="008F69D6"/>
    <w:rsid w:val="00902823"/>
    <w:rsid w:val="00915CA6"/>
    <w:rsid w:val="0092542B"/>
    <w:rsid w:val="00927834"/>
    <w:rsid w:val="009500A6"/>
    <w:rsid w:val="00950AD8"/>
    <w:rsid w:val="00957C18"/>
    <w:rsid w:val="009659BA"/>
    <w:rsid w:val="00983040"/>
    <w:rsid w:val="00984E98"/>
    <w:rsid w:val="009910E3"/>
    <w:rsid w:val="009B3FB9"/>
    <w:rsid w:val="009C2465"/>
    <w:rsid w:val="009C4D0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8EC"/>
    <w:rsid w:val="00A94063"/>
    <w:rsid w:val="00A97101"/>
    <w:rsid w:val="00AA6219"/>
    <w:rsid w:val="00AA74E0"/>
    <w:rsid w:val="00AB703F"/>
    <w:rsid w:val="00AB7F54"/>
    <w:rsid w:val="00AC6BB8"/>
    <w:rsid w:val="00AE008F"/>
    <w:rsid w:val="00AE1817"/>
    <w:rsid w:val="00B01FCD"/>
    <w:rsid w:val="00B1776C"/>
    <w:rsid w:val="00B45D4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C47"/>
    <w:rsid w:val="00D173F1"/>
    <w:rsid w:val="00D21DDC"/>
    <w:rsid w:val="00D73462"/>
    <w:rsid w:val="00D74CB0"/>
    <w:rsid w:val="00D8295D"/>
    <w:rsid w:val="00DC2A65"/>
    <w:rsid w:val="00DE15F0"/>
    <w:rsid w:val="00DE5663"/>
    <w:rsid w:val="00DE78AA"/>
    <w:rsid w:val="00E053D0"/>
    <w:rsid w:val="00E15994"/>
    <w:rsid w:val="00E3114E"/>
    <w:rsid w:val="00E31A70"/>
    <w:rsid w:val="00E330CC"/>
    <w:rsid w:val="00E338DA"/>
    <w:rsid w:val="00E358B9"/>
    <w:rsid w:val="00E35B02"/>
    <w:rsid w:val="00E45057"/>
    <w:rsid w:val="00E66496"/>
    <w:rsid w:val="00E66B35"/>
    <w:rsid w:val="00E66E10"/>
    <w:rsid w:val="00E750AF"/>
    <w:rsid w:val="00E769F6"/>
    <w:rsid w:val="00E81829"/>
    <w:rsid w:val="00E8407C"/>
    <w:rsid w:val="00E84F3C"/>
    <w:rsid w:val="00E94D4E"/>
    <w:rsid w:val="00EA012C"/>
    <w:rsid w:val="00EB0A01"/>
    <w:rsid w:val="00EB4C24"/>
    <w:rsid w:val="00EC615D"/>
    <w:rsid w:val="00EC6A55"/>
    <w:rsid w:val="00ED0288"/>
    <w:rsid w:val="00ED7A2D"/>
    <w:rsid w:val="00EE52CB"/>
    <w:rsid w:val="00EF1D7F"/>
    <w:rsid w:val="00EF581D"/>
    <w:rsid w:val="00EF7FD8"/>
    <w:rsid w:val="00F06F59"/>
    <w:rsid w:val="00F17988"/>
    <w:rsid w:val="00F272BC"/>
    <w:rsid w:val="00F469F0"/>
    <w:rsid w:val="00F53273"/>
    <w:rsid w:val="00F755E4"/>
    <w:rsid w:val="00F77D02"/>
    <w:rsid w:val="00F94C08"/>
    <w:rsid w:val="00FA5F60"/>
    <w:rsid w:val="00FB3A86"/>
    <w:rsid w:val="00FD36C8"/>
    <w:rsid w:val="00FD4D58"/>
    <w:rsid w:val="00FE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5DA3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F54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436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6B3A83"/>
    <w:pPr>
      <w:spacing w:after="160" w:line="259" w:lineRule="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1F5411"/>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1F541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F5411"/>
    <w:rPr>
      <w:rFonts w:asciiTheme="minorHAnsi" w:eastAsiaTheme="minorEastAsia" w:hAnsiTheme="minorHAnsi" w:cstheme="minorBidi"/>
      <w:sz w:val="22"/>
      <w:szCs w:val="22"/>
    </w:rPr>
  </w:style>
  <w:style w:type="paragraph" w:styleId="FootnoteText">
    <w:name w:val="footnote text"/>
    <w:basedOn w:val="Normal"/>
    <w:link w:val="FootnoteTextChar"/>
    <w:semiHidden/>
    <w:unhideWhenUsed/>
    <w:rsid w:val="00E338DA"/>
  </w:style>
  <w:style w:type="character" w:customStyle="1" w:styleId="FootnoteTextChar">
    <w:name w:val="Footnote Text Char"/>
    <w:basedOn w:val="DefaultParagraphFont"/>
    <w:link w:val="FootnoteText"/>
    <w:semiHidden/>
    <w:rsid w:val="00E338DA"/>
    <w:rPr>
      <w:rFonts w:ascii="Helvetica" w:hAnsi="Helvetica"/>
    </w:rPr>
  </w:style>
  <w:style w:type="character" w:styleId="FootnoteReference">
    <w:name w:val="footnote reference"/>
    <w:basedOn w:val="DefaultParagraphFont"/>
    <w:semiHidden/>
    <w:unhideWhenUsed/>
    <w:rsid w:val="00E338DA"/>
    <w:rPr>
      <w:vertAlign w:val="superscript"/>
    </w:rPr>
  </w:style>
  <w:style w:type="character" w:customStyle="1" w:styleId="UnresolvedMention">
    <w:name w:val="Unresolved Mention"/>
    <w:basedOn w:val="DefaultParagraphFont"/>
    <w:uiPriority w:val="99"/>
    <w:semiHidden/>
    <w:unhideWhenUsed/>
    <w:rsid w:val="00FE58EE"/>
    <w:rPr>
      <w:color w:val="605E5C"/>
      <w:shd w:val="clear" w:color="auto" w:fill="E1DFDD"/>
    </w:rPr>
  </w:style>
  <w:style w:type="character" w:customStyle="1" w:styleId="Heading3Char">
    <w:name w:val="Heading 3 Char"/>
    <w:basedOn w:val="DefaultParagraphFont"/>
    <w:link w:val="Heading3"/>
    <w:semiHidden/>
    <w:rsid w:val="003436CA"/>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E358B9"/>
    <w:rPr>
      <w:rFonts w:ascii="Helvetica" w:hAnsi="Helvetica"/>
      <w:b/>
      <w:bCs/>
      <w:lang w:val="en-US" w:eastAsia="en-US"/>
    </w:rPr>
  </w:style>
  <w:style w:type="character" w:customStyle="1" w:styleId="CommentSubjectChar">
    <w:name w:val="Comment Subject Char"/>
    <w:basedOn w:val="CommentTextChar"/>
    <w:link w:val="CommentSubject"/>
    <w:semiHidden/>
    <w:rsid w:val="00E358B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78418">
      <w:bodyDiv w:val="1"/>
      <w:marLeft w:val="0"/>
      <w:marRight w:val="0"/>
      <w:marTop w:val="0"/>
      <w:marBottom w:val="0"/>
      <w:divBdr>
        <w:top w:val="none" w:sz="0" w:space="0" w:color="auto"/>
        <w:left w:val="none" w:sz="0" w:space="0" w:color="auto"/>
        <w:bottom w:val="none" w:sz="0" w:space="0" w:color="auto"/>
        <w:right w:val="none" w:sz="0" w:space="0" w:color="auto"/>
      </w:divBdr>
    </w:div>
    <w:div w:id="1360695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103209">
      <w:bodyDiv w:val="1"/>
      <w:marLeft w:val="0"/>
      <w:marRight w:val="0"/>
      <w:marTop w:val="0"/>
      <w:marBottom w:val="0"/>
      <w:divBdr>
        <w:top w:val="none" w:sz="0" w:space="0" w:color="auto"/>
        <w:left w:val="none" w:sz="0" w:space="0" w:color="auto"/>
        <w:bottom w:val="none" w:sz="0" w:space="0" w:color="auto"/>
        <w:right w:val="none" w:sz="0" w:space="0" w:color="auto"/>
      </w:divBdr>
    </w:div>
    <w:div w:id="849413948">
      <w:bodyDiv w:val="1"/>
      <w:marLeft w:val="0"/>
      <w:marRight w:val="0"/>
      <w:marTop w:val="0"/>
      <w:marBottom w:val="0"/>
      <w:divBdr>
        <w:top w:val="none" w:sz="0" w:space="0" w:color="auto"/>
        <w:left w:val="none" w:sz="0" w:space="0" w:color="auto"/>
        <w:bottom w:val="none" w:sz="0" w:space="0" w:color="auto"/>
        <w:right w:val="none" w:sz="0" w:space="0" w:color="auto"/>
      </w:divBdr>
    </w:div>
    <w:div w:id="90283895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8011877">
      <w:bodyDiv w:val="1"/>
      <w:marLeft w:val="0"/>
      <w:marRight w:val="0"/>
      <w:marTop w:val="0"/>
      <w:marBottom w:val="0"/>
      <w:divBdr>
        <w:top w:val="none" w:sz="0" w:space="0" w:color="auto"/>
        <w:left w:val="none" w:sz="0" w:space="0" w:color="auto"/>
        <w:bottom w:val="none" w:sz="0" w:space="0" w:color="auto"/>
        <w:right w:val="none" w:sz="0" w:space="0" w:color="auto"/>
      </w:divBdr>
    </w:div>
    <w:div w:id="17291879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0211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3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statista.com/statistics/1304207/population-of-kenya-by-religion/" TargetMode="External"/><Relationship Id="rId2" Type="http://schemas.openxmlformats.org/officeDocument/2006/relationships/hyperlink" Target="https://www.google.com/search?q=islamic+banks+market+share+in+kenya+as+per+central+bank+of+kenya" TargetMode="External"/><Relationship Id="rId1" Type="http://schemas.openxmlformats.org/officeDocument/2006/relationships/hyperlink" Target="https://www.statista.com/statistics/1304207/population-of-kenya-by-religion/" TargetMode="External"/><Relationship Id="rId4" Type="http://schemas.openxmlformats.org/officeDocument/2006/relationships/hyperlink" Target="https://www.businessdailyafrica.com/bd/markets/govt-moves-to-develop-and-regulate-islamic-finance-sector-21306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Zub17</b:Tag>
    <b:SourceType>JournalArticle</b:SourceType>
    <b:Guid>{12F0088D-626B-423B-B54E-664043A581FE}</b:Guid>
    <b:Author>
      <b:Author>
        <b:NameList>
          <b:Person>
            <b:Last>Mughal</b:Last>
            <b:First>Zubair</b:First>
          </b:Person>
        </b:NameList>
      </b:Author>
    </b:Author>
    <b:Title>A Global	Analysis about the	Outlook of Islamic	Banking	and Finance </b:Title>
    <b:JournalName>Alhuda Center of Islamic Banking and Economics</b:JournalName>
    <b:Year>2017</b:Year>
    <b:RefOrder>4</b:RefOrder>
  </b:Source>
  <b:Source>
    <b:Tag>Sof17</b:Tag>
    <b:SourceType>InternetSite</b:SourceType>
    <b:Guid>{6B5842AE-7ECD-4FF6-886B-22719B17DE20}</b:Guid>
    <b:Title>softkenya.com</b:Title>
    <b:Year>2017</b:Year>
    <b:Author>
      <b:Author>
        <b:NameList>
          <b:Person>
            <b:Last>SoftKenya</b:Last>
          </b:Person>
        </b:NameList>
      </b:Author>
    </b:Author>
    <b:InternetSiteTitle>https://softkenya.com/kenya/kenya-population/</b:InternetSiteTitle>
    <b:Month>November</b:Month>
    <b:Day>05</b:Day>
    <b:URL>https://softkenya.com/kenya/kenya-population/</b:URL>
    <b:RefOrder>5</b:RefOrder>
  </b:Source>
  <b:Source>
    <b:Tag>The16</b:Tag>
    <b:SourceType>Report</b:SourceType>
    <b:Guid>{32773009-2D4E-4C14-A029-EF48CF1EFBF0}</b:Guid>
    <b:Title>The Kenya Financial Sector Stability Report</b:Title>
    <b:Year>2016</b:Year>
    <b:Publisher>Researchstat@ecntralbank.go.uk</b:Publisher>
    <b:City>Nairobi, Kenya</b:City>
    <b:RefOrder>6</b:RefOrder>
  </b:Source>
  <b:Source>
    <b:Tag>Mar10</b:Tag>
    <b:SourceType>JournalArticle</b:SourceType>
    <b:Guid>{DA2415FE-C3E5-4654-9A90-3A2057864B2D}</b:Guid>
    <b:Title>Islamic Banking: Selection Criteria and Implications</b:Title>
    <b:Year>2010</b:Year>
    <b:Author>
      <b:Author>
        <b:NameList>
          <b:Person>
            <b:Last>Maran Marimuthu1</b:Last>
            <b:First>Chan</b:First>
            <b:Middle>Wai Jing2, Lim Phei Gie3,Low Pey Mun4, Tan Yew Ping5.</b:Middle>
          </b:Person>
        </b:NameList>
      </b:Author>
    </b:Author>
    <b:JournalName>Global Journal of Human Social Science</b:JournalName>
    <b:Pages>52-62</b:Pages>
    <b:RefOrder>7</b:RefOrder>
  </b:Source>
  <b:Source>
    <b:Tag>Har94</b:Tag>
    <b:SourceType>JournalArticle</b:SourceType>
    <b:Guid>{C3B5256F-C313-446C-AE4E-2CFD0B77ECB2}</b:Guid>
    <b:Author>
      <b:Author>
        <b:NameList>
          <b:Person>
            <b:Last>Haron</b:Last>
            <b:First>S.,</b:First>
            <b:Middle>Ahmad, N., &amp; Planisek, S. L. .</b:Middle>
          </b:Person>
        </b:NameList>
      </b:Author>
    </b:Author>
    <b:Title> Bank patronage factors of Muslim and non-Muslim customers. </b:Title>
    <b:JournalName>International Journal of Bank Marketing, </b:JournalName>
    <b:Year>1994</b:Year>
    <b:Pages>12(1), 32-40.</b:Pages>
    <b:RefOrder>8</b:RefOrder>
  </b:Source>
  <b:Source>
    <b:Tag>Kad10</b:Tag>
    <b:SourceType>JournalArticle</b:SourceType>
    <b:Guid>{D9A0138B-1F45-4909-AEE0-B262533F085D}</b:Guid>
    <b:Title>Factors influencing development of Islamic banking in Kenya.</b:Title>
    <b:JournalName>University of Nairobi, Nairobi.</b:JournalName>
    <b:Year>2010</b:Year>
    <b:Author>
      <b:Author>
        <b:NameList>
          <b:Person>
            <b:Last>Kadubo</b:Last>
            <b:First>A.</b:First>
            <b:Middle>S.</b:Middle>
          </b:Person>
        </b:NameList>
      </b:Author>
    </b:Author>
    <b:RefOrder>9</b:RefOrder>
  </b:Source>
  <b:Source>
    <b:Tag>Oun09</b:Tag>
    <b:SourceType>JournalArticle</b:SourceType>
    <b:Guid>{6D1B7B40-AB5B-46F6-AE7E-9392C818F597}</b:Guid>
    <b:Author>
      <b:Author>
        <b:NameList>
          <b:Person>
            <b:Last>Oundo</b:Last>
          </b:Person>
        </b:NameList>
      </b:Author>
    </b:Author>
    <b:Title> The potential of Islamic Microfinance in increasing financial access to Kenya's unbankedpopulation.</b:Title>
    <b:JournalName> Nairobi, Kenya</b:JournalName>
    <b:Year> 2009</b:Year>
    <b:RefOrder>10</b:RefOrder>
  </b:Source>
  <b:Source>
    <b:Tag>SAI14</b:Tag>
    <b:SourceType>JournalArticle</b:SourceType>
    <b:Guid>{DFB76842-FFB2-4829-B193-7EA424225FA0}</b:Guid>
    <b:Author>
      <b:Author>
        <b:NameList>
          <b:Person>
            <b:Last>ADEN</b:Last>
            <b:First>SAIDA</b:First>
            <b:Middle>ALI</b:Middle>
          </b:Person>
        </b:NameList>
      </b:Author>
    </b:Author>
    <b:Title>FACTORS INFLUENCING ISLAMIC BANKING IN KENYA: A CASE STUDY OF NAIROBI COUNTRY.</b:Title>
    <b:JournalName>UNITED STATES INTERNATIONAL UNIVERSITY,NAIROBI-KENYA</b:JournalName>
    <b:Year>2014</b:Year>
    <b:RefOrder>11</b:RefOrder>
  </b:Source>
  <b:Source>
    <b:Tag>Bil13</b:Tag>
    <b:SourceType>JournalArticle</b:SourceType>
    <b:Guid>{D701180A-7FBF-44F3-9D30-1F6B5677F5B8}</b:Guid>
    <b:Title>Islamic finance in Kenya</b:Title>
    <b:Year>2013</b:Year>
    <b:Author>
      <b:Author>
        <b:NameList>
          <b:Person>
            <b:Last>Laving</b:Last>
            <b:First>Bilal</b:First>
            <b:Middle>AbdulAziz</b:Middle>
          </b:Person>
        </b:NameList>
      </b:Author>
    </b:Author>
    <b:JournalName>REDmoney Publication</b:JournalName>
    <b:Pages>2-8</b:Pages>
    <b:RefOrder>12</b:RefOrder>
  </b:Source>
  <b:Source>
    <b:Tag>Pri13</b:Tag>
    <b:SourceType>InternetSite</b:SourceType>
    <b:Guid>{6D1DF4A4-C1D7-4FFF-84DF-EE8A1D8982FC}</b:Guid>
    <b:Title>Islamic Finance Creating Value </b:Title>
    <b:Year>2013</b:Year>
    <b:Author>
      <b:Author>
        <b:NameList>
          <b:Person>
            <b:Last>PriceWaterhousecoopers(PWC)</b:Last>
          </b:Person>
        </b:NameList>
      </b:Author>
    </b:Author>
    <b:InternetSiteTitle>ceif.iba.edu.pk/pdf/PWC-IslamicFinanceCapabilityReport.pdf</b:InternetSiteTitle>
    <b:RefOrder>13</b:RefOrder>
  </b:Source>
  <b:Source>
    <b:Tag>CON17</b:Tag>
    <b:SourceType>JournalArticle</b:SourceType>
    <b:Guid>{12C5E7D4-CB22-4A64-9E44-4C06AF1E274D}</b:Guid>
    <b:Title>FACTORS AFFECTING THE GROWTH OF ISLAMIC BANKS IN KENYA</b:Title>
    <b:Year>2017</b:Year>
    <b:Author>
      <b:Author>
        <b:NameList>
          <b:Person>
            <b:Last>MUTUA</b:Last>
            <b:First>CONSOLATA</b:First>
          </b:Person>
        </b:NameList>
      </b:Author>
    </b:Author>
    <b:JournalName>UNITED STATES INTERNATIONAL UNIVERSITY AFRICA</b:JournalName>
    <b:RefOrder>14</b:RefOrder>
  </b:Source>
  <b:Source>
    <b:Tag>Isa15</b:Tag>
    <b:SourceType>JournalArticle</b:SourceType>
    <b:Guid>{018C1BE1-6810-4153-9483-751BE7D61375}</b:Guid>
    <b:Author>
      <b:Author>
        <b:NameList>
          <b:Person>
            <b:Last>IsabellaAboderin</b:Last>
            <b:First>Cecihia</b:First>
            <b:Middle>Mbaka,Carolyne Egesa and Hilda Akinyi Owii</b:Middle>
          </b:Person>
        </b:NameList>
      </b:Author>
    </b:Author>
    <b:Title>Human Rights and Residential Care for Older Adults in Sub-Saharan Africa; Case Study of Kenya</b:Title>
    <b:JournalName>https://books.google.com.qa/books?isbn=1317910737</b:JournalName>
    <b:Year>2015</b:Year>
    <b:RefOrder>15</b:RefOrder>
  </b:Source>
  <b:Source>
    <b:Tag>Sal09</b:Tag>
    <b:SourceType>JournalArticle</b:SourceType>
    <b:Guid>{0D317EFE-ADDB-4B58-87F8-10678037BA0C}</b:Guid>
    <b:Author>
      <b:Author>
        <b:NameList>
          <b:Person>
            <b:Last>Sheikh</b:Last>
            <b:First>Salah</b:First>
            <b:Middle>Abdi</b:Middle>
          </b:Person>
        </b:NameList>
      </b:Author>
    </b:Author>
    <b:Title>FACTORS THAT LED TO THE EMERGENCE OF ISLAMIC BANKING IN KENYA AND THE REGULATORY CHALLENGES FACING THE INDUSTRY</b:Title>
    <b:JournalName>School of Business, University of Nairobi.</b:JournalName>
    <b:Year>2009</b:Year>
    <b:RefOrder>16</b:RefOrder>
  </b:Source>
  <b:Source>
    <b:Tag>Kin13</b:Tag>
    <b:SourceType>JournalArticle</b:SourceType>
    <b:Guid>{C07647FB-F250-4FAC-8905-80C66210F38C}</b:Guid>
    <b:Author>
      <b:Author>
        <b:NameList>
          <b:Person>
            <b:Last>Kinyanjui</b:Last>
            <b:First>S.</b:First>
            <b:Middle>N.</b:Middle>
          </b:Person>
        </b:NameList>
      </b:Author>
    </b:Author>
    <b:Title>Challenges Facing the Development of Islamic Banking. Lessons from the Kenyan Experience. </b:Title>
    <b:JournalName>European Journal of Business and Management</b:JournalName>
    <b:Year>2013.</b:Year>
    <b:Pages> 5(22), 94-102.</b:Pages>
    <b:RefOrder>2</b:RefOrder>
  </b:Source>
  <b:Source>
    <b:Tag>BAN07</b:Tag>
    <b:SourceType>JournalArticle</b:SourceType>
    <b:Guid>{9AB5F518-AEA7-43CE-AC43-0ACADDF19A98}</b:Guid>
    <b:Title>BANKING COMPANIES ORDINANCE, 1962 AND THE BANKING COMPANIES RULES 1963</b:Title>
    <b:Year>1962</b:Year>
    <b:Author>
      <b:Author>
        <b:NameList>
          <b:Person>
            <b:Last>Banking Companies Ordiance act</b:Last>
            <b:First>2007</b:First>
          </b:Person>
        </b:NameList>
      </b:Author>
    </b:Author>
    <b:RefOrder>17</b:RefOrder>
  </b:Source>
  <b:Source>
    <b:Tag>Hem09</b:Tag>
    <b:SourceType>JournalArticle</b:SourceType>
    <b:Guid>{4D789DF2-0E45-453C-9F9B-A78E803A8D49}</b:Guid>
    <b:Author>
      <b:Author>
        <b:NameList>
          <b:Person>
            <b:Last>Hemed</b:Last>
            <b:First>N.</b:First>
          </b:Person>
        </b:NameList>
      </b:Author>
    </b:Author>
    <b:Title>Factors affecting the adoption of Islamic Banking in Kenya by Banks</b:Title>
    <b:JournalName>United States International University Library, Nairobi</b:JournalName>
    <b:Year>2009</b:Year>
    <b:RefOrder>18</b:RefOrder>
  </b:Source>
  <b:Source>
    <b:Tag>Kaa16</b:Tag>
    <b:SourceType>JournalArticle</b:SourceType>
    <b:Guid>{2BD5B7A4-D02C-4A07-9010-78FB5FAE7F33}</b:Guid>
    <b:Author>
      <b:Author>
        <b:NameList>
          <b:Person>
            <b:Last>Kaabachi</b:Last>
            <b:First>S.,</b:First>
            <b:Middle>Kaabachi, S., Obeid, H., &amp; Obeid, H.</b:Middle>
          </b:Person>
        </b:NameList>
      </b:Author>
    </b:Author>
    <b:Title>Determinants of Islamic banking adoption in Tunisia: empirical analysis.</b:Title>
    <b:JournalName> International Journal of Bank Marketing</b:JournalName>
    <b:Year>2016</b:Year>
    <b:Pages>34(7), 1069-1091.</b:Pages>
    <b:RefOrder>19</b:RefOrder>
  </b:Source>
  <b:Source>
    <b:Tag>MOH13</b:Tag>
    <b:SourceType>JournalArticle</b:SourceType>
    <b:Guid>{2F9C1B30-B1CC-4A2D-989D-E494315B3851}</b:Guid>
    <b:Author>
      <b:Author>
        <b:NameList>
          <b:Person>
            <b:Last>KASMANI</b:Last>
            <b:First>MOHAMED</b:First>
            <b:Middle>RIZWAN</b:Middle>
          </b:Person>
        </b:NameList>
      </b:Author>
    </b:Author>
    <b:Title>FACTORS INFLUENCING THE GROWTH OF ISLAMIC BANKS IN KENYA</b:Title>
    <b:JournalName>UNITED STATES INTERNATIONAL UNIVERSITY</b:JournalName>
    <b:Year>2013</b:Year>
    <b:RefOrder>3</b:RefOrder>
  </b:Source>
  <b:Source>
    <b:Tag>Alh15</b:Tag>
    <b:SourceType>JournalArticle</b:SourceType>
    <b:Guid>{BE453080-F825-4366-9D79-7009617912CD}</b:Guid>
    <b:Author>
      <b:Author>
        <b:NameList>
          <b:Person>
            <b:Last>Ahmad</b:Last>
            <b:First>Alharbi</b:First>
          </b:Person>
        </b:NameList>
      </b:Author>
    </b:Author>
    <b:Title>Development of Islamic Banking System</b:Title>
    <b:JournalName>Journal of Islamic Banking and Finance</b:JournalName>
    <b:Year>2015</b:Year>
    <b:Pages>vol 13, pp12-25; pp12.</b:Pages>
    <b:RefOrder>20</b:RefOrder>
  </b:Source>
  <b:Source>
    <b:Tag>Iqb05</b:Tag>
    <b:SourceType>JournalArticle</b:SourceType>
    <b:Guid>{53BA5696-96F7-461A-8615-C29F7553EB1E}</b:Guid>
    <b:Author>
      <b:Author>
        <b:NameList>
          <b:Person>
            <b:Last>Iqbal Munawar and Molyneux Philip</b:Last>
            <b:First>,</b:First>
          </b:Person>
        </b:NameList>
      </b:Author>
    </b:Author>
    <b:Title> Thirty years of Islamic Banking: History, Performance and Prospects</b:Title>
    <b:JournalName>Palgrave Macmillan, London, UK</b:JournalName>
    <b:Year>2005</b:Year>
    <b:Pages>PP;37.</b:Pages>
    <b:RefOrder>21</b:RefOrder>
  </b:Source>
  <b:Source>
    <b:Tag>Mon13</b:Tag>
    <b:SourceType>Book</b:SourceType>
    <b:Guid>{E7B481B4-7572-401A-8DC2-A1DA75AABFA1}</b:Guid>
    <b:Author>
      <b:Author>
        <b:NameList>
          <b:Person>
            <b:Last>Kahf</b:Last>
            <b:First>Monzer</b:First>
          </b:Person>
        </b:NameList>
      </b:Author>
    </b:Author>
    <b:Title>Islamic Finance Contracts</b:Title>
    <b:Year>2013</b:Year>
    <b:City>California, USA</b:City>
    <b:RefOrder>22</b:RefOrder>
  </b:Source>
  <b:Source>
    <b:Tag>Glo13</b:Tag>
    <b:SourceType>InternetSite</b:SourceType>
    <b:Guid>{86EF121D-52FE-40E7-ABE3-8F77B1496B8C}</b:Guid>
    <b:Title>Global Banking and Finance unit</b:Title>
    <b:Year>2013</b:Year>
    <b:Month>April</b:Month>
    <b:Day>04</b:Day>
    <b:InternetSiteTitle>https://www.globalbankingandfinance.com/list-of-islamic-banks-in-kenya/</b:InternetSiteTitle>
    <b:RefOrder>23</b:RefOrder>
  </b:Source>
  <b:Source>
    <b:Tag>Gul17</b:Tag>
    <b:SourceType>InternetSite</b:SourceType>
    <b:Guid>{8FB2499B-9B0E-4476-94AA-2346436F8050}</b:Guid>
    <b:Title>Gulf African Bank</b:Title>
    <b:Year>2017</b:Year>
    <b:Author>
      <b:Author>
        <b:NameList>
          <b:Person>
            <b:Last>Bank</b:Last>
            <b:First>Gulf</b:First>
            <b:Middle>African</b:Middle>
          </b:Person>
        </b:NameList>
      </b:Author>
    </b:Author>
    <b:InternetSiteTitle>www.gulfafricanbank.com/index.php/support-center/contact-us/locate-us</b:InternetSiteTitle>
    <b:RefOrder>24</b:RefOrder>
  </b:Source>
  <b:Source>
    <b:Tag>Fir</b:Tag>
    <b:SourceType>InternetSite</b:SourceType>
    <b:Guid>{1BED9CC3-9625-4A69-B3F7-BE97C06B7211}</b:Guid>
    <b:Author>
      <b:Author>
        <b:NameList>
          <b:Person>
            <b:Last>Bank</b:Last>
            <b:First>First</b:First>
            <b:Middle>Community</b:Middle>
          </b:Person>
        </b:NameList>
      </b:Author>
    </b:Author>
    <b:Title>First Community Bank</b:Title>
    <b:InternetSiteTitle>https://www.firstcommunitybank.co.ke/locations</b:InternetSiteTitle>
    <b:RefOrder>25</b:RefOrder>
  </b:Source>
  <b:Source>
    <b:Tag>Glo10</b:Tag>
    <b:SourceType>JournalArticle</b:SourceType>
    <b:Guid>{F5F416C6-2C61-4DF4-984F-D4006E7B9C43}</b:Guid>
    <b:Author>
      <b:Author>
        <b:NameList>
          <b:Person>
            <b:Last>Report</b:Last>
            <b:First>Global</b:First>
            <b:Middle>Islamic Finance</b:Middle>
          </b:Person>
        </b:NameList>
      </b:Author>
    </b:Author>
    <b:Title>Islamic Banking in Africa</b:Title>
    <b:Year>2010</b:Year>
    <b:JournalName>www.gifr.net/gifr2010/contents/ch_23.pdf</b:JournalName>
    <b:RefOrder>26</b:RefOrder>
  </b:Source>
  <b:Source>
    <b:Tag>Mon15</b:Tag>
    <b:SourceType>Book</b:SourceType>
    <b:Guid>{CE8FBC55-B1B0-4A37-91D3-1EC68714AA75}</b:Guid>
    <b:Author>
      <b:Author>
        <b:NameList>
          <b:Person>
            <b:Last>Kahf</b:Last>
            <b:First>Monzer</b:First>
          </b:Person>
        </b:NameList>
      </b:Author>
    </b:Author>
    <b:Title>Islamic Finance Contracts</b:Title>
    <b:Year>2015</b:Year>
    <b:City>California</b:City>
    <b:RefOrder>27</b:RefOrder>
  </b:Source>
  <b:Source>
    <b:Tag>Ken171</b:Tag>
    <b:SourceType>Report</b:SourceType>
    <b:Guid>{7D6C0499-335F-474F-929F-AB0AC9210C93}</b:Guid>
    <b:Title>Kenya Economic Outlook, Joining the dots</b:Title>
    <b:Year>2017</b:Year>
    <b:City>Nairobi</b:City>
    <b:Publisher>Deloitte</b:Publisher>
    <b:RefOrder>28</b:RefOrder>
  </b:Source>
  <b:Source>
    <b:Tag>Nor14</b:Tag>
    <b:SourceType>JournalArticle</b:SourceType>
    <b:Guid>{7601EFDB-5E8F-4A70-9A80-0A41B667525A}</b:Guid>
    <b:Title>EFFECT OF ISLAMIC BANKING ON FINANCIAL PERFORMANCE OF COMMERCIAL BANKS IN KENYA </b:Title>
    <b:Year>2014</b:Year>
    <b:Author>
      <b:Author>
        <b:NameList>
          <b:Person>
            <b:Last>Talam</b:Last>
            <b:First>Norbert</b:First>
            <b:Middle>Kimutai</b:Middle>
          </b:Person>
        </b:NameList>
      </b:Author>
    </b:Author>
    <b:JournalName>SCHOOL OF BUSINESS, UNIVERSITY OF NAIROBI </b:JournalName>
    <b:RefOrder>29</b:RefOrder>
  </b:Source>
  <b:Source>
    <b:Tag>ISL24</b:Tag>
    <b:SourceType>Report</b:SourceType>
    <b:Guid>{9C50331A-B8A0-4EC0-9291-F629885378D7}</b:Guid>
    <b:Author>
      <b:Author>
        <b:Corporate>ISLAMIC FINANCIAL SERVICES BOARD</b:Corporate>
      </b:Author>
    </b:Author>
    <b:Title>ISLAMIC FINANCIAL SERVICES INDUSTRY STABILITY REPORT</b:Title>
    <b:Year>2024</b:Year>
    <b:Publisher> Islamic Financial Services Board</b:Publisher>
    <b:City>Malaysia</b:City>
    <b:RefOrder>1</b:RefOrder>
  </b:Source>
</b:Sources>
</file>

<file path=customXml/itemProps1.xml><?xml version="1.0" encoding="utf-8"?>
<ds:datastoreItem xmlns:ds="http://schemas.openxmlformats.org/officeDocument/2006/customXml" ds:itemID="{94069C2D-095E-4563-9966-930C72DC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7</Pages>
  <Words>4354</Words>
  <Characters>24823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cp:lastModifiedBy>
  <cp:revision>2</cp:revision>
  <cp:lastPrinted>1999-07-06T11:00:00Z</cp:lastPrinted>
  <dcterms:created xsi:type="dcterms:W3CDTF">2025-05-07T10:38:00Z</dcterms:created>
  <dcterms:modified xsi:type="dcterms:W3CDTF">2025-05-07T10:38:00Z</dcterms:modified>
</cp:coreProperties>
</file>