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067D" w14:textId="6A428BB3" w:rsidR="002B4CA4" w:rsidRPr="007C6A1B" w:rsidRDefault="00EC7AF6" w:rsidP="000551DE">
      <w:pPr>
        <w:spacing w:before="120" w:after="0" w:line="240" w:lineRule="auto"/>
        <w:contextualSpacing/>
        <w:jc w:val="center"/>
        <w:rPr>
          <w:rFonts w:ascii="Georgia" w:hAnsi="Georgia"/>
          <w:b/>
          <w:bCs/>
          <w:sz w:val="28"/>
          <w:szCs w:val="28"/>
        </w:rPr>
      </w:pPr>
      <w:r w:rsidRPr="007C6A1B">
        <w:rPr>
          <w:rFonts w:ascii="Georgia" w:hAnsi="Georgia"/>
          <w:b/>
          <w:bCs/>
          <w:sz w:val="28"/>
          <w:szCs w:val="28"/>
        </w:rPr>
        <w:t>Assessing the Effects of Credit Risk Identification on Lending Performance of Commercial Banks in Kenya</w:t>
      </w:r>
    </w:p>
    <w:p w14:paraId="73E0F043" w14:textId="77777777" w:rsidR="005B0F71" w:rsidRPr="007C6A1B" w:rsidRDefault="005B0F71" w:rsidP="000551DE">
      <w:pPr>
        <w:spacing w:before="120" w:after="0" w:line="240" w:lineRule="auto"/>
        <w:contextualSpacing/>
        <w:jc w:val="center"/>
        <w:rPr>
          <w:rFonts w:ascii="Georgia" w:hAnsi="Georgia"/>
          <w:b/>
          <w:bCs/>
          <w:sz w:val="28"/>
          <w:szCs w:val="28"/>
        </w:rPr>
      </w:pPr>
    </w:p>
    <w:p w14:paraId="77256224" w14:textId="77777777" w:rsidR="005B0F71" w:rsidRDefault="005B0F71" w:rsidP="000551DE">
      <w:pPr>
        <w:spacing w:before="120" w:after="0" w:line="240" w:lineRule="auto"/>
        <w:contextualSpacing/>
        <w:jc w:val="center"/>
        <w:rPr>
          <w:rFonts w:ascii="Georgia" w:hAnsi="Georgia"/>
          <w:b/>
          <w:bCs/>
          <w:sz w:val="24"/>
          <w:szCs w:val="24"/>
        </w:rPr>
      </w:pPr>
    </w:p>
    <w:p w14:paraId="1EEE6216" w14:textId="4E4A1C81" w:rsidR="00DE1C34" w:rsidRDefault="00DE1C34" w:rsidP="000551DE">
      <w:pPr>
        <w:spacing w:before="120" w:after="0" w:line="240" w:lineRule="auto"/>
        <w:contextualSpacing/>
        <w:jc w:val="center"/>
        <w:rPr>
          <w:rFonts w:ascii="Georgia" w:hAnsi="Georgia"/>
          <w:sz w:val="28"/>
          <w:szCs w:val="28"/>
        </w:rPr>
      </w:pPr>
    </w:p>
    <w:p w14:paraId="0C3452C3" w14:textId="77777777" w:rsidR="007579E9" w:rsidRPr="007C6A1B" w:rsidRDefault="007579E9" w:rsidP="000551DE">
      <w:pPr>
        <w:spacing w:before="120" w:after="0" w:line="240" w:lineRule="auto"/>
        <w:contextualSpacing/>
        <w:jc w:val="center"/>
        <w:rPr>
          <w:rFonts w:ascii="Georgia" w:hAnsi="Georgia"/>
          <w:sz w:val="28"/>
          <w:szCs w:val="28"/>
        </w:rPr>
      </w:pPr>
    </w:p>
    <w:p w14:paraId="68CB803E" w14:textId="77777777" w:rsidR="005F6D45" w:rsidRPr="000551DE" w:rsidRDefault="005F6D45" w:rsidP="000551DE">
      <w:pPr>
        <w:spacing w:before="120" w:after="0" w:line="240" w:lineRule="auto"/>
        <w:contextualSpacing/>
        <w:jc w:val="center"/>
        <w:rPr>
          <w:rFonts w:ascii="Georgia" w:hAnsi="Georgia"/>
          <w:b/>
          <w:bCs/>
          <w:sz w:val="24"/>
          <w:szCs w:val="24"/>
        </w:rPr>
      </w:pPr>
    </w:p>
    <w:p w14:paraId="0198B470" w14:textId="65ACA693" w:rsidR="002B4CA4" w:rsidRDefault="00E816D2" w:rsidP="000551DE">
      <w:pPr>
        <w:spacing w:before="120" w:after="0" w:line="240" w:lineRule="auto"/>
        <w:contextualSpacing/>
        <w:rPr>
          <w:rFonts w:ascii="Georgia" w:hAnsi="Georgia"/>
          <w:b/>
          <w:bCs/>
          <w:sz w:val="24"/>
          <w:szCs w:val="24"/>
        </w:rPr>
      </w:pPr>
      <w:r w:rsidRPr="00577721">
        <w:rPr>
          <w:rFonts w:ascii="Georgia" w:hAnsi="Georgia"/>
          <w:b/>
          <w:bCs/>
          <w:sz w:val="24"/>
          <w:szCs w:val="24"/>
        </w:rPr>
        <w:t>Abstract</w:t>
      </w:r>
    </w:p>
    <w:p w14:paraId="5460DBF6" w14:textId="77777777" w:rsidR="00565379" w:rsidRPr="00577721" w:rsidRDefault="00565379" w:rsidP="000551DE">
      <w:pPr>
        <w:spacing w:before="120" w:after="0" w:line="240" w:lineRule="auto"/>
        <w:contextualSpacing/>
        <w:rPr>
          <w:rFonts w:ascii="Georgia" w:hAnsi="Georgia"/>
          <w:b/>
          <w:bCs/>
          <w:sz w:val="24"/>
          <w:szCs w:val="24"/>
        </w:rPr>
      </w:pPr>
    </w:p>
    <w:p w14:paraId="22867087" w14:textId="55CD2E4E" w:rsidR="005C3CB8" w:rsidRPr="005C3CB8" w:rsidRDefault="005D342B" w:rsidP="005C3CB8">
      <w:pPr>
        <w:jc w:val="both"/>
        <w:rPr>
          <w:rFonts w:ascii="Georgia" w:hAnsi="Georgia"/>
          <w:i/>
          <w:iCs/>
          <w:sz w:val="24"/>
          <w:szCs w:val="24"/>
        </w:rPr>
      </w:pPr>
      <w:r w:rsidRPr="005C3CB8">
        <w:rPr>
          <w:rFonts w:ascii="Georgia" w:hAnsi="Georgia"/>
          <w:i/>
          <w:iCs/>
          <w:sz w:val="24"/>
          <w:szCs w:val="24"/>
        </w:rPr>
        <w:t xml:space="preserve">Credit risk presents a significant threat to commercial banks, a situation that is particularly evident in Kenya. Given the critical role the banking sector plays in any economy, effective management of credit risk is essential. </w:t>
      </w:r>
      <w:r w:rsidR="00593AA7" w:rsidRPr="005C3CB8">
        <w:rPr>
          <w:rFonts w:ascii="Georgia" w:hAnsi="Georgia"/>
          <w:i/>
          <w:iCs/>
          <w:sz w:val="24"/>
          <w:szCs w:val="24"/>
        </w:rPr>
        <w:t>Credit</w:t>
      </w:r>
      <w:r w:rsidRPr="005C3CB8">
        <w:rPr>
          <w:rFonts w:ascii="Georgia" w:hAnsi="Georgia"/>
          <w:i/>
          <w:iCs/>
          <w:sz w:val="24"/>
          <w:szCs w:val="24"/>
        </w:rPr>
        <w:t xml:space="preserve"> risk accounts for more than 50</w:t>
      </w:r>
      <w:r w:rsidR="005C3CB8">
        <w:rPr>
          <w:rFonts w:ascii="Georgia" w:hAnsi="Georgia"/>
          <w:i/>
          <w:iCs/>
          <w:sz w:val="24"/>
          <w:szCs w:val="24"/>
        </w:rPr>
        <w:t xml:space="preserve"> per cent</w:t>
      </w:r>
      <w:r w:rsidRPr="005C3CB8">
        <w:rPr>
          <w:rFonts w:ascii="Georgia" w:hAnsi="Georgia"/>
          <w:i/>
          <w:iCs/>
          <w:sz w:val="24"/>
          <w:szCs w:val="24"/>
        </w:rPr>
        <w:t xml:space="preserve"> of the total risk faced by commercial banks. Over the years, banks in Kenya have encountered various challenges related to credit risk, which have impacted their lending performance. Therefore, it is crucial to identify credit risk effectively to ensure that lending performance remains stable.</w:t>
      </w:r>
      <w:r w:rsidR="005C3CB8">
        <w:rPr>
          <w:rFonts w:ascii="Georgia" w:hAnsi="Georgia"/>
          <w:i/>
          <w:iCs/>
          <w:sz w:val="24"/>
          <w:szCs w:val="24"/>
        </w:rPr>
        <w:t xml:space="preserve"> </w:t>
      </w:r>
      <w:r w:rsidRPr="005C3CB8">
        <w:rPr>
          <w:rFonts w:ascii="Georgia" w:hAnsi="Georgia"/>
          <w:i/>
          <w:iCs/>
          <w:sz w:val="24"/>
          <w:szCs w:val="24"/>
        </w:rPr>
        <w:t xml:space="preserve">This study aimed to evaluate the impact of credit risk identification on the lending performance of commercial banks. Data was collected </w:t>
      </w:r>
      <w:r w:rsidR="00E10F70" w:rsidRPr="005C3CB8">
        <w:rPr>
          <w:rFonts w:ascii="Georgia" w:hAnsi="Georgia"/>
          <w:i/>
          <w:iCs/>
          <w:sz w:val="24"/>
          <w:szCs w:val="24"/>
        </w:rPr>
        <w:t xml:space="preserve">in 2019 </w:t>
      </w:r>
      <w:r w:rsidRPr="005C3CB8">
        <w:rPr>
          <w:rFonts w:ascii="Georgia" w:hAnsi="Georgia"/>
          <w:i/>
          <w:iCs/>
          <w:sz w:val="24"/>
          <w:szCs w:val="24"/>
        </w:rPr>
        <w:t xml:space="preserve">from 42 </w:t>
      </w:r>
      <w:r w:rsidR="00E10F70" w:rsidRPr="005C3CB8">
        <w:rPr>
          <w:rFonts w:ascii="Georgia" w:hAnsi="Georgia"/>
          <w:i/>
          <w:iCs/>
          <w:sz w:val="24"/>
          <w:szCs w:val="24"/>
        </w:rPr>
        <w:t>commercial banks</w:t>
      </w:r>
      <w:r w:rsidRPr="005C3CB8">
        <w:rPr>
          <w:rFonts w:ascii="Georgia" w:hAnsi="Georgia"/>
          <w:i/>
          <w:iCs/>
          <w:sz w:val="24"/>
          <w:szCs w:val="24"/>
        </w:rPr>
        <w:t xml:space="preserve"> in </w:t>
      </w:r>
      <w:r w:rsidR="00E10F70" w:rsidRPr="005C3CB8">
        <w:rPr>
          <w:rFonts w:ascii="Georgia" w:hAnsi="Georgia"/>
          <w:i/>
          <w:iCs/>
          <w:sz w:val="24"/>
          <w:szCs w:val="24"/>
        </w:rPr>
        <w:t>Kenya</w:t>
      </w:r>
      <w:r w:rsidRPr="005C3CB8">
        <w:rPr>
          <w:rFonts w:ascii="Georgia" w:hAnsi="Georgia"/>
          <w:i/>
          <w:iCs/>
          <w:sz w:val="24"/>
          <w:szCs w:val="24"/>
        </w:rPr>
        <w:t xml:space="preserve">. The results showed that credit risk identification has a significant effect on the lending performance of commercial banks in Kenya. Specifically, having systems that support the identification of credit risk was found to be essential. Additionally, the banks' ability to </w:t>
      </w:r>
      <w:r w:rsidR="00C837F2" w:rsidRPr="005C3CB8">
        <w:rPr>
          <w:rFonts w:ascii="Georgia" w:hAnsi="Georgia"/>
          <w:i/>
          <w:iCs/>
          <w:sz w:val="24"/>
          <w:szCs w:val="24"/>
        </w:rPr>
        <w:t>analyse</w:t>
      </w:r>
      <w:r w:rsidRPr="005C3CB8">
        <w:rPr>
          <w:rFonts w:ascii="Georgia" w:hAnsi="Georgia"/>
          <w:i/>
          <w:iCs/>
          <w:sz w:val="24"/>
          <w:szCs w:val="24"/>
        </w:rPr>
        <w:t xml:space="preserve"> borrowers' sources of funds to assess their loan repayment capacity is vital. Furthermore, having internal guidelines for conducting credit risk identification also significantly influences lending performance.</w:t>
      </w:r>
      <w:r w:rsidR="005C3CB8">
        <w:rPr>
          <w:rFonts w:ascii="Georgia" w:hAnsi="Georgia"/>
          <w:i/>
          <w:iCs/>
          <w:sz w:val="24"/>
          <w:szCs w:val="24"/>
        </w:rPr>
        <w:t xml:space="preserve"> </w:t>
      </w:r>
      <w:r w:rsidRPr="005C3CB8">
        <w:rPr>
          <w:rFonts w:ascii="Georgia" w:hAnsi="Georgia"/>
          <w:i/>
          <w:iCs/>
          <w:sz w:val="24"/>
          <w:szCs w:val="24"/>
        </w:rPr>
        <w:t xml:space="preserve">Based on these findings, the study recommends that commercial banks implement </w:t>
      </w:r>
      <w:r w:rsidR="00AA3F18" w:rsidRPr="005C3CB8">
        <w:rPr>
          <w:rFonts w:ascii="Georgia" w:hAnsi="Georgia"/>
          <w:i/>
          <w:iCs/>
          <w:sz w:val="24"/>
          <w:szCs w:val="24"/>
        </w:rPr>
        <w:t xml:space="preserve">robust </w:t>
      </w:r>
      <w:r w:rsidR="00394CF0" w:rsidRPr="005C3CB8">
        <w:rPr>
          <w:rFonts w:ascii="Georgia" w:hAnsi="Georgia"/>
          <w:i/>
          <w:iCs/>
          <w:sz w:val="24"/>
          <w:szCs w:val="24"/>
        </w:rPr>
        <w:t xml:space="preserve">technology </w:t>
      </w:r>
      <w:r w:rsidRPr="005C3CB8">
        <w:rPr>
          <w:rFonts w:ascii="Georgia" w:hAnsi="Georgia"/>
          <w:i/>
          <w:iCs/>
          <w:sz w:val="24"/>
          <w:szCs w:val="24"/>
        </w:rPr>
        <w:t>systems to support effective credit risk identification and adopt various methods for evaluating borrowers' repayment ability. This approach will enhance loan repayment capacity and reduce the risk of defaults.</w:t>
      </w:r>
      <w:r w:rsidR="005C3CB8" w:rsidRPr="005C3CB8">
        <w:rPr>
          <w:rFonts w:ascii="Georgia" w:hAnsi="Georgia"/>
          <w:i/>
          <w:iCs/>
          <w:sz w:val="24"/>
          <w:szCs w:val="24"/>
        </w:rPr>
        <w:t xml:space="preserve"> </w:t>
      </w:r>
    </w:p>
    <w:p w14:paraId="4AD1A8B8" w14:textId="0FF41997" w:rsidR="00227709" w:rsidRPr="00170EAC" w:rsidRDefault="00E816D2" w:rsidP="005D342B">
      <w:pPr>
        <w:rPr>
          <w:i/>
          <w:iCs/>
        </w:rPr>
      </w:pPr>
      <w:r w:rsidRPr="00170EAC">
        <w:rPr>
          <w:rFonts w:ascii="Georgia" w:hAnsi="Georgia"/>
          <w:b/>
          <w:bCs/>
          <w:i/>
          <w:iCs/>
          <w:sz w:val="24"/>
          <w:szCs w:val="24"/>
        </w:rPr>
        <w:t>Keywords</w:t>
      </w:r>
      <w:r w:rsidR="00227709" w:rsidRPr="00170EAC">
        <w:rPr>
          <w:rFonts w:ascii="Georgia" w:hAnsi="Georgia"/>
          <w:b/>
          <w:bCs/>
          <w:i/>
          <w:iCs/>
          <w:sz w:val="24"/>
          <w:szCs w:val="24"/>
        </w:rPr>
        <w:t xml:space="preserve">: </w:t>
      </w:r>
      <w:r w:rsidR="00170EAC" w:rsidRPr="00170EAC">
        <w:rPr>
          <w:rFonts w:ascii="Georgia" w:hAnsi="Georgia"/>
          <w:b/>
          <w:bCs/>
          <w:i/>
          <w:iCs/>
          <w:sz w:val="24"/>
          <w:szCs w:val="24"/>
        </w:rPr>
        <w:t xml:space="preserve">Credit Risk, Risk Identification, Lending Performance </w:t>
      </w:r>
    </w:p>
    <w:p w14:paraId="6678D883" w14:textId="77777777" w:rsidR="00394CF0" w:rsidRDefault="00394CF0" w:rsidP="00593AA7">
      <w:pPr>
        <w:spacing w:before="120" w:after="0" w:line="240" w:lineRule="auto"/>
        <w:contextualSpacing/>
        <w:rPr>
          <w:rFonts w:ascii="Georgia" w:hAnsi="Georgia"/>
          <w:b/>
          <w:bCs/>
          <w:sz w:val="24"/>
          <w:szCs w:val="24"/>
        </w:rPr>
      </w:pPr>
    </w:p>
    <w:p w14:paraId="14AD32C8" w14:textId="7C94C78D" w:rsidR="002B4CA4" w:rsidRPr="00862D68" w:rsidRDefault="002B4CA4" w:rsidP="00862D68">
      <w:pPr>
        <w:pStyle w:val="ListParagraph"/>
        <w:numPr>
          <w:ilvl w:val="0"/>
          <w:numId w:val="21"/>
        </w:numPr>
        <w:autoSpaceDE w:val="0"/>
        <w:autoSpaceDN w:val="0"/>
        <w:adjustRightInd w:val="0"/>
        <w:spacing w:before="120" w:after="0" w:line="240" w:lineRule="auto"/>
        <w:jc w:val="both"/>
        <w:rPr>
          <w:rFonts w:ascii="Georgia" w:hAnsi="Georgia"/>
          <w:b/>
          <w:bCs/>
          <w:sz w:val="24"/>
          <w:szCs w:val="24"/>
          <w:lang w:val="en-GB"/>
        </w:rPr>
      </w:pPr>
      <w:commentRangeStart w:id="0"/>
      <w:r w:rsidRPr="00862D68">
        <w:rPr>
          <w:rFonts w:ascii="Georgia" w:hAnsi="Georgia"/>
          <w:b/>
          <w:bCs/>
          <w:sz w:val="24"/>
          <w:szCs w:val="24"/>
          <w:lang w:val="en-GB"/>
        </w:rPr>
        <w:t>Introduction</w:t>
      </w:r>
      <w:commentRangeEnd w:id="0"/>
      <w:r w:rsidR="007607A7">
        <w:rPr>
          <w:rStyle w:val="CommentReference"/>
          <w:lang w:val="x-none" w:eastAsia="x-none"/>
        </w:rPr>
        <w:commentReference w:id="0"/>
      </w:r>
      <w:r w:rsidRPr="00862D68">
        <w:rPr>
          <w:rFonts w:ascii="Georgia" w:hAnsi="Georgia"/>
          <w:b/>
          <w:bCs/>
          <w:sz w:val="24"/>
          <w:szCs w:val="24"/>
          <w:lang w:val="en-GB"/>
        </w:rPr>
        <w:t xml:space="preserve"> </w:t>
      </w:r>
    </w:p>
    <w:p w14:paraId="3AE5EF5D" w14:textId="77777777" w:rsidR="0067525D" w:rsidRDefault="0067525D" w:rsidP="000551DE">
      <w:pPr>
        <w:pStyle w:val="Heading5"/>
        <w:spacing w:after="0" w:line="240" w:lineRule="auto"/>
        <w:contextualSpacing/>
        <w:jc w:val="both"/>
        <w:rPr>
          <w:rFonts w:ascii="Georgia" w:eastAsiaTheme="minorEastAsia" w:hAnsi="Georgia" w:cstheme="minorBidi"/>
          <w:b w:val="0"/>
          <w:bCs w:val="0"/>
          <w:iCs w:val="0"/>
          <w:kern w:val="2"/>
          <w:szCs w:val="24"/>
          <w:lang w:val="en-GB" w:eastAsia="zh-CN"/>
          <w14:ligatures w14:val="standardContextual"/>
        </w:rPr>
      </w:pPr>
      <w:r>
        <w:rPr>
          <w:rFonts w:ascii="Georgia" w:eastAsiaTheme="minorEastAsia" w:hAnsi="Georgia" w:cstheme="minorBidi"/>
          <w:b w:val="0"/>
          <w:bCs w:val="0"/>
          <w:iCs w:val="0"/>
          <w:kern w:val="2"/>
          <w:szCs w:val="24"/>
          <w:lang w:val="en-GB" w:eastAsia="zh-CN"/>
          <w14:ligatures w14:val="standardContextual"/>
        </w:rPr>
        <w:t>The banking industry has experienced significant challenges, with previously successful entities now announcing substantial losses attributed to credit risk (</w:t>
      </w:r>
      <w:proofErr w:type="spellStart"/>
      <w:r>
        <w:rPr>
          <w:rFonts w:ascii="Georgia" w:eastAsiaTheme="minorEastAsia" w:hAnsi="Georgia" w:cstheme="minorBidi"/>
          <w:b w:val="0"/>
          <w:bCs w:val="0"/>
          <w:iCs w:val="0"/>
          <w:kern w:val="2"/>
          <w:szCs w:val="24"/>
          <w:lang w:val="en-GB" w:eastAsia="zh-CN"/>
          <w14:ligatures w14:val="standardContextual"/>
        </w:rPr>
        <w:t>Mukhtarov</w:t>
      </w:r>
      <w:proofErr w:type="spellEnd"/>
      <w:r>
        <w:rPr>
          <w:rFonts w:ascii="Georgia" w:eastAsiaTheme="minorEastAsia" w:hAnsi="Georgia" w:cstheme="minorBidi"/>
          <w:b w:val="0"/>
          <w:bCs w:val="0"/>
          <w:iCs w:val="0"/>
          <w:kern w:val="2"/>
          <w:szCs w:val="24"/>
          <w:lang w:val="en-GB" w:eastAsia="zh-CN"/>
          <w14:ligatures w14:val="standardContextual"/>
        </w:rPr>
        <w:t xml:space="preserve">, </w:t>
      </w:r>
      <w:proofErr w:type="spellStart"/>
      <w:r>
        <w:rPr>
          <w:rFonts w:ascii="Georgia" w:eastAsiaTheme="minorEastAsia" w:hAnsi="Georgia" w:cstheme="minorBidi"/>
          <w:b w:val="0"/>
          <w:bCs w:val="0"/>
          <w:iCs w:val="0"/>
          <w:kern w:val="2"/>
          <w:szCs w:val="24"/>
          <w:lang w:val="en-GB" w:eastAsia="zh-CN"/>
          <w14:ligatures w14:val="standardContextual"/>
        </w:rPr>
        <w:t>Yuksel</w:t>
      </w:r>
      <w:proofErr w:type="spellEnd"/>
      <w:r>
        <w:rPr>
          <w:rFonts w:ascii="Georgia" w:eastAsiaTheme="minorEastAsia" w:hAnsi="Georgia" w:cstheme="minorBidi"/>
          <w:b w:val="0"/>
          <w:bCs w:val="0"/>
          <w:iCs w:val="0"/>
          <w:kern w:val="2"/>
          <w:szCs w:val="24"/>
          <w:lang w:val="en-GB" w:eastAsia="zh-CN"/>
          <w14:ligatures w14:val="standardContextual"/>
        </w:rPr>
        <w:t xml:space="preserve">, &amp; </w:t>
      </w:r>
      <w:proofErr w:type="spellStart"/>
      <w:r>
        <w:rPr>
          <w:rFonts w:ascii="Georgia" w:eastAsiaTheme="minorEastAsia" w:hAnsi="Georgia" w:cstheme="minorBidi"/>
          <w:b w:val="0"/>
          <w:bCs w:val="0"/>
          <w:iCs w:val="0"/>
          <w:kern w:val="2"/>
          <w:szCs w:val="24"/>
          <w:lang w:val="en-GB" w:eastAsia="zh-CN"/>
          <w14:ligatures w14:val="standardContextual"/>
        </w:rPr>
        <w:t>Mammadov</w:t>
      </w:r>
      <w:proofErr w:type="spellEnd"/>
      <w:r>
        <w:rPr>
          <w:rFonts w:ascii="Georgia" w:eastAsiaTheme="minorEastAsia" w:hAnsi="Georgia" w:cstheme="minorBidi"/>
          <w:b w:val="0"/>
          <w:bCs w:val="0"/>
          <w:iCs w:val="0"/>
          <w:kern w:val="2"/>
          <w:szCs w:val="24"/>
          <w:lang w:val="en-GB" w:eastAsia="zh-CN"/>
          <w14:ligatures w14:val="standardContextual"/>
        </w:rPr>
        <w:t>, 2018). Exposures to credit risk have negatively impacted lending practices, while interest rate positions and derivative exposures intended to mitigate this risk may not have been effective (</w:t>
      </w:r>
      <w:proofErr w:type="spellStart"/>
      <w:r>
        <w:rPr>
          <w:rFonts w:ascii="Georgia" w:eastAsiaTheme="minorEastAsia" w:hAnsi="Georgia" w:cstheme="minorBidi"/>
          <w:b w:val="0"/>
          <w:bCs w:val="0"/>
          <w:iCs w:val="0"/>
          <w:kern w:val="2"/>
          <w:szCs w:val="24"/>
          <w:lang w:val="en-GB" w:eastAsia="zh-CN"/>
          <w14:ligatures w14:val="standardContextual"/>
        </w:rPr>
        <w:t>Olusanya</w:t>
      </w:r>
      <w:proofErr w:type="spellEnd"/>
      <w:r>
        <w:rPr>
          <w:rFonts w:ascii="Georgia" w:eastAsiaTheme="minorEastAsia" w:hAnsi="Georgia" w:cstheme="minorBidi"/>
          <w:b w:val="0"/>
          <w:bCs w:val="0"/>
          <w:iCs w:val="0"/>
          <w:kern w:val="2"/>
          <w:szCs w:val="24"/>
          <w:lang w:val="en-GB" w:eastAsia="zh-CN"/>
          <w14:ligatures w14:val="standardContextual"/>
        </w:rPr>
        <w:t xml:space="preserve">, </w:t>
      </w:r>
      <w:proofErr w:type="spellStart"/>
      <w:r>
        <w:rPr>
          <w:rFonts w:ascii="Georgia" w:eastAsiaTheme="minorEastAsia" w:hAnsi="Georgia" w:cstheme="minorBidi"/>
          <w:b w:val="0"/>
          <w:bCs w:val="0"/>
          <w:iCs w:val="0"/>
          <w:kern w:val="2"/>
          <w:szCs w:val="24"/>
          <w:lang w:val="en-GB" w:eastAsia="zh-CN"/>
          <w14:ligatures w14:val="standardContextual"/>
        </w:rPr>
        <w:t>Oyebo</w:t>
      </w:r>
      <w:proofErr w:type="spellEnd"/>
      <w:r>
        <w:rPr>
          <w:rFonts w:ascii="Georgia" w:eastAsiaTheme="minorEastAsia" w:hAnsi="Georgia" w:cstheme="minorBidi"/>
          <w:b w:val="0"/>
          <w:bCs w:val="0"/>
          <w:iCs w:val="0"/>
          <w:kern w:val="2"/>
          <w:szCs w:val="24"/>
          <w:lang w:val="en-GB" w:eastAsia="zh-CN"/>
          <w14:ligatures w14:val="standardContextual"/>
        </w:rPr>
        <w:t xml:space="preserve"> &amp; </w:t>
      </w:r>
      <w:proofErr w:type="spellStart"/>
      <w:r>
        <w:rPr>
          <w:rFonts w:ascii="Georgia" w:eastAsiaTheme="minorEastAsia" w:hAnsi="Georgia" w:cstheme="minorBidi"/>
          <w:b w:val="0"/>
          <w:bCs w:val="0"/>
          <w:iCs w:val="0"/>
          <w:kern w:val="2"/>
          <w:szCs w:val="24"/>
          <w:lang w:val="en-GB" w:eastAsia="zh-CN"/>
          <w14:ligatures w14:val="standardContextual"/>
        </w:rPr>
        <w:t>Ohadebere</w:t>
      </w:r>
      <w:proofErr w:type="spellEnd"/>
      <w:r>
        <w:rPr>
          <w:rFonts w:ascii="Georgia" w:eastAsiaTheme="minorEastAsia" w:hAnsi="Georgia" w:cstheme="minorBidi"/>
          <w:b w:val="0"/>
          <w:bCs w:val="0"/>
          <w:iCs w:val="0"/>
          <w:kern w:val="2"/>
          <w:szCs w:val="24"/>
          <w:lang w:val="en-GB" w:eastAsia="zh-CN"/>
          <w14:ligatures w14:val="standardContextual"/>
        </w:rPr>
        <w:t>, 2012). In response to the effects of credit risk, commercial banks are improving their methods for identifying credit risk to protect themselves from potential defaults by borrowers (Zhong, 2013).</w:t>
      </w:r>
    </w:p>
    <w:p w14:paraId="3C1F356A" w14:textId="77777777" w:rsidR="0067525D" w:rsidRDefault="0067525D" w:rsidP="000551DE">
      <w:pPr>
        <w:pStyle w:val="Heading5"/>
        <w:spacing w:after="0" w:line="240" w:lineRule="auto"/>
        <w:contextualSpacing/>
        <w:jc w:val="both"/>
        <w:rPr>
          <w:rFonts w:ascii="Georgia" w:eastAsiaTheme="minorEastAsia" w:hAnsi="Georgia" w:cstheme="minorBidi"/>
          <w:b w:val="0"/>
          <w:bCs w:val="0"/>
          <w:iCs w:val="0"/>
          <w:kern w:val="2"/>
          <w:szCs w:val="24"/>
          <w:lang w:val="en-GB" w:eastAsia="zh-CN"/>
          <w14:ligatures w14:val="standardContextual"/>
        </w:rPr>
      </w:pPr>
    </w:p>
    <w:p w14:paraId="7A5E98EE" w14:textId="01B57B30" w:rsidR="002B4CA4" w:rsidRPr="000551DE" w:rsidRDefault="0067525D" w:rsidP="000551DE">
      <w:pPr>
        <w:pStyle w:val="Heading5"/>
        <w:spacing w:after="0" w:line="240" w:lineRule="auto"/>
        <w:contextualSpacing/>
        <w:jc w:val="both"/>
        <w:rPr>
          <w:rFonts w:ascii="Georgia" w:hAnsi="Georgia"/>
          <w:b w:val="0"/>
          <w:szCs w:val="24"/>
          <w:lang w:val="en-US"/>
        </w:rPr>
      </w:pPr>
      <w:r>
        <w:rPr>
          <w:rFonts w:ascii="Georgia" w:eastAsiaTheme="minorEastAsia" w:hAnsi="Georgia" w:cstheme="minorBidi"/>
          <w:b w:val="0"/>
          <w:bCs w:val="0"/>
          <w:iCs w:val="0"/>
          <w:kern w:val="2"/>
          <w:szCs w:val="24"/>
          <w:lang w:val="en-GB" w:eastAsia="zh-CN"/>
          <w14:ligatures w14:val="standardContextual"/>
        </w:rPr>
        <w:t xml:space="preserve">Banks aim to operate profitably while maintaining stability and pursuing growth and expansion. Over the last two decades, the banking sector </w:t>
      </w:r>
      <w:r w:rsidR="005F4139">
        <w:rPr>
          <w:rFonts w:ascii="Georgia" w:eastAsiaTheme="minorEastAsia" w:hAnsi="Georgia" w:cstheme="minorBidi"/>
          <w:b w:val="0"/>
          <w:bCs w:val="0"/>
          <w:iCs w:val="0"/>
          <w:kern w:val="2"/>
          <w:szCs w:val="24"/>
          <w:lang w:val="en-GB" w:eastAsia="zh-CN"/>
          <w14:ligatures w14:val="standardContextual"/>
        </w:rPr>
        <w:t>globally</w:t>
      </w:r>
      <w:r>
        <w:rPr>
          <w:rFonts w:ascii="Georgia" w:eastAsiaTheme="minorEastAsia" w:hAnsi="Georgia" w:cstheme="minorBidi"/>
          <w:b w:val="0"/>
          <w:bCs w:val="0"/>
          <w:iCs w:val="0"/>
          <w:kern w:val="2"/>
          <w:szCs w:val="24"/>
          <w:lang w:val="en-GB" w:eastAsia="zh-CN"/>
          <w14:ligatures w14:val="standardContextual"/>
        </w:rPr>
        <w:t xml:space="preserve"> has faced various challenges, including non-performing loans (NPLs), political interference, and fluctuations in interest rates, all of which threaten banks' stability (</w:t>
      </w:r>
      <w:proofErr w:type="spellStart"/>
      <w:r>
        <w:rPr>
          <w:rFonts w:ascii="Georgia" w:eastAsiaTheme="minorEastAsia" w:hAnsi="Georgia" w:cstheme="minorBidi"/>
          <w:b w:val="0"/>
          <w:bCs w:val="0"/>
          <w:iCs w:val="0"/>
          <w:kern w:val="2"/>
          <w:szCs w:val="24"/>
          <w:lang w:val="en-GB" w:eastAsia="zh-CN"/>
          <w14:ligatures w14:val="standardContextual"/>
        </w:rPr>
        <w:t>Santomero</w:t>
      </w:r>
      <w:proofErr w:type="spellEnd"/>
      <w:r>
        <w:rPr>
          <w:rFonts w:ascii="Georgia" w:eastAsiaTheme="minorEastAsia" w:hAnsi="Georgia" w:cstheme="minorBidi"/>
          <w:b w:val="0"/>
          <w:bCs w:val="0"/>
          <w:iCs w:val="0"/>
          <w:kern w:val="2"/>
          <w:szCs w:val="24"/>
          <w:lang w:val="en-GB" w:eastAsia="zh-CN"/>
          <w14:ligatures w14:val="standardContextual"/>
        </w:rPr>
        <w:t xml:space="preserve">, 2010). </w:t>
      </w:r>
      <w:proofErr w:type="spellStart"/>
      <w:r>
        <w:rPr>
          <w:rFonts w:ascii="Georgia" w:eastAsiaTheme="minorEastAsia" w:hAnsi="Georgia" w:cstheme="minorBidi"/>
          <w:b w:val="0"/>
          <w:bCs w:val="0"/>
          <w:iCs w:val="0"/>
          <w:kern w:val="2"/>
          <w:szCs w:val="24"/>
          <w:lang w:val="en-GB" w:eastAsia="zh-CN"/>
          <w14:ligatures w14:val="standardContextual"/>
        </w:rPr>
        <w:t>Shubhasis</w:t>
      </w:r>
      <w:proofErr w:type="spellEnd"/>
      <w:r>
        <w:rPr>
          <w:rFonts w:ascii="Georgia" w:eastAsiaTheme="minorEastAsia" w:hAnsi="Georgia" w:cstheme="minorBidi"/>
          <w:b w:val="0"/>
          <w:bCs w:val="0"/>
          <w:iCs w:val="0"/>
          <w:kern w:val="2"/>
          <w:szCs w:val="24"/>
          <w:lang w:val="en-GB" w:eastAsia="zh-CN"/>
          <w14:ligatures w14:val="standardContextual"/>
        </w:rPr>
        <w:t xml:space="preserve"> (2009) describes banks as “risk machines” that take on risks, transform them, and embed them in their products and services, highlighting the importance of risk identification for effective bank management. These challenges create uncertainties that can lead to adverse variations in profitability and result in losses, exposing commercial institutions to various risks, including credit, market, interest rate, liquidity, and operational risks.</w:t>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p>
    <w:p w14:paraId="399AFF99" w14:textId="429327FE" w:rsidR="00614A79" w:rsidRDefault="00614A79" w:rsidP="000551DE">
      <w:pPr>
        <w:spacing w:before="120" w:after="0" w:line="240" w:lineRule="auto"/>
        <w:contextualSpacing/>
        <w:jc w:val="both"/>
        <w:rPr>
          <w:rFonts w:ascii="Georgia" w:eastAsia="Times New Roman" w:hAnsi="Georgia" w:cs="Times New Roman"/>
          <w:bCs/>
          <w:iCs/>
          <w:kern w:val="0"/>
          <w:sz w:val="24"/>
          <w:szCs w:val="24"/>
          <w:lang w:val="x-none" w:eastAsia="x-none"/>
          <w14:ligatures w14:val="none"/>
        </w:rPr>
      </w:pPr>
      <w:r>
        <w:rPr>
          <w:rFonts w:ascii="Georgia" w:eastAsia="Times New Roman" w:hAnsi="Georgia" w:cs="Times New Roman"/>
          <w:bCs/>
          <w:iCs/>
          <w:kern w:val="0"/>
          <w:sz w:val="24"/>
          <w:szCs w:val="24"/>
          <w:lang w:val="x-none" w:eastAsia="x-none"/>
          <w14:ligatures w14:val="none"/>
        </w:rPr>
        <w:t>Credit is the primary source of revenue for commercial banks, especially in East Africa (Altenas, 2009). The likelihood of borrower default has increased, particularly for unsecured loans, making credit risk a significant concern for banks. The banking sector plays a crucial role in any economy, particularly in developing countries, highlighting the importance of effectively managing credit risks.</w:t>
      </w:r>
      <w:r w:rsidR="00CD0AC7">
        <w:rPr>
          <w:rFonts w:ascii="Georgia" w:eastAsia="Times New Roman" w:hAnsi="Georgia" w:cs="Times New Roman"/>
          <w:bCs/>
          <w:iCs/>
          <w:kern w:val="0"/>
          <w:sz w:val="24"/>
          <w:szCs w:val="24"/>
          <w:lang w:val="x-none" w:eastAsia="x-none"/>
          <w14:ligatures w14:val="none"/>
        </w:rPr>
        <w:t xml:space="preserve"> </w:t>
      </w:r>
      <w:r>
        <w:rPr>
          <w:rFonts w:ascii="Georgia" w:eastAsia="Times New Roman" w:hAnsi="Georgia" w:cs="Times New Roman"/>
          <w:bCs/>
          <w:iCs/>
          <w:kern w:val="0"/>
          <w:sz w:val="24"/>
          <w:szCs w:val="24"/>
          <w:lang w:val="x-none" w:eastAsia="x-none"/>
          <w14:ligatures w14:val="none"/>
        </w:rPr>
        <w:t>Banks issue loans with the expectation of receiving both interest and the principal amount back. A loan is considered active if both capital and interest are repaid according to the agreed terms (Harcourt, 2017). While lending can be a profitable activity due to the interest charged on borrowed money, it also poses challenges, primarily due to delays or defaults in repayments.</w:t>
      </w:r>
    </w:p>
    <w:p w14:paraId="30F1BF07" w14:textId="77777777" w:rsidR="00614A79" w:rsidRDefault="00614A79" w:rsidP="000551DE">
      <w:pPr>
        <w:spacing w:before="120" w:after="0" w:line="240" w:lineRule="auto"/>
        <w:contextualSpacing/>
        <w:jc w:val="both"/>
        <w:rPr>
          <w:rFonts w:ascii="Georgia" w:eastAsia="Times New Roman" w:hAnsi="Georgia" w:cs="Times New Roman"/>
          <w:bCs/>
          <w:iCs/>
          <w:kern w:val="0"/>
          <w:sz w:val="24"/>
          <w:szCs w:val="24"/>
          <w:lang w:val="x-none" w:eastAsia="x-none"/>
          <w14:ligatures w14:val="none"/>
        </w:rPr>
      </w:pPr>
    </w:p>
    <w:p w14:paraId="6A3E3C87" w14:textId="17C15DBB" w:rsidR="002B4CA4" w:rsidRPr="000551DE" w:rsidRDefault="00614A79" w:rsidP="000551DE">
      <w:pPr>
        <w:spacing w:before="120" w:after="0" w:line="240" w:lineRule="auto"/>
        <w:contextualSpacing/>
        <w:jc w:val="both"/>
        <w:rPr>
          <w:rFonts w:ascii="Georgia" w:hAnsi="Georgia"/>
          <w:sz w:val="24"/>
          <w:szCs w:val="24"/>
        </w:rPr>
      </w:pPr>
      <w:r>
        <w:rPr>
          <w:rFonts w:ascii="Georgia" w:eastAsia="Times New Roman" w:hAnsi="Georgia" w:cs="Times New Roman"/>
          <w:bCs/>
          <w:iCs/>
          <w:kern w:val="0"/>
          <w:sz w:val="24"/>
          <w:szCs w:val="24"/>
          <w:lang w:val="x-none" w:eastAsia="x-none"/>
          <w14:ligatures w14:val="none"/>
        </w:rPr>
        <w:t>For a bank to thrive and remain profitable, it must have a robust system in place for identifying credit risks to minimize borrower defaults. This system should ensure that borrowers can repay their loans on time. To enhance these measures, the Central Bank introduced a credit information-sharing platform. This initiative has allowed banks to extend more credit to productive sectors by reducing risks, thus creating employment opportunities and fostering wealth.</w:t>
      </w:r>
      <w:r w:rsidR="00CD0AC7">
        <w:rPr>
          <w:rFonts w:ascii="Georgia" w:eastAsia="Times New Roman" w:hAnsi="Georgia" w:cs="Times New Roman"/>
          <w:bCs/>
          <w:iCs/>
          <w:kern w:val="0"/>
          <w:sz w:val="24"/>
          <w:szCs w:val="24"/>
          <w:lang w:val="x-none" w:eastAsia="x-none"/>
          <w14:ligatures w14:val="none"/>
        </w:rPr>
        <w:t xml:space="preserve"> </w:t>
      </w:r>
      <w:r>
        <w:rPr>
          <w:rFonts w:ascii="Georgia" w:eastAsia="Times New Roman" w:hAnsi="Georgia" w:cs="Times New Roman"/>
          <w:bCs/>
          <w:iCs/>
          <w:kern w:val="0"/>
          <w:sz w:val="24"/>
          <w:szCs w:val="24"/>
          <w:lang w:val="x-none" w:eastAsia="x-none"/>
          <w14:ligatures w14:val="none"/>
        </w:rPr>
        <w:t>Through the Credit Reference Bureau, information sharing aims to monitor all potential borrowers, reduce credit risk, and develop information capital as a form of collateral. This approach also lowers the costs associated with information searches and helps mitigate credit risks (Gathigia, 2016).</w:t>
      </w:r>
    </w:p>
    <w:p w14:paraId="3B421923" w14:textId="77777777" w:rsidR="002B4CA4" w:rsidRPr="000551DE" w:rsidRDefault="002B4CA4" w:rsidP="000551DE">
      <w:pPr>
        <w:spacing w:before="120" w:after="0" w:line="240" w:lineRule="auto"/>
        <w:contextualSpacing/>
        <w:jc w:val="both"/>
        <w:rPr>
          <w:rFonts w:ascii="Georgia" w:hAnsi="Georgia"/>
          <w:sz w:val="24"/>
          <w:szCs w:val="24"/>
        </w:rPr>
      </w:pPr>
    </w:p>
    <w:p w14:paraId="29F9C02E" w14:textId="7B159BB4" w:rsidR="00CB74E7" w:rsidRDefault="00A222FF" w:rsidP="00C952F2">
      <w:pPr>
        <w:spacing w:before="120" w:after="0" w:line="240" w:lineRule="auto"/>
        <w:contextualSpacing/>
        <w:jc w:val="both"/>
        <w:rPr>
          <w:rFonts w:ascii="Georgia" w:hAnsi="Georgia"/>
          <w:sz w:val="24"/>
          <w:szCs w:val="24"/>
        </w:rPr>
      </w:pPr>
      <w:r>
        <w:rPr>
          <w:rFonts w:ascii="Georgia" w:hAnsi="Georgia"/>
          <w:sz w:val="24"/>
          <w:szCs w:val="24"/>
        </w:rPr>
        <w:t xml:space="preserve">Credit risk accounts for more than 50 percent of the total risk faced by commercial banks in Kenya. There has been a continuous series of failures in the banking sector, leading to increased anxiety about credit risk and negatively impacting lending performance (Moti, Masinde &amp; Galo, 2012). In 2016, three commercial banks in Kenya faced credit risk challenges and were placed under statutory receivership. This resulted in losses for depositors, while shareholders suffered from the depreciation of their investments. </w:t>
      </w:r>
      <w:r w:rsidR="00295EF4">
        <w:rPr>
          <w:rFonts w:ascii="Georgia" w:hAnsi="Georgia"/>
          <w:sz w:val="24"/>
          <w:szCs w:val="24"/>
        </w:rPr>
        <w:t xml:space="preserve"> </w:t>
      </w:r>
      <w:r>
        <w:rPr>
          <w:rFonts w:ascii="Georgia" w:hAnsi="Georgia"/>
          <w:sz w:val="24"/>
          <w:szCs w:val="24"/>
        </w:rPr>
        <w:t>In response, the Central Bank of Kenya (CBK) implemented a new directive on the management of non-performing loans, intensifying the pressure on banks and further affecting their lending performance. Additionally, the introduction of interest rate capping exacerbated the credit risk situation, exposing commercial banks to even greater risks. Consequently, this hindered access to credit for many borrowers, particularly in the Small and Medium Enterprises (SME) and private sectors, ultimately contributing to a slowdown in the country's economic growth (CBK, 2016).</w:t>
      </w:r>
    </w:p>
    <w:p w14:paraId="76570488" w14:textId="77777777" w:rsidR="00CB74E7" w:rsidRDefault="00CB74E7" w:rsidP="00C952F2">
      <w:pPr>
        <w:spacing w:before="120" w:after="0" w:line="240" w:lineRule="auto"/>
        <w:contextualSpacing/>
        <w:jc w:val="both"/>
        <w:rPr>
          <w:rFonts w:ascii="Georgia" w:hAnsi="Georgia"/>
          <w:sz w:val="24"/>
          <w:szCs w:val="24"/>
        </w:rPr>
      </w:pPr>
    </w:p>
    <w:p w14:paraId="34892021" w14:textId="18F55751" w:rsidR="00285895" w:rsidRDefault="00733796" w:rsidP="000551DE">
      <w:pPr>
        <w:spacing w:before="120" w:after="0" w:line="240" w:lineRule="auto"/>
        <w:contextualSpacing/>
        <w:jc w:val="both"/>
        <w:rPr>
          <w:rFonts w:ascii="Georgia" w:hAnsi="Georgia"/>
          <w:sz w:val="24"/>
          <w:szCs w:val="24"/>
        </w:rPr>
      </w:pPr>
      <w:r>
        <w:rPr>
          <w:rFonts w:ascii="Georgia" w:hAnsi="Georgia"/>
          <w:sz w:val="24"/>
          <w:szCs w:val="24"/>
        </w:rPr>
        <w:t>Previous studies on risk management in Kenya, such as those by Mumbi (2017), Kithinji (2010), and Mwaura (2010), have not addressed the issue of credit risk identification in relation to lending performance. Given that lending is the core business of every commercial bank, it is essential to fill this gap left by previous research. Therefore, the objective of this study is to assess the effect of credit risk identification on the lending performance of commercial banks in Kenya. The study hypothesizes that there is no significant effect of credit risk identification on the lending performance of these banks.</w:t>
      </w:r>
    </w:p>
    <w:p w14:paraId="2003C187" w14:textId="30ACC7FC" w:rsidR="00C13349" w:rsidRPr="00DE1C34" w:rsidRDefault="00D91D99" w:rsidP="00DE1C34">
      <w:pPr>
        <w:pStyle w:val="ListParagraph"/>
        <w:numPr>
          <w:ilvl w:val="0"/>
          <w:numId w:val="21"/>
        </w:numPr>
        <w:spacing w:before="120" w:after="0" w:line="240" w:lineRule="auto"/>
        <w:jc w:val="both"/>
        <w:rPr>
          <w:rFonts w:ascii="Georgia" w:hAnsi="Georgia"/>
          <w:b/>
          <w:sz w:val="24"/>
          <w:szCs w:val="24"/>
          <w:lang w:val="en-GB"/>
        </w:rPr>
      </w:pPr>
      <w:r w:rsidRPr="00DE1C34">
        <w:rPr>
          <w:rFonts w:ascii="Georgia" w:hAnsi="Georgia"/>
          <w:b/>
          <w:bCs/>
          <w:sz w:val="24"/>
          <w:szCs w:val="24"/>
          <w:lang w:val="en-GB"/>
        </w:rPr>
        <w:t>Literature</w:t>
      </w:r>
      <w:r w:rsidR="00C13349" w:rsidRPr="00DE1C34">
        <w:rPr>
          <w:rFonts w:ascii="Georgia" w:hAnsi="Georgia"/>
          <w:b/>
          <w:bCs/>
          <w:sz w:val="24"/>
          <w:szCs w:val="24"/>
          <w:lang w:val="en-GB"/>
        </w:rPr>
        <w:t xml:space="preserve"> </w:t>
      </w:r>
      <w:commentRangeStart w:id="1"/>
      <w:r w:rsidR="00C13349" w:rsidRPr="00DE1C34">
        <w:rPr>
          <w:rFonts w:ascii="Georgia" w:hAnsi="Georgia"/>
          <w:b/>
          <w:bCs/>
          <w:sz w:val="24"/>
          <w:szCs w:val="24"/>
          <w:lang w:val="en-GB"/>
        </w:rPr>
        <w:t>Review</w:t>
      </w:r>
      <w:commentRangeEnd w:id="1"/>
      <w:r w:rsidR="002454C3">
        <w:rPr>
          <w:rStyle w:val="CommentReference"/>
          <w:lang w:val="x-none" w:eastAsia="x-none"/>
        </w:rPr>
        <w:commentReference w:id="1"/>
      </w:r>
      <w:r w:rsidR="00C13349" w:rsidRPr="00DE1C34">
        <w:rPr>
          <w:rFonts w:ascii="Georgia" w:hAnsi="Georgia"/>
          <w:b/>
          <w:sz w:val="24"/>
          <w:szCs w:val="24"/>
          <w:lang w:val="en-GB"/>
        </w:rPr>
        <w:t xml:space="preserve"> </w:t>
      </w:r>
    </w:p>
    <w:p w14:paraId="333FA17B" w14:textId="6E251782" w:rsidR="009D5CBB" w:rsidRPr="000551DE" w:rsidRDefault="002A267D" w:rsidP="000551DE">
      <w:pPr>
        <w:spacing w:before="120" w:after="0" w:line="240" w:lineRule="auto"/>
        <w:contextualSpacing/>
        <w:jc w:val="both"/>
        <w:rPr>
          <w:rFonts w:ascii="Georgia" w:hAnsi="Georgia"/>
          <w:b/>
          <w:sz w:val="24"/>
          <w:szCs w:val="24"/>
        </w:rPr>
      </w:pPr>
      <w:r w:rsidRPr="000551DE">
        <w:rPr>
          <w:rFonts w:ascii="Georgia" w:hAnsi="Georgia"/>
          <w:b/>
          <w:sz w:val="24"/>
          <w:szCs w:val="24"/>
        </w:rPr>
        <w:t xml:space="preserve">Theoretical </w:t>
      </w:r>
      <w:r w:rsidR="000A127D" w:rsidRPr="000551DE">
        <w:rPr>
          <w:rFonts w:ascii="Georgia" w:hAnsi="Georgia"/>
          <w:b/>
          <w:sz w:val="24"/>
          <w:szCs w:val="24"/>
        </w:rPr>
        <w:t>Review</w:t>
      </w:r>
    </w:p>
    <w:p w14:paraId="49CF4626" w14:textId="77777777" w:rsidR="00EB6E94" w:rsidRPr="000551DE" w:rsidRDefault="00EB6E94" w:rsidP="000551DE">
      <w:pPr>
        <w:spacing w:before="120" w:after="0" w:line="240" w:lineRule="auto"/>
        <w:rPr>
          <w:rFonts w:ascii="Georgia" w:hAnsi="Georgia"/>
          <w:b/>
          <w:bCs/>
          <w:sz w:val="24"/>
          <w:szCs w:val="24"/>
        </w:rPr>
      </w:pPr>
      <w:r w:rsidRPr="000551DE">
        <w:rPr>
          <w:rFonts w:ascii="Georgia" w:hAnsi="Georgia"/>
          <w:b/>
          <w:bCs/>
          <w:sz w:val="24"/>
          <w:szCs w:val="24"/>
        </w:rPr>
        <w:t>Adverse Selection Theory</w:t>
      </w:r>
    </w:p>
    <w:p w14:paraId="2FC30722" w14:textId="77777777" w:rsidR="00EB6E94" w:rsidRPr="000551DE" w:rsidRDefault="00EB6E94" w:rsidP="000551DE">
      <w:pPr>
        <w:spacing w:before="120" w:after="0" w:line="240" w:lineRule="auto"/>
        <w:jc w:val="both"/>
        <w:rPr>
          <w:rFonts w:ascii="Georgia" w:hAnsi="Georgia"/>
          <w:sz w:val="24"/>
          <w:szCs w:val="24"/>
        </w:rPr>
      </w:pPr>
      <w:r w:rsidRPr="000551DE">
        <w:rPr>
          <w:rFonts w:ascii="Georgia" w:hAnsi="Georgia"/>
          <w:sz w:val="24"/>
          <w:szCs w:val="24"/>
        </w:rPr>
        <w:t>This study has adopted the theory of adverse selection proposed by Rothschild and Stiglitz (1976). The theory is based on two main assumptions: lenders are unable to differentiate between borrowers with varying levels of credit risk, and there are limitations on loan contracts. This analysis focuses specifically on cases of involuntary credit default, assuming that borrowers repay their loans when they are financially capable. In a scenario where risk-neutral borrowers and commercial lenders have simple debt contracts, the presence of limited liability among borrowers leads to a preference for credit risk among borrowers, while lenders become averse to credit risk. This is because lenders bear all the downside risk due to the borrowers' limited liability.</w:t>
      </w:r>
    </w:p>
    <w:p w14:paraId="713ED165" w14:textId="49B3E1BD" w:rsidR="000A127D" w:rsidRPr="000551DE" w:rsidRDefault="00EB6E94" w:rsidP="000551DE">
      <w:pPr>
        <w:spacing w:before="120" w:after="0" w:line="240" w:lineRule="auto"/>
        <w:jc w:val="both"/>
        <w:rPr>
          <w:rFonts w:ascii="Georgia" w:hAnsi="Georgia"/>
          <w:sz w:val="24"/>
          <w:szCs w:val="24"/>
        </w:rPr>
      </w:pPr>
      <w:r w:rsidRPr="000551DE">
        <w:rPr>
          <w:rFonts w:ascii="Georgia" w:hAnsi="Georgia"/>
          <w:sz w:val="24"/>
          <w:szCs w:val="24"/>
        </w:rPr>
        <w:t xml:space="preserve">Conversely, borrowers are the sole beneficiaries of any returns exceeding their loan repayment obligations. If interest rates were to be raised, it would disproportionately impact low-credit-risk borrowers, potentially leading them to withdraw from the pool of loan applicants. Nevertheless, even in the presence of competition and flexible interest rates, there may still be a persistent excess demand in the credit financial market. According to the adverse selection theory, during periods of limited loanable funds, the interest rate may not increase sufficiently to ensure that all loan applicants are able to obtain credit. Generally, borrowers who possess greater wealth to offer as collateral are able to secure credit at lower costs, which in turn provides them with incentives to work harder and generate higher income. The credit financial market operates in a manner that projects and potentially amplifies existing asset inequalities within the borrowing class, thereby contributing to the perpetuation of poverty. By sharing information about their customers, commercial banks can enhance their understanding of applicants' characteristics and </w:t>
      </w:r>
      <w:r w:rsidR="00095F67" w:rsidRPr="000551DE">
        <w:rPr>
          <w:rFonts w:ascii="Georgia" w:hAnsi="Georgia"/>
          <w:sz w:val="24"/>
          <w:szCs w:val="24"/>
        </w:rPr>
        <w:t>behaviour</w:t>
      </w:r>
      <w:r w:rsidRPr="000551DE">
        <w:rPr>
          <w:rFonts w:ascii="Georgia" w:hAnsi="Georgia"/>
          <w:sz w:val="24"/>
          <w:szCs w:val="24"/>
        </w:rPr>
        <w:t xml:space="preserve">. This exchange of information has the potential to mitigate adverse selection issues in lending </w:t>
      </w:r>
      <w:r w:rsidR="007F4953" w:rsidRPr="000551DE">
        <w:rPr>
          <w:rFonts w:ascii="Georgia" w:hAnsi="Georgia"/>
          <w:sz w:val="24"/>
          <w:szCs w:val="24"/>
        </w:rPr>
        <w:t>and</w:t>
      </w:r>
      <w:r w:rsidRPr="000551DE">
        <w:rPr>
          <w:rFonts w:ascii="Georgia" w:hAnsi="Georgia"/>
          <w:sz w:val="24"/>
          <w:szCs w:val="24"/>
        </w:rPr>
        <w:t xml:space="preserve"> influence borrowers' motivations to repay their loans. </w:t>
      </w:r>
    </w:p>
    <w:p w14:paraId="7972A065" w14:textId="0DEA1A1D" w:rsidR="0072439A" w:rsidRPr="000551DE" w:rsidRDefault="0072439A" w:rsidP="000551DE">
      <w:pPr>
        <w:spacing w:before="120" w:after="0" w:line="240" w:lineRule="auto"/>
        <w:jc w:val="both"/>
        <w:rPr>
          <w:rFonts w:ascii="Georgia" w:hAnsi="Georgia"/>
          <w:sz w:val="24"/>
          <w:szCs w:val="24"/>
        </w:rPr>
      </w:pPr>
      <w:r w:rsidRPr="000551DE">
        <w:rPr>
          <w:rFonts w:ascii="Georgia" w:hAnsi="Georgia"/>
          <w:sz w:val="24"/>
          <w:szCs w:val="24"/>
        </w:rPr>
        <w:t xml:space="preserve">In this </w:t>
      </w:r>
      <w:r w:rsidR="000A127D" w:rsidRPr="000551DE">
        <w:rPr>
          <w:rFonts w:ascii="Georgia" w:hAnsi="Georgia"/>
          <w:sz w:val="24"/>
          <w:szCs w:val="24"/>
        </w:rPr>
        <w:t>study</w:t>
      </w:r>
      <w:r w:rsidRPr="000551DE">
        <w:rPr>
          <w:rFonts w:ascii="Georgia" w:hAnsi="Georgia"/>
          <w:sz w:val="24"/>
          <w:szCs w:val="24"/>
        </w:rPr>
        <w:t xml:space="preserve">, the theory is meant to assist commercial banks </w:t>
      </w:r>
      <w:r w:rsidR="000A127D" w:rsidRPr="000551DE">
        <w:rPr>
          <w:rFonts w:ascii="Georgia" w:hAnsi="Georgia"/>
          <w:sz w:val="24"/>
          <w:szCs w:val="24"/>
        </w:rPr>
        <w:t>in appreciating</w:t>
      </w:r>
      <w:r w:rsidRPr="000551DE">
        <w:rPr>
          <w:rFonts w:ascii="Georgia" w:hAnsi="Georgia"/>
          <w:sz w:val="24"/>
          <w:szCs w:val="24"/>
        </w:rPr>
        <w:t xml:space="preserve"> that when lending, there is </w:t>
      </w:r>
      <w:r w:rsidR="000A127D" w:rsidRPr="000551DE">
        <w:rPr>
          <w:rFonts w:ascii="Georgia" w:hAnsi="Georgia"/>
          <w:sz w:val="24"/>
          <w:szCs w:val="24"/>
        </w:rPr>
        <w:t xml:space="preserve">a </w:t>
      </w:r>
      <w:r w:rsidRPr="000551DE">
        <w:rPr>
          <w:rFonts w:ascii="Georgia" w:hAnsi="Georgia"/>
          <w:sz w:val="24"/>
          <w:szCs w:val="24"/>
        </w:rPr>
        <w:t xml:space="preserve">need to consider credit risk identification, as important </w:t>
      </w:r>
      <w:r w:rsidR="00EB6E94" w:rsidRPr="000551DE">
        <w:rPr>
          <w:rFonts w:ascii="Georgia" w:hAnsi="Georgia"/>
          <w:sz w:val="24"/>
          <w:szCs w:val="24"/>
        </w:rPr>
        <w:t>element</w:t>
      </w:r>
      <w:r w:rsidRPr="000551DE">
        <w:rPr>
          <w:rFonts w:ascii="Georgia" w:hAnsi="Georgia"/>
          <w:sz w:val="24"/>
          <w:szCs w:val="24"/>
        </w:rPr>
        <w:t xml:space="preserve">. This is because the theory stipulates that there is a linear association between forecasted returns on </w:t>
      </w:r>
      <w:r w:rsidR="000A127D" w:rsidRPr="000551DE">
        <w:rPr>
          <w:rFonts w:ascii="Georgia" w:hAnsi="Georgia"/>
          <w:sz w:val="24"/>
          <w:szCs w:val="24"/>
        </w:rPr>
        <w:t>loans</w:t>
      </w:r>
      <w:r w:rsidRPr="000551DE">
        <w:rPr>
          <w:rFonts w:ascii="Georgia" w:hAnsi="Georgia"/>
          <w:sz w:val="24"/>
          <w:szCs w:val="24"/>
        </w:rPr>
        <w:t xml:space="preserve"> and </w:t>
      </w:r>
      <w:r w:rsidR="000A127D" w:rsidRPr="000551DE">
        <w:rPr>
          <w:rFonts w:ascii="Georgia" w:hAnsi="Georgia"/>
          <w:sz w:val="24"/>
          <w:szCs w:val="24"/>
        </w:rPr>
        <w:t>risk factors</w:t>
      </w:r>
      <w:r w:rsidR="000F415A" w:rsidRPr="000551DE">
        <w:rPr>
          <w:rFonts w:ascii="Georgia" w:hAnsi="Georgia"/>
          <w:sz w:val="24"/>
          <w:szCs w:val="24"/>
        </w:rPr>
        <w:t xml:space="preserve"> hence credit risk identification becomes key to ensuring borrower screening is properly done with the aim of advancing loans to the borrowers who have the likelihood of repaying their loans. </w:t>
      </w:r>
      <w:r w:rsidRPr="000551DE">
        <w:rPr>
          <w:rFonts w:ascii="Georgia" w:hAnsi="Georgia"/>
          <w:sz w:val="24"/>
          <w:szCs w:val="24"/>
        </w:rPr>
        <w:t xml:space="preserve">This will assist the commercial banks </w:t>
      </w:r>
      <w:r w:rsidR="000A127D" w:rsidRPr="000551DE">
        <w:rPr>
          <w:rFonts w:ascii="Georgia" w:hAnsi="Georgia"/>
          <w:sz w:val="24"/>
          <w:szCs w:val="24"/>
        </w:rPr>
        <w:t>in studying</w:t>
      </w:r>
      <w:r w:rsidRPr="000551DE">
        <w:rPr>
          <w:rFonts w:ascii="Georgia" w:hAnsi="Georgia"/>
          <w:sz w:val="24"/>
          <w:szCs w:val="24"/>
        </w:rPr>
        <w:t xml:space="preserve"> the risk involved in lending to every </w:t>
      </w:r>
      <w:r w:rsidR="000A127D" w:rsidRPr="000551DE">
        <w:rPr>
          <w:rFonts w:ascii="Georgia" w:hAnsi="Georgia"/>
          <w:sz w:val="24"/>
          <w:szCs w:val="24"/>
        </w:rPr>
        <w:t>borrower</w:t>
      </w:r>
      <w:r w:rsidRPr="000551DE">
        <w:rPr>
          <w:rFonts w:ascii="Georgia" w:hAnsi="Georgia"/>
          <w:sz w:val="24"/>
          <w:szCs w:val="24"/>
        </w:rPr>
        <w:t xml:space="preserve"> and this will improve the lending performance. </w:t>
      </w:r>
    </w:p>
    <w:p w14:paraId="01F28A3A" w14:textId="0E0E6D09" w:rsidR="0072439A" w:rsidRPr="000551DE" w:rsidRDefault="000A127D" w:rsidP="000551DE">
      <w:pPr>
        <w:spacing w:before="120" w:after="0" w:line="240" w:lineRule="auto"/>
        <w:contextualSpacing/>
        <w:jc w:val="both"/>
        <w:rPr>
          <w:rFonts w:ascii="Georgia" w:hAnsi="Georgia"/>
          <w:b/>
          <w:bCs/>
          <w:sz w:val="24"/>
          <w:szCs w:val="24"/>
        </w:rPr>
      </w:pPr>
      <w:r w:rsidRPr="000551DE">
        <w:rPr>
          <w:rFonts w:ascii="Georgia" w:hAnsi="Georgia"/>
          <w:b/>
          <w:bCs/>
          <w:sz w:val="24"/>
          <w:szCs w:val="24"/>
        </w:rPr>
        <w:t xml:space="preserve">Empirical Review </w:t>
      </w:r>
    </w:p>
    <w:p w14:paraId="277BC27B" w14:textId="75F02733" w:rsidR="00AC36E6" w:rsidRPr="000551DE" w:rsidRDefault="00AC36E6" w:rsidP="000551DE">
      <w:pPr>
        <w:pStyle w:val="Default"/>
        <w:spacing w:before="120"/>
        <w:contextualSpacing/>
        <w:jc w:val="both"/>
        <w:rPr>
          <w:rFonts w:ascii="Georgia" w:hAnsi="Georgia"/>
          <w:color w:val="auto"/>
        </w:rPr>
      </w:pPr>
      <w:r w:rsidRPr="000551DE">
        <w:rPr>
          <w:rFonts w:ascii="Georgia" w:hAnsi="Georgia"/>
          <w:color w:val="auto"/>
        </w:rPr>
        <w:t xml:space="preserve">Commercial </w:t>
      </w:r>
      <w:r w:rsidR="004D6232" w:rsidRPr="000551DE">
        <w:rPr>
          <w:rFonts w:ascii="Georgia" w:hAnsi="Georgia"/>
          <w:color w:val="auto"/>
        </w:rPr>
        <w:t>bank</w:t>
      </w:r>
      <w:r w:rsidRPr="000551DE">
        <w:rPr>
          <w:rFonts w:ascii="Georgia" w:hAnsi="Georgia"/>
          <w:color w:val="auto"/>
        </w:rPr>
        <w:t xml:space="preserve"> services are the advancement of financial resources for consumption, </w:t>
      </w:r>
      <w:r w:rsidR="0034045A" w:rsidRPr="000551DE">
        <w:rPr>
          <w:rFonts w:ascii="Georgia" w:hAnsi="Georgia"/>
          <w:color w:val="auto"/>
        </w:rPr>
        <w:t>production,</w:t>
      </w:r>
      <w:r w:rsidRPr="000551DE">
        <w:rPr>
          <w:rFonts w:ascii="Georgia" w:hAnsi="Georgia"/>
          <w:color w:val="auto"/>
        </w:rPr>
        <w:t xml:space="preserve"> or investment to be redeemed at a future date. In a vibrant economy, credit is an important instrument for improving the people’s welfare, reducing vulnerability to </w:t>
      </w:r>
      <w:r w:rsidR="004D6232" w:rsidRPr="000551DE">
        <w:rPr>
          <w:rFonts w:ascii="Georgia" w:hAnsi="Georgia"/>
          <w:color w:val="auto"/>
        </w:rPr>
        <w:t>short-term</w:t>
      </w:r>
      <w:r w:rsidRPr="000551DE">
        <w:rPr>
          <w:rFonts w:ascii="Georgia" w:hAnsi="Georgia"/>
          <w:color w:val="auto"/>
        </w:rPr>
        <w:t xml:space="preserve"> income deficits</w:t>
      </w:r>
      <w:r w:rsidR="004D6232" w:rsidRPr="000551DE">
        <w:rPr>
          <w:rFonts w:ascii="Georgia" w:hAnsi="Georgia"/>
          <w:color w:val="auto"/>
        </w:rPr>
        <w:t>,</w:t>
      </w:r>
      <w:r w:rsidRPr="000551DE">
        <w:rPr>
          <w:rFonts w:ascii="Georgia" w:hAnsi="Georgia"/>
          <w:color w:val="auto"/>
        </w:rPr>
        <w:t xml:space="preserve"> and for enhancing productive capacity through financing investments. Financial performance refers to acquiring or obtaining financial credit with the aim of servicing the loan together with interest. A loan involves the exchange of current resources for future resources (Rosman, 2011).</w:t>
      </w:r>
    </w:p>
    <w:p w14:paraId="355465B6" w14:textId="7E36752D"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A study done by Rose et.al (2008), on credit risk identification</w:t>
      </w:r>
      <w:r w:rsidRPr="000551DE">
        <w:rPr>
          <w:rFonts w:ascii="Georgia" w:hAnsi="Georgia"/>
          <w:b/>
          <w:sz w:val="24"/>
          <w:szCs w:val="24"/>
        </w:rPr>
        <w:t xml:space="preserve"> </w:t>
      </w:r>
      <w:r w:rsidRPr="000551DE">
        <w:rPr>
          <w:rFonts w:ascii="Georgia" w:hAnsi="Georgia"/>
          <w:sz w:val="24"/>
          <w:szCs w:val="24"/>
        </w:rPr>
        <w:t>of Grameen Bank</w:t>
      </w:r>
      <w:r w:rsidR="004D6232" w:rsidRPr="000551DE">
        <w:rPr>
          <w:rFonts w:ascii="Georgia" w:hAnsi="Georgia"/>
          <w:sz w:val="24"/>
          <w:szCs w:val="24"/>
        </w:rPr>
        <w:t>,</w:t>
      </w:r>
      <w:r w:rsidRPr="000551DE">
        <w:rPr>
          <w:rFonts w:ascii="Georgia" w:hAnsi="Georgia"/>
          <w:sz w:val="24"/>
          <w:szCs w:val="24"/>
        </w:rPr>
        <w:t xml:space="preserve"> established that commercial banks have </w:t>
      </w:r>
      <w:r w:rsidRPr="000551DE">
        <w:rPr>
          <w:rFonts w:ascii="Georgia" w:hAnsi="Georgia"/>
          <w:bCs/>
          <w:sz w:val="24"/>
          <w:szCs w:val="24"/>
        </w:rPr>
        <w:t xml:space="preserve">systems put in to enhance credit risk identification when clients are </w:t>
      </w:r>
      <w:r w:rsidR="003C1F38" w:rsidRPr="000551DE">
        <w:rPr>
          <w:rFonts w:ascii="Georgia" w:hAnsi="Georgia"/>
          <w:bCs/>
          <w:sz w:val="24"/>
          <w:szCs w:val="24"/>
        </w:rPr>
        <w:t>borrowing,</w:t>
      </w:r>
      <w:r w:rsidRPr="000551DE">
        <w:rPr>
          <w:rFonts w:ascii="Georgia" w:hAnsi="Georgia"/>
          <w:bCs/>
          <w:sz w:val="24"/>
          <w:szCs w:val="24"/>
        </w:rPr>
        <w:t xml:space="preserve"> and this reduced the rate of risk exposure in lending</w:t>
      </w:r>
      <w:r w:rsidRPr="000551DE">
        <w:rPr>
          <w:rFonts w:ascii="Georgia" w:hAnsi="Georgia"/>
          <w:sz w:val="24"/>
          <w:szCs w:val="24"/>
        </w:rPr>
        <w:t xml:space="preserve">. Apart from successful </w:t>
      </w:r>
      <w:r w:rsidR="003C1F38" w:rsidRPr="000551DE">
        <w:rPr>
          <w:rFonts w:ascii="Georgia" w:hAnsi="Georgia"/>
          <w:sz w:val="24"/>
          <w:szCs w:val="24"/>
        </w:rPr>
        <w:t>group lending</w:t>
      </w:r>
      <w:r w:rsidRPr="000551DE">
        <w:rPr>
          <w:rFonts w:ascii="Georgia" w:hAnsi="Georgia"/>
          <w:sz w:val="24"/>
          <w:szCs w:val="24"/>
        </w:rPr>
        <w:t xml:space="preserve"> schemes such as the Grameen Bank, the performance of group lending has been mixed. Whereas it has worked very well in Asia, the same has not properly taken off in Kenya, as there is a need to have indigenous organizations.  </w:t>
      </w:r>
      <w:r w:rsidR="004D6232" w:rsidRPr="000551DE">
        <w:rPr>
          <w:rFonts w:ascii="Georgia" w:hAnsi="Georgia"/>
          <w:sz w:val="24"/>
          <w:szCs w:val="24"/>
        </w:rPr>
        <w:t>The</w:t>
      </w:r>
      <w:r w:rsidRPr="000551DE">
        <w:rPr>
          <w:rFonts w:ascii="Georgia" w:hAnsi="Georgia"/>
          <w:sz w:val="24"/>
          <w:szCs w:val="24"/>
        </w:rPr>
        <w:t xml:space="preserve"> study concluded that formal providers of credit which include Commercial banks and other licensed institutions follow a rigid system of lending. This study by Rose et.al (2008) also found that commercial banks have internal guidelines where they provide to borrowers </w:t>
      </w:r>
      <w:r w:rsidR="001E7769" w:rsidRPr="000551DE">
        <w:rPr>
          <w:rFonts w:ascii="Georgia" w:hAnsi="Georgia"/>
          <w:sz w:val="24"/>
          <w:szCs w:val="24"/>
        </w:rPr>
        <w:t xml:space="preserve">with </w:t>
      </w:r>
      <w:r w:rsidRPr="000551DE">
        <w:rPr>
          <w:rFonts w:ascii="Georgia" w:hAnsi="Georgia"/>
          <w:sz w:val="24"/>
          <w:szCs w:val="24"/>
        </w:rPr>
        <w:t xml:space="preserve">a list of conditions that must be fulfilled before credit is availed. This usually </w:t>
      </w:r>
      <w:r w:rsidR="004D6232" w:rsidRPr="000551DE">
        <w:rPr>
          <w:rFonts w:ascii="Georgia" w:hAnsi="Georgia"/>
          <w:sz w:val="24"/>
          <w:szCs w:val="24"/>
        </w:rPr>
        <w:t>includes</w:t>
      </w:r>
      <w:r w:rsidRPr="000551DE">
        <w:rPr>
          <w:rFonts w:ascii="Georgia" w:hAnsi="Georgia"/>
          <w:sz w:val="24"/>
          <w:szCs w:val="24"/>
        </w:rPr>
        <w:t xml:space="preserve"> financial statements for the last three years, bank statements for the last six months, cash flow projections, suitable collateral to secure the loan, previous credit </w:t>
      </w:r>
      <w:r w:rsidR="004D6232" w:rsidRPr="000551DE">
        <w:rPr>
          <w:rFonts w:ascii="Georgia" w:hAnsi="Georgia"/>
          <w:sz w:val="24"/>
          <w:szCs w:val="24"/>
        </w:rPr>
        <w:t>references,</w:t>
      </w:r>
      <w:r w:rsidRPr="000551DE">
        <w:rPr>
          <w:rFonts w:ascii="Georgia" w:hAnsi="Georgia"/>
          <w:sz w:val="24"/>
          <w:szCs w:val="24"/>
        </w:rPr>
        <w:t xml:space="preserve"> and a host of other </w:t>
      </w:r>
      <w:r w:rsidR="004D6232" w:rsidRPr="000551DE">
        <w:rPr>
          <w:rFonts w:ascii="Georgia" w:hAnsi="Georgia"/>
          <w:sz w:val="24"/>
          <w:szCs w:val="24"/>
        </w:rPr>
        <w:t>conditionalities</w:t>
      </w:r>
      <w:r w:rsidRPr="000551DE">
        <w:rPr>
          <w:rFonts w:ascii="Georgia" w:hAnsi="Georgia"/>
          <w:sz w:val="24"/>
          <w:szCs w:val="24"/>
        </w:rPr>
        <w:t xml:space="preserve">. </w:t>
      </w:r>
    </w:p>
    <w:p w14:paraId="5B2A2A19" w14:textId="77777777" w:rsidR="004D6232" w:rsidRPr="000551DE" w:rsidRDefault="004D6232" w:rsidP="000551DE">
      <w:pPr>
        <w:spacing w:before="120" w:after="0" w:line="240" w:lineRule="auto"/>
        <w:contextualSpacing/>
        <w:jc w:val="both"/>
        <w:rPr>
          <w:rFonts w:ascii="Georgia" w:hAnsi="Georgia"/>
          <w:sz w:val="24"/>
          <w:szCs w:val="24"/>
        </w:rPr>
      </w:pPr>
    </w:p>
    <w:p w14:paraId="7455EE24" w14:textId="543446A5" w:rsidR="00AC36E6" w:rsidRPr="000551DE" w:rsidRDefault="0034045A" w:rsidP="000551DE">
      <w:pPr>
        <w:spacing w:before="120" w:after="0" w:line="240" w:lineRule="auto"/>
        <w:contextualSpacing/>
        <w:jc w:val="both"/>
        <w:rPr>
          <w:rFonts w:ascii="Georgia" w:hAnsi="Georgia"/>
          <w:sz w:val="24"/>
          <w:szCs w:val="24"/>
        </w:rPr>
      </w:pPr>
      <w:r w:rsidRPr="000551DE">
        <w:rPr>
          <w:rFonts w:ascii="Georgia" w:hAnsi="Georgia"/>
          <w:sz w:val="24"/>
          <w:szCs w:val="24"/>
        </w:rPr>
        <w:t>In a</w:t>
      </w:r>
      <w:r w:rsidR="00AC36E6" w:rsidRPr="000551DE">
        <w:rPr>
          <w:rFonts w:ascii="Georgia" w:hAnsi="Georgia"/>
          <w:sz w:val="24"/>
          <w:szCs w:val="24"/>
        </w:rPr>
        <w:t xml:space="preserve"> study by Kamau (2010) on strategies adopted by commercial banks on credit risk identification,</w:t>
      </w:r>
      <w:r w:rsidR="00AC36E6" w:rsidRPr="000551DE">
        <w:rPr>
          <w:rFonts w:ascii="Georgia" w:hAnsi="Georgia"/>
          <w:b/>
          <w:sz w:val="24"/>
          <w:szCs w:val="24"/>
        </w:rPr>
        <w:t xml:space="preserve"> </w:t>
      </w:r>
      <w:r w:rsidR="00AC36E6" w:rsidRPr="000551DE">
        <w:rPr>
          <w:rFonts w:ascii="Georgia" w:hAnsi="Georgia"/>
          <w:sz w:val="24"/>
          <w:szCs w:val="24"/>
        </w:rPr>
        <w:t xml:space="preserve">there were new entry strategies </w:t>
      </w:r>
      <w:r w:rsidR="004D6232" w:rsidRPr="000551DE">
        <w:rPr>
          <w:rFonts w:ascii="Georgia" w:hAnsi="Georgia"/>
          <w:sz w:val="24"/>
          <w:szCs w:val="24"/>
        </w:rPr>
        <w:t>that</w:t>
      </w:r>
      <w:r w:rsidR="00AC36E6" w:rsidRPr="000551DE">
        <w:rPr>
          <w:rFonts w:ascii="Georgia" w:hAnsi="Georgia"/>
          <w:sz w:val="24"/>
          <w:szCs w:val="24"/>
        </w:rPr>
        <w:t xml:space="preserve"> were implemented without proper market </w:t>
      </w:r>
      <w:r w:rsidR="004D6232" w:rsidRPr="000551DE">
        <w:rPr>
          <w:rFonts w:ascii="Georgia" w:hAnsi="Georgia"/>
          <w:sz w:val="24"/>
          <w:szCs w:val="24"/>
        </w:rPr>
        <w:t>scanning,</w:t>
      </w:r>
      <w:r w:rsidR="00AC36E6" w:rsidRPr="000551DE">
        <w:rPr>
          <w:rFonts w:ascii="Georgia" w:hAnsi="Georgia"/>
          <w:sz w:val="24"/>
          <w:szCs w:val="24"/>
        </w:rPr>
        <w:t xml:space="preserve"> and these have exposed commercial banks to </w:t>
      </w:r>
      <w:r w:rsidR="004D6232" w:rsidRPr="000551DE">
        <w:rPr>
          <w:rFonts w:ascii="Georgia" w:hAnsi="Georgia"/>
          <w:sz w:val="24"/>
          <w:szCs w:val="24"/>
        </w:rPr>
        <w:t xml:space="preserve">the </w:t>
      </w:r>
      <w:r w:rsidR="00AC36E6" w:rsidRPr="000551DE">
        <w:rPr>
          <w:rFonts w:ascii="Georgia" w:hAnsi="Georgia"/>
          <w:sz w:val="24"/>
          <w:szCs w:val="24"/>
        </w:rPr>
        <w:t xml:space="preserve">risk of lending to a clique of borrowers who may not </w:t>
      </w:r>
      <w:r w:rsidR="007B358B" w:rsidRPr="000551DE">
        <w:rPr>
          <w:rFonts w:ascii="Georgia" w:hAnsi="Georgia"/>
          <w:sz w:val="24"/>
          <w:szCs w:val="24"/>
        </w:rPr>
        <w:t>need</w:t>
      </w:r>
      <w:r w:rsidR="00AC36E6" w:rsidRPr="000551DE">
        <w:rPr>
          <w:rFonts w:ascii="Georgia" w:hAnsi="Georgia"/>
          <w:sz w:val="24"/>
          <w:szCs w:val="24"/>
        </w:rPr>
        <w:t xml:space="preserve"> credit. These have increased risks in lending </w:t>
      </w:r>
      <w:r w:rsidR="007B358B" w:rsidRPr="000551DE">
        <w:rPr>
          <w:rFonts w:ascii="Georgia" w:hAnsi="Georgia"/>
          <w:sz w:val="24"/>
          <w:szCs w:val="24"/>
        </w:rPr>
        <w:t>even though</w:t>
      </w:r>
      <w:r w:rsidR="00AC36E6" w:rsidRPr="000551DE">
        <w:rPr>
          <w:rFonts w:ascii="Georgia" w:hAnsi="Georgia"/>
          <w:sz w:val="24"/>
          <w:szCs w:val="24"/>
        </w:rPr>
        <w:t xml:space="preserve"> in the financial industry, the formal lending sector is basically ethical and open as the terms and conditions for their loan are explained up-front and in theory</w:t>
      </w:r>
      <w:r w:rsidR="007B358B" w:rsidRPr="000551DE">
        <w:rPr>
          <w:rFonts w:ascii="Georgia" w:hAnsi="Georgia"/>
          <w:sz w:val="24"/>
          <w:szCs w:val="24"/>
        </w:rPr>
        <w:t>,</w:t>
      </w:r>
      <w:r w:rsidR="00AC36E6" w:rsidRPr="000551DE">
        <w:rPr>
          <w:rFonts w:ascii="Georgia" w:hAnsi="Georgia"/>
          <w:sz w:val="24"/>
          <w:szCs w:val="24"/>
        </w:rPr>
        <w:t xml:space="preserve"> cannot give a loan one cannot service. Many people fear the formalities associated with commercial banks. Kamau (2010) argued that commercial banks only lend to a special clique of people who must be members and have been active members for a certain </w:t>
      </w:r>
      <w:r w:rsidR="007B358B" w:rsidRPr="000551DE">
        <w:rPr>
          <w:rFonts w:ascii="Georgia" w:hAnsi="Georgia"/>
          <w:sz w:val="24"/>
          <w:szCs w:val="24"/>
        </w:rPr>
        <w:t>period</w:t>
      </w:r>
      <w:r w:rsidR="00AC36E6" w:rsidRPr="000551DE">
        <w:rPr>
          <w:rFonts w:ascii="Georgia" w:hAnsi="Georgia"/>
          <w:sz w:val="24"/>
          <w:szCs w:val="24"/>
        </w:rPr>
        <w:t xml:space="preserve">. Such people gravitate towards the other financial lenders who they find more accommodating. The study concluded that turnaround time with commercial </w:t>
      </w:r>
      <w:r w:rsidR="007B358B" w:rsidRPr="000551DE">
        <w:rPr>
          <w:rFonts w:ascii="Georgia" w:hAnsi="Georgia"/>
          <w:sz w:val="24"/>
          <w:szCs w:val="24"/>
        </w:rPr>
        <w:t>bank</w:t>
      </w:r>
      <w:r w:rsidR="00AC36E6" w:rsidRPr="000551DE">
        <w:rPr>
          <w:rFonts w:ascii="Georgia" w:hAnsi="Georgia"/>
          <w:sz w:val="24"/>
          <w:szCs w:val="24"/>
        </w:rPr>
        <w:t xml:space="preserve"> lenders is longer than with banks or other informal lenders and less intimidating. Thus, commercial banks’ lending decreases due to their inflexible terms, borrowers’ social capital earned over time, faster turnaround of loans</w:t>
      </w:r>
      <w:r w:rsidR="001E7769" w:rsidRPr="000551DE">
        <w:rPr>
          <w:rFonts w:ascii="Georgia" w:hAnsi="Georgia"/>
          <w:sz w:val="24"/>
          <w:szCs w:val="24"/>
        </w:rPr>
        <w:t>,</w:t>
      </w:r>
      <w:r w:rsidR="00AC36E6" w:rsidRPr="000551DE">
        <w:rPr>
          <w:rFonts w:ascii="Georgia" w:hAnsi="Georgia"/>
          <w:sz w:val="24"/>
          <w:szCs w:val="24"/>
        </w:rPr>
        <w:t xml:space="preserve"> and information asymmetries in the financial market. </w:t>
      </w:r>
    </w:p>
    <w:p w14:paraId="72EEEDC8" w14:textId="3EBF3634" w:rsidR="00AC36E6" w:rsidRPr="000551DE" w:rsidRDefault="00AC36E6" w:rsidP="000551DE">
      <w:pPr>
        <w:pStyle w:val="Default"/>
        <w:spacing w:before="120"/>
        <w:contextualSpacing/>
        <w:jc w:val="both"/>
        <w:rPr>
          <w:rFonts w:ascii="Georgia" w:hAnsi="Georgia"/>
          <w:color w:val="auto"/>
        </w:rPr>
      </w:pPr>
      <w:r w:rsidRPr="000551DE">
        <w:rPr>
          <w:rFonts w:ascii="Georgia" w:hAnsi="Georgia"/>
          <w:color w:val="auto"/>
        </w:rPr>
        <w:t xml:space="preserve">Zahra (2008) </w:t>
      </w:r>
      <w:r w:rsidR="0034045A" w:rsidRPr="000551DE">
        <w:rPr>
          <w:rFonts w:ascii="Georgia" w:hAnsi="Georgia"/>
          <w:color w:val="auto"/>
        </w:rPr>
        <w:t xml:space="preserve">conducted a study </w:t>
      </w:r>
      <w:r w:rsidRPr="000551DE">
        <w:rPr>
          <w:rFonts w:ascii="Georgia" w:hAnsi="Georgia"/>
          <w:color w:val="auto"/>
        </w:rPr>
        <w:t>on credit risk identification</w:t>
      </w:r>
      <w:r w:rsidRPr="000551DE">
        <w:rPr>
          <w:rFonts w:ascii="Georgia" w:hAnsi="Georgia"/>
          <w:b/>
          <w:color w:val="auto"/>
        </w:rPr>
        <w:t xml:space="preserve"> </w:t>
      </w:r>
      <w:r w:rsidRPr="000551DE">
        <w:rPr>
          <w:rFonts w:ascii="Georgia" w:hAnsi="Georgia"/>
          <w:color w:val="auto"/>
        </w:rPr>
        <w:t>and financial performance</w:t>
      </w:r>
      <w:r w:rsidR="00970D35" w:rsidRPr="000551DE">
        <w:rPr>
          <w:rFonts w:ascii="Georgia" w:hAnsi="Georgia"/>
          <w:color w:val="auto"/>
        </w:rPr>
        <w:t>. It</w:t>
      </w:r>
      <w:r w:rsidRPr="000551DE">
        <w:rPr>
          <w:rFonts w:ascii="Georgia" w:hAnsi="Georgia"/>
          <w:color w:val="auto"/>
        </w:rPr>
        <w:t xml:space="preserve"> was found that due to competition </w:t>
      </w:r>
      <w:r w:rsidR="001E7769" w:rsidRPr="000551DE">
        <w:rPr>
          <w:rFonts w:ascii="Georgia" w:hAnsi="Georgia"/>
          <w:color w:val="auto"/>
        </w:rPr>
        <w:t>in</w:t>
      </w:r>
      <w:r w:rsidRPr="000551DE">
        <w:rPr>
          <w:rFonts w:ascii="Georgia" w:hAnsi="Georgia"/>
          <w:color w:val="auto"/>
        </w:rPr>
        <w:t xml:space="preserve"> the industry, commercial banks’ lending procedures are </w:t>
      </w:r>
      <w:r w:rsidR="003F308C" w:rsidRPr="000551DE">
        <w:rPr>
          <w:rFonts w:ascii="Georgia" w:hAnsi="Georgia"/>
          <w:color w:val="auto"/>
        </w:rPr>
        <w:t>affected,</w:t>
      </w:r>
      <w:r w:rsidRPr="000551DE">
        <w:rPr>
          <w:rFonts w:ascii="Georgia" w:hAnsi="Georgia"/>
          <w:color w:val="auto"/>
        </w:rPr>
        <w:t xml:space="preserve"> and the process of vetting </w:t>
      </w:r>
      <w:r w:rsidR="00244D1D">
        <w:rPr>
          <w:rFonts w:ascii="Georgia" w:hAnsi="Georgia"/>
          <w:color w:val="auto"/>
        </w:rPr>
        <w:t>the creditworthiness</w:t>
      </w:r>
      <w:r w:rsidRPr="000551DE">
        <w:rPr>
          <w:rFonts w:ascii="Georgia" w:hAnsi="Georgia"/>
          <w:color w:val="auto"/>
        </w:rPr>
        <w:t xml:space="preserve"> of a client has been affected. This was found to expose the banks to more credit risk due to stiff market competition for a big market share especially where the needs of borrowers cannot be met by lending entities thereby creating a resultant gap capturing borrowers whose needs cannot be obtained from the commercial banks market yet they cannot gain access to the mainstream commercial bank sources including businesses intending to expand beyond the bounds of self–finance but lack access to commercial banks credit and demand external finance to other financial institutions. </w:t>
      </w:r>
    </w:p>
    <w:p w14:paraId="509B11B3" w14:textId="214E95A8"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Lore (2007) on credit risk identification</w:t>
      </w:r>
      <w:r w:rsidRPr="000551DE">
        <w:rPr>
          <w:rFonts w:ascii="Georgia" w:hAnsi="Georgia"/>
          <w:b/>
          <w:sz w:val="24"/>
          <w:szCs w:val="24"/>
        </w:rPr>
        <w:t xml:space="preserve"> </w:t>
      </w:r>
      <w:r w:rsidRPr="000551DE">
        <w:rPr>
          <w:rFonts w:ascii="Georgia" w:hAnsi="Georgia"/>
          <w:sz w:val="24"/>
          <w:szCs w:val="24"/>
        </w:rPr>
        <w:t xml:space="preserve">factors that can enhance financial performance, it was found that commercial banks’ lending business is </w:t>
      </w:r>
      <w:r w:rsidR="00F068E8" w:rsidRPr="000551DE">
        <w:rPr>
          <w:rFonts w:ascii="Georgia" w:hAnsi="Georgia"/>
          <w:sz w:val="24"/>
          <w:szCs w:val="24"/>
        </w:rPr>
        <w:t>modelled</w:t>
      </w:r>
      <w:r w:rsidRPr="000551DE">
        <w:rPr>
          <w:rFonts w:ascii="Georgia" w:hAnsi="Georgia"/>
          <w:sz w:val="24"/>
          <w:szCs w:val="24"/>
        </w:rPr>
        <w:t xml:space="preserve"> on social networks, connections</w:t>
      </w:r>
      <w:r w:rsidR="001E7769" w:rsidRPr="000551DE">
        <w:rPr>
          <w:rFonts w:ascii="Georgia" w:hAnsi="Georgia"/>
          <w:sz w:val="24"/>
          <w:szCs w:val="24"/>
        </w:rPr>
        <w:t>,</w:t>
      </w:r>
      <w:r w:rsidRPr="000551DE">
        <w:rPr>
          <w:rFonts w:ascii="Georgia" w:hAnsi="Georgia"/>
          <w:sz w:val="24"/>
          <w:szCs w:val="24"/>
        </w:rPr>
        <w:t xml:space="preserve"> and goodwill and that commercial banks have several ways </w:t>
      </w:r>
      <w:r w:rsidR="001E7769" w:rsidRPr="000551DE">
        <w:rPr>
          <w:rFonts w:ascii="Georgia" w:hAnsi="Georgia"/>
          <w:sz w:val="24"/>
          <w:szCs w:val="24"/>
        </w:rPr>
        <w:t xml:space="preserve">of </w:t>
      </w:r>
      <w:r w:rsidR="00095F67" w:rsidRPr="000551DE">
        <w:rPr>
          <w:rFonts w:ascii="Georgia" w:hAnsi="Georgia"/>
          <w:sz w:val="24"/>
          <w:szCs w:val="24"/>
        </w:rPr>
        <w:t>analysing</w:t>
      </w:r>
      <w:r w:rsidRPr="000551DE">
        <w:rPr>
          <w:rFonts w:ascii="Georgia" w:hAnsi="Georgia"/>
          <w:sz w:val="24"/>
          <w:szCs w:val="24"/>
        </w:rPr>
        <w:t xml:space="preserve"> other sources of borrowers’ income. This study found that social capital is a great asset to borrowers. Social capital is the process by which, for mutual benefit, people establish linkages, norms, </w:t>
      </w:r>
      <w:r w:rsidR="001E7769" w:rsidRPr="000551DE">
        <w:rPr>
          <w:rFonts w:ascii="Georgia" w:hAnsi="Georgia"/>
          <w:sz w:val="24"/>
          <w:szCs w:val="24"/>
        </w:rPr>
        <w:t xml:space="preserve">and </w:t>
      </w:r>
      <w:r w:rsidRPr="000551DE">
        <w:rPr>
          <w:rFonts w:ascii="Georgia" w:hAnsi="Georgia"/>
          <w:sz w:val="24"/>
          <w:szCs w:val="24"/>
        </w:rPr>
        <w:t xml:space="preserve">social trust and facilitate </w:t>
      </w:r>
      <w:r w:rsidR="003F308C" w:rsidRPr="000551DE">
        <w:rPr>
          <w:rFonts w:ascii="Georgia" w:hAnsi="Georgia"/>
          <w:sz w:val="24"/>
          <w:szCs w:val="24"/>
        </w:rPr>
        <w:t>coordination</w:t>
      </w:r>
      <w:r w:rsidRPr="000551DE">
        <w:rPr>
          <w:rFonts w:ascii="Georgia" w:hAnsi="Georgia"/>
          <w:sz w:val="24"/>
          <w:szCs w:val="24"/>
        </w:rPr>
        <w:t xml:space="preserve"> and </w:t>
      </w:r>
      <w:r w:rsidR="001E7769" w:rsidRPr="000551DE">
        <w:rPr>
          <w:rFonts w:ascii="Georgia" w:hAnsi="Georgia"/>
          <w:sz w:val="24"/>
          <w:szCs w:val="24"/>
        </w:rPr>
        <w:t>cooperation</w:t>
      </w:r>
      <w:r w:rsidRPr="000551DE">
        <w:rPr>
          <w:rFonts w:ascii="Georgia" w:hAnsi="Georgia"/>
          <w:sz w:val="24"/>
          <w:szCs w:val="24"/>
        </w:rPr>
        <w:t>. Trust, which is vital in business relationships, is nurtured within social settings and networks as it creates social collateral for use in accessing finance. The person who introduces a borrower to a financial institution, or who guarantees a loan is key a factor as to whether a borrower will access credit. Credit therefore revolves around groups with mutual interests from whom borrowers do not easily part, be it family, business</w:t>
      </w:r>
      <w:r w:rsidR="001E7769" w:rsidRPr="000551DE">
        <w:rPr>
          <w:rFonts w:ascii="Georgia" w:hAnsi="Georgia"/>
          <w:sz w:val="24"/>
          <w:szCs w:val="24"/>
        </w:rPr>
        <w:t>,</w:t>
      </w:r>
      <w:r w:rsidRPr="000551DE">
        <w:rPr>
          <w:rFonts w:ascii="Georgia" w:hAnsi="Georgia"/>
          <w:sz w:val="24"/>
          <w:szCs w:val="24"/>
        </w:rPr>
        <w:t xml:space="preserve"> or professional affiliations as friends and family are presumed to have good information concerning the characteristics of the potential borrower.</w:t>
      </w:r>
    </w:p>
    <w:p w14:paraId="426E699F" w14:textId="77777777" w:rsidR="00795980" w:rsidRPr="000551DE" w:rsidRDefault="00795980" w:rsidP="000551DE">
      <w:pPr>
        <w:spacing w:before="120" w:after="0" w:line="240" w:lineRule="auto"/>
        <w:contextualSpacing/>
        <w:jc w:val="both"/>
        <w:rPr>
          <w:rFonts w:ascii="Georgia" w:hAnsi="Georgia"/>
          <w:sz w:val="24"/>
          <w:szCs w:val="24"/>
        </w:rPr>
      </w:pPr>
    </w:p>
    <w:p w14:paraId="01C2472C" w14:textId="09ACBA29" w:rsidR="0093321F" w:rsidRPr="000551DE" w:rsidRDefault="0034045A" w:rsidP="000551DE">
      <w:pPr>
        <w:spacing w:before="120" w:after="0" w:line="240" w:lineRule="auto"/>
        <w:contextualSpacing/>
        <w:jc w:val="both"/>
        <w:rPr>
          <w:rFonts w:ascii="Georgia" w:hAnsi="Georgia"/>
          <w:sz w:val="24"/>
          <w:szCs w:val="24"/>
        </w:rPr>
      </w:pPr>
      <w:r w:rsidRPr="000551DE">
        <w:rPr>
          <w:rFonts w:ascii="Georgia" w:hAnsi="Georgia"/>
          <w:sz w:val="24"/>
          <w:szCs w:val="24"/>
        </w:rPr>
        <w:t>The st</w:t>
      </w:r>
      <w:r w:rsidR="00FB1B04" w:rsidRPr="000551DE">
        <w:rPr>
          <w:rFonts w:ascii="Georgia" w:hAnsi="Georgia"/>
          <w:sz w:val="24"/>
          <w:szCs w:val="24"/>
        </w:rPr>
        <w:t xml:space="preserve">udy by </w:t>
      </w:r>
      <w:r w:rsidR="00AC36E6" w:rsidRPr="000551DE">
        <w:rPr>
          <w:rFonts w:ascii="Georgia" w:hAnsi="Georgia"/>
          <w:sz w:val="24"/>
          <w:szCs w:val="24"/>
        </w:rPr>
        <w:t>Mpuga (2008) on credit risk identification</w:t>
      </w:r>
      <w:r w:rsidR="00AC36E6" w:rsidRPr="000551DE">
        <w:rPr>
          <w:rFonts w:ascii="Georgia" w:hAnsi="Georgia"/>
          <w:b/>
          <w:sz w:val="24"/>
          <w:szCs w:val="24"/>
        </w:rPr>
        <w:t xml:space="preserve"> </w:t>
      </w:r>
      <w:r w:rsidR="00AC36E6" w:rsidRPr="000551DE">
        <w:rPr>
          <w:rFonts w:ascii="Georgia" w:hAnsi="Georgia"/>
          <w:sz w:val="24"/>
          <w:szCs w:val="24"/>
        </w:rPr>
        <w:t xml:space="preserve">and demand for credit and found that commercial banks generally attach more importance </w:t>
      </w:r>
      <w:r w:rsidR="003F308C" w:rsidRPr="000551DE">
        <w:rPr>
          <w:rFonts w:ascii="Georgia" w:hAnsi="Georgia"/>
          <w:sz w:val="24"/>
          <w:szCs w:val="24"/>
        </w:rPr>
        <w:t>to</w:t>
      </w:r>
      <w:r w:rsidR="00AC36E6" w:rsidRPr="000551DE">
        <w:rPr>
          <w:rFonts w:ascii="Georgia" w:hAnsi="Georgia"/>
          <w:sz w:val="24"/>
          <w:szCs w:val="24"/>
        </w:rPr>
        <w:t xml:space="preserve"> </w:t>
      </w:r>
      <w:r w:rsidR="003F308C" w:rsidRPr="000551DE">
        <w:rPr>
          <w:rFonts w:ascii="Georgia" w:hAnsi="Georgia"/>
          <w:sz w:val="24"/>
          <w:szCs w:val="24"/>
        </w:rPr>
        <w:t xml:space="preserve">the </w:t>
      </w:r>
      <w:r w:rsidR="00AC36E6" w:rsidRPr="000551DE">
        <w:rPr>
          <w:rFonts w:ascii="Georgia" w:hAnsi="Georgia"/>
          <w:sz w:val="24"/>
          <w:szCs w:val="24"/>
        </w:rPr>
        <w:t xml:space="preserve">amount of loan borrowed rather than screening the selection of applicants and monitoring the loan as it is used. This attitude has made commercial banks engage in </w:t>
      </w:r>
      <w:r w:rsidR="00AC36E6" w:rsidRPr="000551DE">
        <w:rPr>
          <w:rFonts w:ascii="Georgia" w:hAnsi="Georgia"/>
          <w:bCs/>
          <w:sz w:val="24"/>
          <w:szCs w:val="24"/>
        </w:rPr>
        <w:t xml:space="preserve">quicker lending decisions which has led banks to be exposed to credit risk. </w:t>
      </w:r>
      <w:r w:rsidR="00AC36E6" w:rsidRPr="000551DE">
        <w:rPr>
          <w:rFonts w:ascii="Georgia" w:hAnsi="Georgia"/>
          <w:sz w:val="24"/>
          <w:szCs w:val="24"/>
        </w:rPr>
        <w:t xml:space="preserve">The criteria for selection are the individual’s character and some lenders themselves are short of capital. They also exercise credit rationing </w:t>
      </w:r>
      <w:r w:rsidR="003F308C" w:rsidRPr="000551DE">
        <w:rPr>
          <w:rFonts w:ascii="Georgia" w:hAnsi="Georgia"/>
          <w:sz w:val="24"/>
          <w:szCs w:val="24"/>
        </w:rPr>
        <w:t>to</w:t>
      </w:r>
      <w:r w:rsidR="00AC36E6" w:rsidRPr="000551DE">
        <w:rPr>
          <w:rFonts w:ascii="Georgia" w:hAnsi="Georgia"/>
          <w:sz w:val="24"/>
          <w:szCs w:val="24"/>
        </w:rPr>
        <w:t xml:space="preserve"> spread the lending risks to as many borrowers as possible. This way, they create a pool of loyal customers who also act as contacts for new </w:t>
      </w:r>
      <w:r w:rsidR="003F308C" w:rsidRPr="000551DE">
        <w:rPr>
          <w:rFonts w:ascii="Georgia" w:hAnsi="Georgia"/>
          <w:sz w:val="24"/>
          <w:szCs w:val="24"/>
        </w:rPr>
        <w:t>businesses</w:t>
      </w:r>
      <w:r w:rsidR="00AC36E6" w:rsidRPr="000551DE">
        <w:rPr>
          <w:rFonts w:ascii="Georgia" w:hAnsi="Georgia"/>
          <w:sz w:val="24"/>
          <w:szCs w:val="24"/>
        </w:rPr>
        <w:t xml:space="preserve"> and guarantors of a kind. A strong selling aspect for this kind of </w:t>
      </w:r>
      <w:r w:rsidR="007C27BE" w:rsidRPr="000551DE">
        <w:rPr>
          <w:rFonts w:ascii="Georgia" w:hAnsi="Georgia"/>
          <w:sz w:val="24"/>
          <w:szCs w:val="24"/>
        </w:rPr>
        <w:t>lender</w:t>
      </w:r>
      <w:r w:rsidR="00AC36E6" w:rsidRPr="000551DE">
        <w:rPr>
          <w:rFonts w:ascii="Georgia" w:hAnsi="Georgia"/>
          <w:sz w:val="24"/>
          <w:szCs w:val="24"/>
        </w:rPr>
        <w:t xml:space="preserve"> is the turnaround time or timeliness of credit availability. Due to </w:t>
      </w:r>
      <w:r w:rsidR="007C27BE" w:rsidRPr="000551DE">
        <w:rPr>
          <w:rFonts w:ascii="Georgia" w:hAnsi="Georgia"/>
          <w:sz w:val="24"/>
          <w:szCs w:val="24"/>
        </w:rPr>
        <w:t xml:space="preserve">the </w:t>
      </w:r>
      <w:r w:rsidR="00AC36E6" w:rsidRPr="000551DE">
        <w:rPr>
          <w:rFonts w:ascii="Georgia" w:hAnsi="Georgia"/>
          <w:sz w:val="24"/>
          <w:szCs w:val="24"/>
        </w:rPr>
        <w:t xml:space="preserve">lack of stringent lending rules and quick </w:t>
      </w:r>
      <w:r w:rsidR="003C1F38" w:rsidRPr="000551DE">
        <w:rPr>
          <w:rFonts w:ascii="Georgia" w:hAnsi="Georgia"/>
          <w:sz w:val="24"/>
          <w:szCs w:val="24"/>
        </w:rPr>
        <w:t>decision-making</w:t>
      </w:r>
      <w:r w:rsidR="00AC36E6" w:rsidRPr="000551DE">
        <w:rPr>
          <w:rFonts w:ascii="Georgia" w:hAnsi="Georgia"/>
          <w:sz w:val="24"/>
          <w:szCs w:val="24"/>
        </w:rPr>
        <w:t>, borrowers can access credit within a short time after applying. Hence, the lending is primarily driven by emergency financial needs, non-availability of credit from other cheaper lenders</w:t>
      </w:r>
      <w:r w:rsidR="003C1F38" w:rsidRPr="000551DE">
        <w:rPr>
          <w:rFonts w:ascii="Georgia" w:hAnsi="Georgia"/>
          <w:sz w:val="24"/>
          <w:szCs w:val="24"/>
        </w:rPr>
        <w:t>,</w:t>
      </w:r>
      <w:r w:rsidR="00AC36E6" w:rsidRPr="000551DE">
        <w:rPr>
          <w:rFonts w:ascii="Georgia" w:hAnsi="Georgia"/>
          <w:sz w:val="24"/>
          <w:szCs w:val="24"/>
        </w:rPr>
        <w:t xml:space="preserve"> and timely availability of finances.</w:t>
      </w:r>
    </w:p>
    <w:p w14:paraId="1443808F" w14:textId="77777777" w:rsidR="0093321F" w:rsidRPr="000551DE" w:rsidRDefault="0093321F" w:rsidP="000551DE">
      <w:pPr>
        <w:spacing w:before="120" w:after="0" w:line="240" w:lineRule="auto"/>
        <w:contextualSpacing/>
        <w:jc w:val="both"/>
        <w:rPr>
          <w:rFonts w:ascii="Georgia" w:hAnsi="Georgia"/>
          <w:sz w:val="24"/>
          <w:szCs w:val="24"/>
        </w:rPr>
      </w:pPr>
    </w:p>
    <w:p w14:paraId="2428EDC5" w14:textId="4DDF07EA"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According to the results of a study by Nazir, Adeel</w:t>
      </w:r>
      <w:r w:rsidR="003C1F38" w:rsidRPr="000551DE">
        <w:rPr>
          <w:rFonts w:ascii="Georgia" w:hAnsi="Georgia"/>
          <w:sz w:val="24"/>
          <w:szCs w:val="24"/>
        </w:rPr>
        <w:t>,</w:t>
      </w:r>
      <w:r w:rsidRPr="000551DE">
        <w:rPr>
          <w:rFonts w:ascii="Georgia" w:hAnsi="Georgia"/>
          <w:sz w:val="24"/>
          <w:szCs w:val="24"/>
        </w:rPr>
        <w:t xml:space="preserve"> and Nawaz (2012), on practices for managing risk in sample Pakistani Banks, the commercial banks were slightly satisfied with how the credit risk identification was used to get information </w:t>
      </w:r>
      <w:r w:rsidR="003C1F38" w:rsidRPr="000551DE">
        <w:rPr>
          <w:rFonts w:ascii="Georgia" w:hAnsi="Georgia"/>
          <w:sz w:val="24"/>
          <w:szCs w:val="24"/>
        </w:rPr>
        <w:t>about</w:t>
      </w:r>
      <w:r w:rsidRPr="000551DE">
        <w:rPr>
          <w:rFonts w:ascii="Georgia" w:hAnsi="Georgia"/>
          <w:sz w:val="24"/>
          <w:szCs w:val="24"/>
        </w:rPr>
        <w:t xml:space="preserve"> the borrower </w:t>
      </w:r>
      <w:r w:rsidR="007C27BE" w:rsidRPr="000551DE">
        <w:rPr>
          <w:rFonts w:ascii="Georgia" w:hAnsi="Georgia"/>
          <w:sz w:val="24"/>
          <w:szCs w:val="24"/>
        </w:rPr>
        <w:t>to</w:t>
      </w:r>
      <w:r w:rsidRPr="000551DE">
        <w:rPr>
          <w:rFonts w:ascii="Georgia" w:hAnsi="Georgia"/>
          <w:sz w:val="24"/>
          <w:szCs w:val="24"/>
        </w:rPr>
        <w:t xml:space="preserve"> minimize credit risk. In some cases, commercial banks’ lending </w:t>
      </w:r>
      <w:r w:rsidR="001E7769" w:rsidRPr="000551DE">
        <w:rPr>
          <w:rFonts w:ascii="Georgia" w:hAnsi="Georgia"/>
          <w:sz w:val="24"/>
          <w:szCs w:val="24"/>
        </w:rPr>
        <w:t>network’s</w:t>
      </w:r>
      <w:r w:rsidRPr="000551DE">
        <w:rPr>
          <w:rFonts w:ascii="Georgia" w:hAnsi="Georgia"/>
          <w:sz w:val="24"/>
          <w:szCs w:val="24"/>
        </w:rPr>
        <w:t xml:space="preserve"> function </w:t>
      </w:r>
      <w:r w:rsidR="007C27BE" w:rsidRPr="000551DE">
        <w:rPr>
          <w:rFonts w:ascii="Georgia" w:hAnsi="Georgia"/>
          <w:sz w:val="24"/>
          <w:szCs w:val="24"/>
        </w:rPr>
        <w:t xml:space="preserve">is </w:t>
      </w:r>
      <w:r w:rsidRPr="000551DE">
        <w:rPr>
          <w:rFonts w:ascii="Georgia" w:hAnsi="Georgia"/>
          <w:sz w:val="24"/>
          <w:szCs w:val="24"/>
        </w:rPr>
        <w:t>based on trust</w:t>
      </w:r>
      <w:r w:rsidR="007C27BE" w:rsidRPr="000551DE">
        <w:rPr>
          <w:rFonts w:ascii="Georgia" w:hAnsi="Georgia"/>
          <w:sz w:val="24"/>
          <w:szCs w:val="24"/>
        </w:rPr>
        <w:t>,</w:t>
      </w:r>
      <w:r w:rsidRPr="000551DE">
        <w:rPr>
          <w:rFonts w:ascii="Georgia" w:hAnsi="Georgia"/>
          <w:sz w:val="24"/>
          <w:szCs w:val="24"/>
        </w:rPr>
        <w:t xml:space="preserve"> and </w:t>
      </w:r>
      <w:r w:rsidR="003C1F38" w:rsidRPr="000551DE">
        <w:rPr>
          <w:rFonts w:ascii="Georgia" w:hAnsi="Georgia"/>
          <w:sz w:val="24"/>
          <w:szCs w:val="24"/>
        </w:rPr>
        <w:t xml:space="preserve">the </w:t>
      </w:r>
      <w:r w:rsidRPr="000551DE">
        <w:rPr>
          <w:rFonts w:ascii="Georgia" w:hAnsi="Georgia"/>
          <w:sz w:val="24"/>
          <w:szCs w:val="24"/>
        </w:rPr>
        <w:t xml:space="preserve">customer’s obligation is reinforced by social bonds that </w:t>
      </w:r>
      <w:r w:rsidR="003C1F38" w:rsidRPr="000551DE">
        <w:rPr>
          <w:rFonts w:ascii="Georgia" w:hAnsi="Georgia"/>
          <w:sz w:val="24"/>
          <w:szCs w:val="24"/>
        </w:rPr>
        <w:t>exist</w:t>
      </w:r>
      <w:r w:rsidRPr="000551DE">
        <w:rPr>
          <w:rFonts w:ascii="Georgia" w:hAnsi="Georgia"/>
          <w:sz w:val="24"/>
          <w:szCs w:val="24"/>
        </w:rPr>
        <w:t xml:space="preserve"> among them. Borrowing from such lenders has the advantage of having immediate approval and less cumbersome and intimidating procedures</w:t>
      </w:r>
      <w:r w:rsidR="003C1F38" w:rsidRPr="000551DE">
        <w:rPr>
          <w:rFonts w:ascii="Georgia" w:hAnsi="Georgia"/>
          <w:sz w:val="24"/>
          <w:szCs w:val="24"/>
        </w:rPr>
        <w:t>,</w:t>
      </w:r>
      <w:r w:rsidRPr="000551DE">
        <w:rPr>
          <w:rFonts w:ascii="Georgia" w:hAnsi="Georgia"/>
          <w:sz w:val="24"/>
          <w:szCs w:val="24"/>
        </w:rPr>
        <w:t xml:space="preserve"> unlike informal moneylenders who only lend to borrowers who have been introduced by </w:t>
      </w:r>
      <w:r w:rsidR="003C1F38" w:rsidRPr="000551DE">
        <w:rPr>
          <w:rFonts w:ascii="Georgia" w:hAnsi="Georgia"/>
          <w:sz w:val="24"/>
          <w:szCs w:val="24"/>
        </w:rPr>
        <w:t>past borrowers</w:t>
      </w:r>
      <w:r w:rsidRPr="000551DE">
        <w:rPr>
          <w:rFonts w:ascii="Georgia" w:hAnsi="Georgia"/>
          <w:sz w:val="24"/>
          <w:szCs w:val="24"/>
        </w:rPr>
        <w:t xml:space="preserve"> or a contact that can be easily traced. </w:t>
      </w:r>
    </w:p>
    <w:p w14:paraId="55F5DA1A" w14:textId="77777777" w:rsidR="0093321F" w:rsidRPr="000551DE" w:rsidRDefault="0093321F" w:rsidP="000551DE">
      <w:pPr>
        <w:spacing w:before="120" w:after="0" w:line="240" w:lineRule="auto"/>
        <w:contextualSpacing/>
        <w:jc w:val="both"/>
        <w:rPr>
          <w:rFonts w:ascii="Georgia" w:hAnsi="Georgia"/>
          <w:sz w:val="24"/>
          <w:szCs w:val="24"/>
        </w:rPr>
      </w:pPr>
    </w:p>
    <w:p w14:paraId="2C0A60C4" w14:textId="3E1D39F5"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 xml:space="preserve">Camara and Paulo (2009) in their study on financial crises found that the majority </w:t>
      </w:r>
      <w:r w:rsidR="001E7769" w:rsidRPr="000551DE">
        <w:rPr>
          <w:rFonts w:ascii="Georgia" w:hAnsi="Georgia"/>
          <w:sz w:val="24"/>
          <w:szCs w:val="24"/>
        </w:rPr>
        <w:t xml:space="preserve">of </w:t>
      </w:r>
      <w:r w:rsidRPr="000551DE">
        <w:rPr>
          <w:rFonts w:ascii="Georgia" w:hAnsi="Georgia"/>
          <w:sz w:val="24"/>
          <w:szCs w:val="24"/>
        </w:rPr>
        <w:t xml:space="preserve">financial institutions have </w:t>
      </w:r>
      <w:r w:rsidR="001E7769" w:rsidRPr="000551DE">
        <w:rPr>
          <w:rFonts w:ascii="Georgia" w:hAnsi="Georgia"/>
          <w:sz w:val="24"/>
          <w:szCs w:val="24"/>
        </w:rPr>
        <w:t>broken down</w:t>
      </w:r>
      <w:r w:rsidRPr="000551DE">
        <w:rPr>
          <w:rFonts w:ascii="Georgia" w:hAnsi="Georgia"/>
          <w:sz w:val="24"/>
          <w:szCs w:val="24"/>
        </w:rPr>
        <w:t xml:space="preserve"> or encountered financial drawbacks emanating from inappropriate credit risk management approaches or procedures characterized by extreme or acute levels of staff member loans, unpredictable lending, and extreme accumulation of loans in determinate spheres or divisions as part of other concerns. However, the study concluded that risk identification in commercial banks was not poorly done</w:t>
      </w:r>
      <w:r w:rsidR="00244D1D">
        <w:rPr>
          <w:rFonts w:ascii="Georgia" w:hAnsi="Georgia"/>
          <w:sz w:val="24"/>
          <w:szCs w:val="24"/>
        </w:rPr>
        <w:t>,</w:t>
      </w:r>
      <w:r w:rsidRPr="000551DE">
        <w:rPr>
          <w:rFonts w:ascii="Georgia" w:hAnsi="Georgia"/>
          <w:sz w:val="24"/>
          <w:szCs w:val="24"/>
        </w:rPr>
        <w:t xml:space="preserve"> though there was substandard credit quality which remains a leading source of bank collapses along with banking crunch globally. The magnitudes to which banking institutions handle credit risk </w:t>
      </w:r>
      <w:r w:rsidR="00244D1D" w:rsidRPr="000551DE">
        <w:rPr>
          <w:rFonts w:ascii="Georgia" w:hAnsi="Georgia"/>
          <w:sz w:val="24"/>
          <w:szCs w:val="24"/>
        </w:rPr>
        <w:t>influence</w:t>
      </w:r>
      <w:r w:rsidRPr="000551DE">
        <w:rPr>
          <w:rFonts w:ascii="Georgia" w:hAnsi="Georgia"/>
          <w:sz w:val="24"/>
          <w:szCs w:val="24"/>
        </w:rPr>
        <w:t xml:space="preserve"> their overall financial performance or very existence. The origins of acute non-performing loans emanate from substandard credit risk management </w:t>
      </w:r>
      <w:r w:rsidR="001E7769" w:rsidRPr="000551DE">
        <w:rPr>
          <w:rFonts w:ascii="Georgia" w:hAnsi="Georgia"/>
          <w:sz w:val="24"/>
          <w:szCs w:val="24"/>
        </w:rPr>
        <w:t>procedures,</w:t>
      </w:r>
      <w:r w:rsidRPr="000551DE">
        <w:rPr>
          <w:rFonts w:ascii="Georgia" w:hAnsi="Georgia"/>
          <w:sz w:val="24"/>
          <w:szCs w:val="24"/>
        </w:rPr>
        <w:t xml:space="preserve"> and this could impact on or influence profitability. Subsequently, neglect of appropriately managed credit risk substantially results </w:t>
      </w:r>
      <w:r w:rsidR="001E7769" w:rsidRPr="000551DE">
        <w:rPr>
          <w:rFonts w:ascii="Georgia" w:hAnsi="Georgia"/>
          <w:sz w:val="24"/>
          <w:szCs w:val="24"/>
        </w:rPr>
        <w:t>in</w:t>
      </w:r>
      <w:r w:rsidRPr="000551DE">
        <w:rPr>
          <w:rFonts w:ascii="Georgia" w:hAnsi="Georgia"/>
          <w:sz w:val="24"/>
          <w:szCs w:val="24"/>
        </w:rPr>
        <w:t xml:space="preserve"> banking </w:t>
      </w:r>
      <w:r w:rsidR="001E7769" w:rsidRPr="000551DE">
        <w:rPr>
          <w:rFonts w:ascii="Georgia" w:hAnsi="Georgia"/>
          <w:sz w:val="24"/>
          <w:szCs w:val="24"/>
        </w:rPr>
        <w:t>institutions’</w:t>
      </w:r>
      <w:r w:rsidRPr="000551DE">
        <w:rPr>
          <w:rFonts w:ascii="Georgia" w:hAnsi="Georgia"/>
          <w:sz w:val="24"/>
          <w:szCs w:val="24"/>
        </w:rPr>
        <w:t xml:space="preserve"> financial crunches. </w:t>
      </w:r>
    </w:p>
    <w:p w14:paraId="1CA407C6" w14:textId="6D66636E" w:rsidR="00AC36E6" w:rsidRPr="000551DE" w:rsidRDefault="00AC36E6" w:rsidP="000551DE">
      <w:pPr>
        <w:pStyle w:val="BodyText"/>
        <w:spacing w:before="120"/>
        <w:jc w:val="both"/>
        <w:rPr>
          <w:rFonts w:ascii="Georgia" w:hAnsi="Georgia"/>
        </w:rPr>
      </w:pPr>
      <w:r w:rsidRPr="000551DE">
        <w:rPr>
          <w:rFonts w:ascii="Georgia" w:hAnsi="Georgia"/>
        </w:rPr>
        <w:t>Swaranjeet (2013) carried out a scholarly investigation</w:t>
      </w:r>
      <w:r w:rsidRPr="000551DE">
        <w:rPr>
          <w:rFonts w:ascii="Georgia" w:hAnsi="Georgia"/>
          <w:lang w:val="en-US"/>
        </w:rPr>
        <w:t xml:space="preserve"> on </w:t>
      </w:r>
      <w:r w:rsidRPr="000551DE">
        <w:rPr>
          <w:rFonts w:ascii="Georgia" w:hAnsi="Georgia"/>
        </w:rPr>
        <w:t xml:space="preserve">the elements that result to </w:t>
      </w:r>
      <w:r w:rsidR="008D7577" w:rsidRPr="000551DE">
        <w:rPr>
          <w:rFonts w:ascii="Georgia" w:hAnsi="Georgia"/>
        </w:rPr>
        <w:t xml:space="preserve">the </w:t>
      </w:r>
      <w:r w:rsidRPr="000551DE">
        <w:rPr>
          <w:rFonts w:ascii="Georgia" w:hAnsi="Georgia"/>
        </w:rPr>
        <w:t xml:space="preserve">evaluation </w:t>
      </w:r>
      <w:r w:rsidRPr="000551DE">
        <w:rPr>
          <w:rFonts w:ascii="Georgia" w:hAnsi="Georgia"/>
          <w:lang w:val="en-US"/>
        </w:rPr>
        <w:t xml:space="preserve">of credit risk </w:t>
      </w:r>
      <w:r w:rsidRPr="000551DE">
        <w:rPr>
          <w:rFonts w:ascii="Georgia" w:hAnsi="Georgia"/>
        </w:rPr>
        <w:t>in Indian banking institutions and to equate Credit Risk evaluation routines espoused by Indian public as well as private sector banking institutions,</w:t>
      </w:r>
      <w:r w:rsidRPr="000551DE">
        <w:rPr>
          <w:rFonts w:ascii="Georgia" w:hAnsi="Georgia"/>
          <w:lang w:val="en-US"/>
        </w:rPr>
        <w:t xml:space="preserve"> where</w:t>
      </w:r>
      <w:r w:rsidRPr="000551DE">
        <w:rPr>
          <w:rFonts w:ascii="Georgia" w:hAnsi="Georgia"/>
        </w:rPr>
        <w:t xml:space="preserve"> the empirical investigation </w:t>
      </w:r>
      <w:r w:rsidRPr="000551DE">
        <w:rPr>
          <w:rFonts w:ascii="Georgia" w:hAnsi="Georgia"/>
          <w:lang w:val="en-US"/>
        </w:rPr>
        <w:t>was</w:t>
      </w:r>
      <w:r w:rsidRPr="000551DE">
        <w:rPr>
          <w:rFonts w:ascii="Georgia" w:hAnsi="Georgia"/>
        </w:rPr>
        <w:t xml:space="preserve"> carried out and views of personnel of dissimilar banking institutions tested employing statistical instruments. The investigation </w:t>
      </w:r>
      <w:r w:rsidR="008D7577" w:rsidRPr="000551DE">
        <w:rPr>
          <w:rFonts w:ascii="Georgia" w:hAnsi="Georgia"/>
          <w:lang w:val="en-US"/>
        </w:rPr>
        <w:t>focused</w:t>
      </w:r>
      <w:r w:rsidRPr="000551DE">
        <w:rPr>
          <w:rFonts w:ascii="Georgia" w:hAnsi="Georgia"/>
          <w:lang w:val="en-US"/>
        </w:rPr>
        <w:t xml:space="preserve"> on</w:t>
      </w:r>
      <w:r w:rsidRPr="000551DE">
        <w:rPr>
          <w:rFonts w:ascii="Georgia" w:hAnsi="Georgia"/>
        </w:rPr>
        <w:t xml:space="preserve"> dissimilar perspectives and revealed that </w:t>
      </w:r>
      <w:r w:rsidR="008D7577" w:rsidRPr="000551DE">
        <w:rPr>
          <w:rFonts w:ascii="Georgia" w:hAnsi="Georgia"/>
        </w:rPr>
        <w:t>creditworthiness</w:t>
      </w:r>
      <w:r w:rsidRPr="000551DE">
        <w:rPr>
          <w:rFonts w:ascii="Georgia" w:hAnsi="Georgia"/>
        </w:rPr>
        <w:t xml:space="preserve"> analysis and Collateral demands are the two substantive elements for </w:t>
      </w:r>
      <w:r w:rsidR="00095F67" w:rsidRPr="000551DE">
        <w:rPr>
          <w:rFonts w:ascii="Georgia" w:hAnsi="Georgia"/>
        </w:rPr>
        <w:t>analysing</w:t>
      </w:r>
      <w:r w:rsidRPr="000551DE">
        <w:rPr>
          <w:rFonts w:ascii="Georgia" w:hAnsi="Georgia"/>
        </w:rPr>
        <w:t xml:space="preserve"> Credit Risk. Guided by the descriptive and analytical findings, it determined that Indian banking institutions adeptly manage credit risk. The scholarly investigation’s findings additionally demonstrate that there is </w:t>
      </w:r>
      <w:r w:rsidR="008D7577" w:rsidRPr="000551DE">
        <w:rPr>
          <w:rFonts w:ascii="Georgia" w:hAnsi="Georgia"/>
        </w:rPr>
        <w:t xml:space="preserve">a </w:t>
      </w:r>
      <w:r w:rsidRPr="000551DE">
        <w:rPr>
          <w:rFonts w:ascii="Georgia" w:hAnsi="Georgia"/>
        </w:rPr>
        <w:t>substantial difference between the private sector</w:t>
      </w:r>
      <w:r w:rsidRPr="000551DE">
        <w:rPr>
          <w:rFonts w:ascii="Georgia" w:hAnsi="Georgia"/>
          <w:lang w:val="en-US"/>
        </w:rPr>
        <w:t xml:space="preserve"> and the</w:t>
      </w:r>
      <w:r w:rsidRPr="000551DE">
        <w:rPr>
          <w:rFonts w:ascii="Georgia" w:hAnsi="Georgia"/>
        </w:rPr>
        <w:t xml:space="preserve"> Indian Public banking institutions in evaluating credit risk.</w:t>
      </w:r>
    </w:p>
    <w:p w14:paraId="68AF9580" w14:textId="14280899" w:rsidR="00AC36E6" w:rsidRPr="000551DE" w:rsidRDefault="00095F67" w:rsidP="000551DE">
      <w:pPr>
        <w:pStyle w:val="BodyText"/>
        <w:spacing w:before="120"/>
        <w:jc w:val="both"/>
        <w:rPr>
          <w:rFonts w:ascii="Georgia" w:hAnsi="Georgia"/>
        </w:rPr>
      </w:pPr>
      <w:proofErr w:type="spellStart"/>
      <w:r w:rsidRPr="000551DE">
        <w:rPr>
          <w:rFonts w:ascii="Georgia" w:hAnsi="Georgia"/>
        </w:rPr>
        <w:t>Yogita</w:t>
      </w:r>
      <w:proofErr w:type="spellEnd"/>
      <w:r w:rsidR="00AC36E6" w:rsidRPr="000551DE">
        <w:rPr>
          <w:rFonts w:ascii="Georgia" w:hAnsi="Georgia"/>
        </w:rPr>
        <w:t xml:space="preserve"> (2010) </w:t>
      </w:r>
      <w:r w:rsidRPr="000551DE">
        <w:rPr>
          <w:rFonts w:ascii="Georgia" w:hAnsi="Georgia"/>
        </w:rPr>
        <w:t>analysed</w:t>
      </w:r>
      <w:r w:rsidR="00AC36E6" w:rsidRPr="000551DE">
        <w:rPr>
          <w:rFonts w:ascii="Georgia" w:hAnsi="Georgia"/>
        </w:rPr>
        <w:t xml:space="preserve"> the effect of size and ownership of banking institutions on the scope or extent of operational risk management routines or methods employed by the banking institutions making use of a survey constituting the administering of a questionnaire</w:t>
      </w:r>
      <w:r w:rsidR="00AC36E6" w:rsidRPr="000551DE">
        <w:rPr>
          <w:rFonts w:ascii="Georgia" w:hAnsi="Georgia"/>
          <w:lang w:val="en-US"/>
        </w:rPr>
        <w:t xml:space="preserve"> to</w:t>
      </w:r>
      <w:r w:rsidR="00AC36E6" w:rsidRPr="000551DE">
        <w:rPr>
          <w:rFonts w:ascii="Georgia" w:hAnsi="Georgia"/>
        </w:rPr>
        <w:t xml:space="preserve"> predominant</w:t>
      </w:r>
      <w:proofErr w:type="spellStart"/>
      <w:r w:rsidR="00AC36E6" w:rsidRPr="000551DE">
        <w:rPr>
          <w:rFonts w:ascii="Georgia" w:hAnsi="Georgia"/>
          <w:lang w:val="en-US"/>
        </w:rPr>
        <w:t>ly</w:t>
      </w:r>
      <w:proofErr w:type="spellEnd"/>
      <w:r w:rsidR="00AC36E6" w:rsidRPr="000551DE">
        <w:rPr>
          <w:rFonts w:ascii="Georgia" w:hAnsi="Georgia"/>
        </w:rPr>
        <w:t xml:space="preserve"> examine the methods employed by Indian Banking institutions in </w:t>
      </w:r>
      <w:r w:rsidR="007C27BE" w:rsidRPr="000551DE">
        <w:rPr>
          <w:rFonts w:ascii="Georgia" w:hAnsi="Georgia"/>
        </w:rPr>
        <w:t xml:space="preserve">the </w:t>
      </w:r>
      <w:r w:rsidR="00AC36E6" w:rsidRPr="000551DE">
        <w:rPr>
          <w:rFonts w:ascii="Georgia" w:hAnsi="Georgia"/>
        </w:rPr>
        <w:t xml:space="preserve">handling of operational risk necessary for the realization of Advanced Measurement Approach (subsequently defined as AMA) for a </w:t>
      </w:r>
      <w:r w:rsidR="001A406F" w:rsidRPr="000551DE">
        <w:rPr>
          <w:rFonts w:ascii="Georgia" w:hAnsi="Georgia"/>
          <w:spacing w:val="2"/>
        </w:rPr>
        <w:t>cross–section</w:t>
      </w:r>
      <w:r w:rsidR="00AC36E6" w:rsidRPr="000551DE">
        <w:rPr>
          <w:rFonts w:ascii="Georgia" w:hAnsi="Georgia"/>
        </w:rPr>
        <w:t xml:space="preserve"> of </w:t>
      </w:r>
      <w:r w:rsidR="00AC36E6" w:rsidRPr="000551DE">
        <w:rPr>
          <w:rFonts w:ascii="Georgia" w:hAnsi="Georgia"/>
          <w:spacing w:val="2"/>
        </w:rPr>
        <w:t xml:space="preserve">Indian </w:t>
      </w:r>
      <w:r w:rsidR="00AC36E6" w:rsidRPr="000551DE">
        <w:rPr>
          <w:rFonts w:ascii="Georgia" w:hAnsi="Georgia"/>
        </w:rPr>
        <w:t xml:space="preserve">Banking institutions and globally undertake a relative or approximate evaluation guided by AMA conforming banking institutions. </w:t>
      </w:r>
    </w:p>
    <w:p w14:paraId="1426C9A4" w14:textId="74D844E0" w:rsidR="00AC36E6" w:rsidRPr="000551DE" w:rsidRDefault="00AC36E6" w:rsidP="000551DE">
      <w:pPr>
        <w:pStyle w:val="BodyText"/>
        <w:spacing w:before="120"/>
        <w:jc w:val="both"/>
        <w:rPr>
          <w:rFonts w:ascii="Georgia" w:hAnsi="Georgia"/>
        </w:rPr>
      </w:pPr>
      <w:r w:rsidRPr="000551DE">
        <w:rPr>
          <w:rFonts w:ascii="Georgia" w:hAnsi="Georgia"/>
        </w:rPr>
        <w:t xml:space="preserve">Bodla, Verma, </w:t>
      </w:r>
      <w:r w:rsidR="00970D35">
        <w:rPr>
          <w:rFonts w:ascii="Georgia" w:hAnsi="Georgia"/>
        </w:rPr>
        <w:t xml:space="preserve">and </w:t>
      </w:r>
      <w:r w:rsidRPr="000551DE">
        <w:rPr>
          <w:rFonts w:ascii="Georgia" w:hAnsi="Georgia"/>
        </w:rPr>
        <w:t xml:space="preserve">Richa (2009) undertook a scholarly investigation on </w:t>
      </w:r>
      <w:r w:rsidR="007C27BE" w:rsidRPr="000551DE">
        <w:rPr>
          <w:rFonts w:ascii="Georgia" w:hAnsi="Georgia"/>
        </w:rPr>
        <w:t xml:space="preserve">the </w:t>
      </w:r>
      <w:r w:rsidRPr="000551DE">
        <w:rPr>
          <w:rFonts w:ascii="Georgia" w:hAnsi="Georgia"/>
        </w:rPr>
        <w:t xml:space="preserve">execution of the credit risk management architecture by commercial banking institutions in India. </w:t>
      </w:r>
      <w:r w:rsidR="007C27BE" w:rsidRPr="000551DE">
        <w:rPr>
          <w:rFonts w:ascii="Georgia" w:hAnsi="Georgia"/>
        </w:rPr>
        <w:t>The findings</w:t>
      </w:r>
      <w:r w:rsidRPr="000551DE">
        <w:rPr>
          <w:rFonts w:ascii="Georgia" w:hAnsi="Georgia"/>
        </w:rPr>
        <w:t xml:space="preserve"> of this investigation demonstrate that the prerogative for </w:t>
      </w:r>
      <w:r w:rsidR="007C27BE" w:rsidRPr="000551DE">
        <w:rPr>
          <w:rFonts w:ascii="Georgia" w:hAnsi="Georgia"/>
        </w:rPr>
        <w:t xml:space="preserve">the </w:t>
      </w:r>
      <w:r w:rsidR="00244D1D">
        <w:rPr>
          <w:rFonts w:ascii="Georgia" w:hAnsi="Georgia"/>
        </w:rPr>
        <w:t xml:space="preserve">appropriation </w:t>
      </w:r>
      <w:r w:rsidRPr="000551DE">
        <w:rPr>
          <w:rFonts w:ascii="Georgia" w:hAnsi="Georgia"/>
        </w:rPr>
        <w:t xml:space="preserve">of credit risk vests with </w:t>
      </w:r>
      <w:r w:rsidR="007C27BE" w:rsidRPr="000551DE">
        <w:rPr>
          <w:rFonts w:ascii="Georgia" w:hAnsi="Georgia"/>
        </w:rPr>
        <w:t xml:space="preserve">the </w:t>
      </w:r>
      <w:r w:rsidRPr="000551DE">
        <w:rPr>
          <w:rFonts w:ascii="Georgia" w:hAnsi="Georgia"/>
        </w:rPr>
        <w:t>board of directors in 94.4%</w:t>
      </w:r>
      <w:r w:rsidRPr="000551DE">
        <w:rPr>
          <w:rFonts w:ascii="Georgia" w:hAnsi="Georgia"/>
          <w:lang w:val="en-US"/>
        </w:rPr>
        <w:t xml:space="preserve"> of banks in the public division</w:t>
      </w:r>
      <w:r w:rsidRPr="000551DE">
        <w:rPr>
          <w:rFonts w:ascii="Georgia" w:hAnsi="Georgia"/>
        </w:rPr>
        <w:t xml:space="preserve"> and 62.5% </w:t>
      </w:r>
      <w:r w:rsidRPr="000551DE">
        <w:rPr>
          <w:rFonts w:ascii="Georgia" w:hAnsi="Georgia"/>
          <w:lang w:val="en-US"/>
        </w:rPr>
        <w:t>in</w:t>
      </w:r>
      <w:r w:rsidR="001261F1" w:rsidRPr="000551DE">
        <w:rPr>
          <w:rFonts w:ascii="Georgia" w:hAnsi="Georgia"/>
          <w:lang w:val="en-US"/>
        </w:rPr>
        <w:t xml:space="preserve"> </w:t>
      </w:r>
      <w:r w:rsidRPr="000551DE">
        <w:rPr>
          <w:rFonts w:ascii="Georgia" w:hAnsi="Georgia"/>
        </w:rPr>
        <w:t xml:space="preserve">private sector banking institutions. </w:t>
      </w:r>
      <w:r w:rsidRPr="000551DE">
        <w:rPr>
          <w:rFonts w:ascii="Georgia" w:hAnsi="Georgia"/>
          <w:lang w:val="en-US"/>
        </w:rPr>
        <w:t xml:space="preserve">In </w:t>
      </w:r>
      <w:r w:rsidRPr="000551DE">
        <w:rPr>
          <w:rFonts w:ascii="Georgia" w:hAnsi="Georgia"/>
        </w:rPr>
        <w:t xml:space="preserve">the remaining banking institutions, </w:t>
      </w:r>
      <w:r w:rsidRPr="000551DE">
        <w:rPr>
          <w:rFonts w:ascii="Georgia" w:hAnsi="Georgia"/>
          <w:lang w:val="en-US"/>
        </w:rPr>
        <w:t xml:space="preserve">this prerogative </w:t>
      </w:r>
      <w:r w:rsidR="00170EAC" w:rsidRPr="000551DE">
        <w:rPr>
          <w:rFonts w:ascii="Georgia" w:hAnsi="Georgia"/>
        </w:rPr>
        <w:t>nevertheless</w:t>
      </w:r>
      <w:r w:rsidRPr="000551DE">
        <w:rPr>
          <w:rFonts w:ascii="Georgia" w:hAnsi="Georgia"/>
        </w:rPr>
        <w:t xml:space="preserve"> rests with the credit policy committee. I</w:t>
      </w:r>
      <w:r w:rsidRPr="000551DE">
        <w:rPr>
          <w:rFonts w:ascii="Georgia" w:hAnsi="Georgia"/>
          <w:lang w:val="en-US"/>
        </w:rPr>
        <w:t>n</w:t>
      </w:r>
      <w:r w:rsidRPr="000551DE">
        <w:rPr>
          <w:rFonts w:ascii="Georgia" w:hAnsi="Georgia"/>
        </w:rPr>
        <w:t xml:space="preserve"> terms of credit risk management, </w:t>
      </w:r>
      <w:r w:rsidR="00B33C95">
        <w:rPr>
          <w:rFonts w:ascii="Georgia" w:hAnsi="Georgia"/>
        </w:rPr>
        <w:t xml:space="preserve">the </w:t>
      </w:r>
      <w:r w:rsidRPr="000551DE">
        <w:rPr>
          <w:rFonts w:ascii="Georgia" w:hAnsi="Georgia"/>
        </w:rPr>
        <w:t>majority of banking institutions are found performing diverse activities</w:t>
      </w:r>
      <w:r w:rsidR="00244D1D">
        <w:rPr>
          <w:rFonts w:ascii="Georgia" w:hAnsi="Georgia"/>
        </w:rPr>
        <w:t>,</w:t>
      </w:r>
      <w:r w:rsidRPr="000551DE">
        <w:rPr>
          <w:rFonts w:ascii="Georgia" w:hAnsi="Georgia"/>
        </w:rPr>
        <w:t xml:space="preserve"> </w:t>
      </w:r>
      <w:r w:rsidR="001261F1" w:rsidRPr="000551DE">
        <w:rPr>
          <w:rFonts w:ascii="Georgia" w:hAnsi="Georgia"/>
        </w:rPr>
        <w:t>including</w:t>
      </w:r>
      <w:r w:rsidRPr="000551DE">
        <w:rPr>
          <w:rFonts w:ascii="Georgia" w:hAnsi="Georgia"/>
        </w:rPr>
        <w:t xml:space="preserve"> annual re-evaluation of accounts, industry </w:t>
      </w:r>
      <w:r w:rsidR="001261F1" w:rsidRPr="000551DE">
        <w:rPr>
          <w:rFonts w:ascii="Georgia" w:hAnsi="Georgia"/>
        </w:rPr>
        <w:t>surveys</w:t>
      </w:r>
      <w:r w:rsidRPr="000551DE">
        <w:rPr>
          <w:rFonts w:ascii="Georgia" w:hAnsi="Georgia"/>
        </w:rPr>
        <w:t>, recurrent plant visits, formulating MIS, recurrent credit calls</w:t>
      </w:r>
      <w:r w:rsidR="00244D1D">
        <w:rPr>
          <w:rFonts w:ascii="Georgia" w:hAnsi="Georgia"/>
        </w:rPr>
        <w:t>,</w:t>
      </w:r>
      <w:r w:rsidRPr="000551DE">
        <w:rPr>
          <w:rFonts w:ascii="Georgia" w:hAnsi="Georgia"/>
        </w:rPr>
        <w:t xml:space="preserve"> and risk tallying. Notwithstanding, the banking institutions in India are ceasing or refraining from </w:t>
      </w:r>
      <w:r w:rsidR="001261F1" w:rsidRPr="000551DE">
        <w:rPr>
          <w:rFonts w:ascii="Georgia" w:hAnsi="Georgia"/>
        </w:rPr>
        <w:t xml:space="preserve">the </w:t>
      </w:r>
      <w:r w:rsidRPr="000551DE">
        <w:rPr>
          <w:rFonts w:ascii="Georgia" w:hAnsi="Georgia"/>
        </w:rPr>
        <w:t xml:space="preserve">application of derivatives products as </w:t>
      </w:r>
      <w:r w:rsidR="001261F1" w:rsidRPr="000551DE">
        <w:rPr>
          <w:rFonts w:ascii="Georgia" w:hAnsi="Georgia"/>
        </w:rPr>
        <w:t>risk-safeguarding</w:t>
      </w:r>
      <w:r w:rsidRPr="000551DE">
        <w:rPr>
          <w:rFonts w:ascii="Georgia" w:hAnsi="Georgia"/>
        </w:rPr>
        <w:t xml:space="preserve"> </w:t>
      </w:r>
      <w:r w:rsidR="001261F1" w:rsidRPr="000551DE">
        <w:rPr>
          <w:rFonts w:ascii="Georgia" w:hAnsi="Georgia"/>
        </w:rPr>
        <w:t>instruments</w:t>
      </w:r>
      <w:r w:rsidRPr="000551DE">
        <w:rPr>
          <w:rFonts w:ascii="Georgia" w:hAnsi="Georgia"/>
        </w:rPr>
        <w:t>. Th</w:t>
      </w:r>
      <w:r w:rsidRPr="000551DE">
        <w:rPr>
          <w:rFonts w:ascii="Georgia" w:hAnsi="Georgia"/>
          <w:lang w:val="en-US"/>
        </w:rPr>
        <w:t xml:space="preserve">is </w:t>
      </w:r>
      <w:r w:rsidRPr="000551DE">
        <w:rPr>
          <w:rFonts w:ascii="Georgia" w:hAnsi="Georgia"/>
        </w:rPr>
        <w:t xml:space="preserve">investigation has emphasized that regardless of </w:t>
      </w:r>
      <w:r w:rsidR="001261F1" w:rsidRPr="000551DE">
        <w:rPr>
          <w:rFonts w:ascii="Georgia" w:hAnsi="Georgia"/>
        </w:rPr>
        <w:t xml:space="preserve">the </w:t>
      </w:r>
      <w:r w:rsidRPr="000551DE">
        <w:rPr>
          <w:rFonts w:ascii="Georgia" w:hAnsi="Georgia"/>
        </w:rPr>
        <w:t xml:space="preserve">sector as well as </w:t>
      </w:r>
      <w:r w:rsidR="001261F1" w:rsidRPr="000551DE">
        <w:rPr>
          <w:rFonts w:ascii="Georgia" w:hAnsi="Georgia"/>
        </w:rPr>
        <w:t xml:space="preserve">the </w:t>
      </w:r>
      <w:r w:rsidRPr="000551DE">
        <w:rPr>
          <w:rFonts w:ascii="Georgia" w:hAnsi="Georgia"/>
        </w:rPr>
        <w:t xml:space="preserve">size of </w:t>
      </w:r>
      <w:r w:rsidR="001261F1" w:rsidRPr="000551DE">
        <w:rPr>
          <w:rFonts w:ascii="Georgia" w:hAnsi="Georgia"/>
        </w:rPr>
        <w:t xml:space="preserve">the </w:t>
      </w:r>
      <w:r w:rsidRPr="000551DE">
        <w:rPr>
          <w:rFonts w:ascii="Georgia" w:hAnsi="Georgia"/>
        </w:rPr>
        <w:t>bank, credit risk management architecture in India is progressing very well and it is wholly guided by the RBI’s recommendations issued on this matter.</w:t>
      </w:r>
    </w:p>
    <w:p w14:paraId="3BA975B3" w14:textId="0B371DDE" w:rsidR="00AC36E6" w:rsidRPr="000551DE" w:rsidRDefault="00AC36E6" w:rsidP="000551DE">
      <w:pPr>
        <w:pStyle w:val="ListParagraph"/>
        <w:tabs>
          <w:tab w:val="left" w:pos="1399"/>
          <w:tab w:val="left" w:pos="1400"/>
          <w:tab w:val="left" w:pos="5695"/>
        </w:tabs>
        <w:spacing w:before="120" w:after="0" w:line="240" w:lineRule="auto"/>
        <w:ind w:left="0"/>
        <w:jc w:val="both"/>
        <w:rPr>
          <w:rFonts w:ascii="Georgia" w:hAnsi="Georgia"/>
          <w:sz w:val="24"/>
          <w:szCs w:val="24"/>
        </w:rPr>
      </w:pPr>
      <w:r w:rsidRPr="000551DE">
        <w:rPr>
          <w:rFonts w:ascii="Georgia" w:hAnsi="Georgia"/>
          <w:sz w:val="24"/>
          <w:szCs w:val="24"/>
        </w:rPr>
        <w:t>Asim, Abdullah, et.al (2012)</w:t>
      </w:r>
      <w:r w:rsidRPr="000551DE">
        <w:rPr>
          <w:rFonts w:ascii="Georgia" w:hAnsi="Georgia"/>
          <w:spacing w:val="5"/>
          <w:sz w:val="24"/>
          <w:szCs w:val="24"/>
        </w:rPr>
        <w:t xml:space="preserve"> </w:t>
      </w:r>
      <w:r w:rsidRPr="000551DE">
        <w:rPr>
          <w:rFonts w:ascii="Georgia" w:hAnsi="Georgia"/>
          <w:sz w:val="24"/>
          <w:szCs w:val="24"/>
        </w:rPr>
        <w:t>assessed the banking institutions’</w:t>
      </w:r>
      <w:r w:rsidRPr="000551DE">
        <w:rPr>
          <w:rFonts w:ascii="Georgia" w:hAnsi="Georgia"/>
          <w:spacing w:val="1"/>
          <w:sz w:val="24"/>
          <w:szCs w:val="24"/>
        </w:rPr>
        <w:t xml:space="preserve"> </w:t>
      </w:r>
      <w:r w:rsidRPr="000551DE">
        <w:rPr>
          <w:rFonts w:ascii="Georgia" w:hAnsi="Georgia"/>
          <w:sz w:val="24"/>
          <w:szCs w:val="24"/>
        </w:rPr>
        <w:t xml:space="preserve">level of risk identification factors including those that present more effect on the credit risk </w:t>
      </w:r>
      <w:r w:rsidR="003E488D" w:rsidRPr="000551DE">
        <w:rPr>
          <w:rFonts w:ascii="Georgia" w:hAnsi="Georgia"/>
          <w:sz w:val="24"/>
          <w:szCs w:val="24"/>
        </w:rPr>
        <w:t>management</w:t>
      </w:r>
      <w:r w:rsidRPr="000551DE">
        <w:rPr>
          <w:rFonts w:ascii="Georgia" w:hAnsi="Georgia"/>
          <w:sz w:val="24"/>
          <w:szCs w:val="24"/>
        </w:rPr>
        <w:t xml:space="preserve"> of local or national as well as foreign banking institutions in Pakistan. Secondary data for the duration between 2001 and 2010 was employed, obtained from diverse or dissimilar data sources. </w:t>
      </w:r>
      <w:r w:rsidR="00493F4D" w:rsidRPr="000551DE">
        <w:rPr>
          <w:rFonts w:ascii="Georgia" w:hAnsi="Georgia"/>
          <w:sz w:val="24"/>
          <w:szCs w:val="24"/>
        </w:rPr>
        <w:t>A banking</w:t>
      </w:r>
      <w:r w:rsidRPr="000551DE">
        <w:rPr>
          <w:rFonts w:ascii="Georgia" w:hAnsi="Georgia"/>
          <w:sz w:val="24"/>
          <w:szCs w:val="24"/>
        </w:rPr>
        <w:t xml:space="preserve"> institution’s size presented a positive and substantial association with credit risk in local or national banking institutions</w:t>
      </w:r>
      <w:r w:rsidRPr="000551DE">
        <w:rPr>
          <w:rFonts w:ascii="Georgia" w:hAnsi="Georgia"/>
          <w:spacing w:val="22"/>
          <w:sz w:val="24"/>
          <w:szCs w:val="24"/>
        </w:rPr>
        <w:t xml:space="preserve"> </w:t>
      </w:r>
      <w:r w:rsidRPr="000551DE">
        <w:rPr>
          <w:rFonts w:ascii="Georgia" w:hAnsi="Georgia"/>
          <w:sz w:val="24"/>
          <w:szCs w:val="24"/>
        </w:rPr>
        <w:t xml:space="preserve">and positive and insubstantial in foreign banking institutions. Liquid assets and credit risk presented a positive along with an unsubstantial association in local or national banking institutions and </w:t>
      </w:r>
      <w:r w:rsidR="00493F4D" w:rsidRPr="000551DE">
        <w:rPr>
          <w:rFonts w:ascii="Georgia" w:hAnsi="Georgia"/>
          <w:sz w:val="24"/>
          <w:szCs w:val="24"/>
        </w:rPr>
        <w:t xml:space="preserve">a </w:t>
      </w:r>
      <w:r w:rsidRPr="000551DE">
        <w:rPr>
          <w:rFonts w:ascii="Georgia" w:hAnsi="Georgia"/>
          <w:sz w:val="24"/>
          <w:szCs w:val="24"/>
        </w:rPr>
        <w:t>negative as well as a substantial in foreign</w:t>
      </w:r>
      <w:r w:rsidRPr="000551DE">
        <w:rPr>
          <w:rFonts w:ascii="Georgia" w:hAnsi="Georgia"/>
          <w:spacing w:val="14"/>
          <w:sz w:val="24"/>
          <w:szCs w:val="24"/>
        </w:rPr>
        <w:t xml:space="preserve"> </w:t>
      </w:r>
      <w:r w:rsidRPr="000551DE">
        <w:rPr>
          <w:rFonts w:ascii="Georgia" w:hAnsi="Georgia"/>
          <w:sz w:val="24"/>
          <w:szCs w:val="24"/>
        </w:rPr>
        <w:t>banking institutions.</w:t>
      </w:r>
      <w:r w:rsidRPr="000551DE">
        <w:rPr>
          <w:rFonts w:ascii="Georgia" w:hAnsi="Georgia"/>
          <w:spacing w:val="15"/>
          <w:sz w:val="24"/>
          <w:szCs w:val="24"/>
        </w:rPr>
        <w:t xml:space="preserve"> </w:t>
      </w:r>
      <w:r w:rsidRPr="000551DE">
        <w:rPr>
          <w:rFonts w:ascii="Georgia" w:hAnsi="Georgia"/>
          <w:sz w:val="24"/>
          <w:szCs w:val="24"/>
        </w:rPr>
        <w:t>The</w:t>
      </w:r>
      <w:r w:rsidRPr="000551DE">
        <w:rPr>
          <w:rFonts w:ascii="Georgia" w:hAnsi="Georgia"/>
          <w:spacing w:val="17"/>
          <w:sz w:val="24"/>
          <w:szCs w:val="24"/>
        </w:rPr>
        <w:t xml:space="preserve"> scholarly </w:t>
      </w:r>
      <w:r w:rsidRPr="000551DE">
        <w:rPr>
          <w:rFonts w:ascii="Georgia" w:hAnsi="Georgia"/>
          <w:sz w:val="24"/>
          <w:szCs w:val="24"/>
        </w:rPr>
        <w:t>investigator</w:t>
      </w:r>
      <w:r w:rsidRPr="000551DE">
        <w:rPr>
          <w:rFonts w:ascii="Georgia" w:hAnsi="Georgia"/>
          <w:spacing w:val="30"/>
          <w:sz w:val="24"/>
          <w:szCs w:val="24"/>
        </w:rPr>
        <w:t xml:space="preserve"> </w:t>
      </w:r>
      <w:r w:rsidRPr="000551DE">
        <w:rPr>
          <w:rFonts w:ascii="Georgia" w:hAnsi="Georgia"/>
          <w:sz w:val="24"/>
          <w:szCs w:val="24"/>
        </w:rPr>
        <w:t>has</w:t>
      </w:r>
      <w:r w:rsidRPr="000551DE">
        <w:rPr>
          <w:rFonts w:ascii="Georgia" w:hAnsi="Georgia"/>
          <w:spacing w:val="15"/>
          <w:sz w:val="24"/>
          <w:szCs w:val="24"/>
        </w:rPr>
        <w:t xml:space="preserve"> </w:t>
      </w:r>
      <w:r w:rsidRPr="000551DE">
        <w:rPr>
          <w:rFonts w:ascii="Georgia" w:hAnsi="Georgia"/>
          <w:sz w:val="24"/>
          <w:szCs w:val="24"/>
        </w:rPr>
        <w:t>proposed</w:t>
      </w:r>
      <w:r w:rsidRPr="000551DE">
        <w:rPr>
          <w:rFonts w:ascii="Georgia" w:hAnsi="Georgia"/>
          <w:spacing w:val="17"/>
          <w:sz w:val="24"/>
          <w:szCs w:val="24"/>
        </w:rPr>
        <w:t xml:space="preserve"> </w:t>
      </w:r>
      <w:r w:rsidRPr="000551DE">
        <w:rPr>
          <w:rFonts w:ascii="Georgia" w:hAnsi="Georgia"/>
          <w:sz w:val="24"/>
          <w:szCs w:val="24"/>
        </w:rPr>
        <w:t>that</w:t>
      </w:r>
      <w:r w:rsidRPr="000551DE">
        <w:rPr>
          <w:rFonts w:ascii="Georgia" w:hAnsi="Georgia"/>
          <w:spacing w:val="16"/>
          <w:sz w:val="24"/>
          <w:szCs w:val="24"/>
        </w:rPr>
        <w:t xml:space="preserve"> </w:t>
      </w:r>
      <w:r w:rsidRPr="000551DE">
        <w:rPr>
          <w:rFonts w:ascii="Georgia" w:hAnsi="Georgia"/>
          <w:sz w:val="24"/>
          <w:szCs w:val="24"/>
        </w:rPr>
        <w:t>credit</w:t>
      </w:r>
      <w:r w:rsidRPr="000551DE">
        <w:rPr>
          <w:rFonts w:ascii="Georgia" w:hAnsi="Georgia"/>
          <w:spacing w:val="16"/>
          <w:sz w:val="24"/>
          <w:szCs w:val="24"/>
        </w:rPr>
        <w:t xml:space="preserve"> </w:t>
      </w:r>
      <w:r w:rsidRPr="000551DE">
        <w:rPr>
          <w:rFonts w:ascii="Georgia" w:hAnsi="Georgia"/>
          <w:sz w:val="24"/>
          <w:szCs w:val="24"/>
        </w:rPr>
        <w:t>risk</w:t>
      </w:r>
      <w:r w:rsidRPr="000551DE">
        <w:rPr>
          <w:rFonts w:ascii="Georgia" w:hAnsi="Georgia"/>
          <w:spacing w:val="14"/>
          <w:sz w:val="24"/>
          <w:szCs w:val="24"/>
        </w:rPr>
        <w:t xml:space="preserve"> </w:t>
      </w:r>
      <w:r w:rsidRPr="000551DE">
        <w:rPr>
          <w:rFonts w:ascii="Georgia" w:hAnsi="Georgia"/>
          <w:sz w:val="24"/>
          <w:szCs w:val="24"/>
        </w:rPr>
        <w:t>could be</w:t>
      </w:r>
      <w:r w:rsidRPr="000551DE">
        <w:rPr>
          <w:rFonts w:ascii="Georgia" w:hAnsi="Georgia"/>
          <w:spacing w:val="16"/>
          <w:sz w:val="24"/>
          <w:szCs w:val="24"/>
        </w:rPr>
        <w:t xml:space="preserve"> </w:t>
      </w:r>
      <w:r w:rsidRPr="000551DE">
        <w:rPr>
          <w:rFonts w:ascii="Georgia" w:hAnsi="Georgia"/>
          <w:sz w:val="24"/>
          <w:szCs w:val="24"/>
        </w:rPr>
        <w:t>diminished or reduced</w:t>
      </w:r>
      <w:r w:rsidRPr="000551DE">
        <w:rPr>
          <w:rFonts w:ascii="Georgia" w:hAnsi="Georgia"/>
          <w:spacing w:val="14"/>
          <w:sz w:val="24"/>
          <w:szCs w:val="24"/>
        </w:rPr>
        <w:t xml:space="preserve"> </w:t>
      </w:r>
      <w:r w:rsidRPr="000551DE">
        <w:rPr>
          <w:rFonts w:ascii="Georgia" w:hAnsi="Georgia"/>
          <w:sz w:val="24"/>
          <w:szCs w:val="24"/>
        </w:rPr>
        <w:t xml:space="preserve">provided </w:t>
      </w:r>
      <w:r w:rsidR="00493F4D" w:rsidRPr="000551DE">
        <w:rPr>
          <w:rFonts w:ascii="Georgia" w:hAnsi="Georgia"/>
          <w:sz w:val="24"/>
          <w:szCs w:val="24"/>
        </w:rPr>
        <w:t xml:space="preserve">the </w:t>
      </w:r>
      <w:r w:rsidRPr="000551DE">
        <w:rPr>
          <w:rFonts w:ascii="Georgia" w:hAnsi="Georgia"/>
          <w:sz w:val="24"/>
          <w:szCs w:val="24"/>
        </w:rPr>
        <w:t xml:space="preserve">size of the banking institutions </w:t>
      </w:r>
      <w:r w:rsidR="00493F4D" w:rsidRPr="000551DE">
        <w:rPr>
          <w:rFonts w:ascii="Georgia" w:hAnsi="Georgia"/>
          <w:sz w:val="24"/>
          <w:szCs w:val="24"/>
        </w:rPr>
        <w:t>is</w:t>
      </w:r>
      <w:r w:rsidRPr="000551DE">
        <w:rPr>
          <w:rFonts w:ascii="Georgia" w:hAnsi="Georgia"/>
          <w:sz w:val="24"/>
          <w:szCs w:val="24"/>
        </w:rPr>
        <w:t xml:space="preserve"> sustained within a prescribed limit and grow liquidity of the banking institutions.</w:t>
      </w:r>
    </w:p>
    <w:p w14:paraId="1AFD8A47" w14:textId="1E3A2107" w:rsidR="00AC36E6" w:rsidRDefault="00AC36E6" w:rsidP="000551DE">
      <w:pPr>
        <w:pStyle w:val="BodyText"/>
        <w:spacing w:before="120"/>
        <w:jc w:val="both"/>
        <w:rPr>
          <w:rFonts w:ascii="Georgia" w:hAnsi="Georgia"/>
        </w:rPr>
      </w:pPr>
      <w:r w:rsidRPr="000551DE">
        <w:rPr>
          <w:rFonts w:ascii="Georgia" w:hAnsi="Georgia"/>
        </w:rPr>
        <w:t xml:space="preserve">Ahmed et.al (2011) carried out an investigation targeting banking institutions in Pakistan guided by sampled banking institutions for the duration 2006 to 2009 on risk identification. Data for their research was gathered making use of secondary sources. Additionally, they employed Pearson correlation to determine the association between variables </w:t>
      </w:r>
      <w:r w:rsidR="003D1163" w:rsidRPr="000551DE">
        <w:rPr>
          <w:rFonts w:ascii="Georgia" w:hAnsi="Georgia"/>
        </w:rPr>
        <w:t>and</w:t>
      </w:r>
      <w:r w:rsidRPr="000551DE">
        <w:rPr>
          <w:rFonts w:ascii="Georgia" w:hAnsi="Georgia"/>
          <w:lang w:val="en-US"/>
        </w:rPr>
        <w:t xml:space="preserve"> applied </w:t>
      </w:r>
      <w:r w:rsidRPr="000551DE">
        <w:rPr>
          <w:rFonts w:ascii="Georgia" w:hAnsi="Georgia"/>
        </w:rPr>
        <w:t xml:space="preserve">regression to establish the coefficients. The findings demonstrated that </w:t>
      </w:r>
      <w:r w:rsidR="00493F4D" w:rsidRPr="000551DE">
        <w:rPr>
          <w:rFonts w:ascii="Georgia" w:hAnsi="Georgia"/>
        </w:rPr>
        <w:t xml:space="preserve">the </w:t>
      </w:r>
      <w:r w:rsidRPr="000551DE">
        <w:rPr>
          <w:rFonts w:ascii="Georgia" w:hAnsi="Georgia"/>
        </w:rPr>
        <w:t>magnitude of banking institutions directly linked or connected with credit risk; at the same time</w:t>
      </w:r>
      <w:r w:rsidRPr="000551DE">
        <w:rPr>
          <w:rFonts w:ascii="Georgia" w:hAnsi="Georgia"/>
          <w:lang w:val="en-US"/>
        </w:rPr>
        <w:t>,</w:t>
      </w:r>
      <w:r w:rsidRPr="000551DE">
        <w:rPr>
          <w:rFonts w:ascii="Georgia" w:hAnsi="Georgia"/>
        </w:rPr>
        <w:t xml:space="preserve"> its relationship with operational risk was established to be negative and statistically insignificant. </w:t>
      </w:r>
    </w:p>
    <w:p w14:paraId="348CBDB9" w14:textId="77777777" w:rsidR="00244D1D" w:rsidRDefault="00244D1D" w:rsidP="000551DE">
      <w:pPr>
        <w:pStyle w:val="BodyText"/>
        <w:spacing w:before="120"/>
        <w:jc w:val="both"/>
        <w:rPr>
          <w:rFonts w:ascii="Georgia" w:hAnsi="Georgia"/>
        </w:rPr>
      </w:pPr>
    </w:p>
    <w:p w14:paraId="2B626D23" w14:textId="77777777" w:rsidR="00244D1D" w:rsidRPr="000551DE" w:rsidRDefault="00244D1D" w:rsidP="000551DE">
      <w:pPr>
        <w:pStyle w:val="BodyText"/>
        <w:spacing w:before="120"/>
        <w:jc w:val="both"/>
        <w:rPr>
          <w:rFonts w:ascii="Georgia" w:hAnsi="Georgia"/>
        </w:rPr>
      </w:pPr>
    </w:p>
    <w:p w14:paraId="4409A8B7" w14:textId="5B748104" w:rsidR="00AC36E6" w:rsidRPr="000551DE" w:rsidRDefault="00AC36E6" w:rsidP="000551DE">
      <w:pPr>
        <w:pStyle w:val="BodyText"/>
        <w:spacing w:before="120"/>
        <w:jc w:val="both"/>
        <w:rPr>
          <w:rFonts w:ascii="Georgia" w:hAnsi="Georgia"/>
        </w:rPr>
      </w:pPr>
      <w:r w:rsidRPr="000551DE">
        <w:rPr>
          <w:rFonts w:ascii="Georgia" w:hAnsi="Georgia"/>
        </w:rPr>
        <w:t>Fatemi and Fooladi (2006) research</w:t>
      </w:r>
      <w:r w:rsidRPr="000551DE">
        <w:rPr>
          <w:rFonts w:ascii="Georgia" w:hAnsi="Georgia"/>
          <w:lang w:val="en-US"/>
        </w:rPr>
        <w:t xml:space="preserve">ed </w:t>
      </w:r>
      <w:r w:rsidRPr="000551DE">
        <w:rPr>
          <w:rFonts w:ascii="Georgia" w:hAnsi="Georgia"/>
        </w:rPr>
        <w:t xml:space="preserve">the prevailing procedures of credit risk identification employed by the biggest financial establishments founded in the US. </w:t>
      </w:r>
      <w:r w:rsidR="007F24EB" w:rsidRPr="000551DE">
        <w:rPr>
          <w:rFonts w:ascii="Georgia" w:hAnsi="Georgia"/>
        </w:rPr>
        <w:t>Because of</w:t>
      </w:r>
      <w:r w:rsidRPr="000551DE">
        <w:rPr>
          <w:rFonts w:ascii="Georgia" w:hAnsi="Georgia"/>
        </w:rPr>
        <w:t xml:space="preserve"> the growing range of counterparties</w:t>
      </w:r>
      <w:r w:rsidR="00244D1D">
        <w:rPr>
          <w:rFonts w:ascii="Georgia" w:hAnsi="Georgia"/>
        </w:rPr>
        <w:t>,</w:t>
      </w:r>
      <w:r w:rsidRPr="000551DE">
        <w:rPr>
          <w:rFonts w:ascii="Georgia" w:hAnsi="Georgia"/>
        </w:rPr>
        <w:t xml:space="preserve"> along with expanding descriptions in the constructs of obligations, credit risk identification has moved to the prominence of risk management operations undertaken by enterprises in the banking industry. This research was conceived to elucidate or clarify the prevailing risk identification procedures of these banking institutions. A concise questionnaire, comprising seven items, was mailed to individual banking institutions ranked among </w:t>
      </w:r>
      <w:r w:rsidRPr="000551DE">
        <w:rPr>
          <w:rFonts w:ascii="Georgia" w:hAnsi="Georgia"/>
          <w:spacing w:val="3"/>
        </w:rPr>
        <w:t xml:space="preserve">the </w:t>
      </w:r>
      <w:r w:rsidRPr="000551DE">
        <w:rPr>
          <w:rFonts w:ascii="Georgia" w:hAnsi="Georgia"/>
        </w:rPr>
        <w:t>top 100 banks that have their headquarters in the United States</w:t>
      </w:r>
      <w:r w:rsidRPr="000551DE">
        <w:rPr>
          <w:rFonts w:ascii="Georgia" w:hAnsi="Georgia"/>
          <w:lang w:val="en-US"/>
        </w:rPr>
        <w:t xml:space="preserve"> the results of which revealed</w:t>
      </w:r>
      <w:r w:rsidRPr="000551DE">
        <w:rPr>
          <w:rFonts w:ascii="Georgia" w:hAnsi="Georgia"/>
        </w:rPr>
        <w:t xml:space="preserve"> that recognizing counterparty default risk is the individual paramount function achieved by the credit risk standards applied. Approximately 50% of the responding banks employ standards that </w:t>
      </w:r>
      <w:r w:rsidR="00AD0E29" w:rsidRPr="000551DE">
        <w:rPr>
          <w:rFonts w:ascii="Georgia" w:hAnsi="Georgia"/>
        </w:rPr>
        <w:t>have</w:t>
      </w:r>
      <w:r w:rsidRPr="000551DE">
        <w:rPr>
          <w:rFonts w:ascii="Georgia" w:hAnsi="Georgia"/>
        </w:rPr>
        <w:t xml:space="preserve"> </w:t>
      </w:r>
      <w:r w:rsidR="00AD0E29" w:rsidRPr="000551DE">
        <w:rPr>
          <w:rFonts w:ascii="Georgia" w:hAnsi="Georgia"/>
        </w:rPr>
        <w:t xml:space="preserve">the </w:t>
      </w:r>
      <w:r w:rsidRPr="000551DE">
        <w:rPr>
          <w:rFonts w:ascii="Georgia" w:hAnsi="Georgia"/>
        </w:rPr>
        <w:t xml:space="preserve">additional capacity </w:t>
      </w:r>
      <w:r w:rsidR="00AD0E29" w:rsidRPr="000551DE">
        <w:rPr>
          <w:rFonts w:ascii="Georgia" w:hAnsi="Georgia"/>
        </w:rPr>
        <w:t>to address</w:t>
      </w:r>
      <w:r w:rsidRPr="000551DE">
        <w:rPr>
          <w:rFonts w:ascii="Georgia" w:hAnsi="Georgia"/>
        </w:rPr>
        <w:t xml:space="preserve"> counterparty migration exposure. Surprisingly, hardly a minority of banking institutions </w:t>
      </w:r>
      <w:r w:rsidR="00AD0E29" w:rsidRPr="000551DE">
        <w:rPr>
          <w:rFonts w:ascii="Georgia" w:hAnsi="Georgia"/>
        </w:rPr>
        <w:t>at</w:t>
      </w:r>
      <w:r w:rsidRPr="000551DE">
        <w:rPr>
          <w:rFonts w:ascii="Georgia" w:hAnsi="Georgia"/>
        </w:rPr>
        <w:t xml:space="preserve"> present employ either a vendor-marketed model or a proprietary to guide their credit risk identification</w:t>
      </w:r>
      <w:r w:rsidRPr="000551DE">
        <w:rPr>
          <w:rFonts w:ascii="Georgia" w:hAnsi="Georgia"/>
          <w:lang w:val="en-US"/>
        </w:rPr>
        <w:t xml:space="preserve"> while those</w:t>
      </w:r>
      <w:r w:rsidRPr="000551DE">
        <w:rPr>
          <w:rFonts w:ascii="Georgia" w:hAnsi="Georgia"/>
        </w:rPr>
        <w:t xml:space="preserve"> u</w:t>
      </w:r>
      <w:r w:rsidRPr="000551DE">
        <w:rPr>
          <w:rFonts w:ascii="Georgia" w:hAnsi="Georgia"/>
          <w:lang w:val="en-US"/>
        </w:rPr>
        <w:t>sing</w:t>
      </w:r>
      <w:r w:rsidR="00AD0E29" w:rsidRPr="000551DE">
        <w:rPr>
          <w:rFonts w:ascii="Georgia" w:hAnsi="Georgia"/>
          <w:lang w:val="en-US"/>
        </w:rPr>
        <w:t xml:space="preserve"> </w:t>
      </w:r>
      <w:r w:rsidRPr="000551DE">
        <w:rPr>
          <w:rFonts w:ascii="Georgia" w:hAnsi="Georgia"/>
        </w:rPr>
        <w:t>their own in-house model</w:t>
      </w:r>
      <w:r w:rsidRPr="000551DE">
        <w:rPr>
          <w:rFonts w:ascii="Georgia" w:hAnsi="Georgia"/>
          <w:lang w:val="en-US"/>
        </w:rPr>
        <w:t>s</w:t>
      </w:r>
      <w:r w:rsidRPr="000551DE">
        <w:rPr>
          <w:rFonts w:ascii="Georgia" w:hAnsi="Georgia"/>
        </w:rPr>
        <w:t xml:space="preserve"> also </w:t>
      </w:r>
      <w:r w:rsidRPr="000551DE">
        <w:rPr>
          <w:rFonts w:ascii="Georgia" w:hAnsi="Georgia"/>
          <w:lang w:val="en-US"/>
        </w:rPr>
        <w:t>make use of</w:t>
      </w:r>
      <w:r w:rsidRPr="000551DE">
        <w:rPr>
          <w:rFonts w:ascii="Georgia" w:hAnsi="Georgia"/>
        </w:rPr>
        <w:t xml:space="preserve"> a vendor-marketed model. </w:t>
      </w:r>
      <w:r w:rsidRPr="000551DE">
        <w:rPr>
          <w:rFonts w:ascii="Georgia" w:hAnsi="Georgia"/>
          <w:lang w:val="en-US"/>
        </w:rPr>
        <w:t>Un</w:t>
      </w:r>
      <w:r w:rsidRPr="000551DE">
        <w:rPr>
          <w:rFonts w:ascii="Georgia" w:hAnsi="Georgia"/>
        </w:rPr>
        <w:t xml:space="preserve">surprisingly, such models are widely used for the identification of non-traded credit loan </w:t>
      </w:r>
      <w:r w:rsidR="00AD0E29" w:rsidRPr="000551DE">
        <w:rPr>
          <w:rFonts w:ascii="Georgia" w:hAnsi="Georgia"/>
        </w:rPr>
        <w:t>portfolio</w:t>
      </w:r>
      <w:r w:rsidRPr="000551DE">
        <w:rPr>
          <w:rFonts w:ascii="Georgia" w:hAnsi="Georgia"/>
        </w:rPr>
        <w:t xml:space="preserve"> risk </w:t>
      </w:r>
      <w:r w:rsidRPr="000551DE">
        <w:rPr>
          <w:rFonts w:ascii="Georgia" w:hAnsi="Georgia"/>
          <w:lang w:val="en-US"/>
        </w:rPr>
        <w:t>compared to how they are utilized</w:t>
      </w:r>
      <w:r w:rsidRPr="000551DE">
        <w:rPr>
          <w:rFonts w:ascii="Georgia" w:hAnsi="Georgia"/>
        </w:rPr>
        <w:t xml:space="preserve"> for the management of traded </w:t>
      </w:r>
      <w:r w:rsidR="00AD0E29" w:rsidRPr="000551DE">
        <w:rPr>
          <w:rFonts w:ascii="Georgia" w:hAnsi="Georgia"/>
        </w:rPr>
        <w:t>bond</w:t>
      </w:r>
      <w:r w:rsidRPr="000551DE">
        <w:rPr>
          <w:rFonts w:ascii="Georgia" w:hAnsi="Georgia"/>
        </w:rPr>
        <w:t xml:space="preserve"> risks. </w:t>
      </w:r>
    </w:p>
    <w:p w14:paraId="74547155" w14:textId="3DBF3ACB" w:rsidR="0059429A" w:rsidRPr="000551DE" w:rsidRDefault="0059429A" w:rsidP="000551DE">
      <w:pPr>
        <w:pStyle w:val="Heading2"/>
        <w:spacing w:before="120" w:after="0" w:line="240" w:lineRule="auto"/>
        <w:jc w:val="both"/>
        <w:rPr>
          <w:rFonts w:ascii="Georgia" w:hAnsi="Georgia"/>
          <w:b w:val="0"/>
          <w:bCs w:val="0"/>
          <w:szCs w:val="24"/>
          <w:lang w:val="en-GB"/>
        </w:rPr>
      </w:pPr>
      <w:r w:rsidRPr="000551DE">
        <w:rPr>
          <w:rFonts w:ascii="Georgia" w:hAnsi="Georgia"/>
          <w:szCs w:val="24"/>
          <w:lang w:val="en-GB"/>
        </w:rPr>
        <w:t>Theoretical framework</w:t>
      </w:r>
    </w:p>
    <w:p w14:paraId="668CCC1A" w14:textId="3E8E9C55" w:rsidR="0059429A" w:rsidRPr="000551DE" w:rsidRDefault="0059429A" w:rsidP="000551DE">
      <w:pPr>
        <w:spacing w:before="120" w:after="0" w:line="240" w:lineRule="auto"/>
        <w:jc w:val="both"/>
        <w:rPr>
          <w:rFonts w:ascii="Georgia" w:eastAsia="Times New Roman" w:hAnsi="Georgia" w:cs="Times New Roman"/>
          <w:sz w:val="24"/>
          <w:szCs w:val="24"/>
        </w:rPr>
      </w:pPr>
      <w:r w:rsidRPr="000551DE">
        <w:rPr>
          <w:rFonts w:ascii="Georgia" w:eastAsia="Times New Roman" w:hAnsi="Georgia" w:cs="Times New Roman"/>
          <w:sz w:val="24"/>
          <w:szCs w:val="24"/>
        </w:rPr>
        <w:t xml:space="preserve">This study is underpinned </w:t>
      </w:r>
      <w:r w:rsidR="00B71E68" w:rsidRPr="000551DE">
        <w:rPr>
          <w:rFonts w:ascii="Georgia" w:eastAsia="Times New Roman" w:hAnsi="Georgia" w:cs="Times New Roman"/>
          <w:sz w:val="24"/>
          <w:szCs w:val="24"/>
        </w:rPr>
        <w:t>by adverse selection theory</w:t>
      </w:r>
      <w:r w:rsidRPr="000551DE">
        <w:rPr>
          <w:rFonts w:ascii="Georgia" w:eastAsia="Times New Roman" w:hAnsi="Georgia" w:cs="Times New Roman"/>
          <w:sz w:val="24"/>
          <w:szCs w:val="24"/>
        </w:rPr>
        <w:t>. From this theory, banks are required to undertake rigorous assessment and review of all loan applications and even detect the one that has been rejected by other financial institutions. Several activities and gathering of information, having models to estimate how the good credit probability of default, and expected loss from funded loan needs to be in place. Based</w:t>
      </w:r>
      <w:r w:rsidR="00B71E68" w:rsidRPr="000551DE">
        <w:rPr>
          <w:rFonts w:ascii="Georgia" w:eastAsia="Times New Roman" w:hAnsi="Georgia" w:cs="Times New Roman"/>
          <w:sz w:val="24"/>
          <w:szCs w:val="24"/>
        </w:rPr>
        <w:t xml:space="preserve"> </w:t>
      </w:r>
      <w:r w:rsidRPr="000551DE">
        <w:rPr>
          <w:rFonts w:ascii="Georgia" w:eastAsia="Times New Roman" w:hAnsi="Georgia" w:cs="Times New Roman"/>
          <w:sz w:val="24"/>
          <w:szCs w:val="24"/>
        </w:rPr>
        <w:t>on this theoretical framework, we come up with an analytical model in</w:t>
      </w:r>
      <w:r w:rsidR="00B71E68" w:rsidRPr="000551DE">
        <w:rPr>
          <w:rFonts w:ascii="Georgia" w:eastAsia="Times New Roman" w:hAnsi="Georgia" w:cs="Times New Roman"/>
          <w:sz w:val="24"/>
          <w:szCs w:val="24"/>
        </w:rPr>
        <w:t xml:space="preserve"> </w:t>
      </w:r>
      <w:r w:rsidRPr="000551DE">
        <w:rPr>
          <w:rFonts w:ascii="Georgia" w:eastAsia="Times New Roman" w:hAnsi="Georgia" w:cs="Times New Roman"/>
          <w:sz w:val="24"/>
          <w:szCs w:val="24"/>
        </w:rPr>
        <w:t xml:space="preserve">(1) which the lending performance of commercial banks is a function of credit risk </w:t>
      </w:r>
      <w:r w:rsidR="00B71E68" w:rsidRPr="000551DE">
        <w:rPr>
          <w:rFonts w:ascii="Georgia" w:eastAsia="Times New Roman" w:hAnsi="Georgia" w:cs="Times New Roman"/>
          <w:sz w:val="24"/>
          <w:szCs w:val="24"/>
        </w:rPr>
        <w:t xml:space="preserve">identification </w:t>
      </w:r>
      <w:r w:rsidRPr="000551DE">
        <w:rPr>
          <w:rFonts w:ascii="Georgia" w:eastAsia="Times New Roman" w:hAnsi="Georgia" w:cs="Times New Roman"/>
          <w:sz w:val="24"/>
          <w:szCs w:val="24"/>
        </w:rPr>
        <w:t>and control variables.</w:t>
      </w:r>
    </w:p>
    <w:p w14:paraId="427EF5F5" w14:textId="3F133638" w:rsidR="0059429A" w:rsidRPr="000551DE" w:rsidRDefault="002F1E19" w:rsidP="000551DE">
      <w:pPr>
        <w:spacing w:after="120" w:line="240" w:lineRule="auto"/>
        <w:jc w:val="both"/>
        <w:rPr>
          <w:rFonts w:ascii="Georgia" w:hAnsi="Georgia" w:cs="Segoe UI Light"/>
          <w:sz w:val="24"/>
          <w:szCs w:val="24"/>
        </w:rPr>
      </w:pPr>
      <m:oMath>
        <m:d>
          <m:dPr>
            <m:ctrlPr>
              <w:rPr>
                <w:rFonts w:ascii="Cambria Math" w:hAnsi="Cambria Math" w:cs="Segoe UI Light"/>
                <w:i/>
                <w:sz w:val="24"/>
                <w:szCs w:val="24"/>
              </w:rPr>
            </m:ctrlPr>
          </m:dPr>
          <m:e>
            <m:eqArr>
              <m:eqArrPr>
                <m:ctrlPr>
                  <w:rPr>
                    <w:rFonts w:ascii="Cambria Math" w:hAnsi="Cambria Math" w:cs="Segoe UI Light"/>
                    <w:i/>
                    <w:sz w:val="24"/>
                    <w:szCs w:val="24"/>
                  </w:rPr>
                </m:ctrlPr>
              </m:eqArrPr>
              <m:e>
                <m:r>
                  <w:rPr>
                    <w:rFonts w:ascii="Cambria Math" w:hAnsi="Cambria Math" w:cs="Segoe UI Light"/>
                    <w:sz w:val="24"/>
                    <w:szCs w:val="24"/>
                  </w:rPr>
                  <m:t>Lending</m:t>
                </m:r>
                <m:r>
                  <w:rPr>
                    <w:rFonts w:ascii="Cambria Math" w:hAnsi="Cambria Math" w:cs="Segoe UI Light"/>
                    <w:sz w:val="24"/>
                    <w:szCs w:val="24"/>
                  </w:rPr>
                  <m:t xml:space="preserve"> </m:t>
                </m:r>
                <m:r>
                  <w:rPr>
                    <w:rFonts w:ascii="Cambria Math" w:hAnsi="Cambria Math" w:cs="Segoe UI Light"/>
                    <w:sz w:val="24"/>
                    <w:szCs w:val="24"/>
                  </w:rPr>
                  <m:t>perfomance</m:t>
                </m:r>
                <m:r>
                  <w:rPr>
                    <w:rFonts w:ascii="Cambria Math" w:hAnsi="Cambria Math" w:cs="Segoe UI Light"/>
                    <w:sz w:val="24"/>
                    <w:szCs w:val="24"/>
                  </w:rPr>
                  <m:t xml:space="preserve"> </m:t>
                </m:r>
              </m:e>
              <m:e>
                <m:r>
                  <w:rPr>
                    <w:rFonts w:ascii="Cambria Math" w:hAnsi="Cambria Math" w:cs="Segoe UI Light"/>
                    <w:sz w:val="24"/>
                    <w:szCs w:val="24"/>
                  </w:rPr>
                  <m:t>of</m:t>
                </m:r>
                <m:r>
                  <w:rPr>
                    <w:rFonts w:ascii="Cambria Math" w:hAnsi="Cambria Math" w:cs="Segoe UI Light"/>
                    <w:sz w:val="24"/>
                    <w:szCs w:val="24"/>
                  </w:rPr>
                  <m:t xml:space="preserve"> </m:t>
                </m:r>
                <m:r>
                  <w:rPr>
                    <w:rFonts w:ascii="Cambria Math" w:hAnsi="Cambria Math" w:cs="Segoe UI Light"/>
                    <w:sz w:val="24"/>
                    <w:szCs w:val="24"/>
                  </w:rPr>
                  <m:t>commercial</m:t>
                </m:r>
                <m:ctrlPr>
                  <w:rPr>
                    <w:rFonts w:ascii="Cambria Math" w:eastAsia="Cambria Math" w:hAnsi="Cambria Math" w:cs="Cambria Math"/>
                    <w:i/>
                    <w:sz w:val="24"/>
                    <w:szCs w:val="24"/>
                  </w:rPr>
                </m:ctrlPr>
              </m:e>
              <m:e>
                <m:r>
                  <w:rPr>
                    <w:rFonts w:ascii="Cambria Math" w:eastAsia="Cambria Math" w:hAnsi="Cambria Math" w:cs="Cambria Math"/>
                    <w:sz w:val="24"/>
                    <w:szCs w:val="24"/>
                  </w:rPr>
                  <m:t>banks</m:t>
                </m:r>
              </m:e>
            </m:eqArr>
          </m:e>
        </m:d>
      </m:oMath>
      <w:r w:rsidR="0059429A" w:rsidRPr="000551DE">
        <w:rPr>
          <w:rFonts w:ascii="Georgia" w:hAnsi="Georgia" w:cs="Segoe UI Light"/>
          <w:sz w:val="24"/>
          <w:szCs w:val="24"/>
        </w:rPr>
        <w:t>=</w:t>
      </w:r>
      <w:r w:rsidR="0059429A" w:rsidRPr="000551DE">
        <w:rPr>
          <w:rFonts w:ascii="Georgia" w:hAnsi="Georgia" w:cs="Segoe UI Light"/>
          <w:i/>
          <w:iCs/>
          <w:sz w:val="24"/>
          <w:szCs w:val="24"/>
        </w:rPr>
        <w:t>f</w:t>
      </w:r>
      <m:oMath>
        <m:r>
          <w:rPr>
            <w:rFonts w:ascii="Cambria Math" w:hAnsi="Cambria Math" w:cs="Segoe UI Light"/>
            <w:sz w:val="24"/>
            <w:szCs w:val="24"/>
          </w:rPr>
          <m:t xml:space="preserve"> </m:t>
        </m:r>
        <m:d>
          <m:dPr>
            <m:ctrlPr>
              <w:rPr>
                <w:rFonts w:ascii="Cambria Math" w:hAnsi="Cambria Math" w:cs="Segoe UI Light"/>
                <w:i/>
                <w:sz w:val="24"/>
                <w:szCs w:val="24"/>
              </w:rPr>
            </m:ctrlPr>
          </m:dPr>
          <m:e>
            <m:r>
              <w:rPr>
                <w:rFonts w:ascii="Cambria Math" w:hAnsi="Cambria Math" w:cs="Segoe UI Light"/>
                <w:sz w:val="24"/>
                <w:szCs w:val="24"/>
              </w:rPr>
              <m:t xml:space="preserve">  </m:t>
            </m:r>
            <m:eqArr>
              <m:eqArrPr>
                <m:ctrlPr>
                  <w:rPr>
                    <w:rFonts w:ascii="Cambria Math" w:hAnsi="Cambria Math" w:cs="Segoe UI Light"/>
                    <w:i/>
                    <w:sz w:val="24"/>
                    <w:szCs w:val="24"/>
                  </w:rPr>
                </m:ctrlPr>
              </m:eqArrPr>
              <m:e>
                <m:r>
                  <w:rPr>
                    <w:rFonts w:ascii="Cambria Math" w:hAnsi="Cambria Math" w:cs="Segoe UI Light"/>
                    <w:sz w:val="24"/>
                    <w:szCs w:val="24"/>
                  </w:rPr>
                  <m:t>Credit</m:t>
                </m:r>
                <m:r>
                  <w:rPr>
                    <w:rFonts w:ascii="Cambria Math" w:hAnsi="Cambria Math" w:cs="Segoe UI Light"/>
                    <w:sz w:val="24"/>
                    <w:szCs w:val="24"/>
                  </w:rPr>
                  <m:t xml:space="preserve"> </m:t>
                </m:r>
                <m:r>
                  <w:rPr>
                    <w:rFonts w:ascii="Cambria Math" w:hAnsi="Cambria Math" w:cs="Segoe UI Light"/>
                    <w:sz w:val="24"/>
                    <w:szCs w:val="24"/>
                  </w:rPr>
                  <m:t>Risk</m:t>
                </m:r>
                <m:r>
                  <w:rPr>
                    <w:rFonts w:ascii="Cambria Math" w:hAnsi="Cambria Math" w:cs="Segoe UI Light"/>
                    <w:sz w:val="24"/>
                    <w:szCs w:val="24"/>
                  </w:rPr>
                  <m:t xml:space="preserve"> </m:t>
                </m:r>
              </m:e>
              <m:e>
                <m:r>
                  <w:rPr>
                    <w:rFonts w:ascii="Cambria Math" w:hAnsi="Cambria Math" w:cs="Segoe UI Light"/>
                    <w:sz w:val="24"/>
                    <w:szCs w:val="24"/>
                  </w:rPr>
                  <m:t>Control</m:t>
                </m:r>
              </m:e>
            </m:eqArr>
            <m:r>
              <w:rPr>
                <w:rFonts w:ascii="Cambria Math" w:hAnsi="Cambria Math" w:cs="Segoe UI Light"/>
                <w:sz w:val="24"/>
                <w:szCs w:val="24"/>
              </w:rPr>
              <m:t xml:space="preserve">  </m:t>
            </m:r>
            <m:eqArr>
              <m:eqArrPr>
                <m:ctrlPr>
                  <w:rPr>
                    <w:rFonts w:ascii="Cambria Math" w:hAnsi="Cambria Math" w:cs="Segoe UI Light"/>
                    <w:i/>
                    <w:sz w:val="24"/>
                    <w:szCs w:val="24"/>
                  </w:rPr>
                </m:ctrlPr>
              </m:eqArrPr>
              <m:e>
                <m:r>
                  <w:rPr>
                    <w:rFonts w:ascii="Cambria Math" w:hAnsi="Cambria Math" w:cs="Segoe UI Light"/>
                    <w:sz w:val="24"/>
                    <w:szCs w:val="24"/>
                  </w:rPr>
                  <m:t>Indentification</m:t>
                </m:r>
                <m:r>
                  <w:rPr>
                    <w:rFonts w:ascii="Cambria Math" w:hAnsi="Cambria Math" w:cs="Segoe UI Light"/>
                    <w:sz w:val="24"/>
                    <w:szCs w:val="24"/>
                  </w:rPr>
                  <m:t>,</m:t>
                </m:r>
              </m:e>
              <m:e>
                <m:r>
                  <w:rPr>
                    <w:rFonts w:ascii="Cambria Math" w:hAnsi="Cambria Math" w:cs="Segoe UI Light"/>
                    <w:sz w:val="24"/>
                    <w:szCs w:val="24"/>
                  </w:rPr>
                  <m:t>variables</m:t>
                </m:r>
              </m:e>
            </m:eqArr>
            <m:r>
              <w:rPr>
                <w:rFonts w:ascii="Cambria Math" w:hAnsi="Cambria Math" w:cs="Segoe UI Light"/>
                <w:sz w:val="24"/>
                <w:szCs w:val="24"/>
              </w:rPr>
              <m:t xml:space="preserve"> </m:t>
            </m:r>
          </m:e>
        </m:d>
      </m:oMath>
      <w:r w:rsidR="0059429A" w:rsidRPr="000551DE">
        <w:rPr>
          <w:rFonts w:ascii="Georgia" w:hAnsi="Georgia" w:cs="Segoe UI Light"/>
          <w:sz w:val="24"/>
          <w:szCs w:val="24"/>
        </w:rPr>
        <w:t xml:space="preserve">                              </w:t>
      </w:r>
      <w:r w:rsidR="00B71E68" w:rsidRPr="000551DE">
        <w:rPr>
          <w:rFonts w:ascii="Georgia" w:hAnsi="Georgia" w:cs="Segoe UI Light"/>
          <w:sz w:val="24"/>
          <w:szCs w:val="24"/>
        </w:rPr>
        <w:t xml:space="preserve">  (</w:t>
      </w:r>
      <w:r w:rsidR="0059429A" w:rsidRPr="000551DE">
        <w:rPr>
          <w:rFonts w:ascii="Georgia" w:hAnsi="Georgia" w:cs="Segoe UI Light"/>
          <w:sz w:val="24"/>
          <w:szCs w:val="24"/>
        </w:rPr>
        <w:t>1)</w:t>
      </w:r>
    </w:p>
    <w:p w14:paraId="2B8742F8" w14:textId="77777777" w:rsidR="00244D1D" w:rsidRDefault="00244D1D" w:rsidP="000551DE">
      <w:pPr>
        <w:pStyle w:val="Heading2"/>
        <w:spacing w:before="120" w:after="0" w:line="240" w:lineRule="auto"/>
        <w:rPr>
          <w:rFonts w:ascii="Georgia" w:hAnsi="Georgia"/>
          <w:color w:val="000000" w:themeColor="text1"/>
          <w:szCs w:val="24"/>
          <w:lang w:val="en-GB" w:eastAsia="en-US"/>
        </w:rPr>
      </w:pPr>
    </w:p>
    <w:p w14:paraId="1BAEA327" w14:textId="346E64FD" w:rsidR="0059429A" w:rsidRPr="000551DE" w:rsidRDefault="0059429A" w:rsidP="00DE1C34">
      <w:pPr>
        <w:pStyle w:val="Heading2"/>
        <w:numPr>
          <w:ilvl w:val="0"/>
          <w:numId w:val="21"/>
        </w:numPr>
        <w:spacing w:before="120" w:after="0" w:line="240" w:lineRule="auto"/>
        <w:rPr>
          <w:rFonts w:ascii="Georgia" w:hAnsi="Georgia"/>
          <w:color w:val="000000" w:themeColor="text1"/>
          <w:szCs w:val="24"/>
          <w:lang w:val="en-GB" w:eastAsia="en-US"/>
        </w:rPr>
      </w:pPr>
      <w:r w:rsidRPr="000551DE">
        <w:rPr>
          <w:rFonts w:ascii="Georgia" w:hAnsi="Georgia"/>
          <w:color w:val="000000" w:themeColor="text1"/>
          <w:szCs w:val="24"/>
          <w:lang w:val="en-GB" w:eastAsia="en-US"/>
        </w:rPr>
        <w:t xml:space="preserve">Methodology </w:t>
      </w:r>
    </w:p>
    <w:p w14:paraId="15B5DF45" w14:textId="77777777" w:rsidR="0059429A" w:rsidRPr="000551DE" w:rsidRDefault="0059429A" w:rsidP="000551DE">
      <w:pPr>
        <w:pStyle w:val="Heading2"/>
        <w:spacing w:before="120" w:after="0" w:line="240" w:lineRule="auto"/>
        <w:rPr>
          <w:rFonts w:ascii="Georgia" w:hAnsi="Georgia"/>
          <w:b w:val="0"/>
          <w:bCs w:val="0"/>
          <w:szCs w:val="24"/>
          <w:lang w:val="en-GB"/>
        </w:rPr>
      </w:pPr>
      <w:r w:rsidRPr="000551DE">
        <w:rPr>
          <w:rFonts w:ascii="Georgia" w:hAnsi="Georgia"/>
          <w:color w:val="000000" w:themeColor="text1"/>
          <w:szCs w:val="24"/>
          <w:lang w:val="en-GB" w:eastAsia="en-US"/>
        </w:rPr>
        <w:t xml:space="preserve">Data sources and </w:t>
      </w:r>
      <w:r w:rsidRPr="000551DE">
        <w:rPr>
          <w:rFonts w:ascii="Georgia" w:hAnsi="Georgia"/>
          <w:szCs w:val="24"/>
          <w:lang w:val="en-GB"/>
        </w:rPr>
        <w:t xml:space="preserve">measurement of </w:t>
      </w:r>
      <w:commentRangeStart w:id="2"/>
      <w:r w:rsidRPr="000551DE">
        <w:rPr>
          <w:rFonts w:ascii="Georgia" w:hAnsi="Georgia"/>
          <w:szCs w:val="24"/>
          <w:lang w:val="en-GB"/>
        </w:rPr>
        <w:t>variables</w:t>
      </w:r>
      <w:commentRangeEnd w:id="2"/>
      <w:r w:rsidR="002454C3">
        <w:rPr>
          <w:rStyle w:val="CommentReference"/>
          <w:b w:val="0"/>
          <w:bCs w:val="0"/>
          <w:iCs w:val="0"/>
        </w:rPr>
        <w:commentReference w:id="2"/>
      </w:r>
      <w:r w:rsidRPr="000551DE">
        <w:rPr>
          <w:rFonts w:ascii="Georgia" w:hAnsi="Georgia"/>
          <w:szCs w:val="24"/>
          <w:lang w:val="en-GB"/>
        </w:rPr>
        <w:t xml:space="preserve"> </w:t>
      </w:r>
    </w:p>
    <w:p w14:paraId="7D431435" w14:textId="75BCB5F4" w:rsidR="0059429A" w:rsidRPr="000551DE" w:rsidRDefault="0059429A" w:rsidP="000551DE">
      <w:pPr>
        <w:spacing w:before="120" w:after="0" w:line="240" w:lineRule="auto"/>
        <w:jc w:val="both"/>
        <w:rPr>
          <w:rFonts w:ascii="Georgia" w:hAnsi="Georgia"/>
          <w:sz w:val="24"/>
          <w:szCs w:val="24"/>
        </w:rPr>
      </w:pPr>
      <w:r w:rsidRPr="000551DE">
        <w:rPr>
          <w:rFonts w:ascii="Georgia" w:hAnsi="Georgia"/>
          <w:sz w:val="24"/>
          <w:szCs w:val="24"/>
        </w:rPr>
        <w:t xml:space="preserve">Primary data was collected in 2019 from Kenya's 42 commercial banks, with a focus </w:t>
      </w:r>
      <w:r w:rsidR="00244D1D">
        <w:rPr>
          <w:rFonts w:ascii="Georgia" w:hAnsi="Georgia"/>
          <w:sz w:val="24"/>
          <w:szCs w:val="24"/>
        </w:rPr>
        <w:t xml:space="preserve">on banks with branches in </w:t>
      </w:r>
      <w:r w:rsidRPr="000551DE">
        <w:rPr>
          <w:rFonts w:ascii="Georgia" w:hAnsi="Georgia"/>
          <w:sz w:val="24"/>
          <w:szCs w:val="24"/>
        </w:rPr>
        <w:t xml:space="preserve">Nairobi </w:t>
      </w:r>
      <w:r w:rsidR="00244D1D">
        <w:rPr>
          <w:rFonts w:ascii="Georgia" w:hAnsi="Georgia"/>
          <w:sz w:val="24"/>
          <w:szCs w:val="24"/>
        </w:rPr>
        <w:t xml:space="preserve">City </w:t>
      </w:r>
      <w:r w:rsidRPr="000551DE">
        <w:rPr>
          <w:rFonts w:ascii="Georgia" w:hAnsi="Georgia"/>
          <w:sz w:val="24"/>
          <w:szCs w:val="24"/>
        </w:rPr>
        <w:t xml:space="preserve">County. A structured questionnaire was distributed to the bank's staff, including the credit manager and credit officers, and 79 percent of them responded. This response rate was sufficient, and the respondents' category was significant because they play critical roles in the bank's lending. To measure credit risk </w:t>
      </w:r>
      <w:r w:rsidR="00B71E68" w:rsidRPr="000551DE">
        <w:rPr>
          <w:rFonts w:ascii="Georgia" w:hAnsi="Georgia"/>
          <w:sz w:val="24"/>
          <w:szCs w:val="24"/>
        </w:rPr>
        <w:t>identification</w:t>
      </w:r>
      <w:r w:rsidRPr="000551DE">
        <w:rPr>
          <w:rFonts w:ascii="Georgia" w:hAnsi="Georgia"/>
          <w:sz w:val="24"/>
          <w:szCs w:val="24"/>
        </w:rPr>
        <w:t xml:space="preserve">, a five-point Likert scale questionnaire was used, coded as 1, Strong disagree, 2 Disagree, 3 Neutral, 4 Agree, and 5 Strong agree. Respondents were expected to indicate their responses in terms of agreement with the credit risk </w:t>
      </w:r>
      <w:r w:rsidR="003868B3" w:rsidRPr="000551DE">
        <w:rPr>
          <w:rFonts w:ascii="Georgia" w:hAnsi="Georgia"/>
          <w:sz w:val="24"/>
          <w:szCs w:val="24"/>
        </w:rPr>
        <w:t xml:space="preserve">identification </w:t>
      </w:r>
      <w:r w:rsidRPr="000551DE">
        <w:rPr>
          <w:rFonts w:ascii="Georgia" w:hAnsi="Georgia"/>
          <w:sz w:val="24"/>
          <w:szCs w:val="24"/>
        </w:rPr>
        <w:t xml:space="preserve">statements provided. </w:t>
      </w:r>
    </w:p>
    <w:p w14:paraId="116B33A9" w14:textId="5002B82A" w:rsidR="0059429A" w:rsidRPr="000551DE" w:rsidRDefault="0059429A" w:rsidP="000551DE">
      <w:pPr>
        <w:spacing w:before="120" w:after="0" w:line="240" w:lineRule="auto"/>
        <w:jc w:val="both"/>
        <w:rPr>
          <w:rFonts w:ascii="Georgia" w:hAnsi="Georgia"/>
          <w:sz w:val="24"/>
          <w:szCs w:val="24"/>
        </w:rPr>
      </w:pPr>
      <w:r w:rsidRPr="000551DE">
        <w:rPr>
          <w:rFonts w:ascii="Georgia" w:hAnsi="Georgia"/>
          <w:sz w:val="24"/>
          <w:szCs w:val="24"/>
        </w:rPr>
        <w:t xml:space="preserve">The dependent variable, which was lending performance, was measured by establishing whether </w:t>
      </w:r>
      <w:r w:rsidR="00533075" w:rsidRPr="000551DE">
        <w:rPr>
          <w:rFonts w:ascii="Georgia" w:hAnsi="Georgia"/>
          <w:sz w:val="24"/>
          <w:szCs w:val="24"/>
        </w:rPr>
        <w:t>the</w:t>
      </w:r>
      <w:r w:rsidR="003D55A9" w:rsidRPr="000551DE">
        <w:rPr>
          <w:rFonts w:ascii="Georgia" w:hAnsi="Georgia"/>
          <w:sz w:val="24"/>
          <w:szCs w:val="24"/>
        </w:rPr>
        <w:t xml:space="preserve"> borrowers</w:t>
      </w:r>
      <w:r w:rsidR="00F374FE" w:rsidRPr="000551DE">
        <w:rPr>
          <w:rFonts w:ascii="Georgia" w:hAnsi="Georgia"/>
          <w:sz w:val="24"/>
          <w:szCs w:val="24"/>
        </w:rPr>
        <w:t xml:space="preserve"> </w:t>
      </w:r>
      <w:r w:rsidR="006538D8" w:rsidRPr="000551DE">
        <w:rPr>
          <w:rFonts w:ascii="Georgia" w:hAnsi="Georgia"/>
          <w:sz w:val="24"/>
          <w:szCs w:val="24"/>
        </w:rPr>
        <w:t>were</w:t>
      </w:r>
      <w:r w:rsidR="00F374FE" w:rsidRPr="000551DE">
        <w:rPr>
          <w:rFonts w:ascii="Georgia" w:hAnsi="Georgia"/>
          <w:sz w:val="24"/>
          <w:szCs w:val="24"/>
        </w:rPr>
        <w:t xml:space="preserve"> </w:t>
      </w:r>
      <w:r w:rsidR="00533075" w:rsidRPr="000551DE">
        <w:rPr>
          <w:rFonts w:ascii="Georgia" w:hAnsi="Georgia"/>
          <w:sz w:val="24"/>
          <w:szCs w:val="24"/>
        </w:rPr>
        <w:t>defaulting</w:t>
      </w:r>
      <w:r w:rsidR="00F374FE" w:rsidRPr="000551DE">
        <w:rPr>
          <w:rFonts w:ascii="Georgia" w:hAnsi="Georgia"/>
          <w:sz w:val="24"/>
          <w:szCs w:val="24"/>
        </w:rPr>
        <w:t xml:space="preserve"> </w:t>
      </w:r>
      <w:r w:rsidR="006538D8" w:rsidRPr="000551DE">
        <w:rPr>
          <w:rFonts w:ascii="Georgia" w:hAnsi="Georgia"/>
          <w:sz w:val="24"/>
          <w:szCs w:val="24"/>
        </w:rPr>
        <w:t xml:space="preserve">on </w:t>
      </w:r>
      <w:r w:rsidR="00F374FE" w:rsidRPr="000551DE">
        <w:rPr>
          <w:rFonts w:ascii="Georgia" w:hAnsi="Georgia"/>
          <w:sz w:val="24"/>
          <w:szCs w:val="24"/>
        </w:rPr>
        <w:t>lo</w:t>
      </w:r>
      <w:r w:rsidR="003D55A9" w:rsidRPr="000551DE">
        <w:rPr>
          <w:rFonts w:ascii="Georgia" w:hAnsi="Georgia"/>
          <w:sz w:val="24"/>
          <w:szCs w:val="24"/>
        </w:rPr>
        <w:t>ans g</w:t>
      </w:r>
      <w:r w:rsidR="00F374FE" w:rsidRPr="000551DE">
        <w:rPr>
          <w:rFonts w:ascii="Georgia" w:hAnsi="Georgia"/>
          <w:sz w:val="24"/>
          <w:szCs w:val="24"/>
        </w:rPr>
        <w:t>ranted to them by the banks</w:t>
      </w:r>
      <w:r w:rsidR="0070072D" w:rsidRPr="000551DE">
        <w:rPr>
          <w:rFonts w:ascii="Georgia" w:hAnsi="Georgia"/>
          <w:sz w:val="24"/>
          <w:szCs w:val="24"/>
        </w:rPr>
        <w:t xml:space="preserve">. This required some levels of agreement in the </w:t>
      </w:r>
      <w:r w:rsidR="009D439D" w:rsidRPr="000551DE">
        <w:rPr>
          <w:rFonts w:ascii="Georgia" w:hAnsi="Georgia"/>
          <w:sz w:val="24"/>
          <w:szCs w:val="24"/>
        </w:rPr>
        <w:t>Likert</w:t>
      </w:r>
      <w:r w:rsidR="00BB6824" w:rsidRPr="000551DE">
        <w:rPr>
          <w:rFonts w:ascii="Georgia" w:hAnsi="Georgia"/>
          <w:sz w:val="24"/>
          <w:szCs w:val="24"/>
        </w:rPr>
        <w:t xml:space="preserve"> responses</w:t>
      </w:r>
      <w:r w:rsidR="0070072D" w:rsidRPr="000551DE">
        <w:rPr>
          <w:rFonts w:ascii="Georgia" w:hAnsi="Georgia"/>
          <w:sz w:val="24"/>
          <w:szCs w:val="24"/>
        </w:rPr>
        <w:t>.</w:t>
      </w:r>
      <w:r w:rsidR="006A2BAE" w:rsidRPr="000551DE">
        <w:rPr>
          <w:rFonts w:ascii="Georgia" w:hAnsi="Georgia"/>
          <w:sz w:val="24"/>
          <w:szCs w:val="24"/>
        </w:rPr>
        <w:t xml:space="preserve"> T</w:t>
      </w:r>
      <w:r w:rsidRPr="000551DE">
        <w:rPr>
          <w:rFonts w:ascii="Georgia" w:hAnsi="Georgia"/>
          <w:sz w:val="24"/>
          <w:szCs w:val="24"/>
        </w:rPr>
        <w:t>he level of education</w:t>
      </w:r>
      <w:r w:rsidR="006A2BAE" w:rsidRPr="000551DE">
        <w:rPr>
          <w:rFonts w:ascii="Georgia" w:hAnsi="Georgia"/>
          <w:sz w:val="24"/>
          <w:szCs w:val="24"/>
        </w:rPr>
        <w:t>,</w:t>
      </w:r>
      <w:r w:rsidRPr="000551DE">
        <w:rPr>
          <w:rFonts w:ascii="Georgia" w:hAnsi="Georgia"/>
          <w:sz w:val="24"/>
          <w:szCs w:val="24"/>
        </w:rPr>
        <w:t xml:space="preserve"> years of experience in banking</w:t>
      </w:r>
      <w:r w:rsidR="001506E7">
        <w:rPr>
          <w:rFonts w:ascii="Georgia" w:hAnsi="Georgia"/>
          <w:sz w:val="24"/>
          <w:szCs w:val="24"/>
        </w:rPr>
        <w:t>,</w:t>
      </w:r>
      <w:r w:rsidRPr="000551DE">
        <w:rPr>
          <w:rFonts w:ascii="Georgia" w:hAnsi="Georgia"/>
          <w:sz w:val="24"/>
          <w:szCs w:val="24"/>
        </w:rPr>
        <w:t xml:space="preserve"> </w:t>
      </w:r>
      <w:r w:rsidR="006A2BAE" w:rsidRPr="000551DE">
        <w:rPr>
          <w:rFonts w:ascii="Georgia" w:hAnsi="Georgia"/>
          <w:sz w:val="24"/>
          <w:szCs w:val="24"/>
        </w:rPr>
        <w:t xml:space="preserve">and the position </w:t>
      </w:r>
      <w:r w:rsidR="001506E7">
        <w:rPr>
          <w:rFonts w:ascii="Georgia" w:hAnsi="Georgia"/>
          <w:sz w:val="24"/>
          <w:szCs w:val="24"/>
        </w:rPr>
        <w:t xml:space="preserve">of the respondent in the bank </w:t>
      </w:r>
      <w:r w:rsidR="00BE6BA8">
        <w:rPr>
          <w:rFonts w:ascii="Georgia" w:hAnsi="Georgia"/>
          <w:sz w:val="24"/>
          <w:szCs w:val="24"/>
        </w:rPr>
        <w:t xml:space="preserve">were </w:t>
      </w:r>
      <w:r w:rsidR="001506E7" w:rsidRPr="000551DE">
        <w:rPr>
          <w:rFonts w:ascii="Georgia" w:hAnsi="Georgia"/>
          <w:sz w:val="24"/>
          <w:szCs w:val="24"/>
        </w:rPr>
        <w:t>used</w:t>
      </w:r>
      <w:r w:rsidR="009D439D" w:rsidRPr="000551DE">
        <w:rPr>
          <w:rFonts w:ascii="Georgia" w:hAnsi="Georgia"/>
          <w:sz w:val="24"/>
          <w:szCs w:val="24"/>
        </w:rPr>
        <w:t xml:space="preserve"> as control variables. </w:t>
      </w:r>
    </w:p>
    <w:p w14:paraId="7C2FAA6B" w14:textId="77777777" w:rsidR="00AB7324" w:rsidRPr="000551DE" w:rsidRDefault="00AB7324" w:rsidP="000551DE">
      <w:pPr>
        <w:pStyle w:val="Heading2"/>
        <w:spacing w:before="120" w:after="0" w:line="240" w:lineRule="auto"/>
        <w:rPr>
          <w:rFonts w:ascii="Georgia" w:hAnsi="Georgia"/>
          <w:color w:val="000000" w:themeColor="text1"/>
          <w:szCs w:val="24"/>
          <w:lang w:val="en-US"/>
        </w:rPr>
      </w:pPr>
    </w:p>
    <w:p w14:paraId="58A99E5A" w14:textId="576C98D3" w:rsidR="0059429A" w:rsidRPr="000551DE" w:rsidRDefault="0059429A" w:rsidP="000551DE">
      <w:pPr>
        <w:pStyle w:val="Heading2"/>
        <w:spacing w:before="120" w:after="0" w:line="240" w:lineRule="auto"/>
        <w:rPr>
          <w:rFonts w:ascii="Georgia" w:hAnsi="Georgia"/>
          <w:b w:val="0"/>
          <w:bCs w:val="0"/>
          <w:color w:val="000000" w:themeColor="text1"/>
          <w:szCs w:val="24"/>
          <w:lang w:val="en-US"/>
        </w:rPr>
      </w:pPr>
      <w:r w:rsidRPr="000551DE">
        <w:rPr>
          <w:rFonts w:ascii="Georgia" w:hAnsi="Georgia"/>
          <w:color w:val="000000" w:themeColor="text1"/>
          <w:szCs w:val="24"/>
          <w:lang w:val="en-US"/>
        </w:rPr>
        <w:t>Empirical Equation</w:t>
      </w:r>
    </w:p>
    <w:p w14:paraId="7E2CD93A" w14:textId="5793AD4F" w:rsidR="0059429A" w:rsidRPr="000551DE" w:rsidRDefault="0059429A" w:rsidP="000551DE">
      <w:pPr>
        <w:spacing w:before="120" w:after="0" w:line="240" w:lineRule="auto"/>
        <w:jc w:val="both"/>
        <w:rPr>
          <w:rFonts w:ascii="Georgia" w:hAnsi="Georgia"/>
          <w:sz w:val="24"/>
          <w:szCs w:val="24"/>
        </w:rPr>
      </w:pPr>
      <w:r w:rsidRPr="000551DE">
        <w:rPr>
          <w:rFonts w:ascii="Georgia" w:hAnsi="Georgia"/>
          <w:sz w:val="24"/>
          <w:szCs w:val="24"/>
        </w:rPr>
        <w:t>We estimate equation</w:t>
      </w:r>
      <w:r w:rsidR="00B71E68" w:rsidRPr="000551DE">
        <w:rPr>
          <w:rFonts w:ascii="Georgia" w:hAnsi="Georgia"/>
          <w:sz w:val="24"/>
          <w:szCs w:val="24"/>
        </w:rPr>
        <w:t xml:space="preserve"> </w:t>
      </w:r>
      <w:r w:rsidRPr="000551DE">
        <w:rPr>
          <w:rFonts w:ascii="Georgia" w:hAnsi="Georgia"/>
          <w:sz w:val="24"/>
          <w:szCs w:val="24"/>
        </w:rPr>
        <w:t xml:space="preserve">2 using </w:t>
      </w:r>
      <w:r w:rsidR="00AB7324" w:rsidRPr="000551DE">
        <w:rPr>
          <w:rFonts w:ascii="Georgia" w:hAnsi="Georgia"/>
          <w:sz w:val="24"/>
          <w:szCs w:val="24"/>
        </w:rPr>
        <w:t xml:space="preserve">multiple </w:t>
      </w:r>
      <w:r w:rsidRPr="000551DE">
        <w:rPr>
          <w:rFonts w:ascii="Georgia" w:hAnsi="Georgia"/>
          <w:sz w:val="24"/>
          <w:szCs w:val="24"/>
        </w:rPr>
        <w:t xml:space="preserve">regression. </w:t>
      </w:r>
    </w:p>
    <w:p w14:paraId="199693EA" w14:textId="16B14426" w:rsidR="0059429A" w:rsidRPr="000551DE" w:rsidRDefault="0059429A" w:rsidP="000551DE">
      <w:pPr>
        <w:spacing w:before="120" w:after="0" w:line="240" w:lineRule="auto"/>
        <w:rPr>
          <w:rFonts w:ascii="Georgia" w:hAnsi="Georgia" w:cs="Segoe UI Light"/>
          <w:sz w:val="24"/>
          <w:szCs w:val="24"/>
        </w:rPr>
      </w:pPr>
      <m:oMath>
        <m:r>
          <w:rPr>
            <w:rFonts w:ascii="Cambria Math" w:hAnsi="Cambria Math" w:cs="Segoe UI Light"/>
            <w:sz w:val="24"/>
            <w:szCs w:val="24"/>
          </w:rPr>
          <m:t>Lending performance)=</m:t>
        </m:r>
        <m:sSub>
          <m:sSubPr>
            <m:ctrlPr>
              <w:rPr>
                <w:rFonts w:ascii="Cambria Math" w:hAnsi="Cambria Math" w:cs="Segoe UI Light"/>
                <w:i/>
                <w:sz w:val="24"/>
                <w:szCs w:val="24"/>
              </w:rPr>
            </m:ctrlPr>
          </m:sSubPr>
          <m:e>
            <m:r>
              <w:rPr>
                <w:rFonts w:ascii="Cambria Math" w:hAnsi="Cambria Math" w:cs="Segoe UI Light"/>
                <w:sz w:val="24"/>
                <w:szCs w:val="24"/>
              </w:rPr>
              <m:t>β</m:t>
            </m:r>
          </m:e>
          <m:sub>
            <m:r>
              <w:rPr>
                <w:rFonts w:ascii="Cambria Math" w:hAnsi="Cambria Math" w:cs="Segoe UI Light"/>
                <w:sz w:val="24"/>
                <w:szCs w:val="24"/>
              </w:rPr>
              <m:t>0</m:t>
            </m:r>
          </m:sub>
        </m:sSub>
        <m:r>
          <w:rPr>
            <w:rFonts w:ascii="Cambria Math" w:hAnsi="Cambria Math" w:cs="Segoe UI Light"/>
            <w:sz w:val="24"/>
            <w:szCs w:val="24"/>
          </w:rPr>
          <m:t>+</m:t>
        </m:r>
        <m:sSub>
          <m:sSubPr>
            <m:ctrlPr>
              <w:rPr>
                <w:rFonts w:ascii="Cambria Math" w:hAnsi="Cambria Math" w:cs="Segoe UI Light"/>
                <w:i/>
                <w:sz w:val="24"/>
                <w:szCs w:val="24"/>
              </w:rPr>
            </m:ctrlPr>
          </m:sSubPr>
          <m:e>
            <m:r>
              <w:rPr>
                <w:rFonts w:ascii="Cambria Math" w:hAnsi="Cambria Math" w:cs="Segoe UI Light"/>
                <w:sz w:val="24"/>
                <w:szCs w:val="24"/>
              </w:rPr>
              <m:t>β</m:t>
            </m:r>
          </m:e>
          <m:sub>
            <m:r>
              <w:rPr>
                <w:rFonts w:ascii="Cambria Math" w:hAnsi="Cambria Math" w:cs="Segoe UI Light"/>
                <w:sz w:val="24"/>
                <w:szCs w:val="24"/>
              </w:rPr>
              <m:t>i</m:t>
            </m:r>
          </m:sub>
        </m:sSub>
        <m:r>
          <w:rPr>
            <w:rFonts w:ascii="Cambria Math" w:hAnsi="Cambria Math" w:cs="Segoe UI Light"/>
            <w:sz w:val="24"/>
            <w:szCs w:val="24"/>
          </w:rPr>
          <m:t>Credit risk indentification+</m:t>
        </m:r>
        <m:sSub>
          <m:sSubPr>
            <m:ctrlPr>
              <w:rPr>
                <w:rFonts w:ascii="Cambria Math" w:hAnsi="Cambria Math" w:cs="Segoe UI Light"/>
                <w:i/>
                <w:sz w:val="24"/>
                <w:szCs w:val="24"/>
              </w:rPr>
            </m:ctrlPr>
          </m:sSubPr>
          <m:e>
            <m:r>
              <w:rPr>
                <w:rFonts w:ascii="Cambria Math" w:hAnsi="Cambria Math" w:cs="Segoe UI Light"/>
                <w:sz w:val="24"/>
                <w:szCs w:val="24"/>
              </w:rPr>
              <m:t xml:space="preserve">                                   β</m:t>
            </m:r>
          </m:e>
          <m:sub>
            <m:r>
              <w:rPr>
                <w:rFonts w:ascii="Cambria Math" w:hAnsi="Cambria Math" w:cs="Segoe UI Light"/>
                <w:sz w:val="24"/>
                <w:szCs w:val="24"/>
              </w:rPr>
              <m:t>j</m:t>
            </m:r>
          </m:sub>
        </m:sSub>
        <m:r>
          <w:rPr>
            <w:rFonts w:ascii="Cambria Math" w:hAnsi="Cambria Math" w:cs="Segoe UI Light"/>
            <w:sz w:val="24"/>
            <w:szCs w:val="24"/>
          </w:rPr>
          <m:t>Control variables+ε</m:t>
        </m:r>
      </m:oMath>
      <w:r w:rsidRPr="000551DE">
        <w:rPr>
          <w:rFonts w:ascii="Georgia" w:hAnsi="Georgia" w:cs="Segoe UI Light"/>
          <w:sz w:val="24"/>
          <w:szCs w:val="24"/>
        </w:rPr>
        <w:t xml:space="preserve">                     </w:t>
      </w:r>
      <w:r w:rsidRPr="000551DE">
        <w:rPr>
          <w:rFonts w:ascii="Georgia" w:hAnsi="Georgia" w:cs="Segoe UI Light"/>
          <w:sz w:val="24"/>
          <w:szCs w:val="24"/>
        </w:rPr>
        <w:tab/>
      </w:r>
      <w:r w:rsidRPr="000551DE">
        <w:rPr>
          <w:rFonts w:ascii="Georgia" w:hAnsi="Georgia" w:cs="Segoe UI Light"/>
          <w:sz w:val="24"/>
          <w:szCs w:val="24"/>
        </w:rPr>
        <w:tab/>
      </w:r>
      <w:r w:rsidRPr="000551DE">
        <w:rPr>
          <w:rFonts w:ascii="Georgia" w:hAnsi="Georgia" w:cs="Segoe UI Light"/>
          <w:sz w:val="24"/>
          <w:szCs w:val="24"/>
        </w:rPr>
        <w:tab/>
      </w:r>
      <w:r w:rsidRPr="000551DE">
        <w:rPr>
          <w:rFonts w:ascii="Georgia" w:hAnsi="Georgia" w:cs="Segoe UI Light"/>
          <w:sz w:val="24"/>
          <w:szCs w:val="24"/>
        </w:rPr>
        <w:tab/>
        <w:t xml:space="preserve">         (2)                                                </w:t>
      </w:r>
    </w:p>
    <w:p w14:paraId="40B525A4" w14:textId="058B59E5" w:rsidR="0059429A" w:rsidRPr="000551DE" w:rsidRDefault="0059429A" w:rsidP="000551DE">
      <w:pPr>
        <w:spacing w:before="120" w:after="0" w:line="240" w:lineRule="auto"/>
        <w:contextualSpacing/>
        <w:jc w:val="both"/>
        <w:rPr>
          <w:rFonts w:ascii="Georgia" w:eastAsiaTheme="minorHAnsi" w:hAnsi="Georgia"/>
          <w:sz w:val="24"/>
          <w:szCs w:val="24"/>
        </w:rPr>
      </w:pPr>
      <w:r w:rsidRPr="000551DE">
        <w:rPr>
          <w:rFonts w:ascii="Georgia" w:eastAsiaTheme="minorHAnsi" w:hAnsi="Georgia"/>
          <w:sz w:val="24"/>
          <w:szCs w:val="24"/>
        </w:rPr>
        <w:t>Where</w:t>
      </w:r>
      <m:oMath>
        <m:r>
          <m:rPr>
            <m:sty m:val="p"/>
          </m:rPr>
          <w:rPr>
            <w:rFonts w:ascii="Cambria Math" w:eastAsiaTheme="minorHAnsi"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0</m:t>
            </m:r>
          </m:sub>
        </m:sSub>
      </m:oMath>
      <w:r w:rsidRPr="000551DE">
        <w:rPr>
          <w:rFonts w:ascii="Georgia" w:eastAsiaTheme="minorHAnsi" w:hAnsi="Georgia"/>
          <w:sz w:val="24"/>
          <w:szCs w:val="24"/>
        </w:rPr>
        <w:t xml:space="preserve"> is the constant,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i</m:t>
            </m:r>
          </m:sub>
        </m:sSub>
      </m:oMath>
      <w:r w:rsidRPr="000551DE">
        <w:rPr>
          <w:rFonts w:ascii="Georgia" w:eastAsiaTheme="minorHAnsi" w:hAnsi="Georgia"/>
          <w:sz w:val="24"/>
          <w:szCs w:val="24"/>
        </w:rPr>
        <w:t xml:space="preserve"> is the vector of variables on the credit risk </w:t>
      </w:r>
      <w:r w:rsidR="003868B3" w:rsidRPr="000551DE">
        <w:rPr>
          <w:rFonts w:ascii="Georgia" w:eastAsiaTheme="minorHAnsi" w:hAnsi="Georgia"/>
          <w:sz w:val="24"/>
          <w:szCs w:val="24"/>
        </w:rPr>
        <w:t>identification</w:t>
      </w:r>
      <w:r w:rsidRPr="000551DE">
        <w:rPr>
          <w:rFonts w:ascii="Georgia" w:eastAsiaTheme="minorHAnsi" w:hAnsi="Georgia"/>
          <w:sz w:val="24"/>
          <w:szCs w:val="24"/>
        </w:rPr>
        <w:t xml:space="preserve">, and </w:t>
      </w:r>
      <m:oMath>
        <m:sSub>
          <m:sSubPr>
            <m:ctrlPr>
              <w:rPr>
                <w:rFonts w:ascii="Cambria Math" w:eastAsiaTheme="minorHAnsi" w:hAnsi="Cambria Math"/>
                <w:sz w:val="24"/>
                <w:szCs w:val="24"/>
              </w:rPr>
            </m:ctrlPr>
          </m:sSubPr>
          <m:e>
            <m:r>
              <m:rPr>
                <m:sty m:val="p"/>
              </m:rPr>
              <w:rPr>
                <w:rFonts w:ascii="Cambria Math" w:eastAsiaTheme="minorHAnsi" w:hAnsi="Cambria Math"/>
                <w:sz w:val="24"/>
                <w:szCs w:val="24"/>
              </w:rPr>
              <m:t>β</m:t>
            </m:r>
          </m:e>
          <m:sub>
            <m:r>
              <m:rPr>
                <m:sty m:val="p"/>
              </m:rPr>
              <w:rPr>
                <w:rFonts w:ascii="Cambria Math" w:eastAsiaTheme="minorHAnsi" w:hAnsi="Cambria Math"/>
                <w:sz w:val="24"/>
                <w:szCs w:val="24"/>
              </w:rPr>
              <m:t>j</m:t>
            </m:r>
          </m:sub>
        </m:sSub>
      </m:oMath>
      <w:r w:rsidRPr="000551DE">
        <w:rPr>
          <w:rFonts w:ascii="Georgia" w:eastAsiaTheme="minorHAnsi" w:hAnsi="Georgia"/>
          <w:sz w:val="24"/>
          <w:szCs w:val="24"/>
        </w:rPr>
        <w:t xml:space="preserve"> is a vector of control variables, and </w:t>
      </w:r>
      <m:oMath>
        <m:r>
          <m:rPr>
            <m:sty m:val="p"/>
          </m:rPr>
          <w:rPr>
            <w:rFonts w:ascii="Cambria Math" w:eastAsiaTheme="minorHAnsi" w:hAnsi="Cambria Math"/>
            <w:sz w:val="24"/>
            <w:szCs w:val="24"/>
          </w:rPr>
          <m:t>µ</m:t>
        </m:r>
      </m:oMath>
      <w:r w:rsidRPr="000551DE">
        <w:rPr>
          <w:rFonts w:ascii="Georgia" w:eastAsiaTheme="minorHAnsi" w:hAnsi="Georgia"/>
          <w:sz w:val="24"/>
          <w:szCs w:val="24"/>
        </w:rPr>
        <w:t xml:space="preserve">  is a stochastic error term measuring the effect of other variables that influence lending performance in the commercial bank. The specific variables </w:t>
      </w:r>
      <w:r w:rsidR="00BA4EE6" w:rsidRPr="000551DE">
        <w:rPr>
          <w:rFonts w:ascii="Georgia" w:eastAsiaTheme="minorHAnsi" w:hAnsi="Georgia"/>
          <w:sz w:val="24"/>
          <w:szCs w:val="24"/>
        </w:rPr>
        <w:t>to measure the</w:t>
      </w:r>
      <w:r w:rsidR="003D55A9" w:rsidRPr="000551DE">
        <w:rPr>
          <w:rFonts w:ascii="Georgia" w:eastAsiaTheme="minorHAnsi" w:hAnsi="Georgia"/>
          <w:sz w:val="24"/>
          <w:szCs w:val="24"/>
        </w:rPr>
        <w:t xml:space="preserve"> </w:t>
      </w:r>
      <w:r w:rsidRPr="000551DE">
        <w:rPr>
          <w:rFonts w:ascii="Georgia" w:eastAsiaTheme="minorHAnsi" w:hAnsi="Georgia"/>
          <w:sz w:val="24"/>
          <w:szCs w:val="24"/>
        </w:rPr>
        <w:t xml:space="preserve">credit risk </w:t>
      </w:r>
      <w:r w:rsidR="003868B3" w:rsidRPr="000551DE">
        <w:rPr>
          <w:rFonts w:ascii="Georgia" w:eastAsiaTheme="minorHAnsi" w:hAnsi="Georgia"/>
          <w:sz w:val="24"/>
          <w:szCs w:val="24"/>
        </w:rPr>
        <w:t>identification</w:t>
      </w:r>
      <w:r w:rsidRPr="000551DE">
        <w:rPr>
          <w:rFonts w:ascii="Georgia" w:eastAsiaTheme="minorHAnsi" w:hAnsi="Georgia"/>
          <w:sz w:val="24"/>
          <w:szCs w:val="24"/>
        </w:rPr>
        <w:t xml:space="preserve"> </w:t>
      </w:r>
      <w:r w:rsidR="001506E7">
        <w:rPr>
          <w:rFonts w:ascii="Georgia" w:eastAsiaTheme="minorHAnsi" w:hAnsi="Georgia"/>
          <w:sz w:val="24"/>
          <w:szCs w:val="24"/>
        </w:rPr>
        <w:t>include</w:t>
      </w:r>
      <w:r w:rsidRPr="000551DE">
        <w:rPr>
          <w:rFonts w:ascii="Georgia" w:eastAsiaTheme="minorHAnsi" w:hAnsi="Georgia"/>
          <w:sz w:val="24"/>
          <w:szCs w:val="24"/>
        </w:rPr>
        <w:t xml:space="preserve"> </w:t>
      </w:r>
      <w:r w:rsidR="004356FF" w:rsidRPr="000551DE">
        <w:rPr>
          <w:rFonts w:ascii="Georgia" w:eastAsiaTheme="minorHAnsi" w:hAnsi="Georgia"/>
          <w:sz w:val="24"/>
          <w:szCs w:val="24"/>
        </w:rPr>
        <w:t>effective systems in place, competitive pressure on credit lending, entry</w:t>
      </w:r>
      <w:r w:rsidR="006A4463" w:rsidRPr="000551DE">
        <w:rPr>
          <w:rFonts w:ascii="Georgia" w:eastAsiaTheme="minorHAnsi" w:hAnsi="Georgia"/>
          <w:sz w:val="24"/>
          <w:szCs w:val="24"/>
        </w:rPr>
        <w:t xml:space="preserve"> </w:t>
      </w:r>
      <w:r w:rsidR="004356FF" w:rsidRPr="000551DE">
        <w:rPr>
          <w:rFonts w:ascii="Georgia" w:eastAsiaTheme="minorHAnsi" w:hAnsi="Georgia"/>
          <w:sz w:val="24"/>
          <w:szCs w:val="24"/>
        </w:rPr>
        <w:t xml:space="preserve">into new markets, bank has developed internal guidelines, quicker lending decision and methods of </w:t>
      </w:r>
      <w:r w:rsidR="00B33C95" w:rsidRPr="000551DE">
        <w:rPr>
          <w:rFonts w:ascii="Georgia" w:eastAsiaTheme="minorHAnsi" w:hAnsi="Georgia"/>
          <w:sz w:val="24"/>
          <w:szCs w:val="24"/>
        </w:rPr>
        <w:t>analysing</w:t>
      </w:r>
      <w:r w:rsidR="004356FF" w:rsidRPr="000551DE">
        <w:rPr>
          <w:rFonts w:ascii="Georgia" w:eastAsiaTheme="minorHAnsi" w:hAnsi="Georgia"/>
          <w:sz w:val="24"/>
          <w:szCs w:val="24"/>
        </w:rPr>
        <w:t xml:space="preserve"> other sources money for the borrower</w:t>
      </w:r>
      <w:r w:rsidRPr="000551DE">
        <w:rPr>
          <w:rFonts w:ascii="Georgia" w:eastAsiaTheme="minorHAnsi" w:hAnsi="Georgia"/>
          <w:sz w:val="24"/>
          <w:szCs w:val="24"/>
        </w:rPr>
        <w:t>.  The control variables include the level of education of credit officers</w:t>
      </w:r>
      <w:r w:rsidR="00A95BBF" w:rsidRPr="000551DE">
        <w:rPr>
          <w:rFonts w:ascii="Georgia" w:eastAsiaTheme="minorHAnsi" w:hAnsi="Georgia"/>
          <w:sz w:val="24"/>
          <w:szCs w:val="24"/>
        </w:rPr>
        <w:t xml:space="preserve">, </w:t>
      </w:r>
      <w:r w:rsidR="001506E7">
        <w:rPr>
          <w:rFonts w:ascii="Georgia" w:eastAsiaTheme="minorHAnsi" w:hAnsi="Georgia"/>
          <w:sz w:val="24"/>
          <w:szCs w:val="24"/>
        </w:rPr>
        <w:t xml:space="preserve">the </w:t>
      </w:r>
      <w:r w:rsidR="00A95BBF" w:rsidRPr="000551DE">
        <w:rPr>
          <w:rFonts w:ascii="Georgia" w:eastAsiaTheme="minorHAnsi" w:hAnsi="Georgia"/>
          <w:sz w:val="24"/>
          <w:szCs w:val="24"/>
        </w:rPr>
        <w:t>position of the credit officer</w:t>
      </w:r>
      <w:r w:rsidRPr="000551DE">
        <w:rPr>
          <w:rFonts w:ascii="Georgia" w:eastAsiaTheme="minorHAnsi" w:hAnsi="Georgia"/>
          <w:sz w:val="24"/>
          <w:szCs w:val="24"/>
        </w:rPr>
        <w:t xml:space="preserve"> and </w:t>
      </w:r>
      <w:r w:rsidR="00540F20">
        <w:rPr>
          <w:rFonts w:ascii="Georgia" w:eastAsiaTheme="minorHAnsi" w:hAnsi="Georgia"/>
          <w:sz w:val="24"/>
          <w:szCs w:val="24"/>
        </w:rPr>
        <w:t xml:space="preserve">the </w:t>
      </w:r>
      <w:r w:rsidRPr="000551DE">
        <w:rPr>
          <w:rFonts w:ascii="Georgia" w:eastAsiaTheme="minorHAnsi" w:hAnsi="Georgia"/>
          <w:sz w:val="24"/>
          <w:szCs w:val="24"/>
        </w:rPr>
        <w:t xml:space="preserve">years of experience of employees that deal with lending.   </w:t>
      </w:r>
    </w:p>
    <w:p w14:paraId="293DF9C3" w14:textId="7AA92FDC" w:rsidR="0059429A" w:rsidRPr="000551DE" w:rsidRDefault="0059429A" w:rsidP="000551DE">
      <w:pPr>
        <w:pStyle w:val="Heading3"/>
        <w:spacing w:before="120" w:after="0" w:line="240" w:lineRule="auto"/>
        <w:jc w:val="both"/>
        <w:rPr>
          <w:rFonts w:ascii="Georgia" w:hAnsi="Georgia"/>
          <w:lang w:val="en-GB"/>
        </w:rPr>
      </w:pPr>
      <w:r w:rsidRPr="000551DE">
        <w:rPr>
          <w:rFonts w:ascii="Georgia" w:hAnsi="Georgia"/>
          <w:lang w:val="en-GB"/>
        </w:rPr>
        <w:t xml:space="preserve">Summary of descriptive statistics </w:t>
      </w:r>
    </w:p>
    <w:p w14:paraId="51EC1918" w14:textId="688EE9D3" w:rsidR="007C5DA6" w:rsidRDefault="007C5DA6" w:rsidP="000551DE">
      <w:pPr>
        <w:widowControl w:val="0"/>
        <w:autoSpaceDE w:val="0"/>
        <w:autoSpaceDN w:val="0"/>
        <w:adjustRightInd w:val="0"/>
        <w:spacing w:before="120" w:after="0" w:line="240" w:lineRule="auto"/>
        <w:jc w:val="both"/>
        <w:rPr>
          <w:rFonts w:ascii="Georgia" w:hAnsi="Georgia"/>
          <w:sz w:val="24"/>
          <w:szCs w:val="24"/>
        </w:rPr>
      </w:pPr>
      <w:r>
        <w:rPr>
          <w:rFonts w:ascii="Georgia" w:hAnsi="Georgia"/>
          <w:sz w:val="24"/>
          <w:szCs w:val="24"/>
        </w:rPr>
        <w:t>The summary descriptive statistics presented in Table 1 highlight the critical importance of having risk identification systems in place for banks. These systems enable banks to identify risks associated with borrowers before approving loans. The data indicates a strong consensus, with an average agreement score of 4.18, demonstrating that risk identification systems play a vital role in lending performance.</w:t>
      </w:r>
      <w:r w:rsidR="007950A0">
        <w:rPr>
          <w:rFonts w:ascii="Georgia" w:hAnsi="Georgia"/>
          <w:sz w:val="24"/>
          <w:szCs w:val="24"/>
        </w:rPr>
        <w:t xml:space="preserve"> </w:t>
      </w:r>
      <w:r>
        <w:rPr>
          <w:rFonts w:ascii="Georgia" w:hAnsi="Georgia"/>
          <w:sz w:val="24"/>
          <w:szCs w:val="24"/>
        </w:rPr>
        <w:t>While banks may feel pressured by competitive dynamics to extend loans even without adequate risk identification, the statistics reveal that the majority disagreed, with an average score of 2.07, indicating that competitive pressure does not significantly impact lending performance or contribute to borrower defaults.</w:t>
      </w:r>
    </w:p>
    <w:p w14:paraId="738FB79B" w14:textId="21E5FB4E" w:rsidR="007C5DA6" w:rsidRDefault="007C5DA6" w:rsidP="000551DE">
      <w:pPr>
        <w:widowControl w:val="0"/>
        <w:autoSpaceDE w:val="0"/>
        <w:autoSpaceDN w:val="0"/>
        <w:adjustRightInd w:val="0"/>
        <w:spacing w:before="120" w:after="0" w:line="240" w:lineRule="auto"/>
        <w:jc w:val="both"/>
        <w:rPr>
          <w:rFonts w:ascii="Georgia" w:hAnsi="Georgia"/>
          <w:sz w:val="24"/>
          <w:szCs w:val="24"/>
        </w:rPr>
      </w:pPr>
      <w:r>
        <w:rPr>
          <w:rFonts w:ascii="Georgia" w:hAnsi="Georgia"/>
          <w:sz w:val="24"/>
          <w:szCs w:val="24"/>
        </w:rPr>
        <w:t xml:space="preserve">Moreover, </w:t>
      </w:r>
      <w:r w:rsidR="00240945">
        <w:rPr>
          <w:rFonts w:ascii="Georgia" w:hAnsi="Georgia"/>
          <w:sz w:val="24"/>
          <w:szCs w:val="24"/>
        </w:rPr>
        <w:t>banks need to implement</w:t>
      </w:r>
      <w:r>
        <w:rPr>
          <w:rFonts w:ascii="Georgia" w:hAnsi="Georgia"/>
          <w:sz w:val="24"/>
          <w:szCs w:val="24"/>
        </w:rPr>
        <w:t xml:space="preserve"> methods for </w:t>
      </w:r>
      <w:proofErr w:type="spellStart"/>
      <w:r>
        <w:rPr>
          <w:rFonts w:ascii="Georgia" w:hAnsi="Georgia"/>
          <w:sz w:val="24"/>
          <w:szCs w:val="24"/>
        </w:rPr>
        <w:t>analyzing</w:t>
      </w:r>
      <w:proofErr w:type="spellEnd"/>
      <w:r>
        <w:rPr>
          <w:rFonts w:ascii="Georgia" w:hAnsi="Georgia"/>
          <w:sz w:val="24"/>
          <w:szCs w:val="24"/>
        </w:rPr>
        <w:t xml:space="preserve"> the sources of borrowers' funds </w:t>
      </w:r>
      <w:r w:rsidR="00240945">
        <w:rPr>
          <w:rFonts w:ascii="Georgia" w:hAnsi="Georgia"/>
          <w:sz w:val="24"/>
          <w:szCs w:val="24"/>
        </w:rPr>
        <w:t>to</w:t>
      </w:r>
      <w:r>
        <w:rPr>
          <w:rFonts w:ascii="Georgia" w:hAnsi="Georgia"/>
          <w:sz w:val="24"/>
          <w:szCs w:val="24"/>
        </w:rPr>
        <w:t xml:space="preserve"> evaluate their capacity to repay loans. The majority </w:t>
      </w:r>
      <w:r w:rsidR="00240945">
        <w:rPr>
          <w:rFonts w:ascii="Georgia" w:hAnsi="Georgia"/>
          <w:sz w:val="24"/>
          <w:szCs w:val="24"/>
        </w:rPr>
        <w:t>agreed on</w:t>
      </w:r>
      <w:r>
        <w:rPr>
          <w:rFonts w:ascii="Georgia" w:hAnsi="Georgia"/>
          <w:sz w:val="24"/>
          <w:szCs w:val="24"/>
        </w:rPr>
        <w:t xml:space="preserve"> an average score of 4.31, indicating that such analytical methods are crucial in addressing lending issues faced by commercial banks.</w:t>
      </w:r>
      <w:r w:rsidR="007950A0">
        <w:rPr>
          <w:rFonts w:ascii="Georgia" w:hAnsi="Georgia"/>
          <w:sz w:val="24"/>
          <w:szCs w:val="24"/>
        </w:rPr>
        <w:t xml:space="preserve"> </w:t>
      </w:r>
      <w:r>
        <w:rPr>
          <w:rFonts w:ascii="Georgia" w:hAnsi="Georgia"/>
          <w:sz w:val="24"/>
          <w:szCs w:val="24"/>
        </w:rPr>
        <w:t>Additionally, an average score of 3.84 suggests that the majority believe that quicker lending decisions by banks are linked to an increase in loan defaults. This finding emphasizes that lending is a complex function that involves more than just processing and approving loans; decisions should be informed by evidence and thorough analysis.</w:t>
      </w:r>
    </w:p>
    <w:p w14:paraId="48709297" w14:textId="5F2D0644" w:rsidR="006658C2" w:rsidRDefault="007C5DA6" w:rsidP="000551DE">
      <w:pPr>
        <w:widowControl w:val="0"/>
        <w:autoSpaceDE w:val="0"/>
        <w:autoSpaceDN w:val="0"/>
        <w:adjustRightInd w:val="0"/>
        <w:spacing w:before="120" w:after="0" w:line="240" w:lineRule="auto"/>
        <w:jc w:val="both"/>
        <w:rPr>
          <w:rFonts w:ascii="Georgia" w:hAnsi="Georgia"/>
          <w:sz w:val="24"/>
          <w:szCs w:val="24"/>
        </w:rPr>
      </w:pPr>
      <w:r>
        <w:rPr>
          <w:rFonts w:ascii="Georgia" w:hAnsi="Georgia"/>
          <w:sz w:val="24"/>
          <w:szCs w:val="24"/>
        </w:rPr>
        <w:t xml:space="preserve">Regarding education levels, the statistics indicate an average score of 3.27, suggesting that most individuals in lending functions hold bachelor's degrees. In terms of work experience, an average score of 2.15 reveals that many have between 5-10 years of experience, underscoring the importance of educational qualifications in demonstrating the necessary capacity for staff engaged in lending activities. </w:t>
      </w:r>
      <w:r w:rsidR="007950A0">
        <w:rPr>
          <w:rFonts w:ascii="Georgia" w:hAnsi="Georgia"/>
          <w:sz w:val="24"/>
          <w:szCs w:val="24"/>
        </w:rPr>
        <w:t xml:space="preserve"> </w:t>
      </w:r>
      <w:r>
        <w:rPr>
          <w:rFonts w:ascii="Georgia" w:hAnsi="Georgia"/>
          <w:sz w:val="24"/>
          <w:szCs w:val="24"/>
        </w:rPr>
        <w:t>Lastly, the findings indicate that the specific position of the officer granting credit is not a significant issue in the lending process, provided that proper risk identification measures are effectively implemented.</w:t>
      </w:r>
    </w:p>
    <w:p w14:paraId="52CEFB1F" w14:textId="77777777" w:rsidR="007950A0" w:rsidRDefault="007950A0" w:rsidP="000551DE">
      <w:pPr>
        <w:widowControl w:val="0"/>
        <w:autoSpaceDE w:val="0"/>
        <w:autoSpaceDN w:val="0"/>
        <w:adjustRightInd w:val="0"/>
        <w:spacing w:before="120" w:after="0" w:line="240" w:lineRule="auto"/>
        <w:jc w:val="both"/>
        <w:rPr>
          <w:rFonts w:ascii="Georgia" w:hAnsi="Georgia"/>
          <w:sz w:val="24"/>
          <w:szCs w:val="24"/>
        </w:rPr>
      </w:pPr>
    </w:p>
    <w:p w14:paraId="2162D544" w14:textId="77777777" w:rsidR="007950A0" w:rsidRDefault="007950A0" w:rsidP="000551DE">
      <w:pPr>
        <w:widowControl w:val="0"/>
        <w:autoSpaceDE w:val="0"/>
        <w:autoSpaceDN w:val="0"/>
        <w:adjustRightInd w:val="0"/>
        <w:spacing w:before="120" w:after="0" w:line="240" w:lineRule="auto"/>
        <w:jc w:val="both"/>
        <w:rPr>
          <w:rFonts w:ascii="Georgia" w:hAnsi="Georgia"/>
          <w:sz w:val="24"/>
          <w:szCs w:val="24"/>
        </w:rPr>
      </w:pPr>
    </w:p>
    <w:p w14:paraId="0BEA0CB8" w14:textId="0964D2D5" w:rsidR="00797045" w:rsidRPr="000551DE" w:rsidRDefault="00797045" w:rsidP="000551DE">
      <w:pPr>
        <w:widowControl w:val="0"/>
        <w:autoSpaceDE w:val="0"/>
        <w:autoSpaceDN w:val="0"/>
        <w:adjustRightInd w:val="0"/>
        <w:spacing w:after="0" w:line="240" w:lineRule="auto"/>
        <w:rPr>
          <w:rFonts w:ascii="Georgia" w:hAnsi="Georgia"/>
          <w:b/>
          <w:bCs/>
          <w:sz w:val="20"/>
          <w:szCs w:val="20"/>
        </w:rPr>
      </w:pPr>
      <w:r w:rsidRPr="000551DE">
        <w:rPr>
          <w:rFonts w:ascii="Georgia" w:hAnsi="Georgia"/>
          <w:b/>
          <w:bCs/>
          <w:sz w:val="20"/>
          <w:szCs w:val="20"/>
        </w:rPr>
        <w:t xml:space="preserve">Table 1: Summary </w:t>
      </w:r>
      <w:r w:rsidR="00BA2026" w:rsidRPr="000551DE">
        <w:rPr>
          <w:rFonts w:ascii="Georgia" w:hAnsi="Georgia"/>
          <w:b/>
          <w:bCs/>
          <w:sz w:val="20"/>
          <w:szCs w:val="20"/>
        </w:rPr>
        <w:t>Descriptive</w:t>
      </w:r>
      <w:r w:rsidRPr="000551DE">
        <w:rPr>
          <w:rFonts w:ascii="Georgia" w:hAnsi="Georgia"/>
          <w:b/>
          <w:bCs/>
          <w:sz w:val="20"/>
          <w:szCs w:val="20"/>
        </w:rPr>
        <w:t xml:space="preserve"> Statistics </w:t>
      </w:r>
    </w:p>
    <w:tbl>
      <w:tblPr>
        <w:tblW w:w="0" w:type="auto"/>
        <w:tblLayout w:type="fixed"/>
        <w:tblLook w:val="04A0" w:firstRow="1" w:lastRow="0" w:firstColumn="1" w:lastColumn="0" w:noHBand="0" w:noVBand="1"/>
      </w:tblPr>
      <w:tblGrid>
        <w:gridCol w:w="3977"/>
        <w:gridCol w:w="1285"/>
        <w:gridCol w:w="1407"/>
        <w:gridCol w:w="1124"/>
        <w:gridCol w:w="976"/>
      </w:tblGrid>
      <w:tr w:rsidR="00797045" w:rsidRPr="000551DE" w14:paraId="7E3E58D1" w14:textId="77777777" w:rsidTr="008C7C00">
        <w:trPr>
          <w:trHeight w:val="260"/>
        </w:trPr>
        <w:tc>
          <w:tcPr>
            <w:tcW w:w="3977" w:type="dxa"/>
            <w:tcBorders>
              <w:top w:val="single" w:sz="4" w:space="0" w:color="auto"/>
              <w:left w:val="nil"/>
              <w:bottom w:val="single" w:sz="4" w:space="0" w:color="auto"/>
              <w:right w:val="nil"/>
            </w:tcBorders>
            <w:shd w:val="clear" w:color="auto" w:fill="auto"/>
          </w:tcPr>
          <w:p w14:paraId="2CF6A000"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bookmarkStart w:id="3" w:name="_Hlk84442268"/>
            <w:r w:rsidRPr="000551DE">
              <w:rPr>
                <w:rFonts w:ascii="Georgia" w:hAnsi="Georgia"/>
                <w:sz w:val="20"/>
                <w:szCs w:val="20"/>
                <w:lang w:val="zh-CN"/>
              </w:rPr>
              <w:t>Variable</w:t>
            </w:r>
          </w:p>
        </w:tc>
        <w:tc>
          <w:tcPr>
            <w:tcW w:w="1285" w:type="dxa"/>
            <w:tcBorders>
              <w:top w:val="single" w:sz="4" w:space="0" w:color="auto"/>
              <w:left w:val="nil"/>
              <w:bottom w:val="single" w:sz="4" w:space="0" w:color="auto"/>
              <w:right w:val="nil"/>
            </w:tcBorders>
            <w:shd w:val="clear" w:color="auto" w:fill="auto"/>
          </w:tcPr>
          <w:p w14:paraId="0C64D979"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Mean</w:t>
            </w:r>
          </w:p>
        </w:tc>
        <w:tc>
          <w:tcPr>
            <w:tcW w:w="1407" w:type="dxa"/>
            <w:tcBorders>
              <w:top w:val="single" w:sz="4" w:space="0" w:color="auto"/>
              <w:left w:val="nil"/>
              <w:bottom w:val="single" w:sz="4" w:space="0" w:color="auto"/>
              <w:right w:val="nil"/>
            </w:tcBorders>
            <w:shd w:val="clear" w:color="auto" w:fill="auto"/>
          </w:tcPr>
          <w:p w14:paraId="13F7B6A6"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Std. Dev.</w:t>
            </w:r>
          </w:p>
        </w:tc>
        <w:tc>
          <w:tcPr>
            <w:tcW w:w="1124" w:type="dxa"/>
            <w:tcBorders>
              <w:top w:val="single" w:sz="4" w:space="0" w:color="auto"/>
              <w:left w:val="nil"/>
              <w:bottom w:val="single" w:sz="4" w:space="0" w:color="auto"/>
              <w:right w:val="nil"/>
            </w:tcBorders>
            <w:shd w:val="clear" w:color="auto" w:fill="auto"/>
          </w:tcPr>
          <w:p w14:paraId="2126C0E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Min</w:t>
            </w:r>
          </w:p>
        </w:tc>
        <w:tc>
          <w:tcPr>
            <w:tcW w:w="976" w:type="dxa"/>
            <w:tcBorders>
              <w:top w:val="single" w:sz="4" w:space="0" w:color="auto"/>
              <w:left w:val="nil"/>
              <w:bottom w:val="single" w:sz="4" w:space="0" w:color="auto"/>
              <w:right w:val="nil"/>
            </w:tcBorders>
            <w:shd w:val="clear" w:color="auto" w:fill="auto"/>
          </w:tcPr>
          <w:p w14:paraId="66C3BD34"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Max</w:t>
            </w:r>
          </w:p>
        </w:tc>
      </w:tr>
      <w:tr w:rsidR="00797045" w:rsidRPr="000551DE" w14:paraId="3A78551B" w14:textId="77777777" w:rsidTr="008C7C00">
        <w:trPr>
          <w:trHeight w:val="248"/>
        </w:trPr>
        <w:tc>
          <w:tcPr>
            <w:tcW w:w="3977" w:type="dxa"/>
            <w:tcBorders>
              <w:top w:val="single" w:sz="4" w:space="0" w:color="auto"/>
              <w:left w:val="nil"/>
              <w:right w:val="nil"/>
            </w:tcBorders>
            <w:shd w:val="clear" w:color="auto" w:fill="auto"/>
          </w:tcPr>
          <w:p w14:paraId="38E23D77"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b/>
                <w:bCs/>
                <w:i/>
                <w:iCs/>
                <w:sz w:val="20"/>
                <w:szCs w:val="20"/>
              </w:rPr>
              <w:t>Dependent Variable</w:t>
            </w:r>
          </w:p>
        </w:tc>
        <w:tc>
          <w:tcPr>
            <w:tcW w:w="1285" w:type="dxa"/>
            <w:tcBorders>
              <w:top w:val="single" w:sz="4" w:space="0" w:color="auto"/>
              <w:left w:val="nil"/>
              <w:right w:val="nil"/>
            </w:tcBorders>
            <w:shd w:val="clear" w:color="auto" w:fill="auto"/>
          </w:tcPr>
          <w:p w14:paraId="5A5CDBAA"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407" w:type="dxa"/>
            <w:tcBorders>
              <w:top w:val="single" w:sz="4" w:space="0" w:color="auto"/>
              <w:left w:val="nil"/>
              <w:right w:val="nil"/>
            </w:tcBorders>
            <w:shd w:val="clear" w:color="auto" w:fill="auto"/>
          </w:tcPr>
          <w:p w14:paraId="3763F601"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124" w:type="dxa"/>
            <w:tcBorders>
              <w:top w:val="single" w:sz="4" w:space="0" w:color="auto"/>
              <w:left w:val="nil"/>
              <w:right w:val="nil"/>
            </w:tcBorders>
            <w:shd w:val="clear" w:color="auto" w:fill="auto"/>
          </w:tcPr>
          <w:p w14:paraId="10E157C3"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976" w:type="dxa"/>
            <w:tcBorders>
              <w:top w:val="single" w:sz="4" w:space="0" w:color="auto"/>
              <w:left w:val="nil"/>
              <w:right w:val="nil"/>
            </w:tcBorders>
            <w:shd w:val="clear" w:color="auto" w:fill="auto"/>
          </w:tcPr>
          <w:p w14:paraId="2FF08DB0"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r>
      <w:tr w:rsidR="008529ED" w:rsidRPr="000551DE" w14:paraId="1021B0AB" w14:textId="77777777" w:rsidTr="00057B75">
        <w:trPr>
          <w:trHeight w:val="260"/>
        </w:trPr>
        <w:tc>
          <w:tcPr>
            <w:tcW w:w="3977" w:type="dxa"/>
            <w:tcBorders>
              <w:left w:val="nil"/>
              <w:bottom w:val="nil"/>
              <w:right w:val="nil"/>
            </w:tcBorders>
            <w:shd w:val="clear" w:color="auto" w:fill="auto"/>
            <w:vAlign w:val="center"/>
          </w:tcPr>
          <w:p w14:paraId="3565C12E" w14:textId="0787FC37"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kern w:val="0"/>
                <w:sz w:val="20"/>
                <w:szCs w:val="20"/>
                <w:lang w:val="en-US"/>
              </w:rPr>
              <w:t>Lending Performance</w:t>
            </w:r>
          </w:p>
        </w:tc>
        <w:tc>
          <w:tcPr>
            <w:tcW w:w="1285" w:type="dxa"/>
            <w:tcBorders>
              <w:left w:val="nil"/>
              <w:bottom w:val="nil"/>
              <w:right w:val="nil"/>
            </w:tcBorders>
            <w:shd w:val="clear" w:color="auto" w:fill="auto"/>
            <w:vAlign w:val="center"/>
          </w:tcPr>
          <w:p w14:paraId="1BB0C96B" w14:textId="4DEEE14D"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3.67</w:t>
            </w:r>
            <w:r w:rsidR="00BA2026" w:rsidRPr="000551DE">
              <w:rPr>
                <w:rFonts w:ascii="Georgia" w:eastAsia="Times New Roman" w:hAnsi="Georgia" w:cs="Times New Roman"/>
                <w:kern w:val="0"/>
                <w:sz w:val="24"/>
                <w:szCs w:val="24"/>
                <w14:ligatures w14:val="none"/>
              </w:rPr>
              <w:t>2</w:t>
            </w:r>
          </w:p>
        </w:tc>
        <w:tc>
          <w:tcPr>
            <w:tcW w:w="1407" w:type="dxa"/>
            <w:tcBorders>
              <w:left w:val="nil"/>
              <w:bottom w:val="nil"/>
              <w:right w:val="nil"/>
            </w:tcBorders>
            <w:shd w:val="clear" w:color="auto" w:fill="auto"/>
            <w:vAlign w:val="center"/>
          </w:tcPr>
          <w:p w14:paraId="682BE130" w14:textId="4F2B433B"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.48</w:t>
            </w:r>
            <w:r w:rsidR="00BA2026" w:rsidRPr="000551DE">
              <w:rPr>
                <w:rFonts w:ascii="Georgia" w:eastAsia="Times New Roman" w:hAnsi="Georgia" w:cs="Times New Roman"/>
                <w:kern w:val="0"/>
                <w:sz w:val="24"/>
                <w:szCs w:val="24"/>
                <w14:ligatures w14:val="none"/>
              </w:rPr>
              <w:t>2</w:t>
            </w:r>
          </w:p>
        </w:tc>
        <w:tc>
          <w:tcPr>
            <w:tcW w:w="1124" w:type="dxa"/>
            <w:tcBorders>
              <w:left w:val="nil"/>
              <w:bottom w:val="nil"/>
              <w:right w:val="nil"/>
            </w:tcBorders>
            <w:shd w:val="clear" w:color="auto" w:fill="auto"/>
            <w:vAlign w:val="center"/>
          </w:tcPr>
          <w:p w14:paraId="766AEE0A" w14:textId="21D1CF0B"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2</w:t>
            </w:r>
          </w:p>
        </w:tc>
        <w:tc>
          <w:tcPr>
            <w:tcW w:w="976" w:type="dxa"/>
            <w:tcBorders>
              <w:left w:val="nil"/>
              <w:bottom w:val="nil"/>
              <w:right w:val="nil"/>
            </w:tcBorders>
            <w:shd w:val="clear" w:color="auto" w:fill="auto"/>
            <w:vAlign w:val="center"/>
          </w:tcPr>
          <w:p w14:paraId="7F3ADC48" w14:textId="76FF99C5"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4</w:t>
            </w:r>
          </w:p>
        </w:tc>
      </w:tr>
      <w:tr w:rsidR="00797045" w:rsidRPr="000551DE" w14:paraId="795CE719" w14:textId="77777777" w:rsidTr="008C7C00">
        <w:trPr>
          <w:trHeight w:val="260"/>
        </w:trPr>
        <w:tc>
          <w:tcPr>
            <w:tcW w:w="3977" w:type="dxa"/>
            <w:tcBorders>
              <w:top w:val="nil"/>
              <w:left w:val="nil"/>
              <w:bottom w:val="nil"/>
              <w:right w:val="nil"/>
            </w:tcBorders>
            <w:shd w:val="clear" w:color="auto" w:fill="auto"/>
          </w:tcPr>
          <w:p w14:paraId="778342FF" w14:textId="24D69D7C" w:rsidR="00797045" w:rsidRPr="000551DE" w:rsidRDefault="008529ED" w:rsidP="000551DE">
            <w:pPr>
              <w:widowControl w:val="0"/>
              <w:autoSpaceDE w:val="0"/>
              <w:autoSpaceDN w:val="0"/>
              <w:adjustRightInd w:val="0"/>
              <w:spacing w:after="0" w:line="240" w:lineRule="auto"/>
              <w:rPr>
                <w:rFonts w:ascii="Georgia" w:hAnsi="Georgia"/>
                <w:sz w:val="20"/>
                <w:szCs w:val="20"/>
              </w:rPr>
            </w:pPr>
            <w:r w:rsidRPr="000551DE">
              <w:rPr>
                <w:rFonts w:ascii="Georgia" w:hAnsi="Georgia"/>
                <w:b/>
                <w:bCs/>
                <w:i/>
                <w:iCs/>
                <w:sz w:val="20"/>
                <w:szCs w:val="20"/>
              </w:rPr>
              <w:t>R</w:t>
            </w:r>
            <w:r w:rsidR="00761739" w:rsidRPr="000551DE">
              <w:rPr>
                <w:rFonts w:ascii="Georgia" w:hAnsi="Georgia"/>
                <w:b/>
                <w:bCs/>
                <w:i/>
                <w:iCs/>
                <w:sz w:val="20"/>
                <w:szCs w:val="20"/>
              </w:rPr>
              <w:t>isk Identification</w:t>
            </w:r>
          </w:p>
        </w:tc>
        <w:tc>
          <w:tcPr>
            <w:tcW w:w="1285" w:type="dxa"/>
            <w:tcBorders>
              <w:top w:val="nil"/>
              <w:left w:val="nil"/>
              <w:bottom w:val="nil"/>
              <w:right w:val="nil"/>
            </w:tcBorders>
            <w:shd w:val="clear" w:color="auto" w:fill="auto"/>
          </w:tcPr>
          <w:p w14:paraId="01AE174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407" w:type="dxa"/>
            <w:tcBorders>
              <w:top w:val="nil"/>
              <w:left w:val="nil"/>
              <w:bottom w:val="nil"/>
              <w:right w:val="nil"/>
            </w:tcBorders>
            <w:shd w:val="clear" w:color="auto" w:fill="auto"/>
          </w:tcPr>
          <w:p w14:paraId="0EC04608"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124" w:type="dxa"/>
            <w:tcBorders>
              <w:top w:val="nil"/>
              <w:left w:val="nil"/>
              <w:bottom w:val="nil"/>
              <w:right w:val="nil"/>
            </w:tcBorders>
            <w:shd w:val="clear" w:color="auto" w:fill="auto"/>
          </w:tcPr>
          <w:p w14:paraId="014B53B7"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976" w:type="dxa"/>
            <w:tcBorders>
              <w:top w:val="nil"/>
              <w:left w:val="nil"/>
              <w:bottom w:val="nil"/>
              <w:right w:val="nil"/>
            </w:tcBorders>
            <w:shd w:val="clear" w:color="auto" w:fill="auto"/>
          </w:tcPr>
          <w:p w14:paraId="41D73D71"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r>
      <w:tr w:rsidR="00212BF6" w:rsidRPr="000551DE" w14:paraId="7948B544" w14:textId="77777777" w:rsidTr="00A54D2A">
        <w:trPr>
          <w:trHeight w:val="260"/>
        </w:trPr>
        <w:tc>
          <w:tcPr>
            <w:tcW w:w="3977" w:type="dxa"/>
            <w:tcBorders>
              <w:top w:val="nil"/>
              <w:left w:val="nil"/>
              <w:bottom w:val="nil"/>
              <w:right w:val="nil"/>
            </w:tcBorders>
            <w:shd w:val="clear" w:color="auto" w:fill="auto"/>
          </w:tcPr>
          <w:p w14:paraId="7C1AA795" w14:textId="26A73FD5"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Risk Systems</w:t>
            </w:r>
          </w:p>
        </w:tc>
        <w:tc>
          <w:tcPr>
            <w:tcW w:w="1285" w:type="dxa"/>
            <w:tcBorders>
              <w:top w:val="nil"/>
              <w:left w:val="nil"/>
              <w:bottom w:val="nil"/>
              <w:right w:val="nil"/>
            </w:tcBorders>
            <w:shd w:val="clear" w:color="auto" w:fill="auto"/>
            <w:vAlign w:val="center"/>
          </w:tcPr>
          <w:p w14:paraId="259C08ED" w14:textId="30A45F58"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4.18</w:t>
            </w:r>
            <w:r w:rsidR="00BA2026" w:rsidRPr="000551DE">
              <w:rPr>
                <w:rFonts w:ascii="Georgia" w:hAnsi="Georgia"/>
                <w:sz w:val="20"/>
                <w:szCs w:val="20"/>
              </w:rPr>
              <w:t>4</w:t>
            </w:r>
          </w:p>
        </w:tc>
        <w:tc>
          <w:tcPr>
            <w:tcW w:w="1407" w:type="dxa"/>
            <w:tcBorders>
              <w:top w:val="nil"/>
              <w:left w:val="nil"/>
              <w:bottom w:val="nil"/>
              <w:right w:val="nil"/>
            </w:tcBorders>
            <w:shd w:val="clear" w:color="auto" w:fill="auto"/>
            <w:vAlign w:val="center"/>
          </w:tcPr>
          <w:p w14:paraId="6E0F2112" w14:textId="16EEF52B"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.639</w:t>
            </w:r>
          </w:p>
        </w:tc>
        <w:tc>
          <w:tcPr>
            <w:tcW w:w="1124" w:type="dxa"/>
            <w:tcBorders>
              <w:top w:val="nil"/>
              <w:left w:val="nil"/>
              <w:bottom w:val="nil"/>
              <w:right w:val="nil"/>
            </w:tcBorders>
            <w:shd w:val="clear" w:color="auto" w:fill="auto"/>
            <w:vAlign w:val="center"/>
          </w:tcPr>
          <w:p w14:paraId="5574997D" w14:textId="7A97C45B"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2</w:t>
            </w:r>
          </w:p>
        </w:tc>
        <w:tc>
          <w:tcPr>
            <w:tcW w:w="976" w:type="dxa"/>
            <w:tcBorders>
              <w:top w:val="nil"/>
              <w:left w:val="nil"/>
              <w:bottom w:val="nil"/>
              <w:right w:val="nil"/>
            </w:tcBorders>
            <w:shd w:val="clear" w:color="auto" w:fill="auto"/>
            <w:vAlign w:val="center"/>
          </w:tcPr>
          <w:p w14:paraId="75312441" w14:textId="70F85554"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212BF6" w:rsidRPr="000551DE" w14:paraId="28D60832" w14:textId="77777777" w:rsidTr="00E05793">
        <w:trPr>
          <w:trHeight w:val="261"/>
        </w:trPr>
        <w:tc>
          <w:tcPr>
            <w:tcW w:w="3977" w:type="dxa"/>
            <w:tcBorders>
              <w:top w:val="nil"/>
              <w:left w:val="nil"/>
              <w:bottom w:val="nil"/>
              <w:right w:val="nil"/>
            </w:tcBorders>
            <w:shd w:val="clear" w:color="auto" w:fill="auto"/>
            <w:vAlign w:val="center"/>
          </w:tcPr>
          <w:p w14:paraId="755EE205" w14:textId="321ADAB2"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Competitive Pressure</w:t>
            </w:r>
          </w:p>
        </w:tc>
        <w:tc>
          <w:tcPr>
            <w:tcW w:w="1285" w:type="dxa"/>
            <w:tcBorders>
              <w:top w:val="nil"/>
              <w:left w:val="nil"/>
              <w:bottom w:val="nil"/>
              <w:right w:val="nil"/>
            </w:tcBorders>
            <w:shd w:val="clear" w:color="auto" w:fill="auto"/>
            <w:vAlign w:val="center"/>
          </w:tcPr>
          <w:p w14:paraId="5411BE72" w14:textId="73D23A75"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2.07</w:t>
            </w:r>
            <w:r w:rsidR="00BA2026" w:rsidRPr="000551DE">
              <w:rPr>
                <w:rFonts w:ascii="Georgia" w:hAnsi="Georgia"/>
                <w:sz w:val="20"/>
                <w:szCs w:val="20"/>
              </w:rPr>
              <w:t>4</w:t>
            </w:r>
          </w:p>
        </w:tc>
        <w:tc>
          <w:tcPr>
            <w:tcW w:w="1407" w:type="dxa"/>
            <w:tcBorders>
              <w:top w:val="nil"/>
              <w:left w:val="nil"/>
              <w:bottom w:val="nil"/>
              <w:right w:val="nil"/>
            </w:tcBorders>
            <w:shd w:val="clear" w:color="auto" w:fill="auto"/>
            <w:vAlign w:val="center"/>
          </w:tcPr>
          <w:p w14:paraId="47C3F328" w14:textId="7E838081"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1.08</w:t>
            </w:r>
            <w:r w:rsidR="00BA2026" w:rsidRPr="000551DE">
              <w:rPr>
                <w:rFonts w:ascii="Georgia" w:hAnsi="Georgia"/>
                <w:sz w:val="20"/>
                <w:szCs w:val="20"/>
              </w:rPr>
              <w:t>8</w:t>
            </w:r>
          </w:p>
        </w:tc>
        <w:tc>
          <w:tcPr>
            <w:tcW w:w="1124" w:type="dxa"/>
            <w:tcBorders>
              <w:top w:val="nil"/>
              <w:left w:val="nil"/>
              <w:bottom w:val="nil"/>
              <w:right w:val="nil"/>
            </w:tcBorders>
            <w:shd w:val="clear" w:color="auto" w:fill="auto"/>
            <w:vAlign w:val="center"/>
          </w:tcPr>
          <w:p w14:paraId="435413E8" w14:textId="0EB1612A"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0B8C84F9" w14:textId="21B6552D"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E05793" w:rsidRPr="000551DE" w14:paraId="0832B9FF" w14:textId="77777777" w:rsidTr="001774F7">
        <w:trPr>
          <w:trHeight w:val="260"/>
        </w:trPr>
        <w:tc>
          <w:tcPr>
            <w:tcW w:w="3977" w:type="dxa"/>
            <w:tcBorders>
              <w:top w:val="nil"/>
              <w:left w:val="nil"/>
              <w:bottom w:val="nil"/>
              <w:right w:val="nil"/>
            </w:tcBorders>
            <w:shd w:val="clear" w:color="auto" w:fill="auto"/>
            <w:vAlign w:val="center"/>
          </w:tcPr>
          <w:p w14:paraId="3605216F" w14:textId="75E07E93"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New Markets</w:t>
            </w:r>
          </w:p>
        </w:tc>
        <w:tc>
          <w:tcPr>
            <w:tcW w:w="1285" w:type="dxa"/>
            <w:tcBorders>
              <w:top w:val="nil"/>
              <w:left w:val="nil"/>
              <w:bottom w:val="nil"/>
              <w:right w:val="nil"/>
            </w:tcBorders>
            <w:shd w:val="clear" w:color="auto" w:fill="auto"/>
            <w:vAlign w:val="center"/>
          </w:tcPr>
          <w:p w14:paraId="7DE06CCC" w14:textId="02238760"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4.143</w:t>
            </w:r>
          </w:p>
        </w:tc>
        <w:tc>
          <w:tcPr>
            <w:tcW w:w="1407" w:type="dxa"/>
            <w:tcBorders>
              <w:top w:val="nil"/>
              <w:left w:val="nil"/>
              <w:bottom w:val="nil"/>
              <w:right w:val="nil"/>
            </w:tcBorders>
            <w:shd w:val="clear" w:color="auto" w:fill="auto"/>
            <w:vAlign w:val="center"/>
          </w:tcPr>
          <w:p w14:paraId="25BAC745" w14:textId="484ED279"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.97</w:t>
            </w:r>
            <w:r w:rsidR="00BA2026" w:rsidRPr="000551DE">
              <w:rPr>
                <w:rFonts w:ascii="Georgia" w:hAnsi="Georgia"/>
                <w:sz w:val="20"/>
                <w:szCs w:val="20"/>
              </w:rPr>
              <w:t>5</w:t>
            </w:r>
          </w:p>
        </w:tc>
        <w:tc>
          <w:tcPr>
            <w:tcW w:w="1124" w:type="dxa"/>
            <w:tcBorders>
              <w:top w:val="nil"/>
              <w:left w:val="nil"/>
              <w:bottom w:val="nil"/>
              <w:right w:val="nil"/>
            </w:tcBorders>
            <w:shd w:val="clear" w:color="auto" w:fill="auto"/>
            <w:vAlign w:val="center"/>
          </w:tcPr>
          <w:p w14:paraId="097B70F8" w14:textId="2D5DC96D"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5FA997D5" w14:textId="1C38242E"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E05793" w:rsidRPr="000551DE" w14:paraId="5BEC62FF" w14:textId="77777777" w:rsidTr="007013ED">
        <w:trPr>
          <w:trHeight w:val="184"/>
        </w:trPr>
        <w:tc>
          <w:tcPr>
            <w:tcW w:w="3977" w:type="dxa"/>
            <w:tcBorders>
              <w:top w:val="nil"/>
              <w:left w:val="nil"/>
              <w:bottom w:val="nil"/>
              <w:right w:val="nil"/>
            </w:tcBorders>
            <w:shd w:val="clear" w:color="auto" w:fill="auto"/>
            <w:vAlign w:val="center"/>
          </w:tcPr>
          <w:p w14:paraId="1D162988" w14:textId="5524BFAA"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Internal Guidelines</w:t>
            </w:r>
          </w:p>
        </w:tc>
        <w:tc>
          <w:tcPr>
            <w:tcW w:w="1285" w:type="dxa"/>
            <w:tcBorders>
              <w:top w:val="nil"/>
              <w:left w:val="nil"/>
              <w:bottom w:val="nil"/>
              <w:right w:val="nil"/>
            </w:tcBorders>
            <w:shd w:val="clear" w:color="auto" w:fill="auto"/>
            <w:vAlign w:val="center"/>
          </w:tcPr>
          <w:p w14:paraId="7643FB3A" w14:textId="39FF1BB8"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4.272</w:t>
            </w:r>
          </w:p>
        </w:tc>
        <w:tc>
          <w:tcPr>
            <w:tcW w:w="1407" w:type="dxa"/>
            <w:tcBorders>
              <w:top w:val="nil"/>
              <w:left w:val="nil"/>
              <w:bottom w:val="nil"/>
              <w:right w:val="nil"/>
            </w:tcBorders>
            <w:shd w:val="clear" w:color="auto" w:fill="auto"/>
            <w:vAlign w:val="center"/>
          </w:tcPr>
          <w:p w14:paraId="2909E272" w14:textId="0E163520"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.82</w:t>
            </w:r>
            <w:r w:rsidR="00BA2026" w:rsidRPr="000551DE">
              <w:rPr>
                <w:rFonts w:ascii="Georgia" w:hAnsi="Georgia"/>
                <w:sz w:val="20"/>
                <w:szCs w:val="20"/>
              </w:rPr>
              <w:t>4</w:t>
            </w:r>
          </w:p>
        </w:tc>
        <w:tc>
          <w:tcPr>
            <w:tcW w:w="1124" w:type="dxa"/>
            <w:tcBorders>
              <w:top w:val="nil"/>
              <w:left w:val="nil"/>
              <w:bottom w:val="nil"/>
              <w:right w:val="nil"/>
            </w:tcBorders>
            <w:shd w:val="clear" w:color="auto" w:fill="auto"/>
            <w:vAlign w:val="center"/>
          </w:tcPr>
          <w:p w14:paraId="7B410B59" w14:textId="12DAED64"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095D50AB" w14:textId="542DC032"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7013ED" w:rsidRPr="000551DE" w14:paraId="08AEF0D3" w14:textId="77777777" w:rsidTr="00C528E1">
        <w:trPr>
          <w:trHeight w:val="391"/>
        </w:trPr>
        <w:tc>
          <w:tcPr>
            <w:tcW w:w="3977" w:type="dxa"/>
            <w:tcBorders>
              <w:top w:val="nil"/>
              <w:left w:val="nil"/>
              <w:bottom w:val="nil"/>
              <w:right w:val="nil"/>
            </w:tcBorders>
            <w:shd w:val="clear" w:color="auto" w:fill="auto"/>
            <w:vAlign w:val="center"/>
          </w:tcPr>
          <w:p w14:paraId="169EB74B" w14:textId="1F3E7FFB"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Lending Decision</w:t>
            </w:r>
          </w:p>
        </w:tc>
        <w:tc>
          <w:tcPr>
            <w:tcW w:w="1285" w:type="dxa"/>
            <w:tcBorders>
              <w:top w:val="nil"/>
              <w:left w:val="nil"/>
              <w:bottom w:val="nil"/>
              <w:right w:val="nil"/>
            </w:tcBorders>
            <w:shd w:val="clear" w:color="auto" w:fill="auto"/>
            <w:vAlign w:val="center"/>
          </w:tcPr>
          <w:p w14:paraId="61EA65E0" w14:textId="0171F967"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3.838</w:t>
            </w:r>
          </w:p>
        </w:tc>
        <w:tc>
          <w:tcPr>
            <w:tcW w:w="1407" w:type="dxa"/>
            <w:tcBorders>
              <w:top w:val="nil"/>
              <w:left w:val="nil"/>
              <w:bottom w:val="nil"/>
              <w:right w:val="nil"/>
            </w:tcBorders>
            <w:shd w:val="clear" w:color="auto" w:fill="auto"/>
            <w:vAlign w:val="center"/>
          </w:tcPr>
          <w:p w14:paraId="785333F7" w14:textId="0FDBB1DD"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1.2</w:t>
            </w:r>
            <w:r w:rsidR="00BA2026" w:rsidRPr="000551DE">
              <w:rPr>
                <w:rFonts w:ascii="Georgia" w:hAnsi="Georgia"/>
                <w:sz w:val="20"/>
                <w:szCs w:val="20"/>
              </w:rPr>
              <w:t>5</w:t>
            </w:r>
          </w:p>
        </w:tc>
        <w:tc>
          <w:tcPr>
            <w:tcW w:w="1124" w:type="dxa"/>
            <w:tcBorders>
              <w:top w:val="nil"/>
              <w:left w:val="nil"/>
              <w:bottom w:val="nil"/>
              <w:right w:val="nil"/>
            </w:tcBorders>
            <w:shd w:val="clear" w:color="auto" w:fill="auto"/>
            <w:vAlign w:val="center"/>
          </w:tcPr>
          <w:p w14:paraId="2AFD72A8" w14:textId="594F98B8"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58246E79" w14:textId="445DED32"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7013ED" w:rsidRPr="000551DE" w14:paraId="184CA32A" w14:textId="77777777" w:rsidTr="00C528E1">
        <w:trPr>
          <w:trHeight w:val="260"/>
        </w:trPr>
        <w:tc>
          <w:tcPr>
            <w:tcW w:w="3977" w:type="dxa"/>
            <w:tcBorders>
              <w:top w:val="nil"/>
              <w:left w:val="nil"/>
              <w:bottom w:val="nil"/>
              <w:right w:val="nil"/>
            </w:tcBorders>
            <w:shd w:val="clear" w:color="auto" w:fill="auto"/>
            <w:vAlign w:val="center"/>
          </w:tcPr>
          <w:p w14:paraId="3A599277" w14:textId="25270CAE"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 xml:space="preserve">Methods </w:t>
            </w:r>
            <w:r w:rsidR="00B34607" w:rsidRPr="000551DE">
              <w:rPr>
                <w:rFonts w:ascii="Georgia" w:hAnsi="Georgia"/>
                <w:sz w:val="20"/>
                <w:szCs w:val="20"/>
              </w:rPr>
              <w:t>Analysing</w:t>
            </w:r>
          </w:p>
        </w:tc>
        <w:tc>
          <w:tcPr>
            <w:tcW w:w="1285" w:type="dxa"/>
            <w:tcBorders>
              <w:top w:val="nil"/>
              <w:left w:val="nil"/>
              <w:bottom w:val="nil"/>
              <w:right w:val="nil"/>
            </w:tcBorders>
            <w:shd w:val="clear" w:color="auto" w:fill="auto"/>
            <w:vAlign w:val="center"/>
          </w:tcPr>
          <w:p w14:paraId="1954A178" w14:textId="74BBD2A2"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4.31</w:t>
            </w:r>
            <w:r w:rsidR="00BA2026" w:rsidRPr="000551DE">
              <w:rPr>
                <w:rFonts w:ascii="Georgia" w:hAnsi="Georgia"/>
                <w:sz w:val="20"/>
                <w:szCs w:val="20"/>
              </w:rPr>
              <w:t>3</w:t>
            </w:r>
          </w:p>
        </w:tc>
        <w:tc>
          <w:tcPr>
            <w:tcW w:w="1407" w:type="dxa"/>
            <w:tcBorders>
              <w:top w:val="nil"/>
              <w:left w:val="nil"/>
              <w:bottom w:val="nil"/>
              <w:right w:val="nil"/>
            </w:tcBorders>
            <w:shd w:val="clear" w:color="auto" w:fill="auto"/>
            <w:vAlign w:val="center"/>
          </w:tcPr>
          <w:p w14:paraId="5EC341F2" w14:textId="4B480FC5"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.688</w:t>
            </w:r>
          </w:p>
        </w:tc>
        <w:tc>
          <w:tcPr>
            <w:tcW w:w="1124" w:type="dxa"/>
            <w:tcBorders>
              <w:top w:val="nil"/>
              <w:left w:val="nil"/>
              <w:bottom w:val="nil"/>
              <w:right w:val="nil"/>
            </w:tcBorders>
            <w:shd w:val="clear" w:color="auto" w:fill="auto"/>
            <w:vAlign w:val="center"/>
          </w:tcPr>
          <w:p w14:paraId="03C5DA74" w14:textId="0B9A0336"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2</w:t>
            </w:r>
          </w:p>
        </w:tc>
        <w:tc>
          <w:tcPr>
            <w:tcW w:w="976" w:type="dxa"/>
            <w:tcBorders>
              <w:top w:val="nil"/>
              <w:left w:val="nil"/>
              <w:bottom w:val="nil"/>
              <w:right w:val="nil"/>
            </w:tcBorders>
            <w:shd w:val="clear" w:color="auto" w:fill="auto"/>
            <w:vAlign w:val="center"/>
          </w:tcPr>
          <w:p w14:paraId="585A3914" w14:textId="160E76F2"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797045" w:rsidRPr="000551DE" w14:paraId="3090C449" w14:textId="77777777" w:rsidTr="008C7C00">
        <w:trPr>
          <w:trHeight w:val="248"/>
        </w:trPr>
        <w:tc>
          <w:tcPr>
            <w:tcW w:w="3977" w:type="dxa"/>
            <w:tcBorders>
              <w:top w:val="nil"/>
              <w:left w:val="nil"/>
              <w:bottom w:val="nil"/>
              <w:right w:val="nil"/>
            </w:tcBorders>
            <w:shd w:val="clear" w:color="auto" w:fill="auto"/>
          </w:tcPr>
          <w:p w14:paraId="4F1C2F24" w14:textId="77777777" w:rsidR="00797045" w:rsidRPr="000551DE" w:rsidRDefault="00797045" w:rsidP="000551DE">
            <w:pPr>
              <w:widowControl w:val="0"/>
              <w:autoSpaceDE w:val="0"/>
              <w:autoSpaceDN w:val="0"/>
              <w:adjustRightInd w:val="0"/>
              <w:spacing w:after="0" w:line="240" w:lineRule="auto"/>
              <w:rPr>
                <w:rFonts w:ascii="Georgia" w:hAnsi="Georgia"/>
                <w:sz w:val="20"/>
                <w:szCs w:val="20"/>
              </w:rPr>
            </w:pPr>
            <w:r w:rsidRPr="000551DE">
              <w:rPr>
                <w:rFonts w:ascii="Georgia" w:hAnsi="Georgia"/>
                <w:b/>
                <w:bCs/>
                <w:i/>
                <w:iCs/>
                <w:sz w:val="20"/>
                <w:szCs w:val="20"/>
              </w:rPr>
              <w:t>Control Variables</w:t>
            </w:r>
          </w:p>
        </w:tc>
        <w:tc>
          <w:tcPr>
            <w:tcW w:w="1285" w:type="dxa"/>
            <w:tcBorders>
              <w:top w:val="nil"/>
              <w:left w:val="nil"/>
              <w:bottom w:val="nil"/>
              <w:right w:val="nil"/>
            </w:tcBorders>
            <w:shd w:val="clear" w:color="auto" w:fill="auto"/>
          </w:tcPr>
          <w:p w14:paraId="07494A5A"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407" w:type="dxa"/>
            <w:tcBorders>
              <w:top w:val="nil"/>
              <w:left w:val="nil"/>
              <w:bottom w:val="nil"/>
              <w:right w:val="nil"/>
            </w:tcBorders>
            <w:shd w:val="clear" w:color="auto" w:fill="auto"/>
          </w:tcPr>
          <w:p w14:paraId="21B6231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124" w:type="dxa"/>
            <w:tcBorders>
              <w:top w:val="nil"/>
              <w:left w:val="nil"/>
              <w:bottom w:val="nil"/>
              <w:right w:val="nil"/>
            </w:tcBorders>
            <w:shd w:val="clear" w:color="auto" w:fill="auto"/>
          </w:tcPr>
          <w:p w14:paraId="636D966D"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976" w:type="dxa"/>
            <w:tcBorders>
              <w:top w:val="nil"/>
              <w:left w:val="nil"/>
              <w:bottom w:val="nil"/>
              <w:right w:val="nil"/>
            </w:tcBorders>
            <w:shd w:val="clear" w:color="auto" w:fill="auto"/>
          </w:tcPr>
          <w:p w14:paraId="7E30C8B5"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r>
      <w:tr w:rsidR="00797045" w:rsidRPr="000551DE" w14:paraId="2C8A5D6B" w14:textId="77777777" w:rsidTr="008C7C00">
        <w:trPr>
          <w:trHeight w:val="260"/>
        </w:trPr>
        <w:tc>
          <w:tcPr>
            <w:tcW w:w="3977" w:type="dxa"/>
            <w:tcBorders>
              <w:top w:val="nil"/>
              <w:left w:val="nil"/>
              <w:bottom w:val="nil"/>
              <w:right w:val="nil"/>
            </w:tcBorders>
            <w:shd w:val="clear" w:color="auto" w:fill="auto"/>
          </w:tcPr>
          <w:p w14:paraId="3CC6FA2A"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rPr>
              <w:t>Level of education</w:t>
            </w:r>
          </w:p>
        </w:tc>
        <w:tc>
          <w:tcPr>
            <w:tcW w:w="1285" w:type="dxa"/>
            <w:tcBorders>
              <w:top w:val="nil"/>
              <w:left w:val="nil"/>
              <w:bottom w:val="nil"/>
              <w:right w:val="nil"/>
            </w:tcBorders>
            <w:shd w:val="clear" w:color="auto" w:fill="auto"/>
          </w:tcPr>
          <w:p w14:paraId="3877E856"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3.272</w:t>
            </w:r>
          </w:p>
        </w:tc>
        <w:tc>
          <w:tcPr>
            <w:tcW w:w="1407" w:type="dxa"/>
            <w:tcBorders>
              <w:top w:val="nil"/>
              <w:left w:val="nil"/>
              <w:bottom w:val="nil"/>
              <w:right w:val="nil"/>
            </w:tcBorders>
            <w:shd w:val="clear" w:color="auto" w:fill="auto"/>
          </w:tcPr>
          <w:p w14:paraId="6B19053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.576</w:t>
            </w:r>
          </w:p>
        </w:tc>
        <w:tc>
          <w:tcPr>
            <w:tcW w:w="1124" w:type="dxa"/>
            <w:tcBorders>
              <w:top w:val="nil"/>
              <w:left w:val="nil"/>
              <w:bottom w:val="nil"/>
              <w:right w:val="nil"/>
            </w:tcBorders>
            <w:shd w:val="clear" w:color="auto" w:fill="auto"/>
          </w:tcPr>
          <w:p w14:paraId="39EA880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2</w:t>
            </w:r>
          </w:p>
        </w:tc>
        <w:tc>
          <w:tcPr>
            <w:tcW w:w="976" w:type="dxa"/>
            <w:tcBorders>
              <w:top w:val="nil"/>
              <w:left w:val="nil"/>
              <w:bottom w:val="nil"/>
              <w:right w:val="nil"/>
            </w:tcBorders>
            <w:shd w:val="clear" w:color="auto" w:fill="auto"/>
          </w:tcPr>
          <w:p w14:paraId="7571DF24"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4</w:t>
            </w:r>
          </w:p>
        </w:tc>
      </w:tr>
      <w:tr w:rsidR="002C1F4F" w:rsidRPr="000551DE" w14:paraId="02D42D24" w14:textId="77777777" w:rsidTr="000B6C29">
        <w:trPr>
          <w:trHeight w:val="260"/>
        </w:trPr>
        <w:tc>
          <w:tcPr>
            <w:tcW w:w="3977" w:type="dxa"/>
            <w:tcBorders>
              <w:top w:val="nil"/>
              <w:left w:val="nil"/>
              <w:bottom w:val="nil"/>
              <w:right w:val="nil"/>
            </w:tcBorders>
            <w:shd w:val="clear" w:color="auto" w:fill="auto"/>
            <w:vAlign w:val="center"/>
          </w:tcPr>
          <w:p w14:paraId="4DCF7948" w14:textId="2A865D13" w:rsidR="002C1F4F" w:rsidRPr="000551DE" w:rsidRDefault="002C1F4F" w:rsidP="000551DE">
            <w:pPr>
              <w:widowControl w:val="0"/>
              <w:autoSpaceDE w:val="0"/>
              <w:autoSpaceDN w:val="0"/>
              <w:adjustRightInd w:val="0"/>
              <w:spacing w:after="0" w:line="240" w:lineRule="auto"/>
              <w:rPr>
                <w:rFonts w:ascii="Georgia" w:hAnsi="Georgia"/>
                <w:sz w:val="20"/>
                <w:szCs w:val="20"/>
              </w:rPr>
            </w:pPr>
            <w:r w:rsidRPr="00D7376E">
              <w:rPr>
                <w:rFonts w:ascii="Georgia" w:eastAsia="Times New Roman" w:hAnsi="Georgia" w:cs="Times New Roman"/>
                <w:kern w:val="0"/>
                <w:sz w:val="24"/>
                <w:szCs w:val="24"/>
                <w14:ligatures w14:val="none"/>
              </w:rPr>
              <w:t>Position</w:t>
            </w:r>
          </w:p>
        </w:tc>
        <w:tc>
          <w:tcPr>
            <w:tcW w:w="1285" w:type="dxa"/>
            <w:tcBorders>
              <w:top w:val="nil"/>
              <w:left w:val="nil"/>
              <w:bottom w:val="nil"/>
              <w:right w:val="nil"/>
            </w:tcBorders>
            <w:shd w:val="clear" w:color="auto" w:fill="auto"/>
            <w:vAlign w:val="center"/>
          </w:tcPr>
          <w:p w14:paraId="2B6CA24A" w14:textId="3B74DCC8"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1.84</w:t>
            </w:r>
            <w:r w:rsidR="00BA2026" w:rsidRPr="000551DE">
              <w:rPr>
                <w:rFonts w:ascii="Georgia" w:eastAsia="Times New Roman" w:hAnsi="Georgia" w:cs="Times New Roman"/>
                <w:kern w:val="0"/>
                <w:sz w:val="24"/>
                <w:szCs w:val="24"/>
                <w14:ligatures w14:val="none"/>
              </w:rPr>
              <w:t>6</w:t>
            </w:r>
          </w:p>
        </w:tc>
        <w:tc>
          <w:tcPr>
            <w:tcW w:w="1407" w:type="dxa"/>
            <w:tcBorders>
              <w:top w:val="nil"/>
              <w:left w:val="nil"/>
              <w:bottom w:val="nil"/>
              <w:right w:val="nil"/>
            </w:tcBorders>
            <w:shd w:val="clear" w:color="auto" w:fill="auto"/>
            <w:vAlign w:val="center"/>
          </w:tcPr>
          <w:p w14:paraId="019AB047" w14:textId="5E5CB8D4"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.362</w:t>
            </w:r>
          </w:p>
        </w:tc>
        <w:tc>
          <w:tcPr>
            <w:tcW w:w="1124" w:type="dxa"/>
            <w:tcBorders>
              <w:top w:val="nil"/>
              <w:left w:val="nil"/>
              <w:bottom w:val="nil"/>
              <w:right w:val="nil"/>
            </w:tcBorders>
            <w:shd w:val="clear" w:color="auto" w:fill="auto"/>
            <w:vAlign w:val="center"/>
          </w:tcPr>
          <w:p w14:paraId="26693A88" w14:textId="6F4DA4F5"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1</w:t>
            </w:r>
          </w:p>
        </w:tc>
        <w:tc>
          <w:tcPr>
            <w:tcW w:w="976" w:type="dxa"/>
            <w:tcBorders>
              <w:top w:val="nil"/>
              <w:left w:val="nil"/>
              <w:bottom w:val="nil"/>
              <w:right w:val="nil"/>
            </w:tcBorders>
            <w:shd w:val="clear" w:color="auto" w:fill="auto"/>
            <w:vAlign w:val="center"/>
          </w:tcPr>
          <w:p w14:paraId="2DF749BA" w14:textId="10BE2B5D"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2</w:t>
            </w:r>
          </w:p>
        </w:tc>
      </w:tr>
      <w:tr w:rsidR="00797045" w:rsidRPr="000551DE" w14:paraId="618566B1" w14:textId="77777777" w:rsidTr="002C1F4F">
        <w:trPr>
          <w:trHeight w:val="297"/>
        </w:trPr>
        <w:tc>
          <w:tcPr>
            <w:tcW w:w="3977" w:type="dxa"/>
            <w:tcBorders>
              <w:top w:val="nil"/>
              <w:left w:val="nil"/>
              <w:bottom w:val="single" w:sz="4" w:space="0" w:color="auto"/>
              <w:right w:val="nil"/>
            </w:tcBorders>
            <w:shd w:val="clear" w:color="auto" w:fill="auto"/>
          </w:tcPr>
          <w:p w14:paraId="532E96B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rPr>
              <w:t>Years of experience</w:t>
            </w:r>
          </w:p>
        </w:tc>
        <w:tc>
          <w:tcPr>
            <w:tcW w:w="1285" w:type="dxa"/>
            <w:tcBorders>
              <w:top w:val="nil"/>
              <w:left w:val="nil"/>
              <w:bottom w:val="single" w:sz="4" w:space="0" w:color="auto"/>
              <w:right w:val="nil"/>
            </w:tcBorders>
            <w:shd w:val="clear" w:color="auto" w:fill="auto"/>
          </w:tcPr>
          <w:p w14:paraId="3D595B00"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2.151</w:t>
            </w:r>
          </w:p>
        </w:tc>
        <w:tc>
          <w:tcPr>
            <w:tcW w:w="1407" w:type="dxa"/>
            <w:tcBorders>
              <w:top w:val="nil"/>
              <w:left w:val="nil"/>
              <w:bottom w:val="single" w:sz="4" w:space="0" w:color="auto"/>
              <w:right w:val="nil"/>
            </w:tcBorders>
            <w:shd w:val="clear" w:color="auto" w:fill="auto"/>
          </w:tcPr>
          <w:p w14:paraId="2804EB63"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.705</w:t>
            </w:r>
          </w:p>
        </w:tc>
        <w:tc>
          <w:tcPr>
            <w:tcW w:w="1124" w:type="dxa"/>
            <w:tcBorders>
              <w:top w:val="nil"/>
              <w:left w:val="nil"/>
              <w:bottom w:val="single" w:sz="4" w:space="0" w:color="auto"/>
              <w:right w:val="nil"/>
            </w:tcBorders>
            <w:shd w:val="clear" w:color="auto" w:fill="auto"/>
          </w:tcPr>
          <w:p w14:paraId="5FC70D61"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1</w:t>
            </w:r>
          </w:p>
        </w:tc>
        <w:tc>
          <w:tcPr>
            <w:tcW w:w="976" w:type="dxa"/>
            <w:tcBorders>
              <w:top w:val="nil"/>
              <w:left w:val="nil"/>
              <w:bottom w:val="single" w:sz="4" w:space="0" w:color="auto"/>
              <w:right w:val="nil"/>
            </w:tcBorders>
            <w:shd w:val="clear" w:color="auto" w:fill="auto"/>
          </w:tcPr>
          <w:p w14:paraId="3E428459"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4</w:t>
            </w:r>
          </w:p>
          <w:p w14:paraId="725928F6" w14:textId="77777777" w:rsidR="007013ED" w:rsidRPr="000551DE" w:rsidRDefault="007013ED" w:rsidP="000551DE">
            <w:pPr>
              <w:widowControl w:val="0"/>
              <w:autoSpaceDE w:val="0"/>
              <w:autoSpaceDN w:val="0"/>
              <w:adjustRightInd w:val="0"/>
              <w:spacing w:after="0" w:line="240" w:lineRule="auto"/>
              <w:rPr>
                <w:rFonts w:ascii="Georgia" w:hAnsi="Georgia"/>
                <w:sz w:val="20"/>
                <w:szCs w:val="20"/>
                <w:lang w:val="zh-CN"/>
              </w:rPr>
            </w:pPr>
          </w:p>
        </w:tc>
      </w:tr>
    </w:tbl>
    <w:bookmarkEnd w:id="3"/>
    <w:p w14:paraId="55C181EB" w14:textId="6B7455A8" w:rsidR="00797045" w:rsidRPr="000551DE" w:rsidRDefault="00797045" w:rsidP="000551DE">
      <w:pPr>
        <w:spacing w:line="240" w:lineRule="auto"/>
        <w:rPr>
          <w:rFonts w:ascii="Georgia" w:hAnsi="Georgia"/>
          <w:i/>
          <w:iCs/>
          <w:sz w:val="20"/>
          <w:szCs w:val="20"/>
        </w:rPr>
      </w:pPr>
      <w:r w:rsidRPr="000551DE">
        <w:rPr>
          <w:rFonts w:ascii="Georgia" w:hAnsi="Georgia"/>
          <w:i/>
          <w:iCs/>
          <w:sz w:val="20"/>
          <w:szCs w:val="20"/>
        </w:rPr>
        <w:t xml:space="preserve">Source: </w:t>
      </w:r>
      <w:r w:rsidR="00BA2026" w:rsidRPr="000551DE">
        <w:rPr>
          <w:rFonts w:ascii="Georgia" w:hAnsi="Georgia"/>
          <w:i/>
          <w:iCs/>
          <w:sz w:val="20"/>
          <w:szCs w:val="20"/>
        </w:rPr>
        <w:t>Authors’</w:t>
      </w:r>
      <w:r w:rsidRPr="000551DE">
        <w:rPr>
          <w:rFonts w:ascii="Georgia" w:hAnsi="Georgia"/>
          <w:i/>
          <w:iCs/>
          <w:sz w:val="20"/>
          <w:szCs w:val="20"/>
        </w:rPr>
        <w:t xml:space="preserve"> computation </w:t>
      </w:r>
    </w:p>
    <w:p w14:paraId="3C16B741" w14:textId="77777777" w:rsidR="00C145D0" w:rsidRPr="000551DE" w:rsidRDefault="00C145D0" w:rsidP="000551DE">
      <w:pPr>
        <w:pStyle w:val="Heading3"/>
        <w:spacing w:before="120" w:after="0" w:line="240" w:lineRule="auto"/>
        <w:jc w:val="both"/>
        <w:rPr>
          <w:rFonts w:ascii="Georgia" w:hAnsi="Georgia"/>
          <w:sz w:val="24"/>
          <w:szCs w:val="24"/>
          <w:lang w:val="en-GB"/>
        </w:rPr>
      </w:pPr>
      <w:r w:rsidRPr="000551DE">
        <w:rPr>
          <w:rFonts w:ascii="Georgia" w:hAnsi="Georgia"/>
          <w:sz w:val="24"/>
          <w:szCs w:val="24"/>
        </w:rPr>
        <w:t>Diagnostic tests</w:t>
      </w:r>
    </w:p>
    <w:p w14:paraId="3DC0CD13" w14:textId="77777777" w:rsidR="00C73857" w:rsidRDefault="00C73857" w:rsidP="000551DE">
      <w:pPr>
        <w:spacing w:before="120" w:after="0" w:line="240" w:lineRule="auto"/>
        <w:jc w:val="both"/>
        <w:rPr>
          <w:rFonts w:ascii="Georgia" w:hAnsi="Georgia"/>
          <w:sz w:val="24"/>
          <w:szCs w:val="24"/>
        </w:rPr>
      </w:pPr>
      <w:r>
        <w:rPr>
          <w:rFonts w:ascii="Georgia" w:hAnsi="Georgia"/>
          <w:sz w:val="24"/>
          <w:szCs w:val="24"/>
        </w:rPr>
        <w:t>A series of tests was conducted to assess the normality of continuous variables, multicollinearity, and heteroscedasticity, as detailed in Tables 2 and 3. These tests were performed to ensure that the variables used in the empirical estimations adhered to the neoclassical regression requirements. Utilizing a 5% significance level, the Shapiro-Wilk normality test was applied to determine whether the continuous variables followed a normal distribution. The results yielded a p-value of 0.00, indicating that the continuous variables were not normally distributed.</w:t>
      </w:r>
    </w:p>
    <w:p w14:paraId="4E810EDB" w14:textId="42AB21C7" w:rsidR="00C145D0" w:rsidRPr="000551DE" w:rsidRDefault="00C73857" w:rsidP="000551DE">
      <w:pPr>
        <w:spacing w:before="120" w:after="0" w:line="240" w:lineRule="auto"/>
        <w:jc w:val="both"/>
        <w:rPr>
          <w:rFonts w:ascii="Georgia" w:hAnsi="Georgia"/>
          <w:sz w:val="24"/>
          <w:szCs w:val="24"/>
        </w:rPr>
      </w:pPr>
      <w:r>
        <w:rPr>
          <w:rFonts w:ascii="Georgia" w:hAnsi="Georgia"/>
          <w:sz w:val="24"/>
          <w:szCs w:val="24"/>
        </w:rPr>
        <w:t>To evaluate whether multicollinearity posed a significant issue for the analysis, the Variance Inflation Factor (VIF) was calculated, resulting in a mean VIF of 1.18. This suggested that multicollinearity was not a concern. Heteroscedasticity occurs when the variance of error terms is not constant across observations. Although coefficients estimated in the presence of heteroscedasticity are unbiased, the efficiency of hypothesis testing can be compromised. To address this, we tested whether the residuals from the logistic regression model were normally distributed at a 5% significance level to account for heteroscedasticity. The obtained p-value was 0.00, indicating that heteroscedasticity was not a significant issue in the analysis.</w:t>
      </w:r>
    </w:p>
    <w:p w14:paraId="51BBBF33" w14:textId="5AE65533" w:rsidR="00B461D3" w:rsidRPr="000551DE" w:rsidRDefault="002A1A0E" w:rsidP="000551DE">
      <w:pPr>
        <w:spacing w:line="240" w:lineRule="auto"/>
        <w:rPr>
          <w:rFonts w:ascii="Georgia" w:hAnsi="Georgia"/>
          <w:lang w:eastAsia="x-none"/>
        </w:rPr>
      </w:pPr>
      <w:r w:rsidRPr="000551DE">
        <w:rPr>
          <w:rFonts w:ascii="Georgia" w:hAnsi="Georgia"/>
          <w:b/>
          <w:bCs/>
          <w:sz w:val="24"/>
          <w:szCs w:val="24"/>
        </w:rPr>
        <w:t>Table</w:t>
      </w:r>
      <w:r w:rsidR="00B461D3" w:rsidRPr="000551DE">
        <w:rPr>
          <w:rFonts w:ascii="Georgia" w:hAnsi="Georgia"/>
          <w:b/>
          <w:bCs/>
          <w:sz w:val="24"/>
          <w:szCs w:val="24"/>
        </w:rPr>
        <w:t xml:space="preserve"> </w:t>
      </w:r>
      <w:r w:rsidRPr="000551DE">
        <w:rPr>
          <w:rFonts w:ascii="Georgia" w:hAnsi="Georgia"/>
          <w:b/>
          <w:bCs/>
          <w:sz w:val="24"/>
          <w:szCs w:val="24"/>
        </w:rPr>
        <w:t>2:</w:t>
      </w:r>
      <w:r w:rsidR="00B461D3" w:rsidRPr="000551DE">
        <w:rPr>
          <w:rFonts w:ascii="Georgia" w:hAnsi="Georgia"/>
          <w:b/>
          <w:bCs/>
          <w:sz w:val="20"/>
          <w:szCs w:val="20"/>
        </w:rPr>
        <w:t xml:space="preserve"> Shapiro-Wilk W test for normal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2"/>
        <w:gridCol w:w="1492"/>
        <w:gridCol w:w="1326"/>
        <w:gridCol w:w="994"/>
        <w:gridCol w:w="2495"/>
      </w:tblGrid>
      <w:tr w:rsidR="00B461D3" w:rsidRPr="000551DE" w14:paraId="5B929B52" w14:textId="77777777" w:rsidTr="008C7C00">
        <w:trPr>
          <w:trHeight w:val="232"/>
          <w:tblCellSpacing w:w="15" w:type="dxa"/>
        </w:trPr>
        <w:tc>
          <w:tcPr>
            <w:tcW w:w="1997" w:type="dxa"/>
            <w:tcBorders>
              <w:top w:val="single" w:sz="4" w:space="0" w:color="auto"/>
              <w:bottom w:val="single" w:sz="4" w:space="0" w:color="auto"/>
            </w:tcBorders>
            <w:vAlign w:val="center"/>
            <w:hideMark/>
          </w:tcPr>
          <w:p w14:paraId="2AA2DD9F"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Variable</w:t>
            </w:r>
          </w:p>
        </w:tc>
        <w:tc>
          <w:tcPr>
            <w:tcW w:w="1462" w:type="dxa"/>
            <w:tcBorders>
              <w:top w:val="single" w:sz="4" w:space="0" w:color="auto"/>
              <w:bottom w:val="single" w:sz="4" w:space="0" w:color="auto"/>
            </w:tcBorders>
            <w:vAlign w:val="center"/>
            <w:hideMark/>
          </w:tcPr>
          <w:p w14:paraId="451CEB49"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W</w:t>
            </w:r>
          </w:p>
        </w:tc>
        <w:tc>
          <w:tcPr>
            <w:tcW w:w="1296" w:type="dxa"/>
            <w:tcBorders>
              <w:top w:val="single" w:sz="4" w:space="0" w:color="auto"/>
              <w:bottom w:val="single" w:sz="4" w:space="0" w:color="auto"/>
            </w:tcBorders>
            <w:vAlign w:val="center"/>
            <w:hideMark/>
          </w:tcPr>
          <w:p w14:paraId="017B3726"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V</w:t>
            </w:r>
          </w:p>
        </w:tc>
        <w:tc>
          <w:tcPr>
            <w:tcW w:w="964" w:type="dxa"/>
            <w:tcBorders>
              <w:top w:val="single" w:sz="4" w:space="0" w:color="auto"/>
              <w:bottom w:val="single" w:sz="4" w:space="0" w:color="auto"/>
            </w:tcBorders>
            <w:vAlign w:val="center"/>
            <w:hideMark/>
          </w:tcPr>
          <w:p w14:paraId="6EFF684C"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z</w:t>
            </w:r>
          </w:p>
        </w:tc>
        <w:tc>
          <w:tcPr>
            <w:tcW w:w="2450" w:type="dxa"/>
            <w:tcBorders>
              <w:top w:val="single" w:sz="4" w:space="0" w:color="auto"/>
              <w:bottom w:val="single" w:sz="4" w:space="0" w:color="auto"/>
            </w:tcBorders>
            <w:vAlign w:val="center"/>
            <w:hideMark/>
          </w:tcPr>
          <w:p w14:paraId="57510DFE"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Prob&gt;z</w:t>
            </w:r>
          </w:p>
        </w:tc>
      </w:tr>
      <w:tr w:rsidR="00B461D3" w:rsidRPr="000551DE" w14:paraId="1B4F7604" w14:textId="77777777" w:rsidTr="008C7C00">
        <w:trPr>
          <w:trHeight w:hRule="exact" w:val="12"/>
          <w:tblCellSpacing w:w="15" w:type="dxa"/>
        </w:trPr>
        <w:tc>
          <w:tcPr>
            <w:tcW w:w="1997" w:type="dxa"/>
            <w:vAlign w:val="center"/>
            <w:hideMark/>
          </w:tcPr>
          <w:p w14:paraId="225D6EA9"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1462" w:type="dxa"/>
            <w:vAlign w:val="center"/>
            <w:hideMark/>
          </w:tcPr>
          <w:p w14:paraId="756B0303"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1296" w:type="dxa"/>
            <w:vAlign w:val="center"/>
            <w:hideMark/>
          </w:tcPr>
          <w:p w14:paraId="255F7E15"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964" w:type="dxa"/>
            <w:vAlign w:val="center"/>
            <w:hideMark/>
          </w:tcPr>
          <w:p w14:paraId="5B74A5FF"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2450" w:type="dxa"/>
            <w:vAlign w:val="center"/>
            <w:hideMark/>
          </w:tcPr>
          <w:p w14:paraId="25111496"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r>
      <w:tr w:rsidR="00B461D3" w:rsidRPr="000551DE" w14:paraId="2F6731CE" w14:textId="77777777" w:rsidTr="008C7C00">
        <w:trPr>
          <w:trHeight w:val="452"/>
          <w:tblCellSpacing w:w="15" w:type="dxa"/>
        </w:trPr>
        <w:tc>
          <w:tcPr>
            <w:tcW w:w="1997" w:type="dxa"/>
            <w:vAlign w:val="center"/>
            <w:hideMark/>
          </w:tcPr>
          <w:p w14:paraId="526F41C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L</w:t>
            </w:r>
            <w:r w:rsidRPr="000E67C9">
              <w:rPr>
                <w:rFonts w:ascii="Georgia" w:hAnsi="Georgia"/>
                <w:sz w:val="20"/>
                <w:szCs w:val="20"/>
              </w:rPr>
              <w:t>ending</w:t>
            </w:r>
            <w:r w:rsidRPr="000551DE">
              <w:rPr>
                <w:rFonts w:ascii="Georgia" w:hAnsi="Georgia"/>
                <w:sz w:val="20"/>
                <w:szCs w:val="20"/>
              </w:rPr>
              <w:t xml:space="preserve"> Performance </w:t>
            </w:r>
          </w:p>
        </w:tc>
        <w:tc>
          <w:tcPr>
            <w:tcW w:w="1462" w:type="dxa"/>
            <w:vAlign w:val="center"/>
            <w:hideMark/>
          </w:tcPr>
          <w:p w14:paraId="113B76B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0.88658</w:t>
            </w:r>
          </w:p>
        </w:tc>
        <w:tc>
          <w:tcPr>
            <w:tcW w:w="1296" w:type="dxa"/>
            <w:vAlign w:val="center"/>
            <w:hideMark/>
          </w:tcPr>
          <w:p w14:paraId="3145206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22.158</w:t>
            </w:r>
          </w:p>
        </w:tc>
        <w:tc>
          <w:tcPr>
            <w:tcW w:w="964" w:type="dxa"/>
            <w:vAlign w:val="center"/>
            <w:hideMark/>
          </w:tcPr>
          <w:p w14:paraId="43F8901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7.238</w:t>
            </w:r>
          </w:p>
        </w:tc>
        <w:tc>
          <w:tcPr>
            <w:tcW w:w="2450" w:type="dxa"/>
            <w:vAlign w:val="center"/>
            <w:hideMark/>
          </w:tcPr>
          <w:p w14:paraId="31BCB48C"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0882F385" w14:textId="77777777" w:rsidTr="008C7C00">
        <w:trPr>
          <w:trHeight w:val="219"/>
          <w:tblCellSpacing w:w="15" w:type="dxa"/>
        </w:trPr>
        <w:tc>
          <w:tcPr>
            <w:tcW w:w="1997" w:type="dxa"/>
            <w:vAlign w:val="center"/>
            <w:hideMark/>
          </w:tcPr>
          <w:p w14:paraId="24EE889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Risk systems</w:t>
            </w:r>
          </w:p>
        </w:tc>
        <w:tc>
          <w:tcPr>
            <w:tcW w:w="1462" w:type="dxa"/>
            <w:vAlign w:val="center"/>
            <w:hideMark/>
          </w:tcPr>
          <w:p w14:paraId="6DFB2A7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0.96889</w:t>
            </w:r>
          </w:p>
        </w:tc>
        <w:tc>
          <w:tcPr>
            <w:tcW w:w="1296" w:type="dxa"/>
            <w:vAlign w:val="center"/>
            <w:hideMark/>
          </w:tcPr>
          <w:p w14:paraId="57995C7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6.077</w:t>
            </w:r>
          </w:p>
        </w:tc>
        <w:tc>
          <w:tcPr>
            <w:tcW w:w="964" w:type="dxa"/>
            <w:vAlign w:val="center"/>
            <w:hideMark/>
          </w:tcPr>
          <w:p w14:paraId="317C37E3"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4.216</w:t>
            </w:r>
          </w:p>
        </w:tc>
        <w:tc>
          <w:tcPr>
            <w:tcW w:w="2450" w:type="dxa"/>
            <w:vAlign w:val="center"/>
            <w:hideMark/>
          </w:tcPr>
          <w:p w14:paraId="0578DB5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0.00001</w:t>
            </w:r>
          </w:p>
        </w:tc>
      </w:tr>
      <w:tr w:rsidR="00B461D3" w:rsidRPr="000551DE" w14:paraId="041D2383" w14:textId="77777777" w:rsidTr="008C7C00">
        <w:trPr>
          <w:trHeight w:val="219"/>
          <w:tblCellSpacing w:w="15" w:type="dxa"/>
        </w:trPr>
        <w:tc>
          <w:tcPr>
            <w:tcW w:w="1997" w:type="dxa"/>
            <w:vAlign w:val="center"/>
            <w:hideMark/>
          </w:tcPr>
          <w:p w14:paraId="22C4EC2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competitive</w:t>
            </w:r>
          </w:p>
        </w:tc>
        <w:tc>
          <w:tcPr>
            <w:tcW w:w="1462" w:type="dxa"/>
            <w:vAlign w:val="center"/>
            <w:hideMark/>
          </w:tcPr>
          <w:p w14:paraId="77A4DF9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0.92925</w:t>
            </w:r>
          </w:p>
        </w:tc>
        <w:tc>
          <w:tcPr>
            <w:tcW w:w="1296" w:type="dxa"/>
            <w:vAlign w:val="center"/>
            <w:hideMark/>
          </w:tcPr>
          <w:p w14:paraId="0B22D05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13.821</w:t>
            </w:r>
          </w:p>
        </w:tc>
        <w:tc>
          <w:tcPr>
            <w:tcW w:w="964" w:type="dxa"/>
            <w:vAlign w:val="center"/>
            <w:hideMark/>
          </w:tcPr>
          <w:p w14:paraId="519F78D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6.135</w:t>
            </w:r>
          </w:p>
        </w:tc>
        <w:tc>
          <w:tcPr>
            <w:tcW w:w="2450" w:type="dxa"/>
            <w:vAlign w:val="center"/>
            <w:hideMark/>
          </w:tcPr>
          <w:p w14:paraId="6DEBA4C6"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5FE37378" w14:textId="77777777" w:rsidTr="008C7C00">
        <w:trPr>
          <w:trHeight w:val="219"/>
          <w:tblCellSpacing w:w="15" w:type="dxa"/>
        </w:trPr>
        <w:tc>
          <w:tcPr>
            <w:tcW w:w="1997" w:type="dxa"/>
            <w:vAlign w:val="center"/>
            <w:hideMark/>
          </w:tcPr>
          <w:p w14:paraId="6CE81B80" w14:textId="725765D9"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New markets</w:t>
            </w:r>
          </w:p>
        </w:tc>
        <w:tc>
          <w:tcPr>
            <w:tcW w:w="1462" w:type="dxa"/>
            <w:vAlign w:val="center"/>
            <w:hideMark/>
          </w:tcPr>
          <w:p w14:paraId="1F73DF3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0.88909</w:t>
            </w:r>
          </w:p>
        </w:tc>
        <w:tc>
          <w:tcPr>
            <w:tcW w:w="1296" w:type="dxa"/>
            <w:vAlign w:val="center"/>
            <w:hideMark/>
          </w:tcPr>
          <w:p w14:paraId="3B46C8B3"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21.667</w:t>
            </w:r>
          </w:p>
        </w:tc>
        <w:tc>
          <w:tcPr>
            <w:tcW w:w="964" w:type="dxa"/>
            <w:vAlign w:val="center"/>
            <w:hideMark/>
          </w:tcPr>
          <w:p w14:paraId="258E49B4"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7.186</w:t>
            </w:r>
          </w:p>
        </w:tc>
        <w:tc>
          <w:tcPr>
            <w:tcW w:w="2450" w:type="dxa"/>
            <w:vAlign w:val="center"/>
            <w:hideMark/>
          </w:tcPr>
          <w:p w14:paraId="5EAE4D9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5945B42A" w14:textId="77777777" w:rsidTr="008C7C00">
        <w:trPr>
          <w:trHeight w:val="439"/>
          <w:tblCellSpacing w:w="15" w:type="dxa"/>
        </w:trPr>
        <w:tc>
          <w:tcPr>
            <w:tcW w:w="1997" w:type="dxa"/>
            <w:vAlign w:val="center"/>
            <w:hideMark/>
          </w:tcPr>
          <w:p w14:paraId="33D1A5BA"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I</w:t>
            </w:r>
            <w:r w:rsidRPr="000E67C9">
              <w:rPr>
                <w:rFonts w:ascii="Georgia" w:hAnsi="Georgia"/>
                <w:sz w:val="20"/>
                <w:szCs w:val="20"/>
              </w:rPr>
              <w:t>nternal</w:t>
            </w:r>
            <w:r w:rsidRPr="000551DE">
              <w:rPr>
                <w:rFonts w:ascii="Georgia" w:hAnsi="Georgia"/>
                <w:sz w:val="20"/>
                <w:szCs w:val="20"/>
              </w:rPr>
              <w:t xml:space="preserve"> Guidelines </w:t>
            </w:r>
          </w:p>
        </w:tc>
        <w:tc>
          <w:tcPr>
            <w:tcW w:w="1462" w:type="dxa"/>
            <w:vAlign w:val="center"/>
            <w:hideMark/>
          </w:tcPr>
          <w:p w14:paraId="0CCF8FF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0.88301</w:t>
            </w:r>
          </w:p>
        </w:tc>
        <w:tc>
          <w:tcPr>
            <w:tcW w:w="1296" w:type="dxa"/>
            <w:vAlign w:val="center"/>
            <w:hideMark/>
          </w:tcPr>
          <w:p w14:paraId="11D29D7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22.855</w:t>
            </w:r>
          </w:p>
        </w:tc>
        <w:tc>
          <w:tcPr>
            <w:tcW w:w="964" w:type="dxa"/>
            <w:vAlign w:val="center"/>
            <w:hideMark/>
          </w:tcPr>
          <w:p w14:paraId="57EFDAE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7.311</w:t>
            </w:r>
          </w:p>
        </w:tc>
        <w:tc>
          <w:tcPr>
            <w:tcW w:w="2450" w:type="dxa"/>
            <w:vAlign w:val="center"/>
            <w:hideMark/>
          </w:tcPr>
          <w:p w14:paraId="27AE0014"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6C1C2B3C" w14:textId="77777777" w:rsidTr="008C7C00">
        <w:trPr>
          <w:trHeight w:val="219"/>
          <w:tblCellSpacing w:w="15" w:type="dxa"/>
        </w:trPr>
        <w:tc>
          <w:tcPr>
            <w:tcW w:w="1997" w:type="dxa"/>
            <w:vAlign w:val="center"/>
            <w:hideMark/>
          </w:tcPr>
          <w:p w14:paraId="621D923D"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L</w:t>
            </w:r>
            <w:r w:rsidRPr="000E67C9">
              <w:rPr>
                <w:rFonts w:ascii="Georgia" w:hAnsi="Georgia"/>
                <w:sz w:val="20"/>
                <w:szCs w:val="20"/>
              </w:rPr>
              <w:t>ending</w:t>
            </w:r>
            <w:r w:rsidRPr="000551DE">
              <w:rPr>
                <w:rFonts w:ascii="Georgia" w:hAnsi="Georgia"/>
                <w:sz w:val="20"/>
                <w:szCs w:val="20"/>
              </w:rPr>
              <w:t xml:space="preserve"> Decisions</w:t>
            </w:r>
          </w:p>
        </w:tc>
        <w:tc>
          <w:tcPr>
            <w:tcW w:w="1462" w:type="dxa"/>
            <w:vAlign w:val="center"/>
            <w:hideMark/>
          </w:tcPr>
          <w:p w14:paraId="238005FA"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0.91786</w:t>
            </w:r>
          </w:p>
        </w:tc>
        <w:tc>
          <w:tcPr>
            <w:tcW w:w="1296" w:type="dxa"/>
            <w:vAlign w:val="center"/>
            <w:hideMark/>
          </w:tcPr>
          <w:p w14:paraId="01721D2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16.046</w:t>
            </w:r>
          </w:p>
        </w:tc>
        <w:tc>
          <w:tcPr>
            <w:tcW w:w="964" w:type="dxa"/>
            <w:vAlign w:val="center"/>
            <w:hideMark/>
          </w:tcPr>
          <w:p w14:paraId="11D5A9D4"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6.484</w:t>
            </w:r>
          </w:p>
        </w:tc>
        <w:tc>
          <w:tcPr>
            <w:tcW w:w="2450" w:type="dxa"/>
            <w:vAlign w:val="center"/>
            <w:hideMark/>
          </w:tcPr>
          <w:p w14:paraId="4CE0EE2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23E0C873" w14:textId="77777777" w:rsidTr="008C7C00">
        <w:trPr>
          <w:trHeight w:val="452"/>
          <w:tblCellSpacing w:w="15" w:type="dxa"/>
        </w:trPr>
        <w:tc>
          <w:tcPr>
            <w:tcW w:w="1997" w:type="dxa"/>
            <w:vAlign w:val="center"/>
            <w:hideMark/>
          </w:tcPr>
          <w:p w14:paraId="0FB38AA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Method of Analysis</w:t>
            </w:r>
          </w:p>
        </w:tc>
        <w:tc>
          <w:tcPr>
            <w:tcW w:w="1462" w:type="dxa"/>
            <w:vAlign w:val="center"/>
            <w:hideMark/>
          </w:tcPr>
          <w:p w14:paraId="75DA9A8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0.95492</w:t>
            </w:r>
          </w:p>
        </w:tc>
        <w:tc>
          <w:tcPr>
            <w:tcW w:w="1296" w:type="dxa"/>
            <w:vAlign w:val="center"/>
            <w:hideMark/>
          </w:tcPr>
          <w:p w14:paraId="5E663A6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8.807</w:t>
            </w:r>
          </w:p>
        </w:tc>
        <w:tc>
          <w:tcPr>
            <w:tcW w:w="964" w:type="dxa"/>
            <w:vAlign w:val="center"/>
            <w:hideMark/>
          </w:tcPr>
          <w:p w14:paraId="12DB5ED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5.083</w:t>
            </w:r>
          </w:p>
        </w:tc>
        <w:tc>
          <w:tcPr>
            <w:tcW w:w="2450" w:type="dxa"/>
            <w:vAlign w:val="center"/>
            <w:hideMark/>
          </w:tcPr>
          <w:p w14:paraId="04D2BE72"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10713881" w14:textId="77777777" w:rsidTr="008C7C00">
        <w:trPr>
          <w:trHeight w:val="219"/>
          <w:tblCellSpacing w:w="15" w:type="dxa"/>
        </w:trPr>
        <w:tc>
          <w:tcPr>
            <w:tcW w:w="1997" w:type="dxa"/>
            <w:vAlign w:val="center"/>
            <w:hideMark/>
          </w:tcPr>
          <w:p w14:paraId="01769DA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Education</w:t>
            </w:r>
          </w:p>
        </w:tc>
        <w:tc>
          <w:tcPr>
            <w:tcW w:w="1462" w:type="dxa"/>
            <w:vAlign w:val="center"/>
            <w:hideMark/>
          </w:tcPr>
          <w:p w14:paraId="3E89BF4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0.99236</w:t>
            </w:r>
          </w:p>
        </w:tc>
        <w:tc>
          <w:tcPr>
            <w:tcW w:w="1296" w:type="dxa"/>
            <w:vAlign w:val="center"/>
            <w:hideMark/>
          </w:tcPr>
          <w:p w14:paraId="457C749E"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1.493</w:t>
            </w:r>
          </w:p>
        </w:tc>
        <w:tc>
          <w:tcPr>
            <w:tcW w:w="964" w:type="dxa"/>
            <w:vAlign w:val="center"/>
            <w:hideMark/>
          </w:tcPr>
          <w:p w14:paraId="5292A49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0.937</w:t>
            </w:r>
          </w:p>
        </w:tc>
        <w:tc>
          <w:tcPr>
            <w:tcW w:w="2450" w:type="dxa"/>
            <w:vAlign w:val="center"/>
            <w:hideMark/>
          </w:tcPr>
          <w:p w14:paraId="5EC0405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0.17442</w:t>
            </w:r>
          </w:p>
        </w:tc>
      </w:tr>
      <w:tr w:rsidR="00B461D3" w:rsidRPr="000551DE" w14:paraId="7DF373AB" w14:textId="77777777" w:rsidTr="008C7C00">
        <w:trPr>
          <w:trHeight w:val="219"/>
          <w:tblCellSpacing w:w="15" w:type="dxa"/>
        </w:trPr>
        <w:tc>
          <w:tcPr>
            <w:tcW w:w="1997" w:type="dxa"/>
            <w:vAlign w:val="center"/>
            <w:hideMark/>
          </w:tcPr>
          <w:p w14:paraId="629159BE"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Years</w:t>
            </w:r>
          </w:p>
        </w:tc>
        <w:tc>
          <w:tcPr>
            <w:tcW w:w="1462" w:type="dxa"/>
            <w:vAlign w:val="center"/>
            <w:hideMark/>
          </w:tcPr>
          <w:p w14:paraId="7D2CC6A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0.99082</w:t>
            </w:r>
          </w:p>
        </w:tc>
        <w:tc>
          <w:tcPr>
            <w:tcW w:w="1296" w:type="dxa"/>
            <w:vAlign w:val="center"/>
            <w:hideMark/>
          </w:tcPr>
          <w:p w14:paraId="39CE05CE"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1.794</w:t>
            </w:r>
          </w:p>
        </w:tc>
        <w:tc>
          <w:tcPr>
            <w:tcW w:w="964" w:type="dxa"/>
            <w:vAlign w:val="center"/>
            <w:hideMark/>
          </w:tcPr>
          <w:p w14:paraId="2FC1838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1.365</w:t>
            </w:r>
          </w:p>
        </w:tc>
        <w:tc>
          <w:tcPr>
            <w:tcW w:w="2450" w:type="dxa"/>
            <w:vAlign w:val="center"/>
            <w:hideMark/>
          </w:tcPr>
          <w:p w14:paraId="2DDFCE2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0.08610</w:t>
            </w:r>
          </w:p>
        </w:tc>
      </w:tr>
      <w:tr w:rsidR="00B461D3" w:rsidRPr="000551DE" w14:paraId="55DDB5BE" w14:textId="77777777" w:rsidTr="008C7C00">
        <w:trPr>
          <w:trHeight w:val="219"/>
          <w:tblCellSpacing w:w="15" w:type="dxa"/>
        </w:trPr>
        <w:tc>
          <w:tcPr>
            <w:tcW w:w="1997" w:type="dxa"/>
            <w:tcBorders>
              <w:bottom w:val="single" w:sz="4" w:space="0" w:color="auto"/>
            </w:tcBorders>
            <w:vAlign w:val="center"/>
            <w:hideMark/>
          </w:tcPr>
          <w:p w14:paraId="7FA9635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Position</w:t>
            </w:r>
          </w:p>
        </w:tc>
        <w:tc>
          <w:tcPr>
            <w:tcW w:w="1462" w:type="dxa"/>
            <w:tcBorders>
              <w:bottom w:val="single" w:sz="4" w:space="0" w:color="auto"/>
            </w:tcBorders>
            <w:vAlign w:val="center"/>
            <w:hideMark/>
          </w:tcPr>
          <w:p w14:paraId="205553D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0.97098</w:t>
            </w:r>
          </w:p>
        </w:tc>
        <w:tc>
          <w:tcPr>
            <w:tcW w:w="1296" w:type="dxa"/>
            <w:tcBorders>
              <w:bottom w:val="single" w:sz="4" w:space="0" w:color="auto"/>
            </w:tcBorders>
            <w:vAlign w:val="center"/>
            <w:hideMark/>
          </w:tcPr>
          <w:p w14:paraId="047DC7A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5.669</w:t>
            </w:r>
          </w:p>
        </w:tc>
        <w:tc>
          <w:tcPr>
            <w:tcW w:w="964" w:type="dxa"/>
            <w:tcBorders>
              <w:bottom w:val="single" w:sz="4" w:space="0" w:color="auto"/>
            </w:tcBorders>
            <w:vAlign w:val="center"/>
            <w:hideMark/>
          </w:tcPr>
          <w:p w14:paraId="6861312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4.053</w:t>
            </w:r>
          </w:p>
        </w:tc>
        <w:tc>
          <w:tcPr>
            <w:tcW w:w="2450" w:type="dxa"/>
            <w:tcBorders>
              <w:bottom w:val="single" w:sz="4" w:space="0" w:color="auto"/>
            </w:tcBorders>
            <w:vAlign w:val="center"/>
            <w:hideMark/>
          </w:tcPr>
          <w:p w14:paraId="73A68232"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0.00003</w:t>
            </w:r>
          </w:p>
        </w:tc>
      </w:tr>
    </w:tbl>
    <w:p w14:paraId="35922459" w14:textId="77777777" w:rsidR="00B461D3" w:rsidRPr="000551DE" w:rsidRDefault="00B461D3" w:rsidP="000551DE">
      <w:pPr>
        <w:spacing w:line="240" w:lineRule="auto"/>
        <w:rPr>
          <w:rFonts w:ascii="Georgia" w:hAnsi="Georgia"/>
          <w:i/>
          <w:iCs/>
          <w:sz w:val="20"/>
          <w:szCs w:val="20"/>
        </w:rPr>
      </w:pPr>
      <w:r w:rsidRPr="000551DE">
        <w:rPr>
          <w:rFonts w:ascii="Georgia" w:hAnsi="Georgia"/>
          <w:i/>
          <w:iCs/>
          <w:sz w:val="20"/>
          <w:szCs w:val="20"/>
        </w:rPr>
        <w:t xml:space="preserve">Source: Authors’ computation </w:t>
      </w:r>
    </w:p>
    <w:p w14:paraId="55E8741F" w14:textId="42893A81" w:rsidR="00B461D3" w:rsidRDefault="00B461D3" w:rsidP="000551DE">
      <w:pPr>
        <w:widowControl w:val="0"/>
        <w:autoSpaceDE w:val="0"/>
        <w:autoSpaceDN w:val="0"/>
        <w:adjustRightInd w:val="0"/>
        <w:spacing w:after="0" w:line="240" w:lineRule="auto"/>
        <w:rPr>
          <w:rFonts w:ascii="Georgia" w:hAnsi="Georgia"/>
          <w:b/>
          <w:bCs/>
          <w:sz w:val="24"/>
          <w:szCs w:val="24"/>
        </w:rPr>
      </w:pPr>
    </w:p>
    <w:p w14:paraId="40EC37FB" w14:textId="65A7E2A7" w:rsidR="002A1A0E" w:rsidRPr="000551DE" w:rsidRDefault="002A1A0E" w:rsidP="000551DE">
      <w:pPr>
        <w:widowControl w:val="0"/>
        <w:autoSpaceDE w:val="0"/>
        <w:autoSpaceDN w:val="0"/>
        <w:adjustRightInd w:val="0"/>
        <w:spacing w:after="0" w:line="240" w:lineRule="auto"/>
        <w:rPr>
          <w:rFonts w:ascii="Georgia" w:hAnsi="Georgia"/>
          <w:b/>
          <w:bCs/>
          <w:sz w:val="24"/>
          <w:szCs w:val="24"/>
        </w:rPr>
      </w:pPr>
      <w:r w:rsidRPr="000551DE">
        <w:rPr>
          <w:rFonts w:ascii="Georgia" w:hAnsi="Georgia"/>
          <w:b/>
          <w:bCs/>
          <w:sz w:val="24"/>
          <w:szCs w:val="24"/>
        </w:rPr>
        <w:t xml:space="preserve"> </w:t>
      </w:r>
      <w:r w:rsidR="00B461D3" w:rsidRPr="000551DE">
        <w:rPr>
          <w:rFonts w:ascii="Georgia" w:hAnsi="Georgia"/>
          <w:b/>
          <w:bCs/>
          <w:sz w:val="24"/>
          <w:szCs w:val="24"/>
        </w:rPr>
        <w:t xml:space="preserve">Table 3: </w:t>
      </w:r>
      <w:r w:rsidRPr="000551DE">
        <w:rPr>
          <w:rFonts w:ascii="Georgia" w:hAnsi="Georgia"/>
          <w:b/>
          <w:bCs/>
          <w:sz w:val="24"/>
          <w:szCs w:val="24"/>
        </w:rPr>
        <w:t xml:space="preserve">Test of Multicollinearity  </w:t>
      </w:r>
    </w:p>
    <w:tbl>
      <w:tblPr>
        <w:tblW w:w="0" w:type="auto"/>
        <w:tblLayout w:type="fixed"/>
        <w:tblLook w:val="04A0" w:firstRow="1" w:lastRow="0" w:firstColumn="1" w:lastColumn="0" w:noHBand="0" w:noVBand="1"/>
      </w:tblPr>
      <w:tblGrid>
        <w:gridCol w:w="5262"/>
        <w:gridCol w:w="1653"/>
        <w:gridCol w:w="1502"/>
      </w:tblGrid>
      <w:tr w:rsidR="002A1A0E" w:rsidRPr="000551DE" w14:paraId="43927043" w14:textId="77777777" w:rsidTr="008279C2">
        <w:trPr>
          <w:trHeight w:val="259"/>
        </w:trPr>
        <w:tc>
          <w:tcPr>
            <w:tcW w:w="5262" w:type="dxa"/>
            <w:tcBorders>
              <w:top w:val="single" w:sz="4" w:space="0" w:color="auto"/>
              <w:left w:val="nil"/>
              <w:bottom w:val="single" w:sz="4" w:space="0" w:color="auto"/>
              <w:right w:val="nil"/>
            </w:tcBorders>
          </w:tcPr>
          <w:p w14:paraId="412C75EB"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 xml:space="preserve">  </w:t>
            </w:r>
          </w:p>
        </w:tc>
        <w:tc>
          <w:tcPr>
            <w:tcW w:w="1653" w:type="dxa"/>
            <w:tcBorders>
              <w:top w:val="single" w:sz="4" w:space="0" w:color="auto"/>
              <w:left w:val="nil"/>
              <w:bottom w:val="single" w:sz="4" w:space="0" w:color="auto"/>
              <w:right w:val="nil"/>
            </w:tcBorders>
          </w:tcPr>
          <w:p w14:paraId="61B49B20"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 xml:space="preserve">  VIF</w:t>
            </w:r>
          </w:p>
        </w:tc>
        <w:tc>
          <w:tcPr>
            <w:tcW w:w="1502" w:type="dxa"/>
            <w:tcBorders>
              <w:top w:val="single" w:sz="4" w:space="0" w:color="auto"/>
              <w:left w:val="nil"/>
              <w:bottom w:val="single" w:sz="4" w:space="0" w:color="auto"/>
              <w:right w:val="nil"/>
            </w:tcBorders>
          </w:tcPr>
          <w:p w14:paraId="68B003E6"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 xml:space="preserve">  1/VIF</w:t>
            </w:r>
          </w:p>
        </w:tc>
      </w:tr>
      <w:tr w:rsidR="008279C2" w:rsidRPr="000551DE" w14:paraId="5DC5273D" w14:textId="77777777" w:rsidTr="008279C2">
        <w:trPr>
          <w:trHeight w:val="259"/>
        </w:trPr>
        <w:tc>
          <w:tcPr>
            <w:tcW w:w="5262" w:type="dxa"/>
            <w:tcBorders>
              <w:top w:val="single" w:sz="4" w:space="0" w:color="auto"/>
              <w:left w:val="nil"/>
              <w:right w:val="nil"/>
            </w:tcBorders>
          </w:tcPr>
          <w:p w14:paraId="2CC33CF3" w14:textId="04E09DED" w:rsidR="008279C2" w:rsidRPr="000551DE" w:rsidRDefault="006E6BED" w:rsidP="000551DE">
            <w:pPr>
              <w:widowControl w:val="0"/>
              <w:tabs>
                <w:tab w:val="left" w:pos="204"/>
              </w:tabs>
              <w:autoSpaceDE w:val="0"/>
              <w:autoSpaceDN w:val="0"/>
              <w:adjustRightInd w:val="0"/>
              <w:spacing w:after="0" w:line="240" w:lineRule="auto"/>
              <w:rPr>
                <w:rFonts w:ascii="Georgia" w:hAnsi="Georgia"/>
                <w:sz w:val="20"/>
                <w:szCs w:val="20"/>
              </w:rPr>
            </w:pPr>
            <w:r w:rsidRPr="000551DE">
              <w:rPr>
                <w:rFonts w:ascii="Georgia" w:hAnsi="Georgia"/>
                <w:sz w:val="20"/>
                <w:szCs w:val="20"/>
              </w:rPr>
              <w:t>Lending Decision</w:t>
            </w:r>
          </w:p>
        </w:tc>
        <w:tc>
          <w:tcPr>
            <w:tcW w:w="1653" w:type="dxa"/>
            <w:tcBorders>
              <w:top w:val="single" w:sz="4" w:space="0" w:color="auto"/>
              <w:left w:val="nil"/>
              <w:right w:val="nil"/>
            </w:tcBorders>
            <w:vAlign w:val="center"/>
          </w:tcPr>
          <w:p w14:paraId="59060CD1" w14:textId="067D7249" w:rsidR="008279C2" w:rsidRPr="000551DE" w:rsidRDefault="008279C2"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1.10</w:t>
            </w:r>
          </w:p>
        </w:tc>
        <w:tc>
          <w:tcPr>
            <w:tcW w:w="1502" w:type="dxa"/>
            <w:tcBorders>
              <w:top w:val="single" w:sz="4" w:space="0" w:color="auto"/>
              <w:left w:val="nil"/>
              <w:right w:val="nil"/>
            </w:tcBorders>
            <w:vAlign w:val="center"/>
          </w:tcPr>
          <w:p w14:paraId="5826A642" w14:textId="55EBFE20" w:rsidR="008279C2" w:rsidRPr="000551DE" w:rsidRDefault="008279C2"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0.9</w:t>
            </w:r>
            <w:r w:rsidR="00F8211A" w:rsidRPr="000551DE">
              <w:rPr>
                <w:rFonts w:ascii="Georgia" w:eastAsia="Times New Roman" w:hAnsi="Georgia" w:cs="Times New Roman"/>
                <w:kern w:val="0"/>
                <w:sz w:val="20"/>
                <w:szCs w:val="20"/>
                <w14:ligatures w14:val="none"/>
              </w:rPr>
              <w:t>1</w:t>
            </w:r>
          </w:p>
        </w:tc>
      </w:tr>
      <w:tr w:rsidR="00B34607" w:rsidRPr="000551DE" w14:paraId="21F481E7" w14:textId="77777777" w:rsidTr="005D182C">
        <w:trPr>
          <w:trHeight w:val="248"/>
        </w:trPr>
        <w:tc>
          <w:tcPr>
            <w:tcW w:w="5262" w:type="dxa"/>
            <w:tcBorders>
              <w:left w:val="nil"/>
              <w:bottom w:val="nil"/>
              <w:right w:val="nil"/>
            </w:tcBorders>
            <w:vAlign w:val="center"/>
          </w:tcPr>
          <w:p w14:paraId="63E98EC8" w14:textId="3598A9E5"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Methods Analysing</w:t>
            </w:r>
          </w:p>
        </w:tc>
        <w:tc>
          <w:tcPr>
            <w:tcW w:w="1653" w:type="dxa"/>
            <w:tcBorders>
              <w:left w:val="nil"/>
              <w:bottom w:val="nil"/>
              <w:right w:val="nil"/>
            </w:tcBorders>
            <w:vAlign w:val="center"/>
          </w:tcPr>
          <w:p w14:paraId="121783B3" w14:textId="26B8C534"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1.32</w:t>
            </w:r>
          </w:p>
        </w:tc>
        <w:tc>
          <w:tcPr>
            <w:tcW w:w="1502" w:type="dxa"/>
            <w:tcBorders>
              <w:left w:val="nil"/>
              <w:bottom w:val="nil"/>
              <w:right w:val="nil"/>
            </w:tcBorders>
            <w:vAlign w:val="center"/>
          </w:tcPr>
          <w:p w14:paraId="2B2412DD" w14:textId="044975F7"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0.7</w:t>
            </w:r>
            <w:r w:rsidR="00894A34" w:rsidRPr="000551DE">
              <w:rPr>
                <w:rFonts w:ascii="Georgia" w:eastAsia="Times New Roman" w:hAnsi="Georgia" w:cs="Times New Roman"/>
                <w:kern w:val="0"/>
                <w:sz w:val="20"/>
                <w:szCs w:val="20"/>
                <w14:ligatures w14:val="none"/>
              </w:rPr>
              <w:t>6</w:t>
            </w:r>
          </w:p>
        </w:tc>
      </w:tr>
      <w:tr w:rsidR="00B34607" w:rsidRPr="000551DE" w14:paraId="796AE4CA" w14:textId="77777777" w:rsidTr="005D182C">
        <w:trPr>
          <w:trHeight w:val="259"/>
        </w:trPr>
        <w:tc>
          <w:tcPr>
            <w:tcW w:w="5262" w:type="dxa"/>
            <w:tcBorders>
              <w:top w:val="nil"/>
              <w:left w:val="nil"/>
              <w:bottom w:val="nil"/>
              <w:right w:val="nil"/>
            </w:tcBorders>
            <w:vAlign w:val="center"/>
          </w:tcPr>
          <w:p w14:paraId="3C2837AF" w14:textId="621D43AE"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Risk Systems</w:t>
            </w:r>
          </w:p>
        </w:tc>
        <w:tc>
          <w:tcPr>
            <w:tcW w:w="1653" w:type="dxa"/>
            <w:tcBorders>
              <w:top w:val="nil"/>
              <w:left w:val="nil"/>
              <w:bottom w:val="nil"/>
              <w:right w:val="nil"/>
            </w:tcBorders>
            <w:vAlign w:val="center"/>
          </w:tcPr>
          <w:p w14:paraId="6DED1A53" w14:textId="0D293217"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1.31</w:t>
            </w:r>
          </w:p>
        </w:tc>
        <w:tc>
          <w:tcPr>
            <w:tcW w:w="1502" w:type="dxa"/>
            <w:tcBorders>
              <w:top w:val="nil"/>
              <w:left w:val="nil"/>
              <w:bottom w:val="nil"/>
              <w:right w:val="nil"/>
            </w:tcBorders>
            <w:vAlign w:val="center"/>
          </w:tcPr>
          <w:p w14:paraId="3C17D59E" w14:textId="52FBB47D"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0.76</w:t>
            </w:r>
          </w:p>
        </w:tc>
      </w:tr>
      <w:tr w:rsidR="00B34607" w:rsidRPr="000551DE" w14:paraId="7145C086" w14:textId="77777777" w:rsidTr="005D182C">
        <w:trPr>
          <w:trHeight w:val="259"/>
        </w:trPr>
        <w:tc>
          <w:tcPr>
            <w:tcW w:w="5262" w:type="dxa"/>
            <w:tcBorders>
              <w:top w:val="nil"/>
              <w:left w:val="nil"/>
              <w:bottom w:val="nil"/>
              <w:right w:val="nil"/>
            </w:tcBorders>
            <w:vAlign w:val="center"/>
          </w:tcPr>
          <w:p w14:paraId="14D803C9" w14:textId="1FF38202" w:rsidR="00B34607" w:rsidRPr="000551DE" w:rsidRDefault="00561F67"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New Markets</w:t>
            </w:r>
          </w:p>
        </w:tc>
        <w:tc>
          <w:tcPr>
            <w:tcW w:w="1653" w:type="dxa"/>
            <w:tcBorders>
              <w:top w:val="nil"/>
              <w:left w:val="nil"/>
              <w:bottom w:val="nil"/>
              <w:right w:val="nil"/>
            </w:tcBorders>
            <w:vAlign w:val="center"/>
          </w:tcPr>
          <w:p w14:paraId="3E15E6CC" w14:textId="7A1B1A15"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1.25</w:t>
            </w:r>
          </w:p>
        </w:tc>
        <w:tc>
          <w:tcPr>
            <w:tcW w:w="1502" w:type="dxa"/>
            <w:tcBorders>
              <w:top w:val="nil"/>
              <w:left w:val="nil"/>
              <w:bottom w:val="nil"/>
              <w:right w:val="nil"/>
            </w:tcBorders>
            <w:vAlign w:val="center"/>
          </w:tcPr>
          <w:p w14:paraId="69440376" w14:textId="4FD8660E"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0.80</w:t>
            </w:r>
          </w:p>
        </w:tc>
      </w:tr>
      <w:tr w:rsidR="00B34607" w:rsidRPr="000551DE" w14:paraId="3DBE0017" w14:textId="77777777" w:rsidTr="005D182C">
        <w:trPr>
          <w:trHeight w:val="259"/>
        </w:trPr>
        <w:tc>
          <w:tcPr>
            <w:tcW w:w="5262" w:type="dxa"/>
            <w:tcBorders>
              <w:top w:val="nil"/>
              <w:left w:val="nil"/>
              <w:bottom w:val="nil"/>
              <w:right w:val="nil"/>
            </w:tcBorders>
            <w:vAlign w:val="center"/>
          </w:tcPr>
          <w:p w14:paraId="1BF7BBC9" w14:textId="2B111EBE" w:rsidR="00B34607" w:rsidRPr="000551DE" w:rsidRDefault="008E4662"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Internal Guidelines</w:t>
            </w:r>
          </w:p>
        </w:tc>
        <w:tc>
          <w:tcPr>
            <w:tcW w:w="1653" w:type="dxa"/>
            <w:tcBorders>
              <w:top w:val="nil"/>
              <w:left w:val="nil"/>
              <w:bottom w:val="nil"/>
              <w:right w:val="nil"/>
            </w:tcBorders>
            <w:vAlign w:val="center"/>
          </w:tcPr>
          <w:p w14:paraId="09EBBF1A" w14:textId="0B75E6A5"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1.22</w:t>
            </w:r>
          </w:p>
        </w:tc>
        <w:tc>
          <w:tcPr>
            <w:tcW w:w="1502" w:type="dxa"/>
            <w:tcBorders>
              <w:top w:val="nil"/>
              <w:left w:val="nil"/>
              <w:bottom w:val="nil"/>
              <w:right w:val="nil"/>
            </w:tcBorders>
            <w:vAlign w:val="center"/>
          </w:tcPr>
          <w:p w14:paraId="340EFAF3" w14:textId="2557C566"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w:t>
            </w:r>
            <w:r w:rsidR="00894A34" w:rsidRPr="000551DE">
              <w:rPr>
                <w:rFonts w:ascii="Georgia" w:eastAsia="Times New Roman" w:hAnsi="Georgia" w:cs="Times New Roman"/>
                <w:kern w:val="0"/>
                <w:sz w:val="20"/>
                <w:szCs w:val="20"/>
                <w14:ligatures w14:val="none"/>
              </w:rPr>
              <w:t>2</w:t>
            </w:r>
          </w:p>
        </w:tc>
      </w:tr>
      <w:tr w:rsidR="00B34607" w:rsidRPr="000551DE" w14:paraId="097318B5" w14:textId="77777777" w:rsidTr="005D182C">
        <w:trPr>
          <w:trHeight w:val="248"/>
        </w:trPr>
        <w:tc>
          <w:tcPr>
            <w:tcW w:w="5262" w:type="dxa"/>
            <w:tcBorders>
              <w:top w:val="nil"/>
              <w:left w:val="nil"/>
              <w:bottom w:val="nil"/>
              <w:right w:val="nil"/>
            </w:tcBorders>
            <w:vAlign w:val="center"/>
          </w:tcPr>
          <w:p w14:paraId="3D163498" w14:textId="20487A62"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576A00">
              <w:rPr>
                <w:rFonts w:ascii="Georgia" w:eastAsia="Times New Roman" w:hAnsi="Georgia" w:cs="Times New Roman"/>
                <w:kern w:val="0"/>
                <w:sz w:val="20"/>
                <w:szCs w:val="20"/>
                <w14:ligatures w14:val="none"/>
              </w:rPr>
              <w:t>Education</w:t>
            </w:r>
          </w:p>
        </w:tc>
        <w:tc>
          <w:tcPr>
            <w:tcW w:w="1653" w:type="dxa"/>
            <w:tcBorders>
              <w:top w:val="nil"/>
              <w:left w:val="nil"/>
              <w:bottom w:val="nil"/>
              <w:right w:val="nil"/>
            </w:tcBorders>
            <w:vAlign w:val="center"/>
          </w:tcPr>
          <w:p w14:paraId="17EC7494" w14:textId="7D333469"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1.17</w:t>
            </w:r>
          </w:p>
        </w:tc>
        <w:tc>
          <w:tcPr>
            <w:tcW w:w="1502" w:type="dxa"/>
            <w:tcBorders>
              <w:top w:val="nil"/>
              <w:left w:val="nil"/>
              <w:bottom w:val="nil"/>
              <w:right w:val="nil"/>
            </w:tcBorders>
            <w:vAlign w:val="center"/>
          </w:tcPr>
          <w:p w14:paraId="6540FE92" w14:textId="650DC408"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w:t>
            </w:r>
            <w:r w:rsidR="00894A34" w:rsidRPr="000551DE">
              <w:rPr>
                <w:rFonts w:ascii="Georgia" w:eastAsia="Times New Roman" w:hAnsi="Georgia" w:cs="Times New Roman"/>
                <w:kern w:val="0"/>
                <w:sz w:val="20"/>
                <w:szCs w:val="20"/>
                <w14:ligatures w14:val="none"/>
              </w:rPr>
              <w:t>6</w:t>
            </w:r>
          </w:p>
        </w:tc>
      </w:tr>
      <w:tr w:rsidR="00B34607" w:rsidRPr="000551DE" w14:paraId="7CFE14BA" w14:textId="77777777" w:rsidTr="005D182C">
        <w:trPr>
          <w:trHeight w:val="259"/>
        </w:trPr>
        <w:tc>
          <w:tcPr>
            <w:tcW w:w="5262" w:type="dxa"/>
            <w:tcBorders>
              <w:top w:val="nil"/>
              <w:left w:val="nil"/>
              <w:bottom w:val="nil"/>
              <w:right w:val="nil"/>
            </w:tcBorders>
            <w:vAlign w:val="center"/>
          </w:tcPr>
          <w:p w14:paraId="1F87A049" w14:textId="79C3BF9E" w:rsidR="00B34607" w:rsidRPr="000551DE" w:rsidRDefault="00F2494A"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Competitive Pressure</w:t>
            </w:r>
          </w:p>
        </w:tc>
        <w:tc>
          <w:tcPr>
            <w:tcW w:w="1653" w:type="dxa"/>
            <w:tcBorders>
              <w:top w:val="nil"/>
              <w:left w:val="nil"/>
              <w:bottom w:val="nil"/>
              <w:right w:val="nil"/>
            </w:tcBorders>
            <w:vAlign w:val="center"/>
          </w:tcPr>
          <w:p w14:paraId="311CE3C4" w14:textId="047EEE70"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1.12</w:t>
            </w:r>
          </w:p>
        </w:tc>
        <w:tc>
          <w:tcPr>
            <w:tcW w:w="1502" w:type="dxa"/>
            <w:tcBorders>
              <w:top w:val="nil"/>
              <w:left w:val="nil"/>
              <w:bottom w:val="nil"/>
              <w:right w:val="nil"/>
            </w:tcBorders>
            <w:vAlign w:val="center"/>
          </w:tcPr>
          <w:p w14:paraId="3C5AA87A" w14:textId="0BFD8129"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0.89</w:t>
            </w:r>
          </w:p>
        </w:tc>
      </w:tr>
      <w:tr w:rsidR="00B34607" w:rsidRPr="000551DE" w14:paraId="38BA9DA3" w14:textId="77777777" w:rsidTr="005D182C">
        <w:trPr>
          <w:trHeight w:val="259"/>
        </w:trPr>
        <w:tc>
          <w:tcPr>
            <w:tcW w:w="5262" w:type="dxa"/>
            <w:tcBorders>
              <w:top w:val="nil"/>
              <w:left w:val="nil"/>
              <w:bottom w:val="nil"/>
              <w:right w:val="nil"/>
            </w:tcBorders>
            <w:vAlign w:val="center"/>
          </w:tcPr>
          <w:p w14:paraId="3A6E1D8E" w14:textId="4FA7FFBD"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576A00">
              <w:rPr>
                <w:rFonts w:ascii="Georgia" w:eastAsia="Times New Roman" w:hAnsi="Georgia" w:cs="Times New Roman"/>
                <w:kern w:val="0"/>
                <w:sz w:val="20"/>
                <w:szCs w:val="20"/>
                <w14:ligatures w14:val="none"/>
              </w:rPr>
              <w:t>Years</w:t>
            </w:r>
          </w:p>
        </w:tc>
        <w:tc>
          <w:tcPr>
            <w:tcW w:w="1653" w:type="dxa"/>
            <w:tcBorders>
              <w:top w:val="nil"/>
              <w:left w:val="nil"/>
              <w:bottom w:val="nil"/>
              <w:right w:val="nil"/>
            </w:tcBorders>
            <w:vAlign w:val="center"/>
          </w:tcPr>
          <w:p w14:paraId="2D709F56" w14:textId="2328422C"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1.11</w:t>
            </w:r>
          </w:p>
        </w:tc>
        <w:tc>
          <w:tcPr>
            <w:tcW w:w="1502" w:type="dxa"/>
            <w:tcBorders>
              <w:top w:val="nil"/>
              <w:left w:val="nil"/>
              <w:bottom w:val="nil"/>
              <w:right w:val="nil"/>
            </w:tcBorders>
            <w:vAlign w:val="center"/>
          </w:tcPr>
          <w:p w14:paraId="549D7C69" w14:textId="15FFC361"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w:t>
            </w:r>
            <w:r w:rsidR="00894A34" w:rsidRPr="000551DE">
              <w:rPr>
                <w:rFonts w:ascii="Georgia" w:eastAsia="Times New Roman" w:hAnsi="Georgia" w:cs="Times New Roman"/>
                <w:kern w:val="0"/>
                <w:sz w:val="20"/>
                <w:szCs w:val="20"/>
                <w14:ligatures w14:val="none"/>
              </w:rPr>
              <w:t>90</w:t>
            </w:r>
          </w:p>
        </w:tc>
      </w:tr>
      <w:tr w:rsidR="001968DE" w:rsidRPr="000551DE" w14:paraId="445CDEA9" w14:textId="77777777" w:rsidTr="007B6413">
        <w:trPr>
          <w:trHeight w:val="259"/>
        </w:trPr>
        <w:tc>
          <w:tcPr>
            <w:tcW w:w="5262" w:type="dxa"/>
            <w:tcBorders>
              <w:top w:val="nil"/>
              <w:left w:val="nil"/>
              <w:bottom w:val="nil"/>
              <w:right w:val="nil"/>
            </w:tcBorders>
          </w:tcPr>
          <w:p w14:paraId="1444651B" w14:textId="16E71365" w:rsidR="001968DE" w:rsidRPr="000551DE" w:rsidRDefault="00454744"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 xml:space="preserve">Position </w:t>
            </w:r>
          </w:p>
        </w:tc>
        <w:tc>
          <w:tcPr>
            <w:tcW w:w="1653" w:type="dxa"/>
            <w:tcBorders>
              <w:top w:val="nil"/>
              <w:left w:val="nil"/>
              <w:bottom w:val="nil"/>
              <w:right w:val="nil"/>
            </w:tcBorders>
            <w:vAlign w:val="center"/>
          </w:tcPr>
          <w:p w14:paraId="1EE77622" w14:textId="6D7F3304" w:rsidR="001968DE" w:rsidRPr="000551DE" w:rsidRDefault="001968DE" w:rsidP="000551DE">
            <w:pPr>
              <w:widowControl w:val="0"/>
              <w:autoSpaceDE w:val="0"/>
              <w:autoSpaceDN w:val="0"/>
              <w:adjustRightInd w:val="0"/>
              <w:spacing w:after="0" w:line="240" w:lineRule="auto"/>
              <w:jc w:val="right"/>
              <w:rPr>
                <w:rFonts w:ascii="Georgia" w:eastAsia="Times New Roman" w:hAnsi="Georgia" w:cs="Times New Roman"/>
                <w:kern w:val="0"/>
                <w:sz w:val="20"/>
                <w:szCs w:val="20"/>
                <w14:ligatures w14:val="none"/>
              </w:rPr>
            </w:pPr>
            <w:r w:rsidRPr="00576A00">
              <w:rPr>
                <w:rFonts w:ascii="Georgia" w:eastAsia="Times New Roman" w:hAnsi="Georgia" w:cs="Times New Roman"/>
                <w:kern w:val="0"/>
                <w:sz w:val="20"/>
                <w:szCs w:val="20"/>
                <w14:ligatures w14:val="none"/>
              </w:rPr>
              <w:t>1.06</w:t>
            </w:r>
          </w:p>
        </w:tc>
        <w:tc>
          <w:tcPr>
            <w:tcW w:w="1502" w:type="dxa"/>
            <w:tcBorders>
              <w:top w:val="nil"/>
              <w:left w:val="nil"/>
              <w:bottom w:val="nil"/>
              <w:right w:val="nil"/>
            </w:tcBorders>
            <w:vAlign w:val="center"/>
          </w:tcPr>
          <w:p w14:paraId="30ABA81B" w14:textId="4E702477" w:rsidR="001968DE" w:rsidRPr="000551DE" w:rsidRDefault="001968DE" w:rsidP="000551DE">
            <w:pPr>
              <w:widowControl w:val="0"/>
              <w:autoSpaceDE w:val="0"/>
              <w:autoSpaceDN w:val="0"/>
              <w:adjustRightInd w:val="0"/>
              <w:spacing w:after="0" w:line="240" w:lineRule="auto"/>
              <w:jc w:val="right"/>
              <w:rPr>
                <w:rFonts w:ascii="Georgia" w:eastAsia="Times New Roman" w:hAnsi="Georgia" w:cs="Times New Roman"/>
                <w:kern w:val="0"/>
                <w:sz w:val="20"/>
                <w:szCs w:val="20"/>
                <w14:ligatures w14:val="none"/>
              </w:rPr>
            </w:pPr>
            <w:r w:rsidRPr="00576A00">
              <w:rPr>
                <w:rFonts w:ascii="Georgia" w:eastAsia="Times New Roman" w:hAnsi="Georgia" w:cs="Times New Roman"/>
                <w:kern w:val="0"/>
                <w:sz w:val="20"/>
                <w:szCs w:val="20"/>
                <w14:ligatures w14:val="none"/>
              </w:rPr>
              <w:t>0.9</w:t>
            </w:r>
            <w:r w:rsidR="00894A34" w:rsidRPr="000551DE">
              <w:rPr>
                <w:rFonts w:ascii="Georgia" w:eastAsia="Times New Roman" w:hAnsi="Georgia" w:cs="Times New Roman"/>
                <w:kern w:val="0"/>
                <w:sz w:val="20"/>
                <w:szCs w:val="20"/>
                <w14:ligatures w14:val="none"/>
              </w:rPr>
              <w:t>5</w:t>
            </w:r>
          </w:p>
        </w:tc>
      </w:tr>
      <w:tr w:rsidR="002A1A0E" w:rsidRPr="000551DE" w14:paraId="70E8E25F" w14:textId="77777777" w:rsidTr="008C7C00">
        <w:trPr>
          <w:trHeight w:val="248"/>
        </w:trPr>
        <w:tc>
          <w:tcPr>
            <w:tcW w:w="5262" w:type="dxa"/>
            <w:tcBorders>
              <w:top w:val="nil"/>
              <w:left w:val="nil"/>
              <w:bottom w:val="single" w:sz="6" w:space="0" w:color="auto"/>
              <w:right w:val="nil"/>
            </w:tcBorders>
          </w:tcPr>
          <w:p w14:paraId="1F3B9279" w14:textId="39DFCB1B" w:rsidR="002A1A0E" w:rsidRPr="000551DE" w:rsidRDefault="002A1A0E"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Mean VIF</w:t>
            </w:r>
          </w:p>
        </w:tc>
        <w:tc>
          <w:tcPr>
            <w:tcW w:w="1653" w:type="dxa"/>
            <w:tcBorders>
              <w:top w:val="nil"/>
              <w:left w:val="nil"/>
              <w:bottom w:val="single" w:sz="6" w:space="0" w:color="auto"/>
              <w:right w:val="nil"/>
            </w:tcBorders>
          </w:tcPr>
          <w:p w14:paraId="4B6EE4AD" w14:textId="2189A4DB" w:rsidR="002A1A0E" w:rsidRPr="000551DE" w:rsidRDefault="001968DE"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1.18</w:t>
            </w:r>
          </w:p>
        </w:tc>
        <w:tc>
          <w:tcPr>
            <w:tcW w:w="1502" w:type="dxa"/>
            <w:tcBorders>
              <w:top w:val="nil"/>
              <w:left w:val="nil"/>
              <w:bottom w:val="single" w:sz="6" w:space="0" w:color="auto"/>
              <w:right w:val="nil"/>
            </w:tcBorders>
          </w:tcPr>
          <w:p w14:paraId="7847ADF1"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w:t>
            </w:r>
          </w:p>
        </w:tc>
      </w:tr>
    </w:tbl>
    <w:p w14:paraId="31413F0A" w14:textId="1EEA4094" w:rsidR="002A1A0E" w:rsidRPr="000551DE" w:rsidRDefault="002A1A0E" w:rsidP="000551DE">
      <w:pPr>
        <w:spacing w:line="240" w:lineRule="auto"/>
        <w:rPr>
          <w:rFonts w:ascii="Georgia" w:hAnsi="Georgia"/>
          <w:i/>
          <w:iCs/>
          <w:sz w:val="20"/>
          <w:szCs w:val="20"/>
        </w:rPr>
      </w:pPr>
      <w:r w:rsidRPr="000551DE">
        <w:rPr>
          <w:rFonts w:ascii="Georgia" w:hAnsi="Georgia"/>
          <w:i/>
          <w:iCs/>
          <w:sz w:val="20"/>
          <w:szCs w:val="20"/>
        </w:rPr>
        <w:t xml:space="preserve">Source: </w:t>
      </w:r>
      <w:r w:rsidR="00454744" w:rsidRPr="000551DE">
        <w:rPr>
          <w:rFonts w:ascii="Georgia" w:hAnsi="Georgia"/>
          <w:i/>
          <w:iCs/>
          <w:sz w:val="20"/>
          <w:szCs w:val="20"/>
        </w:rPr>
        <w:t>Authors’</w:t>
      </w:r>
      <w:r w:rsidRPr="000551DE">
        <w:rPr>
          <w:rFonts w:ascii="Georgia" w:hAnsi="Georgia"/>
          <w:i/>
          <w:iCs/>
          <w:sz w:val="20"/>
          <w:szCs w:val="20"/>
        </w:rPr>
        <w:t xml:space="preserve"> computation </w:t>
      </w:r>
    </w:p>
    <w:p w14:paraId="7D58BED5" w14:textId="547E17F0" w:rsidR="002A1A0E" w:rsidRPr="000551DE" w:rsidRDefault="002A1A0E" w:rsidP="000551DE">
      <w:pPr>
        <w:widowControl w:val="0"/>
        <w:autoSpaceDE w:val="0"/>
        <w:autoSpaceDN w:val="0"/>
        <w:adjustRightInd w:val="0"/>
        <w:spacing w:after="0" w:line="240" w:lineRule="auto"/>
        <w:rPr>
          <w:rFonts w:ascii="Georgia" w:hAnsi="Georgia"/>
          <w:sz w:val="24"/>
          <w:szCs w:val="24"/>
        </w:rPr>
      </w:pPr>
      <w:r w:rsidRPr="000551DE">
        <w:rPr>
          <w:rFonts w:ascii="Georgia" w:hAnsi="Georgia"/>
          <w:b/>
          <w:bCs/>
          <w:sz w:val="24"/>
          <w:szCs w:val="24"/>
        </w:rPr>
        <w:t>Breusch-Pagan / Cook-Weisberg test for heteroskedasticity</w:t>
      </w:r>
      <w:r w:rsidRPr="000551DE">
        <w:rPr>
          <w:rFonts w:ascii="Georgia" w:hAnsi="Georgia"/>
          <w:sz w:val="24"/>
          <w:szCs w:val="24"/>
        </w:rPr>
        <w:t xml:space="preserve"> </w:t>
      </w:r>
    </w:p>
    <w:p w14:paraId="509DDA34" w14:textId="77777777" w:rsidR="002A1A0E" w:rsidRPr="000551DE" w:rsidRDefault="002A1A0E"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ab/>
        <w:t xml:space="preserve"> </w:t>
      </w:r>
    </w:p>
    <w:p w14:paraId="556DB4CA" w14:textId="77777777" w:rsidR="001446A1" w:rsidRDefault="002A1A0E" w:rsidP="001446A1">
      <w:pPr>
        <w:widowControl w:val="0"/>
        <w:autoSpaceDE w:val="0"/>
        <w:autoSpaceDN w:val="0"/>
        <w:adjustRightInd w:val="0"/>
        <w:spacing w:after="0" w:line="240" w:lineRule="auto"/>
        <w:rPr>
          <w:rFonts w:ascii="Georgia" w:hAnsi="Georgia"/>
          <w:i/>
          <w:iCs/>
          <w:sz w:val="20"/>
          <w:szCs w:val="20"/>
        </w:rPr>
      </w:pPr>
      <w:r w:rsidRPr="000551DE">
        <w:rPr>
          <w:rFonts w:ascii="Georgia" w:hAnsi="Georgia"/>
          <w:sz w:val="24"/>
          <w:szCs w:val="24"/>
        </w:rPr>
        <w:t xml:space="preserve">   Ho: Constant variance</w:t>
      </w:r>
      <w:r w:rsidRPr="000551DE">
        <w:rPr>
          <w:rFonts w:ascii="Georgia" w:hAnsi="Georgia"/>
          <w:sz w:val="24"/>
          <w:szCs w:val="24"/>
        </w:rPr>
        <w:tab/>
      </w:r>
      <w:r w:rsidRPr="000551DE">
        <w:rPr>
          <w:rFonts w:ascii="Georgia" w:hAnsi="Georgia"/>
          <w:sz w:val="24"/>
          <w:szCs w:val="24"/>
        </w:rPr>
        <w:tab/>
      </w:r>
      <w:r w:rsidRPr="000551DE">
        <w:rPr>
          <w:rFonts w:ascii="Georgia" w:hAnsi="Georgia"/>
          <w:sz w:val="24"/>
          <w:szCs w:val="24"/>
        </w:rPr>
        <w:tab/>
      </w:r>
      <w:r w:rsidRPr="000551DE">
        <w:rPr>
          <w:rFonts w:ascii="Georgia" w:hAnsi="Georgia"/>
          <w:sz w:val="24"/>
          <w:szCs w:val="24"/>
        </w:rPr>
        <w:tab/>
      </w:r>
      <w:r w:rsidRPr="000551DE">
        <w:rPr>
          <w:rFonts w:ascii="Georgia" w:hAnsi="Georgia"/>
          <w:sz w:val="24"/>
          <w:szCs w:val="24"/>
        </w:rPr>
        <w:tab/>
        <w:t xml:space="preserve">chi2(1)      </w:t>
      </w:r>
      <w:r w:rsidR="002561E9" w:rsidRPr="000551DE">
        <w:rPr>
          <w:rFonts w:ascii="Georgia" w:hAnsi="Georgia"/>
          <w:sz w:val="24"/>
          <w:szCs w:val="24"/>
        </w:rPr>
        <w:t xml:space="preserve">    </w:t>
      </w:r>
      <w:r w:rsidRPr="000551DE">
        <w:rPr>
          <w:rFonts w:ascii="Georgia" w:hAnsi="Georgia"/>
          <w:sz w:val="24"/>
          <w:szCs w:val="24"/>
        </w:rPr>
        <w:t>= 94.80</w:t>
      </w:r>
      <w:r w:rsidRPr="000551DE">
        <w:rPr>
          <w:rFonts w:ascii="Georgia" w:hAnsi="Georgia"/>
          <w:sz w:val="24"/>
          <w:szCs w:val="24"/>
        </w:rPr>
        <w:tab/>
      </w:r>
      <w:r w:rsidRPr="000551DE">
        <w:rPr>
          <w:rFonts w:ascii="Georgia" w:hAnsi="Georgia"/>
          <w:sz w:val="24"/>
          <w:szCs w:val="24"/>
        </w:rPr>
        <w:br/>
        <w:t xml:space="preserve">   Variables: </w:t>
      </w:r>
      <w:r w:rsidR="00311B99" w:rsidRPr="000551DE">
        <w:rPr>
          <w:rFonts w:ascii="Georgia" w:hAnsi="Georgia"/>
          <w:sz w:val="24"/>
          <w:szCs w:val="24"/>
        </w:rPr>
        <w:t>Fitted values</w:t>
      </w:r>
      <w:r w:rsidR="00D51793" w:rsidRPr="000E67C9">
        <w:rPr>
          <w:rFonts w:ascii="Georgia" w:hAnsi="Georgia"/>
          <w:sz w:val="24"/>
          <w:szCs w:val="24"/>
        </w:rPr>
        <w:t xml:space="preserve"> of lending</w:t>
      </w:r>
      <w:r w:rsidR="00D51793" w:rsidRPr="000551DE">
        <w:rPr>
          <w:rFonts w:ascii="Georgia" w:hAnsi="Georgia"/>
          <w:sz w:val="24"/>
          <w:szCs w:val="24"/>
        </w:rPr>
        <w:t xml:space="preserve"> performance</w:t>
      </w:r>
      <w:r w:rsidRPr="000551DE">
        <w:rPr>
          <w:rFonts w:ascii="Georgia" w:hAnsi="Georgia"/>
          <w:sz w:val="24"/>
          <w:szCs w:val="24"/>
        </w:rPr>
        <w:tab/>
        <w:t>Prob &gt; chi2 = 0.00</w:t>
      </w:r>
      <w:r w:rsidRPr="000551DE">
        <w:rPr>
          <w:rFonts w:ascii="Georgia" w:hAnsi="Georgia"/>
          <w:sz w:val="24"/>
          <w:szCs w:val="24"/>
        </w:rPr>
        <w:br/>
      </w:r>
    </w:p>
    <w:p w14:paraId="05609E32" w14:textId="77F793B0" w:rsidR="00BA4EE6" w:rsidRPr="000551DE" w:rsidRDefault="00BA4EE6" w:rsidP="00DE1C34">
      <w:pPr>
        <w:pStyle w:val="Heading3"/>
        <w:numPr>
          <w:ilvl w:val="0"/>
          <w:numId w:val="21"/>
        </w:numPr>
        <w:spacing w:before="120" w:after="0" w:line="240" w:lineRule="auto"/>
        <w:jc w:val="both"/>
        <w:rPr>
          <w:rFonts w:ascii="Georgia" w:hAnsi="Georgia"/>
          <w:sz w:val="24"/>
          <w:szCs w:val="24"/>
          <w:lang w:val="en-GB"/>
        </w:rPr>
      </w:pPr>
      <w:r w:rsidRPr="000551DE">
        <w:rPr>
          <w:rFonts w:ascii="Georgia" w:hAnsi="Georgia"/>
          <w:sz w:val="24"/>
          <w:szCs w:val="24"/>
          <w:lang w:val="en-GB"/>
        </w:rPr>
        <w:t>Results</w:t>
      </w:r>
      <w:r w:rsidR="00120B0D" w:rsidRPr="000551DE">
        <w:rPr>
          <w:rFonts w:ascii="Georgia" w:hAnsi="Georgia"/>
          <w:sz w:val="24"/>
          <w:szCs w:val="24"/>
          <w:lang w:val="en-GB"/>
        </w:rPr>
        <w:t xml:space="preserve"> and Discussions </w:t>
      </w:r>
    </w:p>
    <w:p w14:paraId="3D98AD65" w14:textId="58F398AA" w:rsidR="0003089E" w:rsidRDefault="0003089E" w:rsidP="000551DE">
      <w:pPr>
        <w:spacing w:before="120" w:after="0" w:line="240" w:lineRule="auto"/>
        <w:jc w:val="both"/>
        <w:rPr>
          <w:rFonts w:ascii="Georgia" w:hAnsi="Georgia"/>
          <w:sz w:val="24"/>
          <w:szCs w:val="24"/>
        </w:rPr>
      </w:pPr>
      <w:r>
        <w:rPr>
          <w:rFonts w:ascii="Georgia" w:hAnsi="Georgia"/>
          <w:sz w:val="24"/>
          <w:szCs w:val="24"/>
        </w:rPr>
        <w:t>The study employed a linear regression model to estimate the impact of credit risk identification on the lending performance of banks in Kenya. The model demonstrated a good fit, as indicated by the p-value (p = 0.000, R² = 0.527). Based on these results, we reject the hypothesis that credit risk identification has no significant effect on lending performance, concluding instead that there is a statistically significant relationship between credit risk identification and the lending performance of commercial banks.</w:t>
      </w:r>
    </w:p>
    <w:p w14:paraId="30A5BFB1" w14:textId="77777777"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The results presented in Table 4 indicate that effective risk identification systems, internal guidelines for credit risk management, quicker lending decisions, and methods for </w:t>
      </w:r>
      <w:proofErr w:type="spellStart"/>
      <w:r>
        <w:rPr>
          <w:rFonts w:ascii="Georgia" w:hAnsi="Georgia"/>
          <w:sz w:val="24"/>
          <w:szCs w:val="24"/>
        </w:rPr>
        <w:t>analyzing</w:t>
      </w:r>
      <w:proofErr w:type="spellEnd"/>
      <w:r>
        <w:rPr>
          <w:rFonts w:ascii="Georgia" w:hAnsi="Georgia"/>
          <w:sz w:val="24"/>
          <w:szCs w:val="24"/>
        </w:rPr>
        <w:t xml:space="preserve"> borrowers' alternative sources of income to assess their ability to repay loans are all statistically significant factors. This suggests that these variables meaningfully explain the lending performance of commercial banks. Additionally, control variables such as the educational background of credit officers and their years of experience in banks were also found to be statistically significant. Conversely, variables such as competitive pressure on credit lending and the position or rank of the credit officer (whether a junior officer or a manager) were not statistically significant, implying they do not contribute to explaining lending performance.</w:t>
      </w:r>
    </w:p>
    <w:p w14:paraId="2F9356A3" w14:textId="0FB68761"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The findings suggest that systems supporting credit risk identification are significant as they enhance lending performance by reducing the occurrence of defaulted loans among borrowers. Thus, improving systems for credit risk identification can lead to a decrease in loan defaults. This </w:t>
      </w:r>
      <w:r w:rsidR="00C444F3">
        <w:rPr>
          <w:rFonts w:ascii="Georgia" w:hAnsi="Georgia"/>
          <w:sz w:val="24"/>
          <w:szCs w:val="24"/>
        </w:rPr>
        <w:t>finding</w:t>
      </w:r>
      <w:r>
        <w:rPr>
          <w:rFonts w:ascii="Georgia" w:hAnsi="Georgia"/>
          <w:sz w:val="24"/>
          <w:szCs w:val="24"/>
        </w:rPr>
        <w:t xml:space="preserve"> aligns with the work of Rose et al. (2008) on the Grameen Bank, which found that effective risk identification systems reduce risk exposure in lending. Although successful group lending schemes like the Grameen Bank exist, the overall performance of group lending has varied.</w:t>
      </w:r>
    </w:p>
    <w:p w14:paraId="158E2595" w14:textId="77777777" w:rsidR="0003089E" w:rsidRDefault="0003089E" w:rsidP="000551DE">
      <w:pPr>
        <w:spacing w:before="120" w:after="0" w:line="240" w:lineRule="auto"/>
        <w:jc w:val="both"/>
        <w:rPr>
          <w:rFonts w:ascii="Georgia" w:hAnsi="Georgia"/>
          <w:sz w:val="24"/>
          <w:szCs w:val="24"/>
        </w:rPr>
      </w:pPr>
      <w:r>
        <w:rPr>
          <w:rFonts w:ascii="Georgia" w:hAnsi="Georgia"/>
          <w:sz w:val="24"/>
          <w:szCs w:val="24"/>
        </w:rPr>
        <w:t>Moreover, the study found that entering new markets significantly improved lending performance by decreasing the level of loan defaults. This indicates that commercial banks need to exercise caution when expanding into new markets; thorough market analysis is crucial. This finding supports Kamau's (2010) research on credit risk identification strategies employed by commercial banks, which highlighted the risks associated with entered markets without adequate scanning, exposing banks to potentially problematic borrower groups.</w:t>
      </w:r>
    </w:p>
    <w:p w14:paraId="40551F5B" w14:textId="77777777"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The establishment of internal guidelines for managing credit risk identification processes was also found to be significant, contributing to improved lending performance by reducing defaults. This reinforces the findings of </w:t>
      </w:r>
      <w:proofErr w:type="spellStart"/>
      <w:r>
        <w:rPr>
          <w:rFonts w:ascii="Georgia" w:hAnsi="Georgia"/>
          <w:sz w:val="24"/>
          <w:szCs w:val="24"/>
        </w:rPr>
        <w:t>Mpuga</w:t>
      </w:r>
      <w:proofErr w:type="spellEnd"/>
      <w:r>
        <w:rPr>
          <w:rFonts w:ascii="Georgia" w:hAnsi="Georgia"/>
          <w:sz w:val="24"/>
          <w:szCs w:val="24"/>
        </w:rPr>
        <w:t xml:space="preserve"> (2008), who noted that the absence of stringent lending rules and rapid decision-making can lead borrowers to obtain credit in urgent situations, often compromising effective risk identification and assessment of repayment ability. This underscores the need for adherence to internal guidelines in the lending practices of banks.</w:t>
      </w:r>
    </w:p>
    <w:p w14:paraId="47FDFFB6" w14:textId="77777777"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Additionally, the education level of credit officers was statistically significant, indicating that the knowledge gained through education and training equips credit officers with the necessary skills for effective risk identification. This aligns with the findings of Muhamad &amp; </w:t>
      </w:r>
      <w:proofErr w:type="spellStart"/>
      <w:r>
        <w:rPr>
          <w:rFonts w:ascii="Georgia" w:hAnsi="Georgia"/>
          <w:sz w:val="24"/>
          <w:szCs w:val="24"/>
        </w:rPr>
        <w:t>Basah</w:t>
      </w:r>
      <w:proofErr w:type="spellEnd"/>
      <w:r>
        <w:rPr>
          <w:rFonts w:ascii="Georgia" w:hAnsi="Georgia"/>
          <w:sz w:val="24"/>
          <w:szCs w:val="24"/>
        </w:rPr>
        <w:t xml:space="preserve"> (2016), who showed that an educational background influences credit risk management awareness, demonstrating that education affects understanding in this area. Consequently, the qualifications of staff </w:t>
      </w:r>
      <w:proofErr w:type="spellStart"/>
      <w:r>
        <w:rPr>
          <w:rFonts w:ascii="Georgia" w:hAnsi="Georgia"/>
          <w:sz w:val="24"/>
          <w:szCs w:val="24"/>
        </w:rPr>
        <w:t>analyzing</w:t>
      </w:r>
      <w:proofErr w:type="spellEnd"/>
      <w:r>
        <w:rPr>
          <w:rFonts w:ascii="Georgia" w:hAnsi="Georgia"/>
          <w:sz w:val="24"/>
          <w:szCs w:val="24"/>
        </w:rPr>
        <w:t xml:space="preserve"> loan applications play a critical role in identifying and communicating credit risks in lending decisions.</w:t>
      </w:r>
    </w:p>
    <w:p w14:paraId="618C68A3" w14:textId="483F076F" w:rsidR="006651A7" w:rsidRPr="000551DE" w:rsidRDefault="0003089E" w:rsidP="000551DE">
      <w:pPr>
        <w:spacing w:before="120" w:after="0" w:line="240" w:lineRule="auto"/>
        <w:jc w:val="both"/>
        <w:rPr>
          <w:rFonts w:ascii="Georgia" w:hAnsi="Georgia"/>
          <w:sz w:val="24"/>
          <w:szCs w:val="24"/>
        </w:rPr>
      </w:pPr>
      <w:r>
        <w:rPr>
          <w:rFonts w:ascii="Georgia" w:hAnsi="Georgia"/>
          <w:sz w:val="24"/>
          <w:szCs w:val="24"/>
        </w:rPr>
        <w:t xml:space="preserve">Finally, the experience of lending personnel in banks was found to be statistically significant and crucial for lending performance. Results indicate that banks with experienced credit officers tend to perform better in lending. This research supports the findings of Richard, </w:t>
      </w:r>
      <w:proofErr w:type="spellStart"/>
      <w:r>
        <w:rPr>
          <w:rFonts w:ascii="Georgia" w:hAnsi="Georgia"/>
          <w:sz w:val="24"/>
          <w:szCs w:val="24"/>
        </w:rPr>
        <w:t>Chijoriga</w:t>
      </w:r>
      <w:proofErr w:type="spellEnd"/>
      <w:r>
        <w:rPr>
          <w:rFonts w:ascii="Georgia" w:hAnsi="Georgia"/>
          <w:sz w:val="24"/>
          <w:szCs w:val="24"/>
        </w:rPr>
        <w:t xml:space="preserve">, and </w:t>
      </w:r>
      <w:proofErr w:type="spellStart"/>
      <w:r>
        <w:rPr>
          <w:rFonts w:ascii="Georgia" w:hAnsi="Georgia"/>
          <w:sz w:val="24"/>
          <w:szCs w:val="24"/>
        </w:rPr>
        <w:t>Kaijage</w:t>
      </w:r>
      <w:proofErr w:type="spellEnd"/>
      <w:r>
        <w:rPr>
          <w:rFonts w:ascii="Georgia" w:hAnsi="Georgia"/>
          <w:sz w:val="24"/>
          <w:szCs w:val="24"/>
        </w:rPr>
        <w:t xml:space="preserve"> (2010), who identified staff quality, particularly in terms of experience and education, as a key factor in effective credit risk identification and lending.</w:t>
      </w:r>
    </w:p>
    <w:p w14:paraId="757333AD" w14:textId="4EB5911E" w:rsidR="00FF10C1" w:rsidRPr="000551DE" w:rsidRDefault="003E030F" w:rsidP="000551DE">
      <w:pPr>
        <w:spacing w:line="240" w:lineRule="auto"/>
        <w:rPr>
          <w:rFonts w:ascii="Georgia" w:eastAsia="Times New Roman" w:hAnsi="Georgia" w:cs="Times New Roman"/>
          <w:b/>
          <w:bCs/>
          <w:kern w:val="0"/>
          <w:sz w:val="24"/>
          <w:szCs w:val="24"/>
          <w:lang w:eastAsia="x-none"/>
          <w14:ligatures w14:val="none"/>
        </w:rPr>
      </w:pPr>
      <w:r w:rsidRPr="000551DE">
        <w:rPr>
          <w:rFonts w:ascii="Georgia" w:eastAsia="Times New Roman" w:hAnsi="Georgia" w:cs="Times New Roman"/>
          <w:b/>
          <w:bCs/>
          <w:kern w:val="0"/>
          <w:sz w:val="24"/>
          <w:szCs w:val="24"/>
          <w:lang w:eastAsia="x-none"/>
          <w14:ligatures w14:val="none"/>
        </w:rPr>
        <w:t xml:space="preserve">Table 4: </w:t>
      </w:r>
      <w:r w:rsidR="003F5DDB" w:rsidRPr="000551DE">
        <w:rPr>
          <w:rFonts w:ascii="Georgia" w:eastAsia="Times New Roman" w:hAnsi="Georgia" w:cs="Times New Roman"/>
          <w:b/>
          <w:bCs/>
          <w:kern w:val="0"/>
          <w:sz w:val="24"/>
          <w:szCs w:val="24"/>
          <w:lang w:eastAsia="x-none"/>
          <w14:ligatures w14:val="none"/>
        </w:rPr>
        <w:t xml:space="preserve">Multiple </w:t>
      </w:r>
      <w:r w:rsidR="009E50F1" w:rsidRPr="000551DE">
        <w:rPr>
          <w:rFonts w:ascii="Georgia" w:eastAsia="Times New Roman" w:hAnsi="Georgia" w:cs="Times New Roman"/>
          <w:b/>
          <w:bCs/>
          <w:kern w:val="0"/>
          <w:sz w:val="24"/>
          <w:szCs w:val="24"/>
          <w:lang w:eastAsia="x-none"/>
          <w14:ligatures w14:val="none"/>
        </w:rPr>
        <w:t>regression</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FF10C1" w:rsidRPr="000551DE" w14:paraId="44A28D4B" w14:textId="77777777" w:rsidTr="008C7C00">
        <w:tc>
          <w:tcPr>
            <w:tcW w:w="1708" w:type="dxa"/>
            <w:tcBorders>
              <w:top w:val="single" w:sz="4" w:space="0" w:color="auto"/>
              <w:left w:val="nil"/>
              <w:bottom w:val="single" w:sz="8" w:space="0" w:color="auto"/>
              <w:right w:val="nil"/>
            </w:tcBorders>
          </w:tcPr>
          <w:p w14:paraId="6DC3EFD9" w14:textId="1045F085" w:rsidR="00FF10C1" w:rsidRPr="000551DE" w:rsidRDefault="00B12FB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sz w:val="20"/>
                <w:szCs w:val="20"/>
              </w:rPr>
              <w:t>L</w:t>
            </w:r>
            <w:r w:rsidRPr="000E67C9">
              <w:rPr>
                <w:rFonts w:ascii="Georgia" w:hAnsi="Georgia"/>
                <w:sz w:val="20"/>
                <w:szCs w:val="20"/>
              </w:rPr>
              <w:t>ending</w:t>
            </w:r>
            <w:r w:rsidRPr="000551DE">
              <w:rPr>
                <w:rFonts w:ascii="Georgia" w:hAnsi="Georgia"/>
                <w:sz w:val="20"/>
                <w:szCs w:val="20"/>
              </w:rPr>
              <w:t xml:space="preserve"> Performance</w:t>
            </w:r>
          </w:p>
        </w:tc>
        <w:tc>
          <w:tcPr>
            <w:tcW w:w="1200" w:type="dxa"/>
            <w:gridSpan w:val="2"/>
            <w:tcBorders>
              <w:top w:val="single" w:sz="4" w:space="0" w:color="auto"/>
              <w:left w:val="nil"/>
              <w:bottom w:val="single" w:sz="8" w:space="0" w:color="auto"/>
              <w:right w:val="nil"/>
            </w:tcBorders>
          </w:tcPr>
          <w:p w14:paraId="10D54C59" w14:textId="60BF4826"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Coef.</w:t>
            </w:r>
          </w:p>
        </w:tc>
        <w:tc>
          <w:tcPr>
            <w:tcW w:w="1200" w:type="dxa"/>
            <w:tcBorders>
              <w:top w:val="single" w:sz="4" w:space="0" w:color="auto"/>
              <w:left w:val="nil"/>
              <w:bottom w:val="single" w:sz="8" w:space="0" w:color="auto"/>
              <w:right w:val="nil"/>
            </w:tcBorders>
          </w:tcPr>
          <w:p w14:paraId="61DEB730" w14:textId="253FD18B"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St. Err.</w:t>
            </w:r>
          </w:p>
        </w:tc>
        <w:tc>
          <w:tcPr>
            <w:tcW w:w="850" w:type="dxa"/>
            <w:gridSpan w:val="2"/>
            <w:tcBorders>
              <w:top w:val="single" w:sz="4" w:space="0" w:color="auto"/>
              <w:left w:val="nil"/>
              <w:bottom w:val="single" w:sz="8" w:space="0" w:color="auto"/>
              <w:right w:val="nil"/>
            </w:tcBorders>
          </w:tcPr>
          <w:p w14:paraId="3826A9DE" w14:textId="1C567F04"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t-value</w:t>
            </w:r>
          </w:p>
        </w:tc>
        <w:tc>
          <w:tcPr>
            <w:tcW w:w="900" w:type="dxa"/>
            <w:tcBorders>
              <w:top w:val="single" w:sz="4" w:space="0" w:color="auto"/>
              <w:left w:val="nil"/>
              <w:bottom w:val="single" w:sz="8" w:space="0" w:color="auto"/>
              <w:right w:val="nil"/>
            </w:tcBorders>
          </w:tcPr>
          <w:p w14:paraId="3E4F8609" w14:textId="3D5374CD"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p-value</w:t>
            </w:r>
          </w:p>
        </w:tc>
        <w:tc>
          <w:tcPr>
            <w:tcW w:w="1200" w:type="dxa"/>
            <w:gridSpan w:val="2"/>
            <w:tcBorders>
              <w:top w:val="single" w:sz="4" w:space="0" w:color="auto"/>
              <w:left w:val="nil"/>
              <w:bottom w:val="single" w:sz="8" w:space="0" w:color="auto"/>
              <w:right w:val="nil"/>
            </w:tcBorders>
          </w:tcPr>
          <w:p w14:paraId="0BD5DFB0" w14:textId="45B4A6BA"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[95% Conf</w:t>
            </w:r>
          </w:p>
        </w:tc>
        <w:tc>
          <w:tcPr>
            <w:tcW w:w="1200" w:type="dxa"/>
            <w:gridSpan w:val="2"/>
            <w:tcBorders>
              <w:top w:val="single" w:sz="4" w:space="0" w:color="auto"/>
              <w:left w:val="nil"/>
              <w:bottom w:val="single" w:sz="8" w:space="0" w:color="auto"/>
              <w:right w:val="nil"/>
            </w:tcBorders>
          </w:tcPr>
          <w:p w14:paraId="26F3234E" w14:textId="3E6D07A2"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Interval]</w:t>
            </w:r>
          </w:p>
        </w:tc>
        <w:tc>
          <w:tcPr>
            <w:tcW w:w="600" w:type="dxa"/>
            <w:tcBorders>
              <w:top w:val="single" w:sz="4" w:space="0" w:color="auto"/>
              <w:left w:val="nil"/>
              <w:bottom w:val="single" w:sz="8" w:space="0" w:color="auto"/>
              <w:right w:val="nil"/>
            </w:tcBorders>
          </w:tcPr>
          <w:p w14:paraId="589E1BEF" w14:textId="77CAB86D"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Sig</w:t>
            </w:r>
          </w:p>
        </w:tc>
      </w:tr>
      <w:tr w:rsidR="00FF10C1" w:rsidRPr="000551DE" w14:paraId="3071F151" w14:textId="77777777" w:rsidTr="008C7C00">
        <w:tc>
          <w:tcPr>
            <w:tcW w:w="1708" w:type="dxa"/>
            <w:tcBorders>
              <w:top w:val="nil"/>
              <w:left w:val="nil"/>
              <w:bottom w:val="nil"/>
              <w:right w:val="nil"/>
            </w:tcBorders>
          </w:tcPr>
          <w:p w14:paraId="2B135E8C" w14:textId="2F013D1D" w:rsidR="00FF10C1" w:rsidRPr="000551DE" w:rsidRDefault="00E93D98"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sz w:val="20"/>
                <w:szCs w:val="20"/>
              </w:rPr>
              <w:t>Risk Systems</w:t>
            </w:r>
          </w:p>
        </w:tc>
        <w:tc>
          <w:tcPr>
            <w:tcW w:w="1200" w:type="dxa"/>
            <w:gridSpan w:val="2"/>
            <w:tcBorders>
              <w:top w:val="nil"/>
              <w:left w:val="nil"/>
              <w:bottom w:val="nil"/>
              <w:right w:val="nil"/>
            </w:tcBorders>
          </w:tcPr>
          <w:p w14:paraId="211EF4B5"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-.281</w:t>
            </w:r>
          </w:p>
        </w:tc>
        <w:tc>
          <w:tcPr>
            <w:tcW w:w="1200" w:type="dxa"/>
            <w:tcBorders>
              <w:top w:val="nil"/>
              <w:left w:val="nil"/>
              <w:bottom w:val="nil"/>
              <w:right w:val="nil"/>
            </w:tcBorders>
          </w:tcPr>
          <w:p w14:paraId="3B9E810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.037</w:t>
            </w:r>
          </w:p>
        </w:tc>
        <w:tc>
          <w:tcPr>
            <w:tcW w:w="850" w:type="dxa"/>
            <w:gridSpan w:val="2"/>
            <w:tcBorders>
              <w:top w:val="nil"/>
              <w:left w:val="nil"/>
              <w:bottom w:val="nil"/>
              <w:right w:val="nil"/>
            </w:tcBorders>
          </w:tcPr>
          <w:p w14:paraId="4AC9732A"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-7.67</w:t>
            </w:r>
          </w:p>
        </w:tc>
        <w:tc>
          <w:tcPr>
            <w:tcW w:w="900" w:type="dxa"/>
            <w:tcBorders>
              <w:top w:val="nil"/>
              <w:left w:val="nil"/>
              <w:bottom w:val="nil"/>
              <w:right w:val="nil"/>
            </w:tcBorders>
          </w:tcPr>
          <w:p w14:paraId="2D53E8E0" w14:textId="6CEF4743"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r w:rsidR="00FF10C1" w:rsidRPr="000551DE">
              <w:rPr>
                <w:rFonts w:ascii="Georgia" w:hAnsi="Georgia"/>
                <w:kern w:val="0"/>
                <w:sz w:val="20"/>
                <w:szCs w:val="20"/>
                <w:lang w:val="en-US"/>
              </w:rPr>
              <w:t>0</w:t>
            </w:r>
            <w:r w:rsidRPr="000551DE">
              <w:rPr>
                <w:rFonts w:ascii="Georgia" w:hAnsi="Georgia"/>
                <w:kern w:val="0"/>
                <w:sz w:val="20"/>
                <w:szCs w:val="20"/>
                <w:lang w:val="en-US"/>
              </w:rPr>
              <w:t>00</w:t>
            </w:r>
          </w:p>
        </w:tc>
        <w:tc>
          <w:tcPr>
            <w:tcW w:w="1200" w:type="dxa"/>
            <w:gridSpan w:val="2"/>
            <w:tcBorders>
              <w:top w:val="nil"/>
              <w:left w:val="nil"/>
              <w:bottom w:val="nil"/>
              <w:right w:val="nil"/>
            </w:tcBorders>
          </w:tcPr>
          <w:p w14:paraId="0719B25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-.354</w:t>
            </w:r>
          </w:p>
        </w:tc>
        <w:tc>
          <w:tcPr>
            <w:tcW w:w="1200" w:type="dxa"/>
            <w:gridSpan w:val="2"/>
            <w:tcBorders>
              <w:top w:val="nil"/>
              <w:left w:val="nil"/>
              <w:bottom w:val="nil"/>
              <w:right w:val="nil"/>
            </w:tcBorders>
          </w:tcPr>
          <w:p w14:paraId="7FDA9833"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-.209</w:t>
            </w:r>
          </w:p>
        </w:tc>
        <w:tc>
          <w:tcPr>
            <w:tcW w:w="600" w:type="dxa"/>
            <w:tcBorders>
              <w:top w:val="nil"/>
              <w:left w:val="nil"/>
              <w:bottom w:val="nil"/>
              <w:right w:val="nil"/>
            </w:tcBorders>
          </w:tcPr>
          <w:p w14:paraId="000DE76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0CFD4743" w14:textId="77777777" w:rsidTr="008C7C00">
        <w:tc>
          <w:tcPr>
            <w:tcW w:w="1708" w:type="dxa"/>
            <w:tcBorders>
              <w:top w:val="nil"/>
              <w:left w:val="nil"/>
              <w:bottom w:val="nil"/>
              <w:right w:val="nil"/>
            </w:tcBorders>
          </w:tcPr>
          <w:p w14:paraId="1E43870C" w14:textId="420AF207"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Competitive pressure</w:t>
            </w:r>
          </w:p>
        </w:tc>
        <w:tc>
          <w:tcPr>
            <w:tcW w:w="1200" w:type="dxa"/>
            <w:gridSpan w:val="2"/>
            <w:tcBorders>
              <w:top w:val="nil"/>
              <w:left w:val="nil"/>
              <w:bottom w:val="nil"/>
              <w:right w:val="nil"/>
            </w:tcBorders>
          </w:tcPr>
          <w:p w14:paraId="1FA09793"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.01</w:t>
            </w:r>
          </w:p>
        </w:tc>
        <w:tc>
          <w:tcPr>
            <w:tcW w:w="1200" w:type="dxa"/>
            <w:tcBorders>
              <w:top w:val="nil"/>
              <w:left w:val="nil"/>
              <w:bottom w:val="nil"/>
              <w:right w:val="nil"/>
            </w:tcBorders>
          </w:tcPr>
          <w:p w14:paraId="6EE3AF6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w:t>
            </w:r>
          </w:p>
        </w:tc>
        <w:tc>
          <w:tcPr>
            <w:tcW w:w="850" w:type="dxa"/>
            <w:gridSpan w:val="2"/>
            <w:tcBorders>
              <w:top w:val="nil"/>
              <w:left w:val="nil"/>
              <w:bottom w:val="nil"/>
              <w:right w:val="nil"/>
            </w:tcBorders>
          </w:tcPr>
          <w:p w14:paraId="2FCDDE5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0.52</w:t>
            </w:r>
          </w:p>
        </w:tc>
        <w:tc>
          <w:tcPr>
            <w:tcW w:w="900" w:type="dxa"/>
            <w:tcBorders>
              <w:top w:val="nil"/>
              <w:left w:val="nil"/>
              <w:bottom w:val="nil"/>
              <w:right w:val="nil"/>
            </w:tcBorders>
          </w:tcPr>
          <w:p w14:paraId="07D6645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.605</w:t>
            </w:r>
          </w:p>
        </w:tc>
        <w:tc>
          <w:tcPr>
            <w:tcW w:w="1200" w:type="dxa"/>
            <w:gridSpan w:val="2"/>
            <w:tcBorders>
              <w:top w:val="nil"/>
              <w:left w:val="nil"/>
              <w:bottom w:val="nil"/>
              <w:right w:val="nil"/>
            </w:tcBorders>
          </w:tcPr>
          <w:p w14:paraId="46D3A60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-.029</w:t>
            </w:r>
          </w:p>
        </w:tc>
        <w:tc>
          <w:tcPr>
            <w:tcW w:w="1200" w:type="dxa"/>
            <w:gridSpan w:val="2"/>
            <w:tcBorders>
              <w:top w:val="nil"/>
              <w:left w:val="nil"/>
              <w:bottom w:val="nil"/>
              <w:right w:val="nil"/>
            </w:tcBorders>
          </w:tcPr>
          <w:p w14:paraId="40947D1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w:t>
            </w:r>
          </w:p>
        </w:tc>
        <w:tc>
          <w:tcPr>
            <w:tcW w:w="600" w:type="dxa"/>
            <w:tcBorders>
              <w:top w:val="nil"/>
              <w:left w:val="nil"/>
              <w:bottom w:val="nil"/>
              <w:right w:val="nil"/>
            </w:tcBorders>
          </w:tcPr>
          <w:p w14:paraId="1B90619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p>
        </w:tc>
      </w:tr>
      <w:tr w:rsidR="00FF10C1" w:rsidRPr="000551DE" w14:paraId="09E5EFE9" w14:textId="77777777" w:rsidTr="008C7C00">
        <w:tc>
          <w:tcPr>
            <w:tcW w:w="1708" w:type="dxa"/>
            <w:tcBorders>
              <w:top w:val="nil"/>
              <w:left w:val="nil"/>
              <w:bottom w:val="nil"/>
              <w:right w:val="nil"/>
            </w:tcBorders>
          </w:tcPr>
          <w:p w14:paraId="6BA3818C" w14:textId="32DAABA7"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New markets</w:t>
            </w:r>
          </w:p>
        </w:tc>
        <w:tc>
          <w:tcPr>
            <w:tcW w:w="1200" w:type="dxa"/>
            <w:gridSpan w:val="2"/>
            <w:tcBorders>
              <w:top w:val="nil"/>
              <w:left w:val="nil"/>
              <w:bottom w:val="nil"/>
              <w:right w:val="nil"/>
            </w:tcBorders>
          </w:tcPr>
          <w:p w14:paraId="7AADB82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-.141</w:t>
            </w:r>
          </w:p>
        </w:tc>
        <w:tc>
          <w:tcPr>
            <w:tcW w:w="1200" w:type="dxa"/>
            <w:tcBorders>
              <w:top w:val="nil"/>
              <w:left w:val="nil"/>
              <w:bottom w:val="nil"/>
              <w:right w:val="nil"/>
            </w:tcBorders>
          </w:tcPr>
          <w:p w14:paraId="757E26A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.023</w:t>
            </w:r>
          </w:p>
        </w:tc>
        <w:tc>
          <w:tcPr>
            <w:tcW w:w="850" w:type="dxa"/>
            <w:gridSpan w:val="2"/>
            <w:tcBorders>
              <w:top w:val="nil"/>
              <w:left w:val="nil"/>
              <w:bottom w:val="nil"/>
              <w:right w:val="nil"/>
            </w:tcBorders>
          </w:tcPr>
          <w:p w14:paraId="039DABF7"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-6.03</w:t>
            </w:r>
          </w:p>
        </w:tc>
        <w:tc>
          <w:tcPr>
            <w:tcW w:w="900" w:type="dxa"/>
            <w:tcBorders>
              <w:top w:val="nil"/>
              <w:left w:val="nil"/>
              <w:bottom w:val="nil"/>
              <w:right w:val="nil"/>
            </w:tcBorders>
          </w:tcPr>
          <w:p w14:paraId="52DAC75F" w14:textId="4FAEA88F"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.000</w:t>
            </w:r>
          </w:p>
        </w:tc>
        <w:tc>
          <w:tcPr>
            <w:tcW w:w="1200" w:type="dxa"/>
            <w:gridSpan w:val="2"/>
            <w:tcBorders>
              <w:top w:val="nil"/>
              <w:left w:val="nil"/>
              <w:bottom w:val="nil"/>
              <w:right w:val="nil"/>
            </w:tcBorders>
          </w:tcPr>
          <w:p w14:paraId="2E1F5A8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-.188</w:t>
            </w:r>
          </w:p>
        </w:tc>
        <w:tc>
          <w:tcPr>
            <w:tcW w:w="1200" w:type="dxa"/>
            <w:gridSpan w:val="2"/>
            <w:tcBorders>
              <w:top w:val="nil"/>
              <w:left w:val="nil"/>
              <w:bottom w:val="nil"/>
              <w:right w:val="nil"/>
            </w:tcBorders>
          </w:tcPr>
          <w:p w14:paraId="03E0F72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-.095</w:t>
            </w:r>
          </w:p>
        </w:tc>
        <w:tc>
          <w:tcPr>
            <w:tcW w:w="600" w:type="dxa"/>
            <w:tcBorders>
              <w:top w:val="nil"/>
              <w:left w:val="nil"/>
              <w:bottom w:val="nil"/>
              <w:right w:val="nil"/>
            </w:tcBorders>
          </w:tcPr>
          <w:p w14:paraId="6875CA7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1218323B" w14:textId="77777777" w:rsidTr="008C7C00">
        <w:tc>
          <w:tcPr>
            <w:tcW w:w="1708" w:type="dxa"/>
            <w:tcBorders>
              <w:top w:val="nil"/>
              <w:left w:val="nil"/>
              <w:bottom w:val="nil"/>
              <w:right w:val="nil"/>
            </w:tcBorders>
          </w:tcPr>
          <w:p w14:paraId="55317098" w14:textId="55A60876"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Internal guidelines</w:t>
            </w:r>
          </w:p>
        </w:tc>
        <w:tc>
          <w:tcPr>
            <w:tcW w:w="1200" w:type="dxa"/>
            <w:gridSpan w:val="2"/>
            <w:tcBorders>
              <w:top w:val="nil"/>
              <w:left w:val="nil"/>
              <w:bottom w:val="nil"/>
              <w:right w:val="nil"/>
            </w:tcBorders>
          </w:tcPr>
          <w:p w14:paraId="64B964D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.101</w:t>
            </w:r>
          </w:p>
        </w:tc>
        <w:tc>
          <w:tcPr>
            <w:tcW w:w="1200" w:type="dxa"/>
            <w:tcBorders>
              <w:top w:val="nil"/>
              <w:left w:val="nil"/>
              <w:bottom w:val="nil"/>
              <w:right w:val="nil"/>
            </w:tcBorders>
          </w:tcPr>
          <w:p w14:paraId="375E5BF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.027</w:t>
            </w:r>
          </w:p>
        </w:tc>
        <w:tc>
          <w:tcPr>
            <w:tcW w:w="850" w:type="dxa"/>
            <w:gridSpan w:val="2"/>
            <w:tcBorders>
              <w:top w:val="nil"/>
              <w:left w:val="nil"/>
              <w:bottom w:val="nil"/>
              <w:right w:val="nil"/>
            </w:tcBorders>
          </w:tcPr>
          <w:p w14:paraId="39FB77C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3.68</w:t>
            </w:r>
          </w:p>
        </w:tc>
        <w:tc>
          <w:tcPr>
            <w:tcW w:w="900" w:type="dxa"/>
            <w:tcBorders>
              <w:top w:val="nil"/>
              <w:left w:val="nil"/>
              <w:bottom w:val="nil"/>
              <w:right w:val="nil"/>
            </w:tcBorders>
          </w:tcPr>
          <w:p w14:paraId="7F2F3E6B" w14:textId="7F7A9343"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w:t>
            </w:r>
            <w:r w:rsidR="00FF10C1" w:rsidRPr="000551DE">
              <w:rPr>
                <w:rFonts w:ascii="Georgia" w:hAnsi="Georgia"/>
                <w:kern w:val="0"/>
                <w:sz w:val="20"/>
                <w:szCs w:val="20"/>
                <w:lang w:val="en-US"/>
              </w:rPr>
              <w:t>0</w:t>
            </w:r>
          </w:p>
        </w:tc>
        <w:tc>
          <w:tcPr>
            <w:tcW w:w="1200" w:type="dxa"/>
            <w:gridSpan w:val="2"/>
            <w:tcBorders>
              <w:top w:val="nil"/>
              <w:left w:val="nil"/>
              <w:bottom w:val="nil"/>
              <w:right w:val="nil"/>
            </w:tcBorders>
          </w:tcPr>
          <w:p w14:paraId="527A9E5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.047</w:t>
            </w:r>
          </w:p>
        </w:tc>
        <w:tc>
          <w:tcPr>
            <w:tcW w:w="1200" w:type="dxa"/>
            <w:gridSpan w:val="2"/>
            <w:tcBorders>
              <w:top w:val="nil"/>
              <w:left w:val="nil"/>
              <w:bottom w:val="nil"/>
              <w:right w:val="nil"/>
            </w:tcBorders>
          </w:tcPr>
          <w:p w14:paraId="451A034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.155</w:t>
            </w:r>
          </w:p>
        </w:tc>
        <w:tc>
          <w:tcPr>
            <w:tcW w:w="600" w:type="dxa"/>
            <w:tcBorders>
              <w:top w:val="nil"/>
              <w:left w:val="nil"/>
              <w:bottom w:val="nil"/>
              <w:right w:val="nil"/>
            </w:tcBorders>
          </w:tcPr>
          <w:p w14:paraId="11FC2B5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55F8F3B1" w14:textId="77777777" w:rsidTr="008C7C00">
        <w:tc>
          <w:tcPr>
            <w:tcW w:w="1708" w:type="dxa"/>
            <w:tcBorders>
              <w:top w:val="nil"/>
              <w:left w:val="nil"/>
              <w:bottom w:val="nil"/>
              <w:right w:val="nil"/>
            </w:tcBorders>
          </w:tcPr>
          <w:p w14:paraId="454BB1B0" w14:textId="21FE48AF"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Lending decision</w:t>
            </w:r>
          </w:p>
        </w:tc>
        <w:tc>
          <w:tcPr>
            <w:tcW w:w="1200" w:type="dxa"/>
            <w:gridSpan w:val="2"/>
            <w:tcBorders>
              <w:top w:val="nil"/>
              <w:left w:val="nil"/>
              <w:bottom w:val="nil"/>
              <w:right w:val="nil"/>
            </w:tcBorders>
          </w:tcPr>
          <w:p w14:paraId="03EC85E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-.033</w:t>
            </w:r>
          </w:p>
        </w:tc>
        <w:tc>
          <w:tcPr>
            <w:tcW w:w="1200" w:type="dxa"/>
            <w:tcBorders>
              <w:top w:val="nil"/>
              <w:left w:val="nil"/>
              <w:bottom w:val="nil"/>
              <w:right w:val="nil"/>
            </w:tcBorders>
          </w:tcPr>
          <w:p w14:paraId="23D8D385"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.017</w:t>
            </w:r>
          </w:p>
        </w:tc>
        <w:tc>
          <w:tcPr>
            <w:tcW w:w="850" w:type="dxa"/>
            <w:gridSpan w:val="2"/>
            <w:tcBorders>
              <w:top w:val="nil"/>
              <w:left w:val="nil"/>
              <w:bottom w:val="nil"/>
              <w:right w:val="nil"/>
            </w:tcBorders>
          </w:tcPr>
          <w:p w14:paraId="5037536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-1.91</w:t>
            </w:r>
          </w:p>
        </w:tc>
        <w:tc>
          <w:tcPr>
            <w:tcW w:w="900" w:type="dxa"/>
            <w:tcBorders>
              <w:top w:val="nil"/>
              <w:left w:val="nil"/>
              <w:bottom w:val="nil"/>
              <w:right w:val="nil"/>
            </w:tcBorders>
          </w:tcPr>
          <w:p w14:paraId="7588930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.057</w:t>
            </w:r>
          </w:p>
        </w:tc>
        <w:tc>
          <w:tcPr>
            <w:tcW w:w="1200" w:type="dxa"/>
            <w:gridSpan w:val="2"/>
            <w:tcBorders>
              <w:top w:val="nil"/>
              <w:left w:val="nil"/>
              <w:bottom w:val="nil"/>
              <w:right w:val="nil"/>
            </w:tcBorders>
          </w:tcPr>
          <w:p w14:paraId="137E4FB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-.067</w:t>
            </w:r>
          </w:p>
        </w:tc>
        <w:tc>
          <w:tcPr>
            <w:tcW w:w="1200" w:type="dxa"/>
            <w:gridSpan w:val="2"/>
            <w:tcBorders>
              <w:top w:val="nil"/>
              <w:left w:val="nil"/>
              <w:bottom w:val="nil"/>
              <w:right w:val="nil"/>
            </w:tcBorders>
          </w:tcPr>
          <w:p w14:paraId="6FC5BC6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.001</w:t>
            </w:r>
          </w:p>
        </w:tc>
        <w:tc>
          <w:tcPr>
            <w:tcW w:w="600" w:type="dxa"/>
            <w:tcBorders>
              <w:top w:val="nil"/>
              <w:left w:val="nil"/>
              <w:bottom w:val="nil"/>
              <w:right w:val="nil"/>
            </w:tcBorders>
          </w:tcPr>
          <w:p w14:paraId="0FDABFB3"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625C9152" w14:textId="77777777" w:rsidTr="008C7C00">
        <w:tc>
          <w:tcPr>
            <w:tcW w:w="1708" w:type="dxa"/>
            <w:tcBorders>
              <w:top w:val="nil"/>
              <w:left w:val="nil"/>
              <w:bottom w:val="nil"/>
              <w:right w:val="nil"/>
            </w:tcBorders>
          </w:tcPr>
          <w:p w14:paraId="4AA9B9F2" w14:textId="402AB699"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Methods analyzing</w:t>
            </w:r>
          </w:p>
        </w:tc>
        <w:tc>
          <w:tcPr>
            <w:tcW w:w="1200" w:type="dxa"/>
            <w:gridSpan w:val="2"/>
            <w:tcBorders>
              <w:top w:val="nil"/>
              <w:left w:val="nil"/>
              <w:bottom w:val="nil"/>
              <w:right w:val="nil"/>
            </w:tcBorders>
          </w:tcPr>
          <w:p w14:paraId="6C4F614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.275</w:t>
            </w:r>
          </w:p>
        </w:tc>
        <w:tc>
          <w:tcPr>
            <w:tcW w:w="1200" w:type="dxa"/>
            <w:tcBorders>
              <w:top w:val="nil"/>
              <w:left w:val="nil"/>
              <w:bottom w:val="nil"/>
              <w:right w:val="nil"/>
            </w:tcBorders>
          </w:tcPr>
          <w:p w14:paraId="3C542EB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.034</w:t>
            </w:r>
          </w:p>
        </w:tc>
        <w:tc>
          <w:tcPr>
            <w:tcW w:w="850" w:type="dxa"/>
            <w:gridSpan w:val="2"/>
            <w:tcBorders>
              <w:top w:val="nil"/>
              <w:left w:val="nil"/>
              <w:bottom w:val="nil"/>
              <w:right w:val="nil"/>
            </w:tcBorders>
          </w:tcPr>
          <w:p w14:paraId="0490423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8.07</w:t>
            </w:r>
          </w:p>
        </w:tc>
        <w:tc>
          <w:tcPr>
            <w:tcW w:w="900" w:type="dxa"/>
            <w:tcBorders>
              <w:top w:val="nil"/>
              <w:left w:val="nil"/>
              <w:bottom w:val="nil"/>
              <w:right w:val="nil"/>
            </w:tcBorders>
          </w:tcPr>
          <w:p w14:paraId="2D4868B5" w14:textId="31F8BA77"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.000</w:t>
            </w:r>
          </w:p>
        </w:tc>
        <w:tc>
          <w:tcPr>
            <w:tcW w:w="1200" w:type="dxa"/>
            <w:gridSpan w:val="2"/>
            <w:tcBorders>
              <w:top w:val="nil"/>
              <w:left w:val="nil"/>
              <w:bottom w:val="nil"/>
              <w:right w:val="nil"/>
            </w:tcBorders>
          </w:tcPr>
          <w:p w14:paraId="4DE5BAD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.208</w:t>
            </w:r>
          </w:p>
        </w:tc>
        <w:tc>
          <w:tcPr>
            <w:tcW w:w="1200" w:type="dxa"/>
            <w:gridSpan w:val="2"/>
            <w:tcBorders>
              <w:top w:val="nil"/>
              <w:left w:val="nil"/>
              <w:bottom w:val="nil"/>
              <w:right w:val="nil"/>
            </w:tcBorders>
          </w:tcPr>
          <w:p w14:paraId="013E018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.343</w:t>
            </w:r>
          </w:p>
        </w:tc>
        <w:tc>
          <w:tcPr>
            <w:tcW w:w="600" w:type="dxa"/>
            <w:tcBorders>
              <w:top w:val="nil"/>
              <w:left w:val="nil"/>
              <w:bottom w:val="nil"/>
              <w:right w:val="nil"/>
            </w:tcBorders>
          </w:tcPr>
          <w:p w14:paraId="42CD8B0F"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751AAFA9" w14:textId="77777777" w:rsidTr="008C7C00">
        <w:tc>
          <w:tcPr>
            <w:tcW w:w="1708" w:type="dxa"/>
            <w:tcBorders>
              <w:top w:val="nil"/>
              <w:left w:val="nil"/>
              <w:bottom w:val="nil"/>
              <w:right w:val="nil"/>
            </w:tcBorders>
          </w:tcPr>
          <w:p w14:paraId="143FD80D"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Education</w:t>
            </w:r>
          </w:p>
        </w:tc>
        <w:tc>
          <w:tcPr>
            <w:tcW w:w="1200" w:type="dxa"/>
            <w:gridSpan w:val="2"/>
            <w:tcBorders>
              <w:top w:val="nil"/>
              <w:left w:val="nil"/>
              <w:bottom w:val="nil"/>
              <w:right w:val="nil"/>
            </w:tcBorders>
          </w:tcPr>
          <w:p w14:paraId="7050155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.096</w:t>
            </w:r>
          </w:p>
        </w:tc>
        <w:tc>
          <w:tcPr>
            <w:tcW w:w="1200" w:type="dxa"/>
            <w:tcBorders>
              <w:top w:val="nil"/>
              <w:left w:val="nil"/>
              <w:bottom w:val="nil"/>
              <w:right w:val="nil"/>
            </w:tcBorders>
          </w:tcPr>
          <w:p w14:paraId="4B502B7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.038</w:t>
            </w:r>
          </w:p>
        </w:tc>
        <w:tc>
          <w:tcPr>
            <w:tcW w:w="850" w:type="dxa"/>
            <w:gridSpan w:val="2"/>
            <w:tcBorders>
              <w:top w:val="nil"/>
              <w:left w:val="nil"/>
              <w:bottom w:val="nil"/>
              <w:right w:val="nil"/>
            </w:tcBorders>
          </w:tcPr>
          <w:p w14:paraId="5DA01AD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2.49</w:t>
            </w:r>
          </w:p>
        </w:tc>
        <w:tc>
          <w:tcPr>
            <w:tcW w:w="900" w:type="dxa"/>
            <w:tcBorders>
              <w:top w:val="nil"/>
              <w:left w:val="nil"/>
              <w:bottom w:val="nil"/>
              <w:right w:val="nil"/>
            </w:tcBorders>
          </w:tcPr>
          <w:p w14:paraId="6231B2A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.013</w:t>
            </w:r>
          </w:p>
        </w:tc>
        <w:tc>
          <w:tcPr>
            <w:tcW w:w="1200" w:type="dxa"/>
            <w:gridSpan w:val="2"/>
            <w:tcBorders>
              <w:top w:val="nil"/>
              <w:left w:val="nil"/>
              <w:bottom w:val="nil"/>
              <w:right w:val="nil"/>
            </w:tcBorders>
          </w:tcPr>
          <w:p w14:paraId="27A035C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w:t>
            </w:r>
          </w:p>
        </w:tc>
        <w:tc>
          <w:tcPr>
            <w:tcW w:w="1200" w:type="dxa"/>
            <w:gridSpan w:val="2"/>
            <w:tcBorders>
              <w:top w:val="nil"/>
              <w:left w:val="nil"/>
              <w:bottom w:val="nil"/>
              <w:right w:val="nil"/>
            </w:tcBorders>
          </w:tcPr>
          <w:p w14:paraId="483C874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.172</w:t>
            </w:r>
          </w:p>
        </w:tc>
        <w:tc>
          <w:tcPr>
            <w:tcW w:w="600" w:type="dxa"/>
            <w:tcBorders>
              <w:top w:val="nil"/>
              <w:left w:val="nil"/>
              <w:bottom w:val="nil"/>
              <w:right w:val="nil"/>
            </w:tcBorders>
          </w:tcPr>
          <w:p w14:paraId="551DD90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7B3A3BB2" w14:textId="77777777" w:rsidTr="008C7C00">
        <w:tc>
          <w:tcPr>
            <w:tcW w:w="1708" w:type="dxa"/>
            <w:tcBorders>
              <w:top w:val="nil"/>
              <w:left w:val="nil"/>
              <w:bottom w:val="nil"/>
              <w:right w:val="nil"/>
            </w:tcBorders>
          </w:tcPr>
          <w:p w14:paraId="1BD1DE5B"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Years</w:t>
            </w:r>
          </w:p>
        </w:tc>
        <w:tc>
          <w:tcPr>
            <w:tcW w:w="1200" w:type="dxa"/>
            <w:gridSpan w:val="2"/>
            <w:tcBorders>
              <w:top w:val="nil"/>
              <w:left w:val="nil"/>
              <w:bottom w:val="nil"/>
              <w:right w:val="nil"/>
            </w:tcBorders>
          </w:tcPr>
          <w:p w14:paraId="5D4C1B8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.178</w:t>
            </w:r>
          </w:p>
        </w:tc>
        <w:tc>
          <w:tcPr>
            <w:tcW w:w="1200" w:type="dxa"/>
            <w:tcBorders>
              <w:top w:val="nil"/>
              <w:left w:val="nil"/>
              <w:bottom w:val="nil"/>
              <w:right w:val="nil"/>
            </w:tcBorders>
          </w:tcPr>
          <w:p w14:paraId="4BC9EFE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.031</w:t>
            </w:r>
          </w:p>
        </w:tc>
        <w:tc>
          <w:tcPr>
            <w:tcW w:w="850" w:type="dxa"/>
            <w:gridSpan w:val="2"/>
            <w:tcBorders>
              <w:top w:val="nil"/>
              <w:left w:val="nil"/>
              <w:bottom w:val="nil"/>
              <w:right w:val="nil"/>
            </w:tcBorders>
          </w:tcPr>
          <w:p w14:paraId="1D05382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5.81</w:t>
            </w:r>
          </w:p>
        </w:tc>
        <w:tc>
          <w:tcPr>
            <w:tcW w:w="900" w:type="dxa"/>
            <w:tcBorders>
              <w:top w:val="nil"/>
              <w:left w:val="nil"/>
              <w:bottom w:val="nil"/>
              <w:right w:val="nil"/>
            </w:tcBorders>
          </w:tcPr>
          <w:p w14:paraId="6C48E638" w14:textId="1C832E7D"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w:t>
            </w:r>
            <w:r w:rsidR="00FF10C1" w:rsidRPr="000551DE">
              <w:rPr>
                <w:rFonts w:ascii="Georgia" w:hAnsi="Georgia"/>
                <w:kern w:val="0"/>
                <w:sz w:val="20"/>
                <w:szCs w:val="20"/>
                <w:lang w:val="en-US"/>
              </w:rPr>
              <w:t>0</w:t>
            </w:r>
          </w:p>
        </w:tc>
        <w:tc>
          <w:tcPr>
            <w:tcW w:w="1200" w:type="dxa"/>
            <w:gridSpan w:val="2"/>
            <w:tcBorders>
              <w:top w:val="nil"/>
              <w:left w:val="nil"/>
              <w:bottom w:val="nil"/>
              <w:right w:val="nil"/>
            </w:tcBorders>
          </w:tcPr>
          <w:p w14:paraId="43B4E44F"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.118</w:t>
            </w:r>
          </w:p>
        </w:tc>
        <w:tc>
          <w:tcPr>
            <w:tcW w:w="1200" w:type="dxa"/>
            <w:gridSpan w:val="2"/>
            <w:tcBorders>
              <w:top w:val="nil"/>
              <w:left w:val="nil"/>
              <w:bottom w:val="nil"/>
              <w:right w:val="nil"/>
            </w:tcBorders>
          </w:tcPr>
          <w:p w14:paraId="0DA78F2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.238</w:t>
            </w:r>
          </w:p>
        </w:tc>
        <w:tc>
          <w:tcPr>
            <w:tcW w:w="600" w:type="dxa"/>
            <w:tcBorders>
              <w:top w:val="nil"/>
              <w:left w:val="nil"/>
              <w:bottom w:val="nil"/>
              <w:right w:val="nil"/>
            </w:tcBorders>
          </w:tcPr>
          <w:p w14:paraId="702CA17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798B86CF" w14:textId="77777777" w:rsidTr="008C7C00">
        <w:tc>
          <w:tcPr>
            <w:tcW w:w="1708" w:type="dxa"/>
            <w:tcBorders>
              <w:top w:val="nil"/>
              <w:left w:val="nil"/>
              <w:bottom w:val="nil"/>
              <w:right w:val="nil"/>
            </w:tcBorders>
          </w:tcPr>
          <w:p w14:paraId="04111F2B"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Position</w:t>
            </w:r>
          </w:p>
        </w:tc>
        <w:tc>
          <w:tcPr>
            <w:tcW w:w="1200" w:type="dxa"/>
            <w:gridSpan w:val="2"/>
            <w:tcBorders>
              <w:top w:val="nil"/>
              <w:left w:val="nil"/>
              <w:bottom w:val="nil"/>
              <w:right w:val="nil"/>
            </w:tcBorders>
          </w:tcPr>
          <w:p w14:paraId="1FE55FB5"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.043</w:t>
            </w:r>
          </w:p>
        </w:tc>
        <w:tc>
          <w:tcPr>
            <w:tcW w:w="1200" w:type="dxa"/>
            <w:tcBorders>
              <w:top w:val="nil"/>
              <w:left w:val="nil"/>
              <w:bottom w:val="nil"/>
              <w:right w:val="nil"/>
            </w:tcBorders>
          </w:tcPr>
          <w:p w14:paraId="3D95673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.058</w:t>
            </w:r>
          </w:p>
        </w:tc>
        <w:tc>
          <w:tcPr>
            <w:tcW w:w="850" w:type="dxa"/>
            <w:gridSpan w:val="2"/>
            <w:tcBorders>
              <w:top w:val="nil"/>
              <w:left w:val="nil"/>
              <w:bottom w:val="nil"/>
              <w:right w:val="nil"/>
            </w:tcBorders>
          </w:tcPr>
          <w:p w14:paraId="27A669C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0.75</w:t>
            </w:r>
          </w:p>
        </w:tc>
        <w:tc>
          <w:tcPr>
            <w:tcW w:w="900" w:type="dxa"/>
            <w:tcBorders>
              <w:top w:val="nil"/>
              <w:left w:val="nil"/>
              <w:bottom w:val="nil"/>
              <w:right w:val="nil"/>
            </w:tcBorders>
          </w:tcPr>
          <w:p w14:paraId="3633B56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.456</w:t>
            </w:r>
          </w:p>
        </w:tc>
        <w:tc>
          <w:tcPr>
            <w:tcW w:w="1200" w:type="dxa"/>
            <w:gridSpan w:val="2"/>
            <w:tcBorders>
              <w:top w:val="nil"/>
              <w:left w:val="nil"/>
              <w:bottom w:val="nil"/>
              <w:right w:val="nil"/>
            </w:tcBorders>
          </w:tcPr>
          <w:p w14:paraId="78C220C7"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-.071</w:t>
            </w:r>
          </w:p>
        </w:tc>
        <w:tc>
          <w:tcPr>
            <w:tcW w:w="1200" w:type="dxa"/>
            <w:gridSpan w:val="2"/>
            <w:tcBorders>
              <w:top w:val="nil"/>
              <w:left w:val="nil"/>
              <w:bottom w:val="nil"/>
              <w:right w:val="nil"/>
            </w:tcBorders>
          </w:tcPr>
          <w:p w14:paraId="4A706AA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.158</w:t>
            </w:r>
          </w:p>
        </w:tc>
        <w:tc>
          <w:tcPr>
            <w:tcW w:w="600" w:type="dxa"/>
            <w:tcBorders>
              <w:top w:val="nil"/>
              <w:left w:val="nil"/>
              <w:bottom w:val="nil"/>
              <w:right w:val="nil"/>
            </w:tcBorders>
          </w:tcPr>
          <w:p w14:paraId="55B7718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p>
        </w:tc>
      </w:tr>
      <w:tr w:rsidR="00FF10C1" w:rsidRPr="000551DE" w14:paraId="2F266A7F" w14:textId="77777777" w:rsidTr="008C7C00">
        <w:tc>
          <w:tcPr>
            <w:tcW w:w="1708" w:type="dxa"/>
            <w:tcBorders>
              <w:top w:val="nil"/>
              <w:left w:val="nil"/>
              <w:bottom w:val="nil"/>
              <w:right w:val="nil"/>
            </w:tcBorders>
          </w:tcPr>
          <w:p w14:paraId="78BF9E91"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Constant</w:t>
            </w:r>
          </w:p>
        </w:tc>
        <w:tc>
          <w:tcPr>
            <w:tcW w:w="1200" w:type="dxa"/>
            <w:gridSpan w:val="2"/>
            <w:tcBorders>
              <w:top w:val="nil"/>
              <w:left w:val="nil"/>
              <w:bottom w:val="nil"/>
              <w:right w:val="nil"/>
            </w:tcBorders>
          </w:tcPr>
          <w:p w14:paraId="6A332C1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3.075</w:t>
            </w:r>
          </w:p>
        </w:tc>
        <w:tc>
          <w:tcPr>
            <w:tcW w:w="1200" w:type="dxa"/>
            <w:tcBorders>
              <w:top w:val="nil"/>
              <w:left w:val="nil"/>
              <w:bottom w:val="nil"/>
              <w:right w:val="nil"/>
            </w:tcBorders>
          </w:tcPr>
          <w:p w14:paraId="4830561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.314</w:t>
            </w:r>
          </w:p>
        </w:tc>
        <w:tc>
          <w:tcPr>
            <w:tcW w:w="850" w:type="dxa"/>
            <w:gridSpan w:val="2"/>
            <w:tcBorders>
              <w:top w:val="nil"/>
              <w:left w:val="nil"/>
              <w:bottom w:val="nil"/>
              <w:right w:val="nil"/>
            </w:tcBorders>
          </w:tcPr>
          <w:p w14:paraId="0163660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9.80</w:t>
            </w:r>
          </w:p>
        </w:tc>
        <w:tc>
          <w:tcPr>
            <w:tcW w:w="900" w:type="dxa"/>
            <w:tcBorders>
              <w:top w:val="nil"/>
              <w:left w:val="nil"/>
              <w:bottom w:val="nil"/>
              <w:right w:val="nil"/>
            </w:tcBorders>
          </w:tcPr>
          <w:p w14:paraId="5D4D104D" w14:textId="22D89157" w:rsidR="00FF10C1" w:rsidRPr="000551DE" w:rsidRDefault="00BA41FC"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w:t>
            </w:r>
            <w:r w:rsidR="00FF10C1" w:rsidRPr="000551DE">
              <w:rPr>
                <w:rFonts w:ascii="Georgia" w:hAnsi="Georgia"/>
                <w:kern w:val="0"/>
                <w:sz w:val="20"/>
                <w:szCs w:val="20"/>
                <w:lang w:val="en-US"/>
              </w:rPr>
              <w:t>0</w:t>
            </w:r>
          </w:p>
        </w:tc>
        <w:tc>
          <w:tcPr>
            <w:tcW w:w="1200" w:type="dxa"/>
            <w:gridSpan w:val="2"/>
            <w:tcBorders>
              <w:top w:val="nil"/>
              <w:left w:val="nil"/>
              <w:bottom w:val="nil"/>
              <w:right w:val="nil"/>
            </w:tcBorders>
          </w:tcPr>
          <w:p w14:paraId="70772EF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2.457</w:t>
            </w:r>
          </w:p>
        </w:tc>
        <w:tc>
          <w:tcPr>
            <w:tcW w:w="1200" w:type="dxa"/>
            <w:gridSpan w:val="2"/>
            <w:tcBorders>
              <w:top w:val="nil"/>
              <w:left w:val="nil"/>
              <w:bottom w:val="nil"/>
              <w:right w:val="nil"/>
            </w:tcBorders>
          </w:tcPr>
          <w:p w14:paraId="2750B81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3.693</w:t>
            </w:r>
          </w:p>
        </w:tc>
        <w:tc>
          <w:tcPr>
            <w:tcW w:w="600" w:type="dxa"/>
            <w:tcBorders>
              <w:top w:val="nil"/>
              <w:left w:val="nil"/>
              <w:bottom w:val="nil"/>
              <w:right w:val="nil"/>
            </w:tcBorders>
          </w:tcPr>
          <w:p w14:paraId="5EB3B4A8"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27E60783" w14:textId="77777777" w:rsidTr="008C7C00">
        <w:tc>
          <w:tcPr>
            <w:tcW w:w="8858" w:type="dxa"/>
            <w:gridSpan w:val="12"/>
            <w:tcBorders>
              <w:top w:val="nil"/>
              <w:left w:val="nil"/>
              <w:bottom w:val="single" w:sz="4" w:space="0" w:color="auto"/>
              <w:right w:val="nil"/>
            </w:tcBorders>
          </w:tcPr>
          <w:p w14:paraId="6FD05F54"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p>
        </w:tc>
      </w:tr>
      <w:tr w:rsidR="00FF10C1" w:rsidRPr="000551DE" w14:paraId="42436215" w14:textId="77777777" w:rsidTr="008C7C00">
        <w:trPr>
          <w:gridAfter w:val="2"/>
          <w:wAfter w:w="650" w:type="dxa"/>
        </w:trPr>
        <w:tc>
          <w:tcPr>
            <w:tcW w:w="2408" w:type="dxa"/>
            <w:gridSpan w:val="2"/>
            <w:tcBorders>
              <w:top w:val="nil"/>
              <w:left w:val="nil"/>
              <w:bottom w:val="nil"/>
              <w:right w:val="nil"/>
            </w:tcBorders>
          </w:tcPr>
          <w:p w14:paraId="3EBAF8F1"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Mean dependent var</w:t>
            </w:r>
          </w:p>
        </w:tc>
        <w:tc>
          <w:tcPr>
            <w:tcW w:w="1750" w:type="dxa"/>
            <w:gridSpan w:val="3"/>
            <w:tcBorders>
              <w:top w:val="nil"/>
              <w:left w:val="nil"/>
              <w:bottom w:val="nil"/>
              <w:right w:val="nil"/>
            </w:tcBorders>
          </w:tcPr>
          <w:p w14:paraId="25ED12EA"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3.602</w:t>
            </w:r>
          </w:p>
        </w:tc>
        <w:tc>
          <w:tcPr>
            <w:tcW w:w="2300" w:type="dxa"/>
            <w:gridSpan w:val="3"/>
            <w:tcBorders>
              <w:top w:val="nil"/>
              <w:left w:val="nil"/>
              <w:bottom w:val="nil"/>
              <w:right w:val="nil"/>
            </w:tcBorders>
          </w:tcPr>
          <w:p w14:paraId="12FB5AED"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SD dependent var </w:t>
            </w:r>
          </w:p>
        </w:tc>
        <w:tc>
          <w:tcPr>
            <w:tcW w:w="1750" w:type="dxa"/>
            <w:gridSpan w:val="2"/>
            <w:tcBorders>
              <w:top w:val="nil"/>
              <w:left w:val="nil"/>
              <w:bottom w:val="nil"/>
              <w:right w:val="nil"/>
            </w:tcBorders>
          </w:tcPr>
          <w:p w14:paraId="4FDBE740"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0.482</w:t>
            </w:r>
          </w:p>
        </w:tc>
      </w:tr>
      <w:tr w:rsidR="00FF10C1" w:rsidRPr="000551DE" w14:paraId="3BF002D0" w14:textId="77777777" w:rsidTr="008C7C00">
        <w:trPr>
          <w:gridAfter w:val="2"/>
          <w:wAfter w:w="650" w:type="dxa"/>
        </w:trPr>
        <w:tc>
          <w:tcPr>
            <w:tcW w:w="2408" w:type="dxa"/>
            <w:gridSpan w:val="2"/>
            <w:tcBorders>
              <w:top w:val="nil"/>
              <w:left w:val="nil"/>
              <w:bottom w:val="nil"/>
              <w:right w:val="nil"/>
            </w:tcBorders>
          </w:tcPr>
          <w:p w14:paraId="2E16A5AF"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R-squared </w:t>
            </w:r>
          </w:p>
        </w:tc>
        <w:tc>
          <w:tcPr>
            <w:tcW w:w="1750" w:type="dxa"/>
            <w:gridSpan w:val="3"/>
            <w:tcBorders>
              <w:top w:val="nil"/>
              <w:left w:val="nil"/>
              <w:bottom w:val="nil"/>
              <w:right w:val="nil"/>
            </w:tcBorders>
          </w:tcPr>
          <w:p w14:paraId="35DEED30"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0.527</w:t>
            </w:r>
          </w:p>
        </w:tc>
        <w:tc>
          <w:tcPr>
            <w:tcW w:w="2300" w:type="dxa"/>
            <w:gridSpan w:val="3"/>
            <w:tcBorders>
              <w:top w:val="nil"/>
              <w:left w:val="nil"/>
              <w:bottom w:val="nil"/>
              <w:right w:val="nil"/>
            </w:tcBorders>
          </w:tcPr>
          <w:p w14:paraId="443E1045"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Number of </w:t>
            </w:r>
            <w:proofErr w:type="spellStart"/>
            <w:r w:rsidRPr="000551DE">
              <w:rPr>
                <w:rFonts w:ascii="Georgia" w:hAnsi="Georgia"/>
                <w:kern w:val="0"/>
                <w:sz w:val="20"/>
                <w:szCs w:val="20"/>
                <w:lang w:val="en-US"/>
              </w:rPr>
              <w:t>obs</w:t>
            </w:r>
            <w:proofErr w:type="spellEnd"/>
            <w:r w:rsidRPr="000551DE">
              <w:rPr>
                <w:rFonts w:ascii="Georgia" w:hAnsi="Georgia"/>
                <w:kern w:val="0"/>
                <w:sz w:val="20"/>
                <w:szCs w:val="20"/>
                <w:lang w:val="en-US"/>
              </w:rPr>
              <w:t xml:space="preserve">  </w:t>
            </w:r>
          </w:p>
        </w:tc>
        <w:tc>
          <w:tcPr>
            <w:tcW w:w="1750" w:type="dxa"/>
            <w:gridSpan w:val="2"/>
            <w:tcBorders>
              <w:top w:val="nil"/>
              <w:left w:val="nil"/>
              <w:bottom w:val="nil"/>
              <w:right w:val="nil"/>
            </w:tcBorders>
          </w:tcPr>
          <w:p w14:paraId="1C030BFF"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272</w:t>
            </w:r>
          </w:p>
        </w:tc>
      </w:tr>
      <w:tr w:rsidR="00FF10C1" w:rsidRPr="000551DE" w14:paraId="5B1981F9" w14:textId="77777777" w:rsidTr="008C7C00">
        <w:trPr>
          <w:gridAfter w:val="2"/>
          <w:wAfter w:w="650" w:type="dxa"/>
        </w:trPr>
        <w:tc>
          <w:tcPr>
            <w:tcW w:w="2408" w:type="dxa"/>
            <w:gridSpan w:val="2"/>
            <w:tcBorders>
              <w:top w:val="nil"/>
              <w:left w:val="nil"/>
              <w:bottom w:val="nil"/>
              <w:right w:val="nil"/>
            </w:tcBorders>
          </w:tcPr>
          <w:p w14:paraId="01A8C2DA"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F-test  </w:t>
            </w:r>
          </w:p>
        </w:tc>
        <w:tc>
          <w:tcPr>
            <w:tcW w:w="1750" w:type="dxa"/>
            <w:gridSpan w:val="3"/>
            <w:tcBorders>
              <w:top w:val="nil"/>
              <w:left w:val="nil"/>
              <w:bottom w:val="nil"/>
              <w:right w:val="nil"/>
            </w:tcBorders>
          </w:tcPr>
          <w:p w14:paraId="4247DE24"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32.382</w:t>
            </w:r>
          </w:p>
        </w:tc>
        <w:tc>
          <w:tcPr>
            <w:tcW w:w="2300" w:type="dxa"/>
            <w:gridSpan w:val="3"/>
            <w:tcBorders>
              <w:top w:val="nil"/>
              <w:left w:val="nil"/>
              <w:bottom w:val="nil"/>
              <w:right w:val="nil"/>
            </w:tcBorders>
          </w:tcPr>
          <w:p w14:paraId="5A21E6B7"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Prob &gt; F </w:t>
            </w:r>
          </w:p>
        </w:tc>
        <w:tc>
          <w:tcPr>
            <w:tcW w:w="1750" w:type="dxa"/>
            <w:gridSpan w:val="2"/>
            <w:tcBorders>
              <w:top w:val="nil"/>
              <w:left w:val="nil"/>
              <w:bottom w:val="nil"/>
              <w:right w:val="nil"/>
            </w:tcBorders>
          </w:tcPr>
          <w:p w14:paraId="619CE567"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0.000</w:t>
            </w:r>
          </w:p>
        </w:tc>
      </w:tr>
      <w:tr w:rsidR="00FF10C1" w:rsidRPr="000551DE" w14:paraId="65BB8778" w14:textId="77777777" w:rsidTr="008C7C00">
        <w:trPr>
          <w:gridAfter w:val="2"/>
          <w:wAfter w:w="650" w:type="dxa"/>
        </w:trPr>
        <w:tc>
          <w:tcPr>
            <w:tcW w:w="2408" w:type="dxa"/>
            <w:gridSpan w:val="2"/>
            <w:tcBorders>
              <w:top w:val="nil"/>
              <w:left w:val="nil"/>
              <w:bottom w:val="nil"/>
              <w:right w:val="nil"/>
            </w:tcBorders>
          </w:tcPr>
          <w:p w14:paraId="7C9C1A53"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Akaike crit. (AIC)</w:t>
            </w:r>
          </w:p>
        </w:tc>
        <w:tc>
          <w:tcPr>
            <w:tcW w:w="1750" w:type="dxa"/>
            <w:gridSpan w:val="3"/>
            <w:tcBorders>
              <w:top w:val="nil"/>
              <w:left w:val="nil"/>
              <w:bottom w:val="nil"/>
              <w:right w:val="nil"/>
            </w:tcBorders>
          </w:tcPr>
          <w:p w14:paraId="0BAADF70"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190.255</w:t>
            </w:r>
          </w:p>
        </w:tc>
        <w:tc>
          <w:tcPr>
            <w:tcW w:w="2300" w:type="dxa"/>
            <w:gridSpan w:val="3"/>
            <w:tcBorders>
              <w:top w:val="nil"/>
              <w:left w:val="nil"/>
              <w:bottom w:val="nil"/>
              <w:right w:val="nil"/>
            </w:tcBorders>
          </w:tcPr>
          <w:p w14:paraId="354A73C6"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Bayesian crit. (BIC)</w:t>
            </w:r>
          </w:p>
        </w:tc>
        <w:tc>
          <w:tcPr>
            <w:tcW w:w="1750" w:type="dxa"/>
            <w:gridSpan w:val="2"/>
            <w:tcBorders>
              <w:top w:val="nil"/>
              <w:left w:val="nil"/>
              <w:bottom w:val="nil"/>
              <w:right w:val="nil"/>
            </w:tcBorders>
          </w:tcPr>
          <w:p w14:paraId="04485397"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226.313</w:t>
            </w:r>
          </w:p>
        </w:tc>
      </w:tr>
      <w:tr w:rsidR="00FF10C1" w:rsidRPr="000551DE" w14:paraId="161025E7" w14:textId="77777777" w:rsidTr="008C7C00">
        <w:tc>
          <w:tcPr>
            <w:tcW w:w="8858" w:type="dxa"/>
            <w:gridSpan w:val="12"/>
            <w:tcBorders>
              <w:top w:val="single" w:sz="6" w:space="0" w:color="auto"/>
              <w:left w:val="nil"/>
              <w:bottom w:val="nil"/>
              <w:right w:val="nil"/>
            </w:tcBorders>
          </w:tcPr>
          <w:p w14:paraId="6648E899"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i/>
                <w:iCs/>
                <w:kern w:val="0"/>
                <w:sz w:val="20"/>
                <w:szCs w:val="20"/>
                <w:lang w:val="en-US"/>
              </w:rPr>
              <w:t>*** p&lt;.01, ** p&lt;.05, * p&lt;.1</w:t>
            </w:r>
          </w:p>
        </w:tc>
      </w:tr>
      <w:tr w:rsidR="00FF10C1" w:rsidRPr="000551DE" w14:paraId="5BEB7BDE" w14:textId="77777777" w:rsidTr="008C7C00">
        <w:tc>
          <w:tcPr>
            <w:tcW w:w="8858" w:type="dxa"/>
            <w:gridSpan w:val="12"/>
            <w:tcBorders>
              <w:top w:val="nil"/>
              <w:left w:val="nil"/>
              <w:bottom w:val="nil"/>
              <w:right w:val="nil"/>
            </w:tcBorders>
          </w:tcPr>
          <w:p w14:paraId="048ACD1D"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p>
        </w:tc>
      </w:tr>
    </w:tbl>
    <w:p w14:paraId="42DBB1CE" w14:textId="77777777" w:rsidR="00E30872" w:rsidRPr="000551DE" w:rsidRDefault="00E30872" w:rsidP="000551DE">
      <w:pPr>
        <w:spacing w:line="240" w:lineRule="auto"/>
        <w:rPr>
          <w:rFonts w:ascii="Georgia" w:hAnsi="Georgia"/>
          <w:i/>
          <w:iCs/>
          <w:sz w:val="20"/>
          <w:szCs w:val="20"/>
        </w:rPr>
      </w:pPr>
      <w:r w:rsidRPr="000551DE">
        <w:rPr>
          <w:rFonts w:ascii="Georgia" w:hAnsi="Georgia"/>
          <w:i/>
          <w:iCs/>
          <w:sz w:val="20"/>
          <w:szCs w:val="20"/>
        </w:rPr>
        <w:t xml:space="preserve">Source: Authors’ computation </w:t>
      </w:r>
    </w:p>
    <w:p w14:paraId="5F6D36A1" w14:textId="760A4C77" w:rsidR="00687E63" w:rsidRPr="00554025" w:rsidRDefault="00687E63" w:rsidP="00DE1C34">
      <w:pPr>
        <w:pStyle w:val="Heading1"/>
        <w:numPr>
          <w:ilvl w:val="0"/>
          <w:numId w:val="21"/>
        </w:numPr>
        <w:spacing w:before="120" w:line="240" w:lineRule="auto"/>
        <w:jc w:val="both"/>
        <w:rPr>
          <w:rFonts w:ascii="Georgia" w:hAnsi="Georgia"/>
          <w:b/>
          <w:bCs/>
          <w:color w:val="auto"/>
          <w:sz w:val="24"/>
          <w:szCs w:val="24"/>
        </w:rPr>
      </w:pPr>
      <w:r w:rsidRPr="00554025">
        <w:rPr>
          <w:rFonts w:ascii="Georgia" w:hAnsi="Georgia"/>
          <w:b/>
          <w:bCs/>
          <w:color w:val="auto"/>
          <w:sz w:val="24"/>
          <w:szCs w:val="24"/>
        </w:rPr>
        <w:t xml:space="preserve">Conclusions and recommendations   </w:t>
      </w:r>
    </w:p>
    <w:p w14:paraId="7BD5B2B3" w14:textId="57E3E466" w:rsidR="00687E63" w:rsidRDefault="00687E63" w:rsidP="00513CA4">
      <w:pPr>
        <w:spacing w:before="120" w:after="0" w:line="240" w:lineRule="auto"/>
        <w:jc w:val="both"/>
        <w:rPr>
          <w:rFonts w:ascii="Georgia" w:hAnsi="Georgia"/>
          <w:sz w:val="24"/>
          <w:szCs w:val="24"/>
        </w:rPr>
      </w:pPr>
      <w:r w:rsidRPr="00E719AD">
        <w:rPr>
          <w:rFonts w:ascii="Georgia" w:hAnsi="Georgia"/>
          <w:sz w:val="24"/>
          <w:szCs w:val="24"/>
        </w:rPr>
        <w:t xml:space="preserve">The objective of this study was to examine how credit risk </w:t>
      </w:r>
      <w:r w:rsidR="00A96A06">
        <w:rPr>
          <w:rFonts w:ascii="Georgia" w:hAnsi="Georgia"/>
          <w:sz w:val="24"/>
          <w:szCs w:val="24"/>
        </w:rPr>
        <w:t>identification</w:t>
      </w:r>
      <w:r w:rsidR="00525BD3">
        <w:rPr>
          <w:rFonts w:ascii="Georgia" w:hAnsi="Georgia"/>
          <w:sz w:val="24"/>
          <w:szCs w:val="24"/>
        </w:rPr>
        <w:t xml:space="preserve"> </w:t>
      </w:r>
      <w:r w:rsidRPr="00E719AD">
        <w:rPr>
          <w:rFonts w:ascii="Georgia" w:hAnsi="Georgia"/>
          <w:sz w:val="24"/>
          <w:szCs w:val="24"/>
        </w:rPr>
        <w:t>affect</w:t>
      </w:r>
      <w:r w:rsidR="00525BD3">
        <w:rPr>
          <w:rFonts w:ascii="Georgia" w:hAnsi="Georgia"/>
          <w:sz w:val="24"/>
          <w:szCs w:val="24"/>
        </w:rPr>
        <w:t xml:space="preserve">s </w:t>
      </w:r>
      <w:r w:rsidR="00892310">
        <w:rPr>
          <w:rFonts w:ascii="Georgia" w:hAnsi="Georgia"/>
          <w:sz w:val="24"/>
          <w:szCs w:val="24"/>
        </w:rPr>
        <w:t xml:space="preserve">the </w:t>
      </w:r>
      <w:r w:rsidR="00525BD3">
        <w:rPr>
          <w:rFonts w:ascii="Georgia" w:hAnsi="Georgia"/>
          <w:sz w:val="24"/>
          <w:szCs w:val="24"/>
        </w:rPr>
        <w:t xml:space="preserve">lending performance of </w:t>
      </w:r>
      <w:r w:rsidRPr="00E719AD">
        <w:rPr>
          <w:rFonts w:ascii="Georgia" w:hAnsi="Georgia"/>
          <w:sz w:val="24"/>
          <w:szCs w:val="24"/>
        </w:rPr>
        <w:t xml:space="preserve">Kenyan commercial </w:t>
      </w:r>
      <w:r w:rsidR="00892310">
        <w:rPr>
          <w:rFonts w:ascii="Georgia" w:hAnsi="Georgia"/>
          <w:sz w:val="24"/>
          <w:szCs w:val="24"/>
        </w:rPr>
        <w:t>banks</w:t>
      </w:r>
      <w:r w:rsidRPr="00E719AD">
        <w:rPr>
          <w:rFonts w:ascii="Georgia" w:hAnsi="Georgia"/>
          <w:sz w:val="24"/>
          <w:szCs w:val="24"/>
        </w:rPr>
        <w:t xml:space="preserve">.  The study found that credit risk </w:t>
      </w:r>
      <w:r w:rsidR="00892310">
        <w:rPr>
          <w:rFonts w:ascii="Georgia" w:hAnsi="Georgia"/>
          <w:sz w:val="24"/>
          <w:szCs w:val="24"/>
        </w:rPr>
        <w:t xml:space="preserve">identification </w:t>
      </w:r>
      <w:r w:rsidRPr="00E719AD">
        <w:rPr>
          <w:rFonts w:ascii="Georgia" w:hAnsi="Georgia"/>
          <w:sz w:val="24"/>
          <w:szCs w:val="24"/>
        </w:rPr>
        <w:t xml:space="preserve">had a statistically significant effect on lending performance. </w:t>
      </w:r>
      <w:r w:rsidR="00C444F3">
        <w:rPr>
          <w:rFonts w:ascii="Georgia" w:hAnsi="Georgia"/>
          <w:sz w:val="24"/>
          <w:szCs w:val="24"/>
        </w:rPr>
        <w:t>This</w:t>
      </w:r>
      <w:r w:rsidRPr="00E719AD">
        <w:rPr>
          <w:rFonts w:ascii="Georgia" w:hAnsi="Georgia"/>
          <w:sz w:val="24"/>
          <w:szCs w:val="24"/>
        </w:rPr>
        <w:t xml:space="preserve"> include</w:t>
      </w:r>
      <w:r w:rsidR="00C444F3">
        <w:rPr>
          <w:rFonts w:ascii="Georgia" w:hAnsi="Georgia"/>
          <w:sz w:val="24"/>
          <w:szCs w:val="24"/>
        </w:rPr>
        <w:t>s</w:t>
      </w:r>
      <w:r w:rsidRPr="00E719AD">
        <w:rPr>
          <w:rFonts w:ascii="Georgia" w:hAnsi="Georgia"/>
          <w:sz w:val="24"/>
          <w:szCs w:val="24"/>
        </w:rPr>
        <w:t xml:space="preserve"> how </w:t>
      </w:r>
      <w:r w:rsidR="00532406">
        <w:rPr>
          <w:rFonts w:ascii="Georgia" w:hAnsi="Georgia"/>
          <w:sz w:val="24"/>
          <w:szCs w:val="24"/>
        </w:rPr>
        <w:t xml:space="preserve">commercial banks </w:t>
      </w:r>
      <w:r w:rsidR="00E51A0E">
        <w:rPr>
          <w:rFonts w:ascii="Georgia" w:hAnsi="Georgia"/>
          <w:sz w:val="24"/>
          <w:szCs w:val="24"/>
        </w:rPr>
        <w:t>put</w:t>
      </w:r>
      <w:r w:rsidR="00532406">
        <w:rPr>
          <w:rFonts w:ascii="Georgia" w:hAnsi="Georgia"/>
          <w:sz w:val="24"/>
          <w:szCs w:val="24"/>
        </w:rPr>
        <w:t xml:space="preserve"> in place </w:t>
      </w:r>
      <w:r w:rsidR="00DE4B85">
        <w:rPr>
          <w:rFonts w:ascii="Georgia" w:hAnsi="Georgia"/>
          <w:sz w:val="24"/>
          <w:szCs w:val="24"/>
        </w:rPr>
        <w:t>systems</w:t>
      </w:r>
      <w:r w:rsidR="00532406">
        <w:rPr>
          <w:rFonts w:ascii="Georgia" w:hAnsi="Georgia"/>
          <w:sz w:val="24"/>
          <w:szCs w:val="24"/>
        </w:rPr>
        <w:t xml:space="preserve"> to support credit risk identification, entry into new credi</w:t>
      </w:r>
      <w:r w:rsidR="00DE4B85">
        <w:rPr>
          <w:rFonts w:ascii="Georgia" w:hAnsi="Georgia"/>
          <w:sz w:val="24"/>
          <w:szCs w:val="24"/>
        </w:rPr>
        <w:t xml:space="preserve">t </w:t>
      </w:r>
      <w:r w:rsidR="00532406">
        <w:rPr>
          <w:rFonts w:ascii="Georgia" w:hAnsi="Georgia"/>
          <w:sz w:val="24"/>
          <w:szCs w:val="24"/>
        </w:rPr>
        <w:t>markets</w:t>
      </w:r>
      <w:r w:rsidR="00E51A0E">
        <w:rPr>
          <w:rFonts w:ascii="Georgia" w:hAnsi="Georgia"/>
          <w:sz w:val="24"/>
          <w:szCs w:val="24"/>
        </w:rPr>
        <w:t xml:space="preserve"> by the banks</w:t>
      </w:r>
      <w:r w:rsidR="00532406">
        <w:rPr>
          <w:rFonts w:ascii="Georgia" w:hAnsi="Georgia"/>
          <w:sz w:val="24"/>
          <w:szCs w:val="24"/>
        </w:rPr>
        <w:t>,</w:t>
      </w:r>
      <w:r w:rsidR="00111B65">
        <w:rPr>
          <w:rFonts w:ascii="Georgia" w:hAnsi="Georgia"/>
          <w:sz w:val="24"/>
          <w:szCs w:val="24"/>
        </w:rPr>
        <w:t xml:space="preserve"> and the quality of </w:t>
      </w:r>
      <w:r w:rsidR="00E51A0E">
        <w:rPr>
          <w:rFonts w:ascii="Georgia" w:hAnsi="Georgia"/>
          <w:sz w:val="24"/>
          <w:szCs w:val="24"/>
        </w:rPr>
        <w:t xml:space="preserve">lending decisions </w:t>
      </w:r>
      <w:r w:rsidR="00111B65">
        <w:rPr>
          <w:rFonts w:ascii="Georgia" w:hAnsi="Georgia"/>
          <w:sz w:val="24"/>
          <w:szCs w:val="24"/>
        </w:rPr>
        <w:t xml:space="preserve">made </w:t>
      </w:r>
      <w:r w:rsidR="00E51A0E">
        <w:rPr>
          <w:rFonts w:ascii="Georgia" w:hAnsi="Georgia"/>
          <w:sz w:val="24"/>
          <w:szCs w:val="24"/>
        </w:rPr>
        <w:t>by the banks</w:t>
      </w:r>
      <w:r w:rsidR="00111B65">
        <w:rPr>
          <w:rFonts w:ascii="Georgia" w:hAnsi="Georgia"/>
          <w:sz w:val="24"/>
          <w:szCs w:val="24"/>
        </w:rPr>
        <w:t xml:space="preserve"> to grant credit</w:t>
      </w:r>
      <w:r w:rsidRPr="00E719AD">
        <w:rPr>
          <w:rFonts w:ascii="Georgia" w:hAnsi="Georgia"/>
          <w:sz w:val="24"/>
          <w:szCs w:val="24"/>
        </w:rPr>
        <w:t xml:space="preserve">. We conclude </w:t>
      </w:r>
      <w:r w:rsidR="0008027C">
        <w:rPr>
          <w:rFonts w:ascii="Georgia" w:hAnsi="Georgia"/>
          <w:sz w:val="24"/>
          <w:szCs w:val="24"/>
        </w:rPr>
        <w:t xml:space="preserve">that having clear internal guidelines on how risk identification is conducted </w:t>
      </w:r>
      <w:r w:rsidR="00CE65F3">
        <w:rPr>
          <w:rFonts w:ascii="Georgia" w:hAnsi="Georgia"/>
          <w:sz w:val="24"/>
          <w:szCs w:val="24"/>
        </w:rPr>
        <w:t xml:space="preserve">before </w:t>
      </w:r>
      <w:r w:rsidR="00C444F3">
        <w:rPr>
          <w:rFonts w:ascii="Georgia" w:hAnsi="Georgia"/>
          <w:sz w:val="24"/>
          <w:szCs w:val="24"/>
        </w:rPr>
        <w:t>lending approvals</w:t>
      </w:r>
      <w:r w:rsidR="00CE65F3">
        <w:rPr>
          <w:rFonts w:ascii="Georgia" w:hAnsi="Georgia"/>
          <w:sz w:val="24"/>
          <w:szCs w:val="24"/>
        </w:rPr>
        <w:t xml:space="preserve"> </w:t>
      </w:r>
      <w:r w:rsidRPr="00E719AD">
        <w:rPr>
          <w:rFonts w:ascii="Georgia" w:hAnsi="Georgia"/>
          <w:sz w:val="24"/>
          <w:szCs w:val="24"/>
        </w:rPr>
        <w:t xml:space="preserve">is critical. </w:t>
      </w:r>
      <w:r w:rsidR="00C444F3">
        <w:rPr>
          <w:rFonts w:ascii="Georgia" w:hAnsi="Georgia"/>
          <w:sz w:val="24"/>
          <w:szCs w:val="24"/>
        </w:rPr>
        <w:t>There is evidence</w:t>
      </w:r>
      <w:r w:rsidRPr="00E719AD">
        <w:rPr>
          <w:rFonts w:ascii="Georgia" w:hAnsi="Georgia"/>
          <w:sz w:val="24"/>
          <w:szCs w:val="24"/>
        </w:rPr>
        <w:t xml:space="preserve"> </w:t>
      </w:r>
      <w:r w:rsidR="00D42DC2">
        <w:rPr>
          <w:rFonts w:ascii="Georgia" w:hAnsi="Georgia"/>
          <w:sz w:val="24"/>
          <w:szCs w:val="24"/>
        </w:rPr>
        <w:t>that</w:t>
      </w:r>
      <w:r w:rsidR="001A5A8F">
        <w:rPr>
          <w:rFonts w:ascii="Georgia" w:hAnsi="Georgia"/>
          <w:sz w:val="24"/>
          <w:szCs w:val="24"/>
        </w:rPr>
        <w:t xml:space="preserve"> years of experience in lending </w:t>
      </w:r>
      <w:r w:rsidR="002B4648">
        <w:rPr>
          <w:rFonts w:ascii="Georgia" w:hAnsi="Georgia"/>
          <w:sz w:val="24"/>
          <w:szCs w:val="24"/>
        </w:rPr>
        <w:t>by</w:t>
      </w:r>
      <w:r w:rsidR="001A5A8F">
        <w:rPr>
          <w:rFonts w:ascii="Georgia" w:hAnsi="Georgia"/>
          <w:sz w:val="24"/>
          <w:szCs w:val="24"/>
        </w:rPr>
        <w:t xml:space="preserve"> credit officers is paramount </w:t>
      </w:r>
      <w:r w:rsidR="00B60020">
        <w:rPr>
          <w:rFonts w:ascii="Georgia" w:hAnsi="Georgia"/>
          <w:sz w:val="24"/>
          <w:szCs w:val="24"/>
        </w:rPr>
        <w:t xml:space="preserve">as experience builds capacity in the </w:t>
      </w:r>
      <w:r w:rsidR="00366CB5">
        <w:rPr>
          <w:rFonts w:ascii="Georgia" w:hAnsi="Georgia"/>
          <w:sz w:val="24"/>
          <w:szCs w:val="24"/>
        </w:rPr>
        <w:t xml:space="preserve">field of lending. </w:t>
      </w:r>
      <w:r w:rsidRPr="00E719AD">
        <w:rPr>
          <w:rFonts w:ascii="Georgia" w:hAnsi="Georgia"/>
          <w:sz w:val="24"/>
          <w:szCs w:val="24"/>
        </w:rPr>
        <w:t xml:space="preserve"> </w:t>
      </w:r>
      <w:r w:rsidR="002B4648">
        <w:rPr>
          <w:rFonts w:ascii="Georgia" w:hAnsi="Georgia"/>
          <w:sz w:val="24"/>
          <w:szCs w:val="24"/>
        </w:rPr>
        <w:t>Lastly</w:t>
      </w:r>
      <w:r w:rsidRPr="00E719AD">
        <w:rPr>
          <w:rFonts w:ascii="Georgia" w:hAnsi="Georgia"/>
          <w:sz w:val="24"/>
          <w:szCs w:val="24"/>
        </w:rPr>
        <w:t xml:space="preserve">, education </w:t>
      </w:r>
      <w:r w:rsidR="00550F33">
        <w:rPr>
          <w:rFonts w:ascii="Georgia" w:hAnsi="Georgia"/>
          <w:sz w:val="24"/>
          <w:szCs w:val="24"/>
        </w:rPr>
        <w:t xml:space="preserve">is an </w:t>
      </w:r>
      <w:r w:rsidRPr="00E719AD">
        <w:rPr>
          <w:rFonts w:ascii="Georgia" w:hAnsi="Georgia"/>
          <w:sz w:val="24"/>
          <w:szCs w:val="24"/>
        </w:rPr>
        <w:t xml:space="preserve">important factor that </w:t>
      </w:r>
      <w:r w:rsidR="00550F33">
        <w:rPr>
          <w:rFonts w:ascii="Georgia" w:hAnsi="Georgia"/>
          <w:sz w:val="24"/>
          <w:szCs w:val="24"/>
        </w:rPr>
        <w:t>has</w:t>
      </w:r>
      <w:r w:rsidRPr="00E719AD">
        <w:rPr>
          <w:rFonts w:ascii="Georgia" w:hAnsi="Georgia"/>
          <w:sz w:val="24"/>
          <w:szCs w:val="24"/>
        </w:rPr>
        <w:t xml:space="preserve"> been statistically proven to influence lending performance. This is especially important for employees in the credit department because it reflects their ability to practically implement all credit risk </w:t>
      </w:r>
      <w:r w:rsidR="00C444F3">
        <w:rPr>
          <w:rFonts w:ascii="Georgia" w:hAnsi="Georgia"/>
          <w:sz w:val="24"/>
          <w:szCs w:val="24"/>
        </w:rPr>
        <w:t>identification</w:t>
      </w:r>
      <w:r w:rsidRPr="00E719AD">
        <w:rPr>
          <w:rFonts w:ascii="Georgia" w:hAnsi="Georgia"/>
          <w:sz w:val="24"/>
          <w:szCs w:val="24"/>
        </w:rPr>
        <w:t xml:space="preserve"> practices and, as a result, improve the bank's lending performance.</w:t>
      </w:r>
    </w:p>
    <w:p w14:paraId="701BBD78" w14:textId="77777777" w:rsidR="007839F6" w:rsidRDefault="007839F6" w:rsidP="00513CA4">
      <w:pPr>
        <w:spacing w:before="120" w:after="0" w:line="240" w:lineRule="auto"/>
        <w:jc w:val="both"/>
        <w:rPr>
          <w:rFonts w:ascii="Georgia" w:hAnsi="Georgia"/>
          <w:sz w:val="24"/>
          <w:szCs w:val="24"/>
        </w:rPr>
      </w:pPr>
    </w:p>
    <w:p w14:paraId="7989AD94" w14:textId="77777777" w:rsidR="007839F6" w:rsidRPr="007839F6" w:rsidRDefault="007839F6" w:rsidP="007839F6">
      <w:pPr>
        <w:spacing w:before="120" w:after="0" w:line="240" w:lineRule="auto"/>
        <w:jc w:val="both"/>
        <w:rPr>
          <w:rFonts w:ascii="Georgia" w:hAnsi="Georgia"/>
          <w:sz w:val="24"/>
          <w:szCs w:val="24"/>
        </w:rPr>
      </w:pPr>
      <w:r w:rsidRPr="007839F6">
        <w:rPr>
          <w:rFonts w:ascii="Georgia" w:hAnsi="Georgia"/>
          <w:sz w:val="24"/>
          <w:szCs w:val="24"/>
        </w:rPr>
        <w:t>COMPETING INTERESTS DISCLAIMER:</w:t>
      </w:r>
    </w:p>
    <w:p w14:paraId="31D5076B" w14:textId="77777777" w:rsidR="007839F6" w:rsidRPr="007839F6" w:rsidRDefault="007839F6" w:rsidP="007839F6">
      <w:pPr>
        <w:spacing w:before="120" w:after="0" w:line="240" w:lineRule="auto"/>
        <w:jc w:val="both"/>
        <w:rPr>
          <w:rFonts w:ascii="Georgia" w:hAnsi="Georgia"/>
          <w:sz w:val="24"/>
          <w:szCs w:val="24"/>
        </w:rPr>
      </w:pPr>
      <w:r w:rsidRPr="007839F6">
        <w:rPr>
          <w:rFonts w:ascii="Georgia" w:hAnsi="Georgia"/>
          <w:sz w:val="24"/>
          <w:szCs w:val="24"/>
        </w:rPr>
        <w:t>Authors have declared that they have no known competing financial interests OR non-financial interests OR personal relationships that could have appeared to influence the work reported in this paper.</w:t>
      </w:r>
    </w:p>
    <w:p w14:paraId="548A6910" w14:textId="77777777" w:rsidR="007839F6" w:rsidRPr="007839F6" w:rsidRDefault="007839F6" w:rsidP="007839F6">
      <w:pPr>
        <w:spacing w:before="120" w:after="0" w:line="240" w:lineRule="auto"/>
        <w:jc w:val="both"/>
        <w:rPr>
          <w:rFonts w:ascii="Georgia" w:hAnsi="Georgia"/>
          <w:sz w:val="24"/>
          <w:szCs w:val="24"/>
        </w:rPr>
      </w:pPr>
    </w:p>
    <w:p w14:paraId="10D4054F" w14:textId="77777777" w:rsidR="007839F6" w:rsidRPr="00E719AD" w:rsidRDefault="007839F6" w:rsidP="00513CA4">
      <w:pPr>
        <w:spacing w:before="120" w:after="0" w:line="240" w:lineRule="auto"/>
        <w:jc w:val="both"/>
        <w:rPr>
          <w:rFonts w:ascii="Georgia" w:hAnsi="Georgia"/>
          <w:sz w:val="24"/>
          <w:szCs w:val="24"/>
        </w:rPr>
      </w:pPr>
    </w:p>
    <w:p w14:paraId="2D7CC47E" w14:textId="77777777" w:rsidR="00687E63" w:rsidRPr="00E719AD" w:rsidRDefault="00687E63" w:rsidP="00513CA4">
      <w:pPr>
        <w:spacing w:before="120" w:after="0" w:line="240" w:lineRule="auto"/>
        <w:jc w:val="both"/>
        <w:rPr>
          <w:rFonts w:ascii="Georgia" w:hAnsi="Georgia"/>
          <w:b/>
          <w:bCs/>
          <w:sz w:val="24"/>
          <w:szCs w:val="24"/>
        </w:rPr>
      </w:pPr>
      <w:r w:rsidRPr="00E719AD">
        <w:rPr>
          <w:rFonts w:ascii="Georgia" w:hAnsi="Georgia"/>
          <w:b/>
          <w:bCs/>
          <w:sz w:val="24"/>
          <w:szCs w:val="24"/>
        </w:rPr>
        <w:t xml:space="preserve">Policy recommendations </w:t>
      </w:r>
    </w:p>
    <w:p w14:paraId="7AF8E6B7" w14:textId="2FCAFFEF" w:rsidR="00F12A3A" w:rsidRDefault="00BB5C7A" w:rsidP="00513CA4">
      <w:pPr>
        <w:spacing w:before="120" w:after="0" w:line="240" w:lineRule="auto"/>
        <w:jc w:val="both"/>
        <w:rPr>
          <w:rFonts w:ascii="Georgia" w:hAnsi="Georgia"/>
          <w:sz w:val="24"/>
          <w:szCs w:val="24"/>
        </w:rPr>
      </w:pPr>
      <w:r>
        <w:rPr>
          <w:rFonts w:ascii="Georgia" w:hAnsi="Georgia"/>
          <w:sz w:val="24"/>
          <w:szCs w:val="24"/>
        </w:rPr>
        <w:t>Identifying credit risk in the lending function is a crucial activity for commercial banks. The ability to effectively conduct risk identification and minimize potential risks in lending cannot be overstated. Consequently, efficient credit risk identification by banks can enhance access to credit for the private sector, supporting its overall development in the country. Therefore, the following recommendations are proposed:</w:t>
      </w:r>
      <w:r w:rsidR="00F12A3A">
        <w:rPr>
          <w:rFonts w:ascii="Georgia" w:hAnsi="Georgia"/>
          <w:sz w:val="24"/>
          <w:szCs w:val="24"/>
        </w:rPr>
        <w:t xml:space="preserve"> </w:t>
      </w:r>
    </w:p>
    <w:p w14:paraId="3A1109D2" w14:textId="77777777" w:rsidR="005B0F71" w:rsidRDefault="005B0F71" w:rsidP="00513CA4">
      <w:pPr>
        <w:spacing w:before="120" w:after="0" w:line="240" w:lineRule="auto"/>
        <w:jc w:val="both"/>
        <w:rPr>
          <w:rFonts w:ascii="Georgia" w:hAnsi="Georgia"/>
          <w:sz w:val="24"/>
          <w:szCs w:val="24"/>
        </w:rPr>
      </w:pPr>
    </w:p>
    <w:p w14:paraId="27F34C58" w14:textId="4C4471E5" w:rsidR="00BB4FA2" w:rsidRDefault="00BB4FA2" w:rsidP="005B0F71">
      <w:pPr>
        <w:pStyle w:val="ListParagraph"/>
        <w:numPr>
          <w:ilvl w:val="0"/>
          <w:numId w:val="20"/>
        </w:numPr>
        <w:spacing w:after="0" w:line="240" w:lineRule="auto"/>
        <w:jc w:val="both"/>
        <w:rPr>
          <w:rFonts w:ascii="Georgia" w:hAnsi="Georgia"/>
          <w:sz w:val="24"/>
          <w:szCs w:val="24"/>
          <w:lang w:val="en-GB"/>
        </w:rPr>
      </w:pPr>
      <w:r>
        <w:rPr>
          <w:rFonts w:ascii="Georgia" w:hAnsi="Georgia"/>
          <w:sz w:val="24"/>
          <w:szCs w:val="24"/>
          <w:lang w:val="en-GB"/>
        </w:rPr>
        <w:t>Commercial banks need to implement effective risk identification systems to support their risk management activities and lending functions.</w:t>
      </w:r>
    </w:p>
    <w:p w14:paraId="67A2EC33" w14:textId="77777777" w:rsidR="005B0F71" w:rsidRDefault="005B0F71" w:rsidP="005B0F71">
      <w:pPr>
        <w:pStyle w:val="ListParagraph"/>
        <w:spacing w:after="0" w:line="240" w:lineRule="auto"/>
        <w:jc w:val="both"/>
        <w:rPr>
          <w:rFonts w:ascii="Georgia" w:hAnsi="Georgia"/>
          <w:sz w:val="24"/>
          <w:szCs w:val="24"/>
          <w:lang w:val="en-GB"/>
        </w:rPr>
      </w:pPr>
    </w:p>
    <w:p w14:paraId="3A4D9874" w14:textId="0F72BFDD" w:rsidR="005B0F71" w:rsidRDefault="00BB4FA2" w:rsidP="005B0F71">
      <w:pPr>
        <w:pStyle w:val="ListParagraph"/>
        <w:numPr>
          <w:ilvl w:val="0"/>
          <w:numId w:val="20"/>
        </w:numPr>
        <w:spacing w:after="0" w:line="240" w:lineRule="auto"/>
        <w:jc w:val="both"/>
        <w:rPr>
          <w:rFonts w:ascii="Georgia" w:hAnsi="Georgia"/>
          <w:sz w:val="24"/>
          <w:szCs w:val="24"/>
          <w:lang w:val="en-GB"/>
        </w:rPr>
      </w:pPr>
      <w:r>
        <w:rPr>
          <w:rFonts w:ascii="Georgia" w:hAnsi="Georgia"/>
          <w:sz w:val="24"/>
          <w:szCs w:val="24"/>
          <w:lang w:val="en-GB"/>
        </w:rPr>
        <w:t xml:space="preserve">It is essential for commercial banks to adopt various methods for </w:t>
      </w:r>
      <w:proofErr w:type="spellStart"/>
      <w:r>
        <w:rPr>
          <w:rFonts w:ascii="Georgia" w:hAnsi="Georgia"/>
          <w:sz w:val="24"/>
          <w:szCs w:val="24"/>
          <w:lang w:val="en-GB"/>
        </w:rPr>
        <w:t>analyzing</w:t>
      </w:r>
      <w:proofErr w:type="spellEnd"/>
      <w:r>
        <w:rPr>
          <w:rFonts w:ascii="Georgia" w:hAnsi="Georgia"/>
          <w:sz w:val="24"/>
          <w:szCs w:val="24"/>
          <w:lang w:val="en-GB"/>
        </w:rPr>
        <w:t xml:space="preserve"> borrowers' sources of funds that can be used to repay loans, thereby reducing the risk of loan defaults.</w:t>
      </w:r>
    </w:p>
    <w:p w14:paraId="1F2F82B0" w14:textId="77777777" w:rsidR="005B0F71" w:rsidRPr="005B0F71" w:rsidRDefault="005B0F71" w:rsidP="005B0F71">
      <w:pPr>
        <w:spacing w:after="0" w:line="240" w:lineRule="auto"/>
        <w:jc w:val="both"/>
        <w:rPr>
          <w:rFonts w:ascii="Georgia" w:hAnsi="Georgia"/>
          <w:sz w:val="24"/>
          <w:szCs w:val="24"/>
        </w:rPr>
      </w:pPr>
    </w:p>
    <w:p w14:paraId="3F643D7E" w14:textId="3DC36CC3" w:rsidR="005B0F71" w:rsidRDefault="00BB4FA2" w:rsidP="005B0F71">
      <w:pPr>
        <w:pStyle w:val="ListParagraph"/>
        <w:numPr>
          <w:ilvl w:val="0"/>
          <w:numId w:val="20"/>
        </w:numPr>
        <w:spacing w:after="0" w:line="240" w:lineRule="auto"/>
        <w:jc w:val="both"/>
        <w:rPr>
          <w:rFonts w:ascii="Georgia" w:hAnsi="Georgia"/>
          <w:sz w:val="24"/>
          <w:szCs w:val="24"/>
          <w:lang w:val="en-GB"/>
        </w:rPr>
      </w:pPr>
      <w:r>
        <w:rPr>
          <w:rFonts w:ascii="Georgia" w:hAnsi="Georgia"/>
          <w:sz w:val="24"/>
          <w:szCs w:val="24"/>
          <w:lang w:val="en-GB"/>
        </w:rPr>
        <w:t>When entering new credit markets, commercial banks must exercise caution to ensure that risk identification processes are not neglected in the pursuit of expanding their market presence.</w:t>
      </w:r>
    </w:p>
    <w:p w14:paraId="130A8695" w14:textId="77777777" w:rsidR="005B0F71" w:rsidRPr="005B0F71" w:rsidRDefault="005B0F71" w:rsidP="005B0F71">
      <w:pPr>
        <w:spacing w:after="0" w:line="240" w:lineRule="auto"/>
        <w:jc w:val="both"/>
        <w:rPr>
          <w:rFonts w:ascii="Georgia" w:hAnsi="Georgia"/>
          <w:sz w:val="24"/>
          <w:szCs w:val="24"/>
        </w:rPr>
      </w:pPr>
    </w:p>
    <w:p w14:paraId="0ADE7AAE" w14:textId="07191BED" w:rsidR="00BB4FA2" w:rsidRDefault="00BB4FA2" w:rsidP="005B0F71">
      <w:pPr>
        <w:pStyle w:val="ListParagraph"/>
        <w:numPr>
          <w:ilvl w:val="0"/>
          <w:numId w:val="20"/>
        </w:numPr>
        <w:spacing w:after="0" w:line="240" w:lineRule="auto"/>
        <w:jc w:val="both"/>
        <w:rPr>
          <w:rFonts w:ascii="Georgia" w:hAnsi="Georgia"/>
          <w:sz w:val="24"/>
          <w:szCs w:val="24"/>
          <w:lang w:val="en-GB"/>
        </w:rPr>
      </w:pPr>
      <w:r>
        <w:rPr>
          <w:rFonts w:ascii="Georgia" w:hAnsi="Georgia"/>
          <w:sz w:val="24"/>
          <w:szCs w:val="24"/>
          <w:lang w:val="en-GB"/>
        </w:rPr>
        <w:t>Banks should establish and adhere to internal guidelines for credit risk identification to maintain consistency and effectiveness in their risk management practices.</w:t>
      </w:r>
    </w:p>
    <w:p w14:paraId="0CD63E4F" w14:textId="77777777" w:rsidR="005B0F71" w:rsidRPr="005B0F71" w:rsidRDefault="005B0F71" w:rsidP="005B0F71">
      <w:pPr>
        <w:spacing w:after="0" w:line="240" w:lineRule="auto"/>
        <w:jc w:val="both"/>
        <w:rPr>
          <w:rFonts w:ascii="Georgia" w:hAnsi="Georgia"/>
          <w:sz w:val="24"/>
          <w:szCs w:val="24"/>
        </w:rPr>
      </w:pPr>
    </w:p>
    <w:p w14:paraId="7C952BD5" w14:textId="3674C9FB" w:rsidR="003345D8" w:rsidRPr="00F12A3A" w:rsidRDefault="00BB4FA2" w:rsidP="005B0F71">
      <w:pPr>
        <w:pStyle w:val="ListParagraph"/>
        <w:numPr>
          <w:ilvl w:val="0"/>
          <w:numId w:val="20"/>
        </w:numPr>
        <w:spacing w:after="0" w:line="240" w:lineRule="auto"/>
        <w:jc w:val="both"/>
        <w:rPr>
          <w:rFonts w:ascii="Georgia" w:hAnsi="Georgia"/>
          <w:sz w:val="24"/>
          <w:szCs w:val="24"/>
          <w:lang w:val="en-GB" w:eastAsia="zh-CN"/>
        </w:rPr>
      </w:pPr>
      <w:r>
        <w:rPr>
          <w:rFonts w:ascii="Georgia" w:hAnsi="Georgia"/>
          <w:sz w:val="24"/>
          <w:szCs w:val="24"/>
          <w:lang w:val="en-GB"/>
        </w:rPr>
        <w:t>It is crucial for commercial banks to maintain high education standards for credit officers, as their expertise is vital to the lending process.</w:t>
      </w:r>
      <w:r w:rsidR="001C6ACE">
        <w:rPr>
          <w:rFonts w:ascii="Georgia" w:hAnsi="Georgia"/>
          <w:sz w:val="24"/>
          <w:szCs w:val="24"/>
          <w:lang w:val="en-GB" w:eastAsia="zh-CN"/>
        </w:rPr>
        <w:t xml:space="preserve"> </w:t>
      </w:r>
    </w:p>
    <w:p w14:paraId="2B85F387" w14:textId="46849F06" w:rsidR="005749A6" w:rsidRPr="004C4D80" w:rsidRDefault="004C4D80" w:rsidP="00513CA4">
      <w:pPr>
        <w:pStyle w:val="NoSpacing"/>
        <w:spacing w:before="120"/>
        <w:rPr>
          <w:rFonts w:ascii="Georgia" w:hAnsi="Georgia"/>
          <w:b/>
          <w:bCs/>
          <w:sz w:val="24"/>
          <w:szCs w:val="24"/>
        </w:rPr>
      </w:pPr>
      <w:r w:rsidRPr="004C4D80">
        <w:rPr>
          <w:rFonts w:ascii="Georgia" w:hAnsi="Georgia"/>
          <w:b/>
          <w:bCs/>
          <w:sz w:val="24"/>
          <w:szCs w:val="24"/>
        </w:rPr>
        <w:t>References</w:t>
      </w:r>
    </w:p>
    <w:p w14:paraId="22B5E3C2"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Ahmed, W., Takeda, G. and Shawn, T. (2011). Credit risk measurement: Developments over the last 20 years.  </w:t>
      </w:r>
      <w:r w:rsidRPr="00C00016">
        <w:rPr>
          <w:rFonts w:ascii="Georgia" w:hAnsi="Georgia"/>
          <w:i/>
          <w:sz w:val="24"/>
          <w:szCs w:val="24"/>
        </w:rPr>
        <w:t>Journal of Banking and Finance. 21</w:t>
      </w:r>
      <w:r w:rsidRPr="00C00016">
        <w:rPr>
          <w:rFonts w:ascii="Georgia" w:hAnsi="Georgia"/>
          <w:sz w:val="24"/>
          <w:szCs w:val="24"/>
        </w:rPr>
        <w:t xml:space="preserve">, 11-12 and 1721-1742. </w:t>
      </w:r>
      <w:hyperlink r:id="rId12" w:history="1">
        <w:r w:rsidRPr="00C00016">
          <w:rPr>
            <w:rStyle w:val="Hyperlink"/>
            <w:rFonts w:ascii="Georgia" w:hAnsi="Georgia"/>
            <w:color w:val="auto"/>
            <w:sz w:val="24"/>
            <w:szCs w:val="24"/>
          </w:rPr>
          <w:t>https://www.researchgate.net/publication/323430569_Credit_Risk_Research_Review_and_Agenda</w:t>
        </w:r>
      </w:hyperlink>
    </w:p>
    <w:p w14:paraId="36EF572E" w14:textId="77777777" w:rsidR="004C4D80" w:rsidRPr="00045CE3" w:rsidRDefault="004C4D80" w:rsidP="004C4D80">
      <w:pPr>
        <w:spacing w:before="120" w:after="0" w:line="240" w:lineRule="auto"/>
        <w:ind w:left="720" w:hanging="720"/>
        <w:contextualSpacing/>
        <w:jc w:val="both"/>
        <w:rPr>
          <w:rStyle w:val="HTMLCite"/>
          <w:rFonts w:ascii="Georgia" w:hAnsi="Georgia"/>
          <w:sz w:val="24"/>
          <w:szCs w:val="24"/>
          <w:lang w:val="de-CH"/>
        </w:rPr>
      </w:pPr>
      <w:r w:rsidRPr="00C00016">
        <w:rPr>
          <w:rFonts w:ascii="Georgia" w:hAnsi="Georgia"/>
          <w:sz w:val="24"/>
          <w:szCs w:val="24"/>
        </w:rPr>
        <w:t>Altunbas, T (2009).  Default and the life cycle model</w:t>
      </w:r>
      <w:r w:rsidRPr="00C00016">
        <w:rPr>
          <w:rFonts w:ascii="Georgia" w:hAnsi="Georgia"/>
          <w:i/>
          <w:sz w:val="24"/>
          <w:szCs w:val="24"/>
        </w:rPr>
        <w:t>.</w:t>
      </w:r>
      <w:r w:rsidRPr="00C00016">
        <w:rPr>
          <w:rFonts w:ascii="Georgia" w:hAnsi="Georgia"/>
          <w:sz w:val="24"/>
          <w:szCs w:val="24"/>
        </w:rPr>
        <w:t xml:space="preserve"> </w:t>
      </w:r>
      <w:r w:rsidRPr="00C00016">
        <w:rPr>
          <w:rFonts w:ascii="Georgia" w:hAnsi="Georgia"/>
          <w:i/>
          <w:sz w:val="24"/>
          <w:szCs w:val="24"/>
        </w:rPr>
        <w:t>Journal of Money Credit and Banking</w:t>
      </w:r>
      <w:r w:rsidRPr="00C00016">
        <w:rPr>
          <w:rFonts w:ascii="Georgia" w:hAnsi="Georgia"/>
          <w:sz w:val="24"/>
          <w:szCs w:val="24"/>
        </w:rPr>
        <w:t xml:space="preserve">. </w:t>
      </w:r>
      <w:r w:rsidRPr="00045CE3">
        <w:rPr>
          <w:rFonts w:ascii="Georgia" w:hAnsi="Georgia"/>
          <w:sz w:val="24"/>
          <w:szCs w:val="24"/>
          <w:lang w:val="de-CH"/>
        </w:rPr>
        <w:t xml:space="preserve">(27), 939. </w:t>
      </w:r>
      <w:hyperlink r:id="rId13" w:history="1">
        <w:r w:rsidRPr="00045CE3">
          <w:rPr>
            <w:rStyle w:val="Hyperlink"/>
            <w:rFonts w:ascii="Georgia" w:hAnsi="Georgia"/>
            <w:color w:val="auto"/>
            <w:sz w:val="24"/>
            <w:szCs w:val="24"/>
            <w:lang w:val="de-CH"/>
          </w:rPr>
          <w:t>https://www.ecb.europa.eu/pub/pdf/scpwps/ecbwp1166.pdf</w:t>
        </w:r>
      </w:hyperlink>
      <w:r w:rsidRPr="00045CE3">
        <w:rPr>
          <w:rStyle w:val="HTMLCite"/>
          <w:rFonts w:ascii="Georgia" w:hAnsi="Georgia"/>
          <w:lang w:val="de-CH"/>
        </w:rPr>
        <w:t xml:space="preserve"> </w:t>
      </w:r>
    </w:p>
    <w:p w14:paraId="16F0410D" w14:textId="6E8A8AD9" w:rsidR="004C4D80" w:rsidRPr="00C00016" w:rsidRDefault="004C4D80" w:rsidP="004C4D80">
      <w:pPr>
        <w:spacing w:before="120" w:after="0" w:line="240" w:lineRule="auto"/>
        <w:ind w:left="720" w:hanging="720"/>
        <w:jc w:val="both"/>
        <w:rPr>
          <w:rFonts w:ascii="Georgia" w:hAnsi="Georgia"/>
          <w:spacing w:val="5"/>
          <w:sz w:val="24"/>
          <w:szCs w:val="24"/>
        </w:rPr>
      </w:pPr>
      <w:r w:rsidRPr="00C00016">
        <w:rPr>
          <w:rFonts w:ascii="Georgia" w:hAnsi="Georgia"/>
          <w:sz w:val="24"/>
          <w:szCs w:val="24"/>
        </w:rPr>
        <w:t xml:space="preserve">Asim, A. et.al (2012). A comparative study of credit risk management: A case study of local and foreign banks in Pakistan. </w:t>
      </w:r>
      <w:r w:rsidRPr="00C00016">
        <w:rPr>
          <w:rFonts w:ascii="Georgia" w:hAnsi="Georgia"/>
          <w:i/>
          <w:sz w:val="24"/>
          <w:szCs w:val="24"/>
        </w:rPr>
        <w:t xml:space="preserve">Academic Research </w:t>
      </w:r>
      <w:r w:rsidR="006F43FD" w:rsidRPr="00C00016">
        <w:rPr>
          <w:rFonts w:ascii="Georgia" w:hAnsi="Georgia"/>
          <w:i/>
          <w:sz w:val="24"/>
          <w:szCs w:val="24"/>
        </w:rPr>
        <w:t>International. (</w:t>
      </w:r>
      <w:r w:rsidRPr="00C00016">
        <w:rPr>
          <w:rFonts w:ascii="Georgia" w:hAnsi="Georgia"/>
          <w:i/>
          <w:sz w:val="24"/>
          <w:szCs w:val="24"/>
        </w:rPr>
        <w:t>3), 1,</w:t>
      </w:r>
      <w:r w:rsidRPr="00C00016">
        <w:rPr>
          <w:rFonts w:ascii="Georgia" w:hAnsi="Georgia"/>
          <w:sz w:val="24"/>
          <w:szCs w:val="24"/>
        </w:rPr>
        <w:t xml:space="preserve"> 371-377</w:t>
      </w:r>
      <w:r w:rsidRPr="00C00016">
        <w:rPr>
          <w:rFonts w:ascii="Georgia" w:hAnsi="Georgia"/>
          <w:spacing w:val="5"/>
          <w:sz w:val="24"/>
          <w:szCs w:val="24"/>
        </w:rPr>
        <w:t xml:space="preserve">. </w:t>
      </w:r>
      <w:hyperlink r:id="rId14" w:history="1">
        <w:r w:rsidRPr="00C00016">
          <w:rPr>
            <w:rStyle w:val="Hyperlink"/>
            <w:rFonts w:ascii="Georgia" w:hAnsi="Georgia"/>
            <w:color w:val="auto"/>
            <w:sz w:val="24"/>
            <w:szCs w:val="24"/>
          </w:rPr>
          <w:t>http://www.savap.org.pk/journals/ARInt./Vol.3(1)/2012(3.1-44).pdf</w:t>
        </w:r>
      </w:hyperlink>
      <w:r w:rsidRPr="00C00016">
        <w:rPr>
          <w:rFonts w:ascii="Georgia" w:hAnsi="Georgia"/>
          <w:sz w:val="24"/>
          <w:szCs w:val="24"/>
        </w:rPr>
        <w:t>.</w:t>
      </w:r>
    </w:p>
    <w:p w14:paraId="19FC5230" w14:textId="3BC62C36"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Bodla, B, and Verma, R. (2009) Credit risk management framework at Banks in India. </w:t>
      </w:r>
      <w:r w:rsidRPr="00C00016">
        <w:rPr>
          <w:rFonts w:ascii="Georgia" w:hAnsi="Georgia"/>
          <w:i/>
          <w:sz w:val="24"/>
          <w:szCs w:val="24"/>
        </w:rPr>
        <w:t xml:space="preserve">The ICFAI University Journal of Bank Management: IJBM. Hyderabad: ICFAI Univ. </w:t>
      </w:r>
      <w:r w:rsidR="006F43FD" w:rsidRPr="00C00016">
        <w:rPr>
          <w:rFonts w:ascii="Georgia" w:hAnsi="Georgia"/>
          <w:i/>
          <w:sz w:val="24"/>
          <w:szCs w:val="24"/>
        </w:rPr>
        <w:t>Press (</w:t>
      </w:r>
      <w:r w:rsidRPr="00C00016">
        <w:rPr>
          <w:rFonts w:ascii="Georgia" w:hAnsi="Georgia"/>
          <w:i/>
          <w:sz w:val="24"/>
          <w:szCs w:val="24"/>
        </w:rPr>
        <w:t>8)</w:t>
      </w:r>
      <w:r w:rsidRPr="00C00016">
        <w:rPr>
          <w:rFonts w:ascii="Georgia" w:hAnsi="Georgia"/>
          <w:sz w:val="24"/>
          <w:szCs w:val="24"/>
        </w:rPr>
        <w:t xml:space="preserve">1, 47-72. </w:t>
      </w:r>
      <w:hyperlink r:id="rId15" w:history="1">
        <w:r w:rsidRPr="00C00016">
          <w:rPr>
            <w:rStyle w:val="Hyperlink"/>
            <w:rFonts w:ascii="Georgia" w:hAnsi="Georgia"/>
            <w:color w:val="auto"/>
            <w:sz w:val="24"/>
            <w:szCs w:val="24"/>
          </w:rPr>
          <w:t>https://ideas.repec.org/a/icf/icfjbm/v8y2009i1p47-72.html</w:t>
        </w:r>
      </w:hyperlink>
      <w:r w:rsidRPr="00C00016">
        <w:rPr>
          <w:rFonts w:ascii="Georgia" w:hAnsi="Georgia"/>
          <w:sz w:val="24"/>
          <w:szCs w:val="24"/>
        </w:rPr>
        <w:t xml:space="preserve">. </w:t>
      </w:r>
    </w:p>
    <w:p w14:paraId="7FE9B355" w14:textId="77777777" w:rsidR="004C4D80" w:rsidRPr="00C00016" w:rsidRDefault="004C4D80" w:rsidP="004C4D80">
      <w:pPr>
        <w:spacing w:before="120" w:after="0" w:line="240" w:lineRule="auto"/>
        <w:ind w:left="720" w:hanging="720"/>
        <w:contextualSpacing/>
        <w:jc w:val="both"/>
        <w:rPr>
          <w:rFonts w:ascii="Georgia" w:hAnsi="Georgia"/>
          <w:sz w:val="24"/>
          <w:szCs w:val="24"/>
        </w:rPr>
      </w:pPr>
      <w:r w:rsidRPr="00C00016">
        <w:rPr>
          <w:rFonts w:ascii="Georgia" w:hAnsi="Georgia"/>
          <w:sz w:val="24"/>
          <w:szCs w:val="24"/>
        </w:rPr>
        <w:t>Camara, Paulo (2009)</w:t>
      </w:r>
      <w:r w:rsidRPr="00C00016">
        <w:rPr>
          <w:rFonts w:ascii="Georgia" w:hAnsi="Georgia"/>
          <w:i/>
          <w:sz w:val="24"/>
          <w:szCs w:val="24"/>
        </w:rPr>
        <w:t xml:space="preserve">. </w:t>
      </w:r>
      <w:r w:rsidRPr="00C00016">
        <w:rPr>
          <w:rFonts w:ascii="Georgia" w:hAnsi="Georgia"/>
          <w:sz w:val="24"/>
          <w:szCs w:val="24"/>
        </w:rPr>
        <w:t>Restoring confidence</w:t>
      </w:r>
      <w:r w:rsidRPr="00C00016">
        <w:rPr>
          <w:rFonts w:ascii="Georgia" w:hAnsi="Georgia"/>
          <w:i/>
          <w:sz w:val="24"/>
          <w:szCs w:val="24"/>
        </w:rPr>
        <w:t>. International Financial Law Review</w:t>
      </w:r>
      <w:r w:rsidRPr="00C00016">
        <w:rPr>
          <w:rFonts w:ascii="Georgia" w:hAnsi="Georgia"/>
          <w:sz w:val="24"/>
          <w:szCs w:val="24"/>
        </w:rPr>
        <w:t xml:space="preserve">. Financial Crisis Supplement. </w:t>
      </w:r>
      <w:hyperlink r:id="rId16" w:history="1">
        <w:r w:rsidRPr="00C00016">
          <w:rPr>
            <w:rStyle w:val="Hyperlink"/>
            <w:rFonts w:ascii="Georgia" w:hAnsi="Georgia"/>
            <w:color w:val="auto"/>
            <w:sz w:val="24"/>
            <w:szCs w:val="24"/>
          </w:rPr>
          <w:t>https://www.oecd.org/finance/financial-markets/43319875.pdf</w:t>
        </w:r>
      </w:hyperlink>
      <w:r w:rsidRPr="00C00016">
        <w:rPr>
          <w:rFonts w:ascii="Georgia" w:hAnsi="Georgia"/>
          <w:sz w:val="24"/>
          <w:szCs w:val="24"/>
        </w:rPr>
        <w:t xml:space="preserve"> </w:t>
      </w:r>
    </w:p>
    <w:p w14:paraId="4391B10D" w14:textId="2AA98641" w:rsidR="004C4D80" w:rsidRPr="00C00016" w:rsidRDefault="004C4D80" w:rsidP="004C4D80">
      <w:pPr>
        <w:spacing w:before="120" w:after="0" w:line="240" w:lineRule="auto"/>
        <w:ind w:left="720" w:hanging="720"/>
        <w:jc w:val="both"/>
        <w:rPr>
          <w:rStyle w:val="HTMLCite"/>
          <w:rFonts w:ascii="Georgia" w:hAnsi="Georgia"/>
        </w:rPr>
      </w:pPr>
      <w:r w:rsidRPr="00C00016">
        <w:rPr>
          <w:rStyle w:val="fontstyle01"/>
          <w:rFonts w:ascii="Georgia" w:hAnsi="Georgia"/>
          <w:color w:val="auto"/>
        </w:rPr>
        <w:t>Central Bank of Kenya</w:t>
      </w:r>
      <w:r w:rsidRPr="00C00016">
        <w:rPr>
          <w:rFonts w:ascii="Georgia" w:hAnsi="Georgia"/>
          <w:sz w:val="24"/>
          <w:szCs w:val="24"/>
        </w:rPr>
        <w:t xml:space="preserve"> (2016. </w:t>
      </w:r>
      <w:r w:rsidRPr="00C00016">
        <w:rPr>
          <w:rFonts w:ascii="Georgia" w:hAnsi="Georgia"/>
          <w:i/>
          <w:sz w:val="24"/>
          <w:szCs w:val="24"/>
        </w:rPr>
        <w:t>The practice of monetary policy in Kenya</w:t>
      </w:r>
      <w:r w:rsidRPr="00C00016">
        <w:rPr>
          <w:rFonts w:ascii="Georgia" w:hAnsi="Georgia"/>
          <w:sz w:val="24"/>
          <w:szCs w:val="24"/>
        </w:rPr>
        <w:t>. Nairobi, Kenya</w:t>
      </w:r>
      <w:r w:rsidR="001C5E26">
        <w:rPr>
          <w:rFonts w:ascii="Georgia" w:hAnsi="Georgia"/>
          <w:sz w:val="24"/>
          <w:szCs w:val="24"/>
        </w:rPr>
        <w:t>.</w:t>
      </w:r>
    </w:p>
    <w:p w14:paraId="47420C39" w14:textId="77777777" w:rsidR="004C4D80" w:rsidRPr="00C00016" w:rsidRDefault="004C4D80" w:rsidP="004C4D80">
      <w:pPr>
        <w:pStyle w:val="ListParagraph"/>
        <w:spacing w:before="120" w:after="0" w:line="240" w:lineRule="auto"/>
        <w:ind w:hanging="720"/>
        <w:jc w:val="both"/>
        <w:rPr>
          <w:rFonts w:ascii="Georgia" w:hAnsi="Georgia"/>
          <w:sz w:val="24"/>
          <w:szCs w:val="24"/>
        </w:rPr>
      </w:pPr>
      <w:proofErr w:type="spellStart"/>
      <w:r w:rsidRPr="00C00016">
        <w:rPr>
          <w:rFonts w:ascii="Georgia" w:hAnsi="Georgia"/>
          <w:sz w:val="24"/>
          <w:szCs w:val="24"/>
        </w:rPr>
        <w:t>Fatemi</w:t>
      </w:r>
      <w:proofErr w:type="spellEnd"/>
      <w:r w:rsidRPr="00C00016">
        <w:rPr>
          <w:rFonts w:ascii="Georgia" w:hAnsi="Georgia"/>
          <w:sz w:val="24"/>
          <w:szCs w:val="24"/>
        </w:rPr>
        <w:t xml:space="preserve"> &amp; </w:t>
      </w:r>
      <w:proofErr w:type="spellStart"/>
      <w:r w:rsidRPr="00C00016">
        <w:rPr>
          <w:rFonts w:ascii="Georgia" w:hAnsi="Georgia"/>
          <w:sz w:val="24"/>
          <w:szCs w:val="24"/>
        </w:rPr>
        <w:t>Fooladi</w:t>
      </w:r>
      <w:proofErr w:type="spellEnd"/>
      <w:r w:rsidRPr="00C00016">
        <w:rPr>
          <w:rFonts w:ascii="Georgia" w:hAnsi="Georgia"/>
          <w:sz w:val="24"/>
          <w:szCs w:val="24"/>
        </w:rPr>
        <w:t xml:space="preserve"> (2006). Credit</w:t>
      </w:r>
      <w:r w:rsidRPr="00C00016">
        <w:rPr>
          <w:rFonts w:ascii="Georgia" w:hAnsi="Georgia"/>
          <w:spacing w:val="51"/>
          <w:sz w:val="24"/>
          <w:szCs w:val="24"/>
        </w:rPr>
        <w:t xml:space="preserve"> </w:t>
      </w:r>
      <w:r w:rsidRPr="00C00016">
        <w:rPr>
          <w:rFonts w:ascii="Georgia" w:hAnsi="Georgia"/>
          <w:sz w:val="24"/>
          <w:szCs w:val="24"/>
        </w:rPr>
        <w:t>risk</w:t>
      </w:r>
      <w:r w:rsidRPr="00C00016">
        <w:rPr>
          <w:rFonts w:ascii="Georgia" w:hAnsi="Georgia"/>
          <w:spacing w:val="52"/>
          <w:sz w:val="24"/>
          <w:szCs w:val="24"/>
        </w:rPr>
        <w:t xml:space="preserve"> </w:t>
      </w:r>
      <w:r w:rsidRPr="00C00016">
        <w:rPr>
          <w:rFonts w:ascii="Georgia" w:hAnsi="Georgia"/>
          <w:sz w:val="24"/>
          <w:szCs w:val="24"/>
        </w:rPr>
        <w:t>management.</w:t>
      </w:r>
      <w:r w:rsidRPr="00C00016">
        <w:rPr>
          <w:rFonts w:ascii="Georgia" w:hAnsi="Georgia"/>
          <w:spacing w:val="52"/>
          <w:sz w:val="24"/>
          <w:szCs w:val="24"/>
        </w:rPr>
        <w:t xml:space="preserve"> </w:t>
      </w:r>
      <w:r w:rsidRPr="00C00016">
        <w:rPr>
          <w:rFonts w:ascii="Georgia" w:hAnsi="Georgia"/>
          <w:i/>
          <w:sz w:val="24"/>
          <w:szCs w:val="24"/>
        </w:rPr>
        <w:t>A</w:t>
      </w:r>
      <w:r w:rsidRPr="00C00016">
        <w:rPr>
          <w:rFonts w:ascii="Georgia" w:hAnsi="Georgia"/>
          <w:i/>
          <w:spacing w:val="51"/>
          <w:sz w:val="24"/>
          <w:szCs w:val="24"/>
        </w:rPr>
        <w:t xml:space="preserve"> </w:t>
      </w:r>
      <w:r w:rsidRPr="00C00016">
        <w:rPr>
          <w:rFonts w:ascii="Georgia" w:hAnsi="Georgia"/>
          <w:i/>
          <w:sz w:val="24"/>
          <w:szCs w:val="24"/>
        </w:rPr>
        <w:t>Survey</w:t>
      </w:r>
      <w:r w:rsidRPr="00C00016">
        <w:rPr>
          <w:rFonts w:ascii="Georgia" w:hAnsi="Georgia"/>
          <w:i/>
          <w:spacing w:val="51"/>
          <w:sz w:val="24"/>
          <w:szCs w:val="24"/>
        </w:rPr>
        <w:t xml:space="preserve"> </w:t>
      </w:r>
      <w:r w:rsidRPr="00C00016">
        <w:rPr>
          <w:rFonts w:ascii="Georgia" w:hAnsi="Georgia"/>
          <w:i/>
          <w:sz w:val="24"/>
          <w:szCs w:val="24"/>
        </w:rPr>
        <w:t>of</w:t>
      </w:r>
      <w:r w:rsidRPr="00C00016">
        <w:rPr>
          <w:rFonts w:ascii="Georgia" w:hAnsi="Georgia"/>
          <w:i/>
          <w:spacing w:val="48"/>
          <w:sz w:val="24"/>
          <w:szCs w:val="24"/>
        </w:rPr>
        <w:t xml:space="preserve"> </w:t>
      </w:r>
      <w:r w:rsidRPr="00C00016">
        <w:rPr>
          <w:rFonts w:ascii="Georgia" w:hAnsi="Georgia"/>
          <w:i/>
          <w:sz w:val="24"/>
          <w:szCs w:val="24"/>
        </w:rPr>
        <w:t>Practices Managerial Finance (32),</w:t>
      </w:r>
      <w:r w:rsidRPr="00C00016">
        <w:rPr>
          <w:rFonts w:ascii="Georgia" w:hAnsi="Georgia"/>
          <w:sz w:val="24"/>
          <w:szCs w:val="24"/>
        </w:rPr>
        <w:t xml:space="preserve">3, 227-233. </w:t>
      </w:r>
      <w:hyperlink r:id="rId17" w:history="1">
        <w:r w:rsidRPr="00C00016">
          <w:rPr>
            <w:rStyle w:val="HTMLCite"/>
            <w:rFonts w:ascii="Georgia" w:hAnsi="Georgia"/>
            <w:u w:val="single"/>
          </w:rPr>
          <w:t>https://www.emeraldinsight.com/doi/10.1108/03074350610646735</w:t>
        </w:r>
      </w:hyperlink>
    </w:p>
    <w:p w14:paraId="4BDBD201" w14:textId="77777777" w:rsidR="004C4D80" w:rsidRPr="00C00016" w:rsidRDefault="004C4D80" w:rsidP="004C4D80">
      <w:pPr>
        <w:tabs>
          <w:tab w:val="left" w:pos="1380"/>
        </w:tabs>
        <w:spacing w:before="120" w:after="0" w:line="240" w:lineRule="auto"/>
        <w:ind w:left="720" w:hanging="720"/>
        <w:jc w:val="both"/>
        <w:rPr>
          <w:rFonts w:ascii="Georgia" w:hAnsi="Georgia"/>
          <w:sz w:val="24"/>
          <w:szCs w:val="24"/>
        </w:rPr>
      </w:pPr>
      <w:r w:rsidRPr="00C00016">
        <w:rPr>
          <w:rFonts w:ascii="Georgia" w:hAnsi="Georgia"/>
          <w:sz w:val="24"/>
          <w:szCs w:val="24"/>
        </w:rPr>
        <w:t xml:space="preserve">Gathigia, J. (2016).  </w:t>
      </w:r>
      <w:r w:rsidRPr="00C00016">
        <w:rPr>
          <w:rFonts w:ascii="Georgia" w:hAnsi="Georgia"/>
          <w:i/>
          <w:sz w:val="24"/>
          <w:szCs w:val="24"/>
        </w:rPr>
        <w:t>Effect of Financial Risk on Financial Performance of Commercial Banks in Kenya</w:t>
      </w:r>
      <w:r w:rsidRPr="00C00016">
        <w:rPr>
          <w:rFonts w:ascii="Georgia" w:hAnsi="Georgia"/>
          <w:sz w:val="24"/>
          <w:szCs w:val="24"/>
        </w:rPr>
        <w:t xml:space="preserve">. Unpublished Doctorate Degree Thesis, Jomo Kenyatta University.  </w:t>
      </w:r>
      <w:r w:rsidRPr="00C00016">
        <w:rPr>
          <w:rFonts w:ascii="Georgia" w:hAnsi="Georgia"/>
          <w:sz w:val="24"/>
          <w:szCs w:val="24"/>
          <w:shd w:val="clear" w:color="auto" w:fill="F5F5F5"/>
        </w:rPr>
        <w:t> </w:t>
      </w:r>
      <w:hyperlink r:id="rId18" w:history="1">
        <w:r w:rsidRPr="00C00016">
          <w:rPr>
            <w:rStyle w:val="Hyperlink"/>
            <w:rFonts w:ascii="Georgia" w:hAnsi="Georgia"/>
            <w:color w:val="auto"/>
            <w:sz w:val="24"/>
            <w:szCs w:val="24"/>
            <w:bdr w:val="none" w:sz="0" w:space="0" w:color="auto" w:frame="1"/>
            <w:shd w:val="clear" w:color="auto" w:fill="F5F5F5"/>
          </w:rPr>
          <w:t>http://ir.jkuat.ac.ke:8080/bitstream/handle/123456789/2376/Jane%20Gathiga%20Muriithi%20Phd%20Finanace%20Thesis%202016.pdf?sequence=3&amp;isAllowed=y</w:t>
        </w:r>
      </w:hyperlink>
    </w:p>
    <w:p w14:paraId="4B144E66" w14:textId="77777777" w:rsidR="004C4D80" w:rsidRPr="00C00016" w:rsidRDefault="004C4D80" w:rsidP="004C4D80">
      <w:pPr>
        <w:autoSpaceDE w:val="0"/>
        <w:autoSpaceDN w:val="0"/>
        <w:adjustRightInd w:val="0"/>
        <w:spacing w:before="120" w:after="0" w:line="240" w:lineRule="auto"/>
        <w:ind w:left="720" w:hanging="720"/>
        <w:jc w:val="both"/>
        <w:rPr>
          <w:rFonts w:ascii="Georgia" w:hAnsi="Georgia"/>
          <w:sz w:val="24"/>
          <w:szCs w:val="24"/>
          <w:shd w:val="clear" w:color="auto" w:fill="F5F5F5"/>
        </w:rPr>
      </w:pPr>
      <w:r w:rsidRPr="00C00016">
        <w:rPr>
          <w:rFonts w:ascii="Georgia" w:hAnsi="Georgia"/>
          <w:sz w:val="24"/>
          <w:szCs w:val="24"/>
        </w:rPr>
        <w:tab/>
      </w:r>
      <w:r w:rsidRPr="00C00016">
        <w:rPr>
          <w:rFonts w:ascii="Georgia" w:hAnsi="Georgia"/>
          <w:sz w:val="24"/>
          <w:szCs w:val="24"/>
          <w:shd w:val="clear" w:color="auto" w:fill="F5F5F5"/>
        </w:rPr>
        <w:t> </w:t>
      </w:r>
      <w:hyperlink r:id="rId19" w:history="1">
        <w:r w:rsidRPr="00C00016">
          <w:rPr>
            <w:rStyle w:val="Hyperlink"/>
            <w:rFonts w:ascii="Georgia" w:hAnsi="Georgia"/>
            <w:color w:val="auto"/>
            <w:sz w:val="24"/>
            <w:szCs w:val="24"/>
            <w:bdr w:val="none" w:sz="0" w:space="0" w:color="auto" w:frame="1"/>
            <w:shd w:val="clear" w:color="auto" w:fill="F5F5F5"/>
          </w:rPr>
          <w:t>https://www.imf.org/external/pubs/ft/wp/2010/wp1047.pdf</w:t>
        </w:r>
      </w:hyperlink>
      <w:r w:rsidRPr="00C00016">
        <w:rPr>
          <w:rFonts w:ascii="Georgia" w:hAnsi="Georgia"/>
          <w:sz w:val="24"/>
          <w:szCs w:val="24"/>
          <w:shd w:val="clear" w:color="auto" w:fill="F5F5F5"/>
        </w:rPr>
        <w:t xml:space="preserve">.  </w:t>
      </w:r>
    </w:p>
    <w:p w14:paraId="65107751"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shd w:val="clear" w:color="auto" w:fill="FFFFFF"/>
        </w:rPr>
        <w:t>Harcourt, E. (2017). Credit Risk Management and Performance of Deposit Money Banks in Nigeria </w:t>
      </w:r>
      <w:r w:rsidRPr="00C00016">
        <w:rPr>
          <w:rStyle w:val="Emphasis"/>
          <w:rFonts w:ascii="Georgia" w:hAnsi="Georgia"/>
          <w:sz w:val="24"/>
          <w:szCs w:val="24"/>
          <w:shd w:val="clear" w:color="auto" w:fill="FFFFFF"/>
        </w:rPr>
        <w:t>International Journal of Managerial Studies and Research</w:t>
      </w:r>
      <w:r w:rsidRPr="00C00016">
        <w:rPr>
          <w:rFonts w:ascii="Georgia" w:hAnsi="Georgia"/>
          <w:sz w:val="24"/>
          <w:szCs w:val="24"/>
          <w:shd w:val="clear" w:color="auto" w:fill="FFFFFF"/>
        </w:rPr>
        <w:t>,</w:t>
      </w:r>
      <w:r w:rsidRPr="00C00016">
        <w:rPr>
          <w:rFonts w:ascii="Georgia" w:hAnsi="Georgia"/>
          <w:i/>
          <w:sz w:val="24"/>
          <w:szCs w:val="24"/>
          <w:shd w:val="clear" w:color="auto" w:fill="FFFFFF"/>
        </w:rPr>
        <w:t xml:space="preserve"> 5</w:t>
      </w:r>
      <w:r w:rsidRPr="00C00016">
        <w:rPr>
          <w:rFonts w:ascii="Georgia" w:hAnsi="Georgia"/>
          <w:sz w:val="24"/>
          <w:szCs w:val="24"/>
          <w:shd w:val="clear" w:color="auto" w:fill="FFFFFF"/>
        </w:rPr>
        <w:t xml:space="preserve">(8): 47-57. </w:t>
      </w:r>
      <w:hyperlink r:id="rId20" w:history="1">
        <w:r w:rsidRPr="00C00016">
          <w:rPr>
            <w:rStyle w:val="Hyperlink"/>
            <w:rFonts w:ascii="Georgia" w:hAnsi="Georgia"/>
            <w:color w:val="auto"/>
            <w:sz w:val="24"/>
            <w:szCs w:val="24"/>
          </w:rPr>
          <w:t>https://www.arcjournals.org/international-journal-of-managerial-studies-and-research/volume-5-issue-8/6</w:t>
        </w:r>
      </w:hyperlink>
      <w:r w:rsidRPr="00C00016">
        <w:rPr>
          <w:rFonts w:ascii="Georgia" w:hAnsi="Georgia"/>
          <w:sz w:val="24"/>
          <w:szCs w:val="24"/>
        </w:rPr>
        <w:t xml:space="preserve"> </w:t>
      </w:r>
    </w:p>
    <w:p w14:paraId="43BE5D94" w14:textId="77777777" w:rsidR="004C4D80" w:rsidRPr="00C00016" w:rsidRDefault="004C4D80" w:rsidP="004C4D80">
      <w:pPr>
        <w:autoSpaceDE w:val="0"/>
        <w:autoSpaceDN w:val="0"/>
        <w:adjustRightInd w:val="0"/>
        <w:spacing w:before="120" w:after="0" w:line="240" w:lineRule="auto"/>
        <w:ind w:left="720" w:hanging="720"/>
        <w:contextualSpacing/>
        <w:jc w:val="both"/>
        <w:rPr>
          <w:rFonts w:ascii="Georgia" w:hAnsi="Georgia"/>
          <w:sz w:val="24"/>
          <w:szCs w:val="24"/>
        </w:rPr>
      </w:pPr>
      <w:r w:rsidRPr="00C00016">
        <w:rPr>
          <w:rFonts w:ascii="Georgia" w:hAnsi="Georgia"/>
          <w:sz w:val="24"/>
          <w:szCs w:val="24"/>
        </w:rPr>
        <w:t xml:space="preserve">Kamau, P. (2010). </w:t>
      </w:r>
      <w:r w:rsidRPr="00C00016">
        <w:rPr>
          <w:rFonts w:ascii="Georgia" w:hAnsi="Georgia"/>
          <w:i/>
          <w:sz w:val="24"/>
          <w:szCs w:val="24"/>
        </w:rPr>
        <w:t>Monitoring banking sector fragility: A multivariate logit approach</w:t>
      </w:r>
      <w:r w:rsidRPr="00C00016">
        <w:rPr>
          <w:rFonts w:ascii="Georgia" w:hAnsi="Georgia"/>
          <w:sz w:val="24"/>
          <w:szCs w:val="24"/>
        </w:rPr>
        <w:t xml:space="preserve">. </w:t>
      </w:r>
      <w:r w:rsidRPr="00C00016">
        <w:rPr>
          <w:rFonts w:ascii="Georgia" w:hAnsi="Georgia"/>
          <w:i/>
          <w:sz w:val="24"/>
          <w:szCs w:val="24"/>
        </w:rPr>
        <w:t>World Bank Economic Review, Oxford University Press</w:t>
      </w:r>
      <w:r w:rsidRPr="00C00016">
        <w:rPr>
          <w:rFonts w:ascii="Georgia" w:hAnsi="Georgia"/>
          <w:sz w:val="24"/>
          <w:szCs w:val="24"/>
        </w:rPr>
        <w:t xml:space="preserve">. </w:t>
      </w:r>
      <w:r w:rsidRPr="00C00016">
        <w:rPr>
          <w:rFonts w:ascii="Georgia" w:hAnsi="Georgia"/>
          <w:i/>
          <w:sz w:val="24"/>
          <w:szCs w:val="24"/>
        </w:rPr>
        <w:t>14</w:t>
      </w:r>
      <w:r w:rsidRPr="00C00016">
        <w:rPr>
          <w:rFonts w:ascii="Georgia" w:hAnsi="Georgia"/>
          <w:sz w:val="24"/>
          <w:szCs w:val="24"/>
        </w:rPr>
        <w:t xml:space="preserve">(2), 287-307. </w:t>
      </w:r>
      <w:hyperlink r:id="rId21" w:history="1">
        <w:r w:rsidRPr="00C00016">
          <w:rPr>
            <w:rStyle w:val="Hyperlink"/>
            <w:rFonts w:ascii="Georgia" w:hAnsi="Georgia"/>
            <w:color w:val="auto"/>
            <w:sz w:val="24"/>
            <w:szCs w:val="24"/>
          </w:rPr>
          <w:t>http://documents.worldbank.org/curated/en/826781468179358104/Monitoring-banking-sector-fragility-a-multivariate-logit-approach</w:t>
        </w:r>
      </w:hyperlink>
    </w:p>
    <w:p w14:paraId="7918D9F8" w14:textId="77777777" w:rsidR="004C4D80" w:rsidRPr="00C00016" w:rsidRDefault="004C4D80" w:rsidP="004C4D80">
      <w:pPr>
        <w:autoSpaceDE w:val="0"/>
        <w:autoSpaceDN w:val="0"/>
        <w:adjustRightInd w:val="0"/>
        <w:spacing w:before="120" w:after="0" w:line="240" w:lineRule="auto"/>
        <w:ind w:left="720" w:hanging="720"/>
        <w:contextualSpacing/>
        <w:jc w:val="both"/>
        <w:rPr>
          <w:rFonts w:ascii="Georgia" w:hAnsi="Georgia"/>
          <w:sz w:val="24"/>
          <w:szCs w:val="24"/>
        </w:rPr>
      </w:pPr>
      <w:r w:rsidRPr="00C00016">
        <w:rPr>
          <w:rFonts w:ascii="Georgia" w:hAnsi="Georgia"/>
          <w:sz w:val="24"/>
          <w:szCs w:val="24"/>
        </w:rPr>
        <w:t>Kithinji, M. (2010). Developments affecting the profitability of commercial banks</w:t>
      </w:r>
      <w:r w:rsidRPr="00C00016">
        <w:rPr>
          <w:rFonts w:ascii="Georgia" w:hAnsi="Georgia"/>
          <w:i/>
          <w:sz w:val="24"/>
          <w:szCs w:val="24"/>
        </w:rPr>
        <w:t>. Federal Reserve Bulletin. 76</w:t>
      </w:r>
      <w:r w:rsidRPr="00C00016">
        <w:rPr>
          <w:rFonts w:ascii="Georgia" w:hAnsi="Georgia"/>
          <w:sz w:val="24"/>
          <w:szCs w:val="24"/>
        </w:rPr>
        <w:t xml:space="preserve"> (7), 477-499. </w:t>
      </w:r>
      <w:hyperlink r:id="rId22" w:history="1">
        <w:r w:rsidRPr="00C00016">
          <w:rPr>
            <w:rStyle w:val="Hyperlink"/>
            <w:rFonts w:ascii="Georgia" w:hAnsi="Georgia"/>
            <w:color w:val="auto"/>
            <w:sz w:val="24"/>
            <w:szCs w:val="24"/>
          </w:rPr>
          <w:t>http://erepository.uonbi.ac.ke/bitstream/handle/11295/40437/aibuma2011-submission232.pdf?</w:t>
        </w:r>
      </w:hyperlink>
    </w:p>
    <w:p w14:paraId="496EEBD1"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bCs/>
          <w:sz w:val="24"/>
          <w:szCs w:val="24"/>
        </w:rPr>
        <w:t xml:space="preserve">Moti, H., Masinde, J. &amp; Galo, N. </w:t>
      </w:r>
      <w:r w:rsidRPr="00C00016">
        <w:rPr>
          <w:rFonts w:ascii="Georgia" w:hAnsi="Georgia"/>
          <w:sz w:val="24"/>
          <w:szCs w:val="24"/>
        </w:rPr>
        <w:t xml:space="preserve">(2012), Effectiveness of credit management system on loan performance: empirical evidence from micro finance sector in Kenya. </w:t>
      </w:r>
      <w:r w:rsidRPr="00C00016">
        <w:rPr>
          <w:rFonts w:ascii="Georgia" w:hAnsi="Georgia"/>
          <w:i/>
          <w:sz w:val="24"/>
          <w:szCs w:val="24"/>
        </w:rPr>
        <w:t xml:space="preserve">International Journal of Business, Humanities and Technology. 2, </w:t>
      </w:r>
      <w:r w:rsidRPr="00C00016">
        <w:rPr>
          <w:rFonts w:ascii="Georgia" w:hAnsi="Georgia"/>
          <w:sz w:val="24"/>
          <w:szCs w:val="24"/>
        </w:rPr>
        <w:t>99</w:t>
      </w:r>
      <w:r w:rsidRPr="00C00016">
        <w:rPr>
          <w:rFonts w:ascii="Times New Roman" w:hAnsi="Times New Roman" w:cs="Times New Roman"/>
          <w:sz w:val="24"/>
          <w:szCs w:val="24"/>
        </w:rPr>
        <w:t>‑</w:t>
      </w:r>
      <w:r w:rsidRPr="00C00016">
        <w:rPr>
          <w:rFonts w:ascii="Georgia" w:hAnsi="Georgia"/>
          <w:sz w:val="24"/>
          <w:szCs w:val="24"/>
        </w:rPr>
        <w:t xml:space="preserve">108. </w:t>
      </w:r>
      <w:hyperlink r:id="rId23" w:history="1">
        <w:r w:rsidRPr="00C00016">
          <w:rPr>
            <w:rStyle w:val="Hyperlink"/>
            <w:rFonts w:ascii="Georgia" w:hAnsi="Georgia"/>
            <w:color w:val="auto"/>
            <w:sz w:val="24"/>
            <w:szCs w:val="24"/>
          </w:rPr>
          <w:t>http://chuka.ac.ke/publications/MOTI%20N%20GALO%20PUBLICATION.pdf</w:t>
        </w:r>
      </w:hyperlink>
    </w:p>
    <w:p w14:paraId="3F5979FB" w14:textId="77777777" w:rsidR="004C4D80" w:rsidRPr="00C00016" w:rsidRDefault="004C4D80" w:rsidP="004C4D80">
      <w:pPr>
        <w:spacing w:before="120" w:after="0" w:line="240" w:lineRule="auto"/>
        <w:ind w:left="720" w:hanging="720"/>
        <w:contextualSpacing/>
        <w:jc w:val="both"/>
        <w:rPr>
          <w:rFonts w:ascii="Georgia" w:eastAsia="Arial Unicode MS" w:hAnsi="Georgia"/>
          <w:b/>
          <w:sz w:val="24"/>
          <w:szCs w:val="24"/>
        </w:rPr>
      </w:pPr>
      <w:bookmarkStart w:id="4" w:name="_Ref287538764"/>
      <w:bookmarkStart w:id="5" w:name="_Toc287539291"/>
      <w:bookmarkStart w:id="6" w:name="_Toc287539323"/>
      <w:bookmarkStart w:id="7" w:name="_Toc289856140"/>
      <w:bookmarkStart w:id="8" w:name="_Toc290107904"/>
      <w:bookmarkStart w:id="9" w:name="_Toc287258050"/>
      <w:proofErr w:type="spellStart"/>
      <w:r w:rsidRPr="00045CE3">
        <w:rPr>
          <w:rFonts w:ascii="Georgia" w:hAnsi="Georgia"/>
          <w:sz w:val="24"/>
          <w:szCs w:val="24"/>
        </w:rPr>
        <w:t>Mukhtarov</w:t>
      </w:r>
      <w:proofErr w:type="spellEnd"/>
      <w:r w:rsidRPr="00045CE3">
        <w:rPr>
          <w:rFonts w:ascii="Georgia" w:hAnsi="Georgia"/>
          <w:sz w:val="24"/>
          <w:szCs w:val="24"/>
        </w:rPr>
        <w:t xml:space="preserve">, S., Yüksel, S., &amp; Mammadov, E. (2018). </w:t>
      </w:r>
      <w:r w:rsidRPr="00C00016">
        <w:rPr>
          <w:rFonts w:ascii="Georgia" w:hAnsi="Georgia"/>
          <w:sz w:val="24"/>
          <w:szCs w:val="24"/>
        </w:rPr>
        <w:t xml:space="preserve">Factors that increase credit risk of Azerbaijani banks. </w:t>
      </w:r>
      <w:r w:rsidRPr="00C00016">
        <w:rPr>
          <w:rFonts w:ascii="Georgia" w:hAnsi="Georgia"/>
          <w:i/>
          <w:sz w:val="24"/>
          <w:szCs w:val="24"/>
        </w:rPr>
        <w:t>Journal of International Studies, 11</w:t>
      </w:r>
      <w:r w:rsidRPr="00C00016">
        <w:rPr>
          <w:rFonts w:ascii="Georgia" w:hAnsi="Georgia"/>
          <w:sz w:val="24"/>
          <w:szCs w:val="24"/>
        </w:rPr>
        <w:t xml:space="preserve">(2), 63-75. doi:10.14254/2071-8330.2018/11-2/5 </w:t>
      </w:r>
    </w:p>
    <w:bookmarkEnd w:id="4"/>
    <w:bookmarkEnd w:id="5"/>
    <w:bookmarkEnd w:id="6"/>
    <w:bookmarkEnd w:id="7"/>
    <w:bookmarkEnd w:id="8"/>
    <w:bookmarkEnd w:id="9"/>
    <w:p w14:paraId="66A96FD8"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Olusanya, S., Oyebo A., Ohadebere E. (2012). Determinants of Lending Behavior of Commercial Banks. </w:t>
      </w:r>
      <w:r w:rsidRPr="00C00016">
        <w:rPr>
          <w:rFonts w:ascii="Georgia" w:hAnsi="Georgia"/>
          <w:i/>
          <w:sz w:val="24"/>
          <w:szCs w:val="24"/>
        </w:rPr>
        <w:t>A Co-Integration Analysis, vol.</w:t>
      </w:r>
      <w:r w:rsidRPr="00C00016">
        <w:rPr>
          <w:rFonts w:ascii="Georgia" w:hAnsi="Georgia"/>
          <w:sz w:val="24"/>
          <w:szCs w:val="24"/>
        </w:rPr>
        <w:t xml:space="preserve"> 5 No.5, pp. 71-80. </w:t>
      </w:r>
      <w:hyperlink r:id="rId24" w:history="1">
        <w:r w:rsidRPr="00C00016">
          <w:rPr>
            <w:rStyle w:val="Hyperlink"/>
            <w:rFonts w:ascii="Georgia" w:hAnsi="Georgia"/>
            <w:color w:val="auto"/>
            <w:sz w:val="24"/>
            <w:szCs w:val="24"/>
            <w:bdr w:val="none" w:sz="0" w:space="0" w:color="auto" w:frame="1"/>
            <w:shd w:val="clear" w:color="auto" w:fill="F5F5F5"/>
          </w:rPr>
          <w:t>http://www.iosrjournals.org/iosr-jhss/papers/Vol5-issue5/G0557180.pdf</w:t>
        </w:r>
      </w:hyperlink>
    </w:p>
    <w:p w14:paraId="0D348D42" w14:textId="77777777" w:rsidR="004C4D80" w:rsidRPr="00C00016" w:rsidRDefault="004C4D80" w:rsidP="004C4D80">
      <w:pPr>
        <w:spacing w:before="120" w:after="0" w:line="240" w:lineRule="auto"/>
        <w:ind w:left="720" w:hanging="720"/>
        <w:jc w:val="both"/>
        <w:rPr>
          <w:rFonts w:ascii="Georgia" w:hAnsi="Georgia"/>
          <w:sz w:val="24"/>
          <w:szCs w:val="24"/>
        </w:rPr>
      </w:pPr>
    </w:p>
    <w:p w14:paraId="341BE402"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Rose et.al (2008). Factors affecting the bank credit: An empirical study on the Jordanian commercial banks. </w:t>
      </w:r>
      <w:r w:rsidRPr="00C00016">
        <w:rPr>
          <w:rFonts w:ascii="Georgia" w:hAnsi="Georgia"/>
          <w:i/>
          <w:sz w:val="24"/>
          <w:szCs w:val="24"/>
        </w:rPr>
        <w:t>International Journal of Economics and Finance, 7</w:t>
      </w:r>
      <w:r w:rsidRPr="00C00016">
        <w:rPr>
          <w:rFonts w:ascii="Georgia" w:hAnsi="Georgia"/>
          <w:sz w:val="24"/>
          <w:szCs w:val="24"/>
        </w:rPr>
        <w:t xml:space="preserve">(5), 166-178. </w:t>
      </w:r>
      <w:hyperlink r:id="rId25" w:history="1">
        <w:r w:rsidRPr="00C00016">
          <w:rPr>
            <w:rStyle w:val="Hyperlink"/>
            <w:rFonts w:ascii="Georgia" w:hAnsi="Georgia"/>
            <w:color w:val="auto"/>
            <w:sz w:val="24"/>
            <w:szCs w:val="24"/>
          </w:rPr>
          <w:t>http://ccsenet.org/journal/index.php/ijef/article/view/48096</w:t>
        </w:r>
      </w:hyperlink>
      <w:r w:rsidRPr="00C00016">
        <w:rPr>
          <w:rFonts w:ascii="Georgia" w:hAnsi="Georgia"/>
          <w:sz w:val="24"/>
          <w:szCs w:val="24"/>
        </w:rPr>
        <w:t>.</w:t>
      </w:r>
    </w:p>
    <w:p w14:paraId="2D07020F"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Rosman, R. (2011). Risk management practices and risk management processes of Islamic banks: A proposed framework. </w:t>
      </w:r>
      <w:r w:rsidRPr="00C00016">
        <w:rPr>
          <w:rFonts w:ascii="Georgia" w:hAnsi="Georgia"/>
          <w:i/>
          <w:sz w:val="24"/>
          <w:szCs w:val="24"/>
        </w:rPr>
        <w:t>International Review of Business</w:t>
      </w:r>
      <w:r w:rsidRPr="00C00016">
        <w:rPr>
          <w:rFonts w:ascii="Georgia" w:hAnsi="Georgia"/>
          <w:i/>
          <w:spacing w:val="-26"/>
          <w:sz w:val="24"/>
          <w:szCs w:val="24"/>
        </w:rPr>
        <w:t xml:space="preserve"> </w:t>
      </w:r>
      <w:r w:rsidRPr="00C00016">
        <w:rPr>
          <w:rFonts w:ascii="Georgia" w:hAnsi="Georgia"/>
          <w:i/>
          <w:sz w:val="24"/>
          <w:szCs w:val="24"/>
        </w:rPr>
        <w:t>Research Papers. 5</w:t>
      </w:r>
      <w:r w:rsidRPr="00C00016">
        <w:rPr>
          <w:rFonts w:ascii="Georgia" w:hAnsi="Georgia"/>
          <w:sz w:val="24"/>
          <w:szCs w:val="24"/>
        </w:rPr>
        <w:t xml:space="preserve">(1),242-254. </w:t>
      </w:r>
      <w:hyperlink r:id="rId26" w:history="1">
        <w:r w:rsidRPr="00C00016">
          <w:rPr>
            <w:rStyle w:val="Hyperlink"/>
            <w:rFonts w:ascii="Georgia" w:hAnsi="Georgia"/>
            <w:color w:val="auto"/>
            <w:sz w:val="24"/>
            <w:szCs w:val="24"/>
          </w:rPr>
          <w:t>http://www.bizresearchpapers.com/attachments_2009_01_13/20.Rosman.pdf</w:t>
        </w:r>
      </w:hyperlink>
    </w:p>
    <w:p w14:paraId="00E6D16B" w14:textId="77777777" w:rsidR="004C4D80" w:rsidRPr="00C00016" w:rsidRDefault="004C4D80" w:rsidP="004C4D80">
      <w:pPr>
        <w:spacing w:before="120" w:after="0" w:line="240" w:lineRule="auto"/>
        <w:jc w:val="both"/>
        <w:rPr>
          <w:rFonts w:ascii="Georgia" w:hAnsi="Georgia"/>
          <w:sz w:val="24"/>
          <w:szCs w:val="24"/>
        </w:rPr>
      </w:pPr>
      <w:r w:rsidRPr="00C00016">
        <w:rPr>
          <w:rFonts w:ascii="Georgia" w:hAnsi="Georgia"/>
          <w:sz w:val="24"/>
          <w:szCs w:val="24"/>
        </w:rPr>
        <w:t>Rothschild and Stiglitz (1976).</w:t>
      </w:r>
    </w:p>
    <w:p w14:paraId="31FCB2CA"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Santomero, A. (2010). </w:t>
      </w:r>
      <w:r w:rsidRPr="00C00016">
        <w:rPr>
          <w:rFonts w:ascii="Georgia" w:hAnsi="Georgia"/>
          <w:i/>
          <w:sz w:val="24"/>
          <w:szCs w:val="24"/>
        </w:rPr>
        <w:t>The Prerequisites for a Successful Financial Reform.</w:t>
      </w:r>
      <w:r w:rsidRPr="00C00016">
        <w:rPr>
          <w:rFonts w:ascii="Georgia" w:hAnsi="Georgia"/>
          <w:sz w:val="24"/>
          <w:szCs w:val="24"/>
        </w:rPr>
        <w:t xml:space="preserve"> The World Bank, EAI Seminar Series, Washington D.C. </w:t>
      </w:r>
      <w:hyperlink r:id="rId27" w:history="1">
        <w:r w:rsidRPr="00C00016">
          <w:rPr>
            <w:rStyle w:val="Hyperlink"/>
            <w:rFonts w:ascii="Georgia" w:hAnsi="Georgia"/>
            <w:color w:val="auto"/>
            <w:sz w:val="24"/>
            <w:szCs w:val="24"/>
          </w:rPr>
          <w:t>http://citeseerx.ist.psu.edu/viewdoc/download?doi=10.1.1.550.1544&amp;rep=rep1&amp;type=pdf</w:t>
        </w:r>
      </w:hyperlink>
    </w:p>
    <w:p w14:paraId="4663BCB6" w14:textId="77777777" w:rsidR="004C4D80" w:rsidRPr="00C00016" w:rsidRDefault="004C4D80" w:rsidP="004C4D80">
      <w:pPr>
        <w:pStyle w:val="ListParagraph"/>
        <w:spacing w:before="120" w:after="0" w:line="240" w:lineRule="auto"/>
        <w:ind w:hanging="720"/>
        <w:jc w:val="both"/>
        <w:rPr>
          <w:rFonts w:ascii="Georgia" w:hAnsi="Georgia"/>
          <w:sz w:val="24"/>
          <w:szCs w:val="24"/>
        </w:rPr>
      </w:pPr>
      <w:proofErr w:type="spellStart"/>
      <w:r w:rsidRPr="00C00016">
        <w:rPr>
          <w:rFonts w:ascii="Georgia" w:hAnsi="Georgia"/>
          <w:sz w:val="24"/>
          <w:szCs w:val="24"/>
        </w:rPr>
        <w:t>Swaranjeet</w:t>
      </w:r>
      <w:proofErr w:type="spellEnd"/>
      <w:r w:rsidRPr="00C00016">
        <w:rPr>
          <w:rFonts w:ascii="Georgia" w:hAnsi="Georgia"/>
          <w:sz w:val="24"/>
          <w:szCs w:val="24"/>
        </w:rPr>
        <w:t xml:space="preserve">, A. (2013). Credit risk analysis in Indian commercial banks-an empirical investigation. </w:t>
      </w:r>
      <w:r w:rsidRPr="00C00016">
        <w:rPr>
          <w:rFonts w:ascii="Georgia" w:hAnsi="Georgia"/>
          <w:i/>
          <w:sz w:val="24"/>
          <w:szCs w:val="24"/>
        </w:rPr>
        <w:t>Asia-Pacific Finance and Accounting Review 1</w:t>
      </w:r>
      <w:r w:rsidRPr="00C00016">
        <w:rPr>
          <w:rFonts w:ascii="Georgia" w:hAnsi="Georgia"/>
          <w:sz w:val="24"/>
          <w:szCs w:val="24"/>
        </w:rPr>
        <w:t>(2).</w:t>
      </w:r>
      <w:hyperlink r:id="rId28" w:history="1">
        <w:r w:rsidRPr="00C00016">
          <w:rPr>
            <w:rStyle w:val="Hyperlink"/>
            <w:rFonts w:ascii="Georgia" w:hAnsi="Georgia"/>
            <w:color w:val="auto"/>
            <w:sz w:val="24"/>
            <w:szCs w:val="24"/>
          </w:rPr>
          <w:t>http://www.academia.edu/25124786/Credit_Risk_Analysis_in_Indian_Commercial_Banks-_An_Empirical_Investigation</w:t>
        </w:r>
      </w:hyperlink>
    </w:p>
    <w:p w14:paraId="7B4B6279" w14:textId="77777777" w:rsidR="004C4D80" w:rsidRPr="00C00016" w:rsidRDefault="004C4D80" w:rsidP="004C4D80">
      <w:pPr>
        <w:pStyle w:val="ListParagraph"/>
        <w:tabs>
          <w:tab w:val="left" w:pos="680"/>
        </w:tabs>
        <w:spacing w:before="120" w:after="0" w:line="240" w:lineRule="auto"/>
        <w:ind w:left="677" w:hanging="677"/>
        <w:jc w:val="both"/>
        <w:rPr>
          <w:rFonts w:ascii="Georgia" w:hAnsi="Georgia"/>
          <w:sz w:val="24"/>
          <w:szCs w:val="24"/>
        </w:rPr>
      </w:pPr>
      <w:proofErr w:type="spellStart"/>
      <w:r w:rsidRPr="00C00016">
        <w:rPr>
          <w:rFonts w:ascii="Georgia" w:hAnsi="Georgia"/>
          <w:sz w:val="24"/>
          <w:szCs w:val="24"/>
        </w:rPr>
        <w:t>Yogieta</w:t>
      </w:r>
      <w:proofErr w:type="spellEnd"/>
      <w:r w:rsidRPr="00C00016">
        <w:rPr>
          <w:rFonts w:ascii="Georgia" w:hAnsi="Georgia"/>
          <w:sz w:val="24"/>
          <w:szCs w:val="24"/>
        </w:rPr>
        <w:t xml:space="preserve">, S. (2010).  Operational risk management in Indian banks: Impact of ownership and size on range of practices for implementation of advanced measurement approach. </w:t>
      </w:r>
      <w:r w:rsidRPr="00C00016">
        <w:rPr>
          <w:rFonts w:ascii="Georgia" w:hAnsi="Georgia"/>
          <w:i/>
          <w:sz w:val="24"/>
          <w:szCs w:val="24"/>
        </w:rPr>
        <w:t>Indian Journal of Finance. 4</w:t>
      </w:r>
      <w:r w:rsidRPr="00C00016">
        <w:rPr>
          <w:rFonts w:ascii="Georgia" w:hAnsi="Georgia"/>
          <w:sz w:val="24"/>
          <w:szCs w:val="24"/>
        </w:rPr>
        <w:t xml:space="preserve">(11). </w:t>
      </w:r>
      <w:hyperlink r:id="rId29" w:history="1">
        <w:r w:rsidRPr="00C00016">
          <w:rPr>
            <w:rStyle w:val="Hyperlink"/>
            <w:rFonts w:ascii="Georgia" w:hAnsi="Georgia"/>
            <w:color w:val="auto"/>
            <w:sz w:val="24"/>
            <w:szCs w:val="24"/>
          </w:rPr>
          <w:t>http://www.igidr.ac.in/conf/money1/OPERATIONAL%20RISK%20MANAGEMENT%20IN%20INDIAN%20BANKS.pdf</w:t>
        </w:r>
      </w:hyperlink>
    </w:p>
    <w:p w14:paraId="160DC813" w14:textId="1F4C6AE7" w:rsidR="004C4D80" w:rsidRPr="00C00016" w:rsidRDefault="004C4D80" w:rsidP="004C4D80">
      <w:pPr>
        <w:spacing w:before="120" w:after="0" w:line="240" w:lineRule="auto"/>
        <w:ind w:left="720" w:hanging="720"/>
        <w:jc w:val="both"/>
        <w:rPr>
          <w:rFonts w:ascii="Georgia" w:eastAsia="Times New Roman" w:hAnsi="Georgia"/>
          <w:sz w:val="24"/>
          <w:szCs w:val="24"/>
        </w:rPr>
      </w:pPr>
      <w:r w:rsidRPr="00C00016">
        <w:rPr>
          <w:rFonts w:ascii="Georgia" w:eastAsia="Times New Roman" w:hAnsi="Georgia"/>
          <w:sz w:val="24"/>
          <w:szCs w:val="24"/>
        </w:rPr>
        <w:t xml:space="preserve">Zahra, A. (2008). Being entrepreneurial and market </w:t>
      </w:r>
      <w:r w:rsidR="006F43FD" w:rsidRPr="00C00016">
        <w:rPr>
          <w:rFonts w:ascii="Georgia" w:eastAsia="Times New Roman" w:hAnsi="Georgia"/>
          <w:sz w:val="24"/>
          <w:szCs w:val="24"/>
        </w:rPr>
        <w:t>driven</w:t>
      </w:r>
      <w:r w:rsidRPr="00C00016">
        <w:rPr>
          <w:rFonts w:ascii="Georgia" w:eastAsia="Times New Roman" w:hAnsi="Georgia"/>
          <w:sz w:val="24"/>
          <w:szCs w:val="24"/>
        </w:rPr>
        <w:t xml:space="preserve"> implications for company performance. </w:t>
      </w:r>
      <w:r w:rsidRPr="00C00016">
        <w:rPr>
          <w:rFonts w:ascii="Georgia" w:eastAsia="Times New Roman" w:hAnsi="Georgia"/>
          <w:i/>
          <w:sz w:val="24"/>
          <w:szCs w:val="24"/>
        </w:rPr>
        <w:t>Journal of Strategy and Management. 1</w:t>
      </w:r>
      <w:r w:rsidRPr="00C00016">
        <w:rPr>
          <w:rFonts w:ascii="Georgia" w:eastAsia="Times New Roman" w:hAnsi="Georgia"/>
          <w:sz w:val="24"/>
          <w:szCs w:val="24"/>
        </w:rPr>
        <w:t xml:space="preserve">(2),125-142. </w:t>
      </w:r>
      <w:hyperlink r:id="rId30" w:history="1">
        <w:r w:rsidRPr="00C00016">
          <w:rPr>
            <w:rStyle w:val="HTMLCite"/>
            <w:rFonts w:ascii="Georgia" w:hAnsi="Georgia"/>
            <w:u w:val="single"/>
          </w:rPr>
          <w:t>https://www.emeraldinsight.com/doi/10.1108/17554250810926339</w:t>
        </w:r>
      </w:hyperlink>
    </w:p>
    <w:p w14:paraId="29C14E28" w14:textId="77777777" w:rsidR="004C4D80" w:rsidRPr="00C00016" w:rsidRDefault="004C4D80" w:rsidP="004C4D80">
      <w:pPr>
        <w:tabs>
          <w:tab w:val="left" w:pos="1380"/>
        </w:tabs>
        <w:spacing w:before="120" w:after="0" w:line="240" w:lineRule="auto"/>
        <w:ind w:left="720" w:hanging="720"/>
        <w:jc w:val="both"/>
        <w:rPr>
          <w:rFonts w:ascii="Georgia" w:hAnsi="Georgia"/>
          <w:sz w:val="24"/>
          <w:szCs w:val="24"/>
        </w:rPr>
      </w:pPr>
      <w:r w:rsidRPr="00C00016">
        <w:rPr>
          <w:rFonts w:ascii="Georgia" w:hAnsi="Georgia"/>
          <w:sz w:val="24"/>
          <w:szCs w:val="24"/>
        </w:rPr>
        <w:t xml:space="preserve">Zhong, R., (2013). </w:t>
      </w:r>
      <w:r w:rsidRPr="00C00016">
        <w:rPr>
          <w:rFonts w:ascii="Georgia" w:hAnsi="Georgia"/>
          <w:i/>
          <w:sz w:val="24"/>
          <w:szCs w:val="24"/>
        </w:rPr>
        <w:t>Credit risk, liquidity risk and asset dynamics</w:t>
      </w:r>
      <w:r w:rsidRPr="00C00016">
        <w:rPr>
          <w:rFonts w:ascii="Georgia" w:hAnsi="Georgia"/>
          <w:sz w:val="24"/>
          <w:szCs w:val="24"/>
        </w:rPr>
        <w:t xml:space="preserve">: theory and empirical Evidence. Concordia University, Montreal, Canada. </w:t>
      </w:r>
      <w:hyperlink r:id="rId31" w:history="1">
        <w:r w:rsidRPr="00C00016">
          <w:rPr>
            <w:rStyle w:val="Hyperlink"/>
            <w:rFonts w:ascii="Georgia" w:hAnsi="Georgia"/>
            <w:color w:val="auto"/>
            <w:sz w:val="24"/>
            <w:szCs w:val="24"/>
          </w:rPr>
          <w:t>https://pdfs.semanticscholar.org/797d/ec6a10d004b280ae89bd928a2b45790383af.pdf</w:t>
        </w:r>
      </w:hyperlink>
    </w:p>
    <w:p w14:paraId="77E0126B" w14:textId="77777777" w:rsidR="004C4D80" w:rsidRPr="00C00016" w:rsidRDefault="004C4D80" w:rsidP="004C4D80">
      <w:pPr>
        <w:autoSpaceDE w:val="0"/>
        <w:autoSpaceDN w:val="0"/>
        <w:adjustRightInd w:val="0"/>
        <w:spacing w:before="120" w:after="0" w:line="240" w:lineRule="auto"/>
        <w:contextualSpacing/>
        <w:rPr>
          <w:rFonts w:ascii="Georgia" w:hAnsi="Georgia"/>
          <w:sz w:val="24"/>
          <w:szCs w:val="24"/>
        </w:rPr>
      </w:pPr>
    </w:p>
    <w:p w14:paraId="63327B6D" w14:textId="77777777" w:rsidR="004C4D80" w:rsidRPr="000551DE" w:rsidRDefault="004C4D80" w:rsidP="00513CA4">
      <w:pPr>
        <w:pStyle w:val="NoSpacing"/>
        <w:spacing w:before="120"/>
        <w:rPr>
          <w:rFonts w:ascii="Georgia" w:hAnsi="Georgia"/>
          <w:sz w:val="24"/>
          <w:szCs w:val="24"/>
        </w:rPr>
      </w:pPr>
    </w:p>
    <w:sectPr w:rsidR="004C4D80" w:rsidRPr="000551DE">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ziz Ullah" w:date="2025-04-11T21:22:00Z" w:initials="AU">
    <w:p w14:paraId="3D6F496F" w14:textId="55190126" w:rsidR="007607A7" w:rsidRDefault="007607A7">
      <w:pPr>
        <w:pStyle w:val="CommentText"/>
        <w:rPr>
          <w:rFonts w:ascii="Segoe UI" w:hAnsi="Segoe UI" w:cs="Segoe UI"/>
          <w:color w:val="404040"/>
        </w:rPr>
      </w:pPr>
      <w:r>
        <w:rPr>
          <w:rStyle w:val="CommentReference"/>
        </w:rPr>
        <w:annotationRef/>
      </w:r>
      <w:r>
        <w:rPr>
          <w:rFonts w:ascii="Segoe UI" w:hAnsi="Segoe UI" w:cs="Segoe UI"/>
          <w:color w:val="404040"/>
        </w:rPr>
        <w:t>1: justification for this gap could be strengthened by briefly summarizing key findings from these studies and explicitly stating how the current research differs. This would better establish the novelty and significance of the study.</w:t>
      </w:r>
    </w:p>
    <w:p w14:paraId="1B2D26CE" w14:textId="77777777" w:rsidR="007607A7" w:rsidRDefault="007607A7">
      <w:pPr>
        <w:pStyle w:val="CommentText"/>
        <w:rPr>
          <w:lang w:val="en-GB"/>
        </w:rPr>
      </w:pPr>
      <w:r>
        <w:t>2:</w:t>
      </w:r>
      <w:r w:rsidRPr="007607A7">
        <w:rPr>
          <w:lang w:val="en-GB"/>
        </w:rPr>
        <w:t>The introduction references the 2016 banking crisis in Kenya and CBK directives, but more recent data (e.g., post-2016 trends in NPLs, lending performance, or regulatory changes) would enhance the relevance of the study. Updating the context with recent statistics or reports from CBK or World Bank would strengthen the argument for why credit risk identification remains a critical issue.</w:t>
      </w:r>
    </w:p>
    <w:p w14:paraId="1F449B51" w14:textId="5D771282" w:rsidR="007607A7" w:rsidRDefault="007607A7">
      <w:pPr>
        <w:pStyle w:val="CommentText"/>
      </w:pPr>
      <w:r>
        <w:rPr>
          <w:lang w:val="en-GB"/>
        </w:rPr>
        <w:t>3:</w:t>
      </w:r>
      <w:r w:rsidR="0043706F">
        <w:rPr>
          <w:lang w:val="en-GB"/>
        </w:rPr>
        <w:t xml:space="preserve"> </w:t>
      </w:r>
      <w:r w:rsidR="0043706F" w:rsidRPr="0043706F">
        <w:rPr>
          <w:lang w:val="en-GB"/>
        </w:rPr>
        <w:t>The hypothesis states that "there is no significant effect of credit risk identification on lending performance," but it lacks specificity. A more precise hypothesis could specify which aspects of credit risk identification (e.g., credit scoring models, borrower screening, use of Credit Reference Bureau data) are being tested and how lending performance is measured (e.g., loan default rates, profitability, NPL ratios). This would improve the study's focus and testability</w:t>
      </w:r>
    </w:p>
  </w:comment>
  <w:comment w:id="1" w:author="Aziz Ullah" w:date="2025-04-11T22:06:00Z" w:initials="AU">
    <w:p w14:paraId="5BBF48F1" w14:textId="5A737797" w:rsidR="002454C3" w:rsidRDefault="002454C3">
      <w:pPr>
        <w:pStyle w:val="CommentText"/>
      </w:pPr>
      <w:r>
        <w:rPr>
          <w:rStyle w:val="CommentReference"/>
        </w:rPr>
        <w:annotationRef/>
      </w:r>
      <w:r w:rsidRPr="002454C3">
        <w:rPr>
          <w:lang w:val="en-GB"/>
        </w:rPr>
        <w:t xml:space="preserve">he literature review draws heavily from studies conducted over a decade ago (e.g., Zahra, 2008; Rose et al., 2008; Lore, 2007). While they are foundational, the review should incorporate </w:t>
      </w:r>
      <w:r w:rsidRPr="002454C3">
        <w:rPr>
          <w:b/>
          <w:bCs/>
          <w:lang w:val="en-GB"/>
        </w:rPr>
        <w:t>more recent studies</w:t>
      </w:r>
      <w:r w:rsidRPr="002454C3">
        <w:rPr>
          <w:lang w:val="en-GB"/>
        </w:rPr>
        <w:t xml:space="preserve">, particularly those that reflect </w:t>
      </w:r>
      <w:r w:rsidRPr="002454C3">
        <w:rPr>
          <w:b/>
          <w:bCs/>
          <w:lang w:val="en-GB"/>
        </w:rPr>
        <w:t>contemporary trends in digital lending, AI-based risk assessment, and fintech-driven credit systems</w:t>
      </w:r>
      <w:r w:rsidRPr="002454C3">
        <w:rPr>
          <w:lang w:val="en-GB"/>
        </w:rPr>
        <w:t>. This would enhance the relevance of the discussion and situate the study in the modern financial ecosystem.</w:t>
      </w:r>
    </w:p>
  </w:comment>
  <w:comment w:id="2" w:author="Aziz Ullah" w:date="2025-04-11T22:13:00Z" w:initials="AU">
    <w:p w14:paraId="2D2D06A6" w14:textId="2C3D2C4B" w:rsidR="002454C3" w:rsidRDefault="002454C3">
      <w:pPr>
        <w:pStyle w:val="CommentText"/>
        <w:rPr>
          <w:lang w:val="en-GB"/>
        </w:rPr>
      </w:pPr>
      <w:r>
        <w:rPr>
          <w:rStyle w:val="CommentReference"/>
        </w:rPr>
        <w:annotationRef/>
      </w:r>
      <w:r>
        <w:rPr>
          <w:lang w:val="en-GB"/>
        </w:rPr>
        <w:t xml:space="preserve">1: </w:t>
      </w:r>
      <w:r w:rsidRPr="002454C3">
        <w:rPr>
          <w:lang w:val="en-GB"/>
        </w:rPr>
        <w:t>Clarity on Dependent Variable Measurement</w:t>
      </w:r>
    </w:p>
    <w:p w14:paraId="3C798A4C" w14:textId="2FF1C24B" w:rsidR="002454C3" w:rsidRDefault="002454C3">
      <w:pPr>
        <w:pStyle w:val="CommentText"/>
        <w:rPr>
          <w:lang w:val="en-GB"/>
        </w:rPr>
      </w:pPr>
      <w:r>
        <w:rPr>
          <w:lang w:val="en-GB"/>
        </w:rPr>
        <w:t xml:space="preserve">2: </w:t>
      </w:r>
      <w:r w:rsidRPr="002454C3">
        <w:rPr>
          <w:lang w:val="en-GB"/>
        </w:rPr>
        <w:t xml:space="preserve">While it is noted that data was collected from 42 commercial banks in Nairobi, it would be useful to </w:t>
      </w:r>
      <w:r w:rsidRPr="002454C3">
        <w:rPr>
          <w:b/>
          <w:bCs/>
          <w:lang w:val="en-GB"/>
        </w:rPr>
        <w:t>justify the geographical limitation</w:t>
      </w:r>
      <w:r w:rsidRPr="002454C3">
        <w:rPr>
          <w:lang w:val="en-GB"/>
        </w:rPr>
        <w:t xml:space="preserve"> to Nairobi County, considering banks operate nationally. Are the findings </w:t>
      </w:r>
      <w:r w:rsidRPr="002454C3">
        <w:rPr>
          <w:b/>
          <w:bCs/>
          <w:lang w:val="en-GB"/>
        </w:rPr>
        <w:t>generalizable to all Kenyan banks</w:t>
      </w:r>
      <w:r w:rsidRPr="002454C3">
        <w:rPr>
          <w:lang w:val="en-GB"/>
        </w:rPr>
        <w:t xml:space="preserve">? A brief note on </w:t>
      </w:r>
      <w:r w:rsidRPr="002454C3">
        <w:rPr>
          <w:b/>
          <w:bCs/>
          <w:lang w:val="en-GB"/>
        </w:rPr>
        <w:t>why Nairobi is representative</w:t>
      </w:r>
      <w:r w:rsidRPr="002454C3">
        <w:rPr>
          <w:lang w:val="en-GB"/>
        </w:rPr>
        <w:t xml:space="preserve"> or strategically important would enhance credibility</w:t>
      </w:r>
    </w:p>
    <w:p w14:paraId="657F4813" w14:textId="77777777" w:rsidR="002454C3" w:rsidRDefault="002454C3">
      <w:pPr>
        <w:pStyle w:val="CommentText"/>
      </w:pPr>
    </w:p>
    <w:p w14:paraId="363DCA29" w14:textId="38F64813" w:rsidR="002454C3" w:rsidRDefault="00D27BC8">
      <w:pPr>
        <w:pStyle w:val="CommentText"/>
      </w:pPr>
      <w:r>
        <w:t>3:</w:t>
      </w:r>
      <w:r w:rsidRPr="00D27BC8">
        <w:rPr>
          <w:lang w:val="en-GB"/>
        </w:rPr>
        <w:t xml:space="preserve">The methodology describes using a structured questionnaire and a five-point Likert scale but does not mention whether </w:t>
      </w:r>
      <w:r w:rsidRPr="00D27BC8">
        <w:rPr>
          <w:b/>
          <w:bCs/>
          <w:lang w:val="en-GB"/>
        </w:rPr>
        <w:t>pre-testing, pilot testing, or reliability analysis (e.g., Cronbach's alpha)</w:t>
      </w:r>
      <w:r w:rsidRPr="00D27BC8">
        <w:rPr>
          <w:lang w:val="en-GB"/>
        </w:rPr>
        <w:t xml:space="preserve"> was conducted. These are important steps to demonstrate the </w:t>
      </w:r>
      <w:r w:rsidRPr="00D27BC8">
        <w:rPr>
          <w:b/>
          <w:bCs/>
          <w:lang w:val="en-GB"/>
        </w:rPr>
        <w:t>validity and reliability</w:t>
      </w:r>
      <w:r w:rsidRPr="00D27BC8">
        <w:rPr>
          <w:lang w:val="en-GB"/>
        </w:rPr>
        <w:t xml:space="preserve"> of the measurement instruments, especially for constructs like credit risk identification.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449B51" w15:done="0"/>
  <w15:commentEx w15:paraId="5BBF48F1" w15:done="0"/>
  <w15:commentEx w15:paraId="363DCA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2B94DF" w16cex:dateUtc="2025-04-12T04:22:00Z"/>
  <w16cex:commentExtensible w16cex:durableId="4BBAEECA" w16cex:dateUtc="2025-04-12T05:06:00Z"/>
  <w16cex:commentExtensible w16cex:durableId="2E03F866" w16cex:dateUtc="2025-04-12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449B51" w16cid:durableId="7D2B94DF"/>
  <w16cid:commentId w16cid:paraId="5BBF48F1" w16cid:durableId="4BBAEECA"/>
  <w16cid:commentId w16cid:paraId="363DCA29" w16cid:durableId="2E03F8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F60B" w14:textId="77777777" w:rsidR="00AA1E8E" w:rsidRDefault="00AA1E8E" w:rsidP="001E7769">
      <w:pPr>
        <w:spacing w:after="0" w:line="240" w:lineRule="auto"/>
      </w:pPr>
      <w:r>
        <w:separator/>
      </w:r>
    </w:p>
  </w:endnote>
  <w:endnote w:type="continuationSeparator" w:id="0">
    <w:p w14:paraId="3BCBAB12" w14:textId="77777777" w:rsidR="00AA1E8E" w:rsidRDefault="00AA1E8E" w:rsidP="001E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Garamond-Italic">
    <w:altName w:val="Times New Roman"/>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E8A3" w14:textId="77777777" w:rsidR="007579E9" w:rsidRDefault="00757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371308"/>
      <w:docPartObj>
        <w:docPartGallery w:val="Page Numbers (Bottom of Page)"/>
        <w:docPartUnique/>
      </w:docPartObj>
    </w:sdtPr>
    <w:sdtEndPr>
      <w:rPr>
        <w:noProof/>
      </w:rPr>
    </w:sdtEndPr>
    <w:sdtContent>
      <w:p w14:paraId="1415A8F1" w14:textId="6524C485" w:rsidR="001E7769" w:rsidRDefault="001E7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2F185D" w14:textId="77777777" w:rsidR="001E7769" w:rsidRDefault="001E7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4A90" w14:textId="77777777" w:rsidR="007579E9" w:rsidRDefault="00757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C040" w14:textId="77777777" w:rsidR="00AA1E8E" w:rsidRDefault="00AA1E8E" w:rsidP="001E7769">
      <w:pPr>
        <w:spacing w:after="0" w:line="240" w:lineRule="auto"/>
      </w:pPr>
      <w:r>
        <w:separator/>
      </w:r>
    </w:p>
  </w:footnote>
  <w:footnote w:type="continuationSeparator" w:id="0">
    <w:p w14:paraId="42371E89" w14:textId="77777777" w:rsidR="00AA1E8E" w:rsidRDefault="00AA1E8E" w:rsidP="001E7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82AC" w14:textId="57AFA385" w:rsidR="007579E9" w:rsidRDefault="002F1E19">
    <w:pPr>
      <w:pStyle w:val="Header"/>
    </w:pPr>
    <w:r>
      <w:rPr>
        <w:noProof/>
      </w:rPr>
    </w:r>
    <w:r w:rsidR="002F1E19">
      <w:rPr>
        <w:noProof/>
      </w:rPr>
      <w:pict w14:anchorId="01CAA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16516" o:spid="_x0000_s1026"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FA90" w14:textId="31611C37" w:rsidR="007579E9" w:rsidRDefault="002F1E19">
    <w:pPr>
      <w:pStyle w:val="Header"/>
    </w:pPr>
    <w:r>
      <w:rPr>
        <w:noProof/>
      </w:rPr>
    </w:r>
    <w:r w:rsidR="002F1E19">
      <w:rPr>
        <w:noProof/>
      </w:rPr>
      <w:pict w14:anchorId="0A2E6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16517" o:spid="_x0000_s1027"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4FBC" w14:textId="71508C2E" w:rsidR="007579E9" w:rsidRDefault="002F1E19">
    <w:pPr>
      <w:pStyle w:val="Header"/>
    </w:pPr>
    <w:r>
      <w:rPr>
        <w:noProof/>
      </w:rPr>
    </w:r>
    <w:r w:rsidR="002F1E19">
      <w:rPr>
        <w:noProof/>
      </w:rPr>
      <w:pict w14:anchorId="1A134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16515" o:spid="_x0000_s102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E9278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B0AE729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E12C1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95AE9E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D55CC0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6"/>
    <w:multiLevelType w:val="hybridMultilevel"/>
    <w:tmpl w:val="FD624B0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multilevel"/>
    <w:tmpl w:val="992A673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hybridMultilevel"/>
    <w:tmpl w:val="440A8F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F9DC13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1429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multilevel"/>
    <w:tmpl w:val="BE44B80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hybridMultilevel"/>
    <w:tmpl w:val="2D02ED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000000D"/>
    <w:multiLevelType w:val="hybridMultilevel"/>
    <w:tmpl w:val="BEB6F4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000000E"/>
    <w:multiLevelType w:val="hybridMultilevel"/>
    <w:tmpl w:val="F02A2C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000000F"/>
    <w:multiLevelType w:val="hybridMultilevel"/>
    <w:tmpl w:val="A84048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B97E907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0000011"/>
    <w:multiLevelType w:val="hybridMultilevel"/>
    <w:tmpl w:val="9ADEC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B6668B5"/>
    <w:multiLevelType w:val="hybridMultilevel"/>
    <w:tmpl w:val="3A5C63CE"/>
    <w:lvl w:ilvl="0" w:tplc="2600425C">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BC72348"/>
    <w:multiLevelType w:val="hybridMultilevel"/>
    <w:tmpl w:val="965CBA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8A0564D"/>
    <w:multiLevelType w:val="hybridMultilevel"/>
    <w:tmpl w:val="9D7C29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B48AB1B"/>
    <w:multiLevelType w:val="singleLevel"/>
    <w:tmpl w:val="7B48AB1B"/>
    <w:lvl w:ilvl="0">
      <w:start w:val="4"/>
      <w:numFmt w:val="decimal"/>
      <w:suff w:val="space"/>
      <w:lvlText w:val="%1."/>
      <w:lvlJc w:val="left"/>
    </w:lvl>
  </w:abstractNum>
  <w:num w:numId="1" w16cid:durableId="1340809558">
    <w:abstractNumId w:val="13"/>
  </w:num>
  <w:num w:numId="2" w16cid:durableId="1338072516">
    <w:abstractNumId w:val="5"/>
  </w:num>
  <w:num w:numId="3" w16cid:durableId="2085033096">
    <w:abstractNumId w:val="2"/>
  </w:num>
  <w:num w:numId="4" w16cid:durableId="1027411884">
    <w:abstractNumId w:val="7"/>
  </w:num>
  <w:num w:numId="5" w16cid:durableId="1527478194">
    <w:abstractNumId w:val="1"/>
  </w:num>
  <w:num w:numId="6" w16cid:durableId="1316378201">
    <w:abstractNumId w:val="12"/>
  </w:num>
  <w:num w:numId="7" w16cid:durableId="1052730902">
    <w:abstractNumId w:val="3"/>
  </w:num>
  <w:num w:numId="8" w16cid:durableId="1888487113">
    <w:abstractNumId w:val="16"/>
  </w:num>
  <w:num w:numId="9" w16cid:durableId="514196061">
    <w:abstractNumId w:val="0"/>
  </w:num>
  <w:num w:numId="10" w16cid:durableId="1284655529">
    <w:abstractNumId w:val="14"/>
  </w:num>
  <w:num w:numId="11" w16cid:durableId="1356729191">
    <w:abstractNumId w:val="8"/>
  </w:num>
  <w:num w:numId="12" w16cid:durableId="1333873227">
    <w:abstractNumId w:val="9"/>
  </w:num>
  <w:num w:numId="13" w16cid:durableId="1311979743">
    <w:abstractNumId w:val="6"/>
  </w:num>
  <w:num w:numId="14" w16cid:durableId="1931965909">
    <w:abstractNumId w:val="10"/>
  </w:num>
  <w:num w:numId="15" w16cid:durableId="501940892">
    <w:abstractNumId w:val="11"/>
  </w:num>
  <w:num w:numId="16" w16cid:durableId="449863803">
    <w:abstractNumId w:val="4"/>
  </w:num>
  <w:num w:numId="17" w16cid:durableId="324550746">
    <w:abstractNumId w:val="15"/>
  </w:num>
  <w:num w:numId="18" w16cid:durableId="1450666888">
    <w:abstractNumId w:val="20"/>
  </w:num>
  <w:num w:numId="19" w16cid:durableId="1369991078">
    <w:abstractNumId w:val="17"/>
  </w:num>
  <w:num w:numId="20" w16cid:durableId="2073040717">
    <w:abstractNumId w:val="18"/>
  </w:num>
  <w:num w:numId="21" w16cid:durableId="136617299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iz Ullah">
    <w15:presenceInfo w15:providerId="Windows Live" w15:userId="f6858f032e342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A4"/>
    <w:rsid w:val="000025F0"/>
    <w:rsid w:val="00021F5E"/>
    <w:rsid w:val="00026B29"/>
    <w:rsid w:val="0003089E"/>
    <w:rsid w:val="00044BE9"/>
    <w:rsid w:val="00045CE3"/>
    <w:rsid w:val="000551DE"/>
    <w:rsid w:val="000650BA"/>
    <w:rsid w:val="00072B83"/>
    <w:rsid w:val="000776D8"/>
    <w:rsid w:val="00077B1A"/>
    <w:rsid w:val="0008027C"/>
    <w:rsid w:val="00091F0D"/>
    <w:rsid w:val="00095F67"/>
    <w:rsid w:val="000A127D"/>
    <w:rsid w:val="000A7A6F"/>
    <w:rsid w:val="000C06B1"/>
    <w:rsid w:val="000D6228"/>
    <w:rsid w:val="000E6575"/>
    <w:rsid w:val="000F1112"/>
    <w:rsid w:val="000F2498"/>
    <w:rsid w:val="000F415A"/>
    <w:rsid w:val="000F467F"/>
    <w:rsid w:val="000F6B94"/>
    <w:rsid w:val="00111B65"/>
    <w:rsid w:val="00120B0D"/>
    <w:rsid w:val="001261F1"/>
    <w:rsid w:val="00136690"/>
    <w:rsid w:val="00141B05"/>
    <w:rsid w:val="001446A1"/>
    <w:rsid w:val="001506E7"/>
    <w:rsid w:val="00155903"/>
    <w:rsid w:val="00161F50"/>
    <w:rsid w:val="00164E13"/>
    <w:rsid w:val="001658B3"/>
    <w:rsid w:val="00170EAC"/>
    <w:rsid w:val="00172ECE"/>
    <w:rsid w:val="00176FE0"/>
    <w:rsid w:val="00185797"/>
    <w:rsid w:val="00186552"/>
    <w:rsid w:val="0019652C"/>
    <w:rsid w:val="001968DE"/>
    <w:rsid w:val="001A2369"/>
    <w:rsid w:val="001A406F"/>
    <w:rsid w:val="001A5A8F"/>
    <w:rsid w:val="001A5DFF"/>
    <w:rsid w:val="001C2849"/>
    <w:rsid w:val="001C4DC4"/>
    <w:rsid w:val="001C5E26"/>
    <w:rsid w:val="001C6ACE"/>
    <w:rsid w:val="001D03B3"/>
    <w:rsid w:val="001D4257"/>
    <w:rsid w:val="001E7769"/>
    <w:rsid w:val="001F1175"/>
    <w:rsid w:val="002032F7"/>
    <w:rsid w:val="002065C2"/>
    <w:rsid w:val="00207FB3"/>
    <w:rsid w:val="00211332"/>
    <w:rsid w:val="002128BE"/>
    <w:rsid w:val="00212BF6"/>
    <w:rsid w:val="00214E4B"/>
    <w:rsid w:val="002151CF"/>
    <w:rsid w:val="00217844"/>
    <w:rsid w:val="00227004"/>
    <w:rsid w:val="00227709"/>
    <w:rsid w:val="00232C5A"/>
    <w:rsid w:val="002341B6"/>
    <w:rsid w:val="00240945"/>
    <w:rsid w:val="00244D1D"/>
    <w:rsid w:val="002454C3"/>
    <w:rsid w:val="00251B5B"/>
    <w:rsid w:val="002561E9"/>
    <w:rsid w:val="00263D77"/>
    <w:rsid w:val="00264321"/>
    <w:rsid w:val="00285895"/>
    <w:rsid w:val="00295EF4"/>
    <w:rsid w:val="002A0264"/>
    <w:rsid w:val="002A1A0E"/>
    <w:rsid w:val="002A267D"/>
    <w:rsid w:val="002A6AAE"/>
    <w:rsid w:val="002B4648"/>
    <w:rsid w:val="002B4CA4"/>
    <w:rsid w:val="002B6E94"/>
    <w:rsid w:val="002C1F4F"/>
    <w:rsid w:val="002C33E5"/>
    <w:rsid w:val="002C34C7"/>
    <w:rsid w:val="002D0D34"/>
    <w:rsid w:val="002E323D"/>
    <w:rsid w:val="002E546C"/>
    <w:rsid w:val="002F1E19"/>
    <w:rsid w:val="0030225F"/>
    <w:rsid w:val="00303069"/>
    <w:rsid w:val="003053FF"/>
    <w:rsid w:val="00307A83"/>
    <w:rsid w:val="00311B99"/>
    <w:rsid w:val="003122FB"/>
    <w:rsid w:val="003125BE"/>
    <w:rsid w:val="00317B69"/>
    <w:rsid w:val="003345D8"/>
    <w:rsid w:val="00334BEB"/>
    <w:rsid w:val="00337B64"/>
    <w:rsid w:val="0034045A"/>
    <w:rsid w:val="003406DA"/>
    <w:rsid w:val="00342AF0"/>
    <w:rsid w:val="003526DE"/>
    <w:rsid w:val="00360B14"/>
    <w:rsid w:val="00366CB5"/>
    <w:rsid w:val="003710C1"/>
    <w:rsid w:val="00374D12"/>
    <w:rsid w:val="003868B3"/>
    <w:rsid w:val="00390276"/>
    <w:rsid w:val="00390F3D"/>
    <w:rsid w:val="00394CF0"/>
    <w:rsid w:val="00395677"/>
    <w:rsid w:val="00395ED4"/>
    <w:rsid w:val="003A34E0"/>
    <w:rsid w:val="003B64B1"/>
    <w:rsid w:val="003B6D0E"/>
    <w:rsid w:val="003B7DEB"/>
    <w:rsid w:val="003C1F38"/>
    <w:rsid w:val="003C3A3B"/>
    <w:rsid w:val="003C75D5"/>
    <w:rsid w:val="003D03CC"/>
    <w:rsid w:val="003D1163"/>
    <w:rsid w:val="003D41CD"/>
    <w:rsid w:val="003D55A9"/>
    <w:rsid w:val="003E030F"/>
    <w:rsid w:val="003E2984"/>
    <w:rsid w:val="003E488D"/>
    <w:rsid w:val="003F308C"/>
    <w:rsid w:val="003F556E"/>
    <w:rsid w:val="003F5DDB"/>
    <w:rsid w:val="0040185D"/>
    <w:rsid w:val="00410920"/>
    <w:rsid w:val="00414F90"/>
    <w:rsid w:val="00417CAC"/>
    <w:rsid w:val="00421399"/>
    <w:rsid w:val="00422C40"/>
    <w:rsid w:val="00426728"/>
    <w:rsid w:val="0043362A"/>
    <w:rsid w:val="004356FF"/>
    <w:rsid w:val="00435826"/>
    <w:rsid w:val="004368BC"/>
    <w:rsid w:val="0043706F"/>
    <w:rsid w:val="00437618"/>
    <w:rsid w:val="00454744"/>
    <w:rsid w:val="00470DD0"/>
    <w:rsid w:val="00476686"/>
    <w:rsid w:val="0048061E"/>
    <w:rsid w:val="004828BD"/>
    <w:rsid w:val="004864F6"/>
    <w:rsid w:val="00493F4D"/>
    <w:rsid w:val="004C4D80"/>
    <w:rsid w:val="004C59EA"/>
    <w:rsid w:val="004C5E87"/>
    <w:rsid w:val="004D6232"/>
    <w:rsid w:val="004E0661"/>
    <w:rsid w:val="004E4787"/>
    <w:rsid w:val="004F0DAF"/>
    <w:rsid w:val="00504508"/>
    <w:rsid w:val="005130E6"/>
    <w:rsid w:val="00513CA4"/>
    <w:rsid w:val="00525BD3"/>
    <w:rsid w:val="00532406"/>
    <w:rsid w:val="00533075"/>
    <w:rsid w:val="00540F20"/>
    <w:rsid w:val="0054430D"/>
    <w:rsid w:val="005470BE"/>
    <w:rsid w:val="00550F33"/>
    <w:rsid w:val="00554025"/>
    <w:rsid w:val="005540E9"/>
    <w:rsid w:val="00561882"/>
    <w:rsid w:val="00561F67"/>
    <w:rsid w:val="00565379"/>
    <w:rsid w:val="005749A6"/>
    <w:rsid w:val="00574E58"/>
    <w:rsid w:val="00576A00"/>
    <w:rsid w:val="00577721"/>
    <w:rsid w:val="00577E31"/>
    <w:rsid w:val="005834DE"/>
    <w:rsid w:val="00590142"/>
    <w:rsid w:val="00593AA7"/>
    <w:rsid w:val="0059429A"/>
    <w:rsid w:val="005A3C94"/>
    <w:rsid w:val="005B0F71"/>
    <w:rsid w:val="005B65CE"/>
    <w:rsid w:val="005C3CB8"/>
    <w:rsid w:val="005C3FD8"/>
    <w:rsid w:val="005D342B"/>
    <w:rsid w:val="005F4139"/>
    <w:rsid w:val="005F6D45"/>
    <w:rsid w:val="00603D3C"/>
    <w:rsid w:val="00610FCB"/>
    <w:rsid w:val="0061496D"/>
    <w:rsid w:val="00614A79"/>
    <w:rsid w:val="00615575"/>
    <w:rsid w:val="00616C81"/>
    <w:rsid w:val="00621E5C"/>
    <w:rsid w:val="0065372B"/>
    <w:rsid w:val="006538D8"/>
    <w:rsid w:val="006539F0"/>
    <w:rsid w:val="00662610"/>
    <w:rsid w:val="006649F6"/>
    <w:rsid w:val="006651A7"/>
    <w:rsid w:val="006658C2"/>
    <w:rsid w:val="0066739A"/>
    <w:rsid w:val="00672567"/>
    <w:rsid w:val="006737C0"/>
    <w:rsid w:val="0067525D"/>
    <w:rsid w:val="006817DC"/>
    <w:rsid w:val="00682605"/>
    <w:rsid w:val="00685807"/>
    <w:rsid w:val="00685827"/>
    <w:rsid w:val="00687E63"/>
    <w:rsid w:val="006A2BAE"/>
    <w:rsid w:val="006A41DE"/>
    <w:rsid w:val="006A4463"/>
    <w:rsid w:val="006C34F3"/>
    <w:rsid w:val="006D0F8E"/>
    <w:rsid w:val="006D5F74"/>
    <w:rsid w:val="006E69AF"/>
    <w:rsid w:val="006E6BED"/>
    <w:rsid w:val="006F2FA8"/>
    <w:rsid w:val="006F43FD"/>
    <w:rsid w:val="006F6C25"/>
    <w:rsid w:val="0070072D"/>
    <w:rsid w:val="007013ED"/>
    <w:rsid w:val="00704A2D"/>
    <w:rsid w:val="007202EC"/>
    <w:rsid w:val="0072439A"/>
    <w:rsid w:val="00733796"/>
    <w:rsid w:val="007409E8"/>
    <w:rsid w:val="007414C3"/>
    <w:rsid w:val="0074210A"/>
    <w:rsid w:val="0074449A"/>
    <w:rsid w:val="0075072F"/>
    <w:rsid w:val="00757578"/>
    <w:rsid w:val="007579E9"/>
    <w:rsid w:val="007607A7"/>
    <w:rsid w:val="00761739"/>
    <w:rsid w:val="00762C5B"/>
    <w:rsid w:val="007767E5"/>
    <w:rsid w:val="00782A49"/>
    <w:rsid w:val="007839F6"/>
    <w:rsid w:val="00793A0B"/>
    <w:rsid w:val="007950A0"/>
    <w:rsid w:val="00795980"/>
    <w:rsid w:val="00797045"/>
    <w:rsid w:val="007A2CD2"/>
    <w:rsid w:val="007A491A"/>
    <w:rsid w:val="007B358B"/>
    <w:rsid w:val="007B7A2B"/>
    <w:rsid w:val="007C27BE"/>
    <w:rsid w:val="007C5DA6"/>
    <w:rsid w:val="007C6A1B"/>
    <w:rsid w:val="007D7B8C"/>
    <w:rsid w:val="007E1EEC"/>
    <w:rsid w:val="007F24EB"/>
    <w:rsid w:val="007F4953"/>
    <w:rsid w:val="008041CC"/>
    <w:rsid w:val="00814620"/>
    <w:rsid w:val="00820AC3"/>
    <w:rsid w:val="00821C80"/>
    <w:rsid w:val="00823D45"/>
    <w:rsid w:val="008256CC"/>
    <w:rsid w:val="008279C2"/>
    <w:rsid w:val="008529ED"/>
    <w:rsid w:val="00862D68"/>
    <w:rsid w:val="00867A60"/>
    <w:rsid w:val="00883DAE"/>
    <w:rsid w:val="008847BF"/>
    <w:rsid w:val="00886782"/>
    <w:rsid w:val="00886795"/>
    <w:rsid w:val="00892310"/>
    <w:rsid w:val="00894A34"/>
    <w:rsid w:val="008A5E6E"/>
    <w:rsid w:val="008B3438"/>
    <w:rsid w:val="008C170B"/>
    <w:rsid w:val="008C432B"/>
    <w:rsid w:val="008D7577"/>
    <w:rsid w:val="008E0DF0"/>
    <w:rsid w:val="008E1784"/>
    <w:rsid w:val="008E2666"/>
    <w:rsid w:val="008E4662"/>
    <w:rsid w:val="008F1EE8"/>
    <w:rsid w:val="009041C6"/>
    <w:rsid w:val="00905135"/>
    <w:rsid w:val="00905A41"/>
    <w:rsid w:val="009077D3"/>
    <w:rsid w:val="00916CB9"/>
    <w:rsid w:val="00930BC2"/>
    <w:rsid w:val="00930EB4"/>
    <w:rsid w:val="0093321F"/>
    <w:rsid w:val="009355A2"/>
    <w:rsid w:val="00936992"/>
    <w:rsid w:val="00936C92"/>
    <w:rsid w:val="00940A16"/>
    <w:rsid w:val="009442CA"/>
    <w:rsid w:val="00953702"/>
    <w:rsid w:val="009603C5"/>
    <w:rsid w:val="00967267"/>
    <w:rsid w:val="009700D8"/>
    <w:rsid w:val="00970D35"/>
    <w:rsid w:val="009A4802"/>
    <w:rsid w:val="009B2302"/>
    <w:rsid w:val="009C2896"/>
    <w:rsid w:val="009C5C49"/>
    <w:rsid w:val="009D0EA6"/>
    <w:rsid w:val="009D439D"/>
    <w:rsid w:val="009D5CBB"/>
    <w:rsid w:val="009D6A09"/>
    <w:rsid w:val="009D7C5B"/>
    <w:rsid w:val="009E50F1"/>
    <w:rsid w:val="009F29BF"/>
    <w:rsid w:val="009F7599"/>
    <w:rsid w:val="00A0337F"/>
    <w:rsid w:val="00A222FF"/>
    <w:rsid w:val="00A25C2E"/>
    <w:rsid w:val="00A3408D"/>
    <w:rsid w:val="00A35A73"/>
    <w:rsid w:val="00A37A2D"/>
    <w:rsid w:val="00A513DF"/>
    <w:rsid w:val="00A65158"/>
    <w:rsid w:val="00A81D15"/>
    <w:rsid w:val="00A938C6"/>
    <w:rsid w:val="00A95BBF"/>
    <w:rsid w:val="00A96A06"/>
    <w:rsid w:val="00AA1E8E"/>
    <w:rsid w:val="00AA3F18"/>
    <w:rsid w:val="00AB7324"/>
    <w:rsid w:val="00AC0190"/>
    <w:rsid w:val="00AC2709"/>
    <w:rsid w:val="00AC36E6"/>
    <w:rsid w:val="00AC5A23"/>
    <w:rsid w:val="00AC5EF3"/>
    <w:rsid w:val="00AD0E29"/>
    <w:rsid w:val="00AD2479"/>
    <w:rsid w:val="00AD2916"/>
    <w:rsid w:val="00AD715B"/>
    <w:rsid w:val="00AF5902"/>
    <w:rsid w:val="00AF7DA0"/>
    <w:rsid w:val="00B12FB1"/>
    <w:rsid w:val="00B163AB"/>
    <w:rsid w:val="00B1650E"/>
    <w:rsid w:val="00B25098"/>
    <w:rsid w:val="00B276F8"/>
    <w:rsid w:val="00B30D8A"/>
    <w:rsid w:val="00B33C95"/>
    <w:rsid w:val="00B34534"/>
    <w:rsid w:val="00B34607"/>
    <w:rsid w:val="00B461D3"/>
    <w:rsid w:val="00B60020"/>
    <w:rsid w:val="00B71E68"/>
    <w:rsid w:val="00B84077"/>
    <w:rsid w:val="00B861DD"/>
    <w:rsid w:val="00B9626D"/>
    <w:rsid w:val="00BA01C7"/>
    <w:rsid w:val="00BA1A9B"/>
    <w:rsid w:val="00BA2026"/>
    <w:rsid w:val="00BA41FC"/>
    <w:rsid w:val="00BA4EE6"/>
    <w:rsid w:val="00BA7852"/>
    <w:rsid w:val="00BB48BF"/>
    <w:rsid w:val="00BB4FA2"/>
    <w:rsid w:val="00BB5C7A"/>
    <w:rsid w:val="00BB6824"/>
    <w:rsid w:val="00BC277C"/>
    <w:rsid w:val="00BD5600"/>
    <w:rsid w:val="00BE1809"/>
    <w:rsid w:val="00BE6BA8"/>
    <w:rsid w:val="00BE7365"/>
    <w:rsid w:val="00BF02EF"/>
    <w:rsid w:val="00BF73F6"/>
    <w:rsid w:val="00C0770E"/>
    <w:rsid w:val="00C1089C"/>
    <w:rsid w:val="00C13176"/>
    <w:rsid w:val="00C13349"/>
    <w:rsid w:val="00C145D0"/>
    <w:rsid w:val="00C23D6E"/>
    <w:rsid w:val="00C425A7"/>
    <w:rsid w:val="00C444F3"/>
    <w:rsid w:val="00C733A5"/>
    <w:rsid w:val="00C73857"/>
    <w:rsid w:val="00C76FB5"/>
    <w:rsid w:val="00C837F2"/>
    <w:rsid w:val="00C91705"/>
    <w:rsid w:val="00C917DA"/>
    <w:rsid w:val="00C952F2"/>
    <w:rsid w:val="00CA48F1"/>
    <w:rsid w:val="00CA7BFB"/>
    <w:rsid w:val="00CB0309"/>
    <w:rsid w:val="00CB060D"/>
    <w:rsid w:val="00CB74E7"/>
    <w:rsid w:val="00CD0AC7"/>
    <w:rsid w:val="00CD5F99"/>
    <w:rsid w:val="00CE03CD"/>
    <w:rsid w:val="00CE05F8"/>
    <w:rsid w:val="00CE14A6"/>
    <w:rsid w:val="00CE53D2"/>
    <w:rsid w:val="00CE65F3"/>
    <w:rsid w:val="00CF0047"/>
    <w:rsid w:val="00CF5810"/>
    <w:rsid w:val="00D03417"/>
    <w:rsid w:val="00D07944"/>
    <w:rsid w:val="00D12B21"/>
    <w:rsid w:val="00D21DA3"/>
    <w:rsid w:val="00D27372"/>
    <w:rsid w:val="00D27BC8"/>
    <w:rsid w:val="00D333D1"/>
    <w:rsid w:val="00D42DC2"/>
    <w:rsid w:val="00D51793"/>
    <w:rsid w:val="00D527C5"/>
    <w:rsid w:val="00D5771F"/>
    <w:rsid w:val="00D60305"/>
    <w:rsid w:val="00D66213"/>
    <w:rsid w:val="00D8448B"/>
    <w:rsid w:val="00D84CB3"/>
    <w:rsid w:val="00D85C26"/>
    <w:rsid w:val="00D909E6"/>
    <w:rsid w:val="00D91D99"/>
    <w:rsid w:val="00D9206D"/>
    <w:rsid w:val="00D93CC4"/>
    <w:rsid w:val="00DA2978"/>
    <w:rsid w:val="00DA39AC"/>
    <w:rsid w:val="00DB5086"/>
    <w:rsid w:val="00DC2235"/>
    <w:rsid w:val="00DD76B8"/>
    <w:rsid w:val="00DD7A34"/>
    <w:rsid w:val="00DE1C34"/>
    <w:rsid w:val="00DE4B85"/>
    <w:rsid w:val="00DE6340"/>
    <w:rsid w:val="00DF048D"/>
    <w:rsid w:val="00DF7152"/>
    <w:rsid w:val="00E01D6C"/>
    <w:rsid w:val="00E05793"/>
    <w:rsid w:val="00E10F70"/>
    <w:rsid w:val="00E13881"/>
    <w:rsid w:val="00E13F3E"/>
    <w:rsid w:val="00E16E5E"/>
    <w:rsid w:val="00E30872"/>
    <w:rsid w:val="00E3368C"/>
    <w:rsid w:val="00E37524"/>
    <w:rsid w:val="00E37A3F"/>
    <w:rsid w:val="00E51A0E"/>
    <w:rsid w:val="00E54851"/>
    <w:rsid w:val="00E54C04"/>
    <w:rsid w:val="00E63BA9"/>
    <w:rsid w:val="00E6576D"/>
    <w:rsid w:val="00E717FC"/>
    <w:rsid w:val="00E816D2"/>
    <w:rsid w:val="00E931FC"/>
    <w:rsid w:val="00E93D98"/>
    <w:rsid w:val="00EA4DE4"/>
    <w:rsid w:val="00EA6078"/>
    <w:rsid w:val="00EB2C84"/>
    <w:rsid w:val="00EB6589"/>
    <w:rsid w:val="00EB6E94"/>
    <w:rsid w:val="00EC1284"/>
    <w:rsid w:val="00EC7A59"/>
    <w:rsid w:val="00EC7AF6"/>
    <w:rsid w:val="00EE0386"/>
    <w:rsid w:val="00EE0E4D"/>
    <w:rsid w:val="00EF73B3"/>
    <w:rsid w:val="00F05635"/>
    <w:rsid w:val="00F068E8"/>
    <w:rsid w:val="00F12A3A"/>
    <w:rsid w:val="00F1419B"/>
    <w:rsid w:val="00F141D0"/>
    <w:rsid w:val="00F2494A"/>
    <w:rsid w:val="00F374FE"/>
    <w:rsid w:val="00F43B94"/>
    <w:rsid w:val="00F43CD2"/>
    <w:rsid w:val="00F46184"/>
    <w:rsid w:val="00F467F9"/>
    <w:rsid w:val="00F63636"/>
    <w:rsid w:val="00F71191"/>
    <w:rsid w:val="00F770A1"/>
    <w:rsid w:val="00F80177"/>
    <w:rsid w:val="00F8211A"/>
    <w:rsid w:val="00F95F7D"/>
    <w:rsid w:val="00FA0F69"/>
    <w:rsid w:val="00FA56AE"/>
    <w:rsid w:val="00FA7E3A"/>
    <w:rsid w:val="00FB1B04"/>
    <w:rsid w:val="00FD2863"/>
    <w:rsid w:val="00FE3531"/>
    <w:rsid w:val="00FE5476"/>
    <w:rsid w:val="00FF10C1"/>
    <w:rsid w:val="00FF2C17"/>
    <w:rsid w:val="00FF2E9D"/>
    <w:rsid w:val="00FF4556"/>
    <w:rsid w:val="00FF70CC"/>
    <w:rsid w:val="00FF7C72"/>
    <w:rsid w:val="00FF7E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39320"/>
  <w15:chartTrackingRefBased/>
  <w15:docId w15:val="{6ADE9CF2-30F0-44E1-ADEE-1708B1D2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24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C36E6"/>
    <w:pPr>
      <w:keepNext/>
      <w:spacing w:after="120" w:line="360" w:lineRule="auto"/>
      <w:outlineLvl w:val="1"/>
    </w:pPr>
    <w:rPr>
      <w:rFonts w:ascii="Times New Roman" w:eastAsia="Times New Roman" w:hAnsi="Times New Roman" w:cs="Times New Roman"/>
      <w:b/>
      <w:bCs/>
      <w:iCs/>
      <w:kern w:val="0"/>
      <w:sz w:val="24"/>
      <w:szCs w:val="28"/>
      <w:lang w:val="x-none" w:eastAsia="x-none"/>
      <w14:ligatures w14:val="none"/>
    </w:rPr>
  </w:style>
  <w:style w:type="paragraph" w:styleId="Heading3">
    <w:name w:val="heading 3"/>
    <w:basedOn w:val="Normal"/>
    <w:next w:val="Normal"/>
    <w:link w:val="Heading3Char"/>
    <w:qFormat/>
    <w:rsid w:val="00AC36E6"/>
    <w:pPr>
      <w:keepNext/>
      <w:spacing w:before="240" w:after="60" w:line="276" w:lineRule="auto"/>
      <w:outlineLvl w:val="2"/>
    </w:pPr>
    <w:rPr>
      <w:rFonts w:ascii="Calibri Light" w:eastAsia="Times New Roman" w:hAnsi="Calibri Light" w:cs="Times New Roman"/>
      <w:b/>
      <w:bCs/>
      <w:kern w:val="0"/>
      <w:sz w:val="26"/>
      <w:szCs w:val="26"/>
      <w:lang w:val="x-none" w:eastAsia="x-none"/>
      <w14:ligatures w14:val="none"/>
    </w:rPr>
  </w:style>
  <w:style w:type="paragraph" w:styleId="Heading5">
    <w:name w:val="heading 5"/>
    <w:basedOn w:val="Normal"/>
    <w:next w:val="Normal"/>
    <w:link w:val="Heading5Char"/>
    <w:qFormat/>
    <w:rsid w:val="002B4CA4"/>
    <w:pPr>
      <w:spacing w:before="120" w:after="180" w:line="360" w:lineRule="auto"/>
      <w:outlineLvl w:val="4"/>
    </w:pPr>
    <w:rPr>
      <w:rFonts w:ascii="Times New Roman" w:eastAsia="Times New Roman" w:hAnsi="Times New Roman" w:cs="Times New Roman"/>
      <w:b/>
      <w:bCs/>
      <w:iCs/>
      <w:kern w:val="0"/>
      <w:sz w:val="24"/>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B4CA4"/>
    <w:rPr>
      <w:rFonts w:ascii="Times New Roman" w:eastAsia="Times New Roman" w:hAnsi="Times New Roman" w:cs="Times New Roman"/>
      <w:b/>
      <w:bCs/>
      <w:iCs/>
      <w:kern w:val="0"/>
      <w:sz w:val="24"/>
      <w:szCs w:val="26"/>
      <w:lang w:val="x-none" w:eastAsia="x-none"/>
      <w14:ligatures w14:val="none"/>
    </w:rPr>
  </w:style>
  <w:style w:type="paragraph" w:styleId="NoSpacing">
    <w:name w:val="No Spacing"/>
    <w:uiPriority w:val="1"/>
    <w:qFormat/>
    <w:rsid w:val="002B4CA4"/>
    <w:pPr>
      <w:spacing w:after="0" w:line="240" w:lineRule="auto"/>
    </w:pPr>
    <w:rPr>
      <w:rFonts w:ascii="Calibri" w:eastAsia="Calibri" w:hAnsi="Calibri" w:cs="Times New Roman"/>
      <w:kern w:val="0"/>
      <w:lang w:val="en-US" w:eastAsia="en-US"/>
      <w14:ligatures w14:val="none"/>
    </w:rPr>
  </w:style>
  <w:style w:type="character" w:customStyle="1" w:styleId="Heading1Char">
    <w:name w:val="Heading 1 Char"/>
    <w:basedOn w:val="DefaultParagraphFont"/>
    <w:link w:val="Heading1"/>
    <w:rsid w:val="007243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AC36E6"/>
    <w:rPr>
      <w:rFonts w:ascii="Times New Roman" w:eastAsia="Times New Roman" w:hAnsi="Times New Roman" w:cs="Times New Roman"/>
      <w:b/>
      <w:bCs/>
      <w:iCs/>
      <w:kern w:val="0"/>
      <w:sz w:val="24"/>
      <w:szCs w:val="28"/>
      <w:lang w:val="x-none" w:eastAsia="x-none"/>
      <w14:ligatures w14:val="none"/>
    </w:rPr>
  </w:style>
  <w:style w:type="character" w:customStyle="1" w:styleId="Heading3Char">
    <w:name w:val="Heading 3 Char"/>
    <w:basedOn w:val="DefaultParagraphFont"/>
    <w:link w:val="Heading3"/>
    <w:rsid w:val="00AC36E6"/>
    <w:rPr>
      <w:rFonts w:ascii="Calibri Light" w:eastAsia="Times New Roman" w:hAnsi="Calibri Light" w:cs="Times New Roman"/>
      <w:b/>
      <w:bCs/>
      <w:kern w:val="0"/>
      <w:sz w:val="26"/>
      <w:szCs w:val="26"/>
      <w:lang w:val="x-none" w:eastAsia="x-none"/>
      <w14:ligatures w14:val="none"/>
    </w:rPr>
  </w:style>
  <w:style w:type="character" w:customStyle="1" w:styleId="FooterChar">
    <w:name w:val="Footer Char"/>
    <w:link w:val="Footer"/>
    <w:uiPriority w:val="99"/>
    <w:rsid w:val="00AC36E6"/>
    <w:rPr>
      <w:rFonts w:ascii="Calibri" w:eastAsia="Calibri" w:hAnsi="Calibri" w:cs="Times New Roman"/>
    </w:rPr>
  </w:style>
  <w:style w:type="paragraph" w:styleId="Footer">
    <w:name w:val="footer"/>
    <w:basedOn w:val="Normal"/>
    <w:link w:val="FooterChar"/>
    <w:uiPriority w:val="99"/>
    <w:rsid w:val="00AC36E6"/>
    <w:pPr>
      <w:tabs>
        <w:tab w:val="center" w:pos="4680"/>
        <w:tab w:val="right" w:pos="9360"/>
      </w:tabs>
      <w:spacing w:after="200" w:line="276" w:lineRule="auto"/>
    </w:pPr>
    <w:rPr>
      <w:rFonts w:ascii="Calibri" w:eastAsia="Calibri" w:hAnsi="Calibri" w:cs="Times New Roman"/>
    </w:rPr>
  </w:style>
  <w:style w:type="character" w:customStyle="1" w:styleId="FooterChar1">
    <w:name w:val="Footer Char1"/>
    <w:basedOn w:val="DefaultParagraphFont"/>
    <w:uiPriority w:val="99"/>
    <w:semiHidden/>
    <w:rsid w:val="00AC36E6"/>
  </w:style>
  <w:style w:type="character" w:customStyle="1" w:styleId="BodyTextChar">
    <w:name w:val="Body Text Char"/>
    <w:link w:val="BodyText"/>
    <w:rsid w:val="00AC36E6"/>
    <w:rPr>
      <w:rFonts w:ascii="Times New Roman" w:eastAsia="Times New Roman" w:hAnsi="Times New Roman" w:cs="Times New Roman"/>
      <w:sz w:val="24"/>
      <w:szCs w:val="24"/>
    </w:rPr>
  </w:style>
  <w:style w:type="paragraph" w:styleId="BodyText">
    <w:name w:val="Body Text"/>
    <w:basedOn w:val="Normal"/>
    <w:link w:val="BodyTextChar"/>
    <w:rsid w:val="00AC36E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C36E6"/>
  </w:style>
  <w:style w:type="paragraph" w:styleId="TOC1">
    <w:name w:val="toc 1"/>
    <w:basedOn w:val="Normal"/>
    <w:next w:val="Normal"/>
    <w:uiPriority w:val="39"/>
    <w:rsid w:val="00AC36E6"/>
    <w:pPr>
      <w:tabs>
        <w:tab w:val="right" w:leader="dot" w:pos="8659"/>
      </w:tabs>
      <w:spacing w:after="60" w:line="276" w:lineRule="auto"/>
    </w:pPr>
    <w:rPr>
      <w:rFonts w:ascii="Times New Roman" w:eastAsia="Calibri" w:hAnsi="Times New Roman" w:cs="Times New Roman"/>
      <w:noProof/>
      <w:kern w:val="0"/>
      <w:sz w:val="24"/>
      <w14:ligatures w14:val="none"/>
    </w:rPr>
  </w:style>
  <w:style w:type="paragraph" w:styleId="TOC2">
    <w:name w:val="toc 2"/>
    <w:basedOn w:val="Normal"/>
    <w:next w:val="Normal"/>
    <w:uiPriority w:val="39"/>
    <w:rsid w:val="00AC36E6"/>
    <w:pPr>
      <w:tabs>
        <w:tab w:val="right" w:leader="dot" w:pos="8659"/>
      </w:tabs>
      <w:spacing w:after="60" w:line="312" w:lineRule="auto"/>
      <w:ind w:left="216" w:hanging="216"/>
    </w:pPr>
    <w:rPr>
      <w:rFonts w:ascii="Times New Roman" w:eastAsia="Calibri" w:hAnsi="Times New Roman" w:cs="Times New Roman"/>
      <w:kern w:val="0"/>
      <w:sz w:val="24"/>
      <w:lang w:val="en-US" w:eastAsia="en-US"/>
      <w14:ligatures w14:val="none"/>
    </w:rPr>
  </w:style>
  <w:style w:type="paragraph" w:styleId="TableofFigures">
    <w:name w:val="table of figures"/>
    <w:basedOn w:val="Normal"/>
    <w:next w:val="Normal"/>
    <w:uiPriority w:val="99"/>
    <w:rsid w:val="00AC36E6"/>
    <w:pPr>
      <w:spacing w:after="200" w:line="276" w:lineRule="auto"/>
    </w:pPr>
    <w:rPr>
      <w:rFonts w:ascii="Times New Roman" w:eastAsia="Calibri" w:hAnsi="Times New Roman" w:cs="Times New Roman"/>
      <w:kern w:val="0"/>
      <w:sz w:val="24"/>
      <w:lang w:val="en-US" w:eastAsia="en-US"/>
      <w14:ligatures w14:val="none"/>
    </w:rPr>
  </w:style>
  <w:style w:type="paragraph" w:customStyle="1" w:styleId="Default">
    <w:name w:val="Default"/>
    <w:rsid w:val="00AC36E6"/>
    <w:pPr>
      <w:autoSpaceDE w:val="0"/>
      <w:autoSpaceDN w:val="0"/>
      <w:adjustRightInd w:val="0"/>
      <w:spacing w:after="0" w:line="240" w:lineRule="auto"/>
    </w:pPr>
    <w:rPr>
      <w:rFonts w:ascii="Times New Roman" w:eastAsia="Calibri" w:hAnsi="Times New Roman" w:cs="Times New Roman"/>
      <w:color w:val="000000"/>
      <w:kern w:val="0"/>
      <w:sz w:val="24"/>
      <w:szCs w:val="24"/>
      <w:lang w:val="en-US" w:eastAsia="en-US"/>
      <w14:ligatures w14:val="none"/>
    </w:rPr>
  </w:style>
  <w:style w:type="paragraph" w:styleId="ListParagraph">
    <w:name w:val="List Paragraph"/>
    <w:basedOn w:val="Normal"/>
    <w:qFormat/>
    <w:rsid w:val="00AC36E6"/>
    <w:pPr>
      <w:ind w:left="720"/>
      <w:contextualSpacing/>
    </w:pPr>
    <w:rPr>
      <w:rFonts w:ascii="Calibri" w:eastAsia="Calibri" w:hAnsi="Calibri" w:cs="Times New Roman"/>
      <w:kern w:val="0"/>
      <w:lang w:val="en-US" w:eastAsia="en-US"/>
      <w14:ligatures w14:val="none"/>
    </w:rPr>
  </w:style>
  <w:style w:type="paragraph" w:styleId="NormalWeb">
    <w:name w:val="Normal (Web)"/>
    <w:basedOn w:val="Normal"/>
    <w:rsid w:val="00AC36E6"/>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Emphasis">
    <w:name w:val="Emphasis"/>
    <w:uiPriority w:val="20"/>
    <w:qFormat/>
    <w:rsid w:val="00AC36E6"/>
    <w:rPr>
      <w:rFonts w:ascii="Calibri" w:eastAsia="Calibri" w:hAnsi="Calibri" w:cs="Times New Roman"/>
      <w:i/>
      <w:iCs/>
    </w:rPr>
  </w:style>
  <w:style w:type="character" w:customStyle="1" w:styleId="element-citation">
    <w:name w:val="element-citation"/>
    <w:rsid w:val="00AC36E6"/>
    <w:rPr>
      <w:rFonts w:ascii="Calibri" w:eastAsia="Calibri" w:hAnsi="Calibri" w:cs="Times New Roman"/>
    </w:rPr>
  </w:style>
  <w:style w:type="character" w:customStyle="1" w:styleId="fontstyle01">
    <w:name w:val="fontstyle01"/>
    <w:rsid w:val="00AC36E6"/>
    <w:rPr>
      <w:rFonts w:ascii="Garamond" w:eastAsia="Calibri" w:hAnsi="Garamond" w:cs="Times New Roman" w:hint="default"/>
      <w:b w:val="0"/>
      <w:bCs w:val="0"/>
      <w:i w:val="0"/>
      <w:iCs w:val="0"/>
      <w:color w:val="000000"/>
      <w:sz w:val="24"/>
      <w:szCs w:val="24"/>
    </w:rPr>
  </w:style>
  <w:style w:type="character" w:customStyle="1" w:styleId="fontstyle21">
    <w:name w:val="fontstyle21"/>
    <w:rsid w:val="00AC36E6"/>
    <w:rPr>
      <w:rFonts w:ascii="Garamond-Italic" w:eastAsia="Calibri" w:hAnsi="Garamond-Italic" w:cs="Times New Roman" w:hint="default"/>
      <w:b w:val="0"/>
      <w:bCs w:val="0"/>
      <w:i/>
      <w:iCs/>
      <w:color w:val="000000"/>
      <w:sz w:val="24"/>
      <w:szCs w:val="24"/>
    </w:rPr>
  </w:style>
  <w:style w:type="character" w:styleId="Hyperlink">
    <w:name w:val="Hyperlink"/>
    <w:uiPriority w:val="99"/>
    <w:rsid w:val="00AC36E6"/>
    <w:rPr>
      <w:rFonts w:ascii="Calibri" w:eastAsia="Calibri" w:hAnsi="Calibri" w:cs="Times New Roman"/>
      <w:color w:val="0000FF"/>
      <w:u w:val="single"/>
    </w:rPr>
  </w:style>
  <w:style w:type="character" w:customStyle="1" w:styleId="personname">
    <w:name w:val="person_name"/>
    <w:rsid w:val="00AC36E6"/>
    <w:rPr>
      <w:rFonts w:ascii="Calibri" w:eastAsia="Calibri" w:hAnsi="Calibri" w:cs="Times New Roman"/>
    </w:rPr>
  </w:style>
  <w:style w:type="character" w:styleId="HTMLCite">
    <w:name w:val="HTML Cite"/>
    <w:rsid w:val="00AC36E6"/>
    <w:rPr>
      <w:rFonts w:ascii="Calibri" w:eastAsia="Calibri" w:hAnsi="Calibri" w:cs="Times New Roman"/>
      <w:i/>
      <w:iCs/>
    </w:rPr>
  </w:style>
  <w:style w:type="paragraph" w:styleId="Header">
    <w:name w:val="header"/>
    <w:basedOn w:val="Normal"/>
    <w:link w:val="HeaderChar"/>
    <w:rsid w:val="00AC36E6"/>
    <w:pPr>
      <w:tabs>
        <w:tab w:val="center" w:pos="4680"/>
        <w:tab w:val="right" w:pos="9360"/>
      </w:tabs>
      <w:spacing w:after="200" w:line="276" w:lineRule="auto"/>
    </w:pPr>
    <w:rPr>
      <w:rFonts w:ascii="Calibri" w:eastAsia="Calibri" w:hAnsi="Calibri" w:cs="Times New Roman"/>
      <w:kern w:val="0"/>
      <w:lang w:val="x-none" w:eastAsia="x-none"/>
      <w14:ligatures w14:val="none"/>
    </w:rPr>
  </w:style>
  <w:style w:type="character" w:customStyle="1" w:styleId="HeaderChar">
    <w:name w:val="Header Char"/>
    <w:basedOn w:val="DefaultParagraphFont"/>
    <w:link w:val="Header"/>
    <w:rsid w:val="00AC36E6"/>
    <w:rPr>
      <w:rFonts w:ascii="Calibri" w:eastAsia="Calibri" w:hAnsi="Calibri" w:cs="Times New Roman"/>
      <w:kern w:val="0"/>
      <w:lang w:val="x-none" w:eastAsia="x-none"/>
      <w14:ligatures w14:val="none"/>
    </w:rPr>
  </w:style>
  <w:style w:type="character" w:customStyle="1" w:styleId="st">
    <w:name w:val="st"/>
    <w:rsid w:val="00AC36E6"/>
    <w:rPr>
      <w:rFonts w:ascii="Calibri" w:eastAsia="Calibri" w:hAnsi="Calibri" w:cs="Times New Roman"/>
    </w:rPr>
  </w:style>
  <w:style w:type="character" w:styleId="HTMLCode">
    <w:name w:val="HTML Code"/>
    <w:rsid w:val="00AC36E6"/>
    <w:rPr>
      <w:rFonts w:ascii="Courier New" w:eastAsia="Times New Roman" w:hAnsi="Courier New" w:cs="Courier New"/>
      <w:sz w:val="20"/>
      <w:szCs w:val="20"/>
    </w:rPr>
  </w:style>
  <w:style w:type="paragraph" w:customStyle="1" w:styleId="suggested-citation">
    <w:name w:val="suggested-citation"/>
    <w:basedOn w:val="Normal"/>
    <w:rsid w:val="00AC36E6"/>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customStyle="1" w:styleId="s1">
    <w:name w:val="s1"/>
    <w:rsid w:val="00AC36E6"/>
    <w:rPr>
      <w:rFonts w:ascii="Calibri" w:eastAsia="Calibri" w:hAnsi="Calibri" w:cs="Times New Roman"/>
    </w:rPr>
  </w:style>
  <w:style w:type="character" w:customStyle="1" w:styleId="s16">
    <w:name w:val="s16"/>
    <w:rsid w:val="00AC36E6"/>
    <w:rPr>
      <w:rFonts w:ascii="Calibri" w:eastAsia="Calibri" w:hAnsi="Calibri" w:cs="Times New Roman"/>
    </w:rPr>
  </w:style>
  <w:style w:type="character" w:customStyle="1" w:styleId="alert">
    <w:name w:val="alert"/>
    <w:rsid w:val="00AC36E6"/>
    <w:rPr>
      <w:rFonts w:ascii="Calibri" w:eastAsia="Calibri" w:hAnsi="Calibri" w:cs="Times New Roman"/>
    </w:rPr>
  </w:style>
  <w:style w:type="character" w:customStyle="1" w:styleId="plagalert">
    <w:name w:val="plagalert"/>
    <w:rsid w:val="00AC36E6"/>
    <w:rPr>
      <w:rFonts w:ascii="Calibri" w:eastAsia="Calibri" w:hAnsi="Calibri" w:cs="Times New Roman"/>
    </w:rPr>
  </w:style>
  <w:style w:type="character" w:styleId="Strong">
    <w:name w:val="Strong"/>
    <w:uiPriority w:val="22"/>
    <w:qFormat/>
    <w:rsid w:val="00AC36E6"/>
    <w:rPr>
      <w:rFonts w:ascii="Calibri" w:eastAsia="Calibri" w:hAnsi="Calibri" w:cs="Times New Roman"/>
      <w:b/>
      <w:bCs/>
    </w:rPr>
  </w:style>
  <w:style w:type="character" w:customStyle="1" w:styleId="utxt">
    <w:name w:val="utxt"/>
    <w:rsid w:val="00AC36E6"/>
    <w:rPr>
      <w:rFonts w:ascii="Calibri" w:eastAsia="Calibri" w:hAnsi="Calibri" w:cs="Times New Roman"/>
    </w:rPr>
  </w:style>
  <w:style w:type="character" w:styleId="CommentReference">
    <w:name w:val="annotation reference"/>
    <w:rsid w:val="00AC36E6"/>
    <w:rPr>
      <w:rFonts w:ascii="Calibri" w:eastAsia="Calibri" w:hAnsi="Calibri" w:cs="Times New Roman"/>
      <w:sz w:val="16"/>
      <w:szCs w:val="16"/>
    </w:rPr>
  </w:style>
  <w:style w:type="paragraph" w:styleId="CommentText">
    <w:name w:val="annotation text"/>
    <w:basedOn w:val="Normal"/>
    <w:link w:val="CommentTextChar"/>
    <w:rsid w:val="00AC36E6"/>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rsid w:val="00AC36E6"/>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rsid w:val="00AC36E6"/>
    <w:rPr>
      <w:b/>
      <w:bCs/>
    </w:rPr>
  </w:style>
  <w:style w:type="character" w:customStyle="1" w:styleId="CommentSubjectChar">
    <w:name w:val="Comment Subject Char"/>
    <w:basedOn w:val="CommentTextChar"/>
    <w:link w:val="CommentSubject"/>
    <w:rsid w:val="00AC36E6"/>
    <w:rPr>
      <w:rFonts w:ascii="Calibri" w:eastAsia="Calibri" w:hAnsi="Calibri" w:cs="Times New Roman"/>
      <w:b/>
      <w:bCs/>
      <w:kern w:val="0"/>
      <w:sz w:val="20"/>
      <w:szCs w:val="20"/>
      <w:lang w:val="x-none" w:eastAsia="x-none"/>
      <w14:ligatures w14:val="none"/>
    </w:rPr>
  </w:style>
  <w:style w:type="paragraph" w:styleId="BalloonText">
    <w:name w:val="Balloon Text"/>
    <w:basedOn w:val="Normal"/>
    <w:link w:val="BalloonTextChar"/>
    <w:rsid w:val="00AC36E6"/>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AC36E6"/>
    <w:rPr>
      <w:rFonts w:ascii="Tahoma" w:eastAsia="Calibri" w:hAnsi="Tahoma" w:cs="Times New Roman"/>
      <w:kern w:val="0"/>
      <w:sz w:val="16"/>
      <w:szCs w:val="16"/>
      <w:lang w:val="x-none" w:eastAsia="x-none"/>
      <w14:ligatures w14:val="none"/>
    </w:rPr>
  </w:style>
  <w:style w:type="paragraph" w:customStyle="1" w:styleId="msolistparagraph0">
    <w:name w:val="msolistparagraph"/>
    <w:basedOn w:val="Normal"/>
    <w:rsid w:val="00AC36E6"/>
    <w:pPr>
      <w:spacing w:after="200" w:line="276" w:lineRule="auto"/>
      <w:ind w:left="720"/>
      <w:contextualSpacing/>
    </w:pPr>
    <w:rPr>
      <w:rFonts w:ascii="Calibri" w:eastAsia="Calibri" w:hAnsi="Calibri" w:cs="Times New Roman"/>
      <w:kern w:val="0"/>
      <w:lang w:val="en-US" w:eastAsia="en-US"/>
      <w14:ligatures w14:val="none"/>
    </w:rPr>
  </w:style>
  <w:style w:type="character" w:customStyle="1" w:styleId="ref-journal">
    <w:name w:val="ref-journal"/>
    <w:rsid w:val="00AC36E6"/>
    <w:rPr>
      <w:rFonts w:ascii="Calibri" w:eastAsia="Calibri" w:hAnsi="Calibri" w:cs="Times New Roman"/>
    </w:rPr>
  </w:style>
  <w:style w:type="paragraph" w:styleId="Caption">
    <w:name w:val="caption"/>
    <w:basedOn w:val="Normal"/>
    <w:qFormat/>
    <w:rsid w:val="00AC36E6"/>
    <w:pPr>
      <w:suppressLineNumbers/>
      <w:suppressAutoHyphens/>
      <w:spacing w:after="0" w:line="360" w:lineRule="auto"/>
      <w:jc w:val="both"/>
    </w:pPr>
    <w:rPr>
      <w:rFonts w:ascii="Times New Roman" w:eastAsia="Times New Roman" w:hAnsi="Times New Roman" w:cs="Times New Roman"/>
      <w:b/>
      <w:bCs/>
      <w:iCs/>
      <w:kern w:val="32"/>
      <w:sz w:val="24"/>
      <w:szCs w:val="24"/>
      <w:lang w:val="en-US" w:eastAsia="ar-SA"/>
      <w14:ligatures w14:val="none"/>
    </w:rPr>
  </w:style>
  <w:style w:type="table" w:styleId="TableGrid">
    <w:name w:val="Table Grid"/>
    <w:basedOn w:val="TableNormal"/>
    <w:rsid w:val="00AC36E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AC36E6"/>
    <w:pPr>
      <w:spacing w:before="480" w:line="360" w:lineRule="auto"/>
      <w:outlineLvl w:val="9"/>
    </w:pPr>
    <w:rPr>
      <w:rFonts w:ascii="Cambria" w:eastAsia="Calibri" w:hAnsi="Cambria" w:cs="Times New Roman"/>
      <w:b/>
      <w:bCs/>
      <w:color w:val="365F91"/>
      <w:kern w:val="0"/>
      <w:sz w:val="28"/>
      <w:szCs w:val="28"/>
      <w:lang w:val="x-none" w:eastAsia="x-none"/>
      <w14:ligatures w14:val="none"/>
    </w:rPr>
  </w:style>
  <w:style w:type="paragraph" w:styleId="TOC3">
    <w:name w:val="toc 3"/>
    <w:basedOn w:val="Normal"/>
    <w:next w:val="Normal"/>
    <w:uiPriority w:val="39"/>
    <w:rsid w:val="00AC36E6"/>
    <w:pPr>
      <w:spacing w:after="100" w:line="276" w:lineRule="auto"/>
      <w:ind w:left="440"/>
    </w:pPr>
    <w:rPr>
      <w:rFonts w:ascii="Calibri" w:eastAsia="Times New Roman" w:hAnsi="Calibri" w:cs="Times New Roman"/>
      <w:kern w:val="0"/>
      <w:lang w:val="en-US" w:eastAsia="en-US"/>
      <w14:ligatures w14:val="none"/>
    </w:rPr>
  </w:style>
  <w:style w:type="paragraph" w:styleId="TOC4">
    <w:name w:val="toc 4"/>
    <w:basedOn w:val="Normal"/>
    <w:next w:val="Normal"/>
    <w:uiPriority w:val="39"/>
    <w:rsid w:val="00AC36E6"/>
    <w:pPr>
      <w:spacing w:after="100" w:line="276" w:lineRule="auto"/>
      <w:ind w:left="660"/>
    </w:pPr>
    <w:rPr>
      <w:rFonts w:ascii="Calibri" w:eastAsia="Times New Roman" w:hAnsi="Calibri" w:cs="Times New Roman"/>
      <w:kern w:val="0"/>
      <w:lang w:val="en-US" w:eastAsia="en-US"/>
      <w14:ligatures w14:val="none"/>
    </w:rPr>
  </w:style>
  <w:style w:type="paragraph" w:styleId="TOC5">
    <w:name w:val="toc 5"/>
    <w:basedOn w:val="Normal"/>
    <w:next w:val="Normal"/>
    <w:uiPriority w:val="39"/>
    <w:rsid w:val="00AC36E6"/>
    <w:pPr>
      <w:spacing w:after="100" w:line="276" w:lineRule="auto"/>
      <w:ind w:left="880"/>
    </w:pPr>
    <w:rPr>
      <w:rFonts w:ascii="Calibri" w:eastAsia="Times New Roman" w:hAnsi="Calibri" w:cs="Times New Roman"/>
      <w:kern w:val="0"/>
      <w:lang w:val="en-US" w:eastAsia="en-US"/>
      <w14:ligatures w14:val="none"/>
    </w:rPr>
  </w:style>
  <w:style w:type="paragraph" w:styleId="TOC6">
    <w:name w:val="toc 6"/>
    <w:basedOn w:val="Normal"/>
    <w:next w:val="Normal"/>
    <w:uiPriority w:val="39"/>
    <w:rsid w:val="00AC36E6"/>
    <w:pPr>
      <w:spacing w:after="100" w:line="276" w:lineRule="auto"/>
      <w:ind w:left="1100"/>
    </w:pPr>
    <w:rPr>
      <w:rFonts w:ascii="Calibri" w:eastAsia="Times New Roman" w:hAnsi="Calibri" w:cs="Times New Roman"/>
      <w:kern w:val="0"/>
      <w:lang w:val="en-US" w:eastAsia="en-US"/>
      <w14:ligatures w14:val="none"/>
    </w:rPr>
  </w:style>
  <w:style w:type="paragraph" w:styleId="TOC7">
    <w:name w:val="toc 7"/>
    <w:basedOn w:val="Normal"/>
    <w:next w:val="Normal"/>
    <w:uiPriority w:val="39"/>
    <w:rsid w:val="00AC36E6"/>
    <w:pPr>
      <w:spacing w:after="100" w:line="276" w:lineRule="auto"/>
      <w:ind w:left="1320"/>
    </w:pPr>
    <w:rPr>
      <w:rFonts w:ascii="Calibri" w:eastAsia="Times New Roman" w:hAnsi="Calibri" w:cs="Times New Roman"/>
      <w:kern w:val="0"/>
      <w:lang w:val="en-US" w:eastAsia="en-US"/>
      <w14:ligatures w14:val="none"/>
    </w:rPr>
  </w:style>
  <w:style w:type="paragraph" w:styleId="TOC8">
    <w:name w:val="toc 8"/>
    <w:basedOn w:val="Normal"/>
    <w:next w:val="Normal"/>
    <w:uiPriority w:val="39"/>
    <w:rsid w:val="00AC36E6"/>
    <w:pPr>
      <w:spacing w:after="100" w:line="276" w:lineRule="auto"/>
      <w:ind w:left="1540"/>
    </w:pPr>
    <w:rPr>
      <w:rFonts w:ascii="Calibri" w:eastAsia="Times New Roman" w:hAnsi="Calibri" w:cs="Times New Roman"/>
      <w:kern w:val="0"/>
      <w:lang w:val="en-US" w:eastAsia="en-US"/>
      <w14:ligatures w14:val="none"/>
    </w:rPr>
  </w:style>
  <w:style w:type="paragraph" w:styleId="TOC9">
    <w:name w:val="toc 9"/>
    <w:basedOn w:val="Normal"/>
    <w:next w:val="Normal"/>
    <w:uiPriority w:val="39"/>
    <w:rsid w:val="00AC36E6"/>
    <w:pPr>
      <w:spacing w:after="100" w:line="276" w:lineRule="auto"/>
      <w:ind w:left="1760"/>
    </w:pPr>
    <w:rPr>
      <w:rFonts w:ascii="Calibri" w:eastAsia="Times New Roman" w:hAnsi="Calibri" w:cs="Times New Roman"/>
      <w:kern w:val="0"/>
      <w:lang w:val="en-US" w:eastAsia="en-US"/>
      <w14:ligatures w14:val="none"/>
    </w:rPr>
  </w:style>
  <w:style w:type="character" w:styleId="FollowedHyperlink">
    <w:name w:val="FollowedHyperlink"/>
    <w:rsid w:val="00AC36E6"/>
    <w:rPr>
      <w:rFonts w:ascii="Calibri" w:eastAsia="Calibri" w:hAnsi="Calibri" w:cs="Times New Roman"/>
      <w:color w:val="800080"/>
      <w:u w:val="single"/>
    </w:rPr>
  </w:style>
  <w:style w:type="paragraph" w:styleId="FootnoteText">
    <w:name w:val="footnote text"/>
    <w:basedOn w:val="Normal"/>
    <w:link w:val="FootnoteTextChar"/>
    <w:uiPriority w:val="99"/>
    <w:semiHidden/>
    <w:unhideWhenUsed/>
    <w:rsid w:val="00867A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A60"/>
    <w:rPr>
      <w:sz w:val="20"/>
      <w:szCs w:val="20"/>
    </w:rPr>
  </w:style>
  <w:style w:type="character" w:styleId="FootnoteReference">
    <w:name w:val="footnote reference"/>
    <w:basedOn w:val="DefaultParagraphFont"/>
    <w:uiPriority w:val="99"/>
    <w:semiHidden/>
    <w:unhideWhenUsed/>
    <w:rsid w:val="00867A60"/>
    <w:rPr>
      <w:vertAlign w:val="superscript"/>
    </w:rPr>
  </w:style>
  <w:style w:type="character" w:styleId="UnresolvedMention">
    <w:name w:val="Unresolved Mention"/>
    <w:basedOn w:val="DefaultParagraphFont"/>
    <w:uiPriority w:val="99"/>
    <w:semiHidden/>
    <w:unhideWhenUsed/>
    <w:rsid w:val="00DE1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4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 /><Relationship Id="rId13" Type="http://schemas.openxmlformats.org/officeDocument/2006/relationships/hyperlink" Target="https://www.ecb.europa.eu/pub/pdf/scpwps/ecbwp1166.pdf" TargetMode="External" /><Relationship Id="rId18" Type="http://schemas.openxmlformats.org/officeDocument/2006/relationships/hyperlink" Target="http://ir.jkuat.ac.ke:8080/bitstream/handle/123456789/2376/Jane%20Gathiga%20Muriithi%20Phd%20Finanace%20Thesis%202016.pdf?sequence=3&amp;isAllowed=y" TargetMode="External" /><Relationship Id="rId26" Type="http://schemas.openxmlformats.org/officeDocument/2006/relationships/hyperlink" Target="http://www.bizresearchpapers.com/attachments_2009_01_13/20.Rosman.pdf" TargetMode="External" /><Relationship Id="rId39" Type="http://schemas.microsoft.com/office/2011/relationships/people" Target="people.xml" /><Relationship Id="rId3" Type="http://schemas.openxmlformats.org/officeDocument/2006/relationships/styles" Target="styles.xml" /><Relationship Id="rId21" Type="http://schemas.openxmlformats.org/officeDocument/2006/relationships/hyperlink" Target="http://documents.worldbank.org/curated/en/826781468179358104/Monitoring-banking-sector-fragility-a-multivariate-logit-approach" TargetMode="External" /><Relationship Id="rId34"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https://www.researchgate.net/publication/323430569_Credit_Risk_Research_Review_and_Agenda" TargetMode="External" /><Relationship Id="rId17" Type="http://schemas.openxmlformats.org/officeDocument/2006/relationships/hyperlink" Target="https://www.emeraldinsight.com/doi/10.1108/03074350610646735" TargetMode="External" /><Relationship Id="rId25" Type="http://schemas.openxmlformats.org/officeDocument/2006/relationships/hyperlink" Target="http://ccsenet.org/journal/index.php/ijef/article/view/48096" TargetMode="External" /><Relationship Id="rId33" Type="http://schemas.openxmlformats.org/officeDocument/2006/relationships/header" Target="header2.xml" /><Relationship Id="rId38"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s://www.oecd.org/finance/financial-markets/43319875.pdf" TargetMode="External" /><Relationship Id="rId20" Type="http://schemas.openxmlformats.org/officeDocument/2006/relationships/hyperlink" Target="https://www.arcjournals.org/international-journal-of-managerial-studies-and-research/volume-5-issue-8/6" TargetMode="External" /><Relationship Id="rId29" Type="http://schemas.openxmlformats.org/officeDocument/2006/relationships/hyperlink" Target="http://www.igidr.ac.in/conf/money1/OPERATIONAL%20RISK%20MANAGEMENT%20IN%20INDIAN%20BANKS.pdf"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microsoft.com/office/2018/08/relationships/commentsExtensible" Target="commentsExtensible.xml" /><Relationship Id="rId24" Type="http://schemas.openxmlformats.org/officeDocument/2006/relationships/hyperlink" Target="http://www.iosrjournals.org/iosr-jhss/papers/Vol5-issue5/G0557180.pdf" TargetMode="External" /><Relationship Id="rId32" Type="http://schemas.openxmlformats.org/officeDocument/2006/relationships/header" Target="header1.xml" /><Relationship Id="rId37" Type="http://schemas.openxmlformats.org/officeDocument/2006/relationships/footer" Target="footer3.xml" /><Relationship Id="rId40"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https://ideas.repec.org/a/icf/icfjbm/v8y2009i1p47-72.html" TargetMode="External" /><Relationship Id="rId23" Type="http://schemas.openxmlformats.org/officeDocument/2006/relationships/hyperlink" Target="http://chuka.ac.ke/publications/MOTI%20N%20GALO%20PUBLICATION.pdf" TargetMode="External" /><Relationship Id="rId28" Type="http://schemas.openxmlformats.org/officeDocument/2006/relationships/hyperlink" Target="http://www.academia.edu/25124786/Credit_Risk_Analysis_in_Indian_Commercial_Banks-_An_Empirical_Investigation" TargetMode="External" /><Relationship Id="rId36" Type="http://schemas.openxmlformats.org/officeDocument/2006/relationships/header" Target="header3.xml" /><Relationship Id="rId10" Type="http://schemas.microsoft.com/office/2016/09/relationships/commentsIds" Target="commentsIds.xml" /><Relationship Id="rId19" Type="http://schemas.openxmlformats.org/officeDocument/2006/relationships/hyperlink" Target="https://www.imf.org/external/pubs/ft/wp/2010/wp1047.pdf" TargetMode="External" /><Relationship Id="rId31" Type="http://schemas.openxmlformats.org/officeDocument/2006/relationships/hyperlink" Target="https://pdfs.semanticscholar.org/797d/ec6a10d004b280ae89bd928a2b45790383af.pdf" TargetMode="External" /><Relationship Id="rId4" Type="http://schemas.openxmlformats.org/officeDocument/2006/relationships/settings" Target="settings.xml" /><Relationship Id="rId9" Type="http://schemas.microsoft.com/office/2011/relationships/commentsExtended" Target="commentsExtended.xml" /><Relationship Id="rId14" Type="http://schemas.openxmlformats.org/officeDocument/2006/relationships/hyperlink" Target="http://www.savap.org.pk/journals/ARInt./Vol.3(1)/2012(3.1-44).pdf" TargetMode="External" /><Relationship Id="rId22" Type="http://schemas.openxmlformats.org/officeDocument/2006/relationships/hyperlink" Target="http://erepository.uonbi.ac.ke/bitstream/handle/11295/40437/aibuma2011-submission232.pdf?" TargetMode="External" /><Relationship Id="rId27" Type="http://schemas.openxmlformats.org/officeDocument/2006/relationships/hyperlink" Target="http://citeseerx.ist.psu.edu/viewdoc/download?doi=10.1.1.550.1544&amp;rep=rep1&amp;type=pdf" TargetMode="External" /><Relationship Id="rId30" Type="http://schemas.openxmlformats.org/officeDocument/2006/relationships/hyperlink" Target="https://www.emeraldinsight.com/doi/10.1108/17554250810926339" TargetMode="External" /><Relationship Id="rId35"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5D30-1B50-40A5-A139-15E2EC54CC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6018</Words>
  <Characters>39049</Characters>
  <Application>Microsoft Office Word</Application>
  <DocSecurity>0</DocSecurity>
  <Lines>325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Karanja, PhD</dc:creator>
  <cp:keywords/>
  <dc:description/>
  <cp:lastModifiedBy>Aziz Ullah</cp:lastModifiedBy>
  <cp:revision>2</cp:revision>
  <dcterms:created xsi:type="dcterms:W3CDTF">2025-04-12T05:21:00Z</dcterms:created>
  <dcterms:modified xsi:type="dcterms:W3CDTF">2025-04-12T05:21:00Z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0ed59933-c85e-48c6-a309-eaee4da92d04</vt:lpwstr>
  </property>
</Properties>
</file>