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2859" w14:textId="77777777" w:rsidR="009C1207" w:rsidRDefault="009C1207" w:rsidP="00BA3682">
      <w:pPr>
        <w:spacing w:line="360" w:lineRule="auto"/>
        <w:rPr>
          <w:rFonts w:ascii="Times New Roman" w:hAnsi="Times New Roman" w:cs="Times New Roman"/>
          <w:b/>
          <w:sz w:val="24"/>
          <w:szCs w:val="24"/>
        </w:rPr>
      </w:pPr>
      <w:proofErr w:type="spellStart"/>
      <w:r w:rsidRPr="009C1207">
        <w:rPr>
          <w:rFonts w:ascii="Times New Roman" w:hAnsi="Times New Roman" w:cs="Times New Roman"/>
          <w:b/>
          <w:sz w:val="24"/>
          <w:szCs w:val="24"/>
        </w:rPr>
        <w:t>Minireview</w:t>
      </w:r>
      <w:proofErr w:type="spellEnd"/>
      <w:r w:rsidRPr="009C1207">
        <w:rPr>
          <w:rFonts w:ascii="Times New Roman" w:hAnsi="Times New Roman" w:cs="Times New Roman"/>
          <w:b/>
          <w:sz w:val="24"/>
          <w:szCs w:val="24"/>
        </w:rPr>
        <w:t xml:space="preserve"> Article</w:t>
      </w:r>
    </w:p>
    <w:p w14:paraId="3DD45007" w14:textId="77777777" w:rsidR="009C1207" w:rsidRDefault="009C1207" w:rsidP="00BA3682">
      <w:pPr>
        <w:spacing w:line="360" w:lineRule="auto"/>
        <w:rPr>
          <w:rFonts w:ascii="Times New Roman" w:hAnsi="Times New Roman" w:cs="Times New Roman"/>
          <w:b/>
          <w:sz w:val="24"/>
          <w:szCs w:val="24"/>
        </w:rPr>
      </w:pPr>
    </w:p>
    <w:p w14:paraId="03295252" w14:textId="6E2C8AC3" w:rsidR="00125DD1" w:rsidRDefault="00BA3682" w:rsidP="00BA3682">
      <w:pPr>
        <w:spacing w:line="360" w:lineRule="auto"/>
        <w:rPr>
          <w:rFonts w:ascii="Times New Roman" w:hAnsi="Times New Roman" w:cs="Times New Roman"/>
          <w:sz w:val="24"/>
          <w:szCs w:val="24"/>
        </w:rPr>
      </w:pPr>
      <w:r w:rsidRPr="00BA3682">
        <w:rPr>
          <w:rFonts w:ascii="Times New Roman" w:hAnsi="Times New Roman" w:cs="Times New Roman"/>
          <w:b/>
          <w:sz w:val="24"/>
          <w:szCs w:val="24"/>
        </w:rPr>
        <w:t>PCOS AND PERIODONTITIS – BRIDGING THE GAP B</w:t>
      </w:r>
      <w:r>
        <w:rPr>
          <w:rFonts w:ascii="Times New Roman" w:hAnsi="Times New Roman" w:cs="Times New Roman"/>
          <w:b/>
          <w:sz w:val="24"/>
          <w:szCs w:val="24"/>
        </w:rPr>
        <w:t>ETWEEN ORAL AND SYSTEMIC HEALTH</w:t>
      </w:r>
      <w:r w:rsidR="00125DD1">
        <w:rPr>
          <w:rFonts w:ascii="Times New Roman" w:hAnsi="Times New Roman" w:cs="Times New Roman"/>
          <w:sz w:val="24"/>
          <w:szCs w:val="24"/>
        </w:rPr>
        <w:t xml:space="preserve">  </w:t>
      </w:r>
    </w:p>
    <w:p w14:paraId="577040B9" w14:textId="77777777" w:rsidR="00125DD1" w:rsidRDefault="00125DD1" w:rsidP="00BA3682">
      <w:pPr>
        <w:spacing w:line="360" w:lineRule="auto"/>
        <w:rPr>
          <w:rFonts w:ascii="Times New Roman" w:hAnsi="Times New Roman" w:cs="Times New Roman"/>
          <w:sz w:val="24"/>
          <w:szCs w:val="24"/>
        </w:rPr>
      </w:pPr>
    </w:p>
    <w:p w14:paraId="18D17781" w14:textId="2CBE8293" w:rsidR="00BA3682" w:rsidRDefault="00BA3682" w:rsidP="006B6C4C">
      <w:pPr>
        <w:spacing w:line="360" w:lineRule="auto"/>
        <w:jc w:val="both"/>
        <w:rPr>
          <w:rFonts w:ascii="Times New Roman" w:hAnsi="Times New Roman" w:cs="Times New Roman"/>
          <w:sz w:val="24"/>
          <w:szCs w:val="24"/>
        </w:rPr>
      </w:pPr>
    </w:p>
    <w:p w14:paraId="1B9E8A29" w14:textId="73CE6982" w:rsidR="00A948A2" w:rsidRDefault="00A948A2" w:rsidP="00BA3682">
      <w:pPr>
        <w:spacing w:line="360" w:lineRule="auto"/>
        <w:jc w:val="center"/>
        <w:rPr>
          <w:rFonts w:ascii="Times New Roman" w:hAnsi="Times New Roman" w:cs="Times New Roman"/>
          <w:b/>
          <w:sz w:val="24"/>
          <w:szCs w:val="24"/>
        </w:rPr>
      </w:pPr>
      <w:r w:rsidRPr="00CC1ED7">
        <w:rPr>
          <w:rFonts w:ascii="Times New Roman" w:hAnsi="Times New Roman" w:cs="Times New Roman"/>
          <w:b/>
          <w:sz w:val="24"/>
          <w:szCs w:val="24"/>
        </w:rPr>
        <w:t>ABSTRACT</w:t>
      </w:r>
    </w:p>
    <w:p w14:paraId="1B96844E" w14:textId="55159D9B" w:rsidR="00CC1ED7" w:rsidRDefault="00CC1ED7" w:rsidP="00CC1ED7">
      <w:pPr>
        <w:spacing w:line="360" w:lineRule="auto"/>
        <w:jc w:val="both"/>
        <w:rPr>
          <w:rFonts w:ascii="Times New Roman" w:hAnsi="Times New Roman" w:cs="Times New Roman"/>
          <w:sz w:val="24"/>
          <w:szCs w:val="24"/>
        </w:rPr>
      </w:pPr>
      <w:r w:rsidRPr="00CC1ED7">
        <w:rPr>
          <w:rFonts w:ascii="Times New Roman" w:hAnsi="Times New Roman" w:cs="Times New Roman"/>
          <w:sz w:val="24"/>
          <w:szCs w:val="24"/>
        </w:rPr>
        <w:t xml:space="preserve">Polycystic ovary syndrome (PCOS) is a multifaceted condition </w:t>
      </w:r>
      <w:r w:rsidR="00B671C3" w:rsidRPr="00B671C3">
        <w:rPr>
          <w:rFonts w:ascii="Times New Roman" w:hAnsi="Times New Roman" w:cs="Times New Roman"/>
          <w:sz w:val="24"/>
          <w:szCs w:val="24"/>
        </w:rPr>
        <w:t>that impacts hormonal balance, fertility, and metabolic function, influencing around 5–15% of women worldwide.</w:t>
      </w:r>
      <w:r w:rsidRPr="00CC1ED7">
        <w:rPr>
          <w:rFonts w:ascii="Times New Roman" w:hAnsi="Times New Roman" w:cs="Times New Roman"/>
          <w:sz w:val="24"/>
          <w:szCs w:val="24"/>
        </w:rPr>
        <w:t xml:space="preserve"> Periodontitis (PD) is a persistent inflammatory disease with multiple contributing factors, triggered by a </w:t>
      </w:r>
      <w:proofErr w:type="spellStart"/>
      <w:r w:rsidRPr="00CC1ED7">
        <w:rPr>
          <w:rFonts w:ascii="Times New Roman" w:hAnsi="Times New Roman" w:cs="Times New Roman"/>
          <w:sz w:val="24"/>
          <w:szCs w:val="24"/>
        </w:rPr>
        <w:t>dysbiotic</w:t>
      </w:r>
      <w:proofErr w:type="spellEnd"/>
      <w:r w:rsidRPr="00CC1ED7">
        <w:rPr>
          <w:rFonts w:ascii="Times New Roman" w:hAnsi="Times New Roman" w:cs="Times New Roman"/>
          <w:sz w:val="24"/>
          <w:szCs w:val="24"/>
        </w:rPr>
        <w:t xml:space="preserve"> dental plaque, leading to the breakdown of the </w:t>
      </w:r>
      <w:proofErr w:type="spellStart"/>
      <w:r w:rsidRPr="00CC1ED7">
        <w:rPr>
          <w:rFonts w:ascii="Times New Roman" w:hAnsi="Times New Roman" w:cs="Times New Roman"/>
          <w:sz w:val="24"/>
          <w:szCs w:val="24"/>
        </w:rPr>
        <w:t>periodontium</w:t>
      </w:r>
      <w:proofErr w:type="spellEnd"/>
      <w:r w:rsidRPr="00CC1ED7">
        <w:rPr>
          <w:rFonts w:ascii="Times New Roman" w:hAnsi="Times New Roman" w:cs="Times New Roman"/>
          <w:sz w:val="24"/>
          <w:szCs w:val="24"/>
        </w:rPr>
        <w:t>—the supporting structures of the teeth. It has been suggested that there may be</w:t>
      </w:r>
      <w:r w:rsidR="00B671C3">
        <w:rPr>
          <w:rFonts w:ascii="Times New Roman" w:hAnsi="Times New Roman" w:cs="Times New Roman"/>
          <w:sz w:val="24"/>
          <w:szCs w:val="24"/>
        </w:rPr>
        <w:t xml:space="preserve"> a bidirectional connection</w:t>
      </w:r>
      <w:r w:rsidRPr="00CC1ED7">
        <w:rPr>
          <w:rFonts w:ascii="Times New Roman" w:hAnsi="Times New Roman" w:cs="Times New Roman"/>
          <w:sz w:val="24"/>
          <w:szCs w:val="24"/>
        </w:rPr>
        <w:t xml:space="preserve"> between PCOS and periodontal diseases. Both conditions share common risk factors. </w:t>
      </w:r>
      <w:commentRangeStart w:id="0"/>
      <w:r w:rsidRPr="00CC1ED7">
        <w:rPr>
          <w:rFonts w:ascii="Times New Roman" w:hAnsi="Times New Roman" w:cs="Times New Roman"/>
          <w:sz w:val="24"/>
          <w:szCs w:val="24"/>
        </w:rPr>
        <w:t>Polycystic Ovarian Syndrome (PCOS) and periodontal disease are two prevalent conditions that share common risk factors</w:t>
      </w:r>
      <w:commentRangeEnd w:id="0"/>
      <w:r w:rsidR="00B44648">
        <w:rPr>
          <w:rStyle w:val="CommentReference"/>
        </w:rPr>
        <w:commentReference w:id="0"/>
      </w:r>
      <w:r w:rsidRPr="00CC1ED7">
        <w:rPr>
          <w:rFonts w:ascii="Times New Roman" w:hAnsi="Times New Roman" w:cs="Times New Roman"/>
          <w:sz w:val="24"/>
          <w:szCs w:val="24"/>
        </w:rPr>
        <w:t>, including chronic systemic inflammation, insulin resistance, and oxidative stress.</w:t>
      </w:r>
      <w:r>
        <w:rPr>
          <w:rFonts w:ascii="Times New Roman" w:hAnsi="Times New Roman" w:cs="Times New Roman"/>
          <w:sz w:val="24"/>
          <w:szCs w:val="24"/>
        </w:rPr>
        <w:t xml:space="preserve"> </w:t>
      </w:r>
      <w:r w:rsidRPr="00CC1ED7">
        <w:rPr>
          <w:rFonts w:ascii="Times New Roman" w:hAnsi="Times New Roman" w:cs="Times New Roman"/>
          <w:sz w:val="24"/>
          <w:szCs w:val="24"/>
        </w:rPr>
        <w:t xml:space="preserve">Periodontal diseases are worsened by </w:t>
      </w:r>
      <w:r w:rsidR="00B671C3" w:rsidRPr="00B671C3">
        <w:rPr>
          <w:rFonts w:ascii="Times New Roman" w:hAnsi="Times New Roman" w:cs="Times New Roman"/>
          <w:sz w:val="24"/>
          <w:szCs w:val="24"/>
        </w:rPr>
        <w:t xml:space="preserve">Chronic mild inflammation linked to PCOS encompasses factors such as excess body weight, ongoing immune </w:t>
      </w:r>
      <w:proofErr w:type="spellStart"/>
      <w:r w:rsidR="00B671C3" w:rsidRPr="00B671C3">
        <w:rPr>
          <w:rFonts w:ascii="Times New Roman" w:hAnsi="Times New Roman" w:cs="Times New Roman"/>
          <w:sz w:val="24"/>
          <w:szCs w:val="24"/>
        </w:rPr>
        <w:t>dysregulation</w:t>
      </w:r>
      <w:proofErr w:type="spellEnd"/>
      <w:r w:rsidR="00B671C3" w:rsidRPr="00B671C3">
        <w:rPr>
          <w:rFonts w:ascii="Times New Roman" w:hAnsi="Times New Roman" w:cs="Times New Roman"/>
          <w:sz w:val="24"/>
          <w:szCs w:val="24"/>
        </w:rPr>
        <w:t xml:space="preserve">, </w:t>
      </w:r>
      <w:r w:rsidR="00B671C3">
        <w:rPr>
          <w:rFonts w:ascii="Times New Roman" w:hAnsi="Times New Roman" w:cs="Times New Roman"/>
          <w:sz w:val="24"/>
          <w:szCs w:val="24"/>
        </w:rPr>
        <w:t>and elevated oxidative stress</w:t>
      </w:r>
      <w:r w:rsidRPr="00CC1ED7">
        <w:rPr>
          <w:rFonts w:ascii="Times New Roman" w:hAnsi="Times New Roman" w:cs="Times New Roman"/>
          <w:sz w:val="24"/>
          <w:szCs w:val="24"/>
        </w:rPr>
        <w:t xml:space="preserve">. </w:t>
      </w:r>
      <w:commentRangeStart w:id="1"/>
      <w:r w:rsidRPr="00CC1ED7">
        <w:rPr>
          <w:rFonts w:ascii="Times New Roman" w:hAnsi="Times New Roman" w:cs="Times New Roman"/>
          <w:sz w:val="24"/>
          <w:szCs w:val="24"/>
        </w:rPr>
        <w:t>Conversely, per</w:t>
      </w:r>
      <w:r>
        <w:rPr>
          <w:rFonts w:ascii="Times New Roman" w:hAnsi="Times New Roman" w:cs="Times New Roman"/>
          <w:sz w:val="24"/>
          <w:szCs w:val="24"/>
        </w:rPr>
        <w:t>iodontal diseases may also elevate</w:t>
      </w:r>
      <w:r w:rsidRPr="00CC1ED7">
        <w:rPr>
          <w:rFonts w:ascii="Times New Roman" w:hAnsi="Times New Roman" w:cs="Times New Roman"/>
          <w:sz w:val="24"/>
          <w:szCs w:val="24"/>
        </w:rPr>
        <w:t xml:space="preserve"> the risk of developing PCOS. </w:t>
      </w:r>
      <w:commentRangeEnd w:id="1"/>
      <w:r w:rsidR="00B44648">
        <w:rPr>
          <w:rStyle w:val="CommentReference"/>
        </w:rPr>
        <w:commentReference w:id="1"/>
      </w:r>
      <w:r w:rsidR="0017776D" w:rsidRPr="0017776D">
        <w:rPr>
          <w:rFonts w:ascii="Times New Roman" w:hAnsi="Times New Roman" w:cs="Times New Roman"/>
          <w:sz w:val="24"/>
          <w:szCs w:val="24"/>
        </w:rPr>
        <w:t>Thus, this chapter will concentrate on the connection between PCOS and periodontal diseases, along with the shared risk factors for both conditions.</w:t>
      </w:r>
    </w:p>
    <w:p w14:paraId="26E28B18" w14:textId="4A001E9F" w:rsidR="0017776D" w:rsidRDefault="0017776D" w:rsidP="00CC1ED7">
      <w:pPr>
        <w:spacing w:line="360" w:lineRule="auto"/>
        <w:jc w:val="both"/>
        <w:rPr>
          <w:rFonts w:ascii="Times New Roman" w:hAnsi="Times New Roman" w:cs="Times New Roman"/>
          <w:sz w:val="24"/>
          <w:szCs w:val="24"/>
        </w:rPr>
      </w:pPr>
    </w:p>
    <w:p w14:paraId="01A3A1FE" w14:textId="3C647AC0" w:rsidR="0017776D" w:rsidRPr="00CC1ED7" w:rsidRDefault="0017776D" w:rsidP="00CC1ED7">
      <w:pPr>
        <w:spacing w:line="360" w:lineRule="auto"/>
        <w:jc w:val="both"/>
        <w:rPr>
          <w:rFonts w:ascii="Times New Roman" w:hAnsi="Times New Roman" w:cs="Times New Roman"/>
          <w:sz w:val="24"/>
          <w:szCs w:val="24"/>
        </w:rPr>
      </w:pPr>
      <w:r w:rsidRPr="0017776D">
        <w:rPr>
          <w:rFonts w:ascii="Times New Roman" w:hAnsi="Times New Roman" w:cs="Times New Roman"/>
          <w:b/>
          <w:sz w:val="24"/>
          <w:szCs w:val="24"/>
        </w:rPr>
        <w:t>Key Words</w:t>
      </w:r>
      <w:r>
        <w:rPr>
          <w:rFonts w:ascii="Times New Roman" w:hAnsi="Times New Roman" w:cs="Times New Roman"/>
          <w:sz w:val="24"/>
          <w:szCs w:val="24"/>
        </w:rPr>
        <w:t xml:space="preserve">: Insulin Resistance, systemic inflammation, PCOS, Oxidative stress, </w:t>
      </w:r>
      <w:proofErr w:type="gramStart"/>
      <w:r>
        <w:rPr>
          <w:rFonts w:ascii="Times New Roman" w:hAnsi="Times New Roman" w:cs="Times New Roman"/>
          <w:sz w:val="24"/>
          <w:szCs w:val="24"/>
        </w:rPr>
        <w:t>Periodontal</w:t>
      </w:r>
      <w:proofErr w:type="gramEnd"/>
      <w:r>
        <w:rPr>
          <w:rFonts w:ascii="Times New Roman" w:hAnsi="Times New Roman" w:cs="Times New Roman"/>
          <w:sz w:val="24"/>
          <w:szCs w:val="24"/>
        </w:rPr>
        <w:t xml:space="preserve"> disease</w:t>
      </w:r>
    </w:p>
    <w:p w14:paraId="4B407C84" w14:textId="3CBC88CF" w:rsidR="00BA3682" w:rsidRDefault="00BA3682" w:rsidP="006B6C4C">
      <w:pPr>
        <w:spacing w:line="360" w:lineRule="auto"/>
        <w:jc w:val="both"/>
        <w:rPr>
          <w:rFonts w:ascii="Times New Roman" w:hAnsi="Times New Roman" w:cs="Times New Roman"/>
          <w:sz w:val="24"/>
          <w:szCs w:val="24"/>
        </w:rPr>
      </w:pPr>
    </w:p>
    <w:p w14:paraId="781DCD63" w14:textId="4DD671F9" w:rsidR="00125DD1" w:rsidRDefault="00125DD1" w:rsidP="006B6C4C">
      <w:pPr>
        <w:spacing w:line="360" w:lineRule="auto"/>
        <w:jc w:val="both"/>
        <w:rPr>
          <w:rFonts w:ascii="Times New Roman" w:hAnsi="Times New Roman" w:cs="Times New Roman"/>
          <w:sz w:val="24"/>
          <w:szCs w:val="24"/>
        </w:rPr>
      </w:pPr>
    </w:p>
    <w:p w14:paraId="7889B115" w14:textId="32037F89" w:rsidR="001A4559" w:rsidRPr="006B6C4C" w:rsidRDefault="00867A66" w:rsidP="006B6C4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684212">
        <w:rPr>
          <w:rFonts w:ascii="Times New Roman" w:hAnsi="Times New Roman" w:cs="Times New Roman"/>
          <w:b/>
          <w:bCs/>
          <w:sz w:val="24"/>
          <w:szCs w:val="24"/>
        </w:rPr>
        <w:t>INTRODUCTION</w:t>
      </w:r>
    </w:p>
    <w:p w14:paraId="74C66B77" w14:textId="72A69507" w:rsidR="00BB1D98" w:rsidRPr="006B6C4C" w:rsidRDefault="001A4559" w:rsidP="006B6C4C">
      <w:pPr>
        <w:spacing w:line="360" w:lineRule="auto"/>
        <w:jc w:val="both"/>
        <w:rPr>
          <w:rFonts w:ascii="Times New Roman" w:hAnsi="Times New Roman" w:cs="Times New Roman"/>
          <w:sz w:val="24"/>
          <w:szCs w:val="24"/>
        </w:rPr>
      </w:pPr>
      <w:bookmarkStart w:id="2" w:name="_Hlk171765245"/>
      <w:r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 xml:space="preserve">Periodontal disease (PD) is a persistent inflammatory disease that results in the deterioration of </w:t>
      </w:r>
      <w:r w:rsidR="00352A36">
        <w:rPr>
          <w:rFonts w:ascii="Times New Roman" w:hAnsi="Times New Roman" w:cs="Times New Roman"/>
          <w:sz w:val="24"/>
          <w:szCs w:val="24"/>
        </w:rPr>
        <w:t>t</w:t>
      </w:r>
      <w:r w:rsidR="00352A36" w:rsidRPr="00352A36">
        <w:rPr>
          <w:rFonts w:ascii="Times New Roman" w:hAnsi="Times New Roman" w:cs="Times New Roman"/>
          <w:sz w:val="24"/>
          <w:szCs w:val="24"/>
        </w:rPr>
        <w:t xml:space="preserve">he structures that hold and maintain the teeth in place include the gingiva, </w:t>
      </w:r>
      <w:r w:rsidR="00352A36" w:rsidRPr="00352A36">
        <w:rPr>
          <w:rFonts w:ascii="Times New Roman" w:hAnsi="Times New Roman" w:cs="Times New Roman"/>
          <w:sz w:val="24"/>
          <w:szCs w:val="24"/>
        </w:rPr>
        <w:lastRenderedPageBreak/>
        <w:t xml:space="preserve">periodontal ligament, </w:t>
      </w:r>
      <w:proofErr w:type="spellStart"/>
      <w:r w:rsidR="00352A36" w:rsidRPr="00352A36">
        <w:rPr>
          <w:rFonts w:ascii="Times New Roman" w:hAnsi="Times New Roman" w:cs="Times New Roman"/>
          <w:sz w:val="24"/>
          <w:szCs w:val="24"/>
        </w:rPr>
        <w:t>cementum</w:t>
      </w:r>
      <w:proofErr w:type="spellEnd"/>
      <w:r w:rsidR="00352A36" w:rsidRPr="00352A36">
        <w:rPr>
          <w:rFonts w:ascii="Times New Roman" w:hAnsi="Times New Roman" w:cs="Times New Roman"/>
          <w:sz w:val="24"/>
          <w:szCs w:val="24"/>
        </w:rPr>
        <w:t>, and the alveolar bone.</w:t>
      </w:r>
      <w:r w:rsidR="00CF4472" w:rsidRPr="00CF4472">
        <w:rPr>
          <w:rFonts w:ascii="Times New Roman" w:hAnsi="Times New Roman" w:cs="Times New Roman"/>
          <w:sz w:val="24"/>
          <w:szCs w:val="24"/>
        </w:rPr>
        <w:t xml:space="preserve"> It is broadly categorized into two main types: gingivitis, which involves inflammation of the gingiva, and periodontitis, a more severe condition characterized by the progressive and irreversible deterioration of periodontal tissues</w:t>
      </w:r>
      <w:r w:rsidR="00F866E9">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{"citationID":"GaYRZRu7","properties":{"formattedCitation":"\\super [1]\\nosupersub{}","plainCitation":"[1]","noteIndex":0},"citationItems":[{"id":208,"uris":["http://zotero.org/users/local/VoUUWtMF/items/E2M3IW4W"],"itemData":{"id":208,"type":"article-journal","abstract":"Obesity has become a worldwide health burden in the last two decades. Obesity has been associated with increased comorbidities, such as coronary artery disease, diabetes, and destructive periodontal disease. Obesity is also part of a group of risk factors occurring together in an individual, which is referred to as metabolic syndrome. Clinical studies have shown higher risk for destructive periodontal disease in obesity and metabolic syndrome. However, the role of obesity and metabolic syndrome in the onset and development of destructive periodontal disease has not yet been fully understood. In this review, we discuss a working model, which focuses on interorgan inflammation as a common etiological factor for destructive periodontal disease associated with obesity and metabolic syndrome. Specifically, we suggest that elevated levels of tumor necrosis factor- α (TNF- α ) or interleukin 6 (IL-6)--both adipokines and known risk factors for destructive periodontal disease--in obesity and metabolic syndrome contribute to the onset and development of destructive periodontal disease. The connections between destructive periodontal disease and systemic conditions, such as obesity or metabolic syndrome, are complex and potentially multidirectional. This review largely focuses on TNF- α and IL-6, inflammatory mediators, as potential common risk factors and does not exclude other biological mechanisms.","container-title":"Mediators of Inflammation","DOI":"10.1155/2013/728987","ISSN":"1466-1861","journalAbbreviation":"Mediators Inflamm","language":"eng","note":"PMID: 24068858\nPMCID: PMC3771422","page":"728987","source":"PubMed","title":"Tumor necrosis factor- α and interleukin-6: potential interorgan inflammatory mediators contributing to destructive periodontal disease in obesity or metabolic syndrome","title-short":"Tumor necrosis factor- α and interleukin-6","volume":"2013","author":[{"family":"Khosravi","given":"Roozbeh"},{"family":"Ka","given":"Khady"},{"family":"Huang","given":"Ting"},{"family":"Khalili","given":"Saeed"},{"family":"Nguyen","given":"Bich Hong"},{"family":"Nicolau","given":"Belinda"},{"family":"Tran","given":"Simon D."}],"issued":{"date-parts":[["2013"]]}}}],"schema":"https://github.com/citation-style-language/schema/raw/master/csl-citation.json"}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[1]</w:t>
      </w:r>
      <w:r w:rsidR="00C34A70" w:rsidRPr="00FF0420">
        <w:rPr>
          <w:rFonts w:ascii="Times New Roman" w:hAnsi="Times New Roman" w:cs="Times New Roman"/>
          <w:sz w:val="24"/>
          <w:szCs w:val="24"/>
          <w:vertAlign w:val="superscript"/>
        </w:rPr>
        <w:fldChar w:fldCharType="end"/>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The onset and advancement of periodontal diseases are influenced by various elements, including hereditary traits, environmental conditions, microbial activity, and the ho</w:t>
      </w:r>
      <w:r w:rsidR="00CF4472">
        <w:rPr>
          <w:rFonts w:ascii="Times New Roman" w:hAnsi="Times New Roman" w:cs="Times New Roman"/>
          <w:sz w:val="24"/>
          <w:szCs w:val="24"/>
        </w:rPr>
        <w:t>st's immune response mechanisms</w:t>
      </w:r>
      <w:r w:rsidR="00167EAA" w:rsidRPr="006B6C4C">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{"citationID":"UrgrlQ54","properties":{"formattedCitation":"\\super [2]\\nosupersub{}","plainCitation":"[2]","noteIndex":0},"citationItems":[{"id":211,"uris":["http://zotero.org/users/local/VoUUWtMF/items/XRGLYDBG"],"itemData":{"id":211,"type":"article-journal","abstract":"Historically, periodontal disease (gingivitis and periodontitis) has been recognized as being primarily of bacterial origin. However, recent evidence indicates that while bacteria are necessary for disease development they are not sufficient for the clinical manifestation of the many and varied forms of periodontal disease. It is becoming increasingly apparent that it is the host inflammatory response to the subgingival bacteria that is responsible for the tissue damage and, most likely, progression of the disease. We explore the concept that it is the subgingival microenvironment modified by the inflammatory response that leads to a change from a commensal to pathogenic microbiota. In this review, we examine the evidence for the emerging paradigm supporting the central role of inflammation rather than specific microbiota in the pathogenesis of periodontitis, and that by controlling the inflammation, it is possible to control the infection. As an extension of this, we propose a working model for the ongoing monitoring of periodontal patients using the medical model of 'treat to target'.","container-title":"Periodontology 2000","DOI":"10.1111/prd.12169","ISSN":"1600-0757","issue":"1","journalAbbreviation":"Periodontol 2000","language":"eng","note":"PMID: 28758299","page":"317-329","source":"PubMed","title":"Host modulation: controlling the inflammation to control the infection","title-short":"Host modulation","volume":"75","author":[{"family":"Bartold","given":"P. Mark"},{"family":"Van Dyke","given":"Thomas E."}],"issued":{"date-parts":[["2017",10]]}}}],"schema":"https://github.com/citation-style-language/schema/raw/master/csl-citation.json"}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[2]</w:t>
      </w:r>
      <w:r w:rsidR="00C34A70" w:rsidRPr="00FF0420">
        <w:rPr>
          <w:rFonts w:ascii="Times New Roman" w:hAnsi="Times New Roman" w:cs="Times New Roman"/>
          <w:sz w:val="24"/>
          <w:szCs w:val="24"/>
          <w:vertAlign w:val="superscript"/>
        </w:rPr>
        <w:fldChar w:fldCharType="end"/>
      </w:r>
    </w:p>
    <w:p w14:paraId="3A91376E" w14:textId="7685BEB7" w:rsidR="00E11955" w:rsidRDefault="00BB1D98" w:rsidP="00E11955">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D307A" w:rsidRPr="00ED307A">
        <w:rPr>
          <w:rFonts w:ascii="Times New Roman" w:hAnsi="Times New Roman" w:cs="Times New Roman"/>
          <w:sz w:val="24"/>
          <w:szCs w:val="24"/>
        </w:rPr>
        <w:t xml:space="preserve">The </w:t>
      </w:r>
      <w:proofErr w:type="spellStart"/>
      <w:r w:rsidR="00E64DC3">
        <w:rPr>
          <w:rFonts w:ascii="Times New Roman" w:hAnsi="Times New Roman" w:cs="Times New Roman"/>
          <w:sz w:val="24"/>
          <w:szCs w:val="24"/>
        </w:rPr>
        <w:t>P</w:t>
      </w:r>
      <w:r w:rsidR="00ED307A" w:rsidRPr="00ED307A">
        <w:rPr>
          <w:rFonts w:ascii="Times New Roman" w:hAnsi="Times New Roman" w:cs="Times New Roman"/>
          <w:sz w:val="24"/>
          <w:szCs w:val="24"/>
        </w:rPr>
        <w:t>erio</w:t>
      </w:r>
      <w:proofErr w:type="spellEnd"/>
      <w:r w:rsidR="00ED307A" w:rsidRPr="00ED307A">
        <w:rPr>
          <w:rFonts w:ascii="Times New Roman" w:hAnsi="Times New Roman" w:cs="Times New Roman"/>
          <w:sz w:val="24"/>
          <w:szCs w:val="24"/>
        </w:rPr>
        <w:t xml:space="preserve">-systemic interrelationship underscores the intricate connections between oral health and systemic conditions, </w:t>
      </w:r>
      <w:commentRangeStart w:id="3"/>
      <w:r w:rsidR="00ED307A" w:rsidRPr="00ED307A">
        <w:rPr>
          <w:rFonts w:ascii="Times New Roman" w:hAnsi="Times New Roman" w:cs="Times New Roman"/>
          <w:sz w:val="24"/>
          <w:szCs w:val="24"/>
        </w:rPr>
        <w:t xml:space="preserve">revealing profound implications for overall health and disease management. </w:t>
      </w:r>
      <w:commentRangeEnd w:id="3"/>
      <w:r w:rsidR="008F3BB6">
        <w:rPr>
          <w:rStyle w:val="CommentReference"/>
        </w:rPr>
        <w:commentReference w:id="3"/>
      </w:r>
      <w:r w:rsidR="00E11955" w:rsidRPr="00E11955">
        <w:rPr>
          <w:rFonts w:ascii="Times New Roman" w:hAnsi="Times New Roman" w:cs="Times New Roman"/>
          <w:sz w:val="24"/>
          <w:szCs w:val="24"/>
        </w:rPr>
        <w:t xml:space="preserve">The concept of the </w:t>
      </w:r>
      <w:proofErr w:type="spellStart"/>
      <w:r w:rsidR="00173F4D">
        <w:rPr>
          <w:rFonts w:ascii="Times New Roman" w:hAnsi="Times New Roman" w:cs="Times New Roman"/>
          <w:sz w:val="24"/>
          <w:szCs w:val="24"/>
        </w:rPr>
        <w:t>P</w:t>
      </w:r>
      <w:r w:rsidR="00E11955" w:rsidRPr="00E11955">
        <w:rPr>
          <w:rFonts w:ascii="Times New Roman" w:hAnsi="Times New Roman" w:cs="Times New Roman"/>
          <w:sz w:val="24"/>
          <w:szCs w:val="24"/>
        </w:rPr>
        <w:t>erio</w:t>
      </w:r>
      <w:proofErr w:type="spellEnd"/>
      <w:r w:rsidR="00E11955" w:rsidRPr="00E11955">
        <w:rPr>
          <w:rFonts w:ascii="Times New Roman" w:hAnsi="Times New Roman" w:cs="Times New Roman"/>
          <w:sz w:val="24"/>
          <w:szCs w:val="24"/>
        </w:rPr>
        <w:t xml:space="preserve">-systemic interrelationship, also known as focal infection theory, has garnered significant attention in recent decades. This theory suggests that oral infections, particularly periodontal disease, can influence systemic health, contributing to various conditions beyond the oral cavity. </w:t>
      </w:r>
    </w:p>
    <w:p w14:paraId="6DF667A1" w14:textId="77777777" w:rsidR="00493E91" w:rsidRPr="00E11955" w:rsidRDefault="00493E91" w:rsidP="00E11955">
      <w:pPr>
        <w:spacing w:line="360" w:lineRule="auto"/>
        <w:jc w:val="both"/>
        <w:rPr>
          <w:rFonts w:ascii="Times New Roman" w:hAnsi="Times New Roman" w:cs="Times New Roman"/>
          <w:sz w:val="24"/>
          <w:szCs w:val="24"/>
        </w:rPr>
      </w:pPr>
    </w:p>
    <w:p w14:paraId="70085D29" w14:textId="677466A6" w:rsidR="00E11955" w:rsidRPr="00B22D91" w:rsidRDefault="007C69D9" w:rsidP="00E11955">
      <w:pPr>
        <w:spacing w:line="360" w:lineRule="auto"/>
        <w:jc w:val="both"/>
        <w:rPr>
          <w:rFonts w:ascii="Times New Roman" w:hAnsi="Times New Roman" w:cs="Times New Roman"/>
          <w:b/>
          <w:bCs/>
          <w:iCs/>
          <w:sz w:val="24"/>
          <w:szCs w:val="24"/>
        </w:rPr>
      </w:pPr>
      <w:r w:rsidRPr="00B22D91">
        <w:rPr>
          <w:rFonts w:ascii="Times New Roman" w:hAnsi="Times New Roman" w:cs="Times New Roman"/>
          <w:b/>
          <w:bCs/>
          <w:iCs/>
          <w:sz w:val="24"/>
          <w:szCs w:val="24"/>
        </w:rPr>
        <w:t>FOCAL INFECTION THEORY</w:t>
      </w:r>
    </w:p>
    <w:p w14:paraId="38076863" w14:textId="32232886" w:rsidR="00D12720" w:rsidRDefault="00E11955" w:rsidP="00E11955">
      <w:pPr>
        <w:spacing w:line="360" w:lineRule="auto"/>
        <w:jc w:val="both"/>
      </w:pPr>
      <w:r w:rsidRPr="00E11955">
        <w:rPr>
          <w:rFonts w:ascii="Times New Roman" w:hAnsi="Times New Roman" w:cs="Times New Roman"/>
          <w:sz w:val="24"/>
          <w:szCs w:val="24"/>
        </w:rPr>
        <w:t xml:space="preserve">           The focal infection theory, first proposed in the early 20th century, posits that oral infections can act as focal points, disseminating pathogens and inflammatory mediators to distant sites in the body, thereby influencing systemic health. Recent advances in microbiology and immunology have revitalized interest in this theory, providing a framework for understanding how periodontal disease may contribute to a variety of systemic conditions</w:t>
      </w:r>
      <w:r w:rsidR="00C34A70">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{"citationID":"fVU49vid","properties":{"formattedCitation":"\\super [3]\\nosupersub{}","plainCitation":"[3]","noteIndex":0},"citationItems":[{"id":614,"uris":["http://zotero.org/users/local/VoUUWtMF/items/L48IR6W2"],"itemData":{"id":614,"type":"article-journal","abstract":"The oral cavity harbors a rich and diverse microflora, which is mostly found within biofilms attached to the various soft- and hard-tissue surfaces. Recent studies using molecular methods have revealed previously unrecognized species within biofilms associated with health and several common oral diseases. These unrecognized species established an under-appreciated diversity within the flora, with new questions to be answered. Information regarding the composition of the oral microbiome associated with oral health, dental caries, periodontal disease, and endodontic infection is briefly reviewed. Recent concepts regarding the potential role of the oral microbiome in several common systemic diseases are also briefly discussed.","container-title":"Clinical Microbiology Newsletter","DOI":"10.1016/j.clinmicnews.2013.09.003","ISSN":"0196-4399","issue":"20","journalAbbreviation":"Clinical Microbiology Newsletter","page":"163-169","source":"ScienceDirect","title":"The oral microbiome: Its role in health and in oral and systemic infections","title-short":"The oral microbiome","volume":"35","author":[{"family":"Scannapieco","given":"Frank A."}],"issued":{"date-parts":[["2013",10,15]]}}}],"schema":"https://github.com/citation-style-language/schema/raw/master/csl-citation.json"}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[3</w:t>
      </w:r>
      <w:proofErr w:type="gramStart"/>
      <w:r w:rsidR="0085523C">
        <w:rPr>
          <w:rFonts w:ascii="Times New Roman" w:hAnsi="Times New Roman" w:cs="Times New Roman"/>
          <w:kern w:val="0"/>
          <w:sz w:val="24"/>
          <w:szCs w:val="24"/>
          <w:vertAlign w:val="superscript"/>
        </w:rPr>
        <w:t>,4</w:t>
      </w:r>
      <w:proofErr w:type="gramEnd"/>
      <w:r w:rsidR="006F415F" w:rsidRPr="006F415F">
        <w:rPr>
          <w:rFonts w:ascii="Times New Roman" w:hAnsi="Times New Roman" w:cs="Times New Roman"/>
          <w:kern w:val="0"/>
          <w:sz w:val="24"/>
          <w:szCs w:val="24"/>
          <w:vertAlign w:val="superscript"/>
        </w:rPr>
        <w:t>]</w:t>
      </w:r>
      <w:r w:rsidR="00C34A70" w:rsidRPr="00FF0420">
        <w:rPr>
          <w:rFonts w:ascii="Times New Roman" w:hAnsi="Times New Roman" w:cs="Times New Roman"/>
          <w:sz w:val="24"/>
          <w:szCs w:val="24"/>
          <w:vertAlign w:val="superscript"/>
        </w:rPr>
        <w:fldChar w:fldCharType="end"/>
      </w:r>
      <w:r w:rsidR="0085523C">
        <w:t xml:space="preserve"> </w:t>
      </w:r>
    </w:p>
    <w:p w14:paraId="660A01C3" w14:textId="6BDC1FD3" w:rsidR="007C69D9" w:rsidRDefault="00EE5F1C" w:rsidP="00E11955">
      <w:pPr>
        <w:spacing w:line="360" w:lineRule="auto"/>
        <w:jc w:val="both"/>
      </w:pPr>
      <w:r>
        <w:rPr>
          <w:rFonts w:ascii="Times New Roman" w:hAnsi="Times New Roman" w:cs="Times New Roman"/>
          <w:sz w:val="24"/>
          <w:szCs w:val="24"/>
        </w:rPr>
        <w:t xml:space="preserve">                </w:t>
      </w:r>
      <w:r w:rsidR="00D12720" w:rsidRPr="00D12720">
        <w:rPr>
          <w:rFonts w:ascii="Times New Roman" w:hAnsi="Times New Roman" w:cs="Times New Roman"/>
          <w:sz w:val="24"/>
          <w:szCs w:val="24"/>
        </w:rPr>
        <w:t xml:space="preserve">The </w:t>
      </w:r>
      <w:proofErr w:type="spellStart"/>
      <w:r w:rsidR="00173F4D">
        <w:rPr>
          <w:rFonts w:ascii="Times New Roman" w:hAnsi="Times New Roman" w:cs="Times New Roman"/>
          <w:sz w:val="24"/>
          <w:szCs w:val="24"/>
        </w:rPr>
        <w:t>P</w:t>
      </w:r>
      <w:r w:rsidR="00D12720" w:rsidRPr="00D12720">
        <w:rPr>
          <w:rFonts w:ascii="Times New Roman" w:hAnsi="Times New Roman" w:cs="Times New Roman"/>
          <w:sz w:val="24"/>
          <w:szCs w:val="24"/>
        </w:rPr>
        <w:t>erio</w:t>
      </w:r>
      <w:proofErr w:type="spellEnd"/>
      <w:r w:rsidR="00D12720" w:rsidRPr="00D12720">
        <w:rPr>
          <w:rFonts w:ascii="Times New Roman" w:hAnsi="Times New Roman" w:cs="Times New Roman"/>
          <w:sz w:val="24"/>
          <w:szCs w:val="24"/>
        </w:rPr>
        <w:t xml:space="preserve">-systemic interrelationship refers to the bidirectional link between periodontal disease and systemic health. Numerous studies have demonstrated that periodontal disease is associated with various </w:t>
      </w:r>
      <w:r w:rsidR="00352A36">
        <w:rPr>
          <w:rFonts w:ascii="Times New Roman" w:hAnsi="Times New Roman" w:cs="Times New Roman"/>
          <w:sz w:val="24"/>
          <w:szCs w:val="24"/>
        </w:rPr>
        <w:t>s</w:t>
      </w:r>
      <w:r w:rsidR="00352A36" w:rsidRPr="00352A36">
        <w:rPr>
          <w:rFonts w:ascii="Times New Roman" w:hAnsi="Times New Roman" w:cs="Times New Roman"/>
          <w:sz w:val="24"/>
          <w:szCs w:val="24"/>
        </w:rPr>
        <w:t xml:space="preserve">ystemic health issues such as </w:t>
      </w:r>
      <w:commentRangeStart w:id="4"/>
      <w:r w:rsidR="00352A36" w:rsidRPr="00352A36">
        <w:rPr>
          <w:rFonts w:ascii="Times New Roman" w:hAnsi="Times New Roman" w:cs="Times New Roman"/>
          <w:sz w:val="24"/>
          <w:szCs w:val="24"/>
        </w:rPr>
        <w:t>heart diseases, diabetes, complications during pregnancy, respiratory disorders, and immune-related conditions like rheumatoid arthritis (RA).</w:t>
      </w:r>
      <w:commentRangeEnd w:id="4"/>
      <w:r w:rsidR="0086537E">
        <w:rPr>
          <w:rStyle w:val="CommentReference"/>
        </w:rPr>
        <w:commentReference w:id="4"/>
      </w:r>
    </w:p>
    <w:p w14:paraId="4CD4A641" w14:textId="77777777" w:rsidR="008634CD" w:rsidRDefault="007C69D9" w:rsidP="006B6C4C">
      <w:pPr>
        <w:spacing w:line="360" w:lineRule="auto"/>
        <w:jc w:val="both"/>
        <w:rPr>
          <w:rFonts w:ascii="Times New Roman" w:hAnsi="Times New Roman" w:cs="Times New Roman"/>
          <w:sz w:val="24"/>
          <w:szCs w:val="24"/>
        </w:rPr>
      </w:pPr>
      <w:r>
        <w:t xml:space="preserve">               </w:t>
      </w:r>
      <w:r w:rsidR="00F1069D">
        <w:rPr>
          <w:rFonts w:ascii="Times New Roman" w:hAnsi="Times New Roman" w:cs="Times New Roman"/>
          <w:sz w:val="24"/>
          <w:szCs w:val="24"/>
        </w:rPr>
        <w:t>This review</w:t>
      </w:r>
      <w:r w:rsidRPr="007C69D9">
        <w:rPr>
          <w:rFonts w:ascii="Times New Roman" w:hAnsi="Times New Roman" w:cs="Times New Roman"/>
          <w:sz w:val="24"/>
          <w:szCs w:val="24"/>
        </w:rPr>
        <w:t xml:space="preserve"> aims to explor</w:t>
      </w:r>
      <w:r w:rsidR="005F7533">
        <w:rPr>
          <w:rFonts w:ascii="Times New Roman" w:hAnsi="Times New Roman" w:cs="Times New Roman"/>
          <w:sz w:val="24"/>
          <w:szCs w:val="24"/>
        </w:rPr>
        <w:t xml:space="preserve">e the interconnections between </w:t>
      </w:r>
      <w:r w:rsidR="005A4579">
        <w:rPr>
          <w:rFonts w:ascii="Times New Roman" w:hAnsi="Times New Roman" w:cs="Times New Roman"/>
          <w:sz w:val="24"/>
          <w:szCs w:val="24"/>
        </w:rPr>
        <w:t>Polycystic Ovarian Syndrome</w:t>
      </w:r>
      <w:r w:rsidR="005F7533">
        <w:rPr>
          <w:rFonts w:ascii="Times New Roman" w:hAnsi="Times New Roman" w:cs="Times New Roman"/>
          <w:sz w:val="24"/>
          <w:szCs w:val="24"/>
        </w:rPr>
        <w:t xml:space="preserve"> and Periodontal D</w:t>
      </w:r>
      <w:r w:rsidR="005F7533" w:rsidRPr="007C69D9">
        <w:rPr>
          <w:rFonts w:ascii="Times New Roman" w:hAnsi="Times New Roman" w:cs="Times New Roman"/>
          <w:sz w:val="24"/>
          <w:szCs w:val="24"/>
        </w:rPr>
        <w:t>isease</w:t>
      </w:r>
      <w:bookmarkEnd w:id="2"/>
    </w:p>
    <w:p w14:paraId="790C1059" w14:textId="33227AFA" w:rsidR="00553AE1" w:rsidRPr="008634CD" w:rsidRDefault="00553AE1" w:rsidP="006B6C4C">
      <w:pPr>
        <w:spacing w:line="360" w:lineRule="auto"/>
        <w:jc w:val="both"/>
        <w:rPr>
          <w:rFonts w:ascii="Times New Roman" w:hAnsi="Times New Roman" w:cs="Times New Roman"/>
          <w:sz w:val="24"/>
          <w:szCs w:val="24"/>
        </w:rPr>
      </w:pPr>
      <w:r w:rsidRPr="00553AE1">
        <w:rPr>
          <w:rFonts w:ascii="Times New Roman" w:hAnsi="Times New Roman" w:cs="Times New Roman"/>
          <w:b/>
          <w:bCs/>
          <w:sz w:val="24"/>
          <w:szCs w:val="24"/>
        </w:rPr>
        <w:t>POLYCYSTIC OVARIAN SYNDROME</w:t>
      </w:r>
    </w:p>
    <w:p w14:paraId="465DDC7B" w14:textId="246110FA" w:rsidR="00AE0F32" w:rsidRPr="006B6C4C" w:rsidRDefault="00553AE1"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4FA1" w:rsidRPr="00614FA1">
        <w:rPr>
          <w:rFonts w:ascii="Times New Roman" w:hAnsi="Times New Roman" w:cs="Times New Roman"/>
          <w:sz w:val="24"/>
          <w:szCs w:val="24"/>
        </w:rPr>
        <w:t>Polycystic ovary syndrome (PCOS) is a condition that affects the reproductive system, hormonal balance, and metabolic functions.</w:t>
      </w:r>
      <w:r w:rsidR="00CE7667"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It is </w:t>
      </w:r>
      <w:proofErr w:type="spellStart"/>
      <w:r w:rsidR="00DD0179" w:rsidRPr="00DD0179">
        <w:rPr>
          <w:rFonts w:ascii="Times New Roman" w:hAnsi="Times New Roman" w:cs="Times New Roman"/>
          <w:sz w:val="24"/>
          <w:szCs w:val="24"/>
        </w:rPr>
        <w:t>is</w:t>
      </w:r>
      <w:proofErr w:type="spellEnd"/>
      <w:r w:rsidR="00DD0179" w:rsidRPr="00DD0179">
        <w:rPr>
          <w:rFonts w:ascii="Times New Roman" w:hAnsi="Times New Roman" w:cs="Times New Roman"/>
          <w:sz w:val="24"/>
          <w:szCs w:val="24"/>
        </w:rPr>
        <w:t xml:space="preserve"> commonly marked by the absence </w:t>
      </w:r>
      <w:r w:rsidR="00DD0179" w:rsidRPr="00DD0179">
        <w:rPr>
          <w:rFonts w:ascii="Times New Roman" w:hAnsi="Times New Roman" w:cs="Times New Roman"/>
          <w:sz w:val="24"/>
          <w:szCs w:val="24"/>
        </w:rPr>
        <w:lastRenderedPageBreak/>
        <w:t>of ovulation, irregular menstrual cycles, infertility, and excessive hair growth (</w:t>
      </w:r>
      <w:proofErr w:type="spellStart"/>
      <w:r w:rsidR="00DD0179" w:rsidRPr="00DD0179">
        <w:rPr>
          <w:rFonts w:ascii="Times New Roman" w:hAnsi="Times New Roman" w:cs="Times New Roman"/>
          <w:sz w:val="24"/>
          <w:szCs w:val="24"/>
        </w:rPr>
        <w:t>hirsutism</w:t>
      </w:r>
      <w:proofErr w:type="spellEnd"/>
      <w:r w:rsidR="00DD0179" w:rsidRPr="00DD0179">
        <w:rPr>
          <w:rFonts w:ascii="Times New Roman" w:hAnsi="Times New Roman" w:cs="Times New Roman"/>
          <w:sz w:val="24"/>
          <w:szCs w:val="24"/>
        </w:rPr>
        <w:t xml:space="preserve">). In its classic presentation, it is often linked with central obesity, </w:t>
      </w:r>
      <w:r w:rsidR="00614FA1">
        <w:rPr>
          <w:rFonts w:ascii="Times New Roman" w:hAnsi="Times New Roman" w:cs="Times New Roman"/>
          <w:sz w:val="24"/>
          <w:szCs w:val="24"/>
        </w:rPr>
        <w:t>a</w:t>
      </w:r>
      <w:r w:rsidR="00614FA1" w:rsidRPr="00614FA1">
        <w:rPr>
          <w:rFonts w:ascii="Times New Roman" w:hAnsi="Times New Roman" w:cs="Times New Roman"/>
          <w:sz w:val="24"/>
          <w:szCs w:val="24"/>
        </w:rPr>
        <w:t>ltered lipid profiles, impaired insulin sensitivity, and i</w:t>
      </w:r>
      <w:r w:rsidR="00614FA1">
        <w:rPr>
          <w:rFonts w:ascii="Times New Roman" w:hAnsi="Times New Roman" w:cs="Times New Roman"/>
          <w:sz w:val="24"/>
          <w:szCs w:val="24"/>
        </w:rPr>
        <w:t>ncreased insulin concentrations</w:t>
      </w:r>
      <w:r w:rsidR="00DD0179" w:rsidRPr="00DD0179">
        <w:rPr>
          <w:rFonts w:ascii="Times New Roman" w:hAnsi="Times New Roman" w:cs="Times New Roman"/>
          <w:sz w:val="24"/>
          <w:szCs w:val="24"/>
        </w:rPr>
        <w:t>, all of which contribute to a heightened risk of developing type 2 diabetes an</w:t>
      </w:r>
      <w:r w:rsidR="0032304B">
        <w:rPr>
          <w:rFonts w:ascii="Times New Roman" w:hAnsi="Times New Roman" w:cs="Times New Roman"/>
          <w:sz w:val="24"/>
          <w:szCs w:val="24"/>
        </w:rPr>
        <w:t>d cardiovascular diseases (CVD)</w:t>
      </w:r>
      <w:r w:rsidR="00F74E1D" w:rsidRPr="006B6C4C">
        <w:rPr>
          <w:rFonts w:ascii="Times New Roman" w:hAnsi="Times New Roman" w:cs="Times New Roman"/>
          <w:sz w:val="24"/>
          <w:szCs w:val="24"/>
        </w:rPr>
        <w:t>.</w:t>
      </w:r>
      <w:r w:rsidR="00167EAA" w:rsidRPr="006B6C4C">
        <w:rPr>
          <w:rFonts w:ascii="Times New Roman" w:hAnsi="Times New Roman" w:cs="Times New Roman"/>
          <w:sz w:val="24"/>
          <w:szCs w:val="24"/>
        </w:rPr>
        <w:fldChar w:fldCharType="begin"/>
      </w:r>
      <w:r w:rsidR="003E32B7">
        <w:rPr>
          <w:rFonts w:ascii="Times New Roman" w:hAnsi="Times New Roman" w:cs="Times New Roman"/>
          <w:sz w:val="24"/>
          <w:szCs w:val="24"/>
        </w:rPr>
        <w:instrText xml:space="preserve"> ADDIN ZOTERO_ITEM CSL_CITATION {"citationID":"PAcUVdAO","properties":{"formattedCitation":"\\super [15]\\nosupersub{}","plainCitation":"[15]","noteIndex":0},"citationItems":[{"id":219,"uris":["http://zotero.org/users/local/VoUUWtMF/items/H5HLX4DT"],"itemData":{"id":219,"type":"article-journal","abstract":"INTRODUCTION: Polycystic ovary syndrome (PCOS) is a common endocrine disorder affecting up to 18% women of reproductive age. It is associated with a range of metabolic, reproductive, and psychological features. Current evidence indicates a role of PCOS in the development of metabolic and increased cardiovascular risk factors (CVRF) with implications for compromised cardiovascular endpoint disease, which may have a considerable impact on health and health care costs.\nAREAS COVERED: Existing studies examining long-term cardiometabolic health in PCOS are heterogeneous with inconsistent findings. In the current review, we aim to explore and critically review retrospective, prospective, meta-analysis and review articles relating to PCOS on cardiometabolic risk factors and clinical consequences to summarize the evidence, note evidence gaps, and suggest implications for future research.\nEXPERT COMMENTARY: Although there is an established association between PCOS and metabolic health, implications on cardiac health are more uncertain with associations observed for CVRF and subclinical disease, yet limited and conflicting data on actual cardiovascular endpoints. There is a lack of population-based long-term studies examining cardiometabolic morbidity and mortality in PCOS with a need for further research to progress toward a better understanding of the long-term cardiometabolic impacts in women with PCOS.","container-title":"Expert Review of Endocrinology &amp; Metabolism","DOI":"10.1080/17446651.2019.1556094","ISSN":"1744-8417","issue":"1","journalAbbreviation":"Expert Rev Endocrinol Metab","language":"eng","note":"PMID: 30556433","page":"23-33","source":"PubMed","title":"Cardiometabolic risks in PCOS: a review of the current state of knowledge","title-short":"Cardiometabolic risks in PCOS","volume":"14","author":[{"family":"Kakoly","given":"N. S."},{"family":"Moran","given":"L. J."},{"family":"Teede","given":"H. J."},{"family":"Joham","given":"A. E."}],"issued":{"date-parts":[["2019",1]]}}}],"schema":"https://github.com/citation-style-language/schema/raw/master/csl-citation.json"} </w:instrText>
      </w:r>
      <w:r w:rsidR="00167EAA" w:rsidRPr="006B6C4C">
        <w:rPr>
          <w:rFonts w:ascii="Times New Roman" w:hAnsi="Times New Roman" w:cs="Times New Roman"/>
          <w:sz w:val="24"/>
          <w:szCs w:val="24"/>
        </w:rPr>
        <w:fldChar w:fldCharType="separate"/>
      </w:r>
      <w:r w:rsidR="00104C68">
        <w:rPr>
          <w:rFonts w:ascii="Times New Roman" w:hAnsi="Times New Roman" w:cs="Times New Roman"/>
          <w:kern w:val="0"/>
          <w:sz w:val="24"/>
          <w:szCs w:val="24"/>
          <w:vertAlign w:val="superscript"/>
        </w:rPr>
        <w:t>[5</w:t>
      </w:r>
      <w:r w:rsidR="003E32B7" w:rsidRPr="003E32B7">
        <w:rPr>
          <w:rFonts w:ascii="Times New Roman" w:hAnsi="Times New Roman" w:cs="Times New Roman"/>
          <w:kern w:val="0"/>
          <w:sz w:val="24"/>
          <w:szCs w:val="24"/>
          <w:vertAlign w:val="superscript"/>
        </w:rPr>
        <w:t>]</w:t>
      </w:r>
      <w:r w:rsidR="00167EAA" w:rsidRPr="006B6C4C">
        <w:rPr>
          <w:rFonts w:ascii="Times New Roman" w:hAnsi="Times New Roman" w:cs="Times New Roman"/>
          <w:sz w:val="24"/>
          <w:szCs w:val="24"/>
        </w:rPr>
        <w:fldChar w:fldCharType="end"/>
      </w:r>
      <w:r w:rsidR="00FC2AEB">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One contributing factor to PCOS is an increase </w:t>
      </w:r>
      <w:r w:rsidR="00497DD4" w:rsidRPr="00497DD4">
        <w:rPr>
          <w:rFonts w:ascii="Times New Roman" w:hAnsi="Times New Roman" w:cs="Times New Roman"/>
          <w:sz w:val="24"/>
          <w:szCs w:val="24"/>
        </w:rPr>
        <w:t xml:space="preserve">in oxidative imbalance and </w:t>
      </w:r>
      <w:r w:rsidR="0032304B" w:rsidRPr="0032304B">
        <w:rPr>
          <w:rFonts w:ascii="Times New Roman" w:hAnsi="Times New Roman" w:cs="Times New Roman"/>
          <w:sz w:val="24"/>
          <w:szCs w:val="24"/>
        </w:rPr>
        <w:t>insulin resistance, which promotes widespread inflammation. Although the exact underlying cause of PCOS remains unclear, persistent low-grade infections have been associated with higher oxidative stress, systemic inflammatory responses, lipid peroxidation by-products, increased levels of myeloperoxidase, C</w:t>
      </w:r>
      <w:r w:rsidR="00FF5C5C">
        <w:rPr>
          <w:rFonts w:ascii="Times New Roman" w:hAnsi="Times New Roman" w:cs="Times New Roman"/>
          <w:sz w:val="24"/>
          <w:szCs w:val="24"/>
        </w:rPr>
        <w:t>apsular</w:t>
      </w:r>
      <w:r w:rsidR="0032304B" w:rsidRPr="0032304B">
        <w:rPr>
          <w:rFonts w:ascii="Times New Roman" w:hAnsi="Times New Roman" w:cs="Times New Roman"/>
          <w:sz w:val="24"/>
          <w:szCs w:val="24"/>
        </w:rPr>
        <w:t>-reactive</w:t>
      </w:r>
      <w:r w:rsidR="00FF5C5C">
        <w:rPr>
          <w:rFonts w:ascii="Times New Roman" w:hAnsi="Times New Roman" w:cs="Times New Roman"/>
          <w:sz w:val="24"/>
          <w:szCs w:val="24"/>
        </w:rPr>
        <w:t xml:space="preserve"> protein (CRP), </w:t>
      </w:r>
      <w:r w:rsidR="00C0464C">
        <w:rPr>
          <w:rFonts w:ascii="Times New Roman" w:hAnsi="Times New Roman" w:cs="Times New Roman"/>
          <w:sz w:val="24"/>
          <w:szCs w:val="24"/>
        </w:rPr>
        <w:t>cytokines</w:t>
      </w:r>
      <w:r w:rsidR="00FF5C5C">
        <w:rPr>
          <w:rFonts w:ascii="Times New Roman" w:hAnsi="Times New Roman" w:cs="Times New Roman"/>
          <w:sz w:val="24"/>
          <w:szCs w:val="24"/>
        </w:rPr>
        <w:t xml:space="preserve"> that promote inflammation, </w:t>
      </w:r>
      <w:r w:rsidR="00FF5C5C" w:rsidRPr="00FF5C5C">
        <w:rPr>
          <w:rFonts w:ascii="Times New Roman" w:hAnsi="Times New Roman" w:cs="Times New Roman"/>
          <w:sz w:val="24"/>
          <w:szCs w:val="24"/>
        </w:rPr>
        <w:t>Molecules responsible for cellular adherence</w:t>
      </w:r>
      <w:r w:rsidR="00C0464C">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and elevated activity of </w:t>
      </w:r>
      <w:r w:rsidR="0032304B">
        <w:rPr>
          <w:rFonts w:ascii="Times New Roman" w:hAnsi="Times New Roman" w:cs="Times New Roman"/>
          <w:sz w:val="24"/>
          <w:szCs w:val="24"/>
        </w:rPr>
        <w:t>white blood cells and monocytes</w:t>
      </w:r>
      <w:r w:rsidR="002B4DD0"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{"citationID":"jGmvIEFV","properties":{"formattedCitation":"\\super [16,17]\\nosupersub{}","plainCitation":"[16,17]","noteIndex":0},"citationItems":[{"id":224,"uris":["http://zotero.org/users/local/VoUUWtMF/items/MG2GLAIH"],"itemData":{"id":224,"type":"article-journal","abstract":"BACKGROUND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F."}],"issued":{"date-parts":[["2013"]]}}},{"id":221,"uris":["http://zotero.org/users/local/VoUUWtMF/items/U2F6MEK6"],"itemData":{"id":221,"type":"article-journal","abstract":"Background: Polycystic ovarian syndrome (PCOS) is one of the most common endocrine diseases of women. Oxidative stress is an important component of the cardio-metabolic risk seen in these women. Oxidative stress has been reported in obese PCOS women. This study is taken up to study oxidative stress in non-obese PCOS women., Materials and Methods: Twenty five non-obese women with PCOS attending the Endocrinology outpatient Department of Sri Venkateswara Institute of Medical Sciences, Tirupati, India along with 25 healthy BMI matched controls were included in the study. The changes in the lipid peroxidation products (MDA), and total anti oxidant capacity (FRAP) as an index of anti oxidant status along with fasting glucose, insulin and uric acid levels were measured in both groups. Insulin resistance was evaluated by using homeostasis model assessment for insulin resistance [HOMA-IR)= [FPG (mg/dl) × insulin (mIU/L)]/ 405] in both groups., Results: Serum MDA and uric acid levels were increased in the study group compared with controls and FRAP levels were decreased in the study group compared to controls though statistically insignificant., Conclusion: Oxidative stress is also present in non-obese women with PCOS. Oxidative stress further increases the CVD risk in these women.Correcting oxidative stress with antioxidants along with monitoring the antioxidant status using a simple assay like FRAP could have a beneficial effect on oxidative stress induced insulin resistance and hyperandrogenism seen in these women.","container-title":"Journal of Clinical and Diagnostic Research : JCDR","DOI":"10.7860/JCDR/2014/8125.4530","ISSN":"2249-782X","issue":"7","journalAbbreviation":"J Clin Diagn Res","note":"PMID: 25177558\nPMCID: PMC4149064","page":"CC01-CC03","source":"PubMed Central","title":"Oxidative Stress in Non-Obese Women with Polycystic Ovarian Syndrome","volume":"8","author":[{"family":"Desai","given":"Varalakshmi"},{"family":"Prasad","given":"Namburi Rajendra"},{"family":"Manohar","given":"Suchitra Musturu"},{"family":"Sachan","given":"Alok"},{"family":"Narasimha","given":"Srinivasa Rao Pemmaraju Venkata Lakshmi"},{"family":"Bitla","given":"Aparna Rajeshwar Rao"}],"issued":{"date-parts":[["2014",7]]}}}],"schema":"https://github.com/citation-style-language/schema/raw/master/csl-citation.json"}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[6,</w:t>
      </w:r>
      <w:r w:rsidR="003E32B7" w:rsidRPr="003E32B7">
        <w:rPr>
          <w:rFonts w:ascii="Times New Roman" w:hAnsi="Times New Roman" w:cs="Times New Roman"/>
          <w:kern w:val="0"/>
          <w:sz w:val="24"/>
          <w:szCs w:val="24"/>
          <w:vertAlign w:val="superscript"/>
        </w:rPr>
        <w:t>7]</w:t>
      </w:r>
      <w:r w:rsidR="00167EAA" w:rsidRPr="00FF0420">
        <w:rPr>
          <w:rFonts w:ascii="Times New Roman" w:hAnsi="Times New Roman" w:cs="Times New Roman"/>
          <w:sz w:val="24"/>
          <w:szCs w:val="24"/>
          <w:vertAlign w:val="superscript"/>
        </w:rPr>
        <w:fldChar w:fldCharType="end"/>
      </w:r>
    </w:p>
    <w:p w14:paraId="6CB71FA4" w14:textId="65527D56" w:rsidR="005066F8" w:rsidRDefault="00D450E7" w:rsidP="006B6C4C">
      <w:pPr>
        <w:spacing w:line="360" w:lineRule="auto"/>
        <w:jc w:val="both"/>
      </w:pPr>
      <w:r>
        <w:rPr>
          <w:rFonts w:ascii="Times New Roman" w:hAnsi="Times New Roman" w:cs="Times New Roman"/>
          <w:sz w:val="24"/>
          <w:szCs w:val="24"/>
        </w:rPr>
        <w:t xml:space="preserve">          </w:t>
      </w:r>
      <w:r w:rsidR="0032304B" w:rsidRPr="0032304B">
        <w:rPr>
          <w:rFonts w:ascii="Times New Roman" w:hAnsi="Times New Roman" w:cs="Times New Roman"/>
          <w:sz w:val="24"/>
          <w:szCs w:val="24"/>
        </w:rPr>
        <w:t>The diagnosis of P</w:t>
      </w:r>
      <w:r w:rsidR="005634D7">
        <w:rPr>
          <w:rFonts w:ascii="Times New Roman" w:hAnsi="Times New Roman" w:cs="Times New Roman"/>
          <w:sz w:val="24"/>
          <w:szCs w:val="24"/>
        </w:rPr>
        <w:t xml:space="preserve">olycystic Ovary Syndrome </w:t>
      </w:r>
      <w:r w:rsidR="0032304B" w:rsidRPr="0032304B">
        <w:rPr>
          <w:rFonts w:ascii="Times New Roman" w:hAnsi="Times New Roman" w:cs="Times New Roman"/>
          <w:sz w:val="24"/>
          <w:szCs w:val="24"/>
        </w:rPr>
        <w:t xml:space="preserve">was established based on the Rotterdam criteria introduced in 2003, which require the </w:t>
      </w:r>
      <w:r w:rsidR="005634D7">
        <w:rPr>
          <w:rFonts w:ascii="Times New Roman" w:hAnsi="Times New Roman" w:cs="Times New Roman"/>
          <w:sz w:val="24"/>
          <w:szCs w:val="24"/>
        </w:rPr>
        <w:t>e</w:t>
      </w:r>
      <w:r w:rsidR="005634D7" w:rsidRPr="005634D7">
        <w:rPr>
          <w:rFonts w:ascii="Times New Roman" w:hAnsi="Times New Roman" w:cs="Times New Roman"/>
          <w:sz w:val="24"/>
          <w:szCs w:val="24"/>
        </w:rPr>
        <w:t>xistence of any one of the listed circumstances</w:t>
      </w:r>
      <w:r w:rsidR="0032304B" w:rsidRPr="0032304B">
        <w:rPr>
          <w:rFonts w:ascii="Times New Roman" w:hAnsi="Times New Roman" w:cs="Times New Roman"/>
          <w:sz w:val="24"/>
          <w:szCs w:val="24"/>
        </w:rPr>
        <w:t xml:space="preserve">: (A) the appearance of </w:t>
      </w:r>
      <w:r w:rsidR="00497DD4">
        <w:rPr>
          <w:rFonts w:ascii="Times New Roman" w:hAnsi="Times New Roman" w:cs="Times New Roman"/>
          <w:sz w:val="24"/>
          <w:szCs w:val="24"/>
        </w:rPr>
        <w:t>p</w:t>
      </w:r>
      <w:r w:rsidR="00497DD4" w:rsidRPr="00497DD4">
        <w:rPr>
          <w:rFonts w:ascii="Times New Roman" w:hAnsi="Times New Roman" w:cs="Times New Roman"/>
          <w:sz w:val="24"/>
          <w:szCs w:val="24"/>
        </w:rPr>
        <w:t>olycystic ovaries characterized by the existence of over 12 cyst-like structures in each ovary, ranging from 2 to 9 mm in size, and/or an ovarian</w:t>
      </w:r>
      <w:r w:rsidR="00497DD4">
        <w:rPr>
          <w:rFonts w:ascii="Times New Roman" w:hAnsi="Times New Roman" w:cs="Times New Roman"/>
          <w:sz w:val="24"/>
          <w:szCs w:val="24"/>
        </w:rPr>
        <w:t xml:space="preserve"> size exceeding 10 mL in volume</w:t>
      </w:r>
      <w:r w:rsidR="0032304B" w:rsidRPr="0032304B">
        <w:rPr>
          <w:rFonts w:ascii="Times New Roman" w:hAnsi="Times New Roman" w:cs="Times New Roman"/>
          <w:sz w:val="24"/>
          <w:szCs w:val="24"/>
        </w:rPr>
        <w:t>; (B) infrequent or absent ovulation (</w:t>
      </w:r>
      <w:proofErr w:type="spellStart"/>
      <w:r w:rsidR="0032304B" w:rsidRPr="0032304B">
        <w:rPr>
          <w:rFonts w:ascii="Times New Roman" w:hAnsi="Times New Roman" w:cs="Times New Roman"/>
          <w:sz w:val="24"/>
          <w:szCs w:val="24"/>
        </w:rPr>
        <w:t>oligo</w:t>
      </w:r>
      <w:proofErr w:type="spellEnd"/>
      <w:r w:rsidR="0032304B" w:rsidRPr="0032304B">
        <w:rPr>
          <w:rFonts w:ascii="Times New Roman" w:hAnsi="Times New Roman" w:cs="Times New Roman"/>
          <w:sz w:val="24"/>
          <w:szCs w:val="24"/>
        </w:rPr>
        <w:t>-ovulation or anovulation); or (C) evidence of elevated androgen levels, either through clinical symptoms or biochemical testing.</w:t>
      </w:r>
      <w:r w:rsidR="0032304B">
        <w:rPr>
          <w:rFonts w:ascii="Times New Roman" w:hAnsi="Times New Roman" w:cs="Times New Roman"/>
          <w:sz w:val="24"/>
          <w:szCs w:val="24"/>
        </w:rPr>
        <w:t xml:space="preserve"> </w:t>
      </w:r>
      <w:r w:rsidRPr="00D450E7">
        <w:rPr>
          <w:rFonts w:ascii="Times New Roman" w:hAnsi="Times New Roman" w:cs="Times New Roman"/>
          <w:sz w:val="24"/>
          <w:szCs w:val="24"/>
        </w:rPr>
        <w:t xml:space="preserve">Additionally, women with PCOS have a 28% higher risk of </w:t>
      </w:r>
      <w:r w:rsidR="00497DD4">
        <w:rPr>
          <w:rFonts w:ascii="Times New Roman" w:hAnsi="Times New Roman" w:cs="Times New Roman"/>
          <w:sz w:val="24"/>
          <w:szCs w:val="24"/>
        </w:rPr>
        <w:t>e</w:t>
      </w:r>
      <w:r w:rsidR="00497DD4" w:rsidRPr="00497DD4">
        <w:rPr>
          <w:rFonts w:ascii="Times New Roman" w:hAnsi="Times New Roman" w:cs="Times New Roman"/>
          <w:sz w:val="24"/>
          <w:szCs w:val="24"/>
        </w:rPr>
        <w:t>xperiencing periodontal disease, with women affected by it facing a 46% highe</w:t>
      </w:r>
      <w:r w:rsidR="00497DD4">
        <w:rPr>
          <w:rFonts w:ascii="Times New Roman" w:hAnsi="Times New Roman" w:cs="Times New Roman"/>
          <w:sz w:val="24"/>
          <w:szCs w:val="24"/>
        </w:rPr>
        <w:t>r likelihood of developing PCOS</w:t>
      </w:r>
      <w:r w:rsidR="006C3CCF"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{"citationID":"5VLSygcv","properties":{"formattedCitation":"\\super [18,19]\\nosupersub{}","plainCitation":"[18,19]","noteIndex":0},"citationItems":[{"id":27,"uris":["http://zotero.org/users/local/VoUUWtMF/items/BA2YKR3T"],"itemData":{"id":27,"type":"article-journal","abstract":"Polycystic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id":238,"uris":["http://zotero.org/users/local/VoUUWtMF/items/VHL8FBCL"],"itemData":{"id":238,"type":"article-journal","abstract":"Since the 1990 National Institutes of Health-sponsored conference on polycystic ovary syndrome (PCOS), it has become appreciated that the syndrome encompasses a broader spectrum of signs and symptoms of ovarian dysfunction than those defined by the original diagnostic criteria. The 2003 Rotterdam consensus workshop concluded that PCOS is a syndrome of ovarian dysfunction along with the cardinal features hyperandrogenism and polycystic ovary (PCO) morphology. PCOS remains a syndrome, and as such no single diagnostic criterion (such as hyperandrogenism or PCO) is sufficient for clinical diagnosis. Its clinical manifestations may include menstrual irregularities, signs of androgen excess, and obesity. Insulin resistance and elevated serum LH levels are also common features in PCOS. PCOS is associated with an increased risk of type 2 diabetes and cardiovascular events.","container-title":"Fertility and Sterility","DOI":"10.1016/j.fertnstert.2003.10.004","ISSN":"0015-0282","issue":"1","journalAbbreviation":"Fertil Steril","language":"eng","note":"PMID: 14711538","page":"19-25","source":"PubMed","title":"Revised 2003 consensus on diagnostic criteria and long-term health risks related to polycystic ovary syndrome","volume":"81","author":[{"literal":"Rotterdam ESHRE/ASRM-Sponsored PCOS Consensus Workshop Group"}],"issued":{"date-parts":[["2004",1]]}}}],"schema":"https://github.com/citation-style-language/schema/raw/master/csl-citation.json"}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[8,</w:t>
      </w:r>
      <w:r w:rsidR="003E32B7" w:rsidRPr="003E32B7">
        <w:rPr>
          <w:rFonts w:ascii="Times New Roman" w:hAnsi="Times New Roman" w:cs="Times New Roman"/>
          <w:kern w:val="0"/>
          <w:sz w:val="24"/>
          <w:szCs w:val="24"/>
          <w:vertAlign w:val="superscript"/>
        </w:rPr>
        <w:t>9]</w:t>
      </w:r>
      <w:r w:rsidR="00167EAA" w:rsidRPr="00FF0420">
        <w:rPr>
          <w:rFonts w:ascii="Times New Roman" w:hAnsi="Times New Roman" w:cs="Times New Roman"/>
          <w:sz w:val="24"/>
          <w:szCs w:val="24"/>
          <w:vertAlign w:val="superscript"/>
        </w:rPr>
        <w:fldChar w:fldCharType="end"/>
      </w:r>
    </w:p>
    <w:p w14:paraId="312838D1" w14:textId="77777777" w:rsidR="00493E91" w:rsidRDefault="00493E91" w:rsidP="006B6C4C">
      <w:pPr>
        <w:spacing w:line="360" w:lineRule="auto"/>
        <w:jc w:val="both"/>
        <w:rPr>
          <w:rFonts w:ascii="Times New Roman" w:hAnsi="Times New Roman" w:cs="Times New Roman"/>
          <w:b/>
          <w:bCs/>
          <w:sz w:val="24"/>
          <w:szCs w:val="24"/>
        </w:rPr>
      </w:pPr>
    </w:p>
    <w:p w14:paraId="29E57977" w14:textId="3430FDD5" w:rsidR="005066F8" w:rsidRPr="005066F8" w:rsidRDefault="00294FFD" w:rsidP="006B6C4C">
      <w:pPr>
        <w:spacing w:line="360" w:lineRule="auto"/>
        <w:jc w:val="both"/>
        <w:rPr>
          <w:rFonts w:ascii="Times New Roman" w:hAnsi="Times New Roman" w:cs="Times New Roman"/>
          <w:b/>
          <w:bCs/>
          <w:sz w:val="24"/>
          <w:szCs w:val="24"/>
        </w:rPr>
      </w:pPr>
      <w:commentRangeStart w:id="5"/>
      <w:r>
        <w:rPr>
          <w:rFonts w:ascii="Times New Roman" w:hAnsi="Times New Roman" w:cs="Times New Roman"/>
          <w:b/>
          <w:bCs/>
          <w:sz w:val="24"/>
          <w:szCs w:val="24"/>
        </w:rPr>
        <w:t>ETIOLOGY</w:t>
      </w:r>
      <w:r w:rsidR="005066F8" w:rsidRPr="005066F8">
        <w:rPr>
          <w:rFonts w:ascii="Times New Roman" w:hAnsi="Times New Roman" w:cs="Times New Roman"/>
          <w:b/>
          <w:bCs/>
          <w:sz w:val="24"/>
          <w:szCs w:val="24"/>
        </w:rPr>
        <w:t xml:space="preserve"> AND PATHOPHYSIOLOGY</w:t>
      </w:r>
      <w:commentRangeEnd w:id="5"/>
      <w:r w:rsidR="0086537E">
        <w:rPr>
          <w:rStyle w:val="CommentReference"/>
        </w:rPr>
        <w:commentReference w:id="5"/>
      </w:r>
    </w:p>
    <w:p w14:paraId="44DE20A5" w14:textId="77777777" w:rsidR="00304055" w:rsidRDefault="005066F8" w:rsidP="006B6C4C">
      <w:pPr>
        <w:spacing w:line="360" w:lineRule="auto"/>
        <w:jc w:val="both"/>
        <w:rPr>
          <w:rFonts w:ascii="Times New Roman" w:hAnsi="Times New Roman" w:cs="Times New Roman"/>
          <w:sz w:val="24"/>
          <w:szCs w:val="24"/>
          <w:vertAlign w:val="superscript"/>
        </w:rPr>
      </w:pPr>
      <w:r w:rsidRPr="0032304B">
        <w:rPr>
          <w:rFonts w:ascii="Times New Roman" w:hAnsi="Times New Roman" w:cs="Times New Roman"/>
          <w:sz w:val="24"/>
        </w:rPr>
        <w:t xml:space="preserve">          </w:t>
      </w:r>
      <w:r w:rsidR="0032304B" w:rsidRPr="0032304B">
        <w:rPr>
          <w:rFonts w:ascii="Times New Roman" w:hAnsi="Times New Roman" w:cs="Times New Roman"/>
          <w:sz w:val="24"/>
        </w:rPr>
        <w:t>The development and underlying mechanisms of PCOS result from intricate interactions among genetic factors, metabolic disturbances, prenatal influences, and environmental conditions. Studies suggest that the origins of this disorder may trace back to the intrauterine period, emphasizing the critical role of genetic p</w:t>
      </w:r>
      <w:r w:rsidR="0032304B">
        <w:rPr>
          <w:rFonts w:ascii="Times New Roman" w:hAnsi="Times New Roman" w:cs="Times New Roman"/>
          <w:sz w:val="24"/>
        </w:rPr>
        <w:t>redisposition in its onset</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{"citationID":"GYciwtsB","properties":{"formattedCitation":"\\super [20]\\nosupersub{}","plainCitation":"[20]","noteIndex":0},"citationItems":[{"id":404,"uris":["http://zotero.org/users/local/VoUUWtMF/items/TFHTMQTW"],"itemData":{"id":404,"type":"article-journal","abstract":"Polycystic ovary syndrome (PCOS) is a multifactorial disorder that arises from interactions between genetic, environmental and intra-uterine factors. Small-for-gestational-age (SGA) babies and the daughters of mothers with PCOS represent possible postnatal clinical targets for developmental programming by steroid excess. The presence of excess glucocorticoids and/or androgens during foetal organogenesis and growth might promote changes in gene expression, and these changes might be related to an increase in the risk of PCOS-like reproductive and metabolic disorders in postnatal life, such as rapid growth and weight gain during the first 2 years of life (only in SGA babies), hyperinsulinaemia, adipocyte dysfunction and childhood visceral obesity, premature pubarche and adrenarche (only in SGA babies) and PCOS. In the fourth decade of life, women who have PCOS may be at higher risk for type 2 diabetes mellitus, dyslipidaemia and systemic arterial hypertension, which suggests that these women are also at higher risk for cardiovascular disease during menopause. However, PCOS can also occur in women who were born at appropriate weight for GA or in newborns of women without PCOS, which suggests that genetic variation and environmental factors play important roles in the development and maintenance of PCOS in a population. Genome-wide association studies based on adequate population samples have shown a higher frequency of genetic polymorphisms of the LHCGR, THADA and DENND1A genes in women with PCOS. Genetic studies of PCOS have also included analyses of structural changes in the chromosome based on an assessment of telomere length in single, cross-sectional evaluations, and these studies have produced controversial results. The present narrative review assesses the multifactorial origins of PCOS (including environmental, genetic and intra-uterine factors) and the development of conditions associated with this disorder. It is concluded that although PCOS might originate in the intra-uterine environment through developmental programming by steroid excess, the interaction between genetic and environmental factors is crucial for its appearance. Follow-up studies should be conducted to assess the same populations over their entire lifespans while taking into account different aspects of the pathogenesis of PCOS.","container-title":"Reproduction (Cambridge, England)","DOI":"10.1530/REP-14-0499","ISSN":"1741-7899","issue":"1","journalAbbreviation":"Reproduction","language":"eng","note":"PMID: 25835506","page":"R11-24","source":"PubMed","title":"Pathogenesis of polycystic ovary syndrome: multifactorial assessment from the foetal stage to menopause","title-short":"Pathogenesis of polycystic ovary syndrome","volume":"150","author":[{"family":"Melo","given":"Anderson Sanches","non-dropping-particle":"de"},{"family":"Dias","given":"Sabrine Vilan"},{"family":"Cavalli","given":"Ricardo de Carvalho"},{"family":"Cardoso","given":"Viviane Cunha"},{"family":"Bettiol","given":"Heloisa"},{"family":"Barbieri","given":"Marco Antonio"},{"family":"Ferriani","given":"Rui Alberto"},{"family":"Vieira","given":"Carolina Sales"}],"issued":{"date-parts":[["2015",7]]}}}],"schema":"https://github.com/citation-style-language/schema/raw/master/csl-citation.json"}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0]</w:t>
      </w:r>
      <w:r w:rsidR="00FF75E5"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8D6362">
        <w:rPr>
          <w:rFonts w:ascii="Times New Roman" w:hAnsi="Times New Roman" w:cs="Times New Roman"/>
          <w:sz w:val="24"/>
          <w:szCs w:val="24"/>
        </w:rPr>
        <w:t xml:space="preserve">However, </w:t>
      </w:r>
      <w:r w:rsidR="00D0120F" w:rsidRPr="00D0120F">
        <w:rPr>
          <w:rFonts w:ascii="Times New Roman" w:hAnsi="Times New Roman" w:cs="Times New Roman"/>
          <w:sz w:val="24"/>
          <w:szCs w:val="24"/>
        </w:rPr>
        <w:t xml:space="preserve">according to </w:t>
      </w:r>
      <w:r w:rsidR="00D0120F" w:rsidRPr="006A5143">
        <w:rPr>
          <w:rFonts w:ascii="Times New Roman" w:hAnsi="Times New Roman" w:cs="Times New Roman"/>
          <w:b/>
          <w:bCs/>
          <w:i/>
          <w:iCs/>
          <w:sz w:val="24"/>
          <w:szCs w:val="24"/>
        </w:rPr>
        <w:t xml:space="preserve">Franks </w:t>
      </w:r>
      <w:r w:rsidR="00D0120F" w:rsidRPr="00D0120F">
        <w:rPr>
          <w:rFonts w:ascii="Times New Roman" w:hAnsi="Times New Roman" w:cs="Times New Roman"/>
          <w:sz w:val="24"/>
          <w:szCs w:val="24"/>
        </w:rPr>
        <w:t xml:space="preserve">and </w:t>
      </w:r>
      <w:proofErr w:type="spellStart"/>
      <w:r w:rsidR="00D0120F" w:rsidRPr="006A5143">
        <w:rPr>
          <w:rFonts w:ascii="Times New Roman" w:hAnsi="Times New Roman" w:cs="Times New Roman"/>
          <w:b/>
          <w:bCs/>
          <w:i/>
          <w:iCs/>
          <w:sz w:val="24"/>
          <w:szCs w:val="24"/>
        </w:rPr>
        <w:t>Berga</w:t>
      </w:r>
      <w:proofErr w:type="spellEnd"/>
      <w:r w:rsidR="00D0120F" w:rsidRPr="006A5143">
        <w:rPr>
          <w:rFonts w:ascii="Times New Roman" w:hAnsi="Times New Roman" w:cs="Times New Roman"/>
          <w:b/>
          <w:bCs/>
          <w:i/>
          <w:iCs/>
          <w:sz w:val="24"/>
          <w:szCs w:val="24"/>
        </w:rPr>
        <w:t xml:space="preserve"> et al</w:t>
      </w:r>
      <w:r w:rsidR="00D0120F" w:rsidRPr="00D0120F">
        <w:rPr>
          <w:rFonts w:ascii="Times New Roman" w:hAnsi="Times New Roman" w:cs="Times New Roman"/>
          <w:sz w:val="24"/>
          <w:szCs w:val="24"/>
        </w:rPr>
        <w:t xml:space="preserve">., </w:t>
      </w:r>
      <w:r w:rsidR="008D6362" w:rsidRPr="008D6362">
        <w:rPr>
          <w:rFonts w:ascii="Times New Roman" w:hAnsi="Times New Roman" w:cs="Times New Roman"/>
          <w:sz w:val="24"/>
          <w:szCs w:val="24"/>
        </w:rPr>
        <w:t xml:space="preserve">genetic predisposition alone does not fully explain the origin of PCOS. </w:t>
      </w:r>
      <w:r w:rsidR="00D0120F" w:rsidRPr="00D0120F">
        <w:rPr>
          <w:rFonts w:ascii="Times New Roman" w:hAnsi="Times New Roman" w:cs="Times New Roman"/>
          <w:sz w:val="24"/>
          <w:szCs w:val="24"/>
        </w:rPr>
        <w:t>geneti</w:t>
      </w:r>
      <w:r w:rsidR="008D6362">
        <w:rPr>
          <w:rFonts w:ascii="Times New Roman" w:hAnsi="Times New Roman" w:cs="Times New Roman"/>
          <w:sz w:val="24"/>
          <w:szCs w:val="24"/>
        </w:rPr>
        <w:t>c</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{"citationID":"kXc7seM1","properties":{"formattedCitation":"\\super [21]\\nosupersub{}","plainCitation":"[21]","noteIndex":0},"citationItems":[{"id":407,"uris":["http://zotero.org/users/local/VoUUWtMF/items/NEKPSLWV"],"itemData":{"id":407,"type":"article-journal","abstract":"PRO\nThe similarity of reproductive and metabolic phenotype between prenatally androgenized sheep, or monkeys, and women with PCOS provides strong supportive evidence for developmental programming being important in the etiology of PCOS.\n\nCON\nWhile one would not exclude altogether developmental determinants of PCOS, it is difficult to view PCOS as purely developmental or resulting only from intrauterine exposures or simply an adaptation gone astray.","container-title":"Fertility and Sterility","DOI":"10.1016/j.fertnstert.2011.11.029","ISSN":"0015-0282","issue":"1","journalAbbreviation":"Fertil Steril","note":"PMID: 22192134\nPMCID: PMC3263824","page":"2-6","source":"PubMed Central","title":"A Debate: Does PCOS Have Developmental Origins?","title-short":"A Debate","volume":"97","author":[{"family":"Franks","given":"Stephen"},{"family":"Berga","given":"Sarah L."}],"issued":{"date-parts":[["2012",1]]}}}],"schema":"https://github.com/citation-style-language/schema/raw/master/csl-citation.json"}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1]</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vertAlign w:val="superscript"/>
        </w:rPr>
        <w:t xml:space="preserve"> </w:t>
      </w:r>
    </w:p>
    <w:p w14:paraId="79724453" w14:textId="4DE82639" w:rsidR="005066F8"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D0120F" w:rsidRPr="00D0120F">
        <w:rPr>
          <w:rFonts w:ascii="Times New Roman" w:hAnsi="Times New Roman" w:cs="Times New Roman"/>
          <w:sz w:val="24"/>
          <w:szCs w:val="24"/>
        </w:rPr>
        <w:t xml:space="preserve">According to </w:t>
      </w:r>
      <w:r w:rsidR="00D0120F" w:rsidRPr="006A5143">
        <w:rPr>
          <w:rFonts w:ascii="Times New Roman" w:hAnsi="Times New Roman" w:cs="Times New Roman"/>
          <w:b/>
          <w:bCs/>
          <w:i/>
          <w:iCs/>
          <w:sz w:val="24"/>
          <w:szCs w:val="24"/>
        </w:rPr>
        <w:t>Abbott et al</w:t>
      </w:r>
      <w:r w:rsidR="00D0120F" w:rsidRPr="00D0120F">
        <w:rPr>
          <w:rFonts w:ascii="Times New Roman" w:hAnsi="Times New Roman" w:cs="Times New Roman"/>
          <w:sz w:val="24"/>
          <w:szCs w:val="24"/>
        </w:rPr>
        <w:t xml:space="preserve">., </w:t>
      </w:r>
      <w:r w:rsidR="008D6362">
        <w:rPr>
          <w:rFonts w:ascii="Times New Roman" w:hAnsi="Times New Roman" w:cs="Times New Roman"/>
          <w:sz w:val="24"/>
          <w:szCs w:val="24"/>
        </w:rPr>
        <w:t xml:space="preserve">he proposed </w:t>
      </w:r>
      <w:r w:rsidR="008D6362" w:rsidRPr="008D6362">
        <w:rPr>
          <w:rFonts w:ascii="Times New Roman" w:hAnsi="Times New Roman" w:cs="Times New Roman"/>
          <w:sz w:val="24"/>
          <w:szCs w:val="24"/>
        </w:rPr>
        <w:t>that an inherited tendency for excessive androgen production by the ovaries could be a key factor contributing to the manifestation of PCOS-related clinical features</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FC2AEB">
        <w:rPr>
          <w:rFonts w:ascii="Times New Roman" w:hAnsi="Times New Roman" w:cs="Times New Roman"/>
          <w:sz w:val="24"/>
          <w:szCs w:val="24"/>
          <w:vertAlign w:val="superscript"/>
        </w:rPr>
        <w:instrText xml:space="preserve"> ADDIN ZOTERO_ITEM CSL_CITATION {"citationID":"xvHLTHDT","properties":{"formattedCitation":"\\super [22,23]\\nosupersub{}","plainCitation":"[22,23]","noteIndex":0},"citationItems":[{"id":410,"uris":["http://zotero.org/users/local/VoUUWtMF/items/2RL7JV7W"],"itemData":{"id":410,"type":"article-journal","abstract":"The aetiology of polycystic ovary syndrome (PCOS) remains unknown. This familial syndrome is prevalent among reproductive-aged women and its inheritance indicates a dominant regulatory gene with incomplete penetrance. However, promising candidate genes have proven unreliable as markers for the PCOS phenotype. This lack of genetic linkage may represent both extreme heterogeneity of PCOS and difficulty in establishing a universally accepted PCOS diagnosis. Nevertheless, hyperandrogenism is one of the most consistently expressed PCOS traits. Animal models that mimic fetal androgen excess may thus provide unique insight into the origins of the PCOS syndrome. Many female mammals exposed to androgen excess in utero or during early post-natal life typically show masculinized and defeminized behaviour, ovulatory dysfunction and virilized genitalia, although behavioural and ovulatory dysfunction can coexist without virilized genitalia based upon the timing of androgen excess. One animal model shows particular relevance to PCOS: the prenatally androgenized female rhesus monkey. Females exposed to androgen excess early in gestation exhibit hyperandrogenism, oligomenorrhoea and enlarged, polyfollicular ovaries, in addition to LH hypersecretion, impaired embryo development, insulin resistance accompanying abdominal obesity, impaired insulin response to glucose and hyperlipidaemia. Female monkeys exposed to androgen excess late in gestation mimic these programmed changes, except for LH and insulin secretion defects. In utero androgen excess may thus variably perturb multiple organ system programming and thereby provide a single, fetal origin for a heterogeneous adult syndrome.","container-title":"Human Reproduction Update","DOI":"10.1093/humupd/dmi013","ISSN":"1355-4786","issue":"4","journalAbbreviation":"Hum Reprod Update","language":"eng","note":"PMID: 15941725","page":"357-374","source":"PubMed","title":"Androgen excess fetal programming of female reproduction: a developmental aetiology for polycystic ovary syndrome?","title-short":"Androgen excess fetal programming of female reproduction","volume":"11","author":[{"family":"Abbott","given":"D. H."},{"family":"Barnett","given":"D. K."},{"family":"Bruns","given":"C. M."},{"family":"Dumesic","given":"D. A."}],"issued":{"date-parts":[["2005"]]}}},{"id":346,"uris":["http://zotero.org/users/local/VoUUWtMF/items/BCEUV348"],"itemData":{"id":346,"type":"article-journal","abstract":"Polycystic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Reviews","DOI":"10.1210/er.2015-1018","ISSN":"1945-7189","issue":"5","journalAbbreviation":"Endocr Rev","language":"eng","note":"PMID: 26426951\nPMCID: PMC4591526","page":"487-525","source":"PubMed","title":"Scientific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S."}],"issued":{"date-parts":[["2015",10]]}},"label":"page"}],"schema":"https://github.com/citation-style-language/schema/raw/master/csl-citation.json"}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[12</w:t>
      </w:r>
      <w:proofErr w:type="gramStart"/>
      <w:r w:rsidR="00104C68">
        <w:rPr>
          <w:rFonts w:ascii="Times New Roman" w:hAnsi="Times New Roman" w:cs="Times New Roman"/>
          <w:kern w:val="0"/>
          <w:sz w:val="24"/>
          <w:szCs w:val="24"/>
          <w:vertAlign w:val="superscript"/>
        </w:rPr>
        <w:t>,1</w:t>
      </w:r>
      <w:r w:rsidR="00FC2AEB" w:rsidRPr="00FC2AEB">
        <w:rPr>
          <w:rFonts w:ascii="Times New Roman" w:hAnsi="Times New Roman" w:cs="Times New Roman"/>
          <w:kern w:val="0"/>
          <w:sz w:val="24"/>
          <w:szCs w:val="24"/>
          <w:vertAlign w:val="superscript"/>
        </w:rPr>
        <w:t>3</w:t>
      </w:r>
      <w:proofErr w:type="gramEnd"/>
      <w:r w:rsidR="00FC2AEB" w:rsidRPr="00FC2AEB">
        <w:rPr>
          <w:rFonts w:ascii="Times New Roman" w:hAnsi="Times New Roman" w:cs="Times New Roman"/>
          <w:kern w:val="0"/>
          <w:sz w:val="24"/>
          <w:szCs w:val="24"/>
          <w:vertAlign w:val="superscript"/>
        </w:rPr>
        <w:t>]</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rPr>
        <w:t xml:space="preserve"> </w:t>
      </w:r>
    </w:p>
    <w:p w14:paraId="2630F99B" w14:textId="54220545" w:rsidR="00DA4CB3"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66F8">
        <w:rPr>
          <w:rFonts w:ascii="Times New Roman" w:hAnsi="Times New Roman" w:cs="Times New Roman"/>
          <w:sz w:val="24"/>
          <w:szCs w:val="24"/>
        </w:rPr>
        <w:t xml:space="preserve"> </w:t>
      </w:r>
      <w:r w:rsidR="00D0120F" w:rsidRPr="00D0120F">
        <w:rPr>
          <w:rFonts w:ascii="Times New Roman" w:hAnsi="Times New Roman" w:cs="Times New Roman"/>
          <w:sz w:val="24"/>
          <w:szCs w:val="24"/>
        </w:rPr>
        <w:t xml:space="preserve"> </w:t>
      </w:r>
      <w:r w:rsidR="00D0120F" w:rsidRPr="006A5143">
        <w:rPr>
          <w:rFonts w:ascii="Times New Roman" w:hAnsi="Times New Roman" w:cs="Times New Roman"/>
          <w:b/>
          <w:bCs/>
          <w:i/>
          <w:iCs/>
          <w:sz w:val="24"/>
          <w:szCs w:val="24"/>
        </w:rPr>
        <w:t>King</w:t>
      </w:r>
      <w:r w:rsidR="00D0120F" w:rsidRPr="00D0120F">
        <w:rPr>
          <w:rFonts w:ascii="Times New Roman" w:hAnsi="Times New Roman" w:cs="Times New Roman"/>
          <w:sz w:val="24"/>
          <w:szCs w:val="24"/>
        </w:rPr>
        <w:t xml:space="preserve"> proposed the following pathophysiological pathways of PCOS:</w:t>
      </w:r>
      <w:r w:rsidR="005066F8">
        <w:rPr>
          <w:rFonts w:ascii="Times New Roman" w:hAnsi="Times New Roman" w:cs="Times New Roman"/>
          <w:sz w:val="24"/>
          <w:szCs w:val="24"/>
        </w:rPr>
        <w:t xml:space="preserve"> A</w:t>
      </w:r>
      <w:r w:rsidR="00D0120F" w:rsidRPr="00D0120F">
        <w:rPr>
          <w:rFonts w:ascii="Times New Roman" w:hAnsi="Times New Roman" w:cs="Times New Roman"/>
          <w:sz w:val="24"/>
          <w:szCs w:val="24"/>
        </w:rPr>
        <w:t>ltered gonadotropin-releasing hormone</w:t>
      </w:r>
      <w:r w:rsidR="00497DD4" w:rsidRPr="00497DD4">
        <w:rPr>
          <w:rFonts w:ascii="Times New Roman" w:hAnsi="Times New Roman" w:cs="Times New Roman"/>
          <w:sz w:val="24"/>
          <w:szCs w:val="24"/>
        </w:rPr>
        <w:t>, a disruption in androgen production, and the emergence</w:t>
      </w:r>
      <w:r w:rsidR="00497DD4">
        <w:rPr>
          <w:rFonts w:ascii="Times New Roman" w:hAnsi="Times New Roman" w:cs="Times New Roman"/>
          <w:sz w:val="24"/>
          <w:szCs w:val="24"/>
        </w:rPr>
        <w:t xml:space="preserve"> of reduced insulin sensitivity</w:t>
      </w:r>
      <w:r w:rsidR="00684212" w:rsidRPr="00D0120F">
        <w:rPr>
          <w:rFonts w:ascii="Times New Roman" w:hAnsi="Times New Roman" w:cs="Times New Roman"/>
          <w:sz w:val="24"/>
          <w:szCs w:val="24"/>
        </w:rPr>
        <w:t>.</w:t>
      </w:r>
      <w:r w:rsidR="00436C0C"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{"citationID":"hGuwJmN8","properties":{"formattedCitation":"\\super [24]\\nosupersub{}","plainCitation":"[24]","noteIndex":0},"citationItems":[{"id":415,"uris":["http://zotero.org/users/local/VoUUWtMF/items/QTDAEXBL"],"itemData":{"id":415,"type":"article-journal","abstract":"Polycystic ovary syndrome (PCOS) is a common endocrine disorder, affecting between 4% and 8% of reproductive aged women. This syndrome, a complex disorder with multiple components, including reproductive, metabolic, and cardiovascular manifestations, has long-term health concerns that cross the life span. The diagnostic criteria for PCOS are ovarian dysfunction evidenced by oligomenorrhea or amenorrhea and clinical evidence of androgen excess (e.g., hirsutism and acne) in the absence of other conditions that can cause these same symptoms. This article reviews current knowledge about the pathophysiology, clinical manifestations, diagnosis, and management of this disorder.","container-title":"Journal of Midwifery &amp; Women's Health","DOI":"10.1016/j.jmwh.2006.01.008","ISSN":"1542-2011","issue":"6","journalAbbreviation":"J Midwifery Womens Health","language":"eng","note":"PMID: 17081931","page":"415-422","source":"PubMed","title":"Polycystic ovary syndrome","volume":"51","author":[{"family":"King","given":"Joyce"}],"issued":{"date-parts":[["2006"]]}}}],"schema":"https://github.com/citation-style-language/schema/raw/master/csl-citation.json"} </w:instrText>
      </w:r>
      <w:r w:rsidR="00436C0C"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4]</w:t>
      </w:r>
      <w:r w:rsidR="00436C0C"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680121" w:rsidRPr="00680121">
        <w:rPr>
          <w:rFonts w:ascii="Times New Roman" w:hAnsi="Times New Roman" w:cs="Times New Roman"/>
          <w:sz w:val="24"/>
          <w:szCs w:val="24"/>
        </w:rPr>
        <w:t>One of the most widely accepted explanations for the development of PCOS involves an imbalance in the hypothalamic-pituitary axis. This disturbance leads to abnormal secretion of gonadotropins by the hypothalamus, typically resulting in elevated levels of luteinizing hormone (LH) along with normal or reduced levels of fol</w:t>
      </w:r>
      <w:r w:rsidR="00680121">
        <w:rPr>
          <w:rFonts w:ascii="Times New Roman" w:hAnsi="Times New Roman" w:cs="Times New Roman"/>
          <w:sz w:val="24"/>
          <w:szCs w:val="24"/>
        </w:rPr>
        <w:t>licle-stimulating hormone (FSH)</w:t>
      </w:r>
      <w:r w:rsidR="00D0120F" w:rsidRPr="00D0120F">
        <w:rPr>
          <w:rFonts w:ascii="Times New Roman" w:hAnsi="Times New Roman" w:cs="Times New Roman"/>
          <w:sz w:val="24"/>
          <w:szCs w:val="24"/>
        </w:rPr>
        <w:t>.</w:t>
      </w:r>
      <w:r w:rsidR="00436C0C"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{"citationID":"S75nxElW","properties":{"formattedCitation":"\\super [25]\\nosupersub{}","plainCitation":"[25]","noteIndex":0},"citationItems":[{"id":412,"uris":["http://zotero.org/users/local/VoUUWtMF/items/QQGJNCCL"],"itemData":{"id":412,"type":"article-journal","abstract":"Polycystic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Reviews","DOI":"10.1210/er.2015-1018","ISSN":"0163-769X","issue":"5","journalAbbreviation":"Endocr Rev","note":"PMID: 26426951\nPMCID: PMC4591526","page":"487-525","source":"PubMed Central","title":"Scientific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S."}],"issued":{"date-parts":[["2015",10]]}}}],"schema":"https://github.com/citation-style-language/schema/raw/master/csl-citation.json"} </w:instrText>
      </w:r>
      <w:r w:rsidR="00436C0C"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5]</w:t>
      </w:r>
      <w:r w:rsidR="00436C0C" w:rsidRPr="00FF0420">
        <w:rPr>
          <w:rFonts w:ascii="Times New Roman" w:hAnsi="Times New Roman" w:cs="Times New Roman"/>
          <w:sz w:val="24"/>
          <w:szCs w:val="24"/>
          <w:vertAlign w:val="superscript"/>
        </w:rPr>
        <w:fldChar w:fldCharType="end"/>
      </w:r>
    </w:p>
    <w:p w14:paraId="76E65AE5" w14:textId="05C5304A" w:rsidR="005066F8"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121" w:rsidRPr="00680121">
        <w:rPr>
          <w:rFonts w:ascii="Times New Roman" w:hAnsi="Times New Roman" w:cs="Times New Roman"/>
          <w:sz w:val="24"/>
          <w:szCs w:val="24"/>
        </w:rPr>
        <w:t>In individuals with PCOS who are overweight or obese, a deficiency in vitamin D plays a crucial role in contributing to insulin resistance (IR) and impaired glucose metabolism.</w:t>
      </w:r>
      <w:r w:rsidR="005066F8" w:rsidRPr="00912F3A">
        <w:rPr>
          <w:rFonts w:ascii="Times New Roman" w:hAnsi="Times New Roman" w:cs="Times New Roman"/>
          <w:sz w:val="24"/>
          <w:szCs w:val="24"/>
          <w:vertAlign w:val="superscript"/>
        </w:rPr>
        <w:t>.</w:t>
      </w:r>
      <w:r w:rsidR="00436C0C" w:rsidRPr="00912F3A">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{"citationID":"sKwR125G","properties":{"formattedCitation":"\\super [26]\\nosupersub{}","plainCitation":"[26]","noteIndex":0},"citationItems":[{"id":417,"uris":["http://zotero.org/users/local/VoUUWtMF/items/D7JL23C4"],"itemData":{"id":417,"type":"article-journal","abstract":"PURPOSE: To investigate the correlation between serum 25-hydroxyvitamin D (25-OH-VD) concentrations and metabolic parameters in obese and non-obese women with polycystic ovary syndrome (PCOS).\nMETHODS: One hundred women with PCOS were divided into two groups, obese and non-obese, according to their body mass index (BMI). Waist-to-hip ratio (WHR), Ferriman-Gallwey score, homeostasis model assessment of insulin resistance (HOMA-IR), total cholesterol, triglycerides, calcium, 25-OH-VD, LH/FSH, total testosterone, and DHEAS were measured.\nRESULTS: The serum 25-OH-VD mean levels were 56.31% lower in the obese PCOS patients. There was an association of increased HOMA-IR, BMI, WHR, triglycerides, total testosterone, and DHEAS with decreased 25-OH-VD concentrations in the obese PCOS patients.\nCONCLUSION: Low serum 25-OH-VD concentrations result from the presence of obesity and insulin resistance. However, the dependency between PCOS and hypovitaminosis D is questionable. Hypovitaminosis D should be kept in mind while managing obese women with PCOS.","container-title":"Archives of Gynecology and Obstetrics","DOI":"10.1007/s00404-009-0958-7","ISSN":"1432-0711","issue":"4","journalAbbreviation":"Arch Gynecol Obstet","language":"eng","note":"PMID: 19214546","page":"559-563","source":"PubMed","title":"Serum 25-hydroxyvitamin D concentrations in obese and non-obese women with polycystic ovary syndrome","volume":"280","author":[{"family":"Yildizhan","given":"Recep"},{"family":"Kurdoglu","given":"Mertihan"},{"family":"Adali","given":"Ertan"},{"family":"Kolusari","given":"Ali"},{"family":"Yildizhan","given":"Begum"},{"family":"Sahin","given":"Hanim Guler"},{"family":"Kamaci","given":"Mansur"}],"issued":{"date-parts":[["2009",10]]}}}],"schema":"https://github.com/citation-style-language/schema/raw/master/csl-citation.json"} </w:instrText>
      </w:r>
      <w:r w:rsidR="00436C0C" w:rsidRPr="00912F3A">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6]</w:t>
      </w:r>
      <w:r w:rsidR="00436C0C" w:rsidRPr="00912F3A">
        <w:rPr>
          <w:rFonts w:ascii="Times New Roman" w:hAnsi="Times New Roman" w:cs="Times New Roman"/>
          <w:sz w:val="24"/>
          <w:szCs w:val="24"/>
          <w:vertAlign w:val="superscript"/>
        </w:rPr>
        <w:fldChar w:fldCharType="end"/>
      </w:r>
    </w:p>
    <w:p w14:paraId="18F159FC" w14:textId="77777777" w:rsidR="00493E91" w:rsidRDefault="00493E91" w:rsidP="006B6C4C">
      <w:pPr>
        <w:spacing w:line="360" w:lineRule="auto"/>
        <w:jc w:val="both"/>
        <w:rPr>
          <w:rFonts w:ascii="Times New Roman" w:hAnsi="Times New Roman" w:cs="Times New Roman"/>
          <w:b/>
          <w:bCs/>
          <w:sz w:val="24"/>
          <w:szCs w:val="24"/>
        </w:rPr>
      </w:pPr>
    </w:p>
    <w:p w14:paraId="5BE1B537" w14:textId="5AEB0F43" w:rsidR="009400E8" w:rsidRPr="00EE2A52" w:rsidRDefault="009400E8" w:rsidP="006B6C4C">
      <w:pPr>
        <w:spacing w:line="360" w:lineRule="auto"/>
        <w:jc w:val="both"/>
        <w:rPr>
          <w:rFonts w:ascii="Times New Roman" w:hAnsi="Times New Roman" w:cs="Times New Roman"/>
          <w:b/>
          <w:bCs/>
          <w:sz w:val="24"/>
          <w:szCs w:val="24"/>
        </w:rPr>
      </w:pPr>
      <w:r w:rsidRPr="00EE2A52">
        <w:rPr>
          <w:rFonts w:ascii="Times New Roman" w:hAnsi="Times New Roman" w:cs="Times New Roman"/>
          <w:b/>
          <w:bCs/>
          <w:sz w:val="24"/>
          <w:szCs w:val="24"/>
        </w:rPr>
        <w:t>RELATIONSHIP BETWEEN VARIOUS SYSTEMIC DISORDERS AND POLYCYSTIC OVARIAN SYNDROME</w:t>
      </w:r>
    </w:p>
    <w:p w14:paraId="4D8DF0B4" w14:textId="20985AA7" w:rsidR="009400E8" w:rsidRPr="00A275D3" w:rsidRDefault="00165DEE" w:rsidP="007409CE">
      <w:pPr>
        <w:pStyle w:val="ListParagraph"/>
        <w:numPr>
          <w:ilvl w:val="0"/>
          <w:numId w:val="18"/>
        </w:numPr>
        <w:spacing w:line="360" w:lineRule="auto"/>
        <w:ind w:left="426"/>
        <w:jc w:val="both"/>
        <w:rPr>
          <w:rFonts w:ascii="Times New Roman" w:hAnsi="Times New Roman" w:cs="Times New Roman"/>
          <w:b/>
          <w:bCs/>
          <w:i/>
          <w:iCs/>
          <w:sz w:val="24"/>
          <w:szCs w:val="24"/>
        </w:rPr>
      </w:pPr>
      <w:commentRangeStart w:id="6"/>
      <w:r w:rsidRPr="00A275D3">
        <w:rPr>
          <w:rFonts w:ascii="Times New Roman" w:hAnsi="Times New Roman" w:cs="Times New Roman"/>
          <w:b/>
          <w:bCs/>
          <w:i/>
          <w:iCs/>
          <w:sz w:val="24"/>
          <w:szCs w:val="24"/>
        </w:rPr>
        <w:t>Metabolic syndrome, insulin resistance, and type II diabetes mellitus</w:t>
      </w:r>
      <w:commentRangeEnd w:id="6"/>
      <w:r w:rsidR="00DD0F3E">
        <w:rPr>
          <w:rStyle w:val="CommentReference"/>
        </w:rPr>
        <w:commentReference w:id="6"/>
      </w:r>
    </w:p>
    <w:p w14:paraId="68793C1B" w14:textId="30478784" w:rsidR="00165DEE" w:rsidRDefault="00497DD4" w:rsidP="006B6C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IR, excess body weight</w:t>
      </w:r>
      <w:r w:rsidR="00165DEE" w:rsidRPr="00165DEE">
        <w:rPr>
          <w:rFonts w:ascii="Times New Roman" w:hAnsi="Times New Roman" w:cs="Times New Roman"/>
          <w:sz w:val="24"/>
          <w:szCs w:val="24"/>
        </w:rPr>
        <w:t xml:space="preserve">, hypertension, and </w:t>
      </w:r>
      <w:r w:rsidR="00437FF5">
        <w:rPr>
          <w:rFonts w:ascii="Times New Roman" w:hAnsi="Times New Roman" w:cs="Times New Roman"/>
          <w:sz w:val="24"/>
          <w:szCs w:val="24"/>
        </w:rPr>
        <w:t>e</w:t>
      </w:r>
      <w:r w:rsidRPr="00497DD4">
        <w:rPr>
          <w:rFonts w:ascii="Times New Roman" w:hAnsi="Times New Roman" w:cs="Times New Roman"/>
          <w:sz w:val="24"/>
          <w:szCs w:val="24"/>
        </w:rPr>
        <w:t>levated levels of lipids in th</w:t>
      </w:r>
      <w:r w:rsidR="00437FF5">
        <w:rPr>
          <w:rFonts w:ascii="Times New Roman" w:hAnsi="Times New Roman" w:cs="Times New Roman"/>
          <w:sz w:val="24"/>
          <w:szCs w:val="24"/>
        </w:rPr>
        <w:t>e blood</w:t>
      </w:r>
      <w:r>
        <w:rPr>
          <w:rFonts w:ascii="Times New Roman" w:hAnsi="Times New Roman" w:cs="Times New Roman"/>
          <w:sz w:val="24"/>
          <w:szCs w:val="24"/>
        </w:rPr>
        <w:t xml:space="preserve"> </w:t>
      </w:r>
      <w:r w:rsidR="00165DEE" w:rsidRPr="00165DEE">
        <w:rPr>
          <w:rFonts w:ascii="Times New Roman" w:hAnsi="Times New Roman" w:cs="Times New Roman"/>
          <w:sz w:val="24"/>
          <w:szCs w:val="24"/>
        </w:rPr>
        <w:t xml:space="preserve">are only a few of the multiple conditions that make up metabolic syndrome. Obesity in women with PCOS can aggravate </w:t>
      </w:r>
      <w:proofErr w:type="spellStart"/>
      <w:r w:rsidR="00165DEE" w:rsidRPr="00165DEE">
        <w:rPr>
          <w:rFonts w:ascii="Times New Roman" w:hAnsi="Times New Roman" w:cs="Times New Roman"/>
          <w:sz w:val="24"/>
          <w:szCs w:val="24"/>
        </w:rPr>
        <w:t>preexisting</w:t>
      </w:r>
      <w:proofErr w:type="spellEnd"/>
      <w:r w:rsidR="00165DEE" w:rsidRPr="00165DEE">
        <w:rPr>
          <w:rFonts w:ascii="Times New Roman" w:hAnsi="Times New Roman" w:cs="Times New Roman"/>
          <w:sz w:val="24"/>
          <w:szCs w:val="24"/>
        </w:rPr>
        <w:t xml:space="preserve"> clinical, hormonal, and metabolic characteristics, according a meta-analysis by Lim et al.</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{"citationID":"xlJSe1MX","properties":{"formattedCitation":"\\super [27]\\nosupersub{}","plainCitation":"[27]","noteIndex":0},"citationItems":[{"id":419,"uris":["http://zotero.org/users/local/VoUUWtMF/items/4ZM3EBLR"],"itemData":{"id":419,"type":"article-journal","abstract":"While many women with polycystic ovary syndrome (PCOS) are overweight, obese or centrally obese, the effect of excess weight on the outcomes of PCOS is inconsistent. The review aimed to assess the effects of overweight, obesity and central obesity on the reproductive, metabolic and psychological features of PCOS. MEDLINE, EMBASE, CINAHL, Cochrane Central Register of Controlled Trials (CENTRAL) and PSYCINFO were searched for studies reporting outcomes according to body mass index categories or body fat distribution. Data were presented as mean difference or risk ratio (95% confidence interval). This review included 30 eligible studies. Overweight or obese women with PCOS had decreased sex hormone-binding globulin (SHBG), increased total testosterone, free androgen index, hirsutism, fasting glucose, fasting insulin, homeostatic model assessment-insulin resistance index and worsened lipid profile. Obesity significantly worsened all metabolic and reproductive outcomes measured except for hirsutism when compared to normal weight women with PCOS. Overweight women had no differences in total testosterone, hirsutism, total-cholesterol and low-density lipoprotein-cholesterol compared to normal weight women and no differences in SHBG and total testosterone compared to obese women. Central obesity was associated with higher fasting insulin levels. These results suggest that prevention and treatment of obesity is important for the management of PCOS.","container-title":"Obesity Reviews: An Official Journal of the International Association for the Study of Obesity","DOI":"10.1111/j.1467-789X.2012.01053.x","ISSN":"1467-789X","issue":"2","journalAbbreviation":"Obes Rev","language":"eng","note":"PMID: 23114091","page":"95-109","source":"PubMed","title":"The effect of obesity on polycystic ovary syndrome: a systematic review and meta-analysis","title-short":"The effect of obesity on polycystic ovary syndrome","volume":"14","author":[{"family":"Lim","given":"S. S."},{"family":"Norman","given":"R. J."},{"family":"Davies","given":"M. J."},{"family":"Moran","given":"L. J."}],"issued":{"date-parts":[["2013",2]]}}}],"schema":"https://github.com/citation-style-language/schema/raw/master/csl-citation.json"}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7]</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It was demonstrated by </w:t>
      </w:r>
      <w:proofErr w:type="spellStart"/>
      <w:r w:rsidR="00165DEE" w:rsidRPr="00BD4F5D">
        <w:rPr>
          <w:rFonts w:ascii="Times New Roman" w:hAnsi="Times New Roman" w:cs="Times New Roman"/>
          <w:b/>
          <w:bCs/>
          <w:i/>
          <w:iCs/>
          <w:sz w:val="24"/>
          <w:szCs w:val="24"/>
        </w:rPr>
        <w:t>Nicandri</w:t>
      </w:r>
      <w:proofErr w:type="spellEnd"/>
      <w:r w:rsidR="00165DEE" w:rsidRPr="00BD4F5D">
        <w:rPr>
          <w:rFonts w:ascii="Times New Roman" w:hAnsi="Times New Roman" w:cs="Times New Roman"/>
          <w:b/>
          <w:bCs/>
          <w:i/>
          <w:iCs/>
          <w:sz w:val="24"/>
          <w:szCs w:val="24"/>
        </w:rPr>
        <w:t xml:space="preserve"> </w:t>
      </w:r>
      <w:r w:rsidR="00165DEE" w:rsidRPr="00165DEE">
        <w:rPr>
          <w:rFonts w:ascii="Times New Roman" w:hAnsi="Times New Roman" w:cs="Times New Roman"/>
          <w:sz w:val="24"/>
          <w:szCs w:val="24"/>
        </w:rPr>
        <w:t xml:space="preserve">and </w:t>
      </w:r>
      <w:proofErr w:type="spellStart"/>
      <w:r w:rsidR="00165DEE" w:rsidRPr="00BD4F5D">
        <w:rPr>
          <w:rFonts w:ascii="Times New Roman" w:hAnsi="Times New Roman" w:cs="Times New Roman"/>
          <w:b/>
          <w:bCs/>
          <w:i/>
          <w:iCs/>
          <w:sz w:val="24"/>
          <w:szCs w:val="24"/>
        </w:rPr>
        <w:t>Hoeger</w:t>
      </w:r>
      <w:proofErr w:type="spellEnd"/>
      <w:r w:rsidR="00165DEE" w:rsidRPr="00165DEE">
        <w:rPr>
          <w:rFonts w:ascii="Times New Roman" w:hAnsi="Times New Roman" w:cs="Times New Roman"/>
          <w:sz w:val="24"/>
          <w:szCs w:val="24"/>
        </w:rPr>
        <w:t xml:space="preserve"> that more than 60% of PCOS patients had obesity.</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{"citationID":"dqsLZiPV","properties":{"formattedCitation":"\\super [28]\\nosupersub{}","plainCitation":"[28]","noteIndex":0},"citationItems":[{"id":421,"uris":["http://zotero.org/users/local/VoUUWtMF/items/5Y25RP6A"],"itemData":{"id":421,"type":"article-journal","abstract":"PURPOSE OF REVIEW: To review what is understood about the pathophysiology of polycystic ovarian syndrome (PCOS), the diagnostic challenges of PCOS in adolescent women, associated risk factors, as well as the best evidence-based treatment options for adolescence.\nRECENT FINDINGS: Diagnosing PCOS in adolescents requires a unique set of criteria for which no single marker currently exists. Adolescents at high risk for developing the syndrome are congenital virilization, low birth weight, premature pubarche, central precocious puberty, large for gestational age girls born to overweight mothers, obesity syndromes, insulin-resistant features, and girls born to parents with PCOS, central obesity, or diabetes in whom PCOS ought to be suspected when associated with irregular menses. Insulin, hyperandrogenemia, and adipocytokines are integral players in the pathophysiology of PCOS. PCOS may be an inheritable trait; however, no gene has yet been identified. Quality of life remains a concern for young women with PCOS. Lifestyle modifications geared to prevent long-term sequelae remain the first-line treatment in conjunction with oral contraceptive pills.\nSUMMARY: Identifying PCOS in adolescents remains a diagnostic dilemma, but early intervention and treatment can improve long-term health.","container-title":"Current Opinion in Endocrinology, Diabetes, and Obesity","DOI":"10.1097/MED.0b013e32835a1a03","ISSN":"1752-2978","issue":"6","journalAbbreviation":"Curr Opin Endocrinol Diabetes Obes","language":"eng","note":"PMID: 23076041","page":"497-504","source":"PubMed","title":"Diagnosis and treatment of polycystic ovarian syndrome in adolescents","volume":"19","author":[{"family":"Nicandri","given":"Katrina F."},{"family":"Hoeger","given":"Kathleen"}],"issued":{"date-parts":[["2012",12]]}}}],"schema":"https://github.com/citation-style-language/schema/raw/master/csl-citation.json"}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8]</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In PCOS, the incidence of IR varies from 50% to 70%</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{"citationID":"5Z4BpvUH","properties":{"formattedCitation":"\\super [29]\\nosupersub{}","plainCitation":"[29]","noteIndex":0},"citationItems":[{"id":423,"uris":["http://zotero.org/users/local/VoUUWtMF/items/N75ZKP75"],"itemData":{"id":423,"type":"article-journal","abstract":"OBJECTIVE: To determine the prevalence of insulin resistance (IR) in women with polycystic ovary syndrome (PCOS) using baseline fasting blood measurements of glucose and insulin.\nDESIGN: Prospective clinical study.\nSETTING: Academic endocrinology unit in Palermo, Italy.\nPATIENT(S): Two hundred and sixty-seven women with PCOS, consecutively evaluated, and 50 consecutively selected ovulating controls.\nINTERVENTION(S): Fasting blood was obtained for glucose and insulin measurements from all women. For 60 women with PCOS and 20 controls an insulin tolerance test (ITT) was also performed.\nMAIN OUTCOME MEASURE(S): Assessment of normal and abnormal values for fasting insulin, glucose/insulin ratio, and the calculated indices of the homeostasis model assessment (HOMA), quantitative sensitivity check index (QUICKI), as well as Kitt (kinetic disappearance of glucose) values after ITT. Evaluation was performed of the ability to detect IR using these methods in obese and nonobese women with PCOS.\nRESULT(S): Normal insulin sensitivity was defined by insulin levels &lt;12 mU/mL, glucose/insulin ratios of &gt;6.4, HOMA values of &lt;47, and QUICKI values of &gt;0.333. In the entire PCOS groups, IR was diagnosed in 65.4% of women using glucose/insulin ratios and in 77% and 79.2% using HOMA and QUICKI. In obese women (body mass index &gt;28 in 48% of group), IR was present in 76.7% as measured by glucose/insulin ratios but was significantly higher (95.3%) using values of either HOMA or QUICKI (P&lt;.01). All indices correlated with Kitt values with QUICKI showing the best correlation.\nCONCLUSION(S): Insulin resistance was detected in approximately 80% of women with PCOS, and in 95% of obese women. The detection of IR is superior using the calculated indices HOMA and QUICKI.","container-title":"Fertility and Sterility","DOI":"10.1016/j.fertnstert.2004.01.041","ISSN":"0015-0282","issue":"3","journalAbbreviation":"Fertil Steril","language":"eng","note":"PMID: 15374711","page":"661-665","source":"PubMed","title":"Use of fasting blood to assess the prevalence of insulin resistance in women with polycystic ovary syndrome","volume":"82","author":[{"family":"Carmina","given":"Enrico"},{"family":"Lobo","given":"Rogerio A."}],"issued":{"date-parts":[["2004",9]]}}}],"schema":"https://github.com/citation-style-language/schema/raw/master/csl-citation.json"}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9]</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By directly stimulating ovarian androgen production, compensatory </w:t>
      </w:r>
      <w:proofErr w:type="spellStart"/>
      <w:r w:rsidR="00165DEE" w:rsidRPr="00165DEE">
        <w:rPr>
          <w:rFonts w:ascii="Times New Roman" w:hAnsi="Times New Roman" w:cs="Times New Roman"/>
          <w:sz w:val="24"/>
          <w:szCs w:val="24"/>
        </w:rPr>
        <w:t>hyperinsulinemia</w:t>
      </w:r>
      <w:proofErr w:type="spellEnd"/>
      <w:r w:rsidR="00165DEE" w:rsidRPr="00165DEE">
        <w:rPr>
          <w:rFonts w:ascii="Times New Roman" w:hAnsi="Times New Roman" w:cs="Times New Roman"/>
          <w:sz w:val="24"/>
          <w:szCs w:val="24"/>
        </w:rPr>
        <w:t xml:space="preserve"> in PCOS-affected individuals leads to </w:t>
      </w:r>
      <w:proofErr w:type="spellStart"/>
      <w:r w:rsidR="00165DEE" w:rsidRPr="00165DEE">
        <w:rPr>
          <w:rFonts w:ascii="Times New Roman" w:hAnsi="Times New Roman" w:cs="Times New Roman"/>
          <w:sz w:val="24"/>
          <w:szCs w:val="24"/>
        </w:rPr>
        <w:t>hyperandrogenism</w:t>
      </w:r>
      <w:proofErr w:type="spellEnd"/>
      <w:r w:rsidR="00165DEE" w:rsidRPr="00165DEE">
        <w:rPr>
          <w:rFonts w:ascii="Times New Roman" w:hAnsi="Times New Roman" w:cs="Times New Roman"/>
          <w:sz w:val="24"/>
          <w:szCs w:val="24"/>
        </w:rPr>
        <w:t xml:space="preserve">. Type 2 diabetes is </w:t>
      </w:r>
      <w:r w:rsidR="00437FF5">
        <w:rPr>
          <w:rFonts w:ascii="Times New Roman" w:hAnsi="Times New Roman" w:cs="Times New Roman"/>
          <w:sz w:val="24"/>
          <w:szCs w:val="24"/>
        </w:rPr>
        <w:t>m</w:t>
      </w:r>
      <w:r w:rsidR="00437FF5" w:rsidRPr="00437FF5">
        <w:rPr>
          <w:rFonts w:ascii="Times New Roman" w:hAnsi="Times New Roman" w:cs="Times New Roman"/>
          <w:sz w:val="24"/>
          <w:szCs w:val="24"/>
        </w:rPr>
        <w:t>ore susceptible to</w:t>
      </w:r>
      <w:r w:rsidR="00437FF5">
        <w:rPr>
          <w:rFonts w:ascii="Times New Roman" w:hAnsi="Times New Roman" w:cs="Times New Roman"/>
          <w:sz w:val="24"/>
          <w:szCs w:val="24"/>
        </w:rPr>
        <w:t xml:space="preserve"> </w:t>
      </w:r>
      <w:r w:rsidR="00165DEE" w:rsidRPr="00165DEE">
        <w:rPr>
          <w:rFonts w:ascii="Times New Roman" w:hAnsi="Times New Roman" w:cs="Times New Roman"/>
          <w:sz w:val="24"/>
          <w:szCs w:val="24"/>
        </w:rPr>
        <w:t>develop in PCOS patients with IR and abdominal obesity</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{"citationID":"vJhjqLbL","properties":{"formattedCitation":"\\super [11,30]\\nosupersub{}","plainCitation":"[11,30]","noteIndex":0},"citationItems":[{"id":20,"uris":["http://zotero.org/users/local/VoUUWtMF/items/JPHDTNBH"],"itemData":{"id":20,"type":"article-journal","abstract":"Polycystic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Chandana"},{"family":"Nagarakanti","given":"Sreenivas"}],"issued":{"date-parts":[["2018"]]}}},{"id":425,"uris":["http://zotero.org/users/local/VoUUWtMF/items/5UWFP52W"],"itemData":{"id":425,"type":"article-journal","abstract":"Polycystic ovary syndrome (PCOS) is a common endocrinopathy affecting 4%-8% of reproductive-aged women. The syndrome is characterized by hyperandrogenemia and disordered gonadotropin secretion and is often associated with insulin resistance. However, rather than being one disease entity caused by a single molecular defect, PCOS under its current diagnostic criteria most likely includes a number of distinct disease processes with similar clinical phenotypes but different pathophysiologic mechanisms. The serine phosphorylation hypothesis can potentially explain two major features of PCOS--hyperandrogenemia and insulin resistance. Further defining the molecular mechanisms regulating androgen biosynthesis and insulin action in PCOS patients will permit a better understanding of the syndrome and may lead to the generation of novel specific pharmacologic therapies.","container-title":"Fertility and Sterility","DOI":"10.1016/j.fertnstert.2008.02.091","ISSN":"1556-5653","issue":"5","journalAbbreviation":"Fertil Steril","language":"eng","note":"PMID: 18433749","page":"1039-1048","source":"PubMed","title":"The serine phosphorylation hypothesis of polycystic ovary syndrome: a unifying mechanism for hyperandrogenemia and insulin resistance","title-short":"The serine phosphorylation hypothesis of polycystic ovary syndrome","volume":"89","author":[{"family":"Bremer","given":"Andrew A."},{"family":"Miller","given":"Walter L."}],"issued":{"date-parts":[["2008",5]]}}}],"schema":"https://github.com/citation-style-language/schema/raw/master/csl-citation.json"}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[20</w:t>
      </w:r>
      <w:proofErr w:type="gramStart"/>
      <w:r w:rsidR="00104C68">
        <w:rPr>
          <w:rFonts w:ascii="Times New Roman" w:hAnsi="Times New Roman" w:cs="Times New Roman"/>
          <w:kern w:val="0"/>
          <w:sz w:val="24"/>
          <w:szCs w:val="24"/>
          <w:vertAlign w:val="superscript"/>
        </w:rPr>
        <w:t>,21</w:t>
      </w:r>
      <w:proofErr w:type="gramEnd"/>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 xml:space="preserve">. </w:t>
      </w:r>
      <w:r w:rsidR="00165DEE">
        <w:rPr>
          <w:rFonts w:ascii="Times New Roman" w:hAnsi="Times New Roman" w:cs="Times New Roman"/>
          <w:sz w:val="24"/>
          <w:szCs w:val="24"/>
        </w:rPr>
        <w:t>According</w:t>
      </w:r>
      <w:r w:rsidR="00165DEE" w:rsidRPr="00165DEE">
        <w:rPr>
          <w:rFonts w:ascii="Times New Roman" w:hAnsi="Times New Roman" w:cs="Times New Roman"/>
          <w:sz w:val="24"/>
          <w:szCs w:val="24"/>
        </w:rPr>
        <w:t xml:space="preserve"> to </w:t>
      </w:r>
      <w:proofErr w:type="spellStart"/>
      <w:r w:rsidR="00165DEE" w:rsidRPr="00BD4F5D">
        <w:rPr>
          <w:rFonts w:ascii="Times New Roman" w:hAnsi="Times New Roman" w:cs="Times New Roman"/>
          <w:b/>
          <w:bCs/>
          <w:i/>
          <w:iCs/>
          <w:sz w:val="24"/>
          <w:szCs w:val="24"/>
        </w:rPr>
        <w:t>Legro</w:t>
      </w:r>
      <w:proofErr w:type="spellEnd"/>
      <w:r w:rsidR="00165DEE" w:rsidRPr="00BD4F5D">
        <w:rPr>
          <w:rFonts w:ascii="Times New Roman" w:hAnsi="Times New Roman" w:cs="Times New Roman"/>
          <w:b/>
          <w:bCs/>
          <w:i/>
          <w:iCs/>
          <w:sz w:val="24"/>
          <w:szCs w:val="24"/>
        </w:rPr>
        <w:t xml:space="preserve"> et </w:t>
      </w:r>
      <w:r w:rsidR="00684212" w:rsidRPr="00BD4F5D">
        <w:rPr>
          <w:rFonts w:ascii="Times New Roman" w:hAnsi="Times New Roman" w:cs="Times New Roman"/>
          <w:b/>
          <w:bCs/>
          <w:i/>
          <w:iCs/>
          <w:sz w:val="24"/>
          <w:szCs w:val="24"/>
        </w:rPr>
        <w:t>al</w:t>
      </w:r>
      <w:r w:rsidR="00684212">
        <w:rPr>
          <w:rFonts w:ascii="Times New Roman" w:hAnsi="Times New Roman" w:cs="Times New Roman"/>
          <w:sz w:val="24"/>
          <w:szCs w:val="24"/>
        </w:rPr>
        <w:t>,</w:t>
      </w:r>
      <w:r w:rsidR="00165DEE" w:rsidRPr="00165DEE">
        <w:rPr>
          <w:rFonts w:ascii="Times New Roman" w:hAnsi="Times New Roman" w:cs="Times New Roman"/>
          <w:sz w:val="24"/>
          <w:szCs w:val="24"/>
        </w:rPr>
        <w:t xml:space="preserve"> a woman with PCOS may have a 30%–40% </w:t>
      </w:r>
      <w:r w:rsidR="00437FF5" w:rsidRPr="00437FF5">
        <w:rPr>
          <w:rFonts w:ascii="Times New Roman" w:hAnsi="Times New Roman" w:cs="Times New Roman"/>
          <w:sz w:val="24"/>
          <w:szCs w:val="24"/>
        </w:rPr>
        <w:t>significant proportion of the population experiencing impaired glucose metabolism, with type 2 diabetes observed in 7.5%–10% of cases</w:t>
      </w:r>
      <w:r w:rsidR="00165DEE" w:rsidRP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{"citationID":"k7e0U2ib","properties":{"formattedCitation":"\\super [31]\\nosupersub{}","plainCitation":"[31]","noteIndex":0},"citationItems":[{"id":427,"uris":["http://zotero.org/users/local/VoUUWtMF/items/LAAZNPPX"],"itemData":{"id":427,"type":"article-journal","abstract":"Women with polycystic ovary syndrome (PCOS) are insulin resistant, have insulin secretory defects, and are at high risk for glucose intolerance. We performed this study to determine the prevalence of glucose intolerance and parameters associated with risk for this in PCOS women. Two-hundred and fifty-four PCOS women, aged 14-44 yr, were prospectively evaluated at 2 centers, 1 urban and ethnically diverse (n = 110) and 1 rural and ethnically homogeneous (n = 144). The rural PCOS women were compared to 80 control women of similar weight, ethnicity, and age. A 75-g oral glucose challenge was administered after a 3-day 300-g carbohydrate diet and an overnight fast with 0 and 2 h blood samples for glucose levels. Diabetes was categorized according to WHO criteria. The prevalence of glucose intolerance was 31.1% impaired glucose intolerance (IGT) and 7.5% diabetes. In nonobese PCOS women (body mass index, &lt;27 kg/m2), 10.3% IGT and 1.5% diabetes were found. The prevalence of glucose intolerance was significantly higher in PCOS vs. control women (chi2 = 7.0; P = 0.01; odds ratio = 2.76; 95% confidence interval = 1.23-6.57). Variables most associated with postchallenge glucose levels were fasting glucose levels (P &lt; 0.0001), PCOS status (P = 0.002), waist/hip ratio (P = 0.01), and body mass index (P = 0.021). The American Diabetes Association criteria applied to fasting glucose significantly underdiagnosed diabetes compared to the WHO criteria (3.2% vs. 7.5%; chi2 = 4.7; P = 0.046; odds ratio = 2.48; 95% confidence interval = 1.01-6.69). We conclude that 1) PCOS women are at significantly increased risk for IGT and type 2 diabetes mellitus at all weights and at a young age; 2) these prevalence rates are similar in 2 different populations of PCOS women, suggesting that PCOS may be a more important risk factor than ethnicity or race for glucose intolerance in young women; and 3) the American Diabetes Association diabetes diagnostic criteria failed to detect a significant number of PCOS women with diabetes by postchallenge glucose values.","container-title":"The Journal of Clinical Endocrinology and Metabolism","DOI":"10.1210/jcem.84.1.5393","ISSN":"0021-972X","issue":"1","journalAbbreviation":"J Clin Endocrinol Metab","language":"eng","note":"PMID: 9920077","page":"165-169","source":"PubMed","title":"Prevalence and predictors of risk for type 2 diabetes mellitus and impaired glucose tolerance in polycystic ovary syndrome: a prospective, controlled study in 254 affected women","title-short":"Prevalence and predictors of risk for type 2 diabetes mellitus and impaired glucose tolerance in polycystic ovary syndrome","volume":"84","author":[{"family":"Legro","given":"R. S."},{"family":"Kunselman","given":"A. R."},{"family":"Dodson","given":"W. C."},{"family":"Dunaif","given":"A."}],"issued":{"date-parts":[["1999",1]]}}}],"schema":"https://github.com/citation-style-language/schema/raw/master/csl-citation.json"}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[22</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p>
    <w:p w14:paraId="29F201B6" w14:textId="39DA266E" w:rsidR="00497DD4" w:rsidRDefault="00497DD4" w:rsidP="006B6C4C">
      <w:pPr>
        <w:spacing w:line="360" w:lineRule="auto"/>
        <w:jc w:val="both"/>
        <w:rPr>
          <w:rFonts w:ascii="Times New Roman" w:hAnsi="Times New Roman" w:cs="Times New Roman"/>
          <w:sz w:val="24"/>
          <w:szCs w:val="24"/>
          <w:vertAlign w:val="superscript"/>
        </w:rPr>
      </w:pPr>
    </w:p>
    <w:p w14:paraId="256ED1C9" w14:textId="2F40A9A7" w:rsidR="00493E91" w:rsidRDefault="00493E91" w:rsidP="006B6C4C">
      <w:pPr>
        <w:spacing w:line="360" w:lineRule="auto"/>
        <w:jc w:val="both"/>
        <w:rPr>
          <w:rFonts w:ascii="Times New Roman" w:hAnsi="Times New Roman" w:cs="Times New Roman"/>
          <w:b/>
          <w:bCs/>
          <w:sz w:val="24"/>
          <w:szCs w:val="24"/>
        </w:rPr>
      </w:pPr>
    </w:p>
    <w:p w14:paraId="306B3D1D" w14:textId="5B94152A" w:rsidR="00165DEE" w:rsidRPr="00A275D3" w:rsidRDefault="007E01A4"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C</w:t>
      </w:r>
      <w:r w:rsidR="004A21BC" w:rsidRPr="00A275D3">
        <w:rPr>
          <w:rFonts w:ascii="Times New Roman" w:hAnsi="Times New Roman" w:cs="Times New Roman"/>
          <w:b/>
          <w:bCs/>
          <w:i/>
          <w:iCs/>
          <w:sz w:val="24"/>
          <w:szCs w:val="24"/>
        </w:rPr>
        <w:t>ardiovascular diseases</w:t>
      </w:r>
    </w:p>
    <w:p w14:paraId="2F909348" w14:textId="4D3A5C7D" w:rsidR="00493E91" w:rsidRDefault="00165DEE"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65DEE">
        <w:rPr>
          <w:rFonts w:ascii="Times New Roman" w:hAnsi="Times New Roman" w:cs="Times New Roman"/>
          <w:sz w:val="24"/>
          <w:szCs w:val="24"/>
        </w:rPr>
        <w:t xml:space="preserve">Compared to women without PCOS, women with PCOS are more susceptible to cardiovascular diseases (CVDs), particularly if they have </w:t>
      </w:r>
      <w:proofErr w:type="spellStart"/>
      <w:r w:rsidRPr="00165DEE">
        <w:rPr>
          <w:rFonts w:ascii="Times New Roman" w:hAnsi="Times New Roman" w:cs="Times New Roman"/>
          <w:sz w:val="24"/>
          <w:szCs w:val="24"/>
        </w:rPr>
        <w:t>dyslipidemia</w:t>
      </w:r>
      <w:proofErr w:type="spellEnd"/>
      <w:r w:rsidRPr="00165DEE">
        <w:rPr>
          <w:rFonts w:ascii="Times New Roman" w:hAnsi="Times New Roman" w:cs="Times New Roman"/>
          <w:sz w:val="24"/>
          <w:szCs w:val="24"/>
        </w:rPr>
        <w:t xml:space="preserve">, hypertension, or </w:t>
      </w:r>
      <w:proofErr w:type="spellStart"/>
      <w:r w:rsidRPr="00165DEE">
        <w:rPr>
          <w:rFonts w:ascii="Times New Roman" w:hAnsi="Times New Roman" w:cs="Times New Roman"/>
          <w:sz w:val="24"/>
          <w:szCs w:val="24"/>
        </w:rPr>
        <w:lastRenderedPageBreak/>
        <w:t>hyperinsulinemia</w:t>
      </w:r>
      <w:proofErr w:type="spellEnd"/>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{"citationID":"lpB9MBsa","properties":{"formattedCitation":"\\super [32]\\nosupersub{}","plainCitation":"[32]","noteIndex":0},"citationItems":[{"id":430,"uris":["http://zotero.org/users/local/VoUUWtMF/items/7H4KG7ZK"],"itemData":{"id":430,"type":"article-journal","container-title":"Heart (British Cardiac Society)","DOI":"10.1136/hrt.2005.079988","ISSN":"1468-201X","issue":"Suppl 5","journalAbbreviation":"Heart","language":"eng","note":"PMID: 16365341\nPMCID: PMC1876394","page":"v1-52","source":"PubMed","title":"JBS 2: Joint British Societies' guidelines on prevention of cardiovascular disease in clinical practice","title-short":"JBS 2","volume":"91 Suppl 5","author":[{"literal":"British Cardiac Society"},{"literal":"British Hypertension Society"},{"literal":"Diabetes UK"},{"literal":"HEART UK"},{"literal":"Primary Care Cardiovascular Society"},{"literal":"Stroke Association"}],"issued":{"date-parts":[["2005",12]]}}}],"schema":"https://github.com/citation-style-language/schema/raw/master/csl-citation.json"}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[23</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w:t>
      </w:r>
      <w:r w:rsidR="00680121">
        <w:rPr>
          <w:rFonts w:ascii="Times New Roman" w:hAnsi="Times New Roman" w:cs="Times New Roman"/>
          <w:sz w:val="24"/>
          <w:szCs w:val="24"/>
          <w:vertAlign w:val="superscript"/>
        </w:rPr>
        <w:t xml:space="preserve"> </w:t>
      </w:r>
      <w:r w:rsidR="00680121" w:rsidRPr="00680121">
        <w:rPr>
          <w:rFonts w:ascii="Times New Roman" w:hAnsi="Times New Roman" w:cs="Times New Roman"/>
          <w:sz w:val="24"/>
          <w:szCs w:val="24"/>
        </w:rPr>
        <w:t xml:space="preserve">A recent meta-analysis conducted by </w:t>
      </w:r>
      <w:r w:rsidR="00680121" w:rsidRPr="00680121">
        <w:rPr>
          <w:rFonts w:ascii="Times New Roman" w:hAnsi="Times New Roman" w:cs="Times New Roman"/>
          <w:b/>
          <w:i/>
          <w:sz w:val="24"/>
          <w:szCs w:val="24"/>
        </w:rPr>
        <w:t>Wild et al.</w:t>
      </w:r>
      <w:r w:rsidR="00680121" w:rsidRPr="00680121">
        <w:rPr>
          <w:rFonts w:ascii="Times New Roman" w:hAnsi="Times New Roman" w:cs="Times New Roman"/>
          <w:sz w:val="24"/>
          <w:szCs w:val="24"/>
        </w:rPr>
        <w:t xml:space="preserve"> reported that women diagnosed with PCOS tend to exhibit higher concentrations of triglycerides and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levated concentrations of low-density lipoprotein (LDL) cholesterol, coupled with diminished amounts of high-densit</w:t>
      </w:r>
      <w:r w:rsidR="00AB19B9">
        <w:rPr>
          <w:rFonts w:ascii="Times New Roman" w:hAnsi="Times New Roman" w:cs="Times New Roman"/>
          <w:sz w:val="24"/>
          <w:szCs w:val="24"/>
        </w:rPr>
        <w:t>y lipoprotein (HDL) cholesterol</w:t>
      </w:r>
      <w:r w:rsidR="00680121" w:rsidRPr="00680121">
        <w:rPr>
          <w:rFonts w:ascii="Times New Roman" w:hAnsi="Times New Roman" w:cs="Times New Roman"/>
          <w:sz w:val="24"/>
          <w:szCs w:val="24"/>
        </w:rPr>
        <w:t>, in comparison to women who do not have the</w:t>
      </w:r>
      <w:r w:rsidR="00680121">
        <w:rPr>
          <w:rFonts w:ascii="Times New Roman" w:hAnsi="Times New Roman" w:cs="Times New Roman"/>
          <w:sz w:val="24"/>
          <w:szCs w:val="24"/>
        </w:rPr>
        <w:t xml:space="preserve"> condition</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{"citationID":"cELUTjpi","properties":{"formattedCitation":"\\super [33]\\nosupersub{}","plainCitation":"[33]","noteIndex":0},"citationItems":[{"id":433,"uris":["http://zotero.org/users/local/VoUUWtMF/items/LBDT2KIL"],"itemData":{"id":433,"type":"article-journal","abstract":"OBJECTIVE: To quantify the magnitude and pattern of low-density lipoprotein (LDL) cholesterol and nonhigh-density lipoprotein (HDL) cholesterol levels in women with polycystic ovary syndrome (PCOS) versus control women.\nDESIGN: Systematic review and meta-analysis of lipid levels in published cross-sectional studies worldwide where PCOS women and controls were examined and sampled.\nMAIN OUTCOME MEASURE(S): Differences in plasma lipids (including triglycerides, HDL-cholesterol, LDL-cholesterol, and nonHDL-cholesterol) in PCOS versus control subjects were calculated. Comparisons were made with and without body mass index (BMI) matching.\nRESULT(S): Triglyceride levels were 26 mg/dL (95% confidence interval [CI] 17-35) higher and HDL-cholesterol concentrations 6 mg/dL (95% CI 4-9) lower in women with PCOS. Also, LDL-cholesterol and nonHDL-cholesterol concentrations were higher in PCOS: by 12 mg/dL (95% CI 10-16) and 19 mg/dL (95% CI 16-22), respectively. With BMI matching, LDL-cholesterol and nonHDL-cholesterol were still higher in PCOS: by 9 mg/dL (95% CI 6-12) and 16 mg/dL (95% CI 14-19), respectively. LDL-cholesterol and nonHDL-cholesterol differences were greater with National Institutes of Health criteria [15 mg/dL (95% CI 13-17) and 21 mg/dL (95% CI 16-25), respectively] versus Rotterdam criteria [8 mg/dL (95% CI 5-12) and 17 (95% CI 13-22), respectively].\nCONCLUSION(S): Dyslipidemia is common in PCOS. Beyond known alterations in triglycerides and HDL-cholesterol, women with PCOS have higher LDL-cholesterol and nonHDL-cholesterol, regardless of BMI. We recommend that all women with PCOS be screened for dyslipidemia, including LDL-cholesterol and nonHDL-cholesterol determinations, for effective cardiovascular risk prevention.","container-title":"Fertility and Sterility","DOI":"10.1016/j.fertnstert.2010.12.027","ISSN":"1556-5653","issue":"3","journalAbbreviation":"Fertil Steril","language":"eng","note":"PMID: 21247558","page":"1073-1079.e1-11","source":"PubMed","title":"Lipid levels in polycystic ovary syndrome: systematic review and meta-analysis","title-short":"Lipid levels in polycystic ovary syndrome","volume":"95","author":[{"family":"Wild","given":"Robert A."},{"family":"Rizzo","given":"Manfredi"},{"family":"Clifton","given":"Sheri"},{"family":"Carmina","given":"Enrico"}],"issued":{"date-parts":[["2011",3,1]]}}}],"schema":"https://github.com/citation-style-language/schema/raw/master/csl-citation.json"}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[24</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w:t>
      </w:r>
      <w:r w:rsidR="0079311B" w:rsidRPr="0079311B">
        <w:rPr>
          <w:rFonts w:ascii="Times New Roman" w:hAnsi="Times New Roman" w:cs="Times New Roman"/>
          <w:sz w:val="24"/>
          <w:szCs w:val="24"/>
        </w:rPr>
        <w:t xml:space="preserve">According to research by </w:t>
      </w:r>
      <w:r w:rsidR="0079311B" w:rsidRPr="0079311B">
        <w:rPr>
          <w:rFonts w:ascii="Times New Roman" w:hAnsi="Times New Roman" w:cs="Times New Roman"/>
          <w:b/>
          <w:bCs/>
          <w:i/>
          <w:iCs/>
          <w:sz w:val="24"/>
          <w:szCs w:val="24"/>
        </w:rPr>
        <w:t>Wild et al.,</w:t>
      </w:r>
      <w:r w:rsidR="0079311B" w:rsidRPr="0079311B">
        <w:rPr>
          <w:rFonts w:ascii="Times New Roman" w:hAnsi="Times New Roman" w:cs="Times New Roman"/>
          <w:sz w:val="24"/>
          <w:szCs w:val="24"/>
        </w:rPr>
        <w:t xml:space="preserve"> patients with PCOS may be at an increased risk for hypertension. Additionally, women with PCOS tend to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xhibit an increased occurr</w:t>
      </w:r>
      <w:r w:rsidR="00AB19B9">
        <w:rPr>
          <w:rFonts w:ascii="Times New Roman" w:hAnsi="Times New Roman" w:cs="Times New Roman"/>
          <w:sz w:val="24"/>
          <w:szCs w:val="24"/>
        </w:rPr>
        <w:t>ence of coronary artery disease</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{"citationID":"bsyrYjhC","properties":{"formattedCitation":"\\super [34]\\nosupersub{}","plainCitation":"[34]","noteIndex":0},"citationItems":[{"id":435,"uris":["http://zotero.org/users/local/VoUUWtMF/items/ZY9I9AH5"],"itemData":{"id":435,"type":"article-journal","abstract":"OBJECTIVE: Women with polycystic ovary syndrome (PCOS) often have cardiovascular disease (CVD) risk factors. The Androgen Excess and Polycystic Ovary Syndrome (AE-PCOS) Society created a panel to provide evidence-based reviews of studies assessing PCOS-CVD risk relationships and to develop guidelines for preventing CVD.\nPARTICIPANTS: An expert panel in PCOS and CVD reviewed literature and presented recommendations.\nEVIDENCE: Only studies comparing PCOS with control patients were included. All electronic databases were searched; reviews included individual studies/databases, systematic reviews, abstracts, and expert data. Articles were excluded if other hyperandrogenic disorders were not excluded, PCOS diagnosis was unclear, controls were not described, or methodology precluded evaluation. Inclusion/exclusion criteria were confirmed by at least two reviewers and arbitrated by a third.\nCONSENSUS PROCESS: Systematic reviews of CVD risk factors were compiled and submitted for approval to the AE-PCOS Society Board.\nCONCLUSIONS: Women with PCOS with obesity, cigarette smoking, dyslipidemia, hypertension, impaired glucose tolerance, and subclinical vascular disease are at risk, whereas those with metabolic syndrome and/or type 2 diabetes mellitus are at high risk for CVD. Body mass index, waist circumference, serum lipid/glucose, and blood pressure determinations are recommended for all women with PCOS, as is oral glucose tolerance testing in those with obesity, advanced age, personal history of gestational diabetes, or family history of type 2 diabetes mellitus. Mood disorder assessment is suggested in all PCOS patients. Lifestyle management is recommended for primary CVD prevention, targeting low-density and non-high-density lipoprotein cholesterol and adding insulin-sensitizing and other drugs if dyslipidemia or other risk factors persist.","container-title":"The Journal of Clinical Endocrinology and Metabolism","DOI":"10.1210/jc.2009-2724","ISSN":"1945-7197","issue":"5","journalAbbreviation":"J Clin Endocrinol Metab","language":"eng","note":"PMID: 20375205","page":"2038-2049","source":"PubMed","title":"Assessment of cardiovascular risk and prevention of cardiovascular disease in women with the polycystic ovary syndrome: a consensus statement by the Androgen Excess and Polycystic Ovary Syndrome (AE-PCOS) Society","title-short":"Assessment of cardiovascular risk and prevention of cardiovascular disease in women with the polycystic ovary syndrome","volume":"95","author":[{"family":"Wild","given":"Robert A."},{"family":"Carmina","given":"Enrico"},{"family":"Diamanti-Kandarakis","given":"Evanthia"},{"family":"Dokras","given":"Anuja"},{"family":"Escobar-Morreale","given":"Hector F."},{"family":"Futterweit","given":"Walter"},{"family":"Lobo","given":"Rogerio"},{"family":"Norman","given":"Robert J."},{"family":"Talbott","given":"Evelyn"},{"family":"Dumesic","given":"Daniel A."}],"issued":{"date-parts":[["2010",5]]}}}],"schema":"https://github.com/citation-style-language/schema/raw/master/csl-citation.json"}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[25</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Young women with PCOS are more likely than normal women to have </w:t>
      </w:r>
      <w:r w:rsidR="004B3DB6">
        <w:rPr>
          <w:rFonts w:ascii="Times New Roman" w:hAnsi="Times New Roman" w:cs="Times New Roman"/>
          <w:sz w:val="24"/>
          <w:szCs w:val="24"/>
        </w:rPr>
        <w:t>i</w:t>
      </w:r>
      <w:r w:rsidR="004B3DB6" w:rsidRPr="004B3DB6">
        <w:rPr>
          <w:rFonts w:ascii="Times New Roman" w:hAnsi="Times New Roman" w:cs="Times New Roman"/>
          <w:sz w:val="24"/>
          <w:szCs w:val="24"/>
        </w:rPr>
        <w:t>ncreased occurrence of elevated coronary artery calcium levels and thickening of</w:t>
      </w:r>
      <w:r w:rsidR="004B3DB6">
        <w:rPr>
          <w:rFonts w:ascii="Times New Roman" w:hAnsi="Times New Roman" w:cs="Times New Roman"/>
          <w:sz w:val="24"/>
          <w:szCs w:val="24"/>
        </w:rPr>
        <w:t xml:space="preserve"> the carotid intima-media layer</w:t>
      </w:r>
      <w:r w:rsidRPr="00165DEE">
        <w:rPr>
          <w:rFonts w:ascii="Times New Roman" w:hAnsi="Times New Roman" w:cs="Times New Roman"/>
          <w:sz w:val="24"/>
          <w:szCs w:val="24"/>
        </w:rPr>
        <w:t>, which may indicate a higher risk of subclinical vascular disease.</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{"citationID":"CVaJSPnu","properties":{"formattedCitation":"\\super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Pr>
          <w:rFonts w:ascii="Times New Roman" w:hAnsi="Times New Roman" w:cs="Times New Roman"/>
          <w:b/>
          <w:bCs/>
          <w:sz w:val="24"/>
          <w:szCs w:val="24"/>
        </w:rPr>
        <w:t xml:space="preserve"> </w:t>
      </w:r>
    </w:p>
    <w:p w14:paraId="376765EA" w14:textId="77777777" w:rsidR="00493E91" w:rsidRDefault="00493E91" w:rsidP="006B6C4C">
      <w:pPr>
        <w:spacing w:line="360" w:lineRule="auto"/>
        <w:jc w:val="both"/>
        <w:rPr>
          <w:rFonts w:ascii="Times New Roman" w:hAnsi="Times New Roman" w:cs="Times New Roman"/>
          <w:b/>
          <w:bCs/>
          <w:sz w:val="24"/>
          <w:szCs w:val="24"/>
        </w:rPr>
      </w:pPr>
    </w:p>
    <w:p w14:paraId="77A94688" w14:textId="7DCF044D" w:rsidR="00553BA1" w:rsidRPr="00A275D3" w:rsidRDefault="00553BA1" w:rsidP="007409CE">
      <w:pPr>
        <w:pStyle w:val="ListParagraph"/>
        <w:numPr>
          <w:ilvl w:val="0"/>
          <w:numId w:val="18"/>
        </w:numPr>
        <w:spacing w:line="360" w:lineRule="auto"/>
        <w:ind w:left="284"/>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Other comorbidities</w:t>
      </w:r>
    </w:p>
    <w:p w14:paraId="3B699E14" w14:textId="76934DCC" w:rsidR="00553BA1" w:rsidRDefault="00553BA1"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53BA1">
        <w:rPr>
          <w:rFonts w:ascii="Times New Roman" w:hAnsi="Times New Roman" w:cs="Times New Roman"/>
          <w:sz w:val="24"/>
          <w:szCs w:val="24"/>
        </w:rPr>
        <w:t xml:space="preserve">Data </w:t>
      </w:r>
      <w:r w:rsidR="00A555AA" w:rsidRPr="00A555AA">
        <w:rPr>
          <w:rFonts w:ascii="Times New Roman" w:hAnsi="Times New Roman" w:cs="Times New Roman"/>
          <w:sz w:val="24"/>
          <w:szCs w:val="24"/>
        </w:rPr>
        <w:t>from a recent meta-analysis indicate tha</w:t>
      </w:r>
      <w:r w:rsidR="00A555AA">
        <w:rPr>
          <w:rFonts w:ascii="Times New Roman" w:hAnsi="Times New Roman" w:cs="Times New Roman"/>
          <w:sz w:val="24"/>
          <w:szCs w:val="24"/>
        </w:rPr>
        <w:t>t there is no strong correlation</w:t>
      </w:r>
      <w:r w:rsidR="00A555AA" w:rsidRPr="00A555AA">
        <w:rPr>
          <w:rFonts w:ascii="Times New Roman" w:hAnsi="Times New Roman" w:cs="Times New Roman"/>
          <w:sz w:val="24"/>
          <w:szCs w:val="24"/>
        </w:rPr>
        <w:t xml:space="preserve"> between PCOS and the risk of deve</w:t>
      </w:r>
      <w:r w:rsidR="00A555AA">
        <w:rPr>
          <w:rFonts w:ascii="Times New Roman" w:hAnsi="Times New Roman" w:cs="Times New Roman"/>
          <w:sz w:val="24"/>
          <w:szCs w:val="24"/>
        </w:rPr>
        <w:t>loping ovarian or breast cancer</w:t>
      </w:r>
      <w:r w:rsidRPr="00553BA1">
        <w:rPr>
          <w:rFonts w:ascii="Times New Roman" w:hAnsi="Times New Roman" w:cs="Times New Roman"/>
          <w:sz w:val="24"/>
          <w:szCs w:val="24"/>
        </w:rPr>
        <w:t>, women with PCOS of all ages are more likely to develop endometrial cancer.</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{"citationID":"jr4x2iD4","properties":{"formattedCitation":"\\super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vertAlign w:val="superscript"/>
        </w:rPr>
        <w:instrText>∼</w:instrText>
      </w:r>
      <w:r w:rsidR="008E5E6B">
        <w:rPr>
          <w:rFonts w:ascii="Times New Roman" w:hAnsi="Times New Roman" w:cs="Times New Roman"/>
          <w:sz w:val="24"/>
          <w:szCs w:val="24"/>
          <w:vertAlign w:val="superscript"/>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00A555AA" w:rsidRPr="00A555AA">
        <w:t xml:space="preserve"> </w:t>
      </w:r>
      <w:r w:rsidR="00874836" w:rsidRPr="00874836">
        <w:rPr>
          <w:rFonts w:ascii="Times New Roman" w:hAnsi="Times New Roman" w:cs="Times New Roman"/>
          <w:sz w:val="24"/>
          <w:szCs w:val="24"/>
        </w:rPr>
        <w:t>A comprehensive review and analysis conducted</w:t>
      </w:r>
      <w:r w:rsidR="00874836">
        <w:t xml:space="preserve"> </w:t>
      </w:r>
      <w:r w:rsidR="00A555AA">
        <w:rPr>
          <w:rFonts w:ascii="Times New Roman" w:hAnsi="Times New Roman" w:cs="Times New Roman"/>
          <w:sz w:val="24"/>
          <w:szCs w:val="24"/>
        </w:rPr>
        <w:t xml:space="preserve">by </w:t>
      </w:r>
      <w:proofErr w:type="spellStart"/>
      <w:r w:rsidRPr="00BD4F5D">
        <w:rPr>
          <w:rFonts w:ascii="Times New Roman" w:hAnsi="Times New Roman" w:cs="Times New Roman"/>
          <w:b/>
          <w:bCs/>
          <w:i/>
          <w:iCs/>
          <w:sz w:val="24"/>
          <w:szCs w:val="24"/>
        </w:rPr>
        <w:t>Dokras</w:t>
      </w:r>
      <w:proofErr w:type="spellEnd"/>
      <w:r w:rsidRPr="00BD4F5D">
        <w:rPr>
          <w:rFonts w:ascii="Times New Roman" w:hAnsi="Times New Roman" w:cs="Times New Roman"/>
          <w:b/>
          <w:bCs/>
          <w:i/>
          <w:iCs/>
          <w:sz w:val="24"/>
          <w:szCs w:val="24"/>
        </w:rPr>
        <w:t xml:space="preserve"> et al</w:t>
      </w:r>
      <w:r w:rsidRPr="00553BA1">
        <w:rPr>
          <w:rFonts w:ascii="Times New Roman" w:hAnsi="Times New Roman" w:cs="Times New Roman"/>
          <w:sz w:val="24"/>
          <w:szCs w:val="24"/>
        </w:rPr>
        <w:t xml:space="preserve">., </w:t>
      </w:r>
      <w:r w:rsidR="00A555AA">
        <w:rPr>
          <w:rFonts w:ascii="Times New Roman" w:hAnsi="Times New Roman" w:cs="Times New Roman"/>
          <w:sz w:val="24"/>
          <w:szCs w:val="24"/>
        </w:rPr>
        <w:t xml:space="preserve">suggests that </w:t>
      </w:r>
      <w:r w:rsidRPr="00553BA1">
        <w:rPr>
          <w:rFonts w:ascii="Times New Roman" w:hAnsi="Times New Roman" w:cs="Times New Roman"/>
          <w:sz w:val="24"/>
          <w:szCs w:val="24"/>
        </w:rPr>
        <w:t>women with PCOS experience specific anxiety at higher rates than control groups.</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{"citationID":"udt7vanD","properties":{"formattedCitation":"\\super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Preeclampsia, gestational diabetes, and miscarriages are among the pregnancy issues that women with PCOS are more likely to have.</w:t>
      </w:r>
      <w:r w:rsidR="00926544"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{"citationID":"RLQa681b","properties":{"formattedCitation":"\\super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26544"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926544"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w:t>
      </w:r>
    </w:p>
    <w:p w14:paraId="6AC628D6" w14:textId="77777777" w:rsidR="00874836" w:rsidRDefault="00874836" w:rsidP="006B6C4C">
      <w:pPr>
        <w:spacing w:line="360" w:lineRule="auto"/>
        <w:jc w:val="both"/>
        <w:rPr>
          <w:rFonts w:ascii="Times New Roman" w:hAnsi="Times New Roman" w:cs="Times New Roman"/>
          <w:b/>
          <w:bCs/>
          <w:sz w:val="24"/>
          <w:szCs w:val="24"/>
        </w:rPr>
      </w:pPr>
    </w:p>
    <w:p w14:paraId="387615B5" w14:textId="77777777" w:rsidR="00874836" w:rsidRDefault="00874836" w:rsidP="006B6C4C">
      <w:pPr>
        <w:spacing w:line="360" w:lineRule="auto"/>
        <w:jc w:val="both"/>
        <w:rPr>
          <w:rFonts w:ascii="Times New Roman" w:hAnsi="Times New Roman" w:cs="Times New Roman"/>
          <w:b/>
          <w:bCs/>
          <w:sz w:val="24"/>
          <w:szCs w:val="24"/>
        </w:rPr>
      </w:pPr>
    </w:p>
    <w:p w14:paraId="6E04252D" w14:textId="77777777" w:rsidR="00874836" w:rsidRDefault="00874836" w:rsidP="006B6C4C">
      <w:pPr>
        <w:spacing w:line="360" w:lineRule="auto"/>
        <w:jc w:val="both"/>
        <w:rPr>
          <w:rFonts w:ascii="Times New Roman" w:hAnsi="Times New Roman" w:cs="Times New Roman"/>
          <w:b/>
          <w:bCs/>
          <w:sz w:val="24"/>
          <w:szCs w:val="24"/>
        </w:rPr>
      </w:pPr>
    </w:p>
    <w:p w14:paraId="5B7FB404" w14:textId="77777777" w:rsidR="00874836" w:rsidRDefault="00874836" w:rsidP="006B6C4C">
      <w:pPr>
        <w:spacing w:line="360" w:lineRule="auto"/>
        <w:jc w:val="both"/>
        <w:rPr>
          <w:rFonts w:ascii="Times New Roman" w:hAnsi="Times New Roman" w:cs="Times New Roman"/>
          <w:b/>
          <w:bCs/>
          <w:sz w:val="24"/>
          <w:szCs w:val="24"/>
        </w:rPr>
      </w:pPr>
    </w:p>
    <w:p w14:paraId="39C14C58" w14:textId="77777777" w:rsidR="00874836" w:rsidRDefault="00874836" w:rsidP="006B6C4C">
      <w:pPr>
        <w:spacing w:line="360" w:lineRule="auto"/>
        <w:jc w:val="both"/>
        <w:rPr>
          <w:rFonts w:ascii="Times New Roman" w:hAnsi="Times New Roman" w:cs="Times New Roman"/>
          <w:b/>
          <w:bCs/>
          <w:sz w:val="24"/>
          <w:szCs w:val="24"/>
        </w:rPr>
      </w:pPr>
    </w:p>
    <w:p w14:paraId="564BADEF" w14:textId="3474E95D" w:rsidR="00874836" w:rsidRDefault="00874836" w:rsidP="006B6C4C">
      <w:pPr>
        <w:spacing w:line="360" w:lineRule="auto"/>
        <w:jc w:val="both"/>
        <w:rPr>
          <w:rFonts w:ascii="Times New Roman" w:hAnsi="Times New Roman" w:cs="Times New Roman"/>
          <w:b/>
          <w:bCs/>
          <w:sz w:val="24"/>
          <w:szCs w:val="24"/>
        </w:rPr>
      </w:pPr>
    </w:p>
    <w:p w14:paraId="04296D0E" w14:textId="77777777" w:rsidR="00874836" w:rsidRDefault="00874836" w:rsidP="006B6C4C">
      <w:pPr>
        <w:spacing w:line="360" w:lineRule="auto"/>
        <w:jc w:val="both"/>
        <w:rPr>
          <w:rFonts w:ascii="Times New Roman" w:hAnsi="Times New Roman" w:cs="Times New Roman"/>
          <w:b/>
          <w:bCs/>
          <w:sz w:val="24"/>
          <w:szCs w:val="24"/>
        </w:rPr>
      </w:pPr>
    </w:p>
    <w:p w14:paraId="21F1996B" w14:textId="211D62AC" w:rsidR="005066F8" w:rsidRPr="008634CD" w:rsidRDefault="008634C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Correlation </w:t>
      </w:r>
      <w:r w:rsidR="00C2692E" w:rsidRPr="00C2692E">
        <w:rPr>
          <w:rFonts w:ascii="Times New Roman" w:hAnsi="Times New Roman" w:cs="Times New Roman"/>
          <w:b/>
          <w:bCs/>
          <w:sz w:val="24"/>
          <w:szCs w:val="24"/>
        </w:rPr>
        <w:t>between PCOS and other systemic diseases with the linking mechanisms</w:t>
      </w:r>
    </w:p>
    <w:p w14:paraId="35027C9B" w14:textId="4FC97413" w:rsidR="00874836" w:rsidRDefault="00874836" w:rsidP="005F7533">
      <w:pPr>
        <w:spacing w:line="360" w:lineRule="auto"/>
        <w:jc w:val="both"/>
        <w:rPr>
          <w:rFonts w:ascii="Times New Roman" w:hAnsi="Times New Roman" w:cs="Times New Roman"/>
          <w:b/>
          <w:bCs/>
          <w:noProof/>
          <w:sz w:val="24"/>
          <w:szCs w:val="24"/>
        </w:rPr>
      </w:pPr>
      <w:bookmarkStart w:id="7" w:name="_Hlk174181367"/>
    </w:p>
    <w:p w14:paraId="6B8B314A" w14:textId="7F5F1F6C" w:rsidR="00874836" w:rsidRDefault="00874836" w:rsidP="005F7533">
      <w:pPr>
        <w:spacing w:line="360" w:lineRule="auto"/>
        <w:jc w:val="both"/>
        <w:rPr>
          <w:rFonts w:ascii="Times New Roman" w:hAnsi="Times New Roman" w:cs="Times New Roman"/>
          <w:b/>
          <w:bCs/>
          <w:noProof/>
          <w:sz w:val="24"/>
          <w:szCs w:val="24"/>
        </w:rPr>
      </w:pPr>
      <w:r w:rsidRPr="00DB0EB5">
        <w:rPr>
          <w:rFonts w:ascii="Times New Roman" w:hAnsi="Times New Roman" w:cs="Times New Roman"/>
          <w:noProof/>
          <w:sz w:val="24"/>
          <w:szCs w:val="24"/>
          <w:lang w:eastAsia="en-IN"/>
        </w:rPr>
        <w:lastRenderedPageBreak/>
        <w:drawing>
          <wp:anchor distT="0" distB="0" distL="114300" distR="114300" simplePos="0" relativeHeight="251657216" behindDoc="1" locked="0" layoutInCell="1" allowOverlap="1" wp14:anchorId="25CBE717" wp14:editId="023E0B7A">
            <wp:simplePos x="0" y="0"/>
            <wp:positionH relativeFrom="column">
              <wp:posOffset>126365</wp:posOffset>
            </wp:positionH>
            <wp:positionV relativeFrom="paragraph">
              <wp:posOffset>452755</wp:posOffset>
            </wp:positionV>
            <wp:extent cx="5735320" cy="3502660"/>
            <wp:effectExtent l="0" t="0" r="0" b="0"/>
            <wp:wrapTight wrapText="bothSides">
              <wp:wrapPolygon edited="0">
                <wp:start x="0" y="0"/>
                <wp:lineTo x="0" y="21498"/>
                <wp:lineTo x="21523" y="21498"/>
                <wp:lineTo x="21523" y="0"/>
                <wp:lineTo x="0" y="0"/>
              </wp:wrapPolygon>
            </wp:wrapTight>
            <wp:docPr id="49598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3178" name=""/>
                    <pic:cNvPicPr/>
                  </pic:nvPicPr>
                  <pic:blipFill>
                    <a:blip r:embed="rId10">
                      <a:extLst>
                        <a:ext uri="{28A0092B-C50C-407E-A947-70E740481C1C}">
                          <a14:useLocalDpi xmlns:a14="http://schemas.microsoft.com/office/drawing/2010/main" val="0"/>
                        </a:ext>
                      </a:extLst>
                    </a:blip>
                    <a:stretch>
                      <a:fillRect/>
                    </a:stretch>
                  </pic:blipFill>
                  <pic:spPr>
                    <a:xfrm>
                      <a:off x="0" y="0"/>
                      <a:ext cx="5735320" cy="3502660"/>
                    </a:xfrm>
                    <a:prstGeom prst="rect">
                      <a:avLst/>
                    </a:prstGeom>
                  </pic:spPr>
                </pic:pic>
              </a:graphicData>
            </a:graphic>
            <wp14:sizeRelH relativeFrom="margin">
              <wp14:pctWidth>0</wp14:pctWidth>
            </wp14:sizeRelH>
            <wp14:sizeRelV relativeFrom="margin">
              <wp14:pctHeight>0</wp14:pctHeight>
            </wp14:sizeRelV>
          </wp:anchor>
        </w:drawing>
      </w:r>
    </w:p>
    <w:p w14:paraId="5D55E0A0" w14:textId="77777777" w:rsidR="00874836" w:rsidRDefault="00874836" w:rsidP="005F7533">
      <w:pPr>
        <w:spacing w:line="360" w:lineRule="auto"/>
        <w:jc w:val="both"/>
        <w:rPr>
          <w:rFonts w:ascii="Times New Roman" w:hAnsi="Times New Roman" w:cs="Times New Roman"/>
          <w:b/>
          <w:bCs/>
          <w:noProof/>
          <w:sz w:val="24"/>
          <w:szCs w:val="24"/>
        </w:rPr>
      </w:pPr>
    </w:p>
    <w:p w14:paraId="0ED92651" w14:textId="77777777" w:rsidR="00874836" w:rsidRDefault="00874836" w:rsidP="005F7533">
      <w:pPr>
        <w:spacing w:line="360" w:lineRule="auto"/>
        <w:jc w:val="both"/>
        <w:rPr>
          <w:rFonts w:ascii="Times New Roman" w:hAnsi="Times New Roman" w:cs="Times New Roman"/>
          <w:b/>
          <w:bCs/>
          <w:noProof/>
          <w:sz w:val="24"/>
          <w:szCs w:val="24"/>
        </w:rPr>
      </w:pPr>
    </w:p>
    <w:p w14:paraId="3691FAEE" w14:textId="77777777" w:rsidR="00874836" w:rsidRDefault="00874836" w:rsidP="005F7533">
      <w:pPr>
        <w:spacing w:line="360" w:lineRule="auto"/>
        <w:jc w:val="both"/>
        <w:rPr>
          <w:rFonts w:ascii="Times New Roman" w:hAnsi="Times New Roman" w:cs="Times New Roman"/>
          <w:b/>
          <w:bCs/>
          <w:noProof/>
          <w:sz w:val="24"/>
          <w:szCs w:val="24"/>
        </w:rPr>
      </w:pPr>
    </w:p>
    <w:p w14:paraId="36972002" w14:textId="77777777" w:rsidR="00874836" w:rsidRDefault="00874836" w:rsidP="005F7533">
      <w:pPr>
        <w:spacing w:line="360" w:lineRule="auto"/>
        <w:jc w:val="both"/>
        <w:rPr>
          <w:rFonts w:ascii="Times New Roman" w:hAnsi="Times New Roman" w:cs="Times New Roman"/>
          <w:b/>
          <w:bCs/>
          <w:noProof/>
          <w:sz w:val="24"/>
          <w:szCs w:val="24"/>
        </w:rPr>
      </w:pPr>
    </w:p>
    <w:p w14:paraId="7625BBD3" w14:textId="77777777" w:rsidR="00874836" w:rsidRDefault="00874836" w:rsidP="005F7533">
      <w:pPr>
        <w:spacing w:line="360" w:lineRule="auto"/>
        <w:jc w:val="both"/>
        <w:rPr>
          <w:rFonts w:ascii="Times New Roman" w:hAnsi="Times New Roman" w:cs="Times New Roman"/>
          <w:b/>
          <w:bCs/>
          <w:noProof/>
          <w:sz w:val="24"/>
          <w:szCs w:val="24"/>
        </w:rPr>
      </w:pPr>
    </w:p>
    <w:p w14:paraId="5C4B0CFB" w14:textId="77777777" w:rsidR="00874836" w:rsidRDefault="00874836" w:rsidP="005F7533">
      <w:pPr>
        <w:spacing w:line="360" w:lineRule="auto"/>
        <w:jc w:val="both"/>
        <w:rPr>
          <w:rFonts w:ascii="Times New Roman" w:hAnsi="Times New Roman" w:cs="Times New Roman"/>
          <w:b/>
          <w:bCs/>
          <w:noProof/>
          <w:sz w:val="24"/>
          <w:szCs w:val="24"/>
        </w:rPr>
      </w:pPr>
    </w:p>
    <w:p w14:paraId="239B1FCE" w14:textId="77777777" w:rsidR="00874836" w:rsidRDefault="00874836" w:rsidP="005F7533">
      <w:pPr>
        <w:spacing w:line="360" w:lineRule="auto"/>
        <w:jc w:val="both"/>
        <w:rPr>
          <w:rFonts w:ascii="Times New Roman" w:hAnsi="Times New Roman" w:cs="Times New Roman"/>
          <w:b/>
          <w:bCs/>
          <w:noProof/>
          <w:sz w:val="24"/>
          <w:szCs w:val="24"/>
        </w:rPr>
      </w:pPr>
    </w:p>
    <w:p w14:paraId="0FAC56B4" w14:textId="77777777" w:rsidR="00874836" w:rsidRDefault="00874836" w:rsidP="005F7533">
      <w:pPr>
        <w:spacing w:line="360" w:lineRule="auto"/>
        <w:jc w:val="both"/>
        <w:rPr>
          <w:rFonts w:ascii="Times New Roman" w:hAnsi="Times New Roman" w:cs="Times New Roman"/>
          <w:b/>
          <w:bCs/>
          <w:noProof/>
          <w:sz w:val="24"/>
          <w:szCs w:val="24"/>
        </w:rPr>
      </w:pPr>
    </w:p>
    <w:p w14:paraId="3CA9C38F" w14:textId="77777777" w:rsidR="00874836" w:rsidRDefault="00874836" w:rsidP="005F7533">
      <w:pPr>
        <w:spacing w:line="360" w:lineRule="auto"/>
        <w:jc w:val="both"/>
        <w:rPr>
          <w:rFonts w:ascii="Times New Roman" w:hAnsi="Times New Roman" w:cs="Times New Roman"/>
          <w:b/>
          <w:bCs/>
          <w:noProof/>
          <w:sz w:val="24"/>
          <w:szCs w:val="24"/>
        </w:rPr>
      </w:pPr>
    </w:p>
    <w:p w14:paraId="09B3C07B" w14:textId="3C9B6F21" w:rsidR="00874836" w:rsidRDefault="00874836" w:rsidP="005F7533">
      <w:pPr>
        <w:spacing w:line="360" w:lineRule="auto"/>
        <w:jc w:val="both"/>
        <w:rPr>
          <w:rFonts w:ascii="Times New Roman" w:hAnsi="Times New Roman" w:cs="Times New Roman"/>
          <w:b/>
          <w:bCs/>
          <w:noProof/>
          <w:sz w:val="24"/>
          <w:szCs w:val="24"/>
        </w:rPr>
      </w:pPr>
    </w:p>
    <w:p w14:paraId="32031AEF" w14:textId="77777777" w:rsidR="00874836" w:rsidRDefault="00874836" w:rsidP="005F7533">
      <w:pPr>
        <w:spacing w:line="360" w:lineRule="auto"/>
        <w:jc w:val="both"/>
        <w:rPr>
          <w:rFonts w:ascii="Times New Roman" w:hAnsi="Times New Roman" w:cs="Times New Roman"/>
          <w:b/>
          <w:bCs/>
          <w:noProof/>
          <w:sz w:val="24"/>
          <w:szCs w:val="24"/>
        </w:rPr>
      </w:pPr>
    </w:p>
    <w:p w14:paraId="4E5AC342" w14:textId="77777777" w:rsidR="00874836" w:rsidRDefault="00874836" w:rsidP="005F7533">
      <w:pPr>
        <w:spacing w:line="360" w:lineRule="auto"/>
        <w:jc w:val="both"/>
        <w:rPr>
          <w:rFonts w:ascii="Times New Roman" w:hAnsi="Times New Roman" w:cs="Times New Roman"/>
          <w:b/>
          <w:bCs/>
          <w:noProof/>
          <w:sz w:val="24"/>
          <w:szCs w:val="24"/>
        </w:rPr>
      </w:pPr>
    </w:p>
    <w:p w14:paraId="283AB302" w14:textId="0A2F346F" w:rsidR="00DA4CB3" w:rsidRPr="00BF0971" w:rsidRDefault="00294FFD" w:rsidP="005F7533">
      <w:pPr>
        <w:spacing w:line="360" w:lineRule="auto"/>
        <w:jc w:val="both"/>
        <w:rPr>
          <w:rFonts w:ascii="Times New Roman" w:hAnsi="Times New Roman" w:cs="Times New Roman"/>
          <w:b/>
          <w:bCs/>
          <w:noProof/>
          <w:sz w:val="24"/>
          <w:szCs w:val="24"/>
        </w:rPr>
      </w:pPr>
      <w:r w:rsidRPr="00294FFD">
        <w:rPr>
          <w:rFonts w:ascii="Times New Roman" w:hAnsi="Times New Roman" w:cs="Times New Roman"/>
          <w:b/>
          <w:bCs/>
          <w:noProof/>
          <w:sz w:val="24"/>
          <w:szCs w:val="24"/>
        </w:rPr>
        <w:t>INCREASED</w:t>
      </w:r>
      <w:r w:rsidR="008064D2" w:rsidRPr="00294FFD">
        <w:rPr>
          <w:rFonts w:ascii="Times New Roman" w:hAnsi="Times New Roman" w:cs="Times New Roman"/>
          <w:b/>
          <w:bCs/>
          <w:sz w:val="24"/>
          <w:szCs w:val="24"/>
        </w:rPr>
        <w:t xml:space="preserve"> </w:t>
      </w:r>
      <w:r w:rsidR="008064D2" w:rsidRPr="008064D2">
        <w:rPr>
          <w:rFonts w:ascii="Times New Roman" w:hAnsi="Times New Roman" w:cs="Times New Roman"/>
          <w:b/>
          <w:bCs/>
          <w:sz w:val="24"/>
          <w:szCs w:val="24"/>
        </w:rPr>
        <w:t>PREVAL</w:t>
      </w:r>
      <w:r w:rsidR="00A42C5B">
        <w:rPr>
          <w:rFonts w:ascii="Times New Roman" w:hAnsi="Times New Roman" w:cs="Times New Roman"/>
          <w:b/>
          <w:bCs/>
          <w:sz w:val="24"/>
          <w:szCs w:val="24"/>
        </w:rPr>
        <w:t>E</w:t>
      </w:r>
      <w:r w:rsidR="008064D2" w:rsidRPr="008064D2">
        <w:rPr>
          <w:rFonts w:ascii="Times New Roman" w:hAnsi="Times New Roman" w:cs="Times New Roman"/>
          <w:b/>
          <w:bCs/>
          <w:sz w:val="24"/>
          <w:szCs w:val="24"/>
        </w:rPr>
        <w:t>NCE OF PERIODONTITIS IN WOMEN WITH PCOS</w:t>
      </w:r>
    </w:p>
    <w:bookmarkEnd w:id="7"/>
    <w:p w14:paraId="66A652E8" w14:textId="2D63C5FC" w:rsidR="00C2692E" w:rsidRPr="00C2692E" w:rsidRDefault="008064D2" w:rsidP="00C269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692E" w:rsidRPr="00C2692E">
        <w:rPr>
          <w:rFonts w:ascii="Times New Roman" w:hAnsi="Times New Roman" w:cs="Times New Roman"/>
          <w:b/>
          <w:bCs/>
          <w:sz w:val="24"/>
          <w:szCs w:val="24"/>
        </w:rPr>
        <w:t>Table 1:</w:t>
      </w:r>
      <w:r w:rsidR="00C2692E" w:rsidRPr="00C2692E">
        <w:rPr>
          <w:rFonts w:ascii="Times New Roman" w:hAnsi="Times New Roman" w:cs="Times New Roman"/>
          <w:sz w:val="24"/>
          <w:szCs w:val="24"/>
        </w:rPr>
        <w:t xml:space="preserve"> Literature evidence on </w:t>
      </w:r>
      <w:r w:rsidR="00BA3682" w:rsidRPr="00C2692E">
        <w:rPr>
          <w:rFonts w:ascii="Times New Roman" w:hAnsi="Times New Roman" w:cs="Times New Roman"/>
          <w:sz w:val="24"/>
          <w:szCs w:val="24"/>
        </w:rPr>
        <w:t>increased</w:t>
      </w:r>
      <w:r w:rsidR="00C2692E" w:rsidRPr="00C2692E">
        <w:rPr>
          <w:rFonts w:ascii="Times New Roman" w:hAnsi="Times New Roman" w:cs="Times New Roman"/>
          <w:sz w:val="24"/>
          <w:szCs w:val="24"/>
        </w:rPr>
        <w:t xml:space="preserve"> prevalence of periodontitis in women with PCOS</w:t>
      </w:r>
    </w:p>
    <w:p w14:paraId="5DA22B27" w14:textId="15C78AAA" w:rsidR="008064D2" w:rsidRDefault="008064D2" w:rsidP="006B6C4C">
      <w:pPr>
        <w:spacing w:line="360" w:lineRule="auto"/>
        <w:jc w:val="both"/>
        <w:rPr>
          <w:rFonts w:ascii="Times New Roman" w:hAnsi="Times New Roman" w:cs="Times New Roman"/>
          <w:sz w:val="24"/>
          <w:szCs w:val="24"/>
        </w:rPr>
      </w:pPr>
    </w:p>
    <w:tbl>
      <w:tblPr>
        <w:tblW w:w="10063" w:type="dxa"/>
        <w:tblInd w:w="-282" w:type="dxa"/>
        <w:tblCellMar>
          <w:left w:w="0" w:type="dxa"/>
          <w:right w:w="0" w:type="dxa"/>
        </w:tblCellMar>
        <w:tblLook w:val="0420" w:firstRow="1" w:lastRow="0" w:firstColumn="0" w:lastColumn="0" w:noHBand="0" w:noVBand="1"/>
      </w:tblPr>
      <w:tblGrid>
        <w:gridCol w:w="1569"/>
        <w:gridCol w:w="2054"/>
        <w:gridCol w:w="6440"/>
      </w:tblGrid>
      <w:tr w:rsidR="006D28C5" w:rsidRPr="008064D2" w14:paraId="417DF20F"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5E4FBC" w14:textId="67E35132"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AUTHOR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25AD9A" w14:textId="4C3E0CB6"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TYPE OF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E30D32" w14:textId="04FA93A7"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STUDY FINDINGS</w:t>
            </w:r>
          </w:p>
        </w:tc>
      </w:tr>
      <w:tr w:rsidR="006D28C5" w:rsidRPr="008064D2" w14:paraId="57759A59"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5A5B06" w14:textId="77777777" w:rsidR="008064D2" w:rsidRPr="00F8642D" w:rsidRDefault="008064D2" w:rsidP="008064D2">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Dursun</w:t>
            </w:r>
            <w:proofErr w:type="spellEnd"/>
            <w:r w:rsidRPr="00F8642D">
              <w:rPr>
                <w:rFonts w:ascii="Times New Roman" w:hAnsi="Times New Roman" w:cs="Times New Roman"/>
                <w:b/>
                <w:bCs/>
                <w:i/>
                <w:iCs/>
                <w:sz w:val="24"/>
                <w:szCs w:val="24"/>
              </w:rPr>
              <w:t xml:space="preserve"> et al 2011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62B28C" w14:textId="77777777" w:rsidR="008064D2" w:rsidRPr="008064D2" w:rsidRDefault="008064D2" w:rsidP="008064D2">
            <w:pPr>
              <w:spacing w:line="360" w:lineRule="auto"/>
              <w:jc w:val="both"/>
              <w:rPr>
                <w:rFonts w:ascii="Times New Roman" w:hAnsi="Times New Roman" w:cs="Times New Roman"/>
                <w:sz w:val="24"/>
                <w:szCs w:val="24"/>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6875A2" w14:textId="62A20650" w:rsidR="008064D2" w:rsidRPr="00F8642D" w:rsidRDefault="008064D2" w:rsidP="008064D2">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Higher scores of periodontal indices in PCOS patients compared with age</w:t>
            </w:r>
            <w:r w:rsidRPr="00F8642D">
              <w:rPr>
                <w:rFonts w:ascii="Times New Roman" w:hAnsi="Times New Roman" w:cs="Times New Roman"/>
                <w:sz w:val="24"/>
                <w:szCs w:val="24"/>
                <w:lang w:val="en-GB"/>
              </w:rPr>
              <w:noBreakHyphen/>
              <w:t xml:space="preserve"> and </w:t>
            </w:r>
            <w:r w:rsidRPr="00F8642D">
              <w:rPr>
                <w:rFonts w:ascii="Times New Roman" w:hAnsi="Times New Roman" w:cs="Times New Roman"/>
                <w:sz w:val="24"/>
                <w:szCs w:val="24"/>
              </w:rPr>
              <w:t>weight</w:t>
            </w:r>
            <w:r w:rsidRPr="00F8642D">
              <w:rPr>
                <w:rFonts w:ascii="Times New Roman" w:hAnsi="Times New Roman" w:cs="Times New Roman"/>
                <w:sz w:val="24"/>
                <w:szCs w:val="24"/>
              </w:rPr>
              <w:noBreakHyphen/>
              <w:t>matched healthy control women</w:t>
            </w:r>
            <w:r w:rsidR="00A87462" w:rsidRPr="00F8642D">
              <w:rPr>
                <w:rFonts w:ascii="Times New Roman" w:hAnsi="Times New Roman" w:cs="Times New Roman"/>
                <w:sz w:val="24"/>
                <w:szCs w:val="24"/>
              </w:rPr>
              <w:t>.</w:t>
            </w:r>
            <w:r w:rsidR="00A8746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{"citationID":"vnsxDXxC","properties":{"formattedCitation":"\\super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A87462"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[30</w:t>
            </w:r>
            <w:r w:rsidR="008E5E6B" w:rsidRPr="008E5E6B">
              <w:rPr>
                <w:rFonts w:ascii="Times New Roman" w:hAnsi="Times New Roman" w:cs="Times New Roman"/>
                <w:kern w:val="0"/>
                <w:sz w:val="24"/>
                <w:szCs w:val="24"/>
                <w:vertAlign w:val="superscript"/>
              </w:rPr>
              <w:t>]</w:t>
            </w:r>
            <w:r w:rsidR="00A87462" w:rsidRPr="004F1D48">
              <w:rPr>
                <w:rFonts w:ascii="Times New Roman" w:hAnsi="Times New Roman" w:cs="Times New Roman"/>
                <w:sz w:val="24"/>
                <w:szCs w:val="24"/>
                <w:vertAlign w:val="superscript"/>
              </w:rPr>
              <w:fldChar w:fldCharType="end"/>
            </w:r>
          </w:p>
        </w:tc>
      </w:tr>
      <w:tr w:rsidR="00BF3B27" w:rsidRPr="008064D2" w14:paraId="5D4176FC"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047199" w14:textId="0B678BA7"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86BC38" w14:textId="1E652FDB"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EF8EAF" w14:textId="526B8110"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PCOS and gingival inflammation appear to act synergistically on the pro-inflammatory cytokines IL-6 and TNF-α. Thus, PCOS may have an impact on gingival inflammation or vice versa.</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{"citationID":"GtzhD9X2","properties":{"formattedCitation":"\\super [40]\\nosupersub{}","plainCitation":"[40]","noteIndex":0},"citationItems":[{"id":242,"uris":["http://zotero.org/users/local/VoUUWtMF/items/JWSGNDYW"],"itemData":{"id":242,"type":"webpage","title":"Is there an interaction between polycystic ovary syndrome and gingival inflammation? - PubMed","URL":"https://pubmed.ncbi.nlm.nih.gov/22509751/","accessed":{"date-parts":[["2023",12,22]]}}}],"schema":"https://github.com/citation-style-language/schema/raw/master/csl-citation.json"}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[31</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73639716"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E62EC" w14:textId="27226868"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D5B181" w14:textId="6E0C15FA"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77D6E" w14:textId="6DE4B788"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 xml:space="preserve">Higher Gingival </w:t>
            </w:r>
            <w:proofErr w:type="spellStart"/>
            <w:r w:rsidRPr="00F8642D">
              <w:rPr>
                <w:rFonts w:ascii="Times New Roman" w:hAnsi="Times New Roman" w:cs="Times New Roman"/>
                <w:sz w:val="24"/>
                <w:szCs w:val="24"/>
              </w:rPr>
              <w:t>crevicular</w:t>
            </w:r>
            <w:proofErr w:type="spellEnd"/>
            <w:r w:rsidRPr="00F8642D">
              <w:rPr>
                <w:rFonts w:ascii="Times New Roman" w:hAnsi="Times New Roman" w:cs="Times New Roman"/>
                <w:sz w:val="24"/>
                <w:szCs w:val="24"/>
              </w:rPr>
              <w:t xml:space="preserve"> fluid IL</w:t>
            </w:r>
            <w:r w:rsidRPr="00F8642D">
              <w:rPr>
                <w:rFonts w:ascii="Times New Roman" w:hAnsi="Times New Roman" w:cs="Times New Roman"/>
                <w:sz w:val="24"/>
                <w:szCs w:val="24"/>
              </w:rPr>
              <w:noBreakHyphen/>
              <w:t>17A and serum IL</w:t>
            </w:r>
            <w:r w:rsidRPr="00F8642D">
              <w:rPr>
                <w:rFonts w:ascii="Times New Roman" w:hAnsi="Times New Roman" w:cs="Times New Roman"/>
                <w:sz w:val="24"/>
                <w:szCs w:val="24"/>
              </w:rPr>
              <w:noBreakHyphen/>
              <w:t xml:space="preserve">17A with increased clinical periodontal </w:t>
            </w:r>
            <w:r w:rsidRPr="00F8642D">
              <w:rPr>
                <w:rFonts w:ascii="Times New Roman" w:hAnsi="Times New Roman" w:cs="Times New Roman"/>
                <w:sz w:val="24"/>
                <w:szCs w:val="24"/>
                <w:lang w:val="en-GB"/>
              </w:rPr>
              <w:t>parameters in females with PCOS.</w:t>
            </w:r>
            <w:r w:rsidRPr="00F8642D">
              <w:rPr>
                <w:rFonts w:ascii="Times New Roman" w:hAnsi="Times New Roman" w:cs="Times New Roman"/>
                <w:sz w:val="24"/>
                <w:szCs w:val="24"/>
              </w:rPr>
              <w:t xml:space="preserve"> </w:t>
            </w:r>
            <w:r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{"citationID":"0JZRuCsi","properties":{"formattedCitation":"\\super [41]\\nosupersub{}","plainCitation":"[41]","noteIndex":0},"citationItems":[{"id":610,"uris":["http://zotero.org/users/local/VoUUWtMF/items/UWS63A39"],"itemData":{"id":610,"type":"article-journal","abstract":"BACKGROUND: Polycystic ovarian syndrome (PCOS) is a hormonal disorder of females of reproductive age that impacts their oral and systemic health. The aim of this study is to evaluate interleukin-17A (IL-17A), IL-17F, IL-17A/F, and IL-17E (IL-25) levels in gingival crevicular fluid (GCF), saliva, and serum of non-obese females with PCOS and with either a clinically healthy periodontium or gingivitis.\nMETHODS: Thirty-one females with PCOS, 30 females with PCOS and gingivitis, and 12 systemically and periodontally healthy females participated in the study. Clinical periodontal measurements, body mass index, and Ferriman-Gallwey score (FGS) (a measure of hirsutism in females) were recorded. Circulating levels of sex hormones, cortisol, and insulin were also determined. Levels of IL-17 cytokines were measured by enzyme-linked immunosorbent assay.\nRESULTS: The general linear model multivariate analysis, adjusting for age or plaque index, showed that the two groups with PCOS had higher concentrations of IL-17A, IL-17F, and IL-17A/F in serum and higher levels of IL-17A and IL-17F in GCF and saliva but lower serum IL-17E than systemically healthy females. Levels of IL-17E were lowest in females with PCOS and gingivitis who also had the highest FGS. Serum IL-17A and IL-17F levels correlated positively with FGS and periodontal probing depth (all ρ &gt;0.33; P &lt;0.005). Serum IL-17E showed the reverse relationship and also correlated negatively with IL-17A (ρ &gt;-0.28; P &lt;0.05).\nCONCLUSIONS: IL-17 levels are altered in non-obese females with PCOS and may influence gingival inflammation. Additional studies are warranted to clarify the relationship between PCOS and gingivitis.","container-title":"Journal of Periodontology","DOI":"10.1902/jop.2013.120483","ISSN":"1943-3670","issue":"12","journalAbbreviation":"J Periodontol","language":"eng","note":"PMID: 23327719","page":"1827-1837","source":"PubMed","title":"Is interleukin-17 involved in the interaction between polycystic ovary syndrome and gingival inflammation?","volume":"84","author":[{"family":"Özçaka","given":"Özgün"},{"family":"Buduneli","given":"Nurcan"},{"family":"Ceyhan","given":"Banu Ozturk"},{"family":"Akcali","given":"Aliye"},{"family":"Hannah","given":"Victoria"},{"family":"Nile","given":"Christopher"},{"family":"Lappin","given":"David F."}],"issued":{"date-parts":[["2013",12]]}}}],"schema":"https://github.com/citation-style-language/schema/raw/master/csl-citation.json"} </w:instrText>
            </w:r>
            <w:r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[32</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rPr>
              <w:fldChar w:fldCharType="end"/>
            </w:r>
          </w:p>
        </w:tc>
      </w:tr>
      <w:tr w:rsidR="00BF3B27" w:rsidRPr="008064D2" w14:paraId="391EA5A0"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8A558B" w14:textId="42677A29"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lang w:val="en-GB"/>
              </w:rPr>
              <w:t>Ak</w:t>
            </w:r>
            <w:r>
              <w:rPr>
                <w:rFonts w:ascii="Times New Roman" w:hAnsi="Times New Roman" w:cs="Times New Roman"/>
                <w:b/>
                <w:bCs/>
                <w:i/>
                <w:iCs/>
                <w:sz w:val="24"/>
                <w:szCs w:val="24"/>
                <w:lang w:val="en-GB"/>
              </w:rPr>
              <w:t>c</w:t>
            </w:r>
            <w:r w:rsidRPr="00F8642D">
              <w:rPr>
                <w:rFonts w:ascii="Times New Roman" w:hAnsi="Times New Roman" w:cs="Times New Roman"/>
                <w:b/>
                <w:bCs/>
                <w:i/>
                <w:iCs/>
                <w:sz w:val="24"/>
                <w:szCs w:val="24"/>
                <w:lang w:val="en-GB"/>
              </w:rPr>
              <w:t>ali</w:t>
            </w:r>
            <w:proofErr w:type="spellEnd"/>
            <w:r w:rsidRPr="00F8642D">
              <w:rPr>
                <w:rFonts w:ascii="Times New Roman" w:hAnsi="Times New Roman" w:cs="Times New Roman"/>
                <w:b/>
                <w:bCs/>
                <w:i/>
                <w:iCs/>
                <w:sz w:val="24"/>
                <w:szCs w:val="24"/>
                <w:lang w:val="en-GB"/>
              </w:rPr>
              <w:t xml:space="preserve">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00A25D" w14:textId="16C6426D"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w:t>
            </w:r>
            <w:r>
              <w:rPr>
                <w:rFonts w:ascii="Times New Roman" w:hAnsi="Times New Roman" w:cs="Times New Roman"/>
                <w:sz w:val="24"/>
                <w:szCs w:val="24"/>
                <w:lang w:val="en-GB"/>
              </w:rPr>
              <w:t xml:space="preserve">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61C710" w14:textId="7CFEBD2D" w:rsidR="00BF3B27" w:rsidRPr="00F8642D" w:rsidRDefault="00BF3B27" w:rsidP="00BF3B27">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 xml:space="preserve">PCOS quantitatively affects the composition of oral </w:t>
            </w:r>
            <w:proofErr w:type="spellStart"/>
            <w:r w:rsidRPr="00F8642D">
              <w:rPr>
                <w:rFonts w:ascii="Times New Roman" w:hAnsi="Times New Roman" w:cs="Times New Roman"/>
                <w:sz w:val="24"/>
                <w:szCs w:val="24"/>
                <w:lang w:val="en-GB"/>
              </w:rPr>
              <w:t>microbiota</w:t>
            </w:r>
            <w:proofErr w:type="spellEnd"/>
            <w:r w:rsidRPr="00F8642D">
              <w:rPr>
                <w:rFonts w:ascii="Times New Roman" w:hAnsi="Times New Roman" w:cs="Times New Roman"/>
                <w:sz w:val="24"/>
                <w:szCs w:val="24"/>
                <w:lang w:val="en-GB"/>
              </w:rPr>
              <w:t xml:space="preserve"> and the raised systemic response.</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{"citationID":"vtVObWn4","properties":{"formattedCitation":"\\super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EF2E538"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6803BA" w14:textId="30588251" w:rsidR="00BF3B27" w:rsidRPr="00F8642D" w:rsidRDefault="00BF3B27" w:rsidP="00BF3B27">
            <w:pPr>
              <w:spacing w:line="360" w:lineRule="auto"/>
              <w:jc w:val="both"/>
              <w:rPr>
                <w:rFonts w:ascii="Times New Roman" w:hAnsi="Times New Roman" w:cs="Times New Roman"/>
                <w:b/>
                <w:bCs/>
                <w:i/>
                <w:iCs/>
                <w:sz w:val="24"/>
                <w:szCs w:val="24"/>
                <w:lang w:val="en-GB"/>
              </w:rPr>
            </w:pPr>
            <w:proofErr w:type="spellStart"/>
            <w:r w:rsidRPr="00F8642D">
              <w:rPr>
                <w:rFonts w:ascii="Times New Roman" w:hAnsi="Times New Roman" w:cs="Times New Roman"/>
                <w:b/>
                <w:bCs/>
                <w:i/>
                <w:iCs/>
                <w:sz w:val="24"/>
                <w:szCs w:val="24"/>
              </w:rPr>
              <w:t>Porwal</w:t>
            </w:r>
            <w:proofErr w:type="spellEnd"/>
            <w:r w:rsidRPr="00F8642D">
              <w:rPr>
                <w:rFonts w:ascii="Times New Roman" w:hAnsi="Times New Roman" w:cs="Times New Roman"/>
                <w:b/>
                <w:bCs/>
                <w:i/>
                <w:iCs/>
                <w:sz w:val="24"/>
                <w:szCs w:val="24"/>
              </w:rPr>
              <w:t xml:space="preserve">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63C791" w14:textId="4E8C2FD9"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EBED14" w14:textId="56C66CCE"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Higher prevalence of periodontitis is found in patients who are newly diagnosed with PCOS than those on medical treatment for PCOS and systemically healthy females.</w:t>
            </w:r>
            <w:r w:rsidRPr="004F1D48">
              <w:rPr>
                <w:rFonts w:ascii="Times New Roman" w:hAnsi="Times New Roman" w:cs="Times New Roman"/>
                <w:sz w:val="24"/>
                <w:szCs w:val="24"/>
                <w:vertAlign w:val="superscript"/>
                <w:lang w:val="en-GB"/>
              </w:rPr>
              <w:fldChar w:fldCharType="begin"/>
            </w:r>
            <w:r w:rsidR="003E32B7">
              <w:rPr>
                <w:rFonts w:ascii="Times New Roman" w:hAnsi="Times New Roman" w:cs="Times New Roman"/>
                <w:sz w:val="24"/>
                <w:szCs w:val="24"/>
                <w:vertAlign w:val="superscript"/>
                <w:lang w:val="en-GB"/>
              </w:rPr>
              <w:instrText xml:space="preserve"> ADDIN ZOTERO_ITEM CSL_CITATION {"citationID":"NPbeTWAz","properties":{"formattedCitation":"\\super [12]\\nosupersub{}","plainCitation":"[12]","noteIndex":0},"citationItems":[{"id":586,"uris":["http://zotero.org/users/local/VoUUWtMF/items/32UTII6U"],"itemData":{"id":586,"type":"article-journal","abstract":"BACKGROUND: Recently, some studies have revealed the effect of polycystic ovary syndrome (PCOS) on gingival inflammation. This cross-sectional study attempts to assess the periodontal status and systemic inflammation of women receiving medical treatment for PCOS and women newly diagnosed with PCOS.\nMETHODS: A total of 126 participants comprising 41 newly diagnosed patients with PCOS (PCOS-N), 45 patients with PCOS on medical treatment (PCOS-MT), and 40 systemically healthy controls (control group [CG]) were examined. Periodontal parameters, anthropometric parameters, and serum levels of high-sensitivity C-reactive protein (hsCRP) were recorded.\nRESULTS: Women with newly diagnosed PCOS had increased sites with bleeding on probing (BOP), probing depth, clinical attachment level (CAL), waist circumference (WC), hsCRP, and prevalence of periodontitis compared with control and PCOS-MT groups (P ≤0.05). On partial correlation analysis after controlling for confounders, BOP and CAL correlated positively and significantly with hsCRP (P = 0.01 and P = 0.005). Multivariate linear regression analysis revealed that BOP and CAL (dependent variable) (P = 0.009/R(2) = 0.05 and P = 0.005/R(2) = 0.07, respectively) had significant association with hsCRP. Furthermore, hsCRP, when considered as outcome, also exhibited association with CAL and WC (P = 0.002/R(2) = 0.07 and P = 0.04/R(2) = 0.106). Logistic regression analysis demonstrated that the PCOS-N group had 2.88 times increased likelihood of having moderate periodontitis (adjusted odds ratio 2.88, 95% confidence interval 1.18 to 6.98).\nCONCLUSIONS: Women with newly diagnosed PCOS may have increased prevalence and likelihood for periodontitis, with higher measures of periodontal inflammation and breakdown than those on medical treatment for PCOS and systemically healthy females. Furthermore, periodontal breakdown might depend on systemic inflammation and vice versa.","container-title":"Journal of Periodontology","DOI":"10.1902/jop.2014.130756","ISSN":"1943-3670","issue":"10","journalAbbreviation":"J Periodontol","language":"eng","note":"PMID: 24592911","page":"1380-1389","source":"PubMed","title":"Periodontal status and high-sensitivity C-reactive protein levels in polycystic ovary syndrome with and without medical treatment","volume":"85","author":[{"family":"Porwal","given":"Surya"},{"family":"Tewari","given":"Shikha"},{"family":"Sharma","given":"Rajinder K."},{"family":"Singhal","given":"Savita Rani"},{"family":"Narula","given":"Satish C."}],"issued":{"date-parts":[["2014",10]]}}}],"schema":"https://github.com/citation-style-language/schema/raw/master/csl-citation.json"}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[34</w:t>
            </w:r>
            <w:r w:rsidR="003E32B7" w:rsidRPr="003E32B7">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9BDCE2A"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E9CA7D" w14:textId="10DD59C2"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Rahiminejad</w:t>
            </w:r>
            <w:proofErr w:type="spellEnd"/>
            <w:r w:rsidRPr="00F8642D">
              <w:rPr>
                <w:rFonts w:ascii="Times New Roman" w:hAnsi="Times New Roman" w:cs="Times New Roman"/>
                <w:b/>
                <w:bCs/>
                <w:i/>
                <w:iCs/>
                <w:sz w:val="24"/>
                <w:szCs w:val="24"/>
              </w:rPr>
              <w:t xml:space="preserve"> et al 2015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9E095" w14:textId="16C91AA8"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F99B0C" w14:textId="27118BFA"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 xml:space="preserve">Higher prevalence of </w:t>
            </w:r>
            <w:r w:rsidRPr="00F8642D">
              <w:rPr>
                <w:rFonts w:ascii="Times New Roman" w:hAnsi="Times New Roman" w:cs="Times New Roman"/>
                <w:sz w:val="24"/>
                <w:szCs w:val="24"/>
                <w:lang w:val="en-GB"/>
              </w:rPr>
              <w:t>periodontal disease parameters in non-obese women with PCOS</w:t>
            </w:r>
            <w:r>
              <w:rPr>
                <w:rFonts w:ascii="Times New Roman" w:hAnsi="Times New Roman" w:cs="Times New Roman"/>
                <w:b/>
                <w:bCs/>
                <w:sz w:val="24"/>
                <w:szCs w:val="24"/>
                <w:lang w:val="en-GB"/>
              </w:rPr>
              <w:t xml:space="preserve"> </w:t>
            </w:r>
            <w:r w:rsidRPr="008064D2">
              <w:rPr>
                <w:rFonts w:ascii="Times New Roman" w:hAnsi="Times New Roman" w:cs="Times New Roman"/>
                <w:sz w:val="24"/>
                <w:szCs w:val="24"/>
                <w:lang w:val="en-GB"/>
              </w:rPr>
              <w:t>compared to systemically healthy controls</w:t>
            </w:r>
            <w:r>
              <w:rPr>
                <w:rFonts w:ascii="Times New Roman" w:hAnsi="Times New Roman" w:cs="Times New Roman"/>
                <w:sz w:val="24"/>
                <w:szCs w:val="24"/>
                <w:lang w:val="en-GB"/>
              </w:rPr>
              <w:t>.</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{"citationID":"LHOR3Hao","properties":{"formattedCitation":"\\super [43]\\nosupersub{}","plainCitation":"[43]","noteIndex":0},"citationItems":[{"id":607,"uris":["http://zotero.org/users/local/VoUUWtMF/items/CZUS9VP5"],"itemData":{"id":607,"type":"article-journal","abstract":"Background:\nPolycystic ovary syndrome (PCOS) is the most common endocrine disorder among women of reproductive age, affecting 4-18% of them. Previous studies also showed that periodontal diseases are associated with different components of the metabolic syndrome. The aim of this study is to determine the association between PCOS and periodontal diseases.\n\nMaterials and Methods:\nA total of 196 women (98 with PCOS and 98 healthy controls) were enrolled. PCOS diagnosis was confirmed by history, clinical signs, physical examination, laboratory parameters, and ultrasound studies. Both cases and controls were examined by the same periodontist. Periodontal parameters including bleeding on probing (BOP), probing depth, clinical attachment loss (CAL), plaque index, and tooth loss were investigated in all participants. Pregnant women, smokers, individuals with a history of malignancy or osteoporosis, and those taking prophylactic antibiotics for dental procedures or receiving periodontal treatment during the 6-month period before examination were excluded. Data were analyzed using t-test, Chi-square test, and linear regression. Statistical significance was set at P &lt; 0.05.\n\nResults:\nCAL and sites with BOP were significantly higher in women with PCOS (P &lt; 0.05). However, no significant difference was observed in the tooth loss rate between PCOS and non-PCOS participants (P = 0.384).\n\nConclusion:\nThe prevalence of periodontal disease seems to be higher in women with PCOS. This may be related to the role of chronic systemic inflammation in the pathophysiology of both PCOS and periodontal diseases.","container-title":"Dental Research Journal","ISSN":"1735-3327","issue":"6","journalAbbreviation":"Dent Res J (Isfahan)","note":"PMID: 26759585\nPMCID: PMC4696351","page":"507-512","source":"PubMed Central","title":"Comparison of prevalence of periodontal disease in women with polycystic ovary syndrome and healthy controls","volume":"12","author":[{"family":"Rahiminejad","given":"Mohammad Ehsan"},{"family":"Moaddab","given":"Amirhossein"},{"family":"Zaryoun","given":"Hassan"},{"family":"Rabiee","given":"Soghra"},{"family":"Moaddab","given":"Arta"},{"family":"Khodadoustan","given":"Amin"}],"issued":{"date-parts":[["2015"]]}}}],"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[35</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bl>
    <w:p w14:paraId="76B64F13" w14:textId="2169FE9C" w:rsidR="00C2692E" w:rsidRDefault="00C2692E" w:rsidP="006B6C4C">
      <w:pPr>
        <w:spacing w:line="360" w:lineRule="auto"/>
        <w:jc w:val="both"/>
        <w:rPr>
          <w:rFonts w:ascii="Times New Roman" w:hAnsi="Times New Roman" w:cs="Times New Roman"/>
          <w:b/>
          <w:bCs/>
          <w:sz w:val="24"/>
          <w:szCs w:val="24"/>
        </w:rPr>
      </w:pPr>
    </w:p>
    <w:p w14:paraId="55B72FC3" w14:textId="77777777" w:rsidR="00874836" w:rsidRDefault="00874836" w:rsidP="006B6C4C">
      <w:pPr>
        <w:spacing w:line="360" w:lineRule="auto"/>
        <w:jc w:val="both"/>
        <w:rPr>
          <w:rFonts w:ascii="Times New Roman" w:hAnsi="Times New Roman" w:cs="Times New Roman"/>
          <w:b/>
          <w:bCs/>
          <w:sz w:val="24"/>
          <w:szCs w:val="24"/>
        </w:rPr>
      </w:pPr>
    </w:p>
    <w:p w14:paraId="60847FFB" w14:textId="11D5E4CC" w:rsidR="00250D44" w:rsidRDefault="00132189"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ASSOCIATION</w:t>
      </w:r>
      <w:r w:rsidR="00977C5E" w:rsidRPr="006B6C4C">
        <w:rPr>
          <w:rFonts w:ascii="Times New Roman" w:hAnsi="Times New Roman" w:cs="Times New Roman"/>
          <w:b/>
          <w:bCs/>
          <w:sz w:val="24"/>
          <w:szCs w:val="24"/>
        </w:rPr>
        <w:t xml:space="preserve"> BETWEEN PCOS AND PERIODONTAL DISEASE</w:t>
      </w:r>
      <w:r w:rsidR="00F74E1D" w:rsidRPr="006B6C4C">
        <w:rPr>
          <w:rFonts w:ascii="Times New Roman" w:hAnsi="Times New Roman" w:cs="Times New Roman"/>
          <w:b/>
          <w:bCs/>
          <w:sz w:val="24"/>
          <w:szCs w:val="24"/>
        </w:rPr>
        <w:t xml:space="preserve">       </w:t>
      </w:r>
    </w:p>
    <w:p w14:paraId="1A88E3AF" w14:textId="080A149F" w:rsidR="00F03525" w:rsidRDefault="00F74E1D" w:rsidP="00F03525">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lastRenderedPageBreak/>
        <w:t xml:space="preserve">A substantial correlation between periodontal disease and PCOS has recently been suggested that </w:t>
      </w:r>
      <w:proofErr w:type="spellStart"/>
      <w:r w:rsidRPr="006B6C4C">
        <w:rPr>
          <w:rFonts w:ascii="Times New Roman" w:hAnsi="Times New Roman" w:cs="Times New Roman"/>
          <w:sz w:val="24"/>
          <w:szCs w:val="24"/>
        </w:rPr>
        <w:t>proinflammatory</w:t>
      </w:r>
      <w:proofErr w:type="spellEnd"/>
      <w:r w:rsidRPr="006B6C4C">
        <w:rPr>
          <w:rFonts w:ascii="Times New Roman" w:hAnsi="Times New Roman" w:cs="Times New Roman"/>
          <w:sz w:val="24"/>
          <w:szCs w:val="24"/>
        </w:rPr>
        <w:t xml:space="preserve"> cytokines linked to periodontal infection are stimulated and continuously secreted, which contributes to IR. It is possible that the pathognomonic condition of systemic inflammation and IR, which is present in both periodontal di</w:t>
      </w:r>
      <w:r w:rsidR="005634D7">
        <w:rPr>
          <w:rFonts w:ascii="Times New Roman" w:hAnsi="Times New Roman" w:cs="Times New Roman"/>
          <w:sz w:val="24"/>
          <w:szCs w:val="24"/>
        </w:rPr>
        <w:t>sease and PCOS, is the causative</w:t>
      </w:r>
      <w:r w:rsidRPr="006B6C4C">
        <w:rPr>
          <w:rFonts w:ascii="Times New Roman" w:hAnsi="Times New Roman" w:cs="Times New Roman"/>
          <w:sz w:val="24"/>
          <w:szCs w:val="24"/>
        </w:rPr>
        <w:t xml:space="preserve"> factor that connects these two </w:t>
      </w:r>
      <w:r w:rsidR="00E01B4F" w:rsidRPr="006B6C4C">
        <w:rPr>
          <w:rFonts w:ascii="Times New Roman" w:hAnsi="Times New Roman" w:cs="Times New Roman"/>
          <w:sz w:val="24"/>
          <w:szCs w:val="24"/>
        </w:rPr>
        <w:t xml:space="preserve">disorders. </w:t>
      </w:r>
      <w:r w:rsidRPr="006B6C4C">
        <w:rPr>
          <w:rFonts w:ascii="Times New Roman" w:hAnsi="Times New Roman" w:cs="Times New Roman"/>
          <w:sz w:val="24"/>
          <w:szCs w:val="24"/>
        </w:rPr>
        <w:t>Cross-sectional studies over the past ten years have revealed that PCOS patients may be more likely to develop periodontitis and have greater levels of OS in their local areas.</w:t>
      </w:r>
      <w:r w:rsidR="0050165C"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{"citationID":"jncdd4o8","properties":{"formattedCitation":"\\super [44]\\nosupersub{}","plainCitation":"[44]","noteIndex":0},"citationItems":[{"id":226,"uris":["http://zotero.org/users/local/VoUUWtMF/items/6VKT8M9S"],"itemData":{"id":226,"type":"article-journal","abstract":"AIM: We explored the association between obesity and periodontitis with the aim of determining the possible role of insulin resistance (IR) in this relationship.\nMATERIALS AND METHODS: A total of 212 subjects-110 obese and 102 lean individuals-were evaluated for periodontal disease and divided according to IR: a lean group without IR (LWIR), an obese group without IR (OWIR), and an obese group with IR (OIR). Anthropometric, metabolic, inflammatory and periodontal parameters were evaluated.\nRESULTS: Periodontitis was more prevalent in obese (80.9%) than in lean subjects (41.2%), with the former group showing a risk of periodontitis sixfold that of the latter. Obese subjects as a whole displayed higher diastolic blood pressure, TNFα and hsCRP and lower HDL cholesterol than lean subjects. OIR had higher systolic blood pressure, glucose, insulin, HOMA-IR, A1c, triglycerides and number of teeth with PD ≥ 4 mm than OWIR, while other periodontal variables remained unaltered. The multivariable regression model showed that probing depth, bleeding on probing and HOMA-IR were independent predictors of number of teeth with PD ≥ 4 mm.\nCONCLUSION: Our data support an association between obesity and periodontitis, and point to a central role of IR. Periodontitis tends to be more extensive in obese patients with IR.","container-title":"Journal of Clinical Periodontology","DOI":"10.1111/jcpe.12773","ISSN":"1600-051X","issue":"10","journalAbbreviation":"J Clin Periodontol","language":"eng","note":"PMID: 28696512","page":"981-988","source":"PubMed","title":"Involvement of insulin resistance in normoglycaemic obese patients with periodontitis: A cross-sectional study","title-short":"Involvement of insulin resistance in normoglycaemic obese patients with periodontitis","volume":"44","author":[{"family":"Martinez-Herrera","given":"Mayte"},{"family":"Silvestre","given":"Francisco Javier"},{"family":"Silvestre-Rangil","given":"Javier"},{"family":"Bañuls","given":"Celia"},{"family":"Rocha","given":"Milagros"},{"family":"Hernández-Mijares","given":"Antonio"}],"issued":{"date-parts":[["2017",10]]}}}],"schema":"https://github.com/citation-style-language/schema/raw/master/csl-citation.json"} </w:instrText>
      </w:r>
      <w:r w:rsidR="0050165C"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[36</w:t>
      </w:r>
      <w:r w:rsidR="008E5E6B" w:rsidRPr="008E5E6B">
        <w:rPr>
          <w:rFonts w:ascii="Times New Roman" w:hAnsi="Times New Roman" w:cs="Times New Roman"/>
          <w:kern w:val="0"/>
          <w:sz w:val="24"/>
          <w:szCs w:val="24"/>
          <w:vertAlign w:val="superscript"/>
        </w:rPr>
        <w:t>]</w:t>
      </w:r>
      <w:r w:rsidR="0050165C" w:rsidRPr="004F1D48">
        <w:rPr>
          <w:rFonts w:ascii="Times New Roman" w:hAnsi="Times New Roman" w:cs="Times New Roman"/>
          <w:sz w:val="24"/>
          <w:szCs w:val="24"/>
          <w:vertAlign w:val="superscript"/>
        </w:rPr>
        <w:fldChar w:fldCharType="end"/>
      </w:r>
      <w:r w:rsidR="00991C76" w:rsidRPr="006B6C4C">
        <w:rPr>
          <w:rFonts w:ascii="Times New Roman" w:hAnsi="Times New Roman" w:cs="Times New Roman"/>
          <w:sz w:val="24"/>
          <w:szCs w:val="24"/>
        </w:rPr>
        <w:t xml:space="preserve"> </w:t>
      </w:r>
    </w:p>
    <w:p w14:paraId="4D980F94" w14:textId="4DE9B9C7" w:rsidR="00F03525" w:rsidRDefault="00F03525" w:rsidP="00F03525">
      <w:pPr>
        <w:spacing w:line="360" w:lineRule="auto"/>
        <w:jc w:val="both"/>
        <w:rPr>
          <w:rFonts w:ascii="Times New Roman" w:hAnsi="Times New Roman" w:cs="Times New Roman"/>
          <w:b/>
          <w:bCs/>
          <w:sz w:val="24"/>
          <w:szCs w:val="24"/>
        </w:rPr>
      </w:pPr>
      <w:r w:rsidRPr="00F03525">
        <w:rPr>
          <w:rFonts w:ascii="Times New Roman" w:hAnsi="Times New Roman" w:cs="Times New Roman"/>
          <w:b/>
          <w:bCs/>
          <w:sz w:val="24"/>
          <w:szCs w:val="24"/>
        </w:rPr>
        <w:t>Figure 2: Pathogenic mechanisms linking polycystic ovary syndrome and periodontitis</w:t>
      </w:r>
    </w:p>
    <w:p w14:paraId="013B7ADB" w14:textId="77777777" w:rsidR="00F03525" w:rsidRPr="00F03525" w:rsidRDefault="00F03525" w:rsidP="00F03525">
      <w:pPr>
        <w:spacing w:line="360" w:lineRule="auto"/>
        <w:jc w:val="both"/>
        <w:rPr>
          <w:rFonts w:ascii="Times New Roman" w:hAnsi="Times New Roman" w:cs="Times New Roman"/>
          <w:sz w:val="24"/>
          <w:szCs w:val="24"/>
        </w:rPr>
      </w:pPr>
    </w:p>
    <w:p w14:paraId="04353673" w14:textId="77777777" w:rsidR="00250D44" w:rsidRDefault="00250D44" w:rsidP="00250D44">
      <w:pPr>
        <w:spacing w:line="360" w:lineRule="auto"/>
        <w:ind w:firstLine="720"/>
        <w:jc w:val="center"/>
        <w:rPr>
          <w:rFonts w:ascii="Times New Roman" w:hAnsi="Times New Roman" w:cs="Times New Roman"/>
          <w:sz w:val="24"/>
          <w:szCs w:val="24"/>
        </w:rPr>
      </w:pPr>
    </w:p>
    <w:p w14:paraId="7D674E14" w14:textId="37C029F9" w:rsidR="001B326F" w:rsidRDefault="00920148" w:rsidP="005B6E8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1B315505">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69" type="#_x0000_t38" style="position:absolute;left:0;text-align:left;margin-left:274.65pt;margin-top:20.6pt;width:161.7pt;height:18pt;z-index:251652608" o:connectortype="curved" adj="21727,-329040,-46306">
            <v:stroke endarrow="block"/>
          </v:shape>
        </w:pict>
      </w:r>
      <w:r>
        <w:rPr>
          <w:rFonts w:ascii="Times New Roman" w:hAnsi="Times New Roman" w:cs="Times New Roman"/>
          <w:noProof/>
          <w:sz w:val="24"/>
          <w:szCs w:val="24"/>
        </w:rPr>
        <w:pict w14:anchorId="1B315505">
          <v:shape id="_x0000_s1070" type="#_x0000_t38" style="position:absolute;left:0;text-align:left;margin-left:50.65pt;margin-top:20.6pt;width:141pt;height:32.4pt;rotation:180;flip:y;z-index:251653632" o:connectortype="curved" adj="21829,182800,-39064">
            <v:stroke endarrow="block"/>
          </v:shape>
        </w:pict>
      </w:r>
      <w:r>
        <w:rPr>
          <w:rFonts w:ascii="Times New Roman" w:hAnsi="Times New Roman" w:cs="Times New Roman"/>
          <w:noProof/>
          <w:sz w:val="24"/>
          <w:szCs w:val="24"/>
        </w:rPr>
        <w:pict w14:anchorId="572C92B0">
          <v:shapetype id="_x0000_t202" coordsize="21600,21600" o:spt="202" path="m,l,21600r21600,l21600,xe">
            <v:stroke joinstyle="miter"/>
            <v:path gradientshapeok="t" o:connecttype="rect"/>
          </v:shapetype>
          <v:shape id="_x0000_s1064" type="#_x0000_t202" style="position:absolute;left:0;text-align:left;margin-left:191.65pt;margin-top:7.7pt;width:83pt;height:30.9pt;z-index:251651584">
            <v:textbox>
              <w:txbxContent>
                <w:p w14:paraId="159A1916" w14:textId="28EEFF26" w:rsidR="00920148" w:rsidRPr="002D282A" w:rsidRDefault="00920148" w:rsidP="002D282A">
                  <w:pPr>
                    <w:jc w:val="center"/>
                    <w:rPr>
                      <w:rFonts w:ascii="Times New Roman" w:hAnsi="Times New Roman" w:cs="Times New Roman"/>
                      <w:b/>
                      <w:bCs/>
                      <w:sz w:val="24"/>
                      <w:szCs w:val="24"/>
                    </w:rPr>
                  </w:pPr>
                  <w:r w:rsidRPr="002D282A">
                    <w:rPr>
                      <w:rFonts w:ascii="Times New Roman" w:hAnsi="Times New Roman" w:cs="Times New Roman"/>
                      <w:b/>
                      <w:bCs/>
                      <w:sz w:val="24"/>
                      <w:szCs w:val="24"/>
                    </w:rPr>
                    <w:t>PCOS</w:t>
                  </w:r>
                </w:p>
              </w:txbxContent>
            </v:textbox>
          </v:shape>
        </w:pict>
      </w:r>
    </w:p>
    <w:p w14:paraId="7C4C3DBE" w14:textId="1032148C" w:rsidR="001B326F" w:rsidRDefault="00920148" w:rsidP="005B6E8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402D0E6">
          <v:shapetype id="_x0000_t32" coordsize="21600,21600" o:spt="32" o:oned="t" path="m,l21600,21600e" filled="f">
            <v:path arrowok="t" fillok="f" o:connecttype="none"/>
            <o:lock v:ext="edit" shapetype="t"/>
          </v:shapetype>
          <v:shape id="_x0000_s1073" type="#_x0000_t32" style="position:absolute;left:0;text-align:left;margin-left:240.55pt;margin-top:16.8pt;width:0;height:17.95pt;z-index:251654656" o:connectortype="straight">
            <v:stroke endarrow="block"/>
          </v:shape>
        </w:pict>
      </w:r>
    </w:p>
    <w:p w14:paraId="15F5C23D" w14:textId="0C7213CE" w:rsidR="005B6E8B" w:rsidRDefault="00920148" w:rsidP="005B6E8B">
      <w:pPr>
        <w:tabs>
          <w:tab w:val="left" w:pos="6432"/>
        </w:tabs>
        <w:spacing w:line="240" w:lineRule="auto"/>
        <w:jc w:val="both"/>
        <w:rPr>
          <w:rFonts w:ascii="Times New Roman" w:hAnsi="Times New Roman" w:cs="Times New Roman"/>
          <w:sz w:val="18"/>
          <w:szCs w:val="18"/>
        </w:rPr>
      </w:pPr>
      <w:r>
        <w:rPr>
          <w:noProof/>
        </w:rPr>
        <w:pict w14:anchorId="70394238">
          <v:shape id="_x0000_s1098" type="#_x0000_t202" style="position:absolute;left:0;text-align:left;margin-left:419.45pt;margin-top:5.25pt;width:45.25pt;height:18.45pt;z-index:251672064;visibility:visible;mso-wrap-distance-left:9pt;mso-wrap-distance-top:3.6pt;mso-wrap-distance-right:9pt;mso-wrap-distance-bottom:3.6pt;mso-position-horizontal-relative:text;mso-position-vertical-relative:text;mso-width-relative:margin;mso-height-relative:margin;v-text-anchor:top" stroked="f">
            <v:textbox>
              <w:txbxContent>
                <w:p w14:paraId="3A7931F5" w14:textId="376183AC" w:rsidR="00920148" w:rsidRPr="00D6165F" w:rsidRDefault="00920148" w:rsidP="00D6165F">
                  <w:pPr>
                    <w:spacing w:line="240" w:lineRule="auto"/>
                    <w:rPr>
                      <w:rFonts w:ascii="Times New Roman" w:hAnsi="Times New Roman" w:cs="Times New Roman"/>
                      <w:sz w:val="18"/>
                      <w:szCs w:val="18"/>
                    </w:rPr>
                  </w:pPr>
                  <w:r w:rsidRPr="00D6165F">
                    <w:rPr>
                      <w:rFonts w:ascii="Times New Roman" w:hAnsi="Times New Roman" w:cs="Times New Roman"/>
                      <w:sz w:val="18"/>
                      <w:szCs w:val="18"/>
                    </w:rPr>
                    <w:t xml:space="preserve">Obesity </w:t>
                  </w:r>
                </w:p>
              </w:txbxContent>
            </v:textbox>
            <w10:wrap type="square"/>
          </v:shape>
        </w:pict>
      </w:r>
      <w:r>
        <w:rPr>
          <w:noProof/>
        </w:rPr>
        <w:pict w14:anchorId="01D33103">
          <v:shape id="_x0000_s1090" type="#_x0000_t202" style="position:absolute;left:0;text-align:left;margin-left:206.75pt;margin-top:16.15pt;width:67.9pt;height:18.15pt;z-index:251665920;visibility:visible;mso-wrap-distance-left:9pt;mso-wrap-distance-top:3.6pt;mso-wrap-distance-right:9pt;mso-wrap-distance-bottom:3.6pt;mso-position-horizontal-relative:text;mso-position-vertical-relative:text;mso-width-relative:margin;mso-height-relative:margin;v-text-anchor:top" stroked="f">
            <v:textbox>
              <w:txbxContent>
                <w:p w14:paraId="71E03F8C" w14:textId="5ED61B87" w:rsidR="00920148" w:rsidRPr="00AE032C" w:rsidRDefault="00920148">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Androgens</w:t>
                  </w:r>
                </w:p>
              </w:txbxContent>
            </v:textbox>
            <w10:wrap type="square"/>
          </v:shape>
        </w:pict>
      </w:r>
      <w:r>
        <w:rPr>
          <w:noProof/>
        </w:rPr>
        <w:pict w14:anchorId="371F0D15">
          <v:shape id="Text Box 2" o:spid="_x0000_s1085" type="#_x0000_t202" style="position:absolute;left:0;text-align:left;margin-left:-24.65pt;margin-top:12.95pt;width:145.85pt;height:21.35pt;z-index:251661824;visibility:visible;mso-wrap-distance-left:9pt;mso-wrap-distance-top:3.6pt;mso-wrap-distance-right:9pt;mso-wrap-distance-bottom:3.6pt;mso-position-horizontal-relative:text;mso-position-vertical-relative:text;mso-width-relative:margin;mso-height-relative:margin;v-text-anchor:top" stroked="f">
            <v:textbox>
              <w:txbxContent>
                <w:p w14:paraId="63CC5E47" w14:textId="7DD0508C" w:rsidR="00920148" w:rsidRDefault="00920148" w:rsidP="002F3A6C">
                  <w:pPr>
                    <w:jc w:val="center"/>
                  </w:pPr>
                  <w:r w:rsidRPr="00731AE7">
                    <w:rPr>
                      <w:rFonts w:ascii="Times New Roman" w:hAnsi="Times New Roman" w:cs="Times New Roman"/>
                      <w:sz w:val="18"/>
                      <w:szCs w:val="18"/>
                    </w:rPr>
                    <w:t xml:space="preserve">Insulin Resistance / </w:t>
                  </w:r>
                  <w:r>
                    <w:rPr>
                      <w:rFonts w:ascii="Times New Roman" w:hAnsi="Times New Roman" w:cs="Times New Roman"/>
                      <w:sz w:val="18"/>
                      <w:szCs w:val="18"/>
                    </w:rPr>
                    <w:t>Type</w:t>
                  </w:r>
                  <w:r w:rsidRPr="00731AE7">
                    <w:rPr>
                      <w:rFonts w:ascii="Times New Roman" w:hAnsi="Times New Roman" w:cs="Times New Roman"/>
                      <w:sz w:val="18"/>
                      <w:szCs w:val="18"/>
                    </w:rPr>
                    <w:t xml:space="preserve"> – II </w:t>
                  </w:r>
                  <w:r>
                    <w:rPr>
                      <w:rFonts w:ascii="Times New Roman" w:hAnsi="Times New Roman" w:cs="Times New Roman"/>
                      <w:sz w:val="18"/>
                      <w:szCs w:val="18"/>
                    </w:rPr>
                    <w:t>D</w:t>
                  </w:r>
                  <w:r w:rsidRPr="00731AE7">
                    <w:rPr>
                      <w:rFonts w:ascii="Times New Roman" w:hAnsi="Times New Roman" w:cs="Times New Roman"/>
                      <w:sz w:val="18"/>
                      <w:szCs w:val="18"/>
                    </w:rPr>
                    <w:t>.M</w:t>
                  </w:r>
                </w:p>
              </w:txbxContent>
            </v:textbox>
            <w10:wrap type="square"/>
          </v:shape>
        </w:pict>
      </w:r>
    </w:p>
    <w:p w14:paraId="05B9548B" w14:textId="4F79B701" w:rsidR="001B326F" w:rsidRPr="00731AE7" w:rsidRDefault="00920148" w:rsidP="005B6E8B">
      <w:pPr>
        <w:tabs>
          <w:tab w:val="left" w:pos="6432"/>
        </w:tabs>
        <w:spacing w:line="240" w:lineRule="auto"/>
        <w:jc w:val="both"/>
        <w:rPr>
          <w:rFonts w:ascii="Times New Roman" w:hAnsi="Times New Roman" w:cs="Times New Roman"/>
          <w:sz w:val="18"/>
          <w:szCs w:val="18"/>
        </w:rPr>
      </w:pPr>
      <w:r>
        <w:rPr>
          <w:rFonts w:ascii="Times New Roman" w:hAnsi="Times New Roman" w:cs="Times New Roman"/>
          <w:noProof/>
          <w:sz w:val="24"/>
          <w:szCs w:val="24"/>
        </w:rPr>
        <w:pict w14:anchorId="5402D0E6">
          <v:shape id="_x0000_s1077" type="#_x0000_t32" style="position:absolute;left:0;text-align:left;margin-left:110.05pt;margin-top:19.2pt;width:0;height:17.95pt;z-index:251658752" o:connectortype="straight">
            <v:stroke endarrow="block"/>
          </v:shape>
        </w:pict>
      </w:r>
      <w:r>
        <w:rPr>
          <w:noProof/>
        </w:rPr>
        <w:pict w14:anchorId="5402D0E6">
          <v:shape id="_x0000_s1099" type="#_x0000_t32" style="position:absolute;left:0;text-align:left;margin-left:305.85pt;margin-top:5.35pt;width:0;height:17.95pt;z-index:251673088" o:connectortype="straight">
            <v:stroke endarrow="block"/>
          </v:shape>
        </w:pict>
      </w:r>
      <w:r>
        <w:rPr>
          <w:rFonts w:ascii="Times New Roman" w:hAnsi="Times New Roman" w:cs="Times New Roman"/>
          <w:noProof/>
          <w:sz w:val="18"/>
          <w:szCs w:val="18"/>
        </w:rPr>
        <w:pict w14:anchorId="5402D0E6">
          <v:shape id="_x0000_s1078" type="#_x0000_t32" style="position:absolute;left:0;text-align:left;margin-left:-36.9pt;margin-top:10.65pt;width:.05pt;height:17.85pt;z-index:251659776" o:connectortype="straight">
            <v:stroke endarrow="block"/>
          </v:shape>
        </w:pict>
      </w:r>
      <w:r>
        <w:rPr>
          <w:rFonts w:ascii="Times New Roman" w:hAnsi="Times New Roman" w:cs="Times New Roman"/>
          <w:noProof/>
          <w:sz w:val="24"/>
          <w:szCs w:val="24"/>
        </w:rPr>
        <w:pict w14:anchorId="5402D0E6">
          <v:shape id="_x0000_s1074" type="#_x0000_t32" style="position:absolute;left:0;text-align:left;margin-left:-125.7pt;margin-top:15.95pt;width:0;height:17.95pt;z-index:251655680" o:connectortype="straight">
            <v:stroke endarrow="block"/>
          </v:shape>
        </w:pict>
      </w:r>
      <w:r w:rsidR="00731AE7">
        <w:rPr>
          <w:rFonts w:ascii="Times New Roman" w:hAnsi="Times New Roman" w:cs="Times New Roman"/>
          <w:sz w:val="18"/>
          <w:szCs w:val="18"/>
        </w:rPr>
        <w:t xml:space="preserve">                          </w:t>
      </w:r>
      <w:r w:rsidR="00384BC4">
        <w:rPr>
          <w:rFonts w:ascii="Times New Roman" w:hAnsi="Times New Roman" w:cs="Times New Roman"/>
          <w:sz w:val="18"/>
          <w:szCs w:val="18"/>
        </w:rPr>
        <w:t xml:space="preserve">     </w:t>
      </w:r>
      <w:r w:rsidR="00731AE7">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r w:rsidR="00731AE7">
        <w:rPr>
          <w:rFonts w:ascii="Times New Roman" w:hAnsi="Times New Roman" w:cs="Times New Roman"/>
          <w:sz w:val="24"/>
          <w:szCs w:val="24"/>
        </w:rPr>
        <w:tab/>
        <w:t xml:space="preserve">            </w:t>
      </w:r>
    </w:p>
    <w:p w14:paraId="27285602" w14:textId="62666F5D" w:rsidR="005B6E8B" w:rsidRDefault="00920148" w:rsidP="005B6E8B">
      <w:pPr>
        <w:spacing w:line="240" w:lineRule="auto"/>
        <w:jc w:val="both"/>
        <w:rPr>
          <w:rFonts w:ascii="Times New Roman" w:hAnsi="Times New Roman" w:cs="Times New Roman"/>
          <w:sz w:val="24"/>
          <w:szCs w:val="24"/>
        </w:rPr>
      </w:pPr>
      <w:r>
        <w:rPr>
          <w:noProof/>
        </w:rPr>
        <w:pict w14:anchorId="258682CA">
          <v:shape id="_x0000_s1100" type="#_x0000_t202" style="position:absolute;left:0;text-align:left;margin-left:235.5pt;margin-top:7.6pt;width:131.95pt;height:39.35pt;z-index:2516741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100">
              <w:txbxContent>
                <w:p w14:paraId="3D03B6FC" w14:textId="5E90DF09" w:rsidR="00920148" w:rsidRPr="00D6165F" w:rsidRDefault="00920148">
                  <w:pPr>
                    <w:rPr>
                      <w:rFonts w:ascii="Times New Roman" w:hAnsi="Times New Roman" w:cs="Times New Roman"/>
                      <w:sz w:val="18"/>
                      <w:szCs w:val="18"/>
                    </w:rPr>
                  </w:pPr>
                  <w:r w:rsidRPr="00D6165F">
                    <w:rPr>
                      <w:rFonts w:ascii="Times New Roman" w:hAnsi="Times New Roman" w:cs="Times New Roman"/>
                      <w:sz w:val="18"/>
                      <w:szCs w:val="18"/>
                    </w:rPr>
                    <w:t xml:space="preserve">Macrophage infiltration, </w:t>
                  </w:r>
                  <w:r w:rsidRPr="00D6165F">
                    <w:rPr>
                      <w:rFonts w:ascii="Times New Roman" w:hAnsi="Times New Roman" w:cs="Times New Roman"/>
                      <w:sz w:val="18"/>
                      <w:szCs w:val="18"/>
                    </w:rPr>
                    <w:sym w:font="Wingdings" w:char="F0E1"/>
                  </w:r>
                  <w:r w:rsidRPr="00D6165F">
                    <w:rPr>
                      <w:rFonts w:ascii="Times New Roman" w:hAnsi="Times New Roman" w:cs="Times New Roman"/>
                      <w:sz w:val="18"/>
                      <w:szCs w:val="18"/>
                    </w:rPr>
                    <w:t>Pro- inflammatory Cytokines</w:t>
                  </w:r>
                  <w:r>
                    <w:rPr>
                      <w:rFonts w:ascii="Times New Roman" w:hAnsi="Times New Roman" w:cs="Times New Roman"/>
                      <w:sz w:val="18"/>
                      <w:szCs w:val="18"/>
                    </w:rPr>
                    <w:t xml:space="preserve"> </w:t>
                  </w:r>
                  <w:r w:rsidRPr="00D6165F">
                    <w:rPr>
                      <w:rFonts w:ascii="Times New Roman" w:hAnsi="Times New Roman" w:cs="Times New Roman"/>
                      <w:sz w:val="18"/>
                      <w:szCs w:val="18"/>
                    </w:rPr>
                    <w:t>(TNF-α</w:t>
                  </w:r>
                  <w:proofErr w:type="gramStart"/>
                  <w:r w:rsidRPr="00D6165F">
                    <w:rPr>
                      <w:rFonts w:ascii="Times New Roman" w:hAnsi="Times New Roman" w:cs="Times New Roman"/>
                      <w:sz w:val="18"/>
                      <w:szCs w:val="18"/>
                    </w:rPr>
                    <w:t>,IL</w:t>
                  </w:r>
                  <w:proofErr w:type="gramEnd"/>
                  <w:r w:rsidRPr="00D6165F">
                    <w:rPr>
                      <w:rFonts w:ascii="Times New Roman" w:hAnsi="Times New Roman" w:cs="Times New Roman"/>
                      <w:sz w:val="18"/>
                      <w:szCs w:val="18"/>
                    </w:rPr>
                    <w:t>-6)</w:t>
                  </w:r>
                </w:p>
              </w:txbxContent>
            </v:textbox>
            <w10:wrap type="square"/>
          </v:shape>
        </w:pict>
      </w:r>
      <w:r>
        <w:rPr>
          <w:rFonts w:ascii="Times New Roman" w:hAnsi="Times New Roman" w:cs="Times New Roman"/>
          <w:noProof/>
          <w:sz w:val="24"/>
          <w:szCs w:val="24"/>
        </w:rPr>
        <w:pict w14:anchorId="288329A9">
          <v:shape id="_x0000_s1106" type="#_x0000_t38" style="position:absolute;left:0;text-align:left;margin-left:53.85pt;margin-top:31.4pt;width:25.6pt;height:14.45pt;rotation:180;flip:y;z-index:251680256" o:connectortype="curved" adj="19068,543737,-238359">
            <v:stroke endarrow="block"/>
          </v:shape>
        </w:pict>
      </w:r>
      <w:r>
        <w:rPr>
          <w:rFonts w:ascii="Times New Roman" w:hAnsi="Times New Roman" w:cs="Times New Roman"/>
          <w:b/>
          <w:bCs/>
          <w:noProof/>
          <w:sz w:val="24"/>
          <w:szCs w:val="24"/>
        </w:rPr>
        <w:pict w14:anchorId="7139933A">
          <v:shape id="_x0000_s1105" type="#_x0000_t38" style="position:absolute;left:0;text-align:left;margin-left:135.55pt;margin-top:31.4pt;width:32.7pt;height:11.95pt;z-index:251679232" o:connectortype="curved" adj="21600,-660291,-226272">
            <v:stroke endarrow="block"/>
          </v:shape>
        </w:pict>
      </w:r>
      <w:r>
        <w:rPr>
          <w:noProof/>
        </w:rPr>
        <w:pict w14:anchorId="489275DA">
          <v:shape id="_x0000_s1091" type="#_x0000_t202" style="position:absolute;left:0;text-align:left;margin-left:83.95pt;margin-top:23.1pt;width:60.2pt;height:21.2pt;z-index:251666944;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1">
              <w:txbxContent>
                <w:p w14:paraId="2EF891F9" w14:textId="454F4713" w:rsidR="00920148" w:rsidRPr="00AE032C" w:rsidRDefault="00920148">
                  <w:pPr>
                    <w:rPr>
                      <w:rFonts w:ascii="Times New Roman" w:hAnsi="Times New Roman" w:cs="Times New Roman"/>
                      <w:sz w:val="18"/>
                      <w:szCs w:val="18"/>
                    </w:rPr>
                  </w:pPr>
                  <w:r w:rsidRPr="00AE032C">
                    <w:rPr>
                      <w:rFonts w:ascii="Times New Roman" w:hAnsi="Times New Roman" w:cs="Times New Roman"/>
                      <w:sz w:val="18"/>
                      <w:szCs w:val="18"/>
                    </w:rPr>
                    <w:sym w:font="Wingdings" w:char="F0E1"/>
                  </w:r>
                  <w:proofErr w:type="spellStart"/>
                  <w:r w:rsidRPr="00AE032C">
                    <w:rPr>
                      <w:rFonts w:ascii="Times New Roman" w:hAnsi="Times New Roman" w:cs="Times New Roman"/>
                      <w:sz w:val="18"/>
                      <w:szCs w:val="18"/>
                    </w:rPr>
                    <w:t>Estrogens</w:t>
                  </w:r>
                  <w:proofErr w:type="spellEnd"/>
                </w:p>
              </w:txbxContent>
            </v:textbox>
            <w10:wrap type="square"/>
          </v:shape>
        </w:pict>
      </w:r>
      <w:r>
        <w:rPr>
          <w:noProof/>
        </w:rPr>
        <w:pict w14:anchorId="1081AAE8">
          <v:shape id="_x0000_s1089" type="#_x0000_t202" style="position:absolute;left:0;text-align:left;margin-left:-71.7pt;margin-top:15.55pt;width:67.2pt;height:20.95pt;z-index:25166489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89">
              <w:txbxContent>
                <w:p w14:paraId="345F2D58" w14:textId="470CBD76" w:rsidR="00920148" w:rsidRPr="00533E72" w:rsidRDefault="00920148">
                  <w:pPr>
                    <w:rPr>
                      <w:rFonts w:ascii="Times New Roman" w:hAnsi="Times New Roman" w:cs="Times New Roman"/>
                      <w:sz w:val="18"/>
                      <w:szCs w:val="18"/>
                    </w:rPr>
                  </w:pPr>
                  <w:r w:rsidRPr="00533E72">
                    <w:rPr>
                      <w:rFonts w:ascii="Times New Roman" w:hAnsi="Times New Roman" w:cs="Times New Roman"/>
                      <w:sz w:val="18"/>
                      <w:szCs w:val="18"/>
                    </w:rPr>
                    <w:t>AGE products</w:t>
                  </w:r>
                </w:p>
              </w:txbxContent>
            </v:textbox>
            <w10:wrap type="square"/>
          </v:shape>
        </w:pict>
      </w:r>
      <w:r>
        <w:rPr>
          <w:noProof/>
        </w:rPr>
        <w:pict w14:anchorId="194852F3">
          <v:shape id="_x0000_s1086" type="#_x0000_t202" style="position:absolute;left:0;text-align:left;margin-left:-167.1pt;margin-top:23.6pt;width:102pt;height:61.9pt;z-index:25166284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86">
              <w:txbxContent>
                <w:p w14:paraId="082B8675" w14:textId="77777777" w:rsidR="00920148" w:rsidRDefault="00920148" w:rsidP="002F3A6C">
                  <w:pPr>
                    <w:spacing w:line="240" w:lineRule="auto"/>
                    <w:jc w:val="center"/>
                    <w:rPr>
                      <w:rFonts w:ascii="Times New Roman" w:hAnsi="Times New Roman" w:cs="Times New Roman"/>
                      <w:sz w:val="18"/>
                      <w:szCs w:val="18"/>
                    </w:rPr>
                  </w:pPr>
                  <w:r w:rsidRPr="005B6E8B">
                    <w:rPr>
                      <w:rFonts w:ascii="Times New Roman" w:hAnsi="Times New Roman" w:cs="Times New Roman"/>
                      <w:sz w:val="18"/>
                      <w:szCs w:val="18"/>
                    </w:rPr>
                    <w:sym w:font="Wingdings" w:char="F0E1"/>
                  </w:r>
                  <w:r>
                    <w:rPr>
                      <w:rFonts w:ascii="Times New Roman" w:hAnsi="Times New Roman" w:cs="Times New Roman"/>
                      <w:sz w:val="18"/>
                      <w:szCs w:val="18"/>
                    </w:rPr>
                    <w:t xml:space="preserve"> </w:t>
                  </w:r>
                  <w:r w:rsidRPr="005B6E8B">
                    <w:rPr>
                      <w:rFonts w:ascii="Times New Roman" w:hAnsi="Times New Roman" w:cs="Times New Roman"/>
                      <w:sz w:val="18"/>
                      <w:szCs w:val="18"/>
                    </w:rPr>
                    <w:t>ROS</w:t>
                  </w:r>
                  <w:r>
                    <w:rPr>
                      <w:rFonts w:ascii="Times New Roman" w:hAnsi="Times New Roman" w:cs="Times New Roman"/>
                      <w:sz w:val="18"/>
                      <w:szCs w:val="18"/>
                    </w:rPr>
                    <w:t>,</w:t>
                  </w:r>
                </w:p>
                <w:p w14:paraId="6D7161C4" w14:textId="62904377" w:rsidR="00920148" w:rsidRPr="0040711D" w:rsidRDefault="00920148" w:rsidP="002F3A6C">
                  <w:pPr>
                    <w:spacing w:line="240" w:lineRule="auto"/>
                    <w:jc w:val="center"/>
                    <w:rPr>
                      <w:rFonts w:ascii="Times New Roman" w:hAnsi="Times New Roman" w:cs="Times New Roman"/>
                      <w:sz w:val="18"/>
                      <w:szCs w:val="18"/>
                    </w:rPr>
                  </w:pPr>
                  <w:r>
                    <w:rPr>
                      <w:rFonts w:ascii="Times New Roman" w:hAnsi="Times New Roman" w:cs="Times New Roman"/>
                      <w:sz w:val="18"/>
                      <w:szCs w:val="18"/>
                    </w:rPr>
                    <w:sym w:font="Wingdings" w:char="F0E1"/>
                  </w:r>
                  <w:r>
                    <w:rPr>
                      <w:rFonts w:ascii="Times New Roman" w:hAnsi="Times New Roman" w:cs="Times New Roman"/>
                      <w:sz w:val="18"/>
                      <w:szCs w:val="18"/>
                    </w:rPr>
                    <w:t>Pro – Inflammatory Cytokines (TNF – α, IL– 6)</w:t>
                  </w:r>
                </w:p>
              </w:txbxContent>
            </v:textbox>
            <w10:wrap type="square"/>
          </v:shape>
        </w:pict>
      </w:r>
      <w:r w:rsidR="00731AE7">
        <w:rPr>
          <w:rFonts w:ascii="Times New Roman" w:hAnsi="Times New Roman" w:cs="Times New Roman"/>
          <w:sz w:val="24"/>
          <w:szCs w:val="24"/>
        </w:rPr>
        <w:t xml:space="preserve"> </w:t>
      </w:r>
    </w:p>
    <w:p w14:paraId="09C82C9B" w14:textId="4BC1E85E" w:rsidR="005B6E8B" w:rsidRDefault="00920148" w:rsidP="005B6E8B">
      <w:pPr>
        <w:spacing w:line="240" w:lineRule="auto"/>
        <w:jc w:val="both"/>
        <w:rPr>
          <w:rFonts w:ascii="Times New Roman" w:hAnsi="Times New Roman" w:cs="Times New Roman"/>
          <w:sz w:val="24"/>
          <w:szCs w:val="24"/>
        </w:rPr>
      </w:pPr>
      <w:r>
        <w:rPr>
          <w:noProof/>
        </w:rPr>
        <w:pict w14:anchorId="5402D0E6">
          <v:shape id="_x0000_s1101" type="#_x0000_t32" style="position:absolute;left:0;text-align:left;margin-left:361.95pt;margin-top:24.8pt;width:0;height:17.95pt;z-index:251675136" o:connectortype="straight">
            <v:stroke endarrow="block"/>
          </v:shape>
        </w:pict>
      </w:r>
      <w:r>
        <w:rPr>
          <w:rFonts w:ascii="Times New Roman" w:hAnsi="Times New Roman" w:cs="Times New Roman"/>
          <w:noProof/>
          <w:sz w:val="24"/>
          <w:szCs w:val="24"/>
        </w:rPr>
        <w:pict w14:anchorId="5402D0E6">
          <v:shape id="_x0000_s1103" type="#_x0000_t32" style="position:absolute;left:0;text-align:left;margin-left:19.2pt;margin-top:32.15pt;width:0;height:17.95pt;z-index:251677184" o:connectortype="straight">
            <v:stroke endarrow="block"/>
          </v:shape>
        </w:pict>
      </w:r>
      <w:r>
        <w:rPr>
          <w:rFonts w:ascii="Times New Roman" w:hAnsi="Times New Roman" w:cs="Times New Roman"/>
          <w:noProof/>
          <w:sz w:val="24"/>
          <w:szCs w:val="24"/>
        </w:rPr>
        <w:pict w14:anchorId="276EC5A2">
          <v:shape id="_x0000_s1097" type="#_x0000_t38" style="position:absolute;left:0;text-align:left;margin-left:-186.65pt;margin-top:8.4pt;width:18.6pt;height:15.55pt;rotation:180;flip:y;z-index:251671040" o:connectortype="curved" adj="23458,508468,-323710">
            <v:stroke endarrow="block"/>
          </v:shape>
        </w:pict>
      </w:r>
      <w:r>
        <w:rPr>
          <w:rFonts w:ascii="Times New Roman" w:hAnsi="Times New Roman" w:cs="Times New Roman"/>
          <w:noProof/>
          <w:sz w:val="24"/>
          <w:szCs w:val="24"/>
        </w:rPr>
        <w:pict w14:anchorId="5402D0E6">
          <v:shape id="_x0000_s1075" type="#_x0000_t32" style="position:absolute;left:0;text-align:left;margin-left:-300.25pt;margin-top:20.35pt;width:0;height:17.95pt;z-index:251656704" o:connectortype="straight">
            <v:stroke endarrow="block"/>
          </v:shape>
        </w:pict>
      </w:r>
      <w:r w:rsidR="005B6E8B" w:rsidRPr="005B6E8B">
        <w:rPr>
          <w:rFonts w:ascii="Times New Roman" w:hAnsi="Times New Roman" w:cs="Times New Roman"/>
          <w:sz w:val="18"/>
          <w:szCs w:val="18"/>
        </w:rPr>
        <w:t xml:space="preserve">          </w:t>
      </w:r>
      <w:r w:rsidR="005B6E8B">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p>
    <w:p w14:paraId="1E8670DC" w14:textId="439E9028" w:rsidR="005B6E8B" w:rsidRDefault="00920148" w:rsidP="00384BC4">
      <w:pPr>
        <w:spacing w:line="240" w:lineRule="auto"/>
        <w:rPr>
          <w:rFonts w:ascii="Times New Roman" w:hAnsi="Times New Roman" w:cs="Times New Roman"/>
          <w:sz w:val="18"/>
          <w:szCs w:val="18"/>
        </w:rPr>
      </w:pPr>
      <w:bookmarkStart w:id="8" w:name="_Hlk172194760"/>
      <w:r>
        <w:rPr>
          <w:noProof/>
        </w:rPr>
        <w:pict w14:anchorId="258682CA">
          <v:shape id="_x0000_s1102" type="#_x0000_t202" style="position:absolute;margin-left:325.4pt;margin-top:36.15pt;width:89.45pt;height:33.35pt;z-index:251676160;visibility:visible;mso-wrap-distance-left:9pt;mso-wrap-distance-top:3.6pt;mso-wrap-distance-right:9pt;mso-wrap-distance-bottom:3.6pt;mso-position-horizontal-relative:text;mso-position-vertical-relative:text;mso-width-relative:margin;mso-height-relative:margin;v-text-anchor:top" stroked="f">
            <v:textbox style="mso-next-textbox:#_x0000_s1102">
              <w:txbxContent>
                <w:p w14:paraId="279F207B" w14:textId="3202B755" w:rsidR="00920148" w:rsidRPr="00D6165F" w:rsidRDefault="00920148" w:rsidP="00D6165F">
                  <w:pPr>
                    <w:rPr>
                      <w:rFonts w:ascii="Times New Roman" w:hAnsi="Times New Roman" w:cs="Times New Roman"/>
                      <w:sz w:val="18"/>
                      <w:szCs w:val="18"/>
                    </w:rPr>
                  </w:pPr>
                  <w:r>
                    <w:rPr>
                      <w:rFonts w:ascii="Times New Roman" w:hAnsi="Times New Roman" w:cs="Times New Roman"/>
                      <w:sz w:val="18"/>
                      <w:szCs w:val="18"/>
                    </w:rPr>
                    <w:t>Low grade Systemic inflammation</w:t>
                  </w:r>
                </w:p>
              </w:txbxContent>
            </v:textbox>
            <w10:wrap type="square"/>
          </v:shape>
        </w:pict>
      </w:r>
      <w:r>
        <w:rPr>
          <w:noProof/>
        </w:rPr>
        <w:pict w14:anchorId="1EB929E6">
          <v:shape id="_x0000_s1119" type="#_x0000_t38" style="position:absolute;margin-left:160.2pt;margin-top:28.4pt;width:73pt;height:53.45pt;rotation:90;z-index:251686400" o:connectortype="curved" adj="18389,-170638,-109420"/>
        </w:pict>
      </w:r>
      <w:r>
        <w:rPr>
          <w:rFonts w:ascii="Times New Roman" w:hAnsi="Times New Roman" w:cs="Times New Roman"/>
          <w:b/>
          <w:bCs/>
          <w:noProof/>
          <w:sz w:val="24"/>
          <w:szCs w:val="24"/>
        </w:rPr>
        <w:pict w14:anchorId="63D573C9">
          <v:shape id="_x0000_s1118" type="#_x0000_t38" style="position:absolute;margin-left:101.55pt;margin-top:28.7pt;width:78.5pt;height:58.35pt;rotation:90;flip:x;z-index:251685376" o:connectortype="curved" adj="17568,156308,-70991">
            <v:stroke endarrow="block"/>
          </v:shape>
        </w:pict>
      </w:r>
      <w:r>
        <w:rPr>
          <w:noProof/>
        </w:rPr>
        <w:pict w14:anchorId="09771B52">
          <v:shape id="_x0000_s1095" type="#_x0000_t202" style="position:absolute;margin-left:173.75pt;margin-top:2.15pt;width:124.35pt;height:41.4pt;z-index:25167001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5">
              <w:txbxContent>
                <w:p w14:paraId="26CDC372" w14:textId="4152A332" w:rsidR="00920148" w:rsidRPr="00FA49C1" w:rsidRDefault="00920148" w:rsidP="00A3247D">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A</w:t>
                  </w:r>
                  <w:r>
                    <w:rPr>
                      <w:rFonts w:ascii="Times New Roman" w:hAnsi="Times New Roman" w:cs="Times New Roman"/>
                      <w:sz w:val="18"/>
                      <w:szCs w:val="18"/>
                    </w:rPr>
                    <w:t>cts on gingival cells by changing the effectiveness of epithelium</w:t>
                  </w:r>
                </w:p>
              </w:txbxContent>
            </v:textbox>
            <w10:wrap type="square"/>
          </v:shape>
        </w:pict>
      </w:r>
      <w:r>
        <w:rPr>
          <w:noProof/>
        </w:rPr>
        <w:pict w14:anchorId="09771B52">
          <v:shape id="_x0000_s1092" type="#_x0000_t202" style="position:absolute;margin-left:74.5pt;margin-top:2.15pt;width:81.35pt;height:44.75pt;z-index:25166796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2">
              <w:txbxContent>
                <w:p w14:paraId="665C990B" w14:textId="67E75E1E" w:rsidR="00920148" w:rsidRPr="00FA49C1" w:rsidRDefault="00920148" w:rsidP="00A3247D">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 xml:space="preserve">Affects local </w:t>
                  </w:r>
                  <w:proofErr w:type="spellStart"/>
                  <w:r w:rsidRPr="00FA49C1">
                    <w:rPr>
                      <w:rFonts w:ascii="Times New Roman" w:hAnsi="Times New Roman" w:cs="Times New Roman"/>
                      <w:sz w:val="18"/>
                      <w:szCs w:val="18"/>
                    </w:rPr>
                    <w:t>microbiota</w:t>
                  </w:r>
                  <w:proofErr w:type="spellEnd"/>
                  <w:r w:rsidRPr="00FA49C1">
                    <w:rPr>
                      <w:rFonts w:ascii="Times New Roman" w:hAnsi="Times New Roman" w:cs="Times New Roman"/>
                      <w:sz w:val="18"/>
                      <w:szCs w:val="18"/>
                    </w:rPr>
                    <w:t xml:space="preserve"> </w:t>
                  </w:r>
                  <w:proofErr w:type="spellStart"/>
                  <w:r w:rsidRPr="00FA49C1">
                    <w:rPr>
                      <w:rFonts w:ascii="Times New Roman" w:hAnsi="Times New Roman" w:cs="Times New Roman"/>
                      <w:sz w:val="18"/>
                      <w:szCs w:val="18"/>
                    </w:rPr>
                    <w:t>subgingivally</w:t>
                  </w:r>
                  <w:proofErr w:type="spellEnd"/>
                </w:p>
              </w:txbxContent>
            </v:textbox>
            <w10:wrap type="square"/>
          </v:shape>
        </w:pict>
      </w:r>
      <w:r w:rsidR="005B6E8B">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p>
    <w:bookmarkEnd w:id="8"/>
    <w:p w14:paraId="73BE8187" w14:textId="6604EB65" w:rsidR="00205547" w:rsidRDefault="00920148" w:rsidP="00384BC4">
      <w:pPr>
        <w:spacing w:line="240" w:lineRule="auto"/>
        <w:rPr>
          <w:rFonts w:ascii="Times New Roman" w:hAnsi="Times New Roman" w:cs="Times New Roman"/>
          <w:sz w:val="18"/>
          <w:szCs w:val="18"/>
        </w:rPr>
      </w:pPr>
      <w:r>
        <w:rPr>
          <w:rFonts w:ascii="Times New Roman" w:hAnsi="Times New Roman" w:cs="Times New Roman"/>
          <w:b/>
          <w:bCs/>
          <w:noProof/>
          <w:sz w:val="24"/>
          <w:szCs w:val="24"/>
        </w:rPr>
        <w:pict w14:anchorId="5402D0E6">
          <v:shape id="_x0000_s1104" type="#_x0000_t32" style="position:absolute;margin-left:9.25pt;margin-top:11.35pt;width:0;height:17.95pt;z-index:251678208" o:connectortype="straight">
            <v:stroke endarrow="block"/>
          </v:shape>
        </w:pict>
      </w:r>
      <w:r>
        <w:rPr>
          <w:noProof/>
        </w:rPr>
        <w:pict w14:anchorId="09771B52">
          <v:shape id="_x0000_s1093" type="#_x0000_t202" style="position:absolute;margin-left:-19.5pt;margin-top:7.2pt;width:83pt;height:33.15pt;z-index:25166899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3">
              <w:txbxContent>
                <w:p w14:paraId="38BB5B37" w14:textId="3DE00DC3" w:rsidR="00920148" w:rsidRPr="00FA49C1" w:rsidRDefault="00920148" w:rsidP="00FA49C1">
                  <w:pPr>
                    <w:spacing w:line="240" w:lineRule="auto"/>
                    <w:rPr>
                      <w:rFonts w:ascii="Times New Roman" w:hAnsi="Times New Roman" w:cs="Times New Roman"/>
                      <w:sz w:val="18"/>
                      <w:szCs w:val="18"/>
                    </w:rPr>
                  </w:pPr>
                  <w:r>
                    <w:rPr>
                      <w:rFonts w:ascii="Times New Roman" w:hAnsi="Times New Roman" w:cs="Times New Roman"/>
                      <w:sz w:val="18"/>
                      <w:szCs w:val="18"/>
                    </w:rPr>
                    <w:t>Oxidative Stress in Gingival Tissue</w:t>
                  </w:r>
                </w:p>
              </w:txbxContent>
            </v:textbox>
            <w10:wrap type="square"/>
          </v:shape>
        </w:pict>
      </w:r>
      <w:r w:rsidR="007F7DAC">
        <w:rPr>
          <w:rFonts w:ascii="Times New Roman" w:hAnsi="Times New Roman" w:cs="Times New Roman"/>
          <w:sz w:val="18"/>
          <w:szCs w:val="18"/>
        </w:rPr>
        <w:t xml:space="preserve">     </w:t>
      </w:r>
    </w:p>
    <w:p w14:paraId="70731644" w14:textId="4E4D795A" w:rsidR="00384BC4" w:rsidRDefault="00920148" w:rsidP="00384BC4">
      <w:pPr>
        <w:spacing w:line="240" w:lineRule="auto"/>
        <w:jc w:val="both"/>
        <w:rPr>
          <w:rFonts w:ascii="Times New Roman" w:hAnsi="Times New Roman" w:cs="Times New Roman"/>
          <w:sz w:val="18"/>
          <w:szCs w:val="18"/>
        </w:rPr>
      </w:pPr>
      <w:r>
        <w:rPr>
          <w:rFonts w:ascii="Times New Roman" w:hAnsi="Times New Roman" w:cs="Times New Roman"/>
          <w:noProof/>
          <w:sz w:val="24"/>
          <w:szCs w:val="24"/>
        </w:rPr>
        <w:pict w14:anchorId="1C40C649">
          <v:shape id="_x0000_s1113" type="#_x0000_t38" style="position:absolute;left:0;text-align:left;margin-left:319.9pt;margin-top:18.1pt;width:120.85pt;height:61.35pt;rotation:180;flip:y;z-index:251683328" o:connectortype="curved" adj="-706,162766,-91646">
            <v:stroke endarrow="block"/>
          </v:shape>
        </w:pict>
      </w:r>
      <w:r>
        <w:rPr>
          <w:noProof/>
        </w:rPr>
        <w:pict w14:anchorId="05C9416B">
          <v:shape id="_x0000_s1115" type="#_x0000_t38" style="position:absolute;left:0;text-align:left;margin-left:97.2pt;margin-top:18.1pt;width:84.45pt;height:61.35pt;z-index:251684352" o:connectortype="curved" adj="-90,-162766,-43277"/>
        </w:pict>
      </w:r>
      <w:r>
        <w:rPr>
          <w:rFonts w:ascii="Times New Roman" w:hAnsi="Times New Roman" w:cs="Times New Roman"/>
          <w:noProof/>
          <w:sz w:val="24"/>
          <w:szCs w:val="24"/>
        </w:rPr>
        <w:pict w14:anchorId="5402D0E6">
          <v:shape id="_x0000_s1076" type="#_x0000_t32" style="position:absolute;left:0;text-align:left;margin-left:-383.05pt;margin-top:5.25pt;width:0;height:17.95pt;z-index:251657728" o:connectortype="straight">
            <v:stroke endarrow="block"/>
          </v:shape>
        </w:pict>
      </w:r>
      <w:r>
        <w:rPr>
          <w:rFonts w:ascii="Times New Roman" w:hAnsi="Times New Roman" w:cs="Times New Roman"/>
          <w:noProof/>
          <w:sz w:val="24"/>
          <w:szCs w:val="24"/>
        </w:rPr>
        <w:pict w14:anchorId="5402D0E6">
          <v:shape id="_x0000_s1079" type="#_x0000_t32" style="position:absolute;left:0;text-align:left;margin-left:-285.85pt;margin-top:4pt;width:0;height:19.2pt;z-index:251660800" o:connectortype="straight">
            <v:stroke endarrow="block"/>
          </v:shape>
        </w:pict>
      </w:r>
      <w:r w:rsidR="00205547">
        <w:rPr>
          <w:rFonts w:ascii="Times New Roman" w:hAnsi="Times New Roman" w:cs="Times New Roman"/>
          <w:sz w:val="18"/>
          <w:szCs w:val="18"/>
        </w:rPr>
        <w:t xml:space="preserve">            </w:t>
      </w:r>
    </w:p>
    <w:p w14:paraId="6125B883" w14:textId="7D58AF64" w:rsidR="005B6E8B" w:rsidRPr="00205547" w:rsidRDefault="00920148" w:rsidP="0040711D">
      <w:pPr>
        <w:spacing w:line="240" w:lineRule="auto"/>
        <w:jc w:val="both"/>
        <w:rPr>
          <w:rFonts w:ascii="Times New Roman" w:hAnsi="Times New Roman" w:cs="Times New Roman"/>
          <w:sz w:val="18"/>
          <w:szCs w:val="18"/>
        </w:rPr>
      </w:pPr>
      <w:r>
        <w:rPr>
          <w:noProof/>
        </w:rPr>
        <w:pict w14:anchorId="069D4A14">
          <v:shape id="_x0000_s1088" type="#_x0000_t202" style="position:absolute;left:0;text-align:left;margin-left:-44.9pt;margin-top:11.65pt;width:127.8pt;height:29.4pt;z-index:251663872;visibility:visible;mso-wrap-distance-left:9pt;mso-wrap-distance-top:3.6pt;mso-wrap-distance-right:9pt;mso-wrap-distance-bottom:3.6pt;mso-position-horizontal-relative:text;mso-position-vertical-relative:text;mso-width-relative:margin;mso-height-relative:margin;v-text-anchor:top" stroked="f">
            <v:textbox>
              <w:txbxContent>
                <w:p w14:paraId="294B3F29" w14:textId="71D1EEFD" w:rsidR="00920148" w:rsidRPr="0040711D" w:rsidRDefault="00920148" w:rsidP="002F3A6C">
                  <w:pPr>
                    <w:jc w:val="center"/>
                    <w:rPr>
                      <w:rFonts w:ascii="Times New Roman" w:hAnsi="Times New Roman" w:cs="Times New Roman"/>
                      <w:sz w:val="18"/>
                      <w:szCs w:val="18"/>
                    </w:rPr>
                  </w:pPr>
                  <w:r w:rsidRPr="0040711D">
                    <w:rPr>
                      <w:rFonts w:ascii="Times New Roman" w:hAnsi="Times New Roman" w:cs="Times New Roman"/>
                      <w:sz w:val="18"/>
                      <w:szCs w:val="18"/>
                    </w:rPr>
                    <w:t>Chronic Low Grade Systemic Inflammation</w:t>
                  </w:r>
                </w:p>
              </w:txbxContent>
            </v:textbox>
            <w10:wrap type="square"/>
          </v:shape>
        </w:pict>
      </w:r>
    </w:p>
    <w:p w14:paraId="2C92B401" w14:textId="04E4EEF8" w:rsidR="00A72485" w:rsidRDefault="00920148" w:rsidP="006B6C4C">
      <w:pPr>
        <w:spacing w:line="360" w:lineRule="auto"/>
        <w:jc w:val="both"/>
        <w:rPr>
          <w:rFonts w:ascii="Times New Roman" w:hAnsi="Times New Roman" w:cs="Times New Roman"/>
          <w:b/>
          <w:bCs/>
          <w:sz w:val="24"/>
          <w:szCs w:val="24"/>
        </w:rPr>
      </w:pPr>
      <w:r>
        <w:rPr>
          <w:noProof/>
        </w:rPr>
        <w:pict w14:anchorId="7B780A68">
          <v:shape id="_x0000_s1107" type="#_x0000_t202" style="position:absolute;left:0;text-align:left;margin-left:98.55pt;margin-top:18.55pt;width:127.05pt;height:27.1pt;z-index:25168128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X8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e&#10;6NX8FgIAACgEAAAOAAAAAAAAAAAAAAAAAC4CAABkcnMvZTJvRG9jLnhtbFBLAQItABQABgAIAAAA&#10;IQBIWydy2wAAAAcBAAAPAAAAAAAAAAAAAAAAAHAEAABkcnMvZG93bnJldi54bWxQSwUGAAAAAAQA&#10;BADzAAAAeAUAAAAA&#10;">
            <v:textbox style="mso-next-textbox:#_x0000_s1107;mso-fit-shape-to-text:t">
              <w:txbxContent>
                <w:p w14:paraId="220A9949" w14:textId="568C1E21" w:rsidR="00920148" w:rsidRPr="00EE03E2" w:rsidRDefault="00920148">
                  <w:pPr>
                    <w:rPr>
                      <w:rFonts w:ascii="Times New Roman" w:hAnsi="Times New Roman" w:cs="Times New Roman"/>
                      <w:sz w:val="18"/>
                      <w:szCs w:val="18"/>
                    </w:rPr>
                  </w:pPr>
                  <w:r w:rsidRPr="00EE03E2">
                    <w:rPr>
                      <w:rFonts w:ascii="Times New Roman" w:hAnsi="Times New Roman" w:cs="Times New Roman"/>
                      <w:sz w:val="18"/>
                      <w:szCs w:val="18"/>
                    </w:rPr>
                    <w:t xml:space="preserve">Susceptibility to </w:t>
                  </w:r>
                  <w:r w:rsidRPr="00EE03E2">
                    <w:rPr>
                      <w:rFonts w:ascii="Times New Roman" w:hAnsi="Times New Roman" w:cs="Times New Roman"/>
                      <w:b/>
                      <w:bCs/>
                      <w:sz w:val="18"/>
                      <w:szCs w:val="18"/>
                    </w:rPr>
                    <w:t>Periodontitis</w:t>
                  </w:r>
                </w:p>
              </w:txbxContent>
            </v:textbox>
            <w10:wrap type="square"/>
          </v:shape>
        </w:pict>
      </w:r>
      <w:r>
        <w:rPr>
          <w:noProof/>
        </w:rPr>
        <w:pict w14:anchorId="129ADFE0">
          <v:shape id="_x0000_s1108" type="#_x0000_t38" style="position:absolute;left:0;text-align:left;margin-left:-75.35pt;margin-top:27.95pt;width:171.95pt;height:11.45pt;z-index:251682304" o:connectortype="curved" adj="-100,-966246,-11167">
            <v:stroke endarrow="block"/>
          </v:shape>
        </w:pict>
      </w:r>
    </w:p>
    <w:p w14:paraId="7756CB42" w14:textId="76EACD92" w:rsidR="00A72485" w:rsidRDefault="00A72485" w:rsidP="006B6C4C">
      <w:pPr>
        <w:spacing w:line="360" w:lineRule="auto"/>
        <w:jc w:val="both"/>
        <w:rPr>
          <w:rFonts w:ascii="Times New Roman" w:hAnsi="Times New Roman" w:cs="Times New Roman"/>
          <w:b/>
          <w:bCs/>
          <w:sz w:val="24"/>
          <w:szCs w:val="24"/>
        </w:rPr>
      </w:pPr>
    </w:p>
    <w:p w14:paraId="3BB0CF52" w14:textId="2A7A7026" w:rsidR="00E85889" w:rsidRDefault="00E85889" w:rsidP="006B6C4C">
      <w:pPr>
        <w:spacing w:line="360" w:lineRule="auto"/>
        <w:jc w:val="both"/>
        <w:rPr>
          <w:rFonts w:ascii="Times New Roman" w:hAnsi="Times New Roman" w:cs="Times New Roman"/>
          <w:b/>
          <w:bCs/>
          <w:sz w:val="24"/>
          <w:szCs w:val="24"/>
        </w:rPr>
      </w:pPr>
    </w:p>
    <w:p w14:paraId="54F67518" w14:textId="77777777" w:rsidR="002D282A" w:rsidRDefault="002D282A" w:rsidP="006B6C4C">
      <w:pPr>
        <w:spacing w:line="360" w:lineRule="auto"/>
        <w:jc w:val="both"/>
        <w:rPr>
          <w:rFonts w:ascii="Times New Roman" w:hAnsi="Times New Roman" w:cs="Times New Roman"/>
          <w:b/>
          <w:bCs/>
          <w:sz w:val="24"/>
          <w:szCs w:val="24"/>
        </w:rPr>
      </w:pPr>
    </w:p>
    <w:p w14:paraId="590F6269" w14:textId="648A3BB4" w:rsidR="002D282A" w:rsidRDefault="0000525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94C54B0" w14:textId="77777777" w:rsidR="00603923" w:rsidRDefault="00603923" w:rsidP="006B6C4C">
      <w:pPr>
        <w:spacing w:line="360" w:lineRule="auto"/>
        <w:jc w:val="both"/>
        <w:rPr>
          <w:rFonts w:ascii="Times New Roman" w:hAnsi="Times New Roman" w:cs="Times New Roman"/>
          <w:b/>
          <w:bCs/>
          <w:sz w:val="24"/>
          <w:szCs w:val="24"/>
        </w:rPr>
      </w:pPr>
    </w:p>
    <w:p w14:paraId="5FC01CEB" w14:textId="77777777" w:rsidR="005F7533" w:rsidRDefault="005F7533" w:rsidP="006B6C4C">
      <w:pPr>
        <w:spacing w:line="360" w:lineRule="auto"/>
        <w:jc w:val="both"/>
        <w:rPr>
          <w:rFonts w:ascii="Times New Roman" w:hAnsi="Times New Roman" w:cs="Times New Roman"/>
          <w:b/>
          <w:bCs/>
          <w:sz w:val="24"/>
          <w:szCs w:val="24"/>
        </w:rPr>
      </w:pPr>
    </w:p>
    <w:p w14:paraId="7341CBE2" w14:textId="495BBF20" w:rsidR="00417F87" w:rsidRPr="006B6C4C" w:rsidRDefault="000E7A7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BIDIRECTIONAL RELATIONHIP LINKING PCOS AND PERIODONTAL DISEASE</w:t>
      </w:r>
    </w:p>
    <w:p w14:paraId="73CBEB69" w14:textId="4CBF9A5A" w:rsidR="00417F87" w:rsidRDefault="00C2692E"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C2692E">
        <w:rPr>
          <w:rFonts w:ascii="Times New Roman" w:hAnsi="Times New Roman" w:cs="Times New Roman"/>
          <w:b/>
          <w:bCs/>
          <w:sz w:val="24"/>
          <w:szCs w:val="24"/>
        </w:rPr>
        <w:t xml:space="preserve">Figure 3: </w:t>
      </w:r>
      <w:r w:rsidR="00094833">
        <w:rPr>
          <w:rFonts w:ascii="Times New Roman" w:hAnsi="Times New Roman" w:cs="Times New Roman"/>
          <w:b/>
          <w:bCs/>
          <w:sz w:val="24"/>
          <w:szCs w:val="24"/>
        </w:rPr>
        <w:t xml:space="preserve">Diagrammatic illustration </w:t>
      </w:r>
      <w:r w:rsidR="00B86CAA">
        <w:rPr>
          <w:rFonts w:ascii="Times New Roman" w:hAnsi="Times New Roman" w:cs="Times New Roman"/>
          <w:b/>
          <w:bCs/>
          <w:sz w:val="24"/>
          <w:szCs w:val="24"/>
        </w:rPr>
        <w:t>of the correlation</w:t>
      </w:r>
      <w:r w:rsidRPr="00C2692E">
        <w:rPr>
          <w:rFonts w:ascii="Times New Roman" w:hAnsi="Times New Roman" w:cs="Times New Roman"/>
          <w:b/>
          <w:bCs/>
          <w:sz w:val="24"/>
          <w:szCs w:val="24"/>
        </w:rPr>
        <w:t xml:space="preserve"> between PCOS and PDD.</w:t>
      </w:r>
      <w:r w:rsidRPr="00C2692E">
        <w:rPr>
          <w:rFonts w:ascii="Times New Roman" w:hAnsi="Times New Roman" w:cs="Times New Roman"/>
          <w:sz w:val="24"/>
          <w:szCs w:val="24"/>
        </w:rPr>
        <w:fldChar w:fldCharType="begin"/>
      </w:r>
      <w:r w:rsidRPr="00C2692E">
        <w:rPr>
          <w:rFonts w:ascii="Times New Roman" w:hAnsi="Times New Roman" w:cs="Times New Roman"/>
          <w:sz w:val="24"/>
          <w:szCs w:val="24"/>
        </w:rPr>
        <w:instrText xml:space="preserve"> ADDIN ZOTERO_ITEM CSL_CITATION {"citationID":"a1c9o3a6s29","properties":{"formattedCitation":"\\super [45]\\nosupersub{}","plainCitation":"[45]","noteIndex":0},"citationItems":[{"id":887,"uris":["http://zotero.org/users/local/VoUUWtMF/items/K533WCSV"],"itemData":{"id":887,"type":"article-journal","abstract":"&lt;p&gt;Polycystic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PDD.&lt;/p&gt;","container-title":"Frontiers in Endocrinology","DOI":"10.3389/fendo.2023.1008675","ISSN":"1664-2392","journalAbbreviation":"Front. Endocrinol.","language":"English","note":"publisher: Frontiers","source":"Frontiers","title":"Bidirectional association between polycystic ovary syndrome and periodontal diseases","URL":"https://www.frontiersin.org/journals/endocrinology/articles/10.3389/fendo.2023.1008675/full","volume":"14","author":[{"family":"Dou","given":"Yang"},{"family":"Xin","given":"Jinglei"},{"family":"Zhou","given":"Peng"},{"family":"Tang","given":"Jianming"},{"family":"Xie","given":"Hongliang"},{"family":"Fan","given":"Wanting"},{"family":"Zhang","given":"Zheng"},{"family":"Wu","given":"Donglei"}],"accessed":{"date-parts":[["2024",8,9]]},"issued":{"date-parts":[["2023",1,23]]}}}],"schema":"https://github.com/citation-style-language/schema/raw/master/csl-citation.json"} </w:instrText>
      </w:r>
      <w:r w:rsidRPr="00C2692E">
        <w:rPr>
          <w:rFonts w:ascii="Times New Roman" w:hAnsi="Times New Roman" w:cs="Times New Roman"/>
          <w:sz w:val="24"/>
          <w:szCs w:val="24"/>
        </w:rPr>
        <w:fldChar w:fldCharType="separate"/>
      </w:r>
      <w:r w:rsidR="00CC71A6">
        <w:rPr>
          <w:rFonts w:ascii="Times New Roman" w:hAnsi="Times New Roman" w:cs="Times New Roman"/>
          <w:sz w:val="24"/>
          <w:szCs w:val="24"/>
          <w:vertAlign w:val="superscript"/>
        </w:rPr>
        <w:t>[37</w:t>
      </w:r>
      <w:r w:rsidRPr="00C2692E">
        <w:rPr>
          <w:rFonts w:ascii="Times New Roman" w:hAnsi="Times New Roman" w:cs="Times New Roman"/>
          <w:sz w:val="24"/>
          <w:szCs w:val="24"/>
          <w:vertAlign w:val="superscript"/>
        </w:rPr>
        <w:t>]</w:t>
      </w:r>
      <w:r w:rsidRPr="00C2692E">
        <w:rPr>
          <w:rFonts w:ascii="Times New Roman" w:hAnsi="Times New Roman" w:cs="Times New Roman"/>
          <w:sz w:val="24"/>
          <w:szCs w:val="24"/>
        </w:rPr>
        <w:fldChar w:fldCharType="end"/>
      </w:r>
    </w:p>
    <w:p w14:paraId="23456401" w14:textId="77777777" w:rsidR="00F03525" w:rsidRPr="006B6C4C" w:rsidRDefault="00F03525" w:rsidP="006B6C4C">
      <w:pPr>
        <w:spacing w:line="360" w:lineRule="auto"/>
        <w:jc w:val="both"/>
        <w:rPr>
          <w:rFonts w:ascii="Times New Roman" w:hAnsi="Times New Roman" w:cs="Times New Roman"/>
          <w:b/>
          <w:bCs/>
          <w:sz w:val="24"/>
          <w:szCs w:val="24"/>
        </w:rPr>
      </w:pPr>
    </w:p>
    <w:p w14:paraId="682CCA11" w14:textId="209AB6AE" w:rsidR="00B15119" w:rsidRPr="00F03525" w:rsidRDefault="00417F87" w:rsidP="00F03525">
      <w:pPr>
        <w:spacing w:line="360" w:lineRule="auto"/>
        <w:jc w:val="center"/>
        <w:rPr>
          <w:rFonts w:ascii="Times New Roman" w:hAnsi="Times New Roman" w:cs="Times New Roman"/>
          <w:b/>
          <w:bCs/>
          <w:sz w:val="24"/>
          <w:szCs w:val="24"/>
        </w:rPr>
      </w:pPr>
      <w:r w:rsidRPr="006B6C4C">
        <w:rPr>
          <w:rFonts w:ascii="Times New Roman" w:hAnsi="Times New Roman" w:cs="Times New Roman"/>
          <w:b/>
          <w:bCs/>
          <w:noProof/>
          <w:sz w:val="24"/>
          <w:szCs w:val="24"/>
          <w:lang w:eastAsia="en-IN"/>
        </w:rPr>
        <w:drawing>
          <wp:inline distT="0" distB="0" distL="0" distR="0" wp14:anchorId="2954C38F" wp14:editId="2B421CB3">
            <wp:extent cx="5590245" cy="2987040"/>
            <wp:effectExtent l="0" t="0" r="0" b="0"/>
            <wp:docPr id="1159366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66726" name=""/>
                    <pic:cNvPicPr/>
                  </pic:nvPicPr>
                  <pic:blipFill rotWithShape="1">
                    <a:blip r:embed="rId11">
                      <a:extLst>
                        <a:ext uri="{BEBA8EAE-BF5A-486C-A8C5-ECC9F3942E4B}">
                          <a14:imgProps xmlns:a14="http://schemas.microsoft.com/office/drawing/2010/main">
                            <a14:imgLayer r:embed="rId12">
                              <a14:imgEffect>
                                <a14:sharpenSoften amount="25000"/>
                              </a14:imgEffect>
                              <a14:imgEffect>
                                <a14:saturation sat="300000"/>
                              </a14:imgEffect>
                            </a14:imgLayer>
                          </a14:imgProps>
                        </a:ext>
                      </a:extLst>
                    </a:blip>
                    <a:srcRect l="3110" t="3791" b="3068"/>
                    <a:stretch/>
                  </pic:blipFill>
                  <pic:spPr bwMode="auto">
                    <a:xfrm>
                      <a:off x="0" y="0"/>
                      <a:ext cx="5601074" cy="2992826"/>
                    </a:xfrm>
                    <a:prstGeom prst="rect">
                      <a:avLst/>
                    </a:prstGeom>
                    <a:ln>
                      <a:noFill/>
                    </a:ln>
                    <a:extLst>
                      <a:ext uri="{53640926-AAD7-44D8-BBD7-CCE9431645EC}">
                        <a14:shadowObscured xmlns:a14="http://schemas.microsoft.com/office/drawing/2010/main"/>
                      </a:ext>
                    </a:extLst>
                  </pic:spPr>
                </pic:pic>
              </a:graphicData>
            </a:graphic>
          </wp:inline>
        </w:drawing>
      </w:r>
      <w:r w:rsidR="00CE223D">
        <w:rPr>
          <w:rFonts w:ascii="Times New Roman" w:hAnsi="Times New Roman" w:cs="Times New Roman"/>
          <w:b/>
          <w:bCs/>
          <w:sz w:val="24"/>
          <w:szCs w:val="24"/>
        </w:rPr>
        <w:t xml:space="preserve">      </w:t>
      </w:r>
    </w:p>
    <w:p w14:paraId="71085F09" w14:textId="2F5DD5A8" w:rsidR="00560E52" w:rsidRDefault="005E652C" w:rsidP="00F4542D">
      <w:pPr>
        <w:pStyle w:val="ListParagraph"/>
        <w:numPr>
          <w:ilvl w:val="0"/>
          <w:numId w:val="14"/>
        </w:numPr>
        <w:spacing w:line="360" w:lineRule="auto"/>
        <w:rPr>
          <w:rFonts w:ascii="Times New Roman" w:hAnsi="Times New Roman" w:cs="Times New Roman"/>
          <w:b/>
          <w:bCs/>
          <w:i/>
          <w:iCs/>
          <w:sz w:val="24"/>
          <w:szCs w:val="24"/>
        </w:rPr>
      </w:pPr>
      <w:r w:rsidRPr="005E652C">
        <w:rPr>
          <w:rFonts w:ascii="Times New Roman" w:hAnsi="Times New Roman" w:cs="Times New Roman"/>
          <w:b/>
          <w:bCs/>
          <w:i/>
          <w:iCs/>
          <w:sz w:val="24"/>
          <w:szCs w:val="24"/>
        </w:rPr>
        <w:t xml:space="preserve">COMMON RISK FACTORS      </w:t>
      </w:r>
    </w:p>
    <w:p w14:paraId="7394639C" w14:textId="2DA1A180" w:rsidR="00F03525" w:rsidRPr="00B86CAA" w:rsidRDefault="00F03525" w:rsidP="00B86C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B86CAA" w:rsidRPr="00B86CAA">
        <w:rPr>
          <w:rFonts w:ascii="Times New Roman" w:hAnsi="Times New Roman" w:cs="Times New Roman"/>
          <w:bCs/>
          <w:sz w:val="24"/>
          <w:szCs w:val="24"/>
        </w:rPr>
        <w:t>Typical predisposing elements of</w:t>
      </w:r>
      <w:r>
        <w:rPr>
          <w:rFonts w:ascii="Times New Roman" w:hAnsi="Times New Roman" w:cs="Times New Roman"/>
          <w:sz w:val="24"/>
          <w:szCs w:val="24"/>
        </w:rPr>
        <w:t xml:space="preserve"> PCOS and periodontal diseases</w:t>
      </w:r>
    </w:p>
    <w:tbl>
      <w:tblPr>
        <w:tblStyle w:val="TableGrid1"/>
        <w:tblpPr w:leftFromText="180" w:rightFromText="180" w:vertAnchor="text" w:horzAnchor="margin" w:tblpY="64"/>
        <w:tblW w:w="0" w:type="auto"/>
        <w:tblLook w:val="04A0" w:firstRow="1" w:lastRow="0" w:firstColumn="1" w:lastColumn="0" w:noHBand="0" w:noVBand="1"/>
      </w:tblPr>
      <w:tblGrid>
        <w:gridCol w:w="4621"/>
        <w:gridCol w:w="4621"/>
      </w:tblGrid>
      <w:tr w:rsidR="00560E52" w:rsidRPr="00560E52" w14:paraId="70D7A0A4" w14:textId="77777777" w:rsidTr="00B86CAA">
        <w:tc>
          <w:tcPr>
            <w:tcW w:w="4621" w:type="dxa"/>
          </w:tcPr>
          <w:p w14:paraId="7804BC04"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PCOS</w:t>
            </w:r>
          </w:p>
        </w:tc>
        <w:tc>
          <w:tcPr>
            <w:tcW w:w="4621" w:type="dxa"/>
          </w:tcPr>
          <w:p w14:paraId="68ADDBD6"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PERIODONTAL DISEASES</w:t>
            </w:r>
          </w:p>
        </w:tc>
      </w:tr>
      <w:tr w:rsidR="00560E52" w:rsidRPr="00560E52" w14:paraId="726AEF41" w14:textId="77777777" w:rsidTr="00B86CAA">
        <w:tc>
          <w:tcPr>
            <w:tcW w:w="4621" w:type="dxa"/>
          </w:tcPr>
          <w:p w14:paraId="1B3AB61B"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Insulin resistance Type II diabetes</w:t>
            </w:r>
          </w:p>
        </w:tc>
        <w:tc>
          <w:tcPr>
            <w:tcW w:w="4621" w:type="dxa"/>
          </w:tcPr>
          <w:p w14:paraId="3668ED78"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Age</w:t>
            </w:r>
          </w:p>
        </w:tc>
      </w:tr>
      <w:tr w:rsidR="00560E52" w:rsidRPr="00560E52" w14:paraId="7A51EDDE" w14:textId="77777777" w:rsidTr="00B86CAA">
        <w:tc>
          <w:tcPr>
            <w:tcW w:w="4621" w:type="dxa"/>
          </w:tcPr>
          <w:p w14:paraId="0B698894"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High blood pressure</w:t>
            </w:r>
          </w:p>
        </w:tc>
        <w:tc>
          <w:tcPr>
            <w:tcW w:w="4621" w:type="dxa"/>
          </w:tcPr>
          <w:p w14:paraId="6AA941E5"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Genetic</w:t>
            </w:r>
          </w:p>
        </w:tc>
      </w:tr>
      <w:tr w:rsidR="00560E52" w:rsidRPr="00560E52" w14:paraId="5E317A06" w14:textId="77777777" w:rsidTr="00B86CAA">
        <w:tc>
          <w:tcPr>
            <w:tcW w:w="4621" w:type="dxa"/>
          </w:tcPr>
          <w:p w14:paraId="341F4B45"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Cardiac diseases</w:t>
            </w:r>
          </w:p>
        </w:tc>
        <w:tc>
          <w:tcPr>
            <w:tcW w:w="4621" w:type="dxa"/>
          </w:tcPr>
          <w:p w14:paraId="2F976604"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r>
      <w:tr w:rsidR="00560E52" w:rsidRPr="00560E52" w14:paraId="2F0DF666" w14:textId="77777777" w:rsidTr="00B86CAA">
        <w:tc>
          <w:tcPr>
            <w:tcW w:w="4621" w:type="dxa"/>
          </w:tcPr>
          <w:p w14:paraId="2B23187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Endometrial Cancer</w:t>
            </w:r>
          </w:p>
        </w:tc>
        <w:tc>
          <w:tcPr>
            <w:tcW w:w="4621" w:type="dxa"/>
          </w:tcPr>
          <w:p w14:paraId="7C6E505D"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Smoking</w:t>
            </w:r>
          </w:p>
        </w:tc>
      </w:tr>
      <w:tr w:rsidR="00560E52" w:rsidRPr="00560E52" w14:paraId="5316337A" w14:textId="77777777" w:rsidTr="00B86CAA">
        <w:tc>
          <w:tcPr>
            <w:tcW w:w="4621" w:type="dxa"/>
          </w:tcPr>
          <w:p w14:paraId="45B26F36"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c>
          <w:tcPr>
            <w:tcW w:w="4621" w:type="dxa"/>
          </w:tcPr>
          <w:p w14:paraId="6961416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Type II diabetes and cardiac diseases</w:t>
            </w:r>
          </w:p>
        </w:tc>
      </w:tr>
      <w:tr w:rsidR="00560E52" w:rsidRPr="00560E52" w14:paraId="7CA5C716" w14:textId="77777777" w:rsidTr="00B86CAA">
        <w:tc>
          <w:tcPr>
            <w:tcW w:w="4621" w:type="dxa"/>
          </w:tcPr>
          <w:p w14:paraId="15C1B839"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Osteoporosis</w:t>
            </w:r>
          </w:p>
        </w:tc>
        <w:tc>
          <w:tcPr>
            <w:tcW w:w="4621" w:type="dxa"/>
          </w:tcPr>
          <w:p w14:paraId="43C5219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Stress</w:t>
            </w:r>
          </w:p>
        </w:tc>
      </w:tr>
      <w:tr w:rsidR="00560E52" w:rsidRPr="00560E52" w14:paraId="750B1419" w14:textId="77777777" w:rsidTr="00B86CAA">
        <w:tc>
          <w:tcPr>
            <w:tcW w:w="4621" w:type="dxa"/>
          </w:tcPr>
          <w:p w14:paraId="7ED38A2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Miscarriage</w:t>
            </w:r>
          </w:p>
        </w:tc>
        <w:tc>
          <w:tcPr>
            <w:tcW w:w="4621" w:type="dxa"/>
          </w:tcPr>
          <w:p w14:paraId="1468016B"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Low calcium and Vitamin D intake</w:t>
            </w:r>
          </w:p>
        </w:tc>
      </w:tr>
    </w:tbl>
    <w:p w14:paraId="284B9952" w14:textId="77777777" w:rsidR="00250D44" w:rsidRDefault="00250D44" w:rsidP="00250D44">
      <w:pPr>
        <w:spacing w:line="360" w:lineRule="auto"/>
        <w:jc w:val="center"/>
        <w:rPr>
          <w:rFonts w:ascii="Times New Roman" w:hAnsi="Times New Roman" w:cs="Times New Roman"/>
          <w:b/>
          <w:bCs/>
          <w:sz w:val="24"/>
          <w:szCs w:val="24"/>
        </w:rPr>
      </w:pPr>
    </w:p>
    <w:p w14:paraId="1CF17926" w14:textId="77777777" w:rsidR="00F03525" w:rsidRPr="004F1D48" w:rsidRDefault="00F03525" w:rsidP="00F03525">
      <w:pPr>
        <w:spacing w:line="360" w:lineRule="auto"/>
        <w:rPr>
          <w:rFonts w:ascii="Times New Roman" w:hAnsi="Times New Roman" w:cs="Times New Roman"/>
          <w:sz w:val="24"/>
          <w:szCs w:val="24"/>
        </w:rPr>
      </w:pPr>
    </w:p>
    <w:p w14:paraId="7D94AF1D" w14:textId="42503340" w:rsidR="00B955FE" w:rsidRPr="00EC558B" w:rsidRDefault="00B955FE" w:rsidP="00B15119">
      <w:pPr>
        <w:pStyle w:val="ListParagraph"/>
        <w:numPr>
          <w:ilvl w:val="0"/>
          <w:numId w:val="10"/>
        </w:numPr>
        <w:spacing w:line="360" w:lineRule="auto"/>
        <w:ind w:left="284" w:hanging="349"/>
        <w:jc w:val="both"/>
        <w:rPr>
          <w:rFonts w:ascii="Times New Roman" w:hAnsi="Times New Roman" w:cs="Times New Roman"/>
          <w:b/>
          <w:bCs/>
          <w:i/>
          <w:iCs/>
          <w:sz w:val="24"/>
          <w:szCs w:val="24"/>
        </w:rPr>
      </w:pPr>
      <w:commentRangeStart w:id="9"/>
      <w:r w:rsidRPr="00EC558B">
        <w:rPr>
          <w:rFonts w:ascii="Times New Roman" w:hAnsi="Times New Roman" w:cs="Times New Roman"/>
          <w:b/>
          <w:bCs/>
          <w:i/>
          <w:iCs/>
          <w:sz w:val="24"/>
          <w:szCs w:val="24"/>
        </w:rPr>
        <w:t>ORAL AND INTESTINAL MICROBIOTA ARE LINKED TO BOTH PERIODONTAL DISEASE AND PCOS</w:t>
      </w:r>
      <w:commentRangeEnd w:id="9"/>
      <w:r w:rsidR="00DD0F3E">
        <w:rPr>
          <w:rStyle w:val="CommentReference"/>
        </w:rPr>
        <w:commentReference w:id="9"/>
      </w:r>
    </w:p>
    <w:p w14:paraId="62B9C6C3" w14:textId="5A7D74A8" w:rsidR="009077A2" w:rsidRDefault="00D322FD" w:rsidP="006A1DA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47D3">
        <w:rPr>
          <w:rFonts w:ascii="Times New Roman" w:hAnsi="Times New Roman" w:cs="Times New Roman"/>
          <w:sz w:val="24"/>
          <w:szCs w:val="24"/>
        </w:rPr>
        <w:t xml:space="preserve">   </w:t>
      </w:r>
      <w:r w:rsidR="001F1C4A" w:rsidRPr="006B6C4C">
        <w:rPr>
          <w:rFonts w:ascii="Times New Roman" w:hAnsi="Times New Roman" w:cs="Times New Roman"/>
          <w:sz w:val="24"/>
          <w:szCs w:val="24"/>
        </w:rPr>
        <w:t xml:space="preserve">The primary cause of periodontitis is biofilm-induced inflammation that develops as a result of interactions between the oral </w:t>
      </w:r>
      <w:proofErr w:type="spellStart"/>
      <w:r w:rsidR="001F1C4A" w:rsidRPr="006B6C4C">
        <w:rPr>
          <w:rFonts w:ascii="Times New Roman" w:hAnsi="Times New Roman" w:cs="Times New Roman"/>
          <w:sz w:val="24"/>
          <w:szCs w:val="24"/>
        </w:rPr>
        <w:t>microbiota</w:t>
      </w:r>
      <w:proofErr w:type="spellEnd"/>
      <w:r w:rsidR="001F1C4A" w:rsidRPr="006B6C4C">
        <w:rPr>
          <w:rFonts w:ascii="Times New Roman" w:hAnsi="Times New Roman" w:cs="Times New Roman"/>
          <w:sz w:val="24"/>
          <w:szCs w:val="24"/>
        </w:rPr>
        <w:t xml:space="preserve"> and the host. A variety of factors, such as </w:t>
      </w:r>
      <w:r w:rsidR="001F1C4A" w:rsidRPr="006B6C4C">
        <w:rPr>
          <w:rFonts w:ascii="Times New Roman" w:hAnsi="Times New Roman" w:cs="Times New Roman"/>
          <w:sz w:val="24"/>
          <w:szCs w:val="24"/>
        </w:rPr>
        <w:lastRenderedPageBreak/>
        <w:t xml:space="preserve">inflammatory cytokines, toxins, and hormone instability, may hasten </w:t>
      </w:r>
      <w:r w:rsidR="006A1DA6" w:rsidRPr="006A1DA6">
        <w:rPr>
          <w:rFonts w:ascii="Times New Roman" w:hAnsi="Times New Roman" w:cs="Times New Roman"/>
          <w:sz w:val="24"/>
          <w:szCs w:val="24"/>
        </w:rPr>
        <w:t>The movement of immune cells from the gingival cr</w:t>
      </w:r>
      <w:r w:rsidR="006A1DA6">
        <w:rPr>
          <w:rFonts w:ascii="Times New Roman" w:hAnsi="Times New Roman" w:cs="Times New Roman"/>
          <w:sz w:val="24"/>
          <w:szCs w:val="24"/>
        </w:rPr>
        <w:t>evice into the oral environment</w:t>
      </w:r>
      <w:r w:rsidR="001F1C4A" w:rsidRPr="006B6C4C">
        <w:rPr>
          <w:rFonts w:ascii="Times New Roman" w:hAnsi="Times New Roman" w:cs="Times New Roman"/>
          <w:sz w:val="24"/>
          <w:szCs w:val="24"/>
        </w:rPr>
        <w:t>.</w:t>
      </w:r>
      <w:r w:rsidR="00A05625"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{"citationID":"EmHt8v4y","properties":{"formattedCitation":"\\super [46]\\nosupersub{}","plainCitation":"[46]","noteIndex":0},"citationItems":[{"id":261,"uris":["http://zotero.org/users/local/VoUUWtMF/items/E4EBQL2E"],"itemData":{"id":261,"type":"article-journal","container-title":"Trends in Microbiology","DOI":"10.1016/j.tim.2020.11.004","ISSN":"0966-842X, 1878-4380","issue":"6","journalAbbreviation":"Trends in Microbiology","language":"English","note":"publisher: Elsevier\nPMID: 33279381","page":"551-561","source":"www.cell.com","title":"The Oral Host–Microbial Interactome: An Ecological Chronometer of Health?","title-short":"The Oral Host–Microbial Interactome","volume":"29","author":[{"family":"Freire","given":"M."},{"family":"Nelson","given":"K. E."},{"family":"Edlund","given":"A."}],"issued":{"date-parts":[["2021",6,1]]}}}],"schema":"https://github.com/citation-style-language/schema/raw/master/csl-citation.json"} </w:instrText>
      </w:r>
      <w:r w:rsidR="00A05625"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[38</w:t>
      </w:r>
      <w:r w:rsidR="008E5E6B" w:rsidRPr="008E5E6B">
        <w:rPr>
          <w:rFonts w:ascii="Times New Roman" w:hAnsi="Times New Roman" w:cs="Times New Roman"/>
          <w:kern w:val="0"/>
          <w:sz w:val="24"/>
          <w:szCs w:val="24"/>
          <w:vertAlign w:val="superscript"/>
        </w:rPr>
        <w:t>]</w:t>
      </w:r>
      <w:r w:rsidR="00A05625" w:rsidRPr="004F1D48">
        <w:rPr>
          <w:rFonts w:ascii="Times New Roman" w:hAnsi="Times New Roman" w:cs="Times New Roman"/>
          <w:sz w:val="24"/>
          <w:szCs w:val="24"/>
          <w:vertAlign w:val="superscript"/>
        </w:rPr>
        <w:fldChar w:fldCharType="end"/>
      </w:r>
      <w:r w:rsidR="001F1C4A" w:rsidRPr="006B6C4C">
        <w:rPr>
          <w:rFonts w:ascii="Times New Roman" w:hAnsi="Times New Roman" w:cs="Times New Roman"/>
          <w:sz w:val="24"/>
          <w:szCs w:val="24"/>
        </w:rPr>
        <w:t xml:space="preserve"> The quantity of potential periodontal bacteria in saliva and the body's immunological reactions when gingivitis is present are both impacted by hormonal abnormalities that occur in PCOS. This can be demonstrated by an </w:t>
      </w:r>
      <w:r w:rsidR="00A960BE" w:rsidRPr="00A960BE">
        <w:rPr>
          <w:rFonts w:ascii="Times New Roman" w:hAnsi="Times New Roman" w:cs="Times New Roman"/>
          <w:sz w:val="24"/>
          <w:szCs w:val="24"/>
        </w:rPr>
        <w:t xml:space="preserve">elevation in </w:t>
      </w:r>
      <w:r w:rsidR="006A1DA6" w:rsidRPr="006A1DA6">
        <w:rPr>
          <w:rFonts w:ascii="Times New Roman" w:hAnsi="Times New Roman" w:cs="Times New Roman"/>
          <w:sz w:val="24"/>
          <w:szCs w:val="24"/>
        </w:rPr>
        <w:t xml:space="preserve">Concentrations of progesterone and </w:t>
      </w:r>
      <w:proofErr w:type="spellStart"/>
      <w:r w:rsidR="006A1DA6" w:rsidRPr="006A1DA6">
        <w:rPr>
          <w:rFonts w:ascii="Times New Roman" w:hAnsi="Times New Roman" w:cs="Times New Roman"/>
          <w:sz w:val="24"/>
          <w:szCs w:val="24"/>
        </w:rPr>
        <w:t>estrogen</w:t>
      </w:r>
      <w:proofErr w:type="spellEnd"/>
      <w:r w:rsidR="006A1DA6" w:rsidRPr="006A1DA6">
        <w:rPr>
          <w:rFonts w:ascii="Times New Roman" w:hAnsi="Times New Roman" w:cs="Times New Roman"/>
          <w:sz w:val="24"/>
          <w:szCs w:val="24"/>
        </w:rPr>
        <w:t xml:space="preserve"> in gum tissues, supplying vital nutrie</w:t>
      </w:r>
      <w:r w:rsidR="006A1DA6">
        <w:rPr>
          <w:rFonts w:ascii="Times New Roman" w:hAnsi="Times New Roman" w:cs="Times New Roman"/>
          <w:sz w:val="24"/>
          <w:szCs w:val="24"/>
        </w:rPr>
        <w:t>nts for microbial proliferation</w:t>
      </w:r>
      <w:r w:rsidR="001F1C4A" w:rsidRPr="006B6C4C">
        <w:rPr>
          <w:rFonts w:ascii="Times New Roman" w:hAnsi="Times New Roman" w:cs="Times New Roman"/>
          <w:sz w:val="24"/>
          <w:szCs w:val="24"/>
        </w:rPr>
        <w:t>.</w:t>
      </w:r>
      <w:r w:rsidR="009077A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{"citationID":"4hlE9A9V","properties":{"formattedCitation":"\\super [47]\\nosupersub{}","plainCitation":"[47]","noteIndex":0},"citationItems":[{"id":263,"uris":["http://zotero.org/users/local/VoUUWtMF/items/EQ7ESB28"],"itemData":{"id":263,"type":"article-journal","abstract":"The purpose of this study was to assess whether an intensive oral hygiene regimen practised during pregnancy results in a clinically healthy gingival state, and to assess whether experimentally-induced gingivitis differs in severity during pregnancy as compared to post-partum. In addition, levels of black-pigmented Gram negative anaerobes at subgingival and oral mucosal sites and plasma concentrations of free estrogens and prosterone were determined. These parameters were studied during a 14-day episode of experimental gingivitis induced in the 25th week of pregnancy, and again 6 months post-partum. The subjects were selected on shallow pockets ≤4 mm and interproximal loss of attachment not exceeding 2 mm. As a result of controlled oral hygiene, the gingival condition improved both during pregnancy and post-partum. At day 0 during pregnancy, however, gingival swelling, redness, and bleeding on probing were found to be higher than post-partum. Free plasma levels of estrogens and progesterone were found to be normal throughout the study. It was hypothesized that the increase in severity of gingival symptoms during pregnancy reflect microvascular physiologic effects of increased levels of these hormones. During pregnancy, more swelling, redness and bleeding on probing developed during experimental gingivitis than post-partum, whereas the amount of plaque was similar in both phases. This suggests that as a result of dental plaque accumulation, gingival inflammation develops superimposed on pregnancy-associated physiologic alterations. Microbiological evaluation showed that the mean proportions of Prevotella intermedia in subgingival plaque increased during experimental gingivitis performed during pregnancy, whereas no increase of this microorganism was found post-partum.","container-title":"Journal of Clinical Periodontology","DOI":"10.1111/j.1600-051X.1994.tb01172.x","ISSN":"1600-051X","issue":"8","language":"en","note":"_eprint: https://onlinelibrary.wiley.com/doi/pdf/10.1111/j.1600-051X.1994.tb01172.x","page":"549-558","source":"Wiley Online Library","title":"Experimental gingivitis during pregnancy and post-partum: clinical, endocrinological, and microbiological aspects","title-short":"Experimental gingivitis during pregnancy and post-partum","volume":"21","author":[{"family":"Raber-Durlacher","given":"J. E."},{"family":"Steenbergen","given":"T. J. M.","non-dropping-particle":"van"},{"family":"Velden","given":"U.","non-dropping-particle":"van der"},{"family":"Graaff","given":"J.","non-dropping-particle":"de"},{"family":"Abraham-Inpijn","given":"L."}],"issued":{"date-parts":[["1994"]]}}}],"schema":"https://github.com/citation-style-language/schema/raw/master/csl-citation.json"} </w:instrText>
      </w:r>
      <w:r w:rsidR="009077A2"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[39</w:t>
      </w:r>
      <w:r w:rsidR="008E5E6B" w:rsidRPr="008E5E6B">
        <w:rPr>
          <w:rFonts w:ascii="Times New Roman" w:hAnsi="Times New Roman" w:cs="Times New Roman"/>
          <w:kern w:val="0"/>
          <w:sz w:val="24"/>
          <w:szCs w:val="24"/>
          <w:vertAlign w:val="superscript"/>
        </w:rPr>
        <w:t>]</w:t>
      </w:r>
      <w:r w:rsidR="009077A2" w:rsidRPr="004F1D48">
        <w:rPr>
          <w:rFonts w:ascii="Times New Roman" w:hAnsi="Times New Roman" w:cs="Times New Roman"/>
          <w:sz w:val="24"/>
          <w:szCs w:val="24"/>
          <w:vertAlign w:val="superscript"/>
        </w:rPr>
        <w:fldChar w:fldCharType="end"/>
      </w:r>
    </w:p>
    <w:p w14:paraId="61756B6F" w14:textId="77777777" w:rsidR="00F563D1" w:rsidRPr="006B6C4C" w:rsidRDefault="00F563D1" w:rsidP="006B6C4C">
      <w:pPr>
        <w:spacing w:line="360" w:lineRule="auto"/>
        <w:jc w:val="both"/>
        <w:rPr>
          <w:rFonts w:ascii="Times New Roman" w:hAnsi="Times New Roman" w:cs="Times New Roman"/>
          <w:sz w:val="24"/>
          <w:szCs w:val="24"/>
        </w:rPr>
      </w:pPr>
    </w:p>
    <w:p w14:paraId="26F93509" w14:textId="51463B90" w:rsidR="000B74E0" w:rsidRPr="006B6C4C" w:rsidRDefault="009077A2" w:rsidP="006B6C4C">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Pr="006B6C4C">
        <w:rPr>
          <w:rFonts w:ascii="Times New Roman" w:hAnsi="Times New Roman" w:cs="Times New Roman"/>
          <w:sz w:val="24"/>
          <w:szCs w:val="24"/>
        </w:rPr>
        <w:t xml:space="preserve">Biofilm production is accelerated in supra- and </w:t>
      </w:r>
      <w:proofErr w:type="spellStart"/>
      <w:r w:rsidRPr="006B6C4C">
        <w:rPr>
          <w:rFonts w:ascii="Times New Roman" w:hAnsi="Times New Roman" w:cs="Times New Roman"/>
          <w:sz w:val="24"/>
          <w:szCs w:val="24"/>
        </w:rPr>
        <w:t>subgingival</w:t>
      </w:r>
      <w:proofErr w:type="spellEnd"/>
      <w:r w:rsidRPr="006B6C4C">
        <w:rPr>
          <w:rFonts w:ascii="Times New Roman" w:hAnsi="Times New Roman" w:cs="Times New Roman"/>
          <w:sz w:val="24"/>
          <w:szCs w:val="24"/>
        </w:rPr>
        <w:t xml:space="preserve"> biofilms by </w:t>
      </w:r>
      <w:proofErr w:type="spellStart"/>
      <w:r w:rsidRPr="006B6C4C">
        <w:rPr>
          <w:rFonts w:ascii="Times New Roman" w:hAnsi="Times New Roman" w:cs="Times New Roman"/>
          <w:sz w:val="24"/>
          <w:szCs w:val="24"/>
        </w:rPr>
        <w:t>Fusobacterium</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nucleatum</w:t>
      </w:r>
      <w:proofErr w:type="spellEnd"/>
      <w:r w:rsidRPr="006B6C4C">
        <w:rPr>
          <w:rFonts w:ascii="Times New Roman" w:hAnsi="Times New Roman" w:cs="Times New Roman"/>
          <w:sz w:val="24"/>
          <w:szCs w:val="24"/>
        </w:rPr>
        <w:t xml:space="preserve"> (</w:t>
      </w:r>
      <w:proofErr w:type="spellStart"/>
      <w:proofErr w:type="gramStart"/>
      <w:r w:rsidRPr="006B6C4C">
        <w:rPr>
          <w:rFonts w:ascii="Times New Roman" w:hAnsi="Times New Roman" w:cs="Times New Roman"/>
          <w:sz w:val="24"/>
          <w:szCs w:val="24"/>
        </w:rPr>
        <w:t>Fn</w:t>
      </w:r>
      <w:proofErr w:type="spellEnd"/>
      <w:proofErr w:type="gramEnd"/>
      <w:r w:rsidRPr="006B6C4C">
        <w:rPr>
          <w:rFonts w:ascii="Times New Roman" w:hAnsi="Times New Roman" w:cs="Times New Roman"/>
          <w:sz w:val="24"/>
          <w:szCs w:val="24"/>
        </w:rPr>
        <w:t xml:space="preserve">), an anaerobic bacterium, </w:t>
      </w:r>
      <w:proofErr w:type="spellStart"/>
      <w:r w:rsidRPr="006B6C4C">
        <w:rPr>
          <w:rFonts w:ascii="Times New Roman" w:hAnsi="Times New Roman" w:cs="Times New Roman"/>
          <w:sz w:val="24"/>
          <w:szCs w:val="24"/>
        </w:rPr>
        <w:t>Porphyromonas</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gingivalis</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Pg</w:t>
      </w:r>
      <w:proofErr w:type="spellEnd"/>
      <w:r w:rsidRPr="006B6C4C">
        <w:rPr>
          <w:rFonts w:ascii="Times New Roman" w:hAnsi="Times New Roman" w:cs="Times New Roman"/>
          <w:sz w:val="24"/>
          <w:szCs w:val="24"/>
        </w:rPr>
        <w:t xml:space="preserve">), Streptococcus </w:t>
      </w:r>
      <w:proofErr w:type="spellStart"/>
      <w:r w:rsidRPr="006B6C4C">
        <w:rPr>
          <w:rFonts w:ascii="Times New Roman" w:hAnsi="Times New Roman" w:cs="Times New Roman"/>
          <w:sz w:val="24"/>
          <w:szCs w:val="24"/>
        </w:rPr>
        <w:t>gordonii</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Sg</w:t>
      </w:r>
      <w:proofErr w:type="spellEnd"/>
      <w:r w:rsidRPr="006B6C4C">
        <w:rPr>
          <w:rFonts w:ascii="Times New Roman" w:hAnsi="Times New Roman" w:cs="Times New Roman"/>
          <w:sz w:val="24"/>
          <w:szCs w:val="24"/>
        </w:rPr>
        <w:t xml:space="preserve">), and </w:t>
      </w:r>
      <w:proofErr w:type="spellStart"/>
      <w:r w:rsidRPr="006B6C4C">
        <w:rPr>
          <w:rFonts w:ascii="Times New Roman" w:hAnsi="Times New Roman" w:cs="Times New Roman"/>
          <w:sz w:val="24"/>
          <w:szCs w:val="24"/>
        </w:rPr>
        <w:t>Treponema</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denticola</w:t>
      </w:r>
      <w:proofErr w:type="spellEnd"/>
      <w:r w:rsidRPr="006B6C4C">
        <w:rPr>
          <w:rFonts w:ascii="Times New Roman" w:hAnsi="Times New Roman" w:cs="Times New Roman"/>
          <w:sz w:val="24"/>
          <w:szCs w:val="24"/>
        </w:rPr>
        <w:t xml:space="preserve"> (Td).</w:t>
      </w:r>
      <w:r w:rsidR="00265A84" w:rsidRPr="006B6C4C">
        <w:rPr>
          <w:rFonts w:ascii="Times New Roman" w:hAnsi="Times New Roman" w:cs="Times New Roman"/>
          <w:sz w:val="24"/>
          <w:szCs w:val="24"/>
        </w:rPr>
        <w:t xml:space="preserve"> According to </w:t>
      </w:r>
      <w:proofErr w:type="spellStart"/>
      <w:r w:rsidR="00265A84" w:rsidRPr="00BD4F5D">
        <w:rPr>
          <w:rFonts w:ascii="Times New Roman" w:hAnsi="Times New Roman" w:cs="Times New Roman"/>
          <w:b/>
          <w:bCs/>
          <w:i/>
          <w:iCs/>
          <w:sz w:val="24"/>
          <w:szCs w:val="24"/>
        </w:rPr>
        <w:t>Akcali</w:t>
      </w:r>
      <w:proofErr w:type="spellEnd"/>
      <w:r w:rsidR="00265A84" w:rsidRPr="00BD4F5D">
        <w:rPr>
          <w:rFonts w:ascii="Times New Roman" w:hAnsi="Times New Roman" w:cs="Times New Roman"/>
          <w:b/>
          <w:bCs/>
          <w:i/>
          <w:iCs/>
          <w:sz w:val="24"/>
          <w:szCs w:val="24"/>
        </w:rPr>
        <w:t xml:space="preserve"> et al</w:t>
      </w:r>
      <w:r w:rsidR="00265A84" w:rsidRPr="006B6C4C">
        <w:rPr>
          <w:rFonts w:ascii="Times New Roman" w:hAnsi="Times New Roman" w:cs="Times New Roman"/>
          <w:sz w:val="24"/>
          <w:szCs w:val="24"/>
        </w:rPr>
        <w:t xml:space="preserve">, </w:t>
      </w:r>
      <w:proofErr w:type="spellStart"/>
      <w:r w:rsidR="00265A84" w:rsidRPr="006B6C4C">
        <w:rPr>
          <w:rFonts w:ascii="Times New Roman" w:hAnsi="Times New Roman" w:cs="Times New Roman"/>
          <w:sz w:val="24"/>
          <w:szCs w:val="24"/>
        </w:rPr>
        <w:t>P</w:t>
      </w:r>
      <w:r w:rsidR="00AE0970">
        <w:rPr>
          <w:rFonts w:ascii="Times New Roman" w:hAnsi="Times New Roman" w:cs="Times New Roman"/>
          <w:sz w:val="24"/>
          <w:szCs w:val="24"/>
        </w:rPr>
        <w:t>.</w:t>
      </w:r>
      <w:r w:rsidR="00265A84" w:rsidRPr="006B6C4C">
        <w:rPr>
          <w:rFonts w:ascii="Times New Roman" w:hAnsi="Times New Roman" w:cs="Times New Roman"/>
          <w:sz w:val="24"/>
          <w:szCs w:val="24"/>
        </w:rPr>
        <w:t>g</w:t>
      </w:r>
      <w:proofErr w:type="spellEnd"/>
      <w:r w:rsidR="00265A84" w:rsidRPr="006B6C4C">
        <w:rPr>
          <w:rFonts w:ascii="Times New Roman" w:hAnsi="Times New Roman" w:cs="Times New Roman"/>
          <w:sz w:val="24"/>
          <w:szCs w:val="24"/>
        </w:rPr>
        <w:t xml:space="preserve"> and </w:t>
      </w:r>
      <w:proofErr w:type="spellStart"/>
      <w:r w:rsidR="00265A84" w:rsidRPr="006B6C4C">
        <w:rPr>
          <w:rFonts w:ascii="Times New Roman" w:hAnsi="Times New Roman" w:cs="Times New Roman"/>
          <w:sz w:val="24"/>
          <w:szCs w:val="24"/>
        </w:rPr>
        <w:t>F</w:t>
      </w:r>
      <w:r w:rsidR="00AE0970">
        <w:rPr>
          <w:rFonts w:ascii="Times New Roman" w:hAnsi="Times New Roman" w:cs="Times New Roman"/>
          <w:sz w:val="24"/>
          <w:szCs w:val="24"/>
        </w:rPr>
        <w:t>.</w:t>
      </w:r>
      <w:r w:rsidR="00265A84" w:rsidRPr="006B6C4C">
        <w:rPr>
          <w:rFonts w:ascii="Times New Roman" w:hAnsi="Times New Roman" w:cs="Times New Roman"/>
          <w:sz w:val="24"/>
          <w:szCs w:val="24"/>
        </w:rPr>
        <w:t>n</w:t>
      </w:r>
      <w:proofErr w:type="spellEnd"/>
      <w:r w:rsidR="00265A84" w:rsidRPr="006B6C4C">
        <w:rPr>
          <w:rFonts w:ascii="Times New Roman" w:hAnsi="Times New Roman" w:cs="Times New Roman"/>
          <w:sz w:val="24"/>
          <w:szCs w:val="24"/>
        </w:rPr>
        <w:t xml:space="preserve"> were found in saliva at higher levels in PCOS and gingivitis patients than in healthy controls or PCOS patients without gingivitis.</w:t>
      </w:r>
      <w:r w:rsidR="000E355B"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{"citationID":"v1aqNx2z","properties":{"formattedCitation":"\\super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E355B" w:rsidRPr="006B6C4C">
        <w:rPr>
          <w:rFonts w:ascii="Times New Roman" w:hAnsi="Times New Roman" w:cs="Times New Roman"/>
          <w:sz w:val="24"/>
          <w:szCs w:val="24"/>
        </w:rPr>
        <w:fldChar w:fldCharType="separate"/>
      </w:r>
      <w:r w:rsidR="001B1363">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0E355B" w:rsidRPr="006B6C4C">
        <w:rPr>
          <w:rFonts w:ascii="Times New Roman" w:hAnsi="Times New Roman" w:cs="Times New Roman"/>
          <w:sz w:val="24"/>
          <w:szCs w:val="24"/>
        </w:rPr>
        <w:fldChar w:fldCharType="end"/>
      </w:r>
      <w:r w:rsidR="00B23395" w:rsidRPr="006B6C4C">
        <w:rPr>
          <w:rFonts w:ascii="Times New Roman" w:hAnsi="Times New Roman" w:cs="Times New Roman"/>
          <w:sz w:val="24"/>
          <w:szCs w:val="24"/>
        </w:rPr>
        <w:t xml:space="preserve"> The salivary </w:t>
      </w:r>
      <w:proofErr w:type="spellStart"/>
      <w:r w:rsidR="00B23395" w:rsidRPr="006B6C4C">
        <w:rPr>
          <w:rFonts w:ascii="Times New Roman" w:hAnsi="Times New Roman" w:cs="Times New Roman"/>
          <w:sz w:val="24"/>
          <w:szCs w:val="24"/>
        </w:rPr>
        <w:t>microbiomes</w:t>
      </w:r>
      <w:proofErr w:type="spellEnd"/>
      <w:r w:rsidR="00B23395" w:rsidRPr="006B6C4C">
        <w:rPr>
          <w:rFonts w:ascii="Times New Roman" w:hAnsi="Times New Roman" w:cs="Times New Roman"/>
          <w:sz w:val="24"/>
          <w:szCs w:val="24"/>
        </w:rPr>
        <w:t xml:space="preserve"> of PCOS-affected women contained higher concentrations of </w:t>
      </w:r>
      <w:proofErr w:type="spellStart"/>
      <w:r w:rsidR="00B23395" w:rsidRPr="006B6C4C">
        <w:rPr>
          <w:rFonts w:ascii="Times New Roman" w:hAnsi="Times New Roman" w:cs="Times New Roman"/>
          <w:sz w:val="24"/>
          <w:szCs w:val="24"/>
        </w:rPr>
        <w:t>Fusobacterium</w:t>
      </w:r>
      <w:proofErr w:type="spellEnd"/>
      <w:r w:rsidR="00B23395" w:rsidRPr="006B6C4C">
        <w:rPr>
          <w:rFonts w:ascii="Times New Roman" w:hAnsi="Times New Roman" w:cs="Times New Roman"/>
          <w:sz w:val="24"/>
          <w:szCs w:val="24"/>
        </w:rPr>
        <w:t xml:space="preserve"> and lower concentrations of </w:t>
      </w:r>
      <w:proofErr w:type="spellStart"/>
      <w:r w:rsidR="00B23395" w:rsidRPr="006B6C4C">
        <w:rPr>
          <w:rFonts w:ascii="Times New Roman" w:hAnsi="Times New Roman" w:cs="Times New Roman"/>
          <w:sz w:val="24"/>
          <w:szCs w:val="24"/>
        </w:rPr>
        <w:t>Actinobacteria</w:t>
      </w:r>
      <w:proofErr w:type="spellEnd"/>
      <w:r w:rsidR="00B23395" w:rsidRPr="006B6C4C">
        <w:rPr>
          <w:rFonts w:ascii="Times New Roman" w:hAnsi="Times New Roman" w:cs="Times New Roman"/>
          <w:sz w:val="24"/>
          <w:szCs w:val="24"/>
        </w:rPr>
        <w:t>.</w:t>
      </w:r>
      <w:r w:rsidR="00B23395"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{"citationID":"dzkn6Rdn","properties":{"formattedCitation":"\\super [48]\\nosupersub{}","plainCitation":"[48]","noteIndex":0},"citationItems":[{"id":267,"uris":["http://zotero.org/users/local/VoUUWtMF/items/FZDCED3J"],"itemData":{"id":267,"type":"article-journal","abstract":"Significant differences in salivary microbiota communities between polycystic ovary syndrome (PCOS) patients and healthy controls have been reported, and interestingly, some salivary microbiota exhibit diurnal oscillation in healthy people. However, whether the diurnal oscillation of salivary microbiota is present in PCOS patients is unknown. In this study, we describe the differences in the saliva microbiome between the PCOS group and the control group at different time points over 24 h. 16S rRNA gene amplicon sequencing was performed on salivary and fecal samples from 10 PCOS patients and 10 healthy controls, and salivary samples were collected at 6-h intervals over 24 h (Zeitgeber (ZT)0, ZT6, ZT12, and ZT18). Among the salivary samples, those from the PCOS group showed significant differences from those of the control group at each time point. Differences were evident in taxa level and metabolic pathways. Interestingly, we found that PCOS disrupted the diurnal rhythm of the salivary microbiota abundance, as determined in the group of healthy women. In addition, no similar changes were found in PCOS patients and controls between the oral and fecal microbiota, including differential microbiota at the phylum level. In this study, significant differences in the composition of the salivary microbiota between PCOS and healthy women were detected at different time points. We also showed that the diurnal rhythm of relative abundance of the salivary microbiota was disrupted in patients with PCOS, which might be related to development of oral-related diseases and systematic metabolic disorders.","container-title":"Frontiers in Cellular and Infection Microbiology","ISSN":"2235-2988","source":"Frontiers","title":"Dysbiosis of the Saliva Microbiome in Patients With Polycystic Ovary Syndrome","URL":"https://www.frontiersin.org/articles/10.3389/fcimb.2020.624504","volume":"10","author":[{"family":"Li","given":"Na"},{"family":"Li","given":"Yangyang"},{"family":"Qian","given":"Chen"},{"family":"Liu","given":"Qing"},{"family":"Cao","given":"Wei"},{"family":"Ma","given":"Mo"},{"family":"He","given":"Rongbo"},{"family":"Chen","given":"Rourou"},{"family":"Geng","given":"Rong"},{"family":"Liu","given":"Yu"}],"accessed":{"date-parts":[["2024",1,30]]},"issued":{"date-parts":[["2021"]]}}}],"schema":"https://github.com/citation-style-language/schema/raw/master/csl-citation.json"} </w:instrText>
      </w:r>
      <w:r w:rsidR="00B23395"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[40</w:t>
      </w:r>
      <w:r w:rsidR="008E5E6B" w:rsidRPr="008E5E6B">
        <w:rPr>
          <w:rFonts w:ascii="Times New Roman" w:hAnsi="Times New Roman" w:cs="Times New Roman"/>
          <w:kern w:val="0"/>
          <w:sz w:val="24"/>
          <w:szCs w:val="24"/>
          <w:vertAlign w:val="superscript"/>
        </w:rPr>
        <w:t>]</w:t>
      </w:r>
      <w:r w:rsidR="00B23395" w:rsidRPr="006B6C4C">
        <w:rPr>
          <w:rFonts w:ascii="Times New Roman" w:hAnsi="Times New Roman" w:cs="Times New Roman"/>
          <w:sz w:val="24"/>
          <w:szCs w:val="24"/>
        </w:rPr>
        <w:fldChar w:fldCharType="end"/>
      </w:r>
      <w:r w:rsidR="00D31F56" w:rsidRPr="006B6C4C">
        <w:rPr>
          <w:rFonts w:ascii="Times New Roman" w:hAnsi="Times New Roman" w:cs="Times New Roman"/>
          <w:sz w:val="24"/>
          <w:szCs w:val="24"/>
        </w:rPr>
        <w:t xml:space="preserve"> </w:t>
      </w:r>
      <w:r w:rsidR="00222795" w:rsidRPr="006B6C4C">
        <w:rPr>
          <w:rFonts w:ascii="Times New Roman" w:hAnsi="Times New Roman" w:cs="Times New Roman"/>
          <w:sz w:val="24"/>
          <w:szCs w:val="24"/>
        </w:rPr>
        <w:t xml:space="preserve">Patients with PCOS have high levels of </w:t>
      </w:r>
      <w:proofErr w:type="spellStart"/>
      <w:r w:rsidR="00222795" w:rsidRPr="006B6C4C">
        <w:rPr>
          <w:rFonts w:ascii="Times New Roman" w:hAnsi="Times New Roman" w:cs="Times New Roman"/>
          <w:sz w:val="24"/>
          <w:szCs w:val="24"/>
        </w:rPr>
        <w:t>Bacteroides</w:t>
      </w:r>
      <w:proofErr w:type="spellEnd"/>
      <w:r w:rsidR="00222795" w:rsidRPr="006B6C4C">
        <w:rPr>
          <w:rFonts w:ascii="Times New Roman" w:hAnsi="Times New Roman" w:cs="Times New Roman"/>
          <w:sz w:val="24"/>
          <w:szCs w:val="24"/>
        </w:rPr>
        <w:t xml:space="preserve"> </w:t>
      </w:r>
      <w:proofErr w:type="spellStart"/>
      <w:r w:rsidR="00222795" w:rsidRPr="006B6C4C">
        <w:rPr>
          <w:rFonts w:ascii="Times New Roman" w:hAnsi="Times New Roman" w:cs="Times New Roman"/>
          <w:sz w:val="24"/>
          <w:szCs w:val="24"/>
        </w:rPr>
        <w:t>vulgatus</w:t>
      </w:r>
      <w:proofErr w:type="spellEnd"/>
      <w:r w:rsidR="00222795" w:rsidRPr="006B6C4C">
        <w:rPr>
          <w:rFonts w:ascii="Times New Roman" w:hAnsi="Times New Roman" w:cs="Times New Roman"/>
          <w:sz w:val="24"/>
          <w:szCs w:val="24"/>
        </w:rPr>
        <w:t xml:space="preserve"> in their gut </w:t>
      </w:r>
      <w:proofErr w:type="spellStart"/>
      <w:r w:rsidR="00222795" w:rsidRPr="006B6C4C">
        <w:rPr>
          <w:rFonts w:ascii="Times New Roman" w:hAnsi="Times New Roman" w:cs="Times New Roman"/>
          <w:sz w:val="24"/>
          <w:szCs w:val="24"/>
        </w:rPr>
        <w:t>microbiota</w:t>
      </w:r>
      <w:proofErr w:type="spellEnd"/>
      <w:r w:rsidR="00222795" w:rsidRPr="006B6C4C">
        <w:rPr>
          <w:rFonts w:ascii="Times New Roman" w:hAnsi="Times New Roman" w:cs="Times New Roman"/>
          <w:sz w:val="24"/>
          <w:szCs w:val="24"/>
        </w:rPr>
        <w:t>.</w:t>
      </w:r>
    </w:p>
    <w:p w14:paraId="7254ABDC" w14:textId="77777777" w:rsidR="00F563D1" w:rsidRDefault="00F563D1" w:rsidP="003E1886">
      <w:pPr>
        <w:spacing w:line="360" w:lineRule="auto"/>
        <w:jc w:val="both"/>
        <w:rPr>
          <w:rFonts w:ascii="Times New Roman" w:hAnsi="Times New Roman" w:cs="Times New Roman"/>
          <w:b/>
          <w:bCs/>
          <w:sz w:val="24"/>
          <w:szCs w:val="24"/>
        </w:rPr>
      </w:pPr>
    </w:p>
    <w:p w14:paraId="7FC886DD" w14:textId="196EC7D8" w:rsidR="003E1886" w:rsidRPr="00EC558B" w:rsidRDefault="003E1886" w:rsidP="00B15119">
      <w:pPr>
        <w:pStyle w:val="ListParagraph"/>
        <w:numPr>
          <w:ilvl w:val="0"/>
          <w:numId w:val="10"/>
        </w:numPr>
        <w:spacing w:line="360" w:lineRule="auto"/>
        <w:jc w:val="both"/>
        <w:rPr>
          <w:rFonts w:ascii="Times New Roman" w:hAnsi="Times New Roman" w:cs="Times New Roman"/>
          <w:b/>
          <w:bCs/>
          <w:i/>
          <w:iCs/>
          <w:sz w:val="24"/>
          <w:szCs w:val="24"/>
        </w:rPr>
      </w:pPr>
      <w:commentRangeStart w:id="10"/>
      <w:r w:rsidRPr="00EC558B">
        <w:rPr>
          <w:rFonts w:ascii="Times New Roman" w:hAnsi="Times New Roman" w:cs="Times New Roman"/>
          <w:b/>
          <w:bCs/>
          <w:i/>
          <w:iCs/>
          <w:sz w:val="24"/>
          <w:szCs w:val="24"/>
        </w:rPr>
        <w:t>INFLAMMATION IS LINKED TO BOTH PCOS AND PERIODONTAL DISEASE</w:t>
      </w:r>
      <w:commentRangeEnd w:id="10"/>
      <w:r w:rsidR="00920148">
        <w:rPr>
          <w:rStyle w:val="CommentReference"/>
        </w:rPr>
        <w:commentReference w:id="10"/>
      </w:r>
    </w:p>
    <w:p w14:paraId="63C7F93B" w14:textId="73BB0BA0" w:rsidR="00F563D1" w:rsidRPr="008001AF" w:rsidRDefault="003E1886" w:rsidP="008001AF">
      <w:pPr>
        <w:spacing w:line="360" w:lineRule="auto"/>
        <w:jc w:val="both"/>
        <w:rPr>
          <w:rFonts w:ascii="Times New Roman" w:hAnsi="Times New Roman" w:cs="Times New Roman"/>
          <w:bCs/>
          <w:sz w:val="24"/>
          <w:szCs w:val="24"/>
        </w:rPr>
      </w:pPr>
      <w:r w:rsidRPr="00A960BE">
        <w:rPr>
          <w:rFonts w:ascii="Times New Roman" w:hAnsi="Times New Roman" w:cs="Times New Roman"/>
          <w:bCs/>
          <w:sz w:val="24"/>
          <w:szCs w:val="24"/>
        </w:rPr>
        <w:t xml:space="preserve">          </w:t>
      </w:r>
      <w:r w:rsidR="00A960BE">
        <w:rPr>
          <w:rFonts w:ascii="Times New Roman" w:hAnsi="Times New Roman" w:cs="Times New Roman"/>
          <w:bCs/>
          <w:sz w:val="24"/>
          <w:szCs w:val="24"/>
        </w:rPr>
        <w:t xml:space="preserve">  </w:t>
      </w:r>
      <w:r w:rsidR="00A960BE" w:rsidRPr="00A960BE">
        <w:rPr>
          <w:rFonts w:ascii="Times New Roman" w:hAnsi="Times New Roman" w:cs="Times New Roman"/>
          <w:bCs/>
          <w:sz w:val="24"/>
          <w:szCs w:val="24"/>
        </w:rPr>
        <w:t xml:space="preserve">A critical factor in the development of both polycystic ovary syndrome (PCOS) and periodontitis is inflammation. Women with PCOS often have elevated levels of various inflammatory markers, which are associated with chronic, low-grade systemic inflammation. These markers include </w:t>
      </w:r>
      <w:r w:rsidR="008001AF" w:rsidRPr="008001AF">
        <w:rPr>
          <w:rFonts w:ascii="Times New Roman" w:hAnsi="Times New Roman" w:cs="Times New Roman"/>
          <w:bCs/>
          <w:sz w:val="24"/>
          <w:szCs w:val="24"/>
        </w:rPr>
        <w:t xml:space="preserve">Capsular-reactive protein (CRP), along with key inflammatory mediators such as interleukin 18 (IL-18), monocyte </w:t>
      </w:r>
      <w:proofErr w:type="spellStart"/>
      <w:r w:rsidR="008001AF" w:rsidRPr="008001AF">
        <w:rPr>
          <w:rFonts w:ascii="Times New Roman" w:hAnsi="Times New Roman" w:cs="Times New Roman"/>
          <w:bCs/>
          <w:sz w:val="24"/>
          <w:szCs w:val="24"/>
        </w:rPr>
        <w:t>chemoattractant</w:t>
      </w:r>
      <w:proofErr w:type="spellEnd"/>
      <w:r w:rsidR="008001AF" w:rsidRPr="008001AF">
        <w:rPr>
          <w:rFonts w:ascii="Times New Roman" w:hAnsi="Times New Roman" w:cs="Times New Roman"/>
          <w:bCs/>
          <w:sz w:val="24"/>
          <w:szCs w:val="24"/>
        </w:rPr>
        <w:t xml:space="preserve"> protein-1, macrophage inflammatory protein-1, and the overall</w:t>
      </w:r>
      <w:r w:rsidR="008001AF">
        <w:rPr>
          <w:rFonts w:ascii="Times New Roman" w:hAnsi="Times New Roman" w:cs="Times New Roman"/>
          <w:bCs/>
          <w:sz w:val="24"/>
          <w:szCs w:val="24"/>
        </w:rPr>
        <w:t xml:space="preserve"> white blood cell concentration</w:t>
      </w:r>
      <w:r w:rsidR="00A960BE" w:rsidRPr="00A960BE">
        <w:rPr>
          <w:rFonts w:ascii="Times New Roman" w:hAnsi="Times New Roman" w:cs="Times New Roman"/>
          <w:bCs/>
          <w:sz w:val="24"/>
          <w:szCs w:val="24"/>
        </w:rPr>
        <w:t>. Based on these linked biomarkers and increased oxidative stress, PCOS is potentially an inflammatory disorder</w:t>
      </w:r>
      <w:r w:rsidR="00D07D23" w:rsidRPr="006B6C4C">
        <w:rPr>
          <w:rFonts w:ascii="Times New Roman" w:hAnsi="Times New Roman" w:cs="Times New Roman"/>
          <w:sz w:val="24"/>
          <w:szCs w:val="24"/>
        </w:rPr>
        <w:t>.</w:t>
      </w:r>
      <w:r w:rsidR="00D3303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{"citationID":"UWeGcYNj","properties":{"formattedCitation":"\\super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D3303D"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[41</w:t>
      </w:r>
      <w:r w:rsidR="008E5E6B" w:rsidRPr="008E5E6B">
        <w:rPr>
          <w:rFonts w:ascii="Times New Roman" w:hAnsi="Times New Roman" w:cs="Times New Roman"/>
          <w:kern w:val="0"/>
          <w:sz w:val="24"/>
          <w:szCs w:val="24"/>
          <w:vertAlign w:val="superscript"/>
        </w:rPr>
        <w:t>]</w:t>
      </w:r>
      <w:r w:rsidR="00D3303D" w:rsidRPr="006B6C4C">
        <w:rPr>
          <w:rFonts w:ascii="Times New Roman" w:hAnsi="Times New Roman" w:cs="Times New Roman"/>
          <w:sz w:val="24"/>
          <w:szCs w:val="24"/>
        </w:rPr>
        <w:fldChar w:fldCharType="end"/>
      </w:r>
      <w:r w:rsidR="00A05625" w:rsidRPr="006B6C4C">
        <w:rPr>
          <w:rFonts w:ascii="Times New Roman" w:hAnsi="Times New Roman" w:cs="Times New Roman"/>
          <w:sz w:val="24"/>
          <w:szCs w:val="24"/>
        </w:rPr>
        <w:t xml:space="preserve"> </w:t>
      </w:r>
    </w:p>
    <w:p w14:paraId="4A659A97" w14:textId="2FD9AFAA" w:rsidR="004B518A" w:rsidRPr="008001AF" w:rsidRDefault="00A960BE" w:rsidP="008001AF">
      <w:pPr>
        <w:spacing w:line="360" w:lineRule="auto"/>
        <w:ind w:firstLine="720"/>
        <w:jc w:val="both"/>
      </w:pPr>
      <w:proofErr w:type="spellStart"/>
      <w:r w:rsidRPr="00A960BE">
        <w:rPr>
          <w:rFonts w:ascii="Times New Roman" w:hAnsi="Times New Roman" w:cs="Times New Roman"/>
          <w:sz w:val="24"/>
          <w:szCs w:val="24"/>
        </w:rPr>
        <w:t>Pro</w:t>
      </w:r>
      <w:r w:rsidR="009D4D04">
        <w:rPr>
          <w:rFonts w:ascii="Times New Roman" w:hAnsi="Times New Roman" w:cs="Times New Roman"/>
          <w:sz w:val="24"/>
          <w:szCs w:val="24"/>
        </w:rPr>
        <w:t>inflammatory</w:t>
      </w:r>
      <w:proofErr w:type="spellEnd"/>
      <w:r w:rsidR="009D4D04">
        <w:rPr>
          <w:rFonts w:ascii="Times New Roman" w:hAnsi="Times New Roman" w:cs="Times New Roman"/>
          <w:sz w:val="24"/>
          <w:szCs w:val="24"/>
        </w:rPr>
        <w:t xml:space="preserve"> </w:t>
      </w:r>
      <w:r w:rsidR="008001AF" w:rsidRPr="008001AF">
        <w:rPr>
          <w:rFonts w:ascii="Times New Roman" w:hAnsi="Times New Roman" w:cs="Times New Roman"/>
          <w:sz w:val="24"/>
          <w:szCs w:val="24"/>
        </w:rPr>
        <w:t xml:space="preserve">mediators like </w:t>
      </w:r>
      <w:proofErr w:type="spellStart"/>
      <w:r w:rsidR="008001AF" w:rsidRPr="008001AF">
        <w:rPr>
          <w:rFonts w:ascii="Times New Roman" w:hAnsi="Times New Roman" w:cs="Times New Roman"/>
          <w:sz w:val="24"/>
          <w:szCs w:val="24"/>
        </w:rPr>
        <w:t>tumor</w:t>
      </w:r>
      <w:proofErr w:type="spellEnd"/>
      <w:r w:rsidR="008001AF" w:rsidRPr="008001AF">
        <w:rPr>
          <w:rFonts w:ascii="Times New Roman" w:hAnsi="Times New Roman" w:cs="Times New Roman"/>
          <w:sz w:val="24"/>
          <w:szCs w:val="24"/>
        </w:rPr>
        <w:t xml:space="preserve"> necrosis factor alpha (TNFα) and interleukin-6 (IL-6)</w:t>
      </w:r>
      <w:r w:rsidR="008001AF">
        <w:rPr>
          <w:rFonts w:ascii="Times New Roman" w:hAnsi="Times New Roman" w:cs="Times New Roman"/>
          <w:sz w:val="24"/>
          <w:szCs w:val="24"/>
        </w:rPr>
        <w:t xml:space="preserve"> </w:t>
      </w:r>
      <w:r w:rsidR="008001AF" w:rsidRPr="008001AF">
        <w:rPr>
          <w:rFonts w:ascii="Times New Roman" w:hAnsi="Times New Roman" w:cs="Times New Roman"/>
          <w:sz w:val="24"/>
          <w:szCs w:val="24"/>
        </w:rPr>
        <w:t xml:space="preserve">orchestrate the immune response involved in </w:t>
      </w:r>
      <w:r w:rsidR="00555F4B">
        <w:rPr>
          <w:rFonts w:ascii="Times New Roman" w:hAnsi="Times New Roman" w:cs="Times New Roman"/>
          <w:sz w:val="24"/>
          <w:szCs w:val="24"/>
        </w:rPr>
        <w:t xml:space="preserve">periodontal disease progression. </w:t>
      </w:r>
      <w:r w:rsidRPr="00A960BE">
        <w:rPr>
          <w:rFonts w:ascii="Times New Roman" w:hAnsi="Times New Roman" w:cs="Times New Roman"/>
          <w:sz w:val="24"/>
          <w:szCs w:val="24"/>
        </w:rPr>
        <w:t>Elevated levels of TNFα and IL-6 in the serum and saliva of female PCOS patients may influence the production of IL-17 cyto</w:t>
      </w:r>
      <w:r w:rsidR="009D4D04">
        <w:rPr>
          <w:rFonts w:ascii="Times New Roman" w:hAnsi="Times New Roman" w:cs="Times New Roman"/>
          <w:sz w:val="24"/>
          <w:szCs w:val="24"/>
        </w:rPr>
        <w:t>kines, which is believed to act as</w:t>
      </w:r>
      <w:r w:rsidRPr="00A960BE">
        <w:rPr>
          <w:rFonts w:ascii="Times New Roman" w:hAnsi="Times New Roman" w:cs="Times New Roman"/>
          <w:sz w:val="24"/>
          <w:szCs w:val="24"/>
        </w:rPr>
        <w:t xml:space="preserve"> a ro</w:t>
      </w:r>
      <w:r w:rsidR="009D4D04">
        <w:rPr>
          <w:rFonts w:ascii="Times New Roman" w:hAnsi="Times New Roman" w:cs="Times New Roman"/>
          <w:sz w:val="24"/>
          <w:szCs w:val="24"/>
        </w:rPr>
        <w:t>le in the disease's advancement</w:t>
      </w:r>
      <w:r w:rsidR="0071693E" w:rsidRPr="006B6C4C">
        <w:rPr>
          <w:rFonts w:ascii="Times New Roman" w:hAnsi="Times New Roman" w:cs="Times New Roman"/>
          <w:sz w:val="24"/>
          <w:szCs w:val="24"/>
        </w:rPr>
        <w:t>.</w:t>
      </w:r>
      <w:r w:rsidR="001636D0"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{"citationID":"2QpAvdyL","properties":{"formattedCitation":"\\super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1636D0"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1</w:t>
      </w:r>
      <w:r w:rsidR="008E5E6B" w:rsidRPr="008E5E6B">
        <w:rPr>
          <w:rFonts w:ascii="Times New Roman" w:hAnsi="Times New Roman" w:cs="Times New Roman"/>
          <w:kern w:val="0"/>
          <w:sz w:val="24"/>
          <w:szCs w:val="24"/>
          <w:vertAlign w:val="superscript"/>
        </w:rPr>
        <w:t>]</w:t>
      </w:r>
      <w:r w:rsidR="001636D0" w:rsidRPr="006B6C4C">
        <w:rPr>
          <w:rFonts w:ascii="Times New Roman" w:hAnsi="Times New Roman" w:cs="Times New Roman"/>
          <w:sz w:val="24"/>
          <w:szCs w:val="24"/>
        </w:rPr>
        <w:fldChar w:fldCharType="end"/>
      </w:r>
    </w:p>
    <w:p w14:paraId="12F946B2" w14:textId="77777777" w:rsidR="00F563D1" w:rsidRDefault="00F563D1" w:rsidP="006B6C4C">
      <w:pPr>
        <w:spacing w:line="360" w:lineRule="auto"/>
        <w:jc w:val="both"/>
        <w:rPr>
          <w:rFonts w:ascii="Times New Roman" w:hAnsi="Times New Roman" w:cs="Times New Roman"/>
          <w:b/>
          <w:bCs/>
          <w:sz w:val="24"/>
          <w:szCs w:val="24"/>
        </w:rPr>
      </w:pPr>
    </w:p>
    <w:p w14:paraId="31DE77EA" w14:textId="23823C98" w:rsidR="003E1886" w:rsidRPr="00EC558B" w:rsidRDefault="003E1886" w:rsidP="00E41FA3">
      <w:pPr>
        <w:pStyle w:val="ListParagraph"/>
        <w:numPr>
          <w:ilvl w:val="0"/>
          <w:numId w:val="10"/>
        </w:numPr>
        <w:spacing w:line="360" w:lineRule="auto"/>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lastRenderedPageBreak/>
        <w:t xml:space="preserve">OBESITY IS CONNECTED TO BOTH PERIODONTAL DISEASE AND PCOS        </w:t>
      </w:r>
    </w:p>
    <w:p w14:paraId="6EF415B9" w14:textId="35E31ADC" w:rsidR="00D403B5" w:rsidRPr="006B6C4C" w:rsidRDefault="003E1886"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Studies have shown that 30–70% of women with PCOS are </w:t>
      </w:r>
      <w:r w:rsidR="00977C5E" w:rsidRPr="006B6C4C">
        <w:rPr>
          <w:rFonts w:ascii="Times New Roman" w:hAnsi="Times New Roman" w:cs="Times New Roman"/>
          <w:sz w:val="24"/>
          <w:szCs w:val="24"/>
        </w:rPr>
        <w:t>obese.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{"citationID":"DhDjqpgW","properties":{"formattedCitation":"\\super [50]\\nosupersub{}","plainCitation":"[50]","noteIndex":0},"citationItems":[{"id":310,"uris":["http://zotero.org/users/local/VoUUWtMF/items/IBUZ3BRQ"],"itemData":{"id":310,"type":"article-journal","abstract":"Polycystic ovary syndrome (PCOS) is one of the most common endocrinopathies in women of fertile age. Obesity is encountered in 30-70% of PCOS-affected women, and its presence significantly modifies both clinical and laboratory expression of the syndrome. Obesity increases the risk of co-morbidities associated with PCOS, such as impaired glucose tolerance and type 2 diabetes mellitus, hyperlipidemia and arterial hypertension. The etiopathogenesis of obesity in PCOS has not yet been exactly clarified. There clearly is a vicious circle of abdominal obesity, insulin resistance, and hyperadrogenemia. Differences in ghrelin and neuropeptide Y levels between PCOS patients and those with simple obesity were also described. Weight loss is the first choice recommendation for the treatment of clinical manifestations of PCOS, such as menstrual cycle irregularities, infertility or hirsutism. However, the best treatment approach in obese PCOS patients remains to be defined. Studies concerning different weight loss regimens, antiobesity drugs, bariatric surgery, insulin sensitizers, and hormonal therapy are reviewed.","container-title":"Obesity Facts","DOI":"10.1159/000194971","ISSN":"1662-4025","issue":"1","journalAbbreviation":"Obes Facts","language":"eng","note":"PMID: 20054201\nPMCID: PMC6444522","page":"26-35","source":"PubMed","title":"Obesity and polycystic ovary syndrome","volume":"2","author":[{"family":"Vrbikova","given":"Jana"},{"family":"Hainer","given":"Vojtech"}],"issued":{"date-parts":[["2009"]]}}}],"schema":"https://github.com/citation-style-language/schema/raw/master/csl-citation.json"} </w:instrText>
      </w:r>
      <w:r w:rsidR="00E10B4C"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2</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Additionally, studies show that compared to weight-matched controls, PCOS women have higher levels of abdominal fat, which results in </w:t>
      </w:r>
      <w:proofErr w:type="spellStart"/>
      <w:r w:rsidR="000B7C47" w:rsidRPr="006B6C4C">
        <w:rPr>
          <w:rFonts w:ascii="Times New Roman" w:hAnsi="Times New Roman" w:cs="Times New Roman"/>
          <w:sz w:val="24"/>
          <w:szCs w:val="24"/>
        </w:rPr>
        <w:t>hyperinsulinemia</w:t>
      </w:r>
      <w:proofErr w:type="spellEnd"/>
      <w:r w:rsidR="000B7C47" w:rsidRPr="006B6C4C">
        <w:rPr>
          <w:rFonts w:ascii="Times New Roman" w:hAnsi="Times New Roman" w:cs="Times New Roman"/>
          <w:sz w:val="24"/>
          <w:szCs w:val="24"/>
        </w:rPr>
        <w:t xml:space="preserve"> and </w:t>
      </w:r>
      <w:r w:rsidR="00977C5E" w:rsidRPr="006B6C4C">
        <w:rPr>
          <w:rFonts w:ascii="Times New Roman" w:hAnsi="Times New Roman" w:cs="Times New Roman"/>
          <w:sz w:val="24"/>
          <w:szCs w:val="24"/>
        </w:rPr>
        <w:t>IR.</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{"citationID":"godX3bLB","properties":{"formattedCitation":"\\super [51]\\nosupersub{}","plainCitation":"[51]","noteIndex":0},"citationItems":[{"id":316,"uris":["http://zotero.org/users/local/VoUUWtMF/items/54QMUBRE"],"itemData":{"id":316,"type":"article-journal","abstract":"CONTEXT: Increased abdominal fat has been linked to insulin resistance and increased cardiovascular risk. Because many patients with polycystic ovary syndrome (PCOS) present abdominal obesity, it may be the cause of insulin resistance in this disorder.\nSETTING: Fat quantity and distribution were evaluated by dual x-ray absorptiometry at the Departments of Clinical Medicine at the University of Palermo and the University of Naples, Italy.\nPATIENTS: A total of 110 patients with PCOS and 112 weight-matched controls were studied. Anthropometric data, blood glucose, serum insulin, and testosterone were evaluated. Total, trunk, and central abdominal fat quantity were measured by total-body dual x-ray absorptiometry.\nRESULTS: Compared with weight-matched controls, patients with PCOS had similar quantity of total and trunk fat but higher quantity of central abdominal fat. This difference was not observed when comparing obese PCOS and obese controls but depended on differences between overweight and normoweight patients and controls. All obese subjects, independently of having PCOS or not, had increased central abdominal fat. The same parameter was increased in 71% of overweight PCOS, 50% of overweight controls, and 30% of normoweight PCOS patients. PCOS patients with increased central abdominal fat had significantly higher (P &lt; 0.01) insulin levels and significantly reduced (P &lt; 0.01) insulin sensitivity than controls with similar quantities of central abdominal fat. Overweight PCOS patients with normal abdominal fat had significantly higher (P &lt; 0.05) insulin levels and significantly reduced (P &lt; 0.05) insulin sensitivity than overweight controls with normal abdominal fat.\nCONCLUSIONS: Most obese subjects, independent of being affected by PCOS, have an abdominal form of obesity. However, abdominal fat excess may not be the only determinant of insulin resistance in PCOS.","container-title":"The Journal of Clinical Endocrinology and Metabolism","DOI":"10.1210/jc.2006-2725","ISSN":"0021-972X","issue":"7","journalAbbreviation":"J Clin Endocrinol Metab","language":"eng","note":"PMID: 17405838","page":"2500-2505","source":"PubMed","title":"Abdominal fat quantity and distribution in women with polycystic ovary syndrome and extent of its relation to insulin resistance","volume":"92","author":[{"family":"Carmina","given":"Enrico"},{"family":"Bucchieri","given":"Salvo"},{"family":"Esposito","given":"Antonella"},{"family":"Del Puente","given":"Antonio"},{"family":"Mansueto","given":"Pasquale"},{"family":"Orio","given":"Francesco"},{"family":"Di Fede","given":"Gaetana"},{"family":"Rini","given":"Giovambattista"}],"issued":{"date-parts":[["2007",7]]}}}],"schema":"https://github.com/citation-style-language/schema/raw/master/csl-citation.json"} </w:instrText>
      </w:r>
      <w:r w:rsidR="00E10B4C"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3</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Inflammatory mediators and cytokines are released by adipose tissues, which help to further control inflammation. Higher levels of interleukin-6, TNF-α, and CRP have been associated with PCOS. These factors together lead to persistent low-grade inflammation and increase the risk of periodontal disease.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{"citationID":"fNBQ1YVk","properties":{"formattedCitation":"\\super [52]\\nosupersub{}","plainCitation":"[52]","noteIndex":0},"citationItems":[{"id":313,"uris":["http://zotero.org/users/local/VoUUWtMF/items/PJTPHU3W"],"itemData":{"id":313,"type":"article-journal","abstract":"Polycystic ovary syndrome (PCOS), a complex condition that affects women of reproductive age, is characterized by ovulatory dysfunction and androgen excess. Women with PCOS present higher prevalence of obesity, central adiposity, and dyslipidemia, and face increased risk of type 2 diabetes. PCOS is closely linked to functional derangements in adipose tissue. Adipocytes seem to be prone to hypertrophy when exposed to androgen excess, as experienced by women with PCOS, and both adipose tissue hypertrophy and hyperandrogenism are related to insulin resistance. Hypertrophic adipocytes are more susceptible to inflammation, apoptosis, fibrosis, and release of free fatty acids. Disturbed secretion of adipokines may also impact the pathophysiology of PCOS through their influence on metabolism and on sex steroid secretion. Chronic low-grade inflammation in PCOS is also related to hyperandrogenism and to the hypertrophy of adipocytes, causing compression phenomena in the stromal vessels, leading to adipose tissue hypoperfusion and altered secretion of cytokines. Lifestyle changes are the first-line intervention for reducing metabolic risks in PCOS and the addition of an insulin-sensitizing drug might be required. Nevertheless, there is not sufficient evidence in favor of any specific pharmacologic therapies to directly oppose inflammation. Further studies are warranted to identify an adipokine that could serve as an indirect marker of adipocyte production in PCOS, representing a reliable sign of metabolic alteration in this syndrome.","container-title":"Reproduction (Cambridge, England)","DOI":"10.1530/REP-14-0435","ISSN":"1741-7899","issue":"5","journalAbbreviation":"Reproduction","language":"eng","note":"PMID: 25628442","page":"R219-227","source":"PubMed","title":"Adipose tissue dysfunction, adipokines, and low-grade chronic inflammation in polycystic ovary syndrome","volume":"149","author":[{"family":"Spritzer","given":"Poli Mara"},{"family":"Lecke","given":"Sheila B."},{"family":"Satler","given":"Fabíola"},{"family":"Morsch","given":"Debora M."}],"issued":{"date-parts":[["2015",5]]}}}],"schema":"https://github.com/citation-style-language/schema/raw/master/csl-citation.json"} </w:instrText>
      </w:r>
      <w:r w:rsidR="00E10B4C"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4</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2A05CC" w:rsidRPr="006B6C4C">
        <w:rPr>
          <w:rFonts w:ascii="Times New Roman" w:hAnsi="Times New Roman" w:cs="Times New Roman"/>
          <w:sz w:val="24"/>
          <w:szCs w:val="24"/>
        </w:rPr>
        <w:t xml:space="preserve">  </w:t>
      </w:r>
    </w:p>
    <w:p w14:paraId="7AE05768" w14:textId="77777777" w:rsidR="00F563D1" w:rsidRDefault="00F563D1" w:rsidP="003E1886">
      <w:pPr>
        <w:spacing w:line="360" w:lineRule="auto"/>
        <w:jc w:val="both"/>
        <w:rPr>
          <w:rFonts w:ascii="Times New Roman" w:hAnsi="Times New Roman" w:cs="Times New Roman"/>
          <w:b/>
          <w:bCs/>
          <w:sz w:val="24"/>
          <w:szCs w:val="24"/>
        </w:rPr>
      </w:pPr>
    </w:p>
    <w:p w14:paraId="7CE3DCEB" w14:textId="5DEA006B" w:rsidR="003E1886" w:rsidRPr="00EC558B" w:rsidRDefault="003E1886" w:rsidP="00E41FA3">
      <w:pPr>
        <w:pStyle w:val="ListParagraph"/>
        <w:numPr>
          <w:ilvl w:val="0"/>
          <w:numId w:val="10"/>
        </w:numPr>
        <w:spacing w:line="360" w:lineRule="auto"/>
        <w:ind w:left="426"/>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OXIDATIVE STRESS IS ASSOCIATED WITH BOTH PCOS AND PERIODONTAL DISEASE</w:t>
      </w:r>
    </w:p>
    <w:p w14:paraId="76DA81ED" w14:textId="0D0FD0EE" w:rsidR="005C05B8" w:rsidRDefault="003E1886"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403B5"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5C05B8" w:rsidRPr="006B6C4C">
        <w:rPr>
          <w:rFonts w:ascii="Times New Roman" w:hAnsi="Times New Roman" w:cs="Times New Roman"/>
          <w:sz w:val="24"/>
          <w:szCs w:val="24"/>
        </w:rPr>
        <w:t>Inflammation and oxidative stress play crucial roles in various pathophysiologic</w:t>
      </w:r>
      <w:r w:rsidR="00787DCE">
        <w:rPr>
          <w:rFonts w:ascii="Times New Roman" w:hAnsi="Times New Roman" w:cs="Times New Roman"/>
          <w:sz w:val="24"/>
          <w:szCs w:val="24"/>
        </w:rPr>
        <w:t>al conditions, including body weight</w:t>
      </w:r>
      <w:r w:rsidR="005C05B8" w:rsidRPr="006B6C4C">
        <w:rPr>
          <w:rFonts w:ascii="Times New Roman" w:hAnsi="Times New Roman" w:cs="Times New Roman"/>
          <w:sz w:val="24"/>
          <w:szCs w:val="24"/>
        </w:rPr>
        <w:t xml:space="preserve">, diabetes mellitus, metabolic syndrome, atherosclerosis, chronic periodontitis, and polycystic ovary syndrome (PCOS). Increased oxidative stress is associated with these conditions, characterized by elevated levels of oxidative stress biomarkers such as </w:t>
      </w:r>
      <w:proofErr w:type="spellStart"/>
      <w:r w:rsidR="005C05B8" w:rsidRPr="006B6C4C">
        <w:rPr>
          <w:rFonts w:ascii="Times New Roman" w:hAnsi="Times New Roman" w:cs="Times New Roman"/>
          <w:sz w:val="24"/>
          <w:szCs w:val="24"/>
        </w:rPr>
        <w:t>malondialdehyde</w:t>
      </w:r>
      <w:proofErr w:type="spellEnd"/>
      <w:r w:rsidR="005C05B8" w:rsidRPr="006B6C4C">
        <w:rPr>
          <w:rFonts w:ascii="Times New Roman" w:hAnsi="Times New Roman" w:cs="Times New Roman"/>
          <w:sz w:val="24"/>
          <w:szCs w:val="24"/>
        </w:rPr>
        <w:t xml:space="preserve"> and reduced levels of antioxidants.</w:t>
      </w:r>
      <w:r w:rsidR="005C05B8"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{"citationID":"AWHKsX84","properties":{"formattedCitation":"\\super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5C05B8"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[20</w:t>
      </w:r>
      <w:r w:rsidR="008E5E6B" w:rsidRPr="008E5E6B">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p>
    <w:p w14:paraId="0FB2A058" w14:textId="1C397E22" w:rsidR="005C05B8"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05B8" w:rsidRPr="006B6C4C">
        <w:rPr>
          <w:rFonts w:ascii="Times New Roman" w:hAnsi="Times New Roman" w:cs="Times New Roman"/>
          <w:sz w:val="24"/>
          <w:szCs w:val="24"/>
        </w:rPr>
        <w:t xml:space="preserve">Two meta-analyses have highlighted the presence of elevated oxidative stress biomarkers in both chronic periodontitis and PCOS. Specifically, </w:t>
      </w:r>
      <w:proofErr w:type="spellStart"/>
      <w:r w:rsidR="005C05B8" w:rsidRPr="006B6C4C">
        <w:rPr>
          <w:rFonts w:ascii="Times New Roman" w:hAnsi="Times New Roman" w:cs="Times New Roman"/>
          <w:sz w:val="24"/>
          <w:szCs w:val="24"/>
        </w:rPr>
        <w:t>malondialdehyde</w:t>
      </w:r>
      <w:proofErr w:type="spellEnd"/>
      <w:r w:rsidR="005C05B8" w:rsidRPr="006B6C4C">
        <w:rPr>
          <w:rFonts w:ascii="Times New Roman" w:hAnsi="Times New Roman" w:cs="Times New Roman"/>
          <w:sz w:val="24"/>
          <w:szCs w:val="24"/>
        </w:rPr>
        <w:t xml:space="preserve"> levels were found to be increased, while levels of antioxidants were decreased in patients with these conditions.</w:t>
      </w:r>
      <w:r w:rsidR="005C05B8" w:rsidRPr="006B6C4C">
        <w:rPr>
          <w:rFonts w:ascii="Times New Roman" w:hAnsi="Times New Roman" w:cs="Times New Roman"/>
          <w:sz w:val="24"/>
          <w:szCs w:val="24"/>
        </w:rPr>
        <w:fldChar w:fldCharType="begin"/>
      </w:r>
      <w:r w:rsidR="00F03525">
        <w:rPr>
          <w:rFonts w:ascii="Times New Roman" w:hAnsi="Times New Roman" w:cs="Times New Roman"/>
          <w:sz w:val="24"/>
          <w:szCs w:val="24"/>
        </w:rPr>
        <w:instrText xml:space="preserve"> ADDIN ZOTERO_ITEM CSL_CITATION {"citationID":"Tl64zLVL","properties":{"formattedCitation":"\\super [16,53]\\nosupersub{}","plainCitation":"[16,53]","noteIndex":0},"citationItems":[{"id":224,"uris":["http://zotero.org/users/local/VoUUWtMF/items/MG2GLAIH"],"itemData":{"id":224,"type":"article-journal","abstract":"BACKGROUND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F."}],"issued":{"date-parts":[["2013"]]}},"label":"page"},{"id":329,"uris":["http://zotero.org/users/local/VoUUWtMF/items/98LU9GZC"],"itemData":{"id":329,"type":"article-journal","abstract":"Oxidative stress biomarkers have been observed in peripheral blood of chronic periodontitis patients; however, their associations with periodontitis were not consistent. This meta-analysis was performed to clarify the associations between chronic periodontitis and oxidative biomarkers in systemic circulation. Electronic searches of PubMed and Embase databases were performed until October 2014 and articles were selected to meet inclusion criteria. Data of oxidative biomarkers levels in peripheral blood of periodontitis patients and periodontal healthy controls were extracted to calculate standardized mean differences (SMDs) and 95% confidence intervals (CIs) by using random-effects model. Of 31 eligible articles, 16 articles with available data were included in meta-analysis. Our results showed that periodontitis patients had significantly lower levels of total antioxidant capacity (SMD = −2.02; 95% CI: −3.08, −0.96; P = 0.000) and higher levels of malondialdehyde (SMD = 0.99; 95% CI: 0.12, 1.86; P = 0.026) and nitric oxide (SMD = 4.98; 95% CI: 2.33, 7.63; P = 0.000) than periodontal healthy control. Superoxide dismutase levels between two groups were not significantly different (SMD = −1.72; 95% CI: −3.50, 0.07; P = 0.059). In conclusion, our meta-analysis showed that chronic periodontitis is significantly associated with circulating levels of three oxidative stress biomarkers, indicating a role of chronic periodontitis in systemic diseases.","container-title":"Disease Markers","DOI":"10.1155/2014/931083","ISSN":"0278-0240","journalAbbreviation":"Dis Markers","note":"PMID: 25477703\nPMCID: PMC4247950","page":"931083","source":"PubMed Central","title":"Systemic Oxidative Stress Biomarkers in Chronic Periodontitis: A Meta-Analysis","title-short":"Systemic Oxidative Stress Biomarkers in Chronic Periodontitis","volume":"2014","author":[{"family":"Liu","given":"Zhiqiang"},{"family":"Liu","given":"Yan"},{"family":"Song","given":"Yiqing"},{"family":"Zhang","given":"Xi"},{"family":"Wang","given":"Songlin"},{"family":"Wang","given":"Zuomin"}],"issued":{"date-parts":[["2014"]]}},"label":"page"}],"schema":"https://github.com/citation-style-language/schema/raw/master/csl-citation.json"} </w:instrText>
      </w:r>
      <w:r w:rsidR="005C05B8"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[6</w:t>
      </w:r>
      <w:proofErr w:type="gramStart"/>
      <w:r w:rsidR="00013EC7">
        <w:rPr>
          <w:rFonts w:ascii="Times New Roman" w:hAnsi="Times New Roman" w:cs="Times New Roman"/>
          <w:kern w:val="0"/>
          <w:sz w:val="24"/>
          <w:szCs w:val="24"/>
          <w:vertAlign w:val="superscript"/>
        </w:rPr>
        <w:t>,4</w:t>
      </w:r>
      <w:r w:rsidR="006A1330">
        <w:rPr>
          <w:rFonts w:ascii="Times New Roman" w:hAnsi="Times New Roman" w:cs="Times New Roman"/>
          <w:kern w:val="0"/>
          <w:sz w:val="24"/>
          <w:szCs w:val="24"/>
          <w:vertAlign w:val="superscript"/>
        </w:rPr>
        <w:t>5</w:t>
      </w:r>
      <w:proofErr w:type="gramEnd"/>
      <w:r w:rsidR="00F03525" w:rsidRPr="00F03525">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r w:rsidR="00F03525">
        <w:rPr>
          <w:rFonts w:ascii="Times New Roman" w:hAnsi="Times New Roman" w:cs="Times New Roman"/>
          <w:sz w:val="24"/>
          <w:szCs w:val="24"/>
        </w:rPr>
        <w:t xml:space="preserve"> </w:t>
      </w:r>
    </w:p>
    <w:p w14:paraId="55967D51" w14:textId="6EC8B3CA" w:rsidR="00EC47D3" w:rsidRPr="00F539A9"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55F4B" w:rsidRPr="00555F4B">
        <w:rPr>
          <w:rFonts w:ascii="Times New Roman" w:hAnsi="Times New Roman" w:cs="Times New Roman"/>
          <w:b/>
          <w:i/>
          <w:sz w:val="24"/>
          <w:szCs w:val="24"/>
        </w:rPr>
        <w:t>Dursun</w:t>
      </w:r>
      <w:proofErr w:type="spellEnd"/>
      <w:r w:rsidR="00555F4B" w:rsidRPr="00555F4B">
        <w:rPr>
          <w:rFonts w:ascii="Times New Roman" w:hAnsi="Times New Roman" w:cs="Times New Roman"/>
          <w:b/>
          <w:i/>
          <w:sz w:val="24"/>
          <w:szCs w:val="24"/>
        </w:rPr>
        <w:t xml:space="preserve"> et al.</w:t>
      </w:r>
      <w:r w:rsidR="00555F4B" w:rsidRPr="00555F4B">
        <w:rPr>
          <w:rFonts w:ascii="Times New Roman" w:hAnsi="Times New Roman" w:cs="Times New Roman"/>
          <w:sz w:val="24"/>
          <w:szCs w:val="24"/>
        </w:rPr>
        <w:t xml:space="preserve"> conducted a case-control study, which revealed that</w:t>
      </w:r>
      <w:r>
        <w:rPr>
          <w:rFonts w:ascii="Times New Roman" w:hAnsi="Times New Roman" w:cs="Times New Roman"/>
          <w:sz w:val="24"/>
          <w:szCs w:val="24"/>
        </w:rPr>
        <w:t xml:space="preserve"> </w:t>
      </w:r>
      <w:r w:rsidR="00DC4D95">
        <w:rPr>
          <w:rFonts w:ascii="Times New Roman" w:hAnsi="Times New Roman" w:cs="Times New Roman"/>
          <w:sz w:val="24"/>
          <w:szCs w:val="24"/>
        </w:rPr>
        <w:t xml:space="preserve">individuals with PCOS had elevated </w:t>
      </w:r>
      <w:r w:rsidR="00A960BE" w:rsidRPr="00A960BE">
        <w:rPr>
          <w:rFonts w:ascii="Times New Roman" w:hAnsi="Times New Roman" w:cs="Times New Roman"/>
          <w:sz w:val="24"/>
          <w:szCs w:val="24"/>
        </w:rPr>
        <w:t xml:space="preserve">periodontal index scores and greater gingival </w:t>
      </w:r>
      <w:proofErr w:type="spellStart"/>
      <w:r w:rsidR="00A960BE" w:rsidRPr="00A960BE">
        <w:rPr>
          <w:rFonts w:ascii="Times New Roman" w:hAnsi="Times New Roman" w:cs="Times New Roman"/>
          <w:sz w:val="24"/>
          <w:szCs w:val="24"/>
        </w:rPr>
        <w:t>crevicular</w:t>
      </w:r>
      <w:proofErr w:type="spellEnd"/>
      <w:r w:rsidR="00A960BE" w:rsidRPr="00A960BE">
        <w:rPr>
          <w:rFonts w:ascii="Times New Roman" w:hAnsi="Times New Roman" w:cs="Times New Roman"/>
          <w:sz w:val="24"/>
          <w:szCs w:val="24"/>
        </w:rPr>
        <w:t xml:space="preserve"> fluid (GCF) volume compared to age- and weight-matched healthy controls. Additionally, PCOS patients showed increased levels of myeloperoxidase and nitric oxide (NO) in GCF, suggesting the presence of local or periodontal oxidative stress.</w:t>
      </w:r>
      <w:r w:rsidR="00A960BE">
        <w:rPr>
          <w:rFonts w:ascii="Times New Roman" w:hAnsi="Times New Roman" w:cs="Times New Roman"/>
          <w:sz w:val="24"/>
          <w:szCs w:val="24"/>
        </w:rPr>
        <w:t xml:space="preserve"> </w:t>
      </w:r>
      <w:r w:rsidR="005C05B8" w:rsidRPr="006B6C4C">
        <w:rPr>
          <w:rFonts w:ascii="Times New Roman" w:hAnsi="Times New Roman" w:cs="Times New Roman"/>
          <w:sz w:val="24"/>
          <w:szCs w:val="24"/>
        </w:rPr>
        <w:t>Notably, serum NO levels remained unaltered, suggesting that the oxidative stress associated with PCOS primarily affects the periodontal tissues locally</w:t>
      </w:r>
      <w:r w:rsidR="0002365E" w:rsidRPr="006B6C4C">
        <w:rPr>
          <w:rFonts w:ascii="Times New Roman" w:hAnsi="Times New Roman" w:cs="Times New Roman"/>
          <w:sz w:val="24"/>
          <w:szCs w:val="24"/>
        </w:rPr>
        <w:t>.</w:t>
      </w:r>
      <w:r w:rsidR="0002365E"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{"citationID":"TzosqdIP","properties":{"formattedCitation":"\\super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02365E" w:rsidRPr="006B6C4C">
        <w:rPr>
          <w:rFonts w:ascii="Times New Roman" w:hAnsi="Times New Roman" w:cs="Times New Roman"/>
          <w:sz w:val="24"/>
          <w:szCs w:val="24"/>
        </w:rPr>
        <w:fldChar w:fldCharType="separate"/>
      </w:r>
      <w:r w:rsidR="001B1363">
        <w:rPr>
          <w:rFonts w:ascii="Times New Roman" w:hAnsi="Times New Roman" w:cs="Times New Roman"/>
          <w:kern w:val="0"/>
          <w:sz w:val="24"/>
          <w:szCs w:val="24"/>
          <w:vertAlign w:val="superscript"/>
        </w:rPr>
        <w:t>[30</w:t>
      </w:r>
      <w:r w:rsidR="008E5E6B" w:rsidRPr="008E5E6B">
        <w:rPr>
          <w:rFonts w:ascii="Times New Roman" w:hAnsi="Times New Roman" w:cs="Times New Roman"/>
          <w:kern w:val="0"/>
          <w:sz w:val="24"/>
          <w:szCs w:val="24"/>
          <w:vertAlign w:val="superscript"/>
        </w:rPr>
        <w:t>]</w:t>
      </w:r>
      <w:r w:rsidR="0002365E" w:rsidRPr="006B6C4C">
        <w:rPr>
          <w:rFonts w:ascii="Times New Roman" w:hAnsi="Times New Roman" w:cs="Times New Roman"/>
          <w:sz w:val="24"/>
          <w:szCs w:val="24"/>
        </w:rPr>
        <w:fldChar w:fldCharType="end"/>
      </w:r>
      <w:r w:rsidR="005C05B8" w:rsidRPr="006B6C4C">
        <w:rPr>
          <w:rFonts w:ascii="Times New Roman" w:hAnsi="Times New Roman" w:cs="Times New Roman"/>
          <w:sz w:val="24"/>
          <w:szCs w:val="24"/>
        </w:rPr>
        <w:t xml:space="preserve"> </w:t>
      </w:r>
    </w:p>
    <w:p w14:paraId="7333CED1" w14:textId="0CA57BDF" w:rsidR="00D3303D"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D3303D" w:rsidRPr="00EC558B">
        <w:rPr>
          <w:rFonts w:ascii="Times New Roman" w:hAnsi="Times New Roman" w:cs="Times New Roman"/>
          <w:b/>
          <w:bCs/>
          <w:i/>
          <w:iCs/>
          <w:sz w:val="24"/>
          <w:szCs w:val="24"/>
        </w:rPr>
        <w:t>ADVANCED GLYCATED END PRODUCTS</w:t>
      </w:r>
      <w:r w:rsidR="000E7A77" w:rsidRPr="00EC558B">
        <w:rPr>
          <w:rFonts w:ascii="Times New Roman" w:hAnsi="Times New Roman" w:cs="Times New Roman"/>
          <w:b/>
          <w:bCs/>
          <w:i/>
          <w:iCs/>
          <w:sz w:val="24"/>
          <w:szCs w:val="24"/>
        </w:rPr>
        <w:t xml:space="preserve"> IS LINKED WITH BOTH PCOS AND PERIODONTAL DISEASE</w:t>
      </w:r>
    </w:p>
    <w:p w14:paraId="65D8255A" w14:textId="007157E0" w:rsidR="00F271B9" w:rsidRDefault="00D3303D" w:rsidP="006B6C4C">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lastRenderedPageBreak/>
        <w:t xml:space="preserve">      </w:t>
      </w:r>
      <w:r w:rsidR="00A960BE" w:rsidRPr="00A960BE">
        <w:rPr>
          <w:rFonts w:ascii="Times New Roman" w:hAnsi="Times New Roman" w:cs="Times New Roman"/>
          <w:sz w:val="24"/>
          <w:szCs w:val="24"/>
        </w:rPr>
        <w:t xml:space="preserve">In individuals with PCOS, reactive oxygen species trigger systemic oxidative stress, contributing to the development of insulin resistance (IR) and Advanced </w:t>
      </w:r>
      <w:proofErr w:type="spellStart"/>
      <w:r w:rsidR="00A960BE" w:rsidRPr="00A960BE">
        <w:rPr>
          <w:rFonts w:ascii="Times New Roman" w:hAnsi="Times New Roman" w:cs="Times New Roman"/>
          <w:sz w:val="24"/>
          <w:szCs w:val="24"/>
        </w:rPr>
        <w:t>Glycation</w:t>
      </w:r>
      <w:proofErr w:type="spellEnd"/>
      <w:r w:rsidR="00A960BE" w:rsidRPr="00A960BE">
        <w:rPr>
          <w:rFonts w:ascii="Times New Roman" w:hAnsi="Times New Roman" w:cs="Times New Roman"/>
          <w:sz w:val="24"/>
          <w:szCs w:val="24"/>
        </w:rPr>
        <w:t xml:space="preserve"> End Products (AGE)</w:t>
      </w:r>
      <w:r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{"citationID":"91TutsXS","properties":{"formattedCitation":"\\super [54]\\nosupersub{}","plainCitation":"[54]","noteIndex":0},"citationItems":[{"id":332,"uris":["http://zotero.org/users/local/VoUUWtMF/items/JQ9X8MPM"],"itemData":{"id":332,"type":"article-journal","abstract":"BACKGROUND: Nonenzymatic advanced glycation and oxidation end-products, advanced glycation end-products (AGEs), impart a potent impact on vessels and other tissues in diabetic state and in euglycaemic conditions with increased oxidative stress. Insulin resistant (IR) polycystic ovary syndrome (PCOS) women, have elevated serum AGEs, increased receptor (RAGE) expression, and increased deposition with differential localization in the polycystic ovarian tissue (theca and granulosa) compared to normal.\nOBJECTIVE: To determine whether the raised AGE levels in noninsulin resistant women with PCOS is a distinct finding compared with those presenting the isolated components of the syndrome and among PCOS subphenotypes. Noninsulin resistant women were selected in order to show that serum AGEs are elevated in PCOS independently of the presence of IR.\nDESIGN: Clinical trial.\nPATIENTS: One hundred and ninety-three age- and BMI-matched young lean noninsulin resistant women were studied. Among them, 100 women were diagnosed with PCOS according to Rotterdam criteria, and divided to subphenotypes (hyperandrogenaemia with or without PCO morphology and with or without anovulation). Sixty-eight women with the isolated components of the PCOS phenotype were also studied along with 25 healthy women.\nMEASUREMENTS: Serum AGE levels, metabolic, hormonal profiles and intravaginal ultrasound were determined in all subjects.\nRESULTS: The studied population did not differ in BMI, fasting insulin concentration, waist : hip and glucose : insulin ratios. PCOS women exhibited statistically higher AGEs levels (7.96 +/- 1.87 U/ml, P &lt; 0.001) compared with those with isolated hyperandrogenaemia (5.61 +/- 0.61 U/ml), anovulation (5.53 +/- 1.06 U/ml), US-PCO morphology (5.26 +/- 0.25 U/ml) and controls (5.86 +/- 0.89 U/ml).\nCONCLUSIONS: In PCOS, serum AGEs are distinctly elevated compared with women having the isolated characteristics of the syndrome. No difference was observed between PCOS subphenotypes. As chronic inflammation and increased oxidant stress have been incriminated in the pathophysiology of PCOS, the role of AGEs as inflammatory and oxidant mediators, may be linked with the metabolic and reproductive abnormalities of the syndrome.","container-title":"Clinical Endocrinology","DOI":"10.1111/j.1365-2265.2008.03247.x","ISSN":"1365-2265","issue":"4","journalAbbreviation":"Clin Endocrinol (Oxf)","language":"eng","note":"PMID: 18363886","page":"634-641","source":"PubMed","title":"Increased serum advanced glycation end-products is a distinct finding in lean women with polycystic ovary syndrome (PCOS)","volume":"69","author":[{"family":"Diamanti-Kandarakis","given":"Evanthia"},{"family":"Katsikis","given":"Ilias"},{"family":"Piperi","given":"Christina"},{"family":"Kandaraki","given":"Eleni"},{"family":"Piouka","given":"Athanasia"},{"family":"Papavassiliou","given":"Athanasios G."},{"family":"Panidis","given":"Dimitrios"}],"issued":{"date-parts":[["2008",10]]}}}],"schema":"https://github.com/citation-style-language/schema/raw/master/csl-citation.json"}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[46</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r w:rsidR="00A960BE" w:rsidRPr="00A960BE">
        <w:rPr>
          <w:rFonts w:ascii="Times New Roman" w:hAnsi="Times New Roman" w:cs="Times New Roman"/>
          <w:sz w:val="24"/>
          <w:szCs w:val="24"/>
        </w:rPr>
        <w:t xml:space="preserve">AGE compounds adversely affect the progression and severity of periodontal disease. They promote oxidative stress in the gums through their interaction with the RAGE (Receptor for Advanced </w:t>
      </w:r>
      <w:proofErr w:type="spellStart"/>
      <w:r w:rsidR="00A960BE" w:rsidRPr="00A960BE">
        <w:rPr>
          <w:rFonts w:ascii="Times New Roman" w:hAnsi="Times New Roman" w:cs="Times New Roman"/>
          <w:sz w:val="24"/>
          <w:szCs w:val="24"/>
        </w:rPr>
        <w:t>Glycation</w:t>
      </w:r>
      <w:proofErr w:type="spellEnd"/>
      <w:r w:rsidR="00A960BE" w:rsidRPr="00A960BE">
        <w:rPr>
          <w:rFonts w:ascii="Times New Roman" w:hAnsi="Times New Roman" w:cs="Times New Roman"/>
          <w:sz w:val="24"/>
          <w:szCs w:val="24"/>
        </w:rPr>
        <w:t xml:space="preserve"> End Produc</w:t>
      </w:r>
      <w:r w:rsidR="00A960BE">
        <w:rPr>
          <w:rFonts w:ascii="Times New Roman" w:hAnsi="Times New Roman" w:cs="Times New Roman"/>
          <w:sz w:val="24"/>
          <w:szCs w:val="24"/>
        </w:rPr>
        <w:t>ts), accelerating tissue damage</w:t>
      </w:r>
      <w:r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{"citationID":"Roe1gaaO","properties":{"formattedCitation":"\\super [55]\\nosupersub{}","plainCitation":"[55]","noteIndex":0},"citationItems":[{"id":334,"uris":["http://zotero.org/users/local/VoUUWtMF/items/ML5VSJ6J"],"itemData":{"id":334,"type":"article-journal","abstract":"We hypothesized that one mechanism underlying advanced periodontal disease in diabetes may involve oxidant stress in the gingiva, induced by the effects of Advanced Glycation Endproducts (AGEs), the irreversible products of non-enzymatic glycation and oxidation of proteins and lipids which accumulate in diabetic plasma and tissue. Infusion of AGE albumin, a prototypic ligand, into mice resulted in increased generation of thiobarbituric acid reactive substances (TBARS) compared with infusion of non-glycated albumin in the gingiva, as well as in the lung, kidney and brain. Pretreatment of the animals with the antioxidants probucol or N-acetylcysteine (NAC) prevented the generation of TBARS in the gingiva. Affinity-purified antibody to AGEs demonstrated increased immunoreactivity for AGEs in the vasculature and connective tissues of the gingiva in streptozotocin-induced diabetic mice compared to non-diabetic controls. Increased immunoreactivity for AGEs was also demonstrated in the gingiva of diabetic humans compared with non-diabetic individuals via immunohistochemistry and ELISA. Consistent with these data, immunohistochemistry for heme oxygenase-1, a marker of enhanced oxidant stress, was increased in the gingival vasculature of diabetic mice and humans compared with non-diabetic controls. These data suggest that AGEs present in diabetic gingiva may be associated with a state of enhanced oxidant stress, a potential mechanism for accelerated tissue injury.","container-title":"Journal of Periodontal Research","DOI":"10.1111/j.1600-0765.1996.tb01417.x","ISSN":"0022-3484","issue":"7","journalAbbreviation":"J Periodontal Res","language":"eng","note":"PMID: 8915955","page":"508-515","source":"PubMed","title":"Advanced glycation endproducts (AGEs) induce oxidant stress in the gingiva: a potential mechanism underlying accelerated periodontal disease associated with diabetes","title-short":"Advanced glycation endproducts (AGEs) induce oxidant stress in the gingiva","volume":"31","author":[{"family":"Schmidt","given":"A. M."},{"family":"Weidman","given":"E."},{"family":"Lalla","given":"E."},{"family":"Yan","given":"S. D."},{"family":"Hori","given":"O."},{"family":"Cao","given":"R."},{"family":"Brett","given":"J. G."},{"family":"Lamster","given":"I. B."}],"issued":{"date-parts":[["1996",10]]}}}],"schema":"https://github.com/citation-style-language/schema/raw/master/csl-citation.json"}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[47</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Periodontal tissues with high RAGE expression are vulnerable to products of oxidative stress.</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{"citationID":"sa5WrhBj","properties":{"formattedCitation":"\\super [56]\\nosupersub{}","plainCitation":"[56]","noteIndex":0},"citationItems":[{"id":336,"uris":["http://zotero.org/users/local/VoUUWtMF/items/KLIN5CCG"],"itemData":{"id":336,"type":"article-journal","abstract":"OBJECTIVES: Relationship between diabetes and periodontal disease is well established. It has been shown that advanced glycation end-products (AGEs) might exert noxious effects on gingival tissues through its receptor. Evidence for the role of receptors of AGE (RAGE) in periodontal disease was verified in a murine model for diabetes. However, the presence of RAGE in human gingival tissues has not been demonstrated previously. In this study we demonstrate the presence of RAGE in human periodontium in patients with chronic periodontitis with and without type 2 diabetes.\nMATERIAL AND METHODS: Gingival biopsies from eight patients with both type 2 diabetes and chronic periodontitis and 14 healthy control subjects with chronic periodontitis were immunohistochemically stained for RAGE. Five samples from the study groups and four controls were subjected to reverse transcriptase coupled to polymerase chain reaction (RT-PCR) for quantitative determination of mRNA for RAGE.\nRESULTS: On immunohistochemistry, positive staining for RAGE was seen in the endothelium and the basal and spinous layer of the inflamed gingival epithelium in both type 2 diabetes and non-diabetes tissue with no statistically significant difference between both groups. RT-PCR, however, showed a 50% increase in mRNA for RAGE in the gingiva of diabetic patients when compared with controls (p&lt;0.05).\nCONCLUSIONS: Although there was no change in the staining intensity for RAGE between both groups, the increase in the mRNA for RAGE in the type 2 diabetes gingival epithelium may indicate a possible involvement of this receptor in the periodontal destruction in type 2 diabetes.","container-title":"Journal of Clinical Periodontology","DOI":"10.1111/j.1600-051X.2004.00623.x","ISSN":"0303-6979","issue":"1","journalAbbreviation":"J Clin Periodontol","language":"eng","note":"PMID: 15642057","page":"40-44","source":"PubMed","title":"Expression of the receptor of advanced glycation end products in gingival tissues of type 2 diabetes patients with chronic periodontal disease: a study utilizing immunohistochemistry and RT-PCR","title-short":"Expression of the receptor of advanced glycation end products in gingival tissues of type 2 diabetes patients with chronic periodontal disease","volume":"32","author":[{"family":"Katz","given":"J."},{"family":"Bhattacharyya","given":"I."},{"family":"Farkhondeh-Kish","given":"F."},{"family":"Perez","given":"F. M."},{"family":"Caudle","given":"R. M."},{"family":"Heft","given":"M. W."}],"issued":{"date-parts":[["2005",1]]}}}],"schema":"https://github.com/citation-style-language/schema/raw/master/csl-citation.json"}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[48</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p>
    <w:p w14:paraId="13F0C3E4" w14:textId="77777777" w:rsidR="00603923" w:rsidRDefault="00603923" w:rsidP="006B6C4C">
      <w:pPr>
        <w:spacing w:line="360" w:lineRule="auto"/>
        <w:jc w:val="both"/>
        <w:rPr>
          <w:rFonts w:ascii="Times New Roman" w:hAnsi="Times New Roman" w:cs="Times New Roman"/>
          <w:sz w:val="24"/>
          <w:szCs w:val="24"/>
        </w:rPr>
      </w:pPr>
    </w:p>
    <w:p w14:paraId="517F5846" w14:textId="438DC984" w:rsidR="00CD31F3" w:rsidRPr="00EC558B" w:rsidRDefault="00E41FA3" w:rsidP="00E41FA3">
      <w:pPr>
        <w:pStyle w:val="ListParagraph"/>
        <w:numPr>
          <w:ilvl w:val="0"/>
          <w:numId w:val="10"/>
        </w:numPr>
        <w:spacing w:line="360" w:lineRule="auto"/>
        <w:ind w:left="284" w:hanging="142"/>
        <w:jc w:val="both"/>
        <w:rPr>
          <w:rFonts w:ascii="Times New Roman" w:hAnsi="Times New Roman" w:cs="Times New Roman"/>
          <w:i/>
          <w:iCs/>
          <w:sz w:val="24"/>
          <w:szCs w:val="24"/>
        </w:rPr>
      </w:pPr>
      <w:r>
        <w:rPr>
          <w:rFonts w:ascii="Times New Roman" w:hAnsi="Times New Roman" w:cs="Times New Roman"/>
          <w:b/>
          <w:bCs/>
          <w:sz w:val="24"/>
          <w:szCs w:val="24"/>
        </w:rPr>
        <w:t xml:space="preserve"> </w:t>
      </w:r>
      <w:commentRangeStart w:id="11"/>
      <w:r w:rsidR="00CD31F3" w:rsidRPr="00EC558B">
        <w:rPr>
          <w:rFonts w:ascii="Times New Roman" w:hAnsi="Times New Roman" w:cs="Times New Roman"/>
          <w:b/>
          <w:bCs/>
          <w:i/>
          <w:iCs/>
          <w:sz w:val="24"/>
          <w:szCs w:val="24"/>
        </w:rPr>
        <w:t>BONE RESORPTION</w:t>
      </w:r>
      <w:r w:rsidR="000E7A77" w:rsidRPr="00EC558B">
        <w:rPr>
          <w:rFonts w:ascii="Times New Roman" w:hAnsi="Times New Roman" w:cs="Times New Roman"/>
          <w:b/>
          <w:bCs/>
          <w:i/>
          <w:iCs/>
          <w:sz w:val="24"/>
          <w:szCs w:val="24"/>
        </w:rPr>
        <w:t xml:space="preserve"> IS LINKED WITH BOTH PCOS AND PERIODONTAL DISEASE</w:t>
      </w:r>
      <w:commentRangeEnd w:id="11"/>
      <w:r w:rsidR="00920148">
        <w:rPr>
          <w:rStyle w:val="CommentReference"/>
        </w:rPr>
        <w:commentReference w:id="11"/>
      </w:r>
    </w:p>
    <w:p w14:paraId="14F5E170" w14:textId="53632CB7" w:rsidR="00E41FA3" w:rsidRDefault="00CD31F3" w:rsidP="00E41FA3">
      <w:pPr>
        <w:spacing w:line="360" w:lineRule="auto"/>
        <w:jc w:val="both"/>
        <w:rPr>
          <w:rFonts w:ascii="Times New Roman" w:hAnsi="Times New Roman" w:cs="Times New Roman"/>
          <w:sz w:val="24"/>
          <w:szCs w:val="24"/>
        </w:rPr>
      </w:pPr>
      <w:r w:rsidRPr="006B6C4C">
        <w:rPr>
          <w:rFonts w:ascii="Times New Roman" w:hAnsi="Times New Roman" w:cs="Times New Roman"/>
          <w:b/>
          <w:bCs/>
          <w:sz w:val="24"/>
          <w:szCs w:val="24"/>
        </w:rPr>
        <w:t xml:space="preserve">        </w:t>
      </w:r>
      <w:r w:rsidRPr="006B6C4C">
        <w:rPr>
          <w:rFonts w:ascii="Times New Roman" w:hAnsi="Times New Roman" w:cs="Times New Roman"/>
          <w:sz w:val="24"/>
          <w:szCs w:val="24"/>
        </w:rPr>
        <w:t>Osteoporosis is more common in women with PCOS.</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{"citationID":"nRfwgPgv","properties":{"formattedCitation":"\\super [57]\\nosupersub{}","plainCitation":"[57]","noteIndex":0},"citationItems":[{"id":338,"uris":["http://zotero.org/users/local/VoUUWtMF/items/P4F9APXN"],"itemData":{"id":338,"type":"article-journal","abstract":"According to the World Health Organization (WHO) polycystic ovary syndrome (PCOS) occurs in 4-8% of women worldwide. The prevalence of PCOS in Indian adolescents is 12.2% according to the Indian Council of Medical Research (ICMR). The National Institute of Health has documented that it affects approximately 5 million women of reproductive age in the United States. Hormonal imbalance is the characteristic of many women with polycystic ovarian syndrome (PCOS). The influence of various endocrine changes in PCOS women and their relevance to bone remains to be documented. Hormones, which include gonadotrophin-releasing hormone (GnRH), insulin, the leutinizing/follicle-stimulating hormone (LH/FSH) ratio, androgens, estrogens, growth hormones (GH), cortisol, parathyroid hormone (PTH) and calcitonin are disturbed in PCOS women. These hormones influence bone metabolism in human subjects directly as well as indirectly. The imbalance in these hormones results in increased prevalence of osteoporosis in PCOS women. Limited evidence suggests that the drugs taken during the treatment of PCOS increase the risk of bone fracture in PCOS patients through endocrine disruption. This review is aimed at the identification of the relationship between bone mineral density and hormonal changes in PCOS subjects and identifies potential areas to study bone-related disorders in PCOS women.","container-title":"The Journal of Endocrinology","DOI":"10.1530/JOE-16-0405","ISSN":"1479-6805","issue":"2","journalAbbreviation":"J Endocrinol","language":"eng","note":"PMID: 27895088","page":"R99-R113","source":"PubMed","title":"Hormonal alterations in PCOS and its influence on bone metabolism","volume":"232","author":[{"family":"Krishnan","given":"Abhaya"},{"family":"Muthusami","given":"Sridhar"}],"issued":{"date-parts":[["2017",2]]}}}],"schema":"https://github.com/citation-style-language/schema/raw/master/csl-citation.json"}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[49</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Several studies have found links between periodontal disorders and low bone mineral density (BMD), clinical attachment loss, alveolar bone loss, and accelerated tooth loss.</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{"citationID":"Tise32a5","properties":{"formattedCitation":"\\super [58]\\nosupersub{}","plainCitation":"[58]","noteIndex":0},"citationItems":[{"id":341,"uris":["http://zotero.org/users/local/VoUUWtMF/items/IGVUF582"],"itemData":{"id":341,"type":"article-journal","abstract":"BACKGROUND: Polycystic ovary syndrome (PCOS) has reproductive and metabolic aspects that may affect bone health. Controversial results from different studies regarding the risk of fractures, bone mineral density (BMD) or bone markers led to uncertainty whether PCOS might improve or deteriorate bone health.\nOBJECTIVE AND RATIONALE: This study aimed to investigate the impact of PCOS on bone markers, BMD and fracture risk.\nSEARCH METHODS: A systematic review and a meta-analysis were carried out. PubMed, EMBASE and Cochrane databases were searched for eligible studies from 1st of January of 1990 to 9th of October of 2018. Eligible studies enrolled women older than 18 years with PCOS, which should be diagnosed according to the Rotterdam Consensus, the Androgen Excess Society, the National Institutes of Health Consensus or the International Classification of Diseases. The studies were grouped according to patient mean BMI: &lt;27 kg/m2 or ≥27 kg/m2. The results were polled as mean difference (MD), standardized MD (SMD) and hazard ratio (HR).\nOUTCOMES: Overall, 921 studies were retrieved, and 31 duplicated studies were removed. After screening the titles and abstracts, 80 studies were eligible for full text reading. Of those, 23 studies remained for qualitative synthesis. With the exception of one study, all studies were considered high quality based on the Newcastle-Ottawa scale (NOS; score ≥6). Meta-analysis was performed in 21 studies, with a total of 31 383 women with PCOS and 102 797 controls. Women with PCOS with BMI &lt;27 kg/m2 had lower BMD of the total femur (MD, -0.04; 95% CI, -0.07 to 0.00; I2 = 31%; P = 0.22) and spine (MD, -0.07; 95% CI, -0.13 to -0.01; I2 = 70%; P &lt; 0.01) when compared with the control group, whereas for women with BMI ≥27 kg/m2 no difference was observed (femur: MD, 0.02; 95% CI, -0.02 to 0.05; I2 = 20%, P = 0.29; spine: MD, 0.02; 95% CI, -0.06 to 0.05; I2 = 0%; P = 0.84). Osteocalcin was remarkably reduced in women with PCOS with BMI &lt;27 kg/m2 (SMD, -2.68; 95% CI, -4.70 to -0.67; I2 = 98%; P &lt; 0.01), but in women with BMI ≥27 kg/m2, there were no differences between PCOS and controls. Few studies (n = 3) addressed the incidence of bone fractures in women with PCOS. The HR for total bone fractures did not identify differences between women with PCOS and controls.\nWIDER IMPLICATIONS: On the basis of the available evidence, it is possible to assume that PCOS in women with BMI &lt;27 kg/m2 is associated with reduced BMD in the spine and femur, and decreased bone formation, as manifested by lower levels of circulating osteocalcin. These findings suggest that bone parameters in PCOS may be linked, to some extent, to adiposity. These studies included premenopausal women, who have already achieved peak bone mass. Hence, further prospective studies are necessary to clarify the existence of increased risk of fractures in women with PCOS.","container-title":"Human Reproduction Update","DOI":"10.1093/humupd/dmz020","ISSN":"1460-2369","issue":"5","journalAbbreviation":"Hum Reprod Update","language":"eng","note":"PMID: 31374576","page":"633-645","source":"PubMed","title":"Negative impact of polycystic ovary syndrome on bone health: a systematic review and meta-analysis","title-short":"Negative impact of polycystic ovary syndrome on bone health","volume":"25","author":[{"family":"Piovezan","given":"Júlia Mottecy"},{"family":"Premaor","given":"Melissa Orlandin"},{"family":"Comim","given":"Fábio Vasconcellos"}],"issued":{"date-parts":[["2019",9,11]]}}}],"schema":"https://github.com/citation-style-language/schema/raw/master/csl-citation.json"}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[50</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Obesity, IR, and </w:t>
      </w:r>
      <w:proofErr w:type="spellStart"/>
      <w:r w:rsidRPr="006B6C4C">
        <w:rPr>
          <w:rFonts w:ascii="Times New Roman" w:hAnsi="Times New Roman" w:cs="Times New Roman"/>
          <w:sz w:val="24"/>
          <w:szCs w:val="24"/>
        </w:rPr>
        <w:t>hyperandrogenism</w:t>
      </w:r>
      <w:proofErr w:type="spellEnd"/>
      <w:r w:rsidRPr="006B6C4C">
        <w:rPr>
          <w:rFonts w:ascii="Times New Roman" w:hAnsi="Times New Roman" w:cs="Times New Roman"/>
          <w:sz w:val="24"/>
          <w:szCs w:val="24"/>
        </w:rPr>
        <w:t xml:space="preserve"> are thought to be factors in women with PCOS having greater BMD. In these women, IR raises the expression of RANKL and reduces the expression of </w:t>
      </w:r>
      <w:proofErr w:type="spellStart"/>
      <w:r w:rsidRPr="006B6C4C">
        <w:rPr>
          <w:rFonts w:ascii="Times New Roman" w:hAnsi="Times New Roman" w:cs="Times New Roman"/>
          <w:sz w:val="24"/>
          <w:szCs w:val="24"/>
        </w:rPr>
        <w:t>osteoprotegerin</w:t>
      </w:r>
      <w:proofErr w:type="spellEnd"/>
      <w:r w:rsidRPr="006B6C4C">
        <w:rPr>
          <w:rFonts w:ascii="Times New Roman" w:hAnsi="Times New Roman" w:cs="Times New Roman"/>
          <w:sz w:val="24"/>
          <w:szCs w:val="24"/>
        </w:rPr>
        <w:t xml:space="preserve"> (OPG), both of which are critical for bone </w:t>
      </w:r>
      <w:proofErr w:type="spellStart"/>
      <w:r w:rsidRPr="006B6C4C">
        <w:rPr>
          <w:rFonts w:ascii="Times New Roman" w:hAnsi="Times New Roman" w:cs="Times New Roman"/>
          <w:sz w:val="24"/>
          <w:szCs w:val="24"/>
        </w:rPr>
        <w:t>resorption</w:t>
      </w:r>
      <w:proofErr w:type="spellEnd"/>
      <w:r w:rsidRPr="006B6C4C">
        <w:rPr>
          <w:rFonts w:ascii="Times New Roman" w:hAnsi="Times New Roman" w:cs="Times New Roman"/>
          <w:sz w:val="24"/>
          <w:szCs w:val="24"/>
        </w:rPr>
        <w:t xml:space="preserve">. </w:t>
      </w:r>
      <w:r w:rsidR="00555F4B" w:rsidRPr="00555F4B">
        <w:rPr>
          <w:rFonts w:ascii="Times New Roman" w:hAnsi="Times New Roman" w:cs="Times New Roman"/>
          <w:sz w:val="24"/>
          <w:szCs w:val="24"/>
        </w:rPr>
        <w:t>These results suggest that in women with PCOS, hormonal imbalance might accelerate the breakdown of bone tissue, potentially contributing to the development of periodontal conditions</w:t>
      </w:r>
      <w:r w:rsidRPr="006B6C4C">
        <w:rPr>
          <w:rFonts w:ascii="Times New Roman" w:hAnsi="Times New Roman" w:cs="Times New Roman"/>
          <w:sz w:val="24"/>
          <w:szCs w:val="24"/>
        </w:rPr>
        <w:t>.</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{"citationID":"jfujSNxd","properties":{"formattedCitation":"\\super [57]\\nosupersub{}","plainCitation":"[57]","noteIndex":0},"citationItems":[{"id":338,"uris":["http://zotero.org/users/local/VoUUWtMF/items/P4F9APXN"],"itemData":{"id":338,"type":"article-journal","abstract":"According to the World Health Organization (WHO) polycystic ovary syndrome (PCOS) occurs in 4-8% of women worldwide. The prevalence of PCOS in Indian adolescents is 12.2% according to the Indian Council of Medical Research (ICMR). The National Institute of Health has documented that it affects approximately 5 million women of reproductive age in the United States. Hormonal imbalance is the characteristic of many women with polycystic ovarian syndrome (PCOS). The influence of various endocrine changes in PCOS women and their relevance to bone remains to be documented. Hormones, which include gonadotrophin-releasing hormone (GnRH), insulin, the leutinizing/follicle-stimulating hormone (LH/FSH) ratio, androgens, estrogens, growth hormones (GH), cortisol, parathyroid hormone (PTH) and calcitonin are disturbed in PCOS women. These hormones influence bone metabolism in human subjects directly as well as indirectly. The imbalance in these hormones results in increased prevalence of osteoporosis in PCOS women. Limited evidence suggests that the drugs taken during the treatment of PCOS increase the risk of bone fracture in PCOS patients through endocrine disruption. This review is aimed at the identification of the relationship between bone mineral density and hormonal changes in PCOS subjects and identifies potential areas to study bone-related disorders in PCOS women.","container-title":"The Journal of Endocrinology","DOI":"10.1530/JOE-16-0405","ISSN":"1479-6805","issue":"2","journalAbbreviation":"J Endocrinol","language":"eng","note":"PMID: 27895088","page":"R99-R113","source":"PubMed","title":"Hormonal alterations in PCOS and its influence on bone metabolism","volume":"232","author":[{"family":"Krishnan","given":"Abhaya"},{"family":"Muthusami","given":"Sridhar"}],"issued":{"date-parts":[["2017",2]]}}}],"schema":"https://github.com/citation-style-language/schema/raw/master/csl-citation.json"}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[49</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p>
    <w:p w14:paraId="45E684F8" w14:textId="77777777" w:rsidR="00555F4B" w:rsidRDefault="00555F4B" w:rsidP="00E41FA3">
      <w:pPr>
        <w:spacing w:line="360" w:lineRule="auto"/>
        <w:jc w:val="both"/>
        <w:rPr>
          <w:rFonts w:ascii="Times New Roman" w:hAnsi="Times New Roman" w:cs="Times New Roman"/>
          <w:b/>
          <w:bCs/>
          <w:sz w:val="24"/>
          <w:szCs w:val="24"/>
        </w:rPr>
      </w:pPr>
    </w:p>
    <w:p w14:paraId="6D133353" w14:textId="3178ACF0" w:rsidR="00797FD6"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797FD6" w:rsidRPr="00EC558B">
        <w:rPr>
          <w:rFonts w:ascii="Times New Roman" w:hAnsi="Times New Roman" w:cs="Times New Roman"/>
          <w:b/>
          <w:bCs/>
          <w:i/>
          <w:iCs/>
          <w:sz w:val="24"/>
          <w:szCs w:val="24"/>
        </w:rPr>
        <w:t>HORMONAL IMBALANCE</w:t>
      </w:r>
      <w:r w:rsidR="000E7A77" w:rsidRPr="00EC558B">
        <w:rPr>
          <w:rFonts w:ascii="Times New Roman" w:hAnsi="Times New Roman" w:cs="Times New Roman"/>
          <w:b/>
          <w:bCs/>
          <w:i/>
          <w:iCs/>
          <w:sz w:val="24"/>
          <w:szCs w:val="24"/>
        </w:rPr>
        <w:t xml:space="preserve"> IS LINKED WITH BOTH PCOS AND PERIODONTAL DISEASE</w:t>
      </w:r>
    </w:p>
    <w:p w14:paraId="3E021DBE" w14:textId="2E4B7153" w:rsidR="006A1330" w:rsidRDefault="008F458D" w:rsidP="004C3E1A">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t xml:space="preserve">The correlation seen between PCOS and periodontal illnesses aligns with the theory that female sex hormones may cause gingivitis, given that PCOS is a hormonal condition </w:t>
      </w:r>
      <w:r w:rsidR="00161FD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{"citationID":"a12glv4ca20","properties":{"formattedCitation":"\\super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161FD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161FDC">
        <w:rPr>
          <w:rFonts w:ascii="Times New Roman" w:hAnsi="Times New Roman" w:cs="Times New Roman"/>
          <w:sz w:val="24"/>
          <w:szCs w:val="24"/>
        </w:rPr>
        <w:fldChar w:fldCharType="end"/>
      </w:r>
      <w:r w:rsidRPr="006B6C4C">
        <w:rPr>
          <w:rFonts w:ascii="Times New Roman" w:hAnsi="Times New Roman" w:cs="Times New Roman"/>
          <w:sz w:val="24"/>
          <w:szCs w:val="24"/>
        </w:rPr>
        <w:t>. It's crucial for periodontal healing as well</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{"citationID":"a23p9lqm0an","properties":{"formattedCitation":"\\super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rPr>
        <w:instrText>∼</w:instrText>
      </w:r>
      <w:r w:rsidR="008E5E6B">
        <w:rPr>
          <w:rFonts w:ascii="Times New Roman" w:hAnsi="Times New Roman" w:cs="Times New Roman"/>
          <w:sz w:val="24"/>
          <w:szCs w:val="24"/>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insufficiency in PCOS patients can reduce bone mineral density</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{"citationID":"ai8kj76eh4","properties":{"formattedCitation":"\\super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It has been suggested that insufficient levels of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which increases the risk of osteoporosis in women, may also have an impact on the oral cavity's hard and soft tissues, rendering them more susceptible to periodontal disease damage</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{"citationID":"a1m85tkj3dh","properties":{"formattedCitation":"\\super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A deficiency in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also leads to poor protection against bone </w:t>
      </w:r>
      <w:proofErr w:type="spellStart"/>
      <w:r w:rsidRPr="006B6C4C">
        <w:rPr>
          <w:rFonts w:ascii="Times New Roman" w:hAnsi="Times New Roman" w:cs="Times New Roman"/>
          <w:sz w:val="24"/>
          <w:szCs w:val="24"/>
        </w:rPr>
        <w:t>resorption</w:t>
      </w:r>
      <w:proofErr w:type="spellEnd"/>
      <w:r w:rsidRPr="006B6C4C">
        <w:rPr>
          <w:rFonts w:ascii="Times New Roman" w:hAnsi="Times New Roman" w:cs="Times New Roman"/>
          <w:sz w:val="24"/>
          <w:szCs w:val="24"/>
        </w:rPr>
        <w:t xml:space="preserve"> and decreased absorption of calcium, both of whi</w:t>
      </w:r>
      <w:r w:rsidR="004C3E1A">
        <w:rPr>
          <w:rFonts w:ascii="Times New Roman" w:hAnsi="Times New Roman" w:cs="Times New Roman"/>
          <w:sz w:val="24"/>
          <w:szCs w:val="24"/>
        </w:rPr>
        <w:t>ch can cause systemic bone loss</w:t>
      </w:r>
    </w:p>
    <w:p w14:paraId="01956AD3" w14:textId="2DE4C35C" w:rsidR="00110DE1" w:rsidRPr="00096908" w:rsidRDefault="00110DE1" w:rsidP="0017126E">
      <w:pPr>
        <w:spacing w:line="360" w:lineRule="auto"/>
        <w:jc w:val="both"/>
        <w:rPr>
          <w:rFonts w:ascii="Times New Roman" w:hAnsi="Times New Roman" w:cs="Times New Roman"/>
          <w:b/>
          <w:bCs/>
          <w:sz w:val="24"/>
          <w:szCs w:val="24"/>
        </w:rPr>
      </w:pPr>
      <w:bookmarkStart w:id="12" w:name="_Hlk174181554"/>
      <w:r>
        <w:rPr>
          <w:rFonts w:ascii="Times New Roman" w:hAnsi="Times New Roman" w:cs="Times New Roman"/>
          <w:b/>
          <w:bCs/>
          <w:sz w:val="24"/>
          <w:szCs w:val="24"/>
        </w:rPr>
        <w:t xml:space="preserve">                    </w:t>
      </w:r>
      <w:r w:rsidRPr="00110DE1">
        <w:rPr>
          <w:rFonts w:ascii="Times New Roman" w:hAnsi="Times New Roman" w:cs="Times New Roman"/>
          <w:b/>
          <w:bCs/>
          <w:sz w:val="24"/>
          <w:szCs w:val="24"/>
        </w:rPr>
        <w:t>Figure 4: Bidirectional relationship between PCOS and Periodontitis</w:t>
      </w:r>
      <w:bookmarkEnd w:id="12"/>
    </w:p>
    <w:p w14:paraId="29DA9FD1" w14:textId="593FD9DA" w:rsidR="0017126E" w:rsidRDefault="00920148" w:rsidP="0017126E">
      <w:pPr>
        <w:spacing w:line="360" w:lineRule="auto"/>
        <w:jc w:val="both"/>
        <w:rPr>
          <w:rFonts w:ascii="Times New Roman" w:hAnsi="Times New Roman" w:cs="Times New Roman"/>
          <w:sz w:val="24"/>
          <w:szCs w:val="24"/>
        </w:rPr>
      </w:pPr>
      <w:r>
        <w:rPr>
          <w:noProof/>
        </w:rPr>
        <w:lastRenderedPageBreak/>
        <w:pict w14:anchorId="70F4EC25">
          <v:rect id="Rectangle 1" o:spid="_x0000_s1027" style="position:absolute;left:0;text-align:left;margin-left:154pt;margin-top:12pt;width:130pt;height:36pt;z-index:251635200;visibility:visible;mso-wrap-distance-left:9pt;mso-wrap-distance-top:0;mso-wrap-distance-right:9pt;mso-wrap-distance-bottom:0;mso-position-horizontal-relative:text;mso-position-vertical-relative:text;v-text-anchor:middle" fillcolor="#f4b083 [1941]" strokecolor="#f4b083 [1941]" strokeweight="1pt">
            <v:fill color2="#fbe4d5 [661]" angle="-45" focus="-50%" type="gradient"/>
            <v:shadow on="t" type="perspective" color="#823b0b [1605]" opacity=".5" offset="1pt" offset2="-3pt"/>
            <v:textbox style="mso-next-textbox:#Rectangle 1">
              <w:txbxContent>
                <w:p w14:paraId="4BB21E12" w14:textId="77777777"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PERIODONTITIS</w:t>
                  </w:r>
                </w:p>
              </w:txbxContent>
            </v:textbox>
          </v:rect>
        </w:pict>
      </w:r>
    </w:p>
    <w:p w14:paraId="02F437A3" w14:textId="283C3C1B" w:rsidR="00A1272C" w:rsidRDefault="00920148" w:rsidP="0017126E">
      <w:pPr>
        <w:spacing w:line="360" w:lineRule="auto"/>
        <w:jc w:val="both"/>
        <w:rPr>
          <w:rFonts w:ascii="Times New Roman" w:hAnsi="Times New Roman" w:cs="Times New Roman"/>
          <w:sz w:val="24"/>
          <w:szCs w:val="24"/>
        </w:rPr>
      </w:pPr>
      <w:r>
        <w:rPr>
          <w:noProof/>
        </w:rPr>
        <w:pict w14:anchorId="720DAE98">
          <v:shape id="Straight Arrow Connector 3" o:spid="_x0000_s1037" type="#_x0000_t32" style="position:absolute;left:0;text-align:left;margin-left:154pt;margin-top:27.5pt;width:36pt;height:36pt;flip:x;z-index:2516433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" strokecolor="black [3200]" strokeweight="1.5pt">
            <v:stroke endarrow="open" joinstyle="miter"/>
          </v:shape>
        </w:pict>
      </w:r>
      <w:r>
        <w:rPr>
          <w:noProof/>
        </w:rPr>
        <w:pict w14:anchorId="314A8A2E">
          <v:shape id="Straight Arrow Connector 19" o:spid="_x0000_s1039" type="#_x0000_t32" style="position:absolute;left:0;text-align:left;margin-left:259.35pt;margin-top:27.05pt;width:39pt;height:30pt;z-index:2516444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" strokecolor="black [3200]" strokeweight="1.5pt">
            <v:stroke endarrow="open" joinstyle="miter"/>
          </v:shape>
        </w:pict>
      </w:r>
    </w:p>
    <w:p w14:paraId="5AD4F892" w14:textId="77777777" w:rsidR="00E85889" w:rsidRDefault="00E85889" w:rsidP="00D322FD">
      <w:pPr>
        <w:spacing w:line="360" w:lineRule="auto"/>
        <w:ind w:firstLine="720"/>
        <w:jc w:val="both"/>
        <w:rPr>
          <w:rFonts w:ascii="Times New Roman" w:hAnsi="Times New Roman" w:cs="Times New Roman"/>
          <w:sz w:val="24"/>
          <w:szCs w:val="24"/>
        </w:rPr>
      </w:pPr>
    </w:p>
    <w:p w14:paraId="22E079EA" w14:textId="145EBD26" w:rsidR="00A1272C" w:rsidRDefault="00920148" w:rsidP="00D322FD">
      <w:pPr>
        <w:spacing w:line="360" w:lineRule="auto"/>
        <w:ind w:firstLine="720"/>
        <w:jc w:val="both"/>
        <w:rPr>
          <w:rFonts w:ascii="Times New Roman" w:hAnsi="Times New Roman" w:cs="Times New Roman"/>
          <w:sz w:val="24"/>
          <w:szCs w:val="24"/>
        </w:rPr>
      </w:pPr>
      <w:r>
        <w:rPr>
          <w:noProof/>
        </w:rPr>
        <w:pict w14:anchorId="3D1EBCF8">
          <v:rect id="Rectangle 20" o:spid="_x0000_s1029" style="position:absolute;left:0;text-align:left;margin-left:248pt;margin-top:6.1pt;width:153.35pt;height:67.4pt;z-index:251637248;visibility:visible;mso-wrap-distance-left:9pt;mso-wrap-distance-top:0;mso-wrap-distance-right:9pt;mso-wrap-distance-bottom:0;mso-position-horizontal-relative:text;mso-position-vertical-relative:text;v-text-anchor:middle" fillcolor="white [3201]" strokecolor="#a8d08d [1945]" strokeweight="1pt">
            <v:fill color2="#c5e0b3 [1305]" focusposition="1" focussize="" focus="100%" type="gradient"/>
            <v:shadow on="t" type="perspective" color="#375623 [1609]" opacity=".5" offset="1pt" offset2="-3pt"/>
            <v:textbox style="mso-next-textbox:#Rectangle 20">
              <w:txbxContent>
                <w:p w14:paraId="4427976B" w14:textId="326BEF49"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Increases ROS, Reduce anti-oxidants in gingival tissue and serum</w:t>
                  </w:r>
                </w:p>
              </w:txbxContent>
            </v:textbox>
          </v:rect>
        </w:pict>
      </w:r>
      <w:r>
        <w:rPr>
          <w:noProof/>
        </w:rPr>
        <w:pict w14:anchorId="3CCED63C">
          <v:rect id="Rectangle 4" o:spid="_x0000_s1028" style="position:absolute;left:0;text-align:left;margin-left:20.65pt;margin-top:10.25pt;width:181.35pt;height:67.25pt;z-index:251636224;visibility:visible;mso-wrap-distance-left:9pt;mso-wrap-distance-top:0;mso-wrap-distance-right:9pt;mso-wrap-distance-bottom:0;mso-position-horizontal-relative:text;mso-position-vertical-relative:text;v-text-anchor:middle" fillcolor="white [3201]" strokecolor="#a8d08d [1945]" strokeweight="1pt">
            <v:fill color2="#c5e0b3 [1305]" focusposition="1" focussize="" focus="100%" type="gradient"/>
            <v:shadow on="t" type="perspective" color="#375623 [1609]" opacity=".5" offset="1pt" offset2="-3pt"/>
            <v:textbox style="mso-next-textbox:#Rectangle 4">
              <w:txbxContent>
                <w:p w14:paraId="39DB12AE" w14:textId="77777777"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Production of several inflammatory mediators – IL-6, TNF-</w:t>
                  </w:r>
                  <w:r w:rsidRPr="00A1272C">
                    <w:rPr>
                      <w:rFonts w:ascii="Times New Roman" w:hAnsi="Times New Roman" w:cs="Times New Roman"/>
                      <w:b/>
                      <w:bCs/>
                      <w:color w:val="000000" w:themeColor="dark1"/>
                      <w:kern w:val="24"/>
                      <w:sz w:val="24"/>
                      <w:szCs w:val="24"/>
                      <w:lang w:val="el-GR"/>
                    </w:rPr>
                    <w:t>α</w:t>
                  </w:r>
                  <w:r w:rsidRPr="00A1272C">
                    <w:rPr>
                      <w:rFonts w:ascii="Times New Roman" w:hAnsi="Times New Roman" w:cs="Times New Roman"/>
                      <w:b/>
                      <w:bCs/>
                      <w:color w:val="000000" w:themeColor="dark1"/>
                      <w:kern w:val="24"/>
                      <w:sz w:val="24"/>
                      <w:szCs w:val="24"/>
                      <w:lang w:val="en-GB"/>
                    </w:rPr>
                    <w:t>, CRP, IL-17, IL-1</w:t>
                  </w:r>
                  <w:r w:rsidRPr="00A1272C">
                    <w:rPr>
                      <w:rFonts w:ascii="Times New Roman" w:hAnsi="Times New Roman" w:cs="Times New Roman"/>
                      <w:b/>
                      <w:bCs/>
                      <w:color w:val="000000" w:themeColor="dark1"/>
                      <w:kern w:val="24"/>
                      <w:sz w:val="24"/>
                      <w:szCs w:val="24"/>
                      <w:lang w:val="el-GR"/>
                    </w:rPr>
                    <w:t>β</w:t>
                  </w:r>
                  <w:r w:rsidRPr="00A1272C">
                    <w:rPr>
                      <w:rFonts w:ascii="Times New Roman" w:hAnsi="Times New Roman" w:cs="Times New Roman"/>
                      <w:b/>
                      <w:bCs/>
                      <w:color w:val="000000" w:themeColor="dark1"/>
                      <w:kern w:val="24"/>
                      <w:sz w:val="24"/>
                      <w:szCs w:val="24"/>
                      <w:lang w:val="en-GB"/>
                    </w:rPr>
                    <w:t xml:space="preserve"> </w:t>
                  </w:r>
                  <w:proofErr w:type="spellStart"/>
                  <w:r w:rsidRPr="00A1272C">
                    <w:rPr>
                      <w:rFonts w:ascii="Times New Roman" w:hAnsi="Times New Roman" w:cs="Times New Roman"/>
                      <w:b/>
                      <w:bCs/>
                      <w:color w:val="000000" w:themeColor="dark1"/>
                      <w:kern w:val="24"/>
                      <w:sz w:val="24"/>
                      <w:szCs w:val="24"/>
                      <w:lang w:val="en-GB"/>
                    </w:rPr>
                    <w:t>etc</w:t>
                  </w:r>
                  <w:proofErr w:type="spellEnd"/>
                  <w:r w:rsidRPr="00A1272C">
                    <w:rPr>
                      <w:rFonts w:ascii="Times New Roman" w:hAnsi="Times New Roman" w:cs="Times New Roman"/>
                      <w:b/>
                      <w:bCs/>
                      <w:color w:val="000000" w:themeColor="dark1"/>
                      <w:kern w:val="24"/>
                      <w:sz w:val="24"/>
                      <w:szCs w:val="24"/>
                      <w:lang w:val="en-GB"/>
                    </w:rPr>
                    <w:t xml:space="preserve"> in gingival connective tissues</w:t>
                  </w:r>
                </w:p>
              </w:txbxContent>
            </v:textbox>
          </v:rect>
        </w:pict>
      </w:r>
    </w:p>
    <w:p w14:paraId="79642AD5" w14:textId="77777777" w:rsidR="00A1272C" w:rsidRDefault="00A1272C" w:rsidP="00D322FD">
      <w:pPr>
        <w:spacing w:line="360" w:lineRule="auto"/>
        <w:ind w:firstLine="720"/>
        <w:jc w:val="both"/>
        <w:rPr>
          <w:rFonts w:ascii="Times New Roman" w:hAnsi="Times New Roman" w:cs="Times New Roman"/>
          <w:sz w:val="24"/>
          <w:szCs w:val="24"/>
        </w:rPr>
      </w:pPr>
    </w:p>
    <w:p w14:paraId="3A7127BE" w14:textId="054B72E2" w:rsidR="00A1272C" w:rsidRDefault="00920148" w:rsidP="00D322FD">
      <w:pPr>
        <w:spacing w:line="360" w:lineRule="auto"/>
        <w:ind w:firstLine="720"/>
        <w:jc w:val="both"/>
        <w:rPr>
          <w:rFonts w:ascii="Times New Roman" w:hAnsi="Times New Roman" w:cs="Times New Roman"/>
          <w:sz w:val="24"/>
          <w:szCs w:val="24"/>
        </w:rPr>
      </w:pPr>
      <w:r>
        <w:rPr>
          <w:noProof/>
        </w:rPr>
        <w:pict w14:anchorId="1F1FB877">
          <v:shape id="_x0000_s1042" type="#_x0000_t32" style="position:absolute;left:0;text-align:left;margin-left:318pt;margin-top:16.1pt;width:0;height:36pt;z-index:2516464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r>
        <w:rPr>
          <w:noProof/>
        </w:rPr>
        <w:pict w14:anchorId="06D048E6">
          <v:shape id="_x0000_s1043" type="#_x0000_t32" style="position:absolute;left:0;text-align:left;margin-left:108pt;margin-top:20.1pt;width:0;height:36pt;z-index:2516474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p>
    <w:p w14:paraId="21A8F154" w14:textId="0C736A92" w:rsidR="00A1272C" w:rsidRDefault="00920148" w:rsidP="00D322FD">
      <w:pPr>
        <w:spacing w:line="360" w:lineRule="auto"/>
        <w:ind w:firstLine="720"/>
        <w:jc w:val="both"/>
        <w:rPr>
          <w:rFonts w:ascii="Times New Roman" w:hAnsi="Times New Roman" w:cs="Times New Roman"/>
          <w:sz w:val="24"/>
          <w:szCs w:val="24"/>
        </w:rPr>
      </w:pPr>
      <w:r>
        <w:rPr>
          <w:noProof/>
        </w:rPr>
        <w:pict w14:anchorId="34C4654B">
          <v:rect id="Rectangle 22" o:spid="_x0000_s1031" style="position:absolute;left:0;text-align:left;margin-left:259.35pt;margin-top:27.45pt;width:138pt;height:49.3pt;z-index:251639296;visibility:visible;mso-wrap-distance-left:9pt;mso-wrap-distance-top:0;mso-wrap-distance-right:9pt;mso-wrap-distance-bottom:0;mso-position-horizontal-relative:text;mso-position-vertical-relative:text;v-text-anchor:middle" fillcolor="white [3201]" strokecolor="#ffd966 [1943]" strokeweight="1pt">
            <v:fill color2="#ffe599 [1303]" focusposition="1" focussize="" focus="100%" type="gradient"/>
            <v:shadow on="t" type="perspective" color="#7f5f00 [1607]" opacity=".5" offset="1pt" offset2="-3pt"/>
            <v:textbox style="mso-next-textbox:#Rectangle 22">
              <w:txbxContent>
                <w:p w14:paraId="7D644BBF" w14:textId="77777777"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Insulin resistance</w:t>
                  </w:r>
                </w:p>
              </w:txbxContent>
            </v:textbox>
          </v:rect>
        </w:pict>
      </w:r>
      <w:r>
        <w:rPr>
          <w:noProof/>
        </w:rPr>
        <w:pict w14:anchorId="06580DC5">
          <v:rect id="Rectangle 10" o:spid="_x0000_s1030" style="position:absolute;left:0;text-align:left;margin-left:25.35pt;margin-top:27.45pt;width:168.65pt;height:53.15pt;z-index:251638272;visibility:visible;mso-wrap-distance-left:9pt;mso-wrap-distance-top:0;mso-wrap-distance-right:9pt;mso-wrap-distance-bottom:0;mso-position-horizontal-relative:text;mso-position-vertical-relative:text;v-text-anchor:middle" fillcolor="white [3201]" strokecolor="#ffd966 [1943]" strokeweight="1pt">
            <v:fill color2="#ffe599 [1303]" focusposition="1" focussize="" focus="100%" type="gradient"/>
            <v:shadow on="t" type="perspective" color="#7f5f00 [1607]" opacity=".5" offset="1pt" offset2="-3pt"/>
            <v:textbox style="mso-next-textbox:#Rectangle 10">
              <w:txbxContent>
                <w:p w14:paraId="4AACA08B" w14:textId="4BB7447E"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Chronic non-resolving inflammation - mediators get into systemic circulation</w:t>
                  </w:r>
                </w:p>
              </w:txbxContent>
            </v:textbox>
          </v:rect>
        </w:pict>
      </w:r>
    </w:p>
    <w:p w14:paraId="307DF0D0" w14:textId="3C290361" w:rsidR="00D322FD" w:rsidRDefault="00D322FD" w:rsidP="00D322FD">
      <w:pPr>
        <w:spacing w:line="360" w:lineRule="auto"/>
        <w:jc w:val="both"/>
        <w:rPr>
          <w:rFonts w:ascii="Times New Roman" w:hAnsi="Times New Roman" w:cs="Times New Roman"/>
          <w:b/>
          <w:bCs/>
          <w:sz w:val="24"/>
          <w:szCs w:val="24"/>
        </w:rPr>
      </w:pPr>
    </w:p>
    <w:p w14:paraId="1BB95255" w14:textId="1E1C1EE4" w:rsidR="00D322FD" w:rsidRDefault="00920148" w:rsidP="00D322FD">
      <w:pPr>
        <w:spacing w:line="360" w:lineRule="auto"/>
        <w:jc w:val="both"/>
        <w:rPr>
          <w:rFonts w:ascii="Times New Roman" w:hAnsi="Times New Roman" w:cs="Times New Roman"/>
          <w:b/>
          <w:bCs/>
          <w:sz w:val="24"/>
          <w:szCs w:val="24"/>
        </w:rPr>
      </w:pPr>
      <w:r>
        <w:rPr>
          <w:noProof/>
        </w:rPr>
        <w:pict w14:anchorId="4E03FB3F">
          <v:shape id="_x0000_s1044" type="#_x0000_t32" style="position:absolute;left:0;text-align:left;margin-left:318pt;margin-top:19.35pt;width:0;height:36pt;z-index:2516485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r>
        <w:rPr>
          <w:noProof/>
        </w:rPr>
        <w:pict w14:anchorId="415EF991">
          <v:shape id="Straight Arrow Connector 23" o:spid="_x0000_s1041" type="#_x0000_t32" style="position:absolute;left:0;text-align:left;margin-left:108pt;margin-top:23.2pt;width:0;height:36pt;z-index:2516454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p>
    <w:p w14:paraId="7E56E2FA" w14:textId="05EA36F8" w:rsidR="00D322FD" w:rsidRDefault="00D322FD" w:rsidP="00D322FD">
      <w:pPr>
        <w:spacing w:line="360" w:lineRule="auto"/>
        <w:jc w:val="both"/>
        <w:rPr>
          <w:rFonts w:ascii="Times New Roman" w:hAnsi="Times New Roman" w:cs="Times New Roman"/>
          <w:b/>
          <w:bCs/>
          <w:sz w:val="24"/>
          <w:szCs w:val="24"/>
        </w:rPr>
      </w:pPr>
    </w:p>
    <w:p w14:paraId="6E638D68" w14:textId="74AE5A35" w:rsidR="00D322FD" w:rsidRDefault="00920148" w:rsidP="00D322FD">
      <w:pPr>
        <w:spacing w:line="360" w:lineRule="auto"/>
        <w:jc w:val="both"/>
        <w:rPr>
          <w:rFonts w:ascii="Times New Roman" w:hAnsi="Times New Roman" w:cs="Times New Roman"/>
          <w:b/>
          <w:bCs/>
          <w:sz w:val="24"/>
          <w:szCs w:val="24"/>
        </w:rPr>
      </w:pPr>
      <w:r>
        <w:rPr>
          <w:noProof/>
        </w:rPr>
        <w:pict w14:anchorId="38608217">
          <v:rect id="Rectangle 16" o:spid="_x0000_s1032" style="position:absolute;left:0;text-align:left;margin-left:41.3pt;margin-top:5.4pt;width:141.35pt;height:33.75pt;z-index:251640320;visibility:visible;mso-wrap-distance-left:9pt;mso-wrap-distance-top:0;mso-wrap-distance-right:9pt;mso-wrap-distance-bottom:0;mso-position-horizontal-relative:text;mso-position-vertical-relative:text;v-text-anchor:middle" fillcolor="white [3201]" strokecolor="#9cc2e5 [1944]" strokeweight="1pt">
            <v:fill color2="#bdd6ee [1304]" focusposition="1" focussize="" focus="100%" type="gradient"/>
            <v:shadow on="t" type="perspective" color="#1f4d78 [1608]" opacity=".5" offset="1pt" offset2="-3pt"/>
            <v:textbox style="mso-next-textbox:#Rectangle 16">
              <w:txbxContent>
                <w:p w14:paraId="282DD142" w14:textId="77777777"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Systemic inflammation</w:t>
                  </w:r>
                </w:p>
              </w:txbxContent>
            </v:textbox>
          </v:rect>
        </w:pict>
      </w:r>
      <w:r>
        <w:rPr>
          <w:noProof/>
        </w:rPr>
        <w:pict w14:anchorId="3ACCE82E">
          <v:rect id="Rectangle 24" o:spid="_x0000_s1033" style="position:absolute;left:0;text-align:left;margin-left:252.65pt;margin-top:1.8pt;width:158.65pt;height:37.35pt;z-index:251641344;visibility:visible;mso-wrap-distance-left:9pt;mso-wrap-distance-top:0;mso-wrap-distance-right:9pt;mso-wrap-distance-bottom:0;mso-position-horizontal-relative:text;mso-position-vertical-relative:text;v-text-anchor:middle" fillcolor="white [3201]" strokecolor="#9cc2e5 [1944]" strokeweight="1pt">
            <v:fill color2="#bdd6ee [1304]" focusposition="1" focussize="" focus="100%" type="gradient"/>
            <v:shadow on="t" type="perspective" color="#1f4d78 [1608]" opacity=".5" offset="1pt" offset2="-3pt"/>
            <v:textbox style="mso-next-textbox:#Rectangle 24">
              <w:txbxContent>
                <w:p w14:paraId="4125DED6" w14:textId="77777777" w:rsidR="00920148" w:rsidRPr="00A1272C" w:rsidRDefault="00920148"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Development of type 2 DM</w:t>
                  </w:r>
                </w:p>
              </w:txbxContent>
            </v:textbox>
          </v:rect>
        </w:pict>
      </w:r>
    </w:p>
    <w:p w14:paraId="0D213779" w14:textId="3CEDDB32" w:rsidR="00D322FD" w:rsidRDefault="00920148" w:rsidP="00D322FD">
      <w:pPr>
        <w:spacing w:line="360" w:lineRule="auto"/>
        <w:jc w:val="both"/>
        <w:rPr>
          <w:rFonts w:ascii="Times New Roman" w:hAnsi="Times New Roman" w:cs="Times New Roman"/>
          <w:b/>
          <w:bCs/>
          <w:sz w:val="24"/>
          <w:szCs w:val="24"/>
        </w:rPr>
      </w:pPr>
      <w:r>
        <w:rPr>
          <w:noProof/>
        </w:rPr>
        <w:pict w14:anchorId="314A8A2E">
          <v:shape id="_x0000_s1046" type="#_x0000_t32" style="position:absolute;left:0;text-align:left;margin-left:129pt;margin-top:16.45pt;width:39pt;height:30pt;z-index:2516505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" strokecolor="black [3200]" strokeweight="1.5pt">
            <v:stroke endarrow="open" joinstyle="miter"/>
          </v:shape>
        </w:pict>
      </w:r>
      <w:r>
        <w:rPr>
          <w:noProof/>
        </w:rPr>
        <w:pict w14:anchorId="720DAE98">
          <v:shape id="_x0000_s1045" type="#_x0000_t32" style="position:absolute;left:0;text-align:left;margin-left:272.65pt;margin-top:14.65pt;width:36pt;height:36pt;flip:x;z-index:2516495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" strokecolor="black [3200]" strokeweight="1.5pt">
            <v:stroke endarrow="open" joinstyle="miter"/>
          </v:shape>
        </w:pict>
      </w:r>
    </w:p>
    <w:p w14:paraId="18263762" w14:textId="00331E99" w:rsidR="00A1272C" w:rsidRDefault="00920148" w:rsidP="00D322FD">
      <w:pPr>
        <w:spacing w:line="360" w:lineRule="auto"/>
        <w:jc w:val="both"/>
        <w:rPr>
          <w:rFonts w:ascii="Times New Roman" w:hAnsi="Times New Roman" w:cs="Times New Roman"/>
          <w:b/>
          <w:bCs/>
          <w:sz w:val="24"/>
          <w:szCs w:val="24"/>
        </w:rPr>
      </w:pPr>
      <w:r>
        <w:rPr>
          <w:noProof/>
        </w:rPr>
        <w:pict w14:anchorId="18F847D7">
          <v:rect id="Rectangle 33" o:spid="_x0000_s1034" style="position:absolute;left:0;text-align:left;margin-left:172pt;margin-top:17.75pt;width:94.65pt;height:32.95pt;z-index:251642368;visibility:visible;mso-wrap-distance-left:9pt;mso-wrap-distance-top:0;mso-wrap-distance-right:9pt;mso-wrap-distance-bottom:0;mso-position-horizontal-relative:text;mso-position-vertical-relative:text;v-text-anchor:middle" fillcolor="#f4b083 [1941]" strokecolor="#f4b083 [1941]" strokeweight="1pt">
            <v:fill color2="#fbe4d5 [661]" angle="-45" focusposition="1" focussize="" focus="-50%" type="gradient"/>
            <v:shadow on="t" type="perspective" color="#823b0b [1605]" opacity=".5" offset="1pt" offset2="-3pt"/>
            <v:textbox style="mso-next-textbox:#Rectangle 33">
              <w:txbxContent>
                <w:p w14:paraId="7EA5CEE9" w14:textId="77777777" w:rsidR="00920148" w:rsidRPr="00DB2A9E" w:rsidRDefault="00920148" w:rsidP="00DB2A9E">
                  <w:pPr>
                    <w:jc w:val="center"/>
                    <w:rPr>
                      <w:rFonts w:ascii="Times New Roman" w:hAnsi="Times New Roman" w:cs="Times New Roman"/>
                      <w:b/>
                      <w:bCs/>
                      <w:color w:val="000000" w:themeColor="dark1"/>
                      <w:kern w:val="24"/>
                      <w:sz w:val="24"/>
                      <w:szCs w:val="24"/>
                      <w:lang w:val="en-GB"/>
                      <w14:ligatures w14:val="none"/>
                    </w:rPr>
                  </w:pPr>
                  <w:r w:rsidRPr="00DB2A9E">
                    <w:rPr>
                      <w:rFonts w:ascii="Times New Roman" w:hAnsi="Times New Roman" w:cs="Times New Roman"/>
                      <w:b/>
                      <w:bCs/>
                      <w:color w:val="000000" w:themeColor="dark1"/>
                      <w:kern w:val="24"/>
                      <w:sz w:val="24"/>
                      <w:szCs w:val="24"/>
                      <w:lang w:val="en-GB"/>
                    </w:rPr>
                    <w:t>PCOS</w:t>
                  </w:r>
                </w:p>
              </w:txbxContent>
            </v:textbox>
          </v:rect>
        </w:pict>
      </w:r>
    </w:p>
    <w:p w14:paraId="3AFA8F4F" w14:textId="546EFE4D" w:rsidR="00A1272C" w:rsidRDefault="00A1272C" w:rsidP="00D322FD">
      <w:pPr>
        <w:spacing w:line="360" w:lineRule="auto"/>
        <w:jc w:val="both"/>
        <w:rPr>
          <w:rFonts w:ascii="Times New Roman" w:hAnsi="Times New Roman" w:cs="Times New Roman"/>
          <w:b/>
          <w:bCs/>
          <w:sz w:val="24"/>
          <w:szCs w:val="24"/>
        </w:rPr>
      </w:pPr>
    </w:p>
    <w:p w14:paraId="14E01843" w14:textId="77777777" w:rsidR="00F4542D" w:rsidRDefault="00F4542D" w:rsidP="00F563D1">
      <w:pPr>
        <w:spacing w:line="360" w:lineRule="auto"/>
        <w:jc w:val="center"/>
        <w:rPr>
          <w:rFonts w:ascii="Times New Roman" w:hAnsi="Times New Roman" w:cs="Times New Roman"/>
          <w:b/>
          <w:bCs/>
          <w:sz w:val="24"/>
          <w:szCs w:val="24"/>
        </w:rPr>
      </w:pPr>
    </w:p>
    <w:p w14:paraId="650C0D5C" w14:textId="653870B6" w:rsidR="00110DE1" w:rsidRDefault="00110DE1" w:rsidP="00C56AC4">
      <w:pPr>
        <w:spacing w:line="360" w:lineRule="auto"/>
        <w:jc w:val="both"/>
        <w:rPr>
          <w:rFonts w:ascii="Times New Roman" w:hAnsi="Times New Roman" w:cs="Times New Roman"/>
          <w:b/>
          <w:bCs/>
          <w:sz w:val="24"/>
          <w:szCs w:val="24"/>
        </w:rPr>
      </w:pPr>
    </w:p>
    <w:p w14:paraId="663DFB42" w14:textId="54418A5F" w:rsidR="004C3E1A" w:rsidRPr="00096908" w:rsidRDefault="004C3E1A" w:rsidP="00096908">
      <w:pPr>
        <w:spacing w:line="360" w:lineRule="auto"/>
        <w:jc w:val="both"/>
        <w:rPr>
          <w:rFonts w:ascii="Times New Roman" w:hAnsi="Times New Roman" w:cs="Times New Roman"/>
          <w:sz w:val="24"/>
          <w:szCs w:val="24"/>
        </w:rPr>
      </w:pPr>
    </w:p>
    <w:p w14:paraId="2C19E5A4" w14:textId="51DEF5F1" w:rsidR="00F271B9" w:rsidRDefault="007622D4" w:rsidP="00E41FA3">
      <w:pPr>
        <w:spacing w:line="360" w:lineRule="auto"/>
        <w:ind w:left="-284"/>
        <w:jc w:val="both"/>
        <w:rPr>
          <w:rFonts w:ascii="Times New Roman" w:hAnsi="Times New Roman" w:cs="Times New Roman"/>
          <w:b/>
          <w:bCs/>
          <w:sz w:val="24"/>
          <w:szCs w:val="24"/>
        </w:rPr>
      </w:pPr>
      <w:r w:rsidRPr="007622D4">
        <w:rPr>
          <w:rFonts w:ascii="Times New Roman" w:hAnsi="Times New Roman" w:cs="Times New Roman"/>
          <w:b/>
          <w:bCs/>
          <w:sz w:val="24"/>
          <w:szCs w:val="24"/>
        </w:rPr>
        <w:t xml:space="preserve">LITERATURE EVIDENCE ON BIDIRECTIONAL RELATIONSHIP OF </w:t>
      </w:r>
      <w:r>
        <w:rPr>
          <w:rFonts w:ascii="Times New Roman" w:hAnsi="Times New Roman" w:cs="Times New Roman"/>
          <w:b/>
          <w:bCs/>
          <w:sz w:val="24"/>
          <w:szCs w:val="24"/>
        </w:rPr>
        <w:t>POLYCYSTIC OVARIAN DISEASE</w:t>
      </w:r>
      <w:r w:rsidRPr="007622D4">
        <w:rPr>
          <w:rFonts w:ascii="Times New Roman" w:hAnsi="Times New Roman" w:cs="Times New Roman"/>
          <w:b/>
          <w:bCs/>
          <w:sz w:val="24"/>
          <w:szCs w:val="24"/>
        </w:rPr>
        <w:t xml:space="preserve"> AND PERIODONTITIS</w:t>
      </w:r>
    </w:p>
    <w:p w14:paraId="561C2622" w14:textId="755AB023" w:rsidR="00096908" w:rsidRDefault="00096908" w:rsidP="00096908">
      <w:pPr>
        <w:spacing w:line="360" w:lineRule="auto"/>
        <w:ind w:left="-284"/>
        <w:jc w:val="both"/>
        <w:rPr>
          <w:rFonts w:ascii="Times New Roman" w:hAnsi="Times New Roman" w:cs="Times New Roman"/>
          <w:sz w:val="24"/>
          <w:szCs w:val="24"/>
        </w:rPr>
      </w:pPr>
      <w:bookmarkStart w:id="13" w:name="_Hlk174175221"/>
      <w:r>
        <w:rPr>
          <w:rFonts w:ascii="Times New Roman" w:hAnsi="Times New Roman" w:cs="Times New Roman"/>
          <w:b/>
          <w:bCs/>
          <w:sz w:val="24"/>
          <w:szCs w:val="24"/>
        </w:rPr>
        <w:t xml:space="preserve">        </w:t>
      </w:r>
      <w:r w:rsidRPr="00096908">
        <w:rPr>
          <w:rFonts w:ascii="Times New Roman" w:hAnsi="Times New Roman" w:cs="Times New Roman"/>
          <w:b/>
          <w:bCs/>
          <w:sz w:val="24"/>
          <w:szCs w:val="24"/>
        </w:rPr>
        <w:t xml:space="preserve">Table 3:  </w:t>
      </w:r>
      <w:r w:rsidRPr="00096908">
        <w:rPr>
          <w:rFonts w:ascii="Times New Roman" w:hAnsi="Times New Roman" w:cs="Times New Roman"/>
          <w:sz w:val="24"/>
          <w:szCs w:val="24"/>
        </w:rPr>
        <w:t xml:space="preserve">Bidirectional relationship of </w:t>
      </w:r>
      <w:proofErr w:type="gramStart"/>
      <w:r w:rsidRPr="00096908">
        <w:rPr>
          <w:rFonts w:ascii="Times New Roman" w:hAnsi="Times New Roman" w:cs="Times New Roman"/>
          <w:sz w:val="24"/>
          <w:szCs w:val="24"/>
        </w:rPr>
        <w:t>Polycystic</w:t>
      </w:r>
      <w:proofErr w:type="gramEnd"/>
      <w:r w:rsidRPr="00096908">
        <w:rPr>
          <w:rFonts w:ascii="Times New Roman" w:hAnsi="Times New Roman" w:cs="Times New Roman"/>
          <w:sz w:val="24"/>
          <w:szCs w:val="24"/>
        </w:rPr>
        <w:t xml:space="preserve"> ovarian syndrome and Periodontitis</w:t>
      </w:r>
      <w:bookmarkEnd w:id="13"/>
      <w:r w:rsidRPr="00096908">
        <w:rPr>
          <w:rFonts w:ascii="Times New Roman" w:hAnsi="Times New Roman" w:cs="Times New Roman"/>
          <w:sz w:val="24"/>
          <w:szCs w:val="24"/>
        </w:rPr>
        <w:t>.</w:t>
      </w:r>
    </w:p>
    <w:p w14:paraId="0DEC61E9" w14:textId="77777777" w:rsidR="00096908" w:rsidRPr="00096908" w:rsidRDefault="00096908" w:rsidP="00096908">
      <w:pPr>
        <w:spacing w:line="360" w:lineRule="auto"/>
        <w:ind w:left="-284"/>
        <w:jc w:val="both"/>
        <w:rPr>
          <w:rFonts w:ascii="Times New Roman" w:hAnsi="Times New Roman" w:cs="Times New Roman"/>
          <w:b/>
          <w:bCs/>
          <w:sz w:val="24"/>
          <w:szCs w:val="24"/>
        </w:rPr>
      </w:pPr>
    </w:p>
    <w:tbl>
      <w:tblPr>
        <w:tblStyle w:val="TableGrid"/>
        <w:tblW w:w="10065" w:type="dxa"/>
        <w:tblInd w:w="-176" w:type="dxa"/>
        <w:tblLook w:val="04A0" w:firstRow="1" w:lastRow="0" w:firstColumn="1" w:lastColumn="0" w:noHBand="0" w:noVBand="1"/>
      </w:tblPr>
      <w:tblGrid>
        <w:gridCol w:w="2158"/>
        <w:gridCol w:w="1411"/>
        <w:gridCol w:w="6496"/>
      </w:tblGrid>
      <w:tr w:rsidR="007622D4" w:rsidRPr="007C7F5F" w14:paraId="5B5D86BD" w14:textId="77777777" w:rsidTr="005975B8">
        <w:trPr>
          <w:trHeight w:val="447"/>
        </w:trPr>
        <w:tc>
          <w:tcPr>
            <w:tcW w:w="2007" w:type="dxa"/>
          </w:tcPr>
          <w:p w14:paraId="1D644889"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AUTHOR/YEAR</w:t>
            </w:r>
          </w:p>
        </w:tc>
        <w:tc>
          <w:tcPr>
            <w:tcW w:w="1411" w:type="dxa"/>
          </w:tcPr>
          <w:p w14:paraId="2B3F78E7"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TYPE OF STUDY</w:t>
            </w:r>
          </w:p>
        </w:tc>
        <w:tc>
          <w:tcPr>
            <w:tcW w:w="6647" w:type="dxa"/>
          </w:tcPr>
          <w:p w14:paraId="3D0DF42F" w14:textId="352B9F0A" w:rsidR="007622D4" w:rsidRPr="007C7F5F" w:rsidRDefault="00603923"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STUDY FINDINGS</w:t>
            </w:r>
          </w:p>
        </w:tc>
      </w:tr>
      <w:tr w:rsidR="004E2351" w:rsidRPr="007C7F5F" w14:paraId="638E41B0" w14:textId="77777777" w:rsidTr="005975B8">
        <w:trPr>
          <w:trHeight w:val="447"/>
        </w:trPr>
        <w:tc>
          <w:tcPr>
            <w:tcW w:w="2007" w:type="dxa"/>
          </w:tcPr>
          <w:p w14:paraId="716C11E8" w14:textId="5D5120F2" w:rsidR="004E2351" w:rsidRPr="009335FB" w:rsidRDefault="009335FB" w:rsidP="009335FB">
            <w:pPr>
              <w:spacing w:line="360" w:lineRule="auto"/>
              <w:ind w:right="141"/>
              <w:rPr>
                <w:rFonts w:ascii="Times New Roman" w:eastAsia="Times New Roman" w:hAnsi="Times New Roman" w:cs="Times New Roman"/>
                <w:b/>
                <w:bCs/>
                <w:i/>
                <w:iCs/>
                <w:kern w:val="0"/>
                <w:sz w:val="24"/>
                <w:szCs w:val="24"/>
                <w:lang w:eastAsia="en-IN"/>
                <w14:ligatures w14:val="none"/>
              </w:rPr>
            </w:pPr>
            <w:proofErr w:type="spellStart"/>
            <w:r w:rsidRPr="009335FB">
              <w:rPr>
                <w:rFonts w:ascii="Times New Roman" w:eastAsia="Times New Roman" w:hAnsi="Times New Roman" w:cs="Times New Roman"/>
                <w:b/>
                <w:bCs/>
                <w:i/>
                <w:iCs/>
                <w:kern w:val="0"/>
                <w:sz w:val="24"/>
                <w:szCs w:val="24"/>
                <w:lang w:eastAsia="en-IN"/>
                <w14:ligatures w14:val="none"/>
              </w:rPr>
              <w:t>Akcali</w:t>
            </w:r>
            <w:proofErr w:type="spellEnd"/>
            <w:r w:rsidRPr="009335FB">
              <w:rPr>
                <w:rFonts w:ascii="Times New Roman" w:eastAsia="Times New Roman" w:hAnsi="Times New Roman" w:cs="Times New Roman"/>
                <w:b/>
                <w:bCs/>
                <w:i/>
                <w:iCs/>
                <w:kern w:val="0"/>
                <w:sz w:val="24"/>
                <w:szCs w:val="24"/>
                <w:lang w:eastAsia="en-IN"/>
                <w14:ligatures w14:val="none"/>
              </w:rPr>
              <w:t xml:space="preserve"> et al (2014)</w:t>
            </w:r>
          </w:p>
        </w:tc>
        <w:tc>
          <w:tcPr>
            <w:tcW w:w="1411" w:type="dxa"/>
          </w:tcPr>
          <w:p w14:paraId="59F7E4BF" w14:textId="28E59FD5" w:rsidR="004E2351" w:rsidRPr="009335FB" w:rsidRDefault="009335FB" w:rsidP="009335FB">
            <w:pPr>
              <w:spacing w:line="360" w:lineRule="auto"/>
              <w:ind w:right="141"/>
              <w:rPr>
                <w:rFonts w:ascii="Times New Roman" w:eastAsia="Times New Roman" w:hAnsi="Times New Roman" w:cs="Times New Roman"/>
                <w:kern w:val="0"/>
                <w:sz w:val="24"/>
                <w:szCs w:val="24"/>
                <w:lang w:eastAsia="en-IN"/>
                <w14:ligatures w14:val="none"/>
              </w:rPr>
            </w:pPr>
            <w:r w:rsidRPr="009335FB">
              <w:rPr>
                <w:rFonts w:ascii="Times New Roman" w:eastAsia="Times New Roman" w:hAnsi="Times New Roman" w:cs="Times New Roman"/>
                <w:kern w:val="0"/>
                <w:sz w:val="24"/>
                <w:szCs w:val="24"/>
                <w:lang w:eastAsia="en-IN"/>
                <w14:ligatures w14:val="none"/>
              </w:rPr>
              <w:t xml:space="preserve">Cross- sectional </w:t>
            </w:r>
            <w:r w:rsidRPr="009335FB">
              <w:rPr>
                <w:rFonts w:ascii="Times New Roman" w:eastAsia="Times New Roman" w:hAnsi="Times New Roman" w:cs="Times New Roman"/>
                <w:kern w:val="0"/>
                <w:sz w:val="24"/>
                <w:szCs w:val="24"/>
                <w:lang w:eastAsia="en-IN"/>
                <w14:ligatures w14:val="none"/>
              </w:rPr>
              <w:lastRenderedPageBreak/>
              <w:t>study</w:t>
            </w:r>
          </w:p>
        </w:tc>
        <w:tc>
          <w:tcPr>
            <w:tcW w:w="6647" w:type="dxa"/>
          </w:tcPr>
          <w:p w14:paraId="160F49C8" w14:textId="23E85B4C" w:rsidR="004E2351" w:rsidRDefault="004E2351" w:rsidP="009335FB">
            <w:pPr>
              <w:spacing w:line="360" w:lineRule="auto"/>
              <w:ind w:right="141"/>
              <w:rPr>
                <w:rFonts w:ascii="Times New Roman" w:eastAsia="Times New Roman" w:hAnsi="Times New Roman" w:cs="Times New Roman"/>
                <w:b/>
                <w:bCs/>
                <w:kern w:val="0"/>
                <w:sz w:val="24"/>
                <w:szCs w:val="24"/>
                <w:lang w:eastAsia="en-IN"/>
                <w14:ligatures w14:val="none"/>
              </w:rPr>
            </w:pPr>
            <w:r w:rsidRPr="00F8642D">
              <w:rPr>
                <w:rFonts w:ascii="Times New Roman" w:hAnsi="Times New Roman" w:cs="Times New Roman"/>
                <w:sz w:val="24"/>
                <w:szCs w:val="24"/>
                <w:lang w:val="en-GB"/>
              </w:rPr>
              <w:lastRenderedPageBreak/>
              <w:t xml:space="preserve">PCOS quantitatively affects the composition of oral </w:t>
            </w:r>
            <w:proofErr w:type="spellStart"/>
            <w:r w:rsidRPr="00F8642D">
              <w:rPr>
                <w:rFonts w:ascii="Times New Roman" w:hAnsi="Times New Roman" w:cs="Times New Roman"/>
                <w:sz w:val="24"/>
                <w:szCs w:val="24"/>
                <w:lang w:val="en-GB"/>
              </w:rPr>
              <w:t>microbiota</w:t>
            </w:r>
            <w:proofErr w:type="spellEnd"/>
            <w:r w:rsidRPr="00F8642D">
              <w:rPr>
                <w:rFonts w:ascii="Times New Roman" w:hAnsi="Times New Roman" w:cs="Times New Roman"/>
                <w:sz w:val="24"/>
                <w:szCs w:val="24"/>
                <w:lang w:val="en-GB"/>
              </w:rPr>
              <w:t xml:space="preserve"> and the raised systemic response</w:t>
            </w:r>
            <w:r w:rsidR="000B7AD7">
              <w:rPr>
                <w:rFonts w:ascii="Times New Roman" w:hAnsi="Times New Roman" w:cs="Times New Roman"/>
                <w:sz w:val="24"/>
                <w:szCs w:val="24"/>
                <w:lang w:val="en-GB"/>
              </w:rPr>
              <w:t>.</w:t>
            </w:r>
            <w:r w:rsidR="000B7AD7">
              <w:rPr>
                <w:rFonts w:ascii="Times New Roman" w:hAnsi="Times New Roman" w:cs="Times New Roman"/>
                <w:sz w:val="24"/>
                <w:szCs w:val="24"/>
                <w:lang w:val="en-GB"/>
              </w:rPr>
              <w:fldChar w:fldCharType="begin"/>
            </w:r>
            <w:r w:rsidR="008E5E6B">
              <w:rPr>
                <w:rFonts w:ascii="Times New Roman" w:hAnsi="Times New Roman" w:cs="Times New Roman"/>
                <w:sz w:val="24"/>
                <w:szCs w:val="24"/>
                <w:lang w:val="en-GB"/>
              </w:rPr>
              <w:instrText xml:space="preserve"> ADDIN ZOTERO_ITEM CSL_CITATION {"citationID":"scGGXQN2","properties":{"formattedCitation":"\\super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B7AD7">
              <w:rPr>
                <w:rFonts w:ascii="Times New Roman" w:hAnsi="Times New Roman" w:cs="Times New Roman"/>
                <w:sz w:val="24"/>
                <w:szCs w:val="24"/>
                <w:lang w:val="en-GB"/>
              </w:rPr>
              <w:fldChar w:fldCharType="separate"/>
            </w:r>
            <w:r w:rsidR="00D10001">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lang w:val="en-GB"/>
              </w:rPr>
              <w:fldChar w:fldCharType="end"/>
            </w:r>
          </w:p>
        </w:tc>
      </w:tr>
      <w:tr w:rsidR="007622D4" w:rsidRPr="007C7F5F" w14:paraId="7C374773" w14:textId="77777777" w:rsidTr="005975B8">
        <w:trPr>
          <w:trHeight w:val="1379"/>
        </w:trPr>
        <w:tc>
          <w:tcPr>
            <w:tcW w:w="2007" w:type="dxa"/>
          </w:tcPr>
          <w:p w14:paraId="68F5F959" w14:textId="2ACAA684" w:rsidR="007622D4" w:rsidRPr="00AA2467" w:rsidRDefault="008F11C5" w:rsidP="009335FB">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sz w:val="24"/>
                <w:szCs w:val="24"/>
                <w:lang w:val="en-US"/>
              </w:rPr>
              <w:lastRenderedPageBreak/>
              <w:t>Kellesarian</w:t>
            </w:r>
            <w:proofErr w:type="spellEnd"/>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7</w:t>
            </w:r>
            <w:r w:rsidR="007622D4" w:rsidRPr="00AA2467">
              <w:rPr>
                <w:rFonts w:ascii="Times New Roman" w:hAnsi="Times New Roman" w:cs="Times New Roman"/>
                <w:b/>
                <w:bCs/>
                <w:i/>
                <w:iCs/>
                <w:sz w:val="24"/>
                <w:szCs w:val="24"/>
                <w:lang w:val="en-US"/>
              </w:rPr>
              <w:t xml:space="preserve">) </w:t>
            </w:r>
          </w:p>
        </w:tc>
        <w:tc>
          <w:tcPr>
            <w:tcW w:w="1411" w:type="dxa"/>
          </w:tcPr>
          <w:p w14:paraId="3F6BC29E" w14:textId="7D8F57FD"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241607D5" w14:textId="02C86948" w:rsidR="007622D4" w:rsidRPr="007C7F5F" w:rsidRDefault="008F11C5" w:rsidP="009335FB">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w:t>
            </w:r>
            <w:r w:rsidRPr="008F11C5">
              <w:rPr>
                <w:rFonts w:ascii="Times New Roman" w:hAnsi="Times New Roman" w:cs="Times New Roman"/>
                <w:color w:val="212121"/>
                <w:sz w:val="24"/>
                <w:szCs w:val="24"/>
                <w:shd w:val="clear" w:color="auto" w:fill="FFFFFF"/>
              </w:rPr>
              <w:t>here is a positive association between PD and PCOS</w:t>
            </w:r>
            <w:r>
              <w:rPr>
                <w:rFonts w:ascii="Times New Roman" w:hAnsi="Times New Roman" w:cs="Times New Roman"/>
                <w:color w:val="212121"/>
                <w:sz w:val="24"/>
                <w:szCs w:val="24"/>
                <w:shd w:val="clear" w:color="auto" w:fill="FFFFFF"/>
              </w:rPr>
              <w:t xml:space="preserve">. </w:t>
            </w:r>
            <w:r w:rsidRPr="008F11C5">
              <w:rPr>
                <w:rFonts w:ascii="Times New Roman" w:hAnsi="Times New Roman" w:cs="Times New Roman"/>
                <w:color w:val="212121"/>
                <w:sz w:val="24"/>
                <w:szCs w:val="24"/>
                <w:shd w:val="clear" w:color="auto" w:fill="FFFFFF"/>
              </w:rPr>
              <w:t>It is recommended that physicians should refer patients with PCOS to oral health-care providers for comprehensive oral evaluation and treatment.</w:t>
            </w:r>
            <w:r w:rsidR="000B7AD7">
              <w:rPr>
                <w:rFonts w:ascii="Times New Roman" w:hAnsi="Times New Roman" w:cs="Times New Roman"/>
                <w:color w:val="212121"/>
                <w:sz w:val="24"/>
                <w:szCs w:val="24"/>
                <w:shd w:val="clear" w:color="auto" w:fill="FFFFFF"/>
              </w:rPr>
              <w:fldChar w:fldCharType="begin"/>
            </w:r>
            <w:r w:rsidR="008E5E6B">
              <w:rPr>
                <w:rFonts w:ascii="Times New Roman" w:hAnsi="Times New Roman" w:cs="Times New Roman"/>
                <w:color w:val="212121"/>
                <w:sz w:val="24"/>
                <w:szCs w:val="24"/>
                <w:shd w:val="clear" w:color="auto" w:fill="FFFFFF"/>
              </w:rPr>
              <w:instrText xml:space="preserve"> ADDIN ZOTERO_ITEM CSL_CITATION {"citationID":"Ahhy5yRH","properties":{"formattedCitation":"\\super [59]\\nosupersub{}","plainCitation":"[59]","noteIndex":0},"citationItems":[{"id":121,"uris":["http://zotero.org/users/local/VoUUWtMF/items/LH7ZUGQ3"],"itemData":{"id":121,"type":"article-journal","abstract":"The purpose of the present study was to review systematically the association between periodontal diseases (PDs) and polycystic ovary syndrome (PCOS). To address the focused question, 'Is there a relationship between PD and PCOS?' indexed databases were searched up to October 2016 without time or language restrictions using different combinations of the following key words: PCOS, ovarian cysts, PD, periodontitis, gingival diseases and gingivitis. Letters to the Editor, commentaries, historic reviews, case-report, unpublished articles and animal/experimental studies were excluded. Seven case-control studies were included. The number of study participants ranged between 52 and 196 females aged between 15 and 45 years. In three and three studies, proinflammatory cytokines were assessed in gingival crevicular fluid and saliva samples, respectively. In one study, salivary microbes were investigated. All studies reported that a positive association exists between PD and PCOS. In conclusion, there is a positive association between PD and PCOS; however, further well-designed longitudinal controlled clinical trials are needed in this regard. It is recommended that physicians should refer patients with PCOS to oral health-care providers for comprehensive oral evaluation and treatment.","container-title":"International Journal of Impotence Research","DOI":"10.1038/ijir.2017.7","ISSN":"1476-5489","issue":"3","journalAbbreviation":"Int J Impot Res","language":"eng","note":"PMID: 28275229","page":"89-95","source":"PubMed","title":"Association between periodontal disease and polycystic ovary syndrome: a systematic review","title-short":"Association between periodontal disease and polycystic ovary syndrome","volume":"29","author":[{"family":"Kellesarian","given":"S. V."},{"family":"Malignaggi","given":"V. R."},{"family":"Kellesarian","given":"T. V."},{"family":"Al-Kheraif","given":"A. A."},{"family":"Alwageet","given":"M. M."},{"family":"Malmstrom","given":"H."},{"family":"Romanos","given":"G. E."},{"family":"Javed","given":"F."}],"issued":{"date-parts":[["2017",5]]}}}],"schema":"https://github.com/citation-style-language/schema/raw/master/csl-citation.json"} </w:instrText>
            </w:r>
            <w:r w:rsidR="000B7AD7">
              <w:rPr>
                <w:rFonts w:ascii="Times New Roman" w:hAnsi="Times New Roman" w:cs="Times New Roman"/>
                <w:color w:val="212121"/>
                <w:sz w:val="24"/>
                <w:szCs w:val="24"/>
                <w:shd w:val="clear" w:color="auto" w:fill="FFFFFF"/>
              </w:rPr>
              <w:fldChar w:fldCharType="separate"/>
            </w:r>
            <w:r w:rsidR="00371AC5">
              <w:rPr>
                <w:rFonts w:ascii="Times New Roman" w:hAnsi="Times New Roman" w:cs="Times New Roman"/>
                <w:kern w:val="0"/>
                <w:sz w:val="24"/>
                <w:szCs w:val="24"/>
                <w:vertAlign w:val="superscript"/>
              </w:rPr>
              <w:t>[51</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212121"/>
                <w:sz w:val="24"/>
                <w:szCs w:val="24"/>
                <w:shd w:val="clear" w:color="auto" w:fill="FFFFFF"/>
              </w:rPr>
              <w:fldChar w:fldCharType="end"/>
            </w:r>
          </w:p>
        </w:tc>
      </w:tr>
      <w:tr w:rsidR="00EE51EF" w:rsidRPr="007C7F5F" w14:paraId="4E505B24" w14:textId="77777777" w:rsidTr="005975B8">
        <w:trPr>
          <w:trHeight w:val="1379"/>
        </w:trPr>
        <w:tc>
          <w:tcPr>
            <w:tcW w:w="2007" w:type="dxa"/>
          </w:tcPr>
          <w:p w14:paraId="0F3EF74D" w14:textId="4170F467" w:rsidR="00EE51EF" w:rsidRDefault="00EE51EF" w:rsidP="00EE51EF">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sz w:val="24"/>
                <w:szCs w:val="24"/>
                <w:lang w:val="en-US"/>
              </w:rPr>
              <w:t>Tanguturi</w:t>
            </w:r>
            <w:proofErr w:type="spellEnd"/>
            <w:r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8</w:t>
            </w:r>
            <w:r w:rsidRPr="00AA2467">
              <w:rPr>
                <w:rFonts w:ascii="Times New Roman" w:hAnsi="Times New Roman" w:cs="Times New Roman"/>
                <w:b/>
                <w:bCs/>
                <w:i/>
                <w:iCs/>
                <w:sz w:val="24"/>
                <w:szCs w:val="24"/>
                <w:lang w:val="en-US"/>
              </w:rPr>
              <w:t xml:space="preserve">) </w:t>
            </w:r>
          </w:p>
        </w:tc>
        <w:tc>
          <w:tcPr>
            <w:tcW w:w="1411" w:type="dxa"/>
          </w:tcPr>
          <w:p w14:paraId="7DA206E8" w14:textId="255CE491"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R</w:t>
            </w:r>
            <w:r w:rsidRPr="007C7F5F">
              <w:rPr>
                <w:rFonts w:ascii="Times New Roman" w:eastAsia="Times New Roman" w:hAnsi="Times New Roman" w:cs="Times New Roman"/>
                <w:kern w:val="0"/>
                <w:sz w:val="24"/>
                <w:szCs w:val="24"/>
                <w:lang w:eastAsia="en-IN"/>
                <w14:ligatures w14:val="none"/>
              </w:rPr>
              <w:t xml:space="preserve">eview </w:t>
            </w:r>
            <w:r>
              <w:rPr>
                <w:rFonts w:ascii="Times New Roman" w:eastAsia="Times New Roman" w:hAnsi="Times New Roman" w:cs="Times New Roman"/>
                <w:kern w:val="0"/>
                <w:sz w:val="24"/>
                <w:szCs w:val="24"/>
                <w:lang w:eastAsia="en-IN"/>
                <w14:ligatures w14:val="none"/>
              </w:rPr>
              <w:t>Article</w:t>
            </w:r>
          </w:p>
        </w:tc>
        <w:tc>
          <w:tcPr>
            <w:tcW w:w="6647" w:type="dxa"/>
          </w:tcPr>
          <w:p w14:paraId="4BEFEC7D" w14:textId="2EC242B8" w:rsidR="00EE51EF" w:rsidRDefault="00EE51EF" w:rsidP="00EE51EF">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000000"/>
                <w:sz w:val="24"/>
                <w:szCs w:val="24"/>
                <w:shd w:val="clear" w:color="auto" w:fill="FFFFFF"/>
              </w:rPr>
              <w:t xml:space="preserve">Study </w:t>
            </w:r>
            <w:r w:rsidRPr="00A34369">
              <w:rPr>
                <w:rFonts w:ascii="Times New Roman" w:hAnsi="Times New Roman" w:cs="Times New Roman"/>
                <w:color w:val="000000"/>
                <w:sz w:val="24"/>
                <w:szCs w:val="24"/>
                <w:shd w:val="clear" w:color="auto" w:fill="FFFFFF"/>
              </w:rPr>
              <w:t xml:space="preserve">suggests a positive relation between the two comorbidities. However, </w:t>
            </w:r>
            <w:proofErr w:type="spellStart"/>
            <w:r w:rsidRPr="00A34369">
              <w:rPr>
                <w:rFonts w:ascii="Times New Roman" w:hAnsi="Times New Roman" w:cs="Times New Roman"/>
                <w:color w:val="000000"/>
                <w:sz w:val="24"/>
                <w:szCs w:val="24"/>
                <w:shd w:val="clear" w:color="auto" w:fill="FFFFFF"/>
              </w:rPr>
              <w:t>multicenter</w:t>
            </w:r>
            <w:proofErr w:type="spellEnd"/>
            <w:r w:rsidRPr="00A34369">
              <w:rPr>
                <w:rFonts w:ascii="Times New Roman" w:hAnsi="Times New Roman" w:cs="Times New Roman"/>
                <w:color w:val="000000"/>
                <w:sz w:val="24"/>
                <w:szCs w:val="24"/>
                <w:shd w:val="clear" w:color="auto" w:fill="FFFFFF"/>
              </w:rPr>
              <w:t xml:space="preserve"> studies, with larger sample sizes, are to be conducted to establish a clearer and stronger association.</w:t>
            </w:r>
            <w:r w:rsidR="000B7AD7">
              <w:rPr>
                <w:rFonts w:ascii="Times New Roman" w:hAnsi="Times New Roman" w:cs="Times New Roman"/>
                <w:color w:val="000000"/>
                <w:sz w:val="24"/>
                <w:szCs w:val="24"/>
                <w:shd w:val="clear" w:color="auto" w:fill="FFFFFF"/>
              </w:rPr>
              <w:fldChar w:fldCharType="begin"/>
            </w:r>
            <w:r w:rsidR="008E5E6B">
              <w:rPr>
                <w:rFonts w:ascii="Times New Roman" w:hAnsi="Times New Roman" w:cs="Times New Roman"/>
                <w:color w:val="000000"/>
                <w:sz w:val="24"/>
                <w:szCs w:val="24"/>
                <w:shd w:val="clear" w:color="auto" w:fill="FFFFFF"/>
              </w:rPr>
              <w:instrText xml:space="preserve"> ADDIN ZOTERO_ITEM CSL_CITATION {"citationID":"VS5qUUzd","properties":{"formattedCitation":"\\super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0B7AD7">
              <w:rPr>
                <w:rFonts w:ascii="Times New Roman" w:hAnsi="Times New Roman" w:cs="Times New Roman"/>
                <w:color w:val="000000"/>
                <w:sz w:val="24"/>
                <w:szCs w:val="24"/>
                <w:shd w:val="clear" w:color="auto" w:fill="FFFFFF"/>
              </w:rPr>
              <w:fldChar w:fldCharType="separate"/>
            </w:r>
            <w:r w:rsidR="00371AC5">
              <w:rPr>
                <w:rFonts w:ascii="Times New Roman" w:hAnsi="Times New Roman" w:cs="Times New Roman"/>
                <w:kern w:val="0"/>
                <w:sz w:val="24"/>
                <w:szCs w:val="24"/>
                <w:vertAlign w:val="superscript"/>
              </w:rPr>
              <w:t>[20</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000000"/>
                <w:sz w:val="24"/>
                <w:szCs w:val="24"/>
                <w:shd w:val="clear" w:color="auto" w:fill="FFFFFF"/>
              </w:rPr>
              <w:fldChar w:fldCharType="end"/>
            </w:r>
          </w:p>
        </w:tc>
      </w:tr>
      <w:tr w:rsidR="007622D4" w:rsidRPr="007C7F5F" w14:paraId="0501745D" w14:textId="77777777" w:rsidTr="005975B8">
        <w:trPr>
          <w:trHeight w:val="1379"/>
        </w:trPr>
        <w:tc>
          <w:tcPr>
            <w:tcW w:w="2007" w:type="dxa"/>
          </w:tcPr>
          <w:p w14:paraId="14607EE4" w14:textId="0C10610F" w:rsidR="007622D4" w:rsidRPr="00AA2467" w:rsidRDefault="008F11C5" w:rsidP="009335FB">
            <w:pPr>
              <w:spacing w:line="360" w:lineRule="auto"/>
              <w:ind w:right="141"/>
              <w:rPr>
                <w:rFonts w:ascii="Times New Roman" w:hAnsi="Times New Roman" w:cs="Times New Roman"/>
                <w:b/>
                <w:bCs/>
                <w:i/>
                <w:iCs/>
                <w:color w:val="212121"/>
                <w:sz w:val="24"/>
                <w:szCs w:val="24"/>
                <w:shd w:val="clear" w:color="auto" w:fill="FFFFFF"/>
              </w:rPr>
            </w:pPr>
            <w:proofErr w:type="spellStart"/>
            <w:r>
              <w:rPr>
                <w:rFonts w:ascii="Times New Roman" w:hAnsi="Times New Roman" w:cs="Times New Roman"/>
                <w:b/>
                <w:bCs/>
                <w:i/>
                <w:iCs/>
                <w:sz w:val="24"/>
                <w:szCs w:val="24"/>
                <w:lang w:val="en-US"/>
              </w:rPr>
              <w:t>Farook</w:t>
            </w:r>
            <w:proofErr w:type="spellEnd"/>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9</w:t>
            </w:r>
            <w:r w:rsidR="007622D4" w:rsidRPr="00AA2467">
              <w:rPr>
                <w:rFonts w:ascii="Times New Roman" w:hAnsi="Times New Roman" w:cs="Times New Roman"/>
                <w:b/>
                <w:bCs/>
                <w:i/>
                <w:iCs/>
                <w:sz w:val="24"/>
                <w:szCs w:val="24"/>
                <w:lang w:val="en-US"/>
              </w:rPr>
              <w:t>)</w:t>
            </w:r>
            <w:r w:rsidR="007622D4" w:rsidRPr="00AA2467">
              <w:rPr>
                <w:rFonts w:ascii="Times New Roman" w:hAnsi="Times New Roman" w:cs="Times New Roman"/>
                <w:b/>
                <w:bCs/>
                <w:i/>
                <w:iCs/>
                <w:color w:val="212121"/>
                <w:sz w:val="24"/>
                <w:szCs w:val="24"/>
                <w:shd w:val="clear" w:color="auto" w:fill="FFFFFF"/>
              </w:rPr>
              <w:t xml:space="preserve"> </w:t>
            </w:r>
          </w:p>
        </w:tc>
        <w:tc>
          <w:tcPr>
            <w:tcW w:w="1411" w:type="dxa"/>
          </w:tcPr>
          <w:p w14:paraId="54F0B337" w14:textId="77777777"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Systematic review and meta-analysis</w:t>
            </w:r>
          </w:p>
        </w:tc>
        <w:tc>
          <w:tcPr>
            <w:tcW w:w="6647" w:type="dxa"/>
          </w:tcPr>
          <w:p w14:paraId="31181C46" w14:textId="72FCFDD8" w:rsidR="007622D4" w:rsidRPr="007C7F5F" w:rsidRDefault="008F11C5" w:rsidP="009335FB">
            <w:pPr>
              <w:spacing w:line="360" w:lineRule="auto"/>
              <w:ind w:right="141"/>
              <w:rPr>
                <w:rFonts w:ascii="Times New Roman" w:hAnsi="Times New Roman" w:cs="Times New Roman"/>
                <w:sz w:val="24"/>
                <w:szCs w:val="24"/>
              </w:rPr>
            </w:pPr>
            <w:r w:rsidRPr="008F11C5">
              <w:rPr>
                <w:rFonts w:ascii="Times New Roman" w:hAnsi="Times New Roman" w:cs="Times New Roman"/>
                <w:sz w:val="24"/>
                <w:szCs w:val="24"/>
              </w:rPr>
              <w:t>PCOS is significantly associated with a higher severity of the periodontal disease. This association should be emphasized during the management of PCOS patients, by including referral to dentists or periodontists for regular mechanical debridement of plaque and periodontal maintenance.</w:t>
            </w:r>
            <w:r w:rsidR="000B7AD7">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{"citationID":"N7Vv4KRH","properties":{"formattedCitation":"\\super [60]\\nosupersub{}","plainCitation":"[60]","noteIndex":0},"citationItems":[{"id":885,"uris":["http://zotero.org/users/local/VoUUWtMF/items/ZEV8ETDI"],"itemData":{"id":885,"type":"article-journal","abstract":"Association of Periodontal Disease and Polycystic Ovarian Syndrome: A Systematic Review and Meta-analysis with Trial Sequential Analysis","DOI":"10.2174/1874210601913010478","language":"en","source":"opendentistryjournal.com","title":"Association of Periodontal Disease and Polycystic Ovarian Syndrome: A Systematic Review and Meta-analysis with Trial Sequential Analysis","title-short":"Association of Periodontal Disease and Polycystic Ovarian Syndrome","URL":"https://opendentistryjournal.com/VOLUME/13/PAGE/478/ABSTRACT/","author":[{"family":"Farook","given":"Fathima F."},{"family":"Ng","given":"Ka Ting"},{"family":"Mnm","given":"Nuzaim"},{"family":"Koh","given":"Wen J."},{"family":"Teoh","given":"Wan Y."}],"accessed":{"date-parts":[["2024",8,9]]}}}],"schema":"https://github.com/citation-style-language/schema/raw/master/csl-citation.json"} </w:instrText>
            </w:r>
            <w:r w:rsidR="000B7AD7">
              <w:rPr>
                <w:rFonts w:ascii="Times New Roman" w:hAnsi="Times New Roman" w:cs="Times New Roman"/>
                <w:sz w:val="24"/>
                <w:szCs w:val="24"/>
              </w:rPr>
              <w:fldChar w:fldCharType="separate"/>
            </w:r>
            <w:r w:rsidR="00371AC5">
              <w:rPr>
                <w:rFonts w:ascii="Times New Roman" w:hAnsi="Times New Roman" w:cs="Times New Roman"/>
                <w:kern w:val="0"/>
                <w:sz w:val="24"/>
                <w:szCs w:val="24"/>
                <w:vertAlign w:val="superscript"/>
              </w:rPr>
              <w:t>[52</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rPr>
              <w:fldChar w:fldCharType="end"/>
            </w:r>
          </w:p>
        </w:tc>
      </w:tr>
      <w:tr w:rsidR="00EE51EF" w:rsidRPr="007C7F5F" w14:paraId="5617FD14" w14:textId="77777777" w:rsidTr="005975B8">
        <w:trPr>
          <w:trHeight w:val="1379"/>
        </w:trPr>
        <w:tc>
          <w:tcPr>
            <w:tcW w:w="2007" w:type="dxa"/>
          </w:tcPr>
          <w:p w14:paraId="1B283FDA" w14:textId="6370A04D" w:rsidR="00EE51EF" w:rsidRDefault="00EE51EF" w:rsidP="00EE51EF">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color w:val="212121"/>
                <w:sz w:val="24"/>
                <w:szCs w:val="24"/>
                <w:shd w:val="clear" w:color="auto" w:fill="FFFFFF"/>
              </w:rPr>
              <w:t>Arrico</w:t>
            </w:r>
            <w:proofErr w:type="spellEnd"/>
            <w:r>
              <w:rPr>
                <w:rFonts w:ascii="Times New Roman" w:hAnsi="Times New Roman" w:cs="Times New Roman"/>
                <w:b/>
                <w:bCs/>
                <w:i/>
                <w:iCs/>
                <w:color w:val="212121"/>
                <w:sz w:val="24"/>
                <w:szCs w:val="24"/>
                <w:shd w:val="clear" w:color="auto" w:fill="FFFFFF"/>
              </w:rPr>
              <w:t xml:space="preserve"> </w:t>
            </w:r>
            <w:r w:rsidRPr="00AA2467">
              <w:rPr>
                <w:rFonts w:ascii="Times New Roman" w:hAnsi="Times New Roman" w:cs="Times New Roman"/>
                <w:b/>
                <w:bCs/>
                <w:i/>
                <w:iCs/>
                <w:color w:val="212121"/>
                <w:sz w:val="24"/>
                <w:szCs w:val="24"/>
                <w:shd w:val="clear" w:color="auto" w:fill="FFFFFF"/>
              </w:rPr>
              <w:t>et al (20</w:t>
            </w:r>
            <w:r>
              <w:rPr>
                <w:rFonts w:ascii="Times New Roman" w:hAnsi="Times New Roman" w:cs="Times New Roman"/>
                <w:b/>
                <w:bCs/>
                <w:i/>
                <w:iCs/>
                <w:color w:val="212121"/>
                <w:sz w:val="24"/>
                <w:szCs w:val="24"/>
                <w:shd w:val="clear" w:color="auto" w:fill="FFFFFF"/>
              </w:rPr>
              <w:t>20</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2654DA" w14:textId="72C2962B"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4392140D" w14:textId="13B47F4D" w:rsidR="00EE51EF" w:rsidRPr="008F11C5" w:rsidRDefault="00EE51EF" w:rsidP="00EE51EF">
            <w:pPr>
              <w:spacing w:line="360" w:lineRule="auto"/>
              <w:ind w:right="141"/>
              <w:rPr>
                <w:rFonts w:ascii="Times New Roman" w:hAnsi="Times New Roman" w:cs="Times New Roman"/>
                <w:sz w:val="24"/>
                <w:szCs w:val="24"/>
              </w:rPr>
            </w:pPr>
            <w:r w:rsidRPr="008F11C5">
              <w:rPr>
                <w:rFonts w:ascii="Times New Roman" w:eastAsia="Times New Roman" w:hAnsi="Times New Roman" w:cs="Times New Roman"/>
                <w:kern w:val="0"/>
                <w:sz w:val="24"/>
                <w:szCs w:val="24"/>
                <w:lang w:eastAsia="en-IN"/>
                <w14:ligatures w14:val="none"/>
              </w:rPr>
              <w:t>Patients with PCOS appear to be more susceptible to developing periodontal diseases than women without the pathology.</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{"citationID":"ek8ZoTUH","properties":{"formattedCitation":"\\super [61]\\nosupersub{}","plainCitation":"[61]","noteIndex":0},"citationItems":[{"id":118,"uris":["http://zotero.org/users/local/VoUUWtMF/items/7DL7E9ED"],"itemData":{"id":118,"type":"article-journal","abstract":"BACKGROUND: A convergent association between polycystic ovary syndrome (PCOS) and periodontal disease, in particular chronic periodontitis (CP), has recently been proposed. The underlying molecular mechanisms of this association are not fully understood, though it is thought that chronic inflammation is responsible. Therefore, the aim of this study was to evaluate the association between periodontal disease-gingivitis and CP-and PCOS.\nMATERIALS AND METHODS: The PICO (Participants, Intervention, Control, and Outcomes) question was as follows: \"Is there an association between PCOS and CP?\" A systematic review of three databases-PubMed, Embase and Scopus-was performed following PRISMA (Preferred Reporting Items for Systematic Reviews and Meta-Analyses) guidelines. Original studies in human cohorts carried out in the last 10 years and including a control group were eligible for inclusion. Letters to the editor, case reports, and reviews were not considered.\nRESULTS: Ten articles met all the selection criteria and provided a positive answer to the PICO question. Our review of these articles revealed an association between CP and PCOS, since periodontal parameters were altered more frequently in patients with these conditions than in healthy young women. This altered periodontal response in PCOS was associated with a proinflammatory status that seemed to increase susceptibility to periodontal disease.\nCONCLUSION: Patients with PCOS appear to be more susceptible to developing periodontal diseases than women without the pathology.","container-title":"Journal of Clinical Medicine","DOI":"10.3390/jcm9051586","ISSN":"2077-0383","issue":"5","journalAbbreviation":"J Clin Med","language":"eng","note":"PMID: 32456146\nPMCID: PMC7290429","page":"1586","source":"PubMed","title":"Association between Periodontal Diseases and Polycystic Ovary Syndrome: A Systematic Review","title-short":"Association between Periodontal Diseases and Polycystic Ovary Syndrome","volume":"9","author":[{"family":"Márquez-Arrico","given":"Cecilia Fabiana"},{"family":"Silvestre-Rangil","given":"Javier"},{"family":"Gutiérrez-Castillo","given":"Laura"},{"family":"Martinez-Herrera","given":"Mayte"},{"family":"Silvestre","given":"Francisco Javier"},{"family":"Rocha","given":"Milagros"}],"issued":{"date-parts":[["2020",5,23]]}}}],"schema":"https://github.com/citation-style-language/schema/raw/master/csl-citation.json"}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[53</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2E79D2AD" w14:textId="77777777" w:rsidTr="005975B8">
        <w:trPr>
          <w:trHeight w:val="1360"/>
        </w:trPr>
        <w:tc>
          <w:tcPr>
            <w:tcW w:w="2007" w:type="dxa"/>
          </w:tcPr>
          <w:p w14:paraId="23D9B97A" w14:textId="128372A3" w:rsidR="00EE51EF" w:rsidRPr="00AA2467" w:rsidRDefault="00EE51EF" w:rsidP="00EE51EF">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Machado</w:t>
            </w:r>
            <w:r w:rsidRPr="00AA2467">
              <w:rPr>
                <w:rFonts w:ascii="Times New Roman" w:hAnsi="Times New Roman" w:cs="Times New Roman"/>
                <w:b/>
                <w:bCs/>
                <w:i/>
                <w:iCs/>
                <w:sz w:val="24"/>
                <w:szCs w:val="24"/>
                <w:lang w:val="en-US"/>
              </w:rPr>
              <w:t xml:space="preserve"> et al (20</w:t>
            </w:r>
            <w:r>
              <w:rPr>
                <w:rFonts w:ascii="Times New Roman" w:hAnsi="Times New Roman" w:cs="Times New Roman"/>
                <w:b/>
                <w:bCs/>
                <w:i/>
                <w:iCs/>
                <w:sz w:val="24"/>
                <w:szCs w:val="24"/>
                <w:lang w:val="en-US"/>
              </w:rPr>
              <w:t>20</w:t>
            </w:r>
            <w:r w:rsidRPr="00AA2467">
              <w:rPr>
                <w:rFonts w:ascii="Times New Roman" w:hAnsi="Times New Roman" w:cs="Times New Roman"/>
                <w:b/>
                <w:bCs/>
                <w:i/>
                <w:iCs/>
                <w:sz w:val="24"/>
                <w:szCs w:val="24"/>
                <w:lang w:val="en-US"/>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AD3ECE" w14:textId="57D1837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and meta-analysis </w:t>
            </w:r>
          </w:p>
        </w:tc>
        <w:tc>
          <w:tcPr>
            <w:tcW w:w="6647" w:type="dxa"/>
          </w:tcPr>
          <w:p w14:paraId="7B4F5B98" w14:textId="119CADE5" w:rsidR="00EE51EF" w:rsidRPr="007C7F5F" w:rsidRDefault="00EE51EF" w:rsidP="00EE51EF">
            <w:pPr>
              <w:spacing w:line="360" w:lineRule="auto"/>
              <w:ind w:right="141"/>
              <w:rPr>
                <w:rFonts w:ascii="Times New Roman" w:hAnsi="Times New Roman" w:cs="Times New Roman"/>
                <w:color w:val="000000"/>
                <w:sz w:val="24"/>
                <w:szCs w:val="24"/>
                <w:shd w:val="clear" w:color="auto" w:fill="FFFFFF"/>
              </w:rPr>
            </w:pPr>
            <w:proofErr w:type="gramStart"/>
            <w:r w:rsidRPr="008F11C5">
              <w:rPr>
                <w:rFonts w:ascii="Times New Roman" w:eastAsia="Times New Roman" w:hAnsi="Times New Roman" w:cs="Times New Roman"/>
                <w:kern w:val="0"/>
                <w:sz w:val="24"/>
                <w:szCs w:val="24"/>
                <w:lang w:eastAsia="en-IN"/>
                <w14:ligatures w14:val="none"/>
              </w:rPr>
              <w:t>women</w:t>
            </w:r>
            <w:proofErr w:type="gramEnd"/>
            <w:r w:rsidRPr="008F11C5">
              <w:rPr>
                <w:rFonts w:ascii="Times New Roman" w:eastAsia="Times New Roman" w:hAnsi="Times New Roman" w:cs="Times New Roman"/>
                <w:kern w:val="0"/>
                <w:sz w:val="24"/>
                <w:szCs w:val="24"/>
                <w:lang w:eastAsia="en-IN"/>
                <w14:ligatures w14:val="none"/>
              </w:rPr>
              <w:t xml:space="preserve"> with PCOS were associated with worsening clinical characteristics and inflammation of PD. These findings suggest that PCOS and PD may be linked.</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{"citationID":"lfPNNegg","properties":{"formattedCitation":"\\super [62]\\nosupersub{}","plainCitation":"[62]","noteIndex":0},"citationItems":[{"id":30,"uris":["http://zotero.org/users/local/VoUUWtMF/items/VJAWACK6"],"itemData":{"id":30,"type":"article-journal","abstract":"Polycystic ovary syndrome (PCOS) has reproductive and metabolic properties that may be linked to periodontitis (PD). This study aimed to update and render a robust critical assessment on all evidence linking PCOS and PD, and appraising a hypothetical bidirectional association. Five databases (PubMed, Scholar, EMBASE, Web of Science and CENTRAL) were searched up to May 2020. Case-control and cohort studies on the association of PCOS and PD were included. The risk of bias of observational studies was assessed through the Newcastle-Ottawa Scale (NOS). Random effects meta-analyses of standardized mean difference (SMD) and risk ratio (RR) were performed. We followed Strength of Recommendation Taxonomy (SORT) to appraise the strength and quality of the evidence. Twelve case-controls fulfilled the inclusion criteria (876 with PCOS and 48170 healthy controls), all scored as having a low risk of bias. Meta-analysis revealed that PCOS females have 28% more risk towards PD, and PD females have 46% more risk to have PCOS. PCOS females with PD had higher gum bleeding, periodontal pocket depth and clinical attachment loss than non-PCOS females with PD. Populations with undefined periodontal status contribute to underestimated results. On the basis of the available evidence, it is possible to assume a bidirectional link between PCOS and PD. That is, PCOS increases by 28% the risk of having PD and in the same fashion, PD increases by 46% the risk of having PCOS. Furthermore, women with PCOS were associated with worsening clinical characteristics and inflammation of PD. These findings suggest that PCOS and PD may be linked. Hence, further prospective and clinical trial studies with nonsurgical periodontal therapy are necessary to clarify the existence of an increased risk of PCOS in women with PD and vice-versa.","container-title":"Journal of Clinical Medicine","DOI":"10.3390/jcm9061961","ISSN":"2077-0383","issue":"6","journalAbbreviation":"J Clin Med","language":"eng","note":"PMID: 32585861\nPMCID: PMC7355910","page":"1961","source":"PubMed","title":"Is There a Bidirectional Association between Polycystic Ovarian Syndrome and Periodontitis? A Systematic Review and Meta-analysis","title-short":"Is There a Bidirectional Association between Polycystic Ovarian Syndrome and Periodontitis?","volume":"9","author":[{"family":"Machado","given":"Vanessa"},{"family":"Escalda","given":"Cláudia"},{"family":"Proença","given":"Luís"},{"family":"Mendes","given":"José João"},{"family":"Botelho","given":"João"}],"issued":{"date-parts":[["2020",6,23]]}}}],"schema":"https://github.com/citation-style-language/schema/raw/master/csl-citation.json"}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[54</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7274109F" w14:textId="77777777" w:rsidTr="005975B8">
        <w:trPr>
          <w:trHeight w:val="86"/>
        </w:trPr>
        <w:tc>
          <w:tcPr>
            <w:tcW w:w="2007" w:type="dxa"/>
          </w:tcPr>
          <w:p w14:paraId="12940573" w14:textId="3A0DD387" w:rsidR="00EE51EF" w:rsidRPr="00AA2467" w:rsidRDefault="00EE51EF" w:rsidP="00EE51EF">
            <w:pPr>
              <w:spacing w:line="360" w:lineRule="auto"/>
              <w:ind w:right="141"/>
              <w:rPr>
                <w:rFonts w:ascii="Times New Roman" w:eastAsia="Times New Roman" w:hAnsi="Times New Roman" w:cs="Times New Roman"/>
                <w:i/>
                <w:iCs/>
                <w:kern w:val="0"/>
                <w:sz w:val="24"/>
                <w:szCs w:val="24"/>
                <w:lang w:eastAsia="en-IN"/>
                <w14:ligatures w14:val="none"/>
              </w:rPr>
            </w:pPr>
            <w:r>
              <w:rPr>
                <w:rFonts w:ascii="Times New Roman" w:hAnsi="Times New Roman" w:cs="Times New Roman"/>
                <w:b/>
                <w:bCs/>
                <w:i/>
                <w:iCs/>
                <w:color w:val="212121"/>
                <w:sz w:val="24"/>
                <w:szCs w:val="24"/>
                <w:shd w:val="clear" w:color="auto" w:fill="FFFFFF"/>
              </w:rPr>
              <w:t>Dou</w:t>
            </w:r>
            <w:r w:rsidRPr="00AA2467">
              <w:rPr>
                <w:rFonts w:ascii="Times New Roman" w:hAnsi="Times New Roman" w:cs="Times New Roman"/>
                <w:b/>
                <w:bCs/>
                <w:i/>
                <w:iCs/>
                <w:color w:val="212121"/>
                <w:sz w:val="24"/>
                <w:szCs w:val="24"/>
                <w:shd w:val="clear" w:color="auto" w:fill="FFFFFF"/>
              </w:rPr>
              <w:t xml:space="preserve"> et al (20</w:t>
            </w:r>
            <w:r>
              <w:rPr>
                <w:rFonts w:ascii="Times New Roman" w:hAnsi="Times New Roman" w:cs="Times New Roman"/>
                <w:b/>
                <w:bCs/>
                <w:i/>
                <w:iCs/>
                <w:color w:val="212121"/>
                <w:sz w:val="24"/>
                <w:szCs w:val="24"/>
                <w:shd w:val="clear" w:color="auto" w:fill="FFFFFF"/>
              </w:rPr>
              <w:t>23</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53A1D502" w14:textId="6FA953C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Review article</w:t>
            </w:r>
          </w:p>
        </w:tc>
        <w:tc>
          <w:tcPr>
            <w:tcW w:w="6647" w:type="dxa"/>
          </w:tcPr>
          <w:p w14:paraId="02758B77" w14:textId="095C9AB0"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A34369">
              <w:rPr>
                <w:rFonts w:ascii="Times New Roman" w:eastAsia="Times New Roman" w:hAnsi="Times New Roman" w:cs="Times New Roman"/>
                <w:kern w:val="0"/>
                <w:sz w:val="24"/>
                <w:szCs w:val="24"/>
                <w:lang w:eastAsia="en-IN"/>
                <w14:ligatures w14:val="none"/>
              </w:rPr>
              <w:t>Multiple lines of evidence confirmed the bidirectional relationships between PCOS and PDD.</w:t>
            </w:r>
            <w:r w:rsidR="00E41FA3">
              <w:rPr>
                <w:rFonts w:ascii="Times New Roman" w:eastAsia="Times New Roman" w:hAnsi="Times New Roman" w:cs="Times New Roman"/>
                <w:kern w:val="0"/>
                <w:sz w:val="24"/>
                <w:szCs w:val="24"/>
                <w:lang w:eastAsia="en-IN"/>
                <w14:ligatures w14:val="none"/>
              </w:rPr>
              <w:fldChar w:fldCharType="begin"/>
            </w:r>
            <w:r w:rsidR="003E32B7">
              <w:rPr>
                <w:rFonts w:ascii="Times New Roman" w:eastAsia="Times New Roman" w:hAnsi="Times New Roman" w:cs="Times New Roman"/>
                <w:kern w:val="0"/>
                <w:sz w:val="24"/>
                <w:szCs w:val="24"/>
                <w:lang w:eastAsia="en-IN"/>
                <w14:ligatures w14:val="none"/>
              </w:rPr>
              <w:instrText xml:space="preserve"> ADDIN ZOTERO_ITEM CSL_CITATION {"citationID":"W8l0XGQ4","properties":{"formattedCitation":"\\super [18]\\nosupersub{}","plainCitation":"[18]","noteIndex":0},"citationItems":[{"id":27,"uris":["http://zotero.org/users/local/VoUUWtMF/items/BA2YKR3T"],"itemData":{"id":27,"type":"article-journal","abstract":"Polycystic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w:t>
            </w:r>
            <w:r w:rsidR="003E32B7" w:rsidRPr="003E32B7">
              <w:rPr>
                <w:rFonts w:ascii="Times New Roman" w:hAnsi="Times New Roman" w:cs="Times New Roman"/>
                <w:kern w:val="0"/>
                <w:sz w:val="24"/>
                <w:szCs w:val="24"/>
                <w:vertAlign w:val="superscript"/>
              </w:rPr>
              <w:t>8]</w:t>
            </w:r>
            <w:r w:rsidR="00E41FA3">
              <w:rPr>
                <w:rFonts w:ascii="Times New Roman" w:eastAsia="Times New Roman" w:hAnsi="Times New Roman" w:cs="Times New Roman"/>
                <w:kern w:val="0"/>
                <w:sz w:val="24"/>
                <w:szCs w:val="24"/>
                <w:lang w:eastAsia="en-IN"/>
                <w14:ligatures w14:val="none"/>
              </w:rPr>
              <w:fldChar w:fldCharType="end"/>
            </w:r>
          </w:p>
        </w:tc>
      </w:tr>
    </w:tbl>
    <w:p w14:paraId="7D273D5C" w14:textId="77777777" w:rsidR="00160158" w:rsidRPr="00160158" w:rsidRDefault="007622D4" w:rsidP="001601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B19C3">
        <w:rPr>
          <w:rFonts w:ascii="Times New Roman" w:hAnsi="Times New Roman" w:cs="Times New Roman"/>
          <w:b/>
          <w:bCs/>
          <w:sz w:val="24"/>
          <w:szCs w:val="24"/>
        </w:rPr>
        <w:t xml:space="preserve">                       </w:t>
      </w:r>
      <w:r w:rsidR="00AC341A">
        <w:rPr>
          <w:rFonts w:ascii="Times New Roman" w:hAnsi="Times New Roman" w:cs="Times New Roman"/>
          <w:b/>
          <w:bCs/>
          <w:sz w:val="24"/>
          <w:szCs w:val="24"/>
        </w:rPr>
        <w:t xml:space="preserve">                                     </w:t>
      </w:r>
    </w:p>
    <w:p w14:paraId="6569F102" w14:textId="77777777" w:rsidR="00160158" w:rsidRPr="00160158" w:rsidRDefault="00160158" w:rsidP="00160158">
      <w:pPr>
        <w:spacing w:line="360" w:lineRule="auto"/>
        <w:jc w:val="both"/>
        <w:rPr>
          <w:rFonts w:ascii="Times New Roman" w:hAnsi="Times New Roman" w:cs="Times New Roman"/>
          <w:b/>
          <w:bCs/>
          <w:sz w:val="24"/>
          <w:szCs w:val="24"/>
        </w:rPr>
      </w:pPr>
      <w:commentRangeStart w:id="14"/>
      <w:r w:rsidRPr="00160158">
        <w:rPr>
          <w:rFonts w:ascii="Times New Roman" w:hAnsi="Times New Roman" w:cs="Times New Roman"/>
          <w:b/>
          <w:bCs/>
          <w:sz w:val="24"/>
          <w:szCs w:val="24"/>
        </w:rPr>
        <w:t>CONCLUSION</w:t>
      </w:r>
      <w:commentRangeEnd w:id="14"/>
      <w:r w:rsidR="00920148">
        <w:rPr>
          <w:rStyle w:val="CommentReference"/>
        </w:rPr>
        <w:commentReference w:id="14"/>
      </w:r>
    </w:p>
    <w:p w14:paraId="2C4FBA9C" w14:textId="77777777" w:rsidR="00160158" w:rsidRPr="00160158" w:rsidRDefault="00160158" w:rsidP="00160158">
      <w:pPr>
        <w:spacing w:line="360" w:lineRule="auto"/>
        <w:jc w:val="both"/>
        <w:rPr>
          <w:rFonts w:ascii="Times New Roman" w:hAnsi="Times New Roman" w:cs="Times New Roman"/>
          <w:b/>
          <w:bCs/>
          <w:sz w:val="24"/>
          <w:szCs w:val="24"/>
        </w:rPr>
      </w:pPr>
      <w:r w:rsidRPr="00160158">
        <w:rPr>
          <w:rFonts w:ascii="Times New Roman" w:hAnsi="Times New Roman" w:cs="Times New Roman"/>
          <w:b/>
          <w:bCs/>
          <w:sz w:val="24"/>
          <w:szCs w:val="24"/>
        </w:rPr>
        <w:t xml:space="preserve">            The interrelationship between the reproductive system and periodontal disease underscores the </w:t>
      </w:r>
      <w:proofErr w:type="spellStart"/>
      <w:r w:rsidRPr="00160158">
        <w:rPr>
          <w:rFonts w:ascii="Times New Roman" w:hAnsi="Times New Roman" w:cs="Times New Roman"/>
          <w:b/>
          <w:bCs/>
          <w:sz w:val="24"/>
          <w:szCs w:val="24"/>
        </w:rPr>
        <w:t>Recognization</w:t>
      </w:r>
      <w:proofErr w:type="spellEnd"/>
      <w:r w:rsidRPr="00160158">
        <w:rPr>
          <w:rFonts w:ascii="Times New Roman" w:hAnsi="Times New Roman" w:cs="Times New Roman"/>
          <w:b/>
          <w:bCs/>
          <w:sz w:val="24"/>
          <w:szCs w:val="24"/>
        </w:rPr>
        <w:t xml:space="preserve"> of oral health as a vital aspect of overall well-being highlights the need for holistic healthcare strategies. A deeper understanding of this relationship can enhance prevention, facilitate early diagnosis, and improve the management of interconnected conditions, ultimately leading to better patient health outcomes.</w:t>
      </w:r>
    </w:p>
    <w:p w14:paraId="538FAD0D" w14:textId="09B6C732" w:rsidR="001364CA" w:rsidRDefault="00AC341A" w:rsidP="00BB1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E49DEB7" w14:textId="77777777" w:rsidR="00160158" w:rsidRDefault="00160158" w:rsidP="009506F5">
      <w:pPr>
        <w:spacing w:line="360" w:lineRule="auto"/>
        <w:jc w:val="center"/>
        <w:rPr>
          <w:rFonts w:ascii="Times New Roman" w:hAnsi="Times New Roman" w:cs="Times New Roman"/>
          <w:b/>
          <w:bCs/>
          <w:sz w:val="24"/>
          <w:szCs w:val="24"/>
        </w:rPr>
      </w:pPr>
      <w:bookmarkStart w:id="15" w:name="_GoBack"/>
      <w:bookmarkEnd w:id="15"/>
    </w:p>
    <w:p w14:paraId="02F31AC5" w14:textId="77777777" w:rsidR="00160158" w:rsidRDefault="00160158" w:rsidP="009506F5">
      <w:pPr>
        <w:spacing w:line="360" w:lineRule="auto"/>
        <w:jc w:val="center"/>
        <w:rPr>
          <w:rFonts w:ascii="Times New Roman" w:hAnsi="Times New Roman" w:cs="Times New Roman"/>
          <w:b/>
          <w:bCs/>
          <w:sz w:val="24"/>
          <w:szCs w:val="24"/>
        </w:rPr>
      </w:pPr>
    </w:p>
    <w:p w14:paraId="70BB61D9" w14:textId="77777777" w:rsidR="00160158" w:rsidRDefault="00160158" w:rsidP="009506F5">
      <w:pPr>
        <w:spacing w:line="360" w:lineRule="auto"/>
        <w:jc w:val="center"/>
        <w:rPr>
          <w:rFonts w:ascii="Times New Roman" w:hAnsi="Times New Roman" w:cs="Times New Roman"/>
          <w:b/>
          <w:bCs/>
          <w:sz w:val="24"/>
          <w:szCs w:val="24"/>
        </w:rPr>
      </w:pPr>
    </w:p>
    <w:p w14:paraId="033ED3AB" w14:textId="4356B71B" w:rsidR="007D176E" w:rsidRDefault="006968A4" w:rsidP="009506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AC341A">
        <w:rPr>
          <w:rFonts w:ascii="Times New Roman" w:hAnsi="Times New Roman" w:cs="Times New Roman"/>
          <w:b/>
          <w:bCs/>
          <w:sz w:val="24"/>
          <w:szCs w:val="24"/>
        </w:rPr>
        <w:t xml:space="preserve">. </w:t>
      </w:r>
      <w:r w:rsidR="007D176E" w:rsidRPr="00F8642D">
        <w:rPr>
          <w:rFonts w:ascii="Times New Roman" w:hAnsi="Times New Roman" w:cs="Times New Roman"/>
          <w:b/>
          <w:bCs/>
          <w:sz w:val="24"/>
          <w:szCs w:val="24"/>
        </w:rPr>
        <w:t>REFERENCES</w:t>
      </w:r>
    </w:p>
    <w:p w14:paraId="29C7FF89" w14:textId="77777777" w:rsidR="00AC341A" w:rsidRPr="001364CA" w:rsidRDefault="00AC341A" w:rsidP="001364CA">
      <w:pPr>
        <w:spacing w:line="360" w:lineRule="auto"/>
        <w:ind w:left="284"/>
        <w:rPr>
          <w:rFonts w:ascii="Times New Roman" w:hAnsi="Times New Roman" w:cs="Times New Roman"/>
          <w:b/>
          <w:bCs/>
          <w:sz w:val="24"/>
          <w:szCs w:val="24"/>
        </w:rPr>
      </w:pPr>
    </w:p>
    <w:p w14:paraId="5818C532" w14:textId="08748D56" w:rsidR="009506F5" w:rsidRPr="009506F5" w:rsidRDefault="00167EAA" w:rsidP="009506F5">
      <w:pPr>
        <w:pStyle w:val="Bibliography"/>
        <w:numPr>
          <w:ilvl w:val="0"/>
          <w:numId w:val="20"/>
        </w:numPr>
        <w:tabs>
          <w:tab w:val="clear" w:pos="624"/>
        </w:tabs>
        <w:spacing w:after="160" w:line="360" w:lineRule="auto"/>
        <w:rPr>
          <w:rFonts w:ascii="Times New Roman" w:eastAsia="Calibri" w:hAnsi="Times New Roman" w:cs="Times New Roman"/>
          <w:kern w:val="0"/>
          <w:sz w:val="24"/>
          <w:szCs w:val="24"/>
          <w14:ligatures w14:val="none"/>
        </w:rPr>
      </w:pPr>
      <w:r w:rsidRPr="001269C1">
        <w:rPr>
          <w:rFonts w:ascii="Times New Roman" w:hAnsi="Times New Roman" w:cs="Times New Roman"/>
          <w:sz w:val="24"/>
          <w:szCs w:val="24"/>
        </w:rPr>
        <w:fldChar w:fldCharType="begin"/>
      </w:r>
      <w:r w:rsidR="00252987" w:rsidRPr="001269C1">
        <w:rPr>
          <w:rFonts w:ascii="Times New Roman" w:hAnsi="Times New Roman" w:cs="Times New Roman"/>
          <w:sz w:val="24"/>
          <w:szCs w:val="24"/>
        </w:rPr>
        <w:instrText xml:space="preserve"> ADDIN ZOTERO_BIBL {"uncited":[],"omitted":[],"custom":[]} CSL_BIBLIOGRAPHY </w:instrText>
      </w:r>
      <w:r w:rsidRPr="001269C1">
        <w:rPr>
          <w:rFonts w:ascii="Times New Roman" w:hAnsi="Times New Roman" w:cs="Times New Roman"/>
          <w:sz w:val="24"/>
          <w:szCs w:val="24"/>
        </w:rPr>
        <w:fldChar w:fldCharType="separate"/>
      </w:r>
      <w:r w:rsidR="00DC12EE">
        <w:rPr>
          <w:rFonts w:ascii="Times New Roman" w:hAnsi="Times New Roman" w:cs="Times New Roman"/>
          <w:sz w:val="24"/>
          <w:szCs w:val="24"/>
        </w:rPr>
        <w:t xml:space="preserve"> </w:t>
      </w:r>
      <w:r w:rsidR="009506F5" w:rsidRPr="009506F5">
        <w:rPr>
          <w:rFonts w:ascii="Times New Roman" w:eastAsia="Calibri" w:hAnsi="Times New Roman" w:cs="Times New Roman"/>
          <w:kern w:val="0"/>
          <w:sz w:val="24"/>
          <w:szCs w:val="24"/>
          <w14:ligatures w14:val="none"/>
        </w:rPr>
        <w:t xml:space="preserve">Khosravi R, Ka K, Huang T, Khalili S, Nguyen BH, Nicolau B, et al. Tumor necrosis factor- α and interleukin-6: potential interorgan inflammatory mediators contributing to destructive periodontal disease in obesity or metabolic syndrome. Mediators Inflamm 2013;2013:728987. </w:t>
      </w:r>
    </w:p>
    <w:p w14:paraId="4951E6F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Bartold PM, Van Dyke TE. Host modulation: controlling the inflammation to control the infection. Periodontol 2000 2017;75(1):317–29. </w:t>
      </w:r>
    </w:p>
    <w:p w14:paraId="661700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Scannapieco FA. The oral microbiome: Its role in health and in oral and systemic infections. Clin Microbiol Newsl 2013;35(20):163–9. </w:t>
      </w:r>
    </w:p>
    <w:p w14:paraId="1B7C109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Han YW, Wang X. Mobile microbiome: oral bacteria in extra-oral infections and inflammation. J Dent Res 2013;92(6):485–91. </w:t>
      </w:r>
    </w:p>
    <w:p w14:paraId="6232587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Kakoly NS, Moran LJ, Teede HJ, Joham AE. Cardiometabolic risks in PCOS: a review of the current state of knowledge. Expert Rev Endocrinol Metab 2019;14(1):23–33. </w:t>
      </w:r>
    </w:p>
    <w:p w14:paraId="407860C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Murri M, Luque-Ramírez M, Insenser M, Ojeda-Ojeda M, Escobar-Morreale HF. Circulating markers of oxidative stress and polycystic ovary syndrome (PCOS): a systematic review and meta-analysis. Hum Reprod Update 2013;19(3):268–88. </w:t>
      </w:r>
    </w:p>
    <w:p w14:paraId="6525E88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Desai V, Prasad NR, Manohar SM, Sachan A, Narasimha SRPVL, Bitla ARR. Oxidative Stress in Non-Obese Women with Polycystic Ovarian Syndrome. J Clin Diagn Res JCDR 2014;8(7):CC01–3. </w:t>
      </w:r>
    </w:p>
    <w:p w14:paraId="7A56069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Dou Y, Xin J, Zhou P, Tang J, Xie H, Fan W, et al. Bidirectional association between polycystic ovary syndrome and periodontal diseases. Front Endocrinol 2023;14:1008675. </w:t>
      </w:r>
    </w:p>
    <w:p w14:paraId="5146B0C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Rotterdam ESHRE/ASRM-Sponsored PCOS Consensus Workshop Group. Revised 2003 consensus on diagnostic criteria and long-term health risks related to polycystic ovary syndrome. Fertil Steril 2004;81(1):19–25. </w:t>
      </w:r>
    </w:p>
    <w:p w14:paraId="1FF7D26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de Melo AS, Dias SV, Cavalli R de C, Cardoso VC, Bettiol H, Barbieri MA, et al. Pathogenesis of polycystic ovary syndrome: multifactorial assessment from the foetal stage to menopause. Reprod Camb Engl 2015;150(1):R11-24. </w:t>
      </w:r>
    </w:p>
    <w:p w14:paraId="0150722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Franks S, Berga SL. A Debate: Does PCOS Have Developmental Origins? Fertil Steril 2012;97(1):2–6. </w:t>
      </w:r>
    </w:p>
    <w:p w14:paraId="0638BBE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Abbott DH, Barnett DK, Bruns CM, Dumesic DA. Androgen excess fetal programming of female reproduction: a developmental aetiology for polycystic ovary syndrome? Hum Reprod Update 2005;11(4):357–74. </w:t>
      </w:r>
    </w:p>
    <w:p w14:paraId="498D766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304C29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King J. Polycystic ovary syndrome. J Midwifery Womens Health 2006;51(6):415–22. </w:t>
      </w:r>
    </w:p>
    <w:p w14:paraId="78AAF68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1C0455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Yildizhan R, Kurdoglu M, Adali E, Kolusari A, Yildizhan B, Sahin HG, et al. Serum 25-hydroxyvitamin D concentrations in obese and non-obese women with polycystic ovary syndrome. Arch Gynecol Obstet 2009;280(4):559–63. </w:t>
      </w:r>
    </w:p>
    <w:p w14:paraId="5830687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Lim SS, Norman RJ, Davies MJ, Moran LJ. The effect of obesity on polycystic ovary syndrome: a systematic review and meta-analysis. Obes Rev Off J Int Assoc Study Obes 2013;14(2):95–109. </w:t>
      </w:r>
    </w:p>
    <w:p w14:paraId="5424FCA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Nicandri KF, Hoeger K. Diagnosis and treatment of polycystic ovarian syndrome in adolescents. Curr Opin Endocrinol Diabetes Obes 2012;19(6):497–504. </w:t>
      </w:r>
    </w:p>
    <w:p w14:paraId="295602D8" w14:textId="77777777" w:rsidR="00104C68"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Carmina E, Lobo RA. Use of fasting blood to assess the prevalence of insulin resistance in women with polycystic ovary syndrome. Fertil Steril 2004;82(3):661–5.</w:t>
      </w:r>
    </w:p>
    <w:p w14:paraId="29FDF8A0" w14:textId="597A10CE" w:rsidR="009506F5" w:rsidRPr="009506F5" w:rsidRDefault="00104C68" w:rsidP="00104C68">
      <w:pPr>
        <w:numPr>
          <w:ilvl w:val="0"/>
          <w:numId w:val="20"/>
        </w:numPr>
        <w:spacing w:line="360" w:lineRule="auto"/>
        <w:rPr>
          <w:rFonts w:ascii="Times New Roman" w:eastAsia="Calibri" w:hAnsi="Times New Roman" w:cs="Times New Roman"/>
          <w:kern w:val="0"/>
          <w:sz w:val="24"/>
          <w:szCs w:val="24"/>
          <w14:ligatures w14:val="none"/>
        </w:rPr>
      </w:pPr>
      <w:r w:rsidRPr="00104C68">
        <w:rPr>
          <w:rFonts w:ascii="Times New Roman" w:eastAsia="Calibri" w:hAnsi="Times New Roman" w:cs="Times New Roman"/>
          <w:kern w:val="0"/>
          <w:sz w:val="24"/>
          <w:szCs w:val="24"/>
          <w14:ligatures w14:val="none"/>
        </w:rPr>
        <w:lastRenderedPageBreak/>
        <w:t xml:space="preserve">Tanguturi SC, Nagarakanti S. Polycystic Ovary Syndrome and Periodontal disease: Underlying Links- A Review. Indian J Endocrinol Metab 2018;22(2):267–73. </w:t>
      </w:r>
      <w:r w:rsidR="009506F5" w:rsidRPr="009506F5">
        <w:rPr>
          <w:rFonts w:ascii="Times New Roman" w:eastAsia="Calibri" w:hAnsi="Times New Roman" w:cs="Times New Roman"/>
          <w:kern w:val="0"/>
          <w:sz w:val="24"/>
          <w:szCs w:val="24"/>
          <w14:ligatures w14:val="none"/>
        </w:rPr>
        <w:t xml:space="preserve"> </w:t>
      </w:r>
    </w:p>
    <w:p w14:paraId="0F37D71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Bremer AA, Miller WL. The serine phosphorylation hypothesis of polycystic ovary syndrome: a unifying mechanism for hyperandrogenemia and insulin resistance. Fertil Steril 2008;89(5):1039–48. </w:t>
      </w:r>
    </w:p>
    <w:p w14:paraId="6C42387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Legro RS, Kunselman AR, Dodson WC, Dunaif A. Prevalence and predictors of risk for type 2 diabetes mellitus and impaired glucose tolerance in polycystic ovary syndrome: a prospective, controlled study in 254 affected women. J Clin Endocrinol Metab 1999;84(1):165–9. </w:t>
      </w:r>
    </w:p>
    <w:p w14:paraId="437DC55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British Cardiac Society, British Hypertension Society, Diabetes UK, HEART UK, Primary Care Cardiovascular Society, Stroke Association. JBS 2: Joint British Societies’ guidelines on prevention of cardiovascular disease in clinical practice. Heart Br Card Soc 2005;91 Suppl 5(Suppl 5):v1-52. </w:t>
      </w:r>
    </w:p>
    <w:p w14:paraId="4B07670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Rizzo M, Clifton S, Carmina E. Lipid levels in polycystic ovary syndrome: systematic review and meta-analysis. Fertil Steril 2011;95(3):1073-1079.e1-11. </w:t>
      </w:r>
    </w:p>
    <w:p w14:paraId="76075C2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Carmina E, Diamanti-Kandarakis E, Dokras A, Escobar-Morreale HF, Futterweit W, et al. Assessment of cardiovascular risk and prevention of cardiovascular disease in women with the polycystic ovary syndrome: a consensus statement by the Androgen Excess and Polycystic Ovary Syndrome (AE-PCOS) Society. J Clin Endocrinol Metab 2010;95(5):2038–49. </w:t>
      </w:r>
    </w:p>
    <w:p w14:paraId="1366B58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Talbott EO, Guzick DS, Sutton-Tyrrell K, McHugh-Pemu KP, Zborowski JV, Remsberg KE, et al. Evidence for association between polycystic ovary syndrome and premature carotid atherosclerosis in middle-aged women. Arterioscler Thromb Vasc Biol 2000;20(11):2414–21. </w:t>
      </w:r>
    </w:p>
    <w:p w14:paraId="664FF8C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Barry JA, Azizia MM, Hardiman PJ. Risk of endometrial, ovarian and breast cancer in women with polycystic ovary syndrome: a systematic review and meta-analysis. Hum Reprod Update 2014;20(5):748–58. </w:t>
      </w:r>
    </w:p>
    <w:p w14:paraId="2506DAB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Dokras A, Clifton S, Futterweit W, Wild R. Increased prevalence of anxiety symptoms in women with polycystic ovary syndrome: systematic review and meta-analysis. Fertil Steril 2012;97(1):225-230.e2. </w:t>
      </w:r>
    </w:p>
    <w:p w14:paraId="130210E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Boomsma CM, Eijkemans MJC, Hughes EG, Visser GHA, Fauser BCJM, Macklon NS. A meta-analysis of pregnancy outcomes in women with polycystic ovary syndrome. Hum Reprod Update 2006;12(6):673–83. </w:t>
      </w:r>
    </w:p>
    <w:p w14:paraId="514E2C27"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Dursun E, Akalın FA, Güncü GN, Çınar N, Aksoy DY, Tözüm TF, et al. Periodontal disease in polycystic ovary syndrome. Fertil Steril 2011;95(1):320–3. </w:t>
      </w:r>
    </w:p>
    <w:p w14:paraId="3F00B8A6" w14:textId="4404DC86" w:rsidR="009506F5" w:rsidRPr="009506F5" w:rsidRDefault="003C1ACC" w:rsidP="003C1ACC">
      <w:pPr>
        <w:numPr>
          <w:ilvl w:val="0"/>
          <w:numId w:val="20"/>
        </w:numPr>
        <w:spacing w:line="360" w:lineRule="auto"/>
        <w:rPr>
          <w:rFonts w:ascii="Times New Roman" w:eastAsia="Calibri" w:hAnsi="Times New Roman" w:cs="Times New Roman"/>
          <w:kern w:val="0"/>
          <w:sz w:val="24"/>
          <w:szCs w:val="24"/>
          <w14:ligatures w14:val="none"/>
        </w:rPr>
      </w:pPr>
      <w:r w:rsidRPr="003C1ACC">
        <w:rPr>
          <w:rFonts w:ascii="Times New Roman" w:eastAsia="Calibri" w:hAnsi="Times New Roman" w:cs="Times New Roman"/>
          <w:kern w:val="0"/>
          <w:sz w:val="24"/>
          <w:szCs w:val="24"/>
          <w14:ligatures w14:val="none"/>
        </w:rPr>
        <w:t>Özçaka Ö, Ceyhan BÖ, Akcali A, Biçakci N, Lappin DF, Buduneli N. Is there an interaction between polycystic ovary syndrome and gingival inflammation? J Periodontol. 2012 Dec;83(12):1529-37. doi: 10.1902/jop.2012.110588. Epub 2012 Apr 17. PMID: 22509751.</w:t>
      </w:r>
    </w:p>
    <w:p w14:paraId="19B8820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Özçaka Ö, Buduneli N, Ceyhan BO, Akcali A, Hannah V, Nile C, et al. Is interleukin-17 involved in the interaction between polycystic ovary syndrome and gingival inflammation? J Periodontol 2013;84(12):1827–37. </w:t>
      </w:r>
    </w:p>
    <w:p w14:paraId="566162EB" w14:textId="3C96BB4B"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Akcalı A, Bostanci N, Özçaka Ö, Öztürk-Ceyhan B, Gümüş P, Buduneli N, et al. Association between Polycystic Ovary Syndrome, Oral Microbiota and Systemic Antibody Responses. PLOS ONE 2014;9(9):e108074. </w:t>
      </w:r>
    </w:p>
    <w:p w14:paraId="7D9C0D0D" w14:textId="6CFA417F" w:rsidR="00CC71A6" w:rsidRPr="009506F5" w:rsidRDefault="00CC71A6" w:rsidP="00CC71A6">
      <w:pPr>
        <w:numPr>
          <w:ilvl w:val="0"/>
          <w:numId w:val="20"/>
        </w:numPr>
        <w:spacing w:line="360" w:lineRule="auto"/>
        <w:rPr>
          <w:rFonts w:ascii="Times New Roman" w:eastAsia="Calibri" w:hAnsi="Times New Roman" w:cs="Times New Roman"/>
          <w:kern w:val="0"/>
          <w:sz w:val="24"/>
          <w:szCs w:val="24"/>
          <w14:ligatures w14:val="none"/>
        </w:rPr>
      </w:pPr>
      <w:r w:rsidRPr="00CC71A6">
        <w:rPr>
          <w:rFonts w:ascii="Times New Roman" w:eastAsia="Calibri" w:hAnsi="Times New Roman" w:cs="Times New Roman"/>
          <w:kern w:val="0"/>
          <w:sz w:val="24"/>
          <w:szCs w:val="24"/>
          <w14:ligatures w14:val="none"/>
        </w:rPr>
        <w:t>Porwal S, Tewari S, Sharma RK, Singhal SR, Narula SC. Periodontal status and high-sensitivity C-reactive protein levels in polycystic ovary syndrome with and without medical treatment. J Periodontol 2014;85(10):1380–9.</w:t>
      </w:r>
    </w:p>
    <w:p w14:paraId="711CAE6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Rahiminejad ME, Moaddab A, Zaryoun H, Rabiee S, Moaddab A, Khodadoustan A. Comparison of prevalence of periodontal disease in women with polycystic ovary syndrome and healthy controls. Dent Res J 2015;12(6):507–12. </w:t>
      </w:r>
    </w:p>
    <w:p w14:paraId="745CA2B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Martinez-Herrera M, Silvestre FJ, Silvestre-Rangil J, Bañuls C, Rocha M, Hernández-Mijares A. Involvement of insulin resistance in normoglycaemic obese patients with periodontitis: A cross-sectional study. J Clin Periodontol 2017;44(10):981–8. </w:t>
      </w:r>
    </w:p>
    <w:p w14:paraId="20DBA1A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Dou Y, Xin J, Zhou P, Tang J, Xie H, Fan W, et al. Bidirectional association between polycystic ovary syndrome and periodontal diseases. Front Endocrinol [Internet] 2023 [cited 2024 Aug 9];14. </w:t>
      </w:r>
    </w:p>
    <w:p w14:paraId="24D51C5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Freire M, Nelson KE, Edlund A. The Oral Host–Microbial Interactome: An Ecological Chronometer of Health? Trends Microbiol 2021;29(6):551–61. </w:t>
      </w:r>
    </w:p>
    <w:p w14:paraId="1EAC466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Raber-Durlacher JE, van Steenbergen TJM, van der Velden U, de Graaff J, Abraham-Inpijn L. Experimental gingivitis during pregnancy and post-partum: clinical, endocrinological, and microbiological aspects. J Clin Periodontol 1994;21(8):549–58. </w:t>
      </w:r>
    </w:p>
    <w:p w14:paraId="5216151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 N, Li Y, Qian C, Liu Q, Cao W, Ma M, et al. Dysbiosis of the Saliva Microbiome in Patients With Polycystic Ovary Syndrome. Front Cell Infect Microbiol [Internet] 2021 [cited 2024 Jan 30];10. </w:t>
      </w:r>
    </w:p>
    <w:p w14:paraId="34330EB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Kelly CC, Lyall H, Petrie JR, Gould GW, Connell JM, Sattar N. Low grade chronic inflammation in women with polycystic ovarian syndrome. J Clin Endocrinol Metab 2001;86(6):2453–5. </w:t>
      </w:r>
    </w:p>
    <w:p w14:paraId="25C908C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Vrbikova J, Hainer V. Obesity and polycystic ovary syndrome. Obes Facts 2009;2(1):26–35. </w:t>
      </w:r>
    </w:p>
    <w:p w14:paraId="2C639DC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Carmina E, Bucchieri S, Esposito A, Del Puente A, Mansueto P, Orio F, et al. Abdominal fat quantity and distribution in women with polycystic ovary syndrome and extent of its relation to insulin resistance. J Clin Endocrinol Metab 2007;92(7):2500–5. </w:t>
      </w:r>
    </w:p>
    <w:p w14:paraId="04A7C39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Spritzer PM, Lecke SB, Satler F, Morsch DM. Adipose tissue dysfunction, adipokines, and low-grade chronic inflammation in polycystic ovary syndrome. Reprod Camb Engl 2015;149(5):R219-227. </w:t>
      </w:r>
    </w:p>
    <w:p w14:paraId="33064BF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Liu Z, Liu Y, Song Y, Zhang X, Wang S, Wang Z. Systemic Oxidative Stress Biomarkers in Chronic Periodontitis: A Meta-Analysis. Dis Markers 2014;2014:931083. </w:t>
      </w:r>
    </w:p>
    <w:p w14:paraId="139D4F1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Diamanti-Kandarakis E, Katsikis I, Piperi C, Kandaraki E, Piouka A, Papavassiliou AG, et al. Increased serum advanced glycation end-products is a distinct finding in lean women with polycystic ovary syndrome (PCOS). Clin Endocrinol (Oxf) 2008;69(4):634–41. </w:t>
      </w:r>
    </w:p>
    <w:p w14:paraId="14EF478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Schmidt AM, Weidman E, Lalla E, Yan SD, Hori O, Cao R, et al. Advanced glycation endproducts (AGEs) induce oxidant stress in the gingiva: a potential mechanism underlying accelerated periodontal disease associated with diabetes. J Periodontal Res 1996;31(7):508–15. </w:t>
      </w:r>
    </w:p>
    <w:p w14:paraId="3A988FD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Katz J, Bhattacharyya I, Farkhondeh-Kish F, Perez FM, Caudle RM, Heft MW. Expression of the receptor of advanced glycation end products in gingival tissues of type 2 diabetes patients with chronic periodontal disease: a study utilizing immunohistochemistry and RT-PCR. J Clin Periodontol 2005;32(1):40–4. </w:t>
      </w:r>
    </w:p>
    <w:p w14:paraId="09D2031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Krishnan A, Muthusami S. Hormonal alterations in PCOS and its influence on bone metabolism. J Endocrinol 2017;232(2):R99–113. </w:t>
      </w:r>
    </w:p>
    <w:p w14:paraId="58CE669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Piovezan JM, Premaor MO, Comim FV. Negative impact of polycystic ovary syndrome on bone health: a systematic review and meta-analysis. Hum Reprod Update 2019;25(5):633–45. </w:t>
      </w:r>
    </w:p>
    <w:p w14:paraId="0142C71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Kellesarian SV, Malignaggi VR, Kellesarian TV, Al-Kheraif AA, Alwageet MM, Malmstrom H, et al. Association between periodontal disease and polycystic ovary syndrome: a systematic review. Int J Impot Res 2017;29(3):89–95. </w:t>
      </w:r>
    </w:p>
    <w:p w14:paraId="79DD5A9B" w14:textId="58ECCAE7" w:rsidR="009506F5" w:rsidRPr="009506F5" w:rsidRDefault="00D92900" w:rsidP="00D92900">
      <w:pPr>
        <w:numPr>
          <w:ilvl w:val="0"/>
          <w:numId w:val="20"/>
        </w:numPr>
        <w:spacing w:line="360" w:lineRule="auto"/>
        <w:rPr>
          <w:rFonts w:ascii="Times New Roman" w:eastAsia="Calibri" w:hAnsi="Times New Roman" w:cs="Times New Roman"/>
          <w:kern w:val="0"/>
          <w:sz w:val="24"/>
          <w:szCs w:val="24"/>
          <w14:ligatures w14:val="none"/>
        </w:rPr>
      </w:pPr>
      <w:r w:rsidRPr="00D92900">
        <w:rPr>
          <w:rFonts w:ascii="Times New Roman" w:eastAsia="Calibri" w:hAnsi="Times New Roman" w:cs="Times New Roman"/>
          <w:kern w:val="0"/>
          <w:sz w:val="24"/>
          <w:szCs w:val="24"/>
          <w14:ligatures w14:val="none"/>
        </w:rPr>
        <w:t>Farook F, Ng K, MNM N, Koh W, Teoh W. Association of Periodontal Disease and Polycystic Ovarian Syndrome: A Systematic Review and Meta-analysis with Trial Sequential Analysis . Open Dent J, 2019; 13</w:t>
      </w:r>
    </w:p>
    <w:p w14:paraId="3BE9D98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Márquez-Arrico CF, Silvestre-Rangil J, Gutiérrez-Castillo L, Martinez-Herrera M, Silvestre FJ, Rocha M. Association between Periodontal Diseases and Polycystic Ovary Syndrome: A Systematic Review. J Clin Med 2020;9(5):1586. </w:t>
      </w:r>
    </w:p>
    <w:p w14:paraId="154BFB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Machado V, Escalda C, Proença L, Mendes JJ, Botelho J. Is There a Bidirectional Association between Polycystic Ovarian Syndrome and Periodontitis? A Systematic Review and Meta-analysis. J Clin Med 2020;9(6):1961. </w:t>
      </w:r>
    </w:p>
    <w:p w14:paraId="61271276" w14:textId="1FB010E9" w:rsidR="009319BB" w:rsidRPr="001269C1" w:rsidRDefault="009319BB" w:rsidP="009506F5">
      <w:pPr>
        <w:pStyle w:val="Bibliography"/>
        <w:spacing w:line="360" w:lineRule="auto"/>
        <w:rPr>
          <w:rFonts w:ascii="Times New Roman" w:hAnsi="Times New Roman" w:cs="Times New Roman"/>
          <w:sz w:val="24"/>
          <w:szCs w:val="24"/>
        </w:rPr>
      </w:pPr>
    </w:p>
    <w:p w14:paraId="5F57D11B" w14:textId="63CC8329"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1732C62E" w14:textId="01B1A853" w:rsidR="009319BB" w:rsidRPr="001269C1" w:rsidRDefault="009319BB" w:rsidP="00272274">
      <w:pPr>
        <w:pStyle w:val="Bibliography"/>
        <w:spacing w:line="360" w:lineRule="auto"/>
        <w:rPr>
          <w:rFonts w:ascii="Times New Roman" w:hAnsi="Times New Roman" w:cs="Times New Roman"/>
          <w:sz w:val="24"/>
          <w:szCs w:val="24"/>
        </w:rPr>
      </w:pPr>
    </w:p>
    <w:p w14:paraId="326C0BB9" w14:textId="44F3595E"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660FEE2A" w14:textId="6C2FF077" w:rsidR="009319BB" w:rsidRPr="001269C1" w:rsidRDefault="009319BB" w:rsidP="00B90B4C">
      <w:pPr>
        <w:pStyle w:val="Bibliography"/>
        <w:spacing w:line="360" w:lineRule="auto"/>
        <w:rPr>
          <w:rFonts w:ascii="Times New Roman" w:hAnsi="Times New Roman" w:cs="Times New Roman"/>
          <w:sz w:val="24"/>
          <w:szCs w:val="24"/>
        </w:rPr>
      </w:pPr>
    </w:p>
    <w:p w14:paraId="677C16B5" w14:textId="42DFBB8B" w:rsidR="0041079C" w:rsidRPr="001269C1" w:rsidRDefault="00167EAA" w:rsidP="001269C1">
      <w:pPr>
        <w:spacing w:line="360" w:lineRule="auto"/>
        <w:ind w:left="567"/>
        <w:rPr>
          <w:rFonts w:ascii="Times New Roman" w:hAnsi="Times New Roman" w:cs="Times New Roman"/>
          <w:sz w:val="24"/>
          <w:szCs w:val="24"/>
        </w:rPr>
      </w:pPr>
      <w:r w:rsidRPr="001269C1">
        <w:rPr>
          <w:rFonts w:ascii="Times New Roman" w:hAnsi="Times New Roman" w:cs="Times New Roman"/>
          <w:sz w:val="24"/>
          <w:szCs w:val="24"/>
        </w:rPr>
        <w:fldChar w:fldCharType="end"/>
      </w:r>
    </w:p>
    <w:sectPr w:rsidR="0041079C" w:rsidRPr="001269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BC" w:date="2025-05-10T09:06:00Z" w:initials="A">
    <w:p w14:paraId="066AE855" w14:textId="01ADC647" w:rsidR="00920148" w:rsidRDefault="00920148">
      <w:pPr>
        <w:pStyle w:val="CommentText"/>
      </w:pPr>
      <w:r>
        <w:rPr>
          <w:rStyle w:val="CommentReference"/>
        </w:rPr>
        <w:annotationRef/>
      </w:r>
      <w:r>
        <w:t>Repetitive: Similar content is already conveyed in earlier sentences. Consider merging or omitting.</w:t>
      </w:r>
    </w:p>
  </w:comment>
  <w:comment w:id="1" w:author="ABC" w:date="2025-05-10T09:08:00Z" w:initials="A">
    <w:p w14:paraId="029C34A4" w14:textId="1C6679B1" w:rsidR="00920148" w:rsidRDefault="00920148">
      <w:pPr>
        <w:pStyle w:val="CommentText"/>
      </w:pPr>
      <w:r>
        <w:rPr>
          <w:rStyle w:val="CommentReference"/>
        </w:rPr>
        <w:annotationRef/>
      </w:r>
      <w:r>
        <w:t>Repetitive: Already implied above. Avoid redundancy unless expanding on mechanism.</w:t>
      </w:r>
    </w:p>
  </w:comment>
  <w:comment w:id="3" w:author="ABC" w:date="2025-05-12T09:35:00Z" w:initials="A">
    <w:p w14:paraId="237E9A5F" w14:textId="7EB92AE0" w:rsidR="00920148" w:rsidRDefault="00920148">
      <w:pPr>
        <w:pStyle w:val="CommentText"/>
      </w:pPr>
      <w:r>
        <w:rPr>
          <w:rStyle w:val="CommentReference"/>
        </w:rPr>
        <w:annotationRef/>
      </w:r>
      <w:r>
        <w:t>Expand on how this ‘</w:t>
      </w:r>
      <w:proofErr w:type="spellStart"/>
      <w:r>
        <w:t>perio</w:t>
      </w:r>
      <w:proofErr w:type="spellEnd"/>
      <w:r>
        <w:t>-systemic inter-relationship’ theory particularly applies to hormonal disorders like PCOS.</w:t>
      </w:r>
    </w:p>
  </w:comment>
  <w:comment w:id="4" w:author="ABC" w:date="2025-05-12T09:38:00Z" w:initials="A">
    <w:p w14:paraId="607CA343" w14:textId="310ECA3C" w:rsidR="00920148" w:rsidRDefault="00920148">
      <w:pPr>
        <w:pStyle w:val="CommentText"/>
      </w:pPr>
      <w:r>
        <w:rPr>
          <w:rStyle w:val="CommentReference"/>
        </w:rPr>
        <w:annotationRef/>
      </w:r>
      <w:r>
        <w:t>Citing some studies (especially from the recent past) could strengthen this section.</w:t>
      </w:r>
    </w:p>
  </w:comment>
  <w:comment w:id="5" w:author="ABC" w:date="2025-05-12T09:43:00Z" w:initials="A">
    <w:p w14:paraId="7EC0937B" w14:textId="4312691B" w:rsidR="00920148" w:rsidRDefault="00920148">
      <w:pPr>
        <w:pStyle w:val="CommentText"/>
      </w:pPr>
      <w:r>
        <w:rPr>
          <w:rStyle w:val="CommentReference"/>
        </w:rPr>
        <w:annotationRef/>
      </w:r>
      <w:r>
        <w:t xml:space="preserve">Discuss the role of gut </w:t>
      </w:r>
      <w:proofErr w:type="spellStart"/>
      <w:r>
        <w:t>microbiota</w:t>
      </w:r>
      <w:proofErr w:type="spellEnd"/>
      <w:r>
        <w:t xml:space="preserve"> or systemic inflammation as a potential underlying mechanism connecting insulin resistance in PCOS to periodontal disease. </w:t>
      </w:r>
    </w:p>
  </w:comment>
  <w:comment w:id="6" w:author="ABC" w:date="2025-05-12T09:47:00Z" w:initials="A">
    <w:p w14:paraId="4CE46A11" w14:textId="4CDE241D" w:rsidR="00920148" w:rsidRPr="00DD0F3E" w:rsidRDefault="00920148" w:rsidP="00DD0F3E">
      <w:pPr>
        <w:spacing w:before="100" w:beforeAutospacing="1" w:after="100" w:afterAutospacing="1"/>
        <w:rPr>
          <w:rFonts w:ascii="Times New Roman" w:eastAsia="Times New Roman" w:hAnsi="Times New Roman" w:cs="Times New Roman"/>
          <w:kern w:val="0"/>
          <w:sz w:val="24"/>
          <w:szCs w:val="24"/>
          <w:lang w:eastAsia="en-IN"/>
          <w14:ligatures w14:val="none"/>
        </w:rPr>
      </w:pPr>
      <w:r>
        <w:rPr>
          <w:rStyle w:val="CommentReference"/>
        </w:rPr>
        <w:annotationRef/>
      </w:r>
      <w:r>
        <w:rPr>
          <w:rFonts w:ascii="Times New Roman" w:eastAsia="Times New Roman" w:hAnsi="Symbol" w:cs="Times New Roman"/>
          <w:kern w:val="0"/>
          <w:sz w:val="24"/>
          <w:szCs w:val="24"/>
          <w:lang w:eastAsia="en-IN"/>
          <w14:ligatures w14:val="none"/>
        </w:rPr>
        <w:t xml:space="preserve">Expand systemic connections - </w:t>
      </w:r>
      <w:r w:rsidRPr="00DD0F3E">
        <w:rPr>
          <w:rFonts w:ascii="Times New Roman" w:eastAsia="Times New Roman" w:hAnsi="Times New Roman" w:cs="Times New Roman"/>
          <w:kern w:val="0"/>
          <w:sz w:val="24"/>
          <w:szCs w:val="24"/>
          <w:lang w:eastAsia="en-IN"/>
          <w14:ligatures w14:val="none"/>
        </w:rPr>
        <w:t>This section could use a more detailed analysis of the specific systemic conditions that are linked with both PCO</w:t>
      </w:r>
      <w:r>
        <w:rPr>
          <w:rFonts w:ascii="Times New Roman" w:eastAsia="Times New Roman" w:hAnsi="Times New Roman" w:cs="Times New Roman"/>
          <w:kern w:val="0"/>
          <w:sz w:val="24"/>
          <w:szCs w:val="24"/>
          <w:lang w:eastAsia="en-IN"/>
          <w14:ligatures w14:val="none"/>
        </w:rPr>
        <w:t>S and periodontal disease (e.g. -</w:t>
      </w:r>
      <w:r w:rsidRPr="00DD0F3E">
        <w:rPr>
          <w:rFonts w:ascii="Times New Roman" w:eastAsia="Times New Roman" w:hAnsi="Times New Roman" w:cs="Times New Roman"/>
          <w:kern w:val="0"/>
          <w:sz w:val="24"/>
          <w:szCs w:val="24"/>
          <w:lang w:eastAsia="en-IN"/>
          <w14:ligatures w14:val="none"/>
        </w:rPr>
        <w:t xml:space="preserve"> cardiovascular dis</w:t>
      </w:r>
      <w:r>
        <w:rPr>
          <w:rFonts w:ascii="Times New Roman" w:eastAsia="Times New Roman" w:hAnsi="Times New Roman" w:cs="Times New Roman"/>
          <w:kern w:val="0"/>
          <w:sz w:val="24"/>
          <w:szCs w:val="24"/>
          <w:lang w:eastAsia="en-IN"/>
          <w14:ligatures w14:val="none"/>
        </w:rPr>
        <w:t>eases, diabetes). Y</w:t>
      </w:r>
      <w:r w:rsidRPr="00DD0F3E">
        <w:rPr>
          <w:rFonts w:ascii="Times New Roman" w:eastAsia="Times New Roman" w:hAnsi="Times New Roman" w:cs="Times New Roman"/>
          <w:kern w:val="0"/>
          <w:sz w:val="24"/>
          <w:szCs w:val="24"/>
          <w:lang w:eastAsia="en-IN"/>
          <w14:ligatures w14:val="none"/>
        </w:rPr>
        <w:t>ou could explore how the chronic inflammation seen in PCOS may predispose patients to periodontal disease through shared inflammatory pathways.</w:t>
      </w:r>
    </w:p>
    <w:p w14:paraId="62325CD7" w14:textId="743FFB39" w:rsidR="00920148" w:rsidRDefault="00920148" w:rsidP="00DD0F3E">
      <w:pPr>
        <w:spacing w:before="100" w:beforeAutospacing="1" w:after="100" w:afterAutospacing="1" w:line="240" w:lineRule="auto"/>
      </w:pPr>
      <w:r>
        <w:rPr>
          <w:rFonts w:ascii="Times New Roman" w:eastAsia="Times New Roman" w:hAnsi="Times New Roman" w:cs="Times New Roman"/>
          <w:kern w:val="0"/>
          <w:sz w:val="24"/>
          <w:szCs w:val="24"/>
          <w:lang w:eastAsia="en-IN"/>
          <w14:ligatures w14:val="none"/>
        </w:rPr>
        <w:t>In addition, a</w:t>
      </w:r>
      <w:r w:rsidRPr="00DD0F3E">
        <w:rPr>
          <w:rFonts w:ascii="Times New Roman" w:eastAsia="Times New Roman" w:hAnsi="Times New Roman" w:cs="Times New Roman"/>
          <w:kern w:val="0"/>
          <w:sz w:val="24"/>
          <w:szCs w:val="24"/>
          <w:lang w:eastAsia="en-IN"/>
          <w14:ligatures w14:val="none"/>
        </w:rPr>
        <w:t xml:space="preserve"> discussion of the possible impact of PCOS</w:t>
      </w:r>
      <w:r>
        <w:rPr>
          <w:rFonts w:ascii="Times New Roman" w:eastAsia="Times New Roman" w:hAnsi="Times New Roman" w:cs="Times New Roman"/>
          <w:kern w:val="0"/>
          <w:sz w:val="24"/>
          <w:szCs w:val="24"/>
          <w:lang w:eastAsia="en-IN"/>
          <w14:ligatures w14:val="none"/>
        </w:rPr>
        <w:t xml:space="preserve"> on oral bacteria - </w:t>
      </w:r>
      <w:r w:rsidRPr="00DD0F3E">
        <w:rPr>
          <w:rFonts w:ascii="Times New Roman" w:eastAsia="Times New Roman" w:hAnsi="Times New Roman" w:cs="Times New Roman"/>
          <w:kern w:val="0"/>
          <w:sz w:val="24"/>
          <w:szCs w:val="24"/>
          <w:lang w:eastAsia="en-IN"/>
          <w14:ligatures w14:val="none"/>
        </w:rPr>
        <w:t xml:space="preserve">how changes in sex hormones and insulin may influence the oral </w:t>
      </w:r>
      <w:proofErr w:type="spellStart"/>
      <w:r w:rsidRPr="00DD0F3E">
        <w:rPr>
          <w:rFonts w:ascii="Times New Roman" w:eastAsia="Times New Roman" w:hAnsi="Times New Roman" w:cs="Times New Roman"/>
          <w:kern w:val="0"/>
          <w:sz w:val="24"/>
          <w:szCs w:val="24"/>
          <w:lang w:eastAsia="en-IN"/>
          <w14:ligatures w14:val="none"/>
        </w:rPr>
        <w:t>microbiome</w:t>
      </w:r>
      <w:proofErr w:type="spellEnd"/>
      <w:r>
        <w:rPr>
          <w:rFonts w:ascii="Times New Roman" w:eastAsia="Times New Roman" w:hAnsi="Times New Roman" w:cs="Times New Roman"/>
          <w:kern w:val="0"/>
          <w:sz w:val="24"/>
          <w:szCs w:val="24"/>
          <w:lang w:eastAsia="en-IN"/>
          <w14:ligatures w14:val="none"/>
        </w:rPr>
        <w:t>?</w:t>
      </w:r>
    </w:p>
  </w:comment>
  <w:comment w:id="9" w:author="ABC" w:date="2025-05-12T09:55:00Z" w:initials="A">
    <w:p w14:paraId="0C51EAE3" w14:textId="77777777" w:rsidR="00920148" w:rsidRDefault="00920148">
      <w:pPr>
        <w:pStyle w:val="CommentText"/>
      </w:pPr>
      <w:r>
        <w:rPr>
          <w:rStyle w:val="CommentReference"/>
        </w:rPr>
        <w:annotationRef/>
      </w:r>
      <w:r>
        <w:t xml:space="preserve">Good connection of </w:t>
      </w:r>
      <w:proofErr w:type="spellStart"/>
      <w:r>
        <w:t>microbiota</w:t>
      </w:r>
      <w:proofErr w:type="spellEnd"/>
      <w:r>
        <w:t xml:space="preserve"> changes in PCOS and periodontitis. </w:t>
      </w:r>
    </w:p>
    <w:p w14:paraId="446D57C5" w14:textId="36994603" w:rsidR="00920148" w:rsidRDefault="00920148">
      <w:pPr>
        <w:pStyle w:val="CommentText"/>
      </w:pPr>
      <w:r>
        <w:t>However, there is no mention of the gut-oral axis or gut permeability (‘leaky gut’), which is relevant here.</w:t>
      </w:r>
    </w:p>
  </w:comment>
  <w:comment w:id="10" w:author="ABC" w:date="2025-05-12T09:58:00Z" w:initials="A">
    <w:p w14:paraId="311FACD8" w14:textId="5ECB832E" w:rsidR="00920148" w:rsidRDefault="00920148">
      <w:pPr>
        <w:pStyle w:val="CommentText"/>
      </w:pPr>
      <w:r>
        <w:rPr>
          <w:rStyle w:val="CommentReference"/>
        </w:rPr>
        <w:annotationRef/>
      </w:r>
      <w:r>
        <w:t>Good citations of shared cytokines, but it lacks directionality – it is unclear whether inflammation in PCOS worsens periodontitis or vice versa.</w:t>
      </w:r>
    </w:p>
  </w:comment>
  <w:comment w:id="11" w:author="ABC" w:date="2025-05-12T10:02:00Z" w:initials="A">
    <w:p w14:paraId="236E56BB" w14:textId="5526411F" w:rsidR="00920148" w:rsidRDefault="00920148">
      <w:pPr>
        <w:pStyle w:val="CommentText"/>
      </w:pPr>
      <w:r>
        <w:rPr>
          <w:rStyle w:val="CommentReference"/>
        </w:rPr>
        <w:annotationRef/>
      </w:r>
      <w:r>
        <w:rPr>
          <w:rStyle w:val="Strong"/>
          <w:b w:val="0"/>
        </w:rPr>
        <w:t>Contradictory -</w:t>
      </w:r>
      <w:r>
        <w:t xml:space="preserve"> It says PCOS increases BMD due to obesity/</w:t>
      </w:r>
      <w:proofErr w:type="spellStart"/>
      <w:r>
        <w:t>hyperandrogenism</w:t>
      </w:r>
      <w:proofErr w:type="spellEnd"/>
      <w:r>
        <w:t xml:space="preserve"> but also causes bone loss - this contradiction must be resolved!</w:t>
      </w:r>
    </w:p>
  </w:comment>
  <w:comment w:id="14" w:author="ABC" w:date="2025-05-12T10:05:00Z" w:initials="A">
    <w:p w14:paraId="62EDC23C" w14:textId="77777777" w:rsidR="00F11824" w:rsidRDefault="00920148">
      <w:pPr>
        <w:pStyle w:val="CommentText"/>
      </w:pPr>
      <w:r>
        <w:rPr>
          <w:rStyle w:val="CommentReference"/>
        </w:rPr>
        <w:annotationRef/>
      </w:r>
      <w:r>
        <w:t xml:space="preserve">Add ‘limitations’ and ‘future directions’ then follow with your current conclusion. </w:t>
      </w:r>
    </w:p>
    <w:p w14:paraId="36812ABF" w14:textId="167811B7" w:rsidR="00920148" w:rsidRDefault="00F11824">
      <w:pPr>
        <w:pStyle w:val="CommentText"/>
      </w:pPr>
      <w:r>
        <w:t xml:space="preserve">This </w:t>
      </w:r>
      <w:r w:rsidR="00920148">
        <w:t xml:space="preserve">would bring intellectual balance and scientific maturity to your manuscript.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AE855" w15:done="0"/>
  <w15:commentEx w15:paraId="029C34A4" w15:done="0"/>
  <w15:commentEx w15:paraId="237E9A5F" w15:done="0"/>
  <w15:commentEx w15:paraId="607CA343" w15:done="0"/>
  <w15:commentEx w15:paraId="7EC0937B" w15:done="0"/>
  <w15:commentEx w15:paraId="62325CD7" w15:done="0"/>
  <w15:commentEx w15:paraId="446D57C5" w15:done="0"/>
  <w15:commentEx w15:paraId="311FACD8" w15:done="0"/>
  <w15:commentEx w15:paraId="236E56BB" w15:done="0"/>
  <w15:commentEx w15:paraId="36812A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BFD81" w14:textId="77777777" w:rsidR="00E87A94" w:rsidRDefault="00E87A94" w:rsidP="00525F50">
      <w:pPr>
        <w:spacing w:after="0" w:line="240" w:lineRule="auto"/>
      </w:pPr>
      <w:r>
        <w:separator/>
      </w:r>
    </w:p>
  </w:endnote>
  <w:endnote w:type="continuationSeparator" w:id="0">
    <w:p w14:paraId="1091DA6D" w14:textId="77777777" w:rsidR="00E87A94" w:rsidRDefault="00E87A94" w:rsidP="0052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6FF3" w14:textId="77777777" w:rsidR="00920148" w:rsidRDefault="00920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97879"/>
      <w:docPartObj>
        <w:docPartGallery w:val="Page Numbers (Bottom of Page)"/>
        <w:docPartUnique/>
      </w:docPartObj>
    </w:sdtPr>
    <w:sdtEndPr>
      <w:rPr>
        <w:noProof/>
      </w:rPr>
    </w:sdtEndPr>
    <w:sdtContent>
      <w:p w14:paraId="3A2361F4" w14:textId="65CD75E2" w:rsidR="00920148" w:rsidRDefault="00920148">
        <w:pPr>
          <w:pStyle w:val="Footer"/>
          <w:jc w:val="center"/>
        </w:pPr>
        <w:r>
          <w:fldChar w:fldCharType="begin"/>
        </w:r>
        <w:r>
          <w:instrText xml:space="preserve"> PAGE   \* MERGEFORMAT </w:instrText>
        </w:r>
        <w:r>
          <w:fldChar w:fldCharType="separate"/>
        </w:r>
        <w:r w:rsidR="00F11824">
          <w:rPr>
            <w:noProof/>
          </w:rPr>
          <w:t>15</w:t>
        </w:r>
        <w:r>
          <w:rPr>
            <w:noProof/>
          </w:rPr>
          <w:fldChar w:fldCharType="end"/>
        </w:r>
      </w:p>
    </w:sdtContent>
  </w:sdt>
  <w:p w14:paraId="04C391D4" w14:textId="653B972C" w:rsidR="00920148" w:rsidRDefault="00920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BC7B4" w14:textId="77777777" w:rsidR="00920148" w:rsidRDefault="00920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CEB8A" w14:textId="77777777" w:rsidR="00E87A94" w:rsidRDefault="00E87A94" w:rsidP="00525F50">
      <w:pPr>
        <w:spacing w:after="0" w:line="240" w:lineRule="auto"/>
      </w:pPr>
      <w:r>
        <w:separator/>
      </w:r>
    </w:p>
  </w:footnote>
  <w:footnote w:type="continuationSeparator" w:id="0">
    <w:p w14:paraId="3C590A41" w14:textId="77777777" w:rsidR="00E87A94" w:rsidRDefault="00E87A94" w:rsidP="00525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7AD3" w14:textId="19FF2F83" w:rsidR="00920148" w:rsidRDefault="00920148">
    <w:pPr>
      <w:pStyle w:val="Header"/>
    </w:pPr>
    <w:r>
      <w:rPr>
        <w:noProof/>
      </w:rPr>
      <w:pict w14:anchorId="35C32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B3F8" w14:textId="5B06DD04" w:rsidR="00920148" w:rsidRDefault="00920148">
    <w:pPr>
      <w:pStyle w:val="Header"/>
    </w:pPr>
    <w:r>
      <w:rPr>
        <w:noProof/>
      </w:rPr>
      <w:pict w14:anchorId="10D51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FE624" w14:textId="7CBAC62D" w:rsidR="00920148" w:rsidRDefault="00920148">
    <w:pPr>
      <w:pStyle w:val="Header"/>
    </w:pPr>
    <w:r>
      <w:rPr>
        <w:noProof/>
      </w:rPr>
      <w:pict w14:anchorId="44D0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5A1"/>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nsid w:val="0E1F7FEE"/>
    <w:multiLevelType w:val="hybridMultilevel"/>
    <w:tmpl w:val="A5BED87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15A10077"/>
    <w:multiLevelType w:val="hybridMultilevel"/>
    <w:tmpl w:val="04D82492"/>
    <w:lvl w:ilvl="0" w:tplc="B880861A">
      <w:start w:val="1"/>
      <w:numFmt w:val="decimal"/>
      <w:lvlText w:val="%1."/>
      <w:lvlJc w:val="left"/>
      <w:pPr>
        <w:ind w:left="2700" w:hanging="360"/>
      </w:pPr>
      <w:rPr>
        <w:rFonts w:hint="default"/>
      </w:r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3">
    <w:nsid w:val="16612B9E"/>
    <w:multiLevelType w:val="hybridMultilevel"/>
    <w:tmpl w:val="3BD26D02"/>
    <w:lvl w:ilvl="0" w:tplc="40090011">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252B6C"/>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D42F94"/>
    <w:multiLevelType w:val="hybridMultilevel"/>
    <w:tmpl w:val="543CE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10435F"/>
    <w:multiLevelType w:val="hybridMultilevel"/>
    <w:tmpl w:val="CB54F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9786C27"/>
    <w:multiLevelType w:val="hybridMultilevel"/>
    <w:tmpl w:val="BD52920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8">
    <w:nsid w:val="3A1044F7"/>
    <w:multiLevelType w:val="hybridMultilevel"/>
    <w:tmpl w:val="1B76FC44"/>
    <w:lvl w:ilvl="0" w:tplc="7E644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452E3C0B"/>
    <w:multiLevelType w:val="hybridMultilevel"/>
    <w:tmpl w:val="77F442D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465C0348"/>
    <w:multiLevelType w:val="hybridMultilevel"/>
    <w:tmpl w:val="C0EEED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A97440F"/>
    <w:multiLevelType w:val="multilevel"/>
    <w:tmpl w:val="69205EA8"/>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4C936460"/>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nsid w:val="4D4B0E46"/>
    <w:multiLevelType w:val="hybridMultilevel"/>
    <w:tmpl w:val="8FF05D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0DA0D18"/>
    <w:multiLevelType w:val="hybridMultilevel"/>
    <w:tmpl w:val="FC341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31C6F10"/>
    <w:multiLevelType w:val="hybridMultilevel"/>
    <w:tmpl w:val="15EA0C4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4B71012"/>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C1D5417"/>
    <w:multiLevelType w:val="hybridMultilevel"/>
    <w:tmpl w:val="32EAB4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C1D41FB"/>
    <w:multiLevelType w:val="hybridMultilevel"/>
    <w:tmpl w:val="191A4D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F565B34"/>
    <w:multiLevelType w:val="hybridMultilevel"/>
    <w:tmpl w:val="6BF88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9"/>
  </w:num>
  <w:num w:numId="3">
    <w:abstractNumId w:val="18"/>
  </w:num>
  <w:num w:numId="4">
    <w:abstractNumId w:val="9"/>
  </w:num>
  <w:num w:numId="5">
    <w:abstractNumId w:val="8"/>
  </w:num>
  <w:num w:numId="6">
    <w:abstractNumId w:val="2"/>
  </w:num>
  <w:num w:numId="7">
    <w:abstractNumId w:val="4"/>
  </w:num>
  <w:num w:numId="8">
    <w:abstractNumId w:val="16"/>
  </w:num>
  <w:num w:numId="9">
    <w:abstractNumId w:val="14"/>
  </w:num>
  <w:num w:numId="10">
    <w:abstractNumId w:val="15"/>
  </w:num>
  <w:num w:numId="11">
    <w:abstractNumId w:val="10"/>
  </w:num>
  <w:num w:numId="12">
    <w:abstractNumId w:val="3"/>
  </w:num>
  <w:num w:numId="13">
    <w:abstractNumId w:val="17"/>
  </w:num>
  <w:num w:numId="14">
    <w:abstractNumId w:val="7"/>
  </w:num>
  <w:num w:numId="15">
    <w:abstractNumId w:val="11"/>
  </w:num>
  <w:num w:numId="16">
    <w:abstractNumId w:val="0"/>
  </w:num>
  <w:num w:numId="17">
    <w:abstractNumId w:val="12"/>
  </w:num>
  <w:num w:numId="18">
    <w:abstractNumId w:val="1"/>
  </w:num>
  <w:num w:numId="19">
    <w:abstractNumId w:val="6"/>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trackRevisions/>
  <w:defaultTabStop w:val="720"/>
  <w:characterSpacingControl w:val="doNotCompress"/>
  <w:hdrShapeDefaults>
    <o:shapedefaults v:ext="edit" spidmax="2052">
      <o:colormru v:ext="edit" colors="#d9c1f7"/>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6104"/>
    <w:rsid w:val="00000523"/>
    <w:rsid w:val="00000C38"/>
    <w:rsid w:val="0000145D"/>
    <w:rsid w:val="00003D72"/>
    <w:rsid w:val="00005257"/>
    <w:rsid w:val="0000713A"/>
    <w:rsid w:val="0000716C"/>
    <w:rsid w:val="000075A9"/>
    <w:rsid w:val="00007632"/>
    <w:rsid w:val="00007C59"/>
    <w:rsid w:val="000100DD"/>
    <w:rsid w:val="00010D93"/>
    <w:rsid w:val="00010E28"/>
    <w:rsid w:val="00011229"/>
    <w:rsid w:val="000130C2"/>
    <w:rsid w:val="00013EC7"/>
    <w:rsid w:val="00017A2B"/>
    <w:rsid w:val="0002365E"/>
    <w:rsid w:val="000304A6"/>
    <w:rsid w:val="000347D0"/>
    <w:rsid w:val="000409D0"/>
    <w:rsid w:val="00041194"/>
    <w:rsid w:val="00043230"/>
    <w:rsid w:val="00044ED7"/>
    <w:rsid w:val="000470A0"/>
    <w:rsid w:val="0005082A"/>
    <w:rsid w:val="000546F9"/>
    <w:rsid w:val="00056794"/>
    <w:rsid w:val="00056F1A"/>
    <w:rsid w:val="000616FF"/>
    <w:rsid w:val="0006335C"/>
    <w:rsid w:val="000634B0"/>
    <w:rsid w:val="00064A02"/>
    <w:rsid w:val="00065BBB"/>
    <w:rsid w:val="00070AA2"/>
    <w:rsid w:val="00074922"/>
    <w:rsid w:val="0007569B"/>
    <w:rsid w:val="000760CB"/>
    <w:rsid w:val="000807AC"/>
    <w:rsid w:val="00080AF1"/>
    <w:rsid w:val="00080F43"/>
    <w:rsid w:val="00082C9A"/>
    <w:rsid w:val="000856C1"/>
    <w:rsid w:val="0008636A"/>
    <w:rsid w:val="00086518"/>
    <w:rsid w:val="000875C8"/>
    <w:rsid w:val="00087871"/>
    <w:rsid w:val="00087E0F"/>
    <w:rsid w:val="000909CB"/>
    <w:rsid w:val="00091476"/>
    <w:rsid w:val="00092075"/>
    <w:rsid w:val="00094833"/>
    <w:rsid w:val="00095636"/>
    <w:rsid w:val="00096908"/>
    <w:rsid w:val="0009725B"/>
    <w:rsid w:val="000A05C9"/>
    <w:rsid w:val="000A14C0"/>
    <w:rsid w:val="000A1F1C"/>
    <w:rsid w:val="000A1F5B"/>
    <w:rsid w:val="000A2F8B"/>
    <w:rsid w:val="000A3515"/>
    <w:rsid w:val="000A60CE"/>
    <w:rsid w:val="000B1721"/>
    <w:rsid w:val="000B1E30"/>
    <w:rsid w:val="000B74E0"/>
    <w:rsid w:val="000B7AD7"/>
    <w:rsid w:val="000B7C47"/>
    <w:rsid w:val="000C0E90"/>
    <w:rsid w:val="000C0F74"/>
    <w:rsid w:val="000C1318"/>
    <w:rsid w:val="000C17EF"/>
    <w:rsid w:val="000C5D96"/>
    <w:rsid w:val="000C6623"/>
    <w:rsid w:val="000C6D7C"/>
    <w:rsid w:val="000C704E"/>
    <w:rsid w:val="000D0F5D"/>
    <w:rsid w:val="000D5FA0"/>
    <w:rsid w:val="000E355B"/>
    <w:rsid w:val="000E36BA"/>
    <w:rsid w:val="000E37C2"/>
    <w:rsid w:val="000E4844"/>
    <w:rsid w:val="000E7A77"/>
    <w:rsid w:val="000E7AAA"/>
    <w:rsid w:val="000F57A2"/>
    <w:rsid w:val="000F6BF7"/>
    <w:rsid w:val="000F7735"/>
    <w:rsid w:val="00101182"/>
    <w:rsid w:val="00102C81"/>
    <w:rsid w:val="001034A7"/>
    <w:rsid w:val="00103AC4"/>
    <w:rsid w:val="00103CBA"/>
    <w:rsid w:val="00103D0A"/>
    <w:rsid w:val="00104316"/>
    <w:rsid w:val="001047FD"/>
    <w:rsid w:val="00104C68"/>
    <w:rsid w:val="00104DA5"/>
    <w:rsid w:val="00110DE1"/>
    <w:rsid w:val="00114AB6"/>
    <w:rsid w:val="0011524E"/>
    <w:rsid w:val="00115F6E"/>
    <w:rsid w:val="00121A47"/>
    <w:rsid w:val="0012222D"/>
    <w:rsid w:val="00122A8C"/>
    <w:rsid w:val="00125281"/>
    <w:rsid w:val="00125710"/>
    <w:rsid w:val="00125DD1"/>
    <w:rsid w:val="001269C1"/>
    <w:rsid w:val="00126BA4"/>
    <w:rsid w:val="00132189"/>
    <w:rsid w:val="001331D3"/>
    <w:rsid w:val="001364CA"/>
    <w:rsid w:val="00136FEC"/>
    <w:rsid w:val="001411D7"/>
    <w:rsid w:val="00141773"/>
    <w:rsid w:val="00141E99"/>
    <w:rsid w:val="00142720"/>
    <w:rsid w:val="00143232"/>
    <w:rsid w:val="001453F0"/>
    <w:rsid w:val="0014559D"/>
    <w:rsid w:val="00147403"/>
    <w:rsid w:val="00156808"/>
    <w:rsid w:val="00160158"/>
    <w:rsid w:val="00161FDC"/>
    <w:rsid w:val="001622BE"/>
    <w:rsid w:val="0016350D"/>
    <w:rsid w:val="001636D0"/>
    <w:rsid w:val="001648D3"/>
    <w:rsid w:val="00164B03"/>
    <w:rsid w:val="00165C7E"/>
    <w:rsid w:val="00165DEE"/>
    <w:rsid w:val="001660C9"/>
    <w:rsid w:val="00167156"/>
    <w:rsid w:val="00167EAA"/>
    <w:rsid w:val="00170F76"/>
    <w:rsid w:val="0017126E"/>
    <w:rsid w:val="00171863"/>
    <w:rsid w:val="00172D16"/>
    <w:rsid w:val="001735BD"/>
    <w:rsid w:val="00173F4D"/>
    <w:rsid w:val="001740DB"/>
    <w:rsid w:val="00177195"/>
    <w:rsid w:val="0017776D"/>
    <w:rsid w:val="0018416B"/>
    <w:rsid w:val="001853C6"/>
    <w:rsid w:val="00186CF1"/>
    <w:rsid w:val="00191B63"/>
    <w:rsid w:val="00192E7D"/>
    <w:rsid w:val="0019346C"/>
    <w:rsid w:val="00195164"/>
    <w:rsid w:val="00196BD1"/>
    <w:rsid w:val="00196D38"/>
    <w:rsid w:val="00197B35"/>
    <w:rsid w:val="001A1A18"/>
    <w:rsid w:val="001A4559"/>
    <w:rsid w:val="001A5B8E"/>
    <w:rsid w:val="001A712D"/>
    <w:rsid w:val="001B1363"/>
    <w:rsid w:val="001B27BE"/>
    <w:rsid w:val="001B326F"/>
    <w:rsid w:val="001B7E7C"/>
    <w:rsid w:val="001C0EF3"/>
    <w:rsid w:val="001C4E48"/>
    <w:rsid w:val="001C4F31"/>
    <w:rsid w:val="001C6CD8"/>
    <w:rsid w:val="001C73AD"/>
    <w:rsid w:val="001D6750"/>
    <w:rsid w:val="001D75DE"/>
    <w:rsid w:val="001D7C6F"/>
    <w:rsid w:val="001E0367"/>
    <w:rsid w:val="001E0C9C"/>
    <w:rsid w:val="001E56F8"/>
    <w:rsid w:val="001E5CF0"/>
    <w:rsid w:val="001E735A"/>
    <w:rsid w:val="001F09BE"/>
    <w:rsid w:val="001F1C4A"/>
    <w:rsid w:val="00202122"/>
    <w:rsid w:val="00203C6A"/>
    <w:rsid w:val="002044A7"/>
    <w:rsid w:val="002052B8"/>
    <w:rsid w:val="00205547"/>
    <w:rsid w:val="0020658D"/>
    <w:rsid w:val="00211AA3"/>
    <w:rsid w:val="002137ED"/>
    <w:rsid w:val="0022230B"/>
    <w:rsid w:val="00222795"/>
    <w:rsid w:val="00222B0D"/>
    <w:rsid w:val="00224551"/>
    <w:rsid w:val="002248FE"/>
    <w:rsid w:val="00227CEE"/>
    <w:rsid w:val="00230505"/>
    <w:rsid w:val="002306AA"/>
    <w:rsid w:val="00231422"/>
    <w:rsid w:val="00234002"/>
    <w:rsid w:val="00236179"/>
    <w:rsid w:val="00241CDD"/>
    <w:rsid w:val="0024262A"/>
    <w:rsid w:val="00242FDC"/>
    <w:rsid w:val="00250458"/>
    <w:rsid w:val="0025096A"/>
    <w:rsid w:val="00250D44"/>
    <w:rsid w:val="00252987"/>
    <w:rsid w:val="0025309D"/>
    <w:rsid w:val="00253435"/>
    <w:rsid w:val="0025594E"/>
    <w:rsid w:val="00257637"/>
    <w:rsid w:val="00257C71"/>
    <w:rsid w:val="002600EA"/>
    <w:rsid w:val="002614E5"/>
    <w:rsid w:val="00262F2E"/>
    <w:rsid w:val="00264099"/>
    <w:rsid w:val="0026537F"/>
    <w:rsid w:val="00265885"/>
    <w:rsid w:val="00265989"/>
    <w:rsid w:val="00265A84"/>
    <w:rsid w:val="0027036D"/>
    <w:rsid w:val="002706F3"/>
    <w:rsid w:val="00270767"/>
    <w:rsid w:val="00271670"/>
    <w:rsid w:val="00272274"/>
    <w:rsid w:val="002727C0"/>
    <w:rsid w:val="0027456F"/>
    <w:rsid w:val="00276EC5"/>
    <w:rsid w:val="00277F6F"/>
    <w:rsid w:val="00280D51"/>
    <w:rsid w:val="002824DB"/>
    <w:rsid w:val="00291E0D"/>
    <w:rsid w:val="00293D39"/>
    <w:rsid w:val="00294313"/>
    <w:rsid w:val="00294A89"/>
    <w:rsid w:val="00294FFD"/>
    <w:rsid w:val="002958EC"/>
    <w:rsid w:val="0029719B"/>
    <w:rsid w:val="0029776F"/>
    <w:rsid w:val="002A0470"/>
    <w:rsid w:val="002A04DC"/>
    <w:rsid w:val="002A05CC"/>
    <w:rsid w:val="002A0D5F"/>
    <w:rsid w:val="002A1C05"/>
    <w:rsid w:val="002A5012"/>
    <w:rsid w:val="002A6E48"/>
    <w:rsid w:val="002B17CE"/>
    <w:rsid w:val="002B2A20"/>
    <w:rsid w:val="002B4813"/>
    <w:rsid w:val="002B4DD0"/>
    <w:rsid w:val="002B4E9B"/>
    <w:rsid w:val="002B51CC"/>
    <w:rsid w:val="002B60AE"/>
    <w:rsid w:val="002B7FCE"/>
    <w:rsid w:val="002C0139"/>
    <w:rsid w:val="002C1333"/>
    <w:rsid w:val="002C1E69"/>
    <w:rsid w:val="002C3BEE"/>
    <w:rsid w:val="002C4938"/>
    <w:rsid w:val="002C776D"/>
    <w:rsid w:val="002D282A"/>
    <w:rsid w:val="002D32F3"/>
    <w:rsid w:val="002D5635"/>
    <w:rsid w:val="002E1A74"/>
    <w:rsid w:val="002E353B"/>
    <w:rsid w:val="002E3617"/>
    <w:rsid w:val="002E4926"/>
    <w:rsid w:val="002E7193"/>
    <w:rsid w:val="002F0217"/>
    <w:rsid w:val="002F0892"/>
    <w:rsid w:val="002F1448"/>
    <w:rsid w:val="002F193D"/>
    <w:rsid w:val="002F1BDF"/>
    <w:rsid w:val="002F2834"/>
    <w:rsid w:val="002F2FA8"/>
    <w:rsid w:val="002F3A6C"/>
    <w:rsid w:val="002F5032"/>
    <w:rsid w:val="002F5385"/>
    <w:rsid w:val="00301E21"/>
    <w:rsid w:val="00302475"/>
    <w:rsid w:val="0030335A"/>
    <w:rsid w:val="003038EB"/>
    <w:rsid w:val="00304055"/>
    <w:rsid w:val="00305C9E"/>
    <w:rsid w:val="0030614A"/>
    <w:rsid w:val="00306CB5"/>
    <w:rsid w:val="00311D32"/>
    <w:rsid w:val="00313371"/>
    <w:rsid w:val="00313DC2"/>
    <w:rsid w:val="0031565B"/>
    <w:rsid w:val="00315B00"/>
    <w:rsid w:val="00317B1F"/>
    <w:rsid w:val="00322476"/>
    <w:rsid w:val="0032304B"/>
    <w:rsid w:val="0032593A"/>
    <w:rsid w:val="00325D2C"/>
    <w:rsid w:val="003319B8"/>
    <w:rsid w:val="003319FA"/>
    <w:rsid w:val="00345E9F"/>
    <w:rsid w:val="0035107A"/>
    <w:rsid w:val="003515DA"/>
    <w:rsid w:val="0035230C"/>
    <w:rsid w:val="00352891"/>
    <w:rsid w:val="00352A36"/>
    <w:rsid w:val="003550B9"/>
    <w:rsid w:val="00355231"/>
    <w:rsid w:val="00357D38"/>
    <w:rsid w:val="00360D83"/>
    <w:rsid w:val="00362CAB"/>
    <w:rsid w:val="00363CA2"/>
    <w:rsid w:val="00367C04"/>
    <w:rsid w:val="003701BC"/>
    <w:rsid w:val="00371AC5"/>
    <w:rsid w:val="0037330F"/>
    <w:rsid w:val="00374816"/>
    <w:rsid w:val="003762A1"/>
    <w:rsid w:val="00377A3A"/>
    <w:rsid w:val="003832C2"/>
    <w:rsid w:val="00384BC4"/>
    <w:rsid w:val="003863F1"/>
    <w:rsid w:val="0038698C"/>
    <w:rsid w:val="00386F04"/>
    <w:rsid w:val="00386FB0"/>
    <w:rsid w:val="0039035C"/>
    <w:rsid w:val="00390911"/>
    <w:rsid w:val="00392D58"/>
    <w:rsid w:val="00393B05"/>
    <w:rsid w:val="00394A3D"/>
    <w:rsid w:val="00397704"/>
    <w:rsid w:val="00397DB5"/>
    <w:rsid w:val="003A01F9"/>
    <w:rsid w:val="003A0B5D"/>
    <w:rsid w:val="003A24FB"/>
    <w:rsid w:val="003A6C73"/>
    <w:rsid w:val="003B023F"/>
    <w:rsid w:val="003B1DF7"/>
    <w:rsid w:val="003B3977"/>
    <w:rsid w:val="003B63C8"/>
    <w:rsid w:val="003B64FF"/>
    <w:rsid w:val="003B7237"/>
    <w:rsid w:val="003C06B9"/>
    <w:rsid w:val="003C15E3"/>
    <w:rsid w:val="003C1ACC"/>
    <w:rsid w:val="003C21B5"/>
    <w:rsid w:val="003C22FC"/>
    <w:rsid w:val="003C2C15"/>
    <w:rsid w:val="003C56A6"/>
    <w:rsid w:val="003C700F"/>
    <w:rsid w:val="003D18A5"/>
    <w:rsid w:val="003D4043"/>
    <w:rsid w:val="003D7D8B"/>
    <w:rsid w:val="003E1886"/>
    <w:rsid w:val="003E32B7"/>
    <w:rsid w:val="003E38E8"/>
    <w:rsid w:val="003E3A97"/>
    <w:rsid w:val="003E3AF6"/>
    <w:rsid w:val="003E3B81"/>
    <w:rsid w:val="003E4EE3"/>
    <w:rsid w:val="003E5847"/>
    <w:rsid w:val="003F20C0"/>
    <w:rsid w:val="003F2AC6"/>
    <w:rsid w:val="003F6414"/>
    <w:rsid w:val="00400765"/>
    <w:rsid w:val="00400977"/>
    <w:rsid w:val="00400F06"/>
    <w:rsid w:val="00401DC4"/>
    <w:rsid w:val="00401FC2"/>
    <w:rsid w:val="00403F10"/>
    <w:rsid w:val="0040711D"/>
    <w:rsid w:val="0041079C"/>
    <w:rsid w:val="004124AE"/>
    <w:rsid w:val="00416929"/>
    <w:rsid w:val="00417088"/>
    <w:rsid w:val="00417F87"/>
    <w:rsid w:val="00422982"/>
    <w:rsid w:val="00425B55"/>
    <w:rsid w:val="00426428"/>
    <w:rsid w:val="00426941"/>
    <w:rsid w:val="004275D3"/>
    <w:rsid w:val="004275D9"/>
    <w:rsid w:val="00427939"/>
    <w:rsid w:val="004316E3"/>
    <w:rsid w:val="00432A96"/>
    <w:rsid w:val="00434FDA"/>
    <w:rsid w:val="0043551F"/>
    <w:rsid w:val="004358D6"/>
    <w:rsid w:val="0043642A"/>
    <w:rsid w:val="004364D8"/>
    <w:rsid w:val="00436C0C"/>
    <w:rsid w:val="004376F0"/>
    <w:rsid w:val="004378F4"/>
    <w:rsid w:val="00437FF5"/>
    <w:rsid w:val="004411A3"/>
    <w:rsid w:val="004412B3"/>
    <w:rsid w:val="00442FB1"/>
    <w:rsid w:val="00443448"/>
    <w:rsid w:val="004441BB"/>
    <w:rsid w:val="00446431"/>
    <w:rsid w:val="0045058E"/>
    <w:rsid w:val="004525B0"/>
    <w:rsid w:val="0045411F"/>
    <w:rsid w:val="0045452E"/>
    <w:rsid w:val="00456356"/>
    <w:rsid w:val="00457BDC"/>
    <w:rsid w:val="00460858"/>
    <w:rsid w:val="00463EE0"/>
    <w:rsid w:val="00464A12"/>
    <w:rsid w:val="0046615D"/>
    <w:rsid w:val="00466AF1"/>
    <w:rsid w:val="0047121C"/>
    <w:rsid w:val="00473B71"/>
    <w:rsid w:val="0047546D"/>
    <w:rsid w:val="00476A8E"/>
    <w:rsid w:val="00482FC0"/>
    <w:rsid w:val="0048355A"/>
    <w:rsid w:val="004846C8"/>
    <w:rsid w:val="00486816"/>
    <w:rsid w:val="00486F97"/>
    <w:rsid w:val="004872B1"/>
    <w:rsid w:val="004878B8"/>
    <w:rsid w:val="00491244"/>
    <w:rsid w:val="00492BFC"/>
    <w:rsid w:val="00493E91"/>
    <w:rsid w:val="004978B9"/>
    <w:rsid w:val="00497DD4"/>
    <w:rsid w:val="004A0327"/>
    <w:rsid w:val="004A17E0"/>
    <w:rsid w:val="004A1E3B"/>
    <w:rsid w:val="004A21BC"/>
    <w:rsid w:val="004A3619"/>
    <w:rsid w:val="004B0185"/>
    <w:rsid w:val="004B2AED"/>
    <w:rsid w:val="004B3DB6"/>
    <w:rsid w:val="004B4FA6"/>
    <w:rsid w:val="004B518A"/>
    <w:rsid w:val="004B7447"/>
    <w:rsid w:val="004B79ED"/>
    <w:rsid w:val="004B7D47"/>
    <w:rsid w:val="004C055C"/>
    <w:rsid w:val="004C1208"/>
    <w:rsid w:val="004C1B9F"/>
    <w:rsid w:val="004C2A0E"/>
    <w:rsid w:val="004C3E1A"/>
    <w:rsid w:val="004D0E71"/>
    <w:rsid w:val="004D50E9"/>
    <w:rsid w:val="004D579D"/>
    <w:rsid w:val="004D607C"/>
    <w:rsid w:val="004D6294"/>
    <w:rsid w:val="004D68A1"/>
    <w:rsid w:val="004D732F"/>
    <w:rsid w:val="004E12DA"/>
    <w:rsid w:val="004E2351"/>
    <w:rsid w:val="004E3BBE"/>
    <w:rsid w:val="004E5006"/>
    <w:rsid w:val="004E54F5"/>
    <w:rsid w:val="004F0E29"/>
    <w:rsid w:val="004F1D48"/>
    <w:rsid w:val="004F308A"/>
    <w:rsid w:val="004F3595"/>
    <w:rsid w:val="004F6693"/>
    <w:rsid w:val="0050165C"/>
    <w:rsid w:val="0050400F"/>
    <w:rsid w:val="00504432"/>
    <w:rsid w:val="00505890"/>
    <w:rsid w:val="00505F45"/>
    <w:rsid w:val="00506696"/>
    <w:rsid w:val="005066F8"/>
    <w:rsid w:val="005125B5"/>
    <w:rsid w:val="005133C2"/>
    <w:rsid w:val="0051490F"/>
    <w:rsid w:val="00515B13"/>
    <w:rsid w:val="00515D35"/>
    <w:rsid w:val="00517F46"/>
    <w:rsid w:val="005217E6"/>
    <w:rsid w:val="00521EC3"/>
    <w:rsid w:val="00521F35"/>
    <w:rsid w:val="0052250C"/>
    <w:rsid w:val="00525F50"/>
    <w:rsid w:val="00533E72"/>
    <w:rsid w:val="00534C21"/>
    <w:rsid w:val="005352CE"/>
    <w:rsid w:val="00541419"/>
    <w:rsid w:val="005427F9"/>
    <w:rsid w:val="005479DD"/>
    <w:rsid w:val="00550087"/>
    <w:rsid w:val="00550AD2"/>
    <w:rsid w:val="00551166"/>
    <w:rsid w:val="005515D2"/>
    <w:rsid w:val="00551FF2"/>
    <w:rsid w:val="00553419"/>
    <w:rsid w:val="00553AE1"/>
    <w:rsid w:val="00553BA1"/>
    <w:rsid w:val="00553D08"/>
    <w:rsid w:val="00555264"/>
    <w:rsid w:val="00555F4B"/>
    <w:rsid w:val="00557149"/>
    <w:rsid w:val="00560E52"/>
    <w:rsid w:val="005614D0"/>
    <w:rsid w:val="0056210D"/>
    <w:rsid w:val="005634D7"/>
    <w:rsid w:val="0057372C"/>
    <w:rsid w:val="00574656"/>
    <w:rsid w:val="00574D6B"/>
    <w:rsid w:val="00575C76"/>
    <w:rsid w:val="005761DA"/>
    <w:rsid w:val="0057629C"/>
    <w:rsid w:val="00585DE2"/>
    <w:rsid w:val="00585F95"/>
    <w:rsid w:val="0058776A"/>
    <w:rsid w:val="00591AAF"/>
    <w:rsid w:val="00593B7F"/>
    <w:rsid w:val="00595F04"/>
    <w:rsid w:val="00596138"/>
    <w:rsid w:val="005967DB"/>
    <w:rsid w:val="005975B8"/>
    <w:rsid w:val="005A109A"/>
    <w:rsid w:val="005A3D9A"/>
    <w:rsid w:val="005A43AC"/>
    <w:rsid w:val="005A4579"/>
    <w:rsid w:val="005A5AE9"/>
    <w:rsid w:val="005A69CF"/>
    <w:rsid w:val="005A7574"/>
    <w:rsid w:val="005B074E"/>
    <w:rsid w:val="005B1884"/>
    <w:rsid w:val="005B3771"/>
    <w:rsid w:val="005B4B09"/>
    <w:rsid w:val="005B52EF"/>
    <w:rsid w:val="005B65DB"/>
    <w:rsid w:val="005B69B1"/>
    <w:rsid w:val="005B6E8B"/>
    <w:rsid w:val="005B738A"/>
    <w:rsid w:val="005C05B8"/>
    <w:rsid w:val="005C08EE"/>
    <w:rsid w:val="005C1FBA"/>
    <w:rsid w:val="005C48F5"/>
    <w:rsid w:val="005C73F9"/>
    <w:rsid w:val="005D016E"/>
    <w:rsid w:val="005D0790"/>
    <w:rsid w:val="005D45BA"/>
    <w:rsid w:val="005D6745"/>
    <w:rsid w:val="005D6FEF"/>
    <w:rsid w:val="005D7194"/>
    <w:rsid w:val="005E4134"/>
    <w:rsid w:val="005E4256"/>
    <w:rsid w:val="005E5353"/>
    <w:rsid w:val="005E652C"/>
    <w:rsid w:val="005E6873"/>
    <w:rsid w:val="005F0684"/>
    <w:rsid w:val="005F1C6C"/>
    <w:rsid w:val="005F7533"/>
    <w:rsid w:val="005F7C68"/>
    <w:rsid w:val="00601027"/>
    <w:rsid w:val="00603923"/>
    <w:rsid w:val="00605576"/>
    <w:rsid w:val="00605BF1"/>
    <w:rsid w:val="00606D83"/>
    <w:rsid w:val="00612D3A"/>
    <w:rsid w:val="00612EAE"/>
    <w:rsid w:val="0061320F"/>
    <w:rsid w:val="00614FA1"/>
    <w:rsid w:val="006160A5"/>
    <w:rsid w:val="00620348"/>
    <w:rsid w:val="006221C1"/>
    <w:rsid w:val="006235A2"/>
    <w:rsid w:val="00623AB4"/>
    <w:rsid w:val="00626A11"/>
    <w:rsid w:val="00634099"/>
    <w:rsid w:val="0063497D"/>
    <w:rsid w:val="00635E29"/>
    <w:rsid w:val="006375DF"/>
    <w:rsid w:val="00640A30"/>
    <w:rsid w:val="00641AE8"/>
    <w:rsid w:val="00646869"/>
    <w:rsid w:val="00653982"/>
    <w:rsid w:val="00653BC0"/>
    <w:rsid w:val="00654608"/>
    <w:rsid w:val="00656FEB"/>
    <w:rsid w:val="0065764D"/>
    <w:rsid w:val="00661CA9"/>
    <w:rsid w:val="00662FF6"/>
    <w:rsid w:val="0066773A"/>
    <w:rsid w:val="0067166E"/>
    <w:rsid w:val="00674B10"/>
    <w:rsid w:val="00674FF1"/>
    <w:rsid w:val="00680121"/>
    <w:rsid w:val="006804A1"/>
    <w:rsid w:val="00681485"/>
    <w:rsid w:val="0068165F"/>
    <w:rsid w:val="0068312C"/>
    <w:rsid w:val="006839B7"/>
    <w:rsid w:val="00683B27"/>
    <w:rsid w:val="00684212"/>
    <w:rsid w:val="00684228"/>
    <w:rsid w:val="00686985"/>
    <w:rsid w:val="006903AA"/>
    <w:rsid w:val="00692458"/>
    <w:rsid w:val="00693965"/>
    <w:rsid w:val="006968A4"/>
    <w:rsid w:val="006A08D7"/>
    <w:rsid w:val="006A0E13"/>
    <w:rsid w:val="006A0E3B"/>
    <w:rsid w:val="006A1330"/>
    <w:rsid w:val="006A1DA6"/>
    <w:rsid w:val="006A22C2"/>
    <w:rsid w:val="006A425E"/>
    <w:rsid w:val="006A49CB"/>
    <w:rsid w:val="006A4F10"/>
    <w:rsid w:val="006A5143"/>
    <w:rsid w:val="006A5155"/>
    <w:rsid w:val="006B07DD"/>
    <w:rsid w:val="006B225E"/>
    <w:rsid w:val="006B2726"/>
    <w:rsid w:val="006B2CD6"/>
    <w:rsid w:val="006B3839"/>
    <w:rsid w:val="006B3BB6"/>
    <w:rsid w:val="006B4706"/>
    <w:rsid w:val="006B5139"/>
    <w:rsid w:val="006B60E9"/>
    <w:rsid w:val="006B6C4C"/>
    <w:rsid w:val="006C03BC"/>
    <w:rsid w:val="006C1321"/>
    <w:rsid w:val="006C173C"/>
    <w:rsid w:val="006C1DD5"/>
    <w:rsid w:val="006C2518"/>
    <w:rsid w:val="006C2C59"/>
    <w:rsid w:val="006C3CCF"/>
    <w:rsid w:val="006D0AB6"/>
    <w:rsid w:val="006D0F49"/>
    <w:rsid w:val="006D28C5"/>
    <w:rsid w:val="006D2A29"/>
    <w:rsid w:val="006D5BAB"/>
    <w:rsid w:val="006D6193"/>
    <w:rsid w:val="006D72E4"/>
    <w:rsid w:val="006E02B8"/>
    <w:rsid w:val="006E322F"/>
    <w:rsid w:val="006E3A5D"/>
    <w:rsid w:val="006E433A"/>
    <w:rsid w:val="006E476B"/>
    <w:rsid w:val="006E5775"/>
    <w:rsid w:val="006E6664"/>
    <w:rsid w:val="006E6750"/>
    <w:rsid w:val="006F1DAF"/>
    <w:rsid w:val="006F3B3D"/>
    <w:rsid w:val="006F415F"/>
    <w:rsid w:val="006F4577"/>
    <w:rsid w:val="006F50B6"/>
    <w:rsid w:val="006F53C3"/>
    <w:rsid w:val="006F782C"/>
    <w:rsid w:val="007032A2"/>
    <w:rsid w:val="00704174"/>
    <w:rsid w:val="00705C6A"/>
    <w:rsid w:val="00707AC9"/>
    <w:rsid w:val="00710072"/>
    <w:rsid w:val="00712E5D"/>
    <w:rsid w:val="0071497C"/>
    <w:rsid w:val="007151EB"/>
    <w:rsid w:val="00715235"/>
    <w:rsid w:val="00715906"/>
    <w:rsid w:val="00715D5F"/>
    <w:rsid w:val="0071693E"/>
    <w:rsid w:val="00716DD0"/>
    <w:rsid w:val="007170EC"/>
    <w:rsid w:val="00720874"/>
    <w:rsid w:val="00722672"/>
    <w:rsid w:val="00723CDF"/>
    <w:rsid w:val="00724ABC"/>
    <w:rsid w:val="00726D60"/>
    <w:rsid w:val="0072700F"/>
    <w:rsid w:val="00731173"/>
    <w:rsid w:val="00731AE7"/>
    <w:rsid w:val="0073284E"/>
    <w:rsid w:val="0073317E"/>
    <w:rsid w:val="00733346"/>
    <w:rsid w:val="00734D91"/>
    <w:rsid w:val="00735F2B"/>
    <w:rsid w:val="00737474"/>
    <w:rsid w:val="007409CE"/>
    <w:rsid w:val="0074399F"/>
    <w:rsid w:val="00746413"/>
    <w:rsid w:val="00746989"/>
    <w:rsid w:val="00746A1B"/>
    <w:rsid w:val="00746E74"/>
    <w:rsid w:val="00750609"/>
    <w:rsid w:val="00752875"/>
    <w:rsid w:val="00753515"/>
    <w:rsid w:val="007543CE"/>
    <w:rsid w:val="007622D4"/>
    <w:rsid w:val="00762F7C"/>
    <w:rsid w:val="00763EDA"/>
    <w:rsid w:val="00764598"/>
    <w:rsid w:val="00765E97"/>
    <w:rsid w:val="00767752"/>
    <w:rsid w:val="007726BC"/>
    <w:rsid w:val="00773C39"/>
    <w:rsid w:val="007746AE"/>
    <w:rsid w:val="0077483D"/>
    <w:rsid w:val="007776E9"/>
    <w:rsid w:val="0078068E"/>
    <w:rsid w:val="00780C01"/>
    <w:rsid w:val="00782E0C"/>
    <w:rsid w:val="00785F8B"/>
    <w:rsid w:val="00787819"/>
    <w:rsid w:val="00787CFC"/>
    <w:rsid w:val="00787DCE"/>
    <w:rsid w:val="007902E7"/>
    <w:rsid w:val="0079296A"/>
    <w:rsid w:val="0079311B"/>
    <w:rsid w:val="007936CF"/>
    <w:rsid w:val="007936EB"/>
    <w:rsid w:val="00793795"/>
    <w:rsid w:val="00795879"/>
    <w:rsid w:val="0079690F"/>
    <w:rsid w:val="00797000"/>
    <w:rsid w:val="00797FD6"/>
    <w:rsid w:val="007A27B0"/>
    <w:rsid w:val="007A34F5"/>
    <w:rsid w:val="007A3988"/>
    <w:rsid w:val="007A593F"/>
    <w:rsid w:val="007A61BD"/>
    <w:rsid w:val="007A7580"/>
    <w:rsid w:val="007B243D"/>
    <w:rsid w:val="007B3A38"/>
    <w:rsid w:val="007B60F2"/>
    <w:rsid w:val="007C3112"/>
    <w:rsid w:val="007C33CA"/>
    <w:rsid w:val="007C512A"/>
    <w:rsid w:val="007C64FC"/>
    <w:rsid w:val="007C653D"/>
    <w:rsid w:val="007C69D9"/>
    <w:rsid w:val="007D101F"/>
    <w:rsid w:val="007D176E"/>
    <w:rsid w:val="007D1D5B"/>
    <w:rsid w:val="007D3645"/>
    <w:rsid w:val="007D734F"/>
    <w:rsid w:val="007D7E5D"/>
    <w:rsid w:val="007E01A4"/>
    <w:rsid w:val="007E0601"/>
    <w:rsid w:val="007E1FBC"/>
    <w:rsid w:val="007E4454"/>
    <w:rsid w:val="007E5851"/>
    <w:rsid w:val="007E6E78"/>
    <w:rsid w:val="007F09F6"/>
    <w:rsid w:val="007F173B"/>
    <w:rsid w:val="007F1D1F"/>
    <w:rsid w:val="007F2A74"/>
    <w:rsid w:val="007F5A3A"/>
    <w:rsid w:val="007F6586"/>
    <w:rsid w:val="007F6F8B"/>
    <w:rsid w:val="007F7DAC"/>
    <w:rsid w:val="008001AF"/>
    <w:rsid w:val="0080031E"/>
    <w:rsid w:val="00803E77"/>
    <w:rsid w:val="008064D2"/>
    <w:rsid w:val="00806FD7"/>
    <w:rsid w:val="008133CC"/>
    <w:rsid w:val="00814B39"/>
    <w:rsid w:val="00816D44"/>
    <w:rsid w:val="0082192A"/>
    <w:rsid w:val="008220A0"/>
    <w:rsid w:val="00823673"/>
    <w:rsid w:val="00833614"/>
    <w:rsid w:val="0083712D"/>
    <w:rsid w:val="00842A39"/>
    <w:rsid w:val="0084311F"/>
    <w:rsid w:val="00843729"/>
    <w:rsid w:val="00844B73"/>
    <w:rsid w:val="008461F5"/>
    <w:rsid w:val="008505B6"/>
    <w:rsid w:val="008510A5"/>
    <w:rsid w:val="00853331"/>
    <w:rsid w:val="00854C17"/>
    <w:rsid w:val="0085523C"/>
    <w:rsid w:val="00856104"/>
    <w:rsid w:val="00856322"/>
    <w:rsid w:val="00857070"/>
    <w:rsid w:val="00860FBB"/>
    <w:rsid w:val="00861078"/>
    <w:rsid w:val="00861C72"/>
    <w:rsid w:val="00861FC5"/>
    <w:rsid w:val="00862092"/>
    <w:rsid w:val="0086338B"/>
    <w:rsid w:val="008634CD"/>
    <w:rsid w:val="008648C9"/>
    <w:rsid w:val="0086537E"/>
    <w:rsid w:val="00865AAC"/>
    <w:rsid w:val="008660DB"/>
    <w:rsid w:val="00867900"/>
    <w:rsid w:val="00867A66"/>
    <w:rsid w:val="00870D93"/>
    <w:rsid w:val="008713B0"/>
    <w:rsid w:val="00871CFE"/>
    <w:rsid w:val="00872642"/>
    <w:rsid w:val="008737E2"/>
    <w:rsid w:val="00873F54"/>
    <w:rsid w:val="00874836"/>
    <w:rsid w:val="0087527F"/>
    <w:rsid w:val="00875402"/>
    <w:rsid w:val="0088018B"/>
    <w:rsid w:val="008804AA"/>
    <w:rsid w:val="00880E0F"/>
    <w:rsid w:val="008827AD"/>
    <w:rsid w:val="008847B3"/>
    <w:rsid w:val="00884EE8"/>
    <w:rsid w:val="00885549"/>
    <w:rsid w:val="00886E43"/>
    <w:rsid w:val="00887D1F"/>
    <w:rsid w:val="00887FE9"/>
    <w:rsid w:val="00891B01"/>
    <w:rsid w:val="008922ED"/>
    <w:rsid w:val="00892E83"/>
    <w:rsid w:val="00893AB0"/>
    <w:rsid w:val="00894A04"/>
    <w:rsid w:val="00897117"/>
    <w:rsid w:val="008978EE"/>
    <w:rsid w:val="008A0548"/>
    <w:rsid w:val="008A21EF"/>
    <w:rsid w:val="008A3CD7"/>
    <w:rsid w:val="008A41CB"/>
    <w:rsid w:val="008A772F"/>
    <w:rsid w:val="008A778D"/>
    <w:rsid w:val="008B07CB"/>
    <w:rsid w:val="008B4875"/>
    <w:rsid w:val="008B789D"/>
    <w:rsid w:val="008C01E0"/>
    <w:rsid w:val="008C07F7"/>
    <w:rsid w:val="008C2E08"/>
    <w:rsid w:val="008C345F"/>
    <w:rsid w:val="008C3E6C"/>
    <w:rsid w:val="008C4D28"/>
    <w:rsid w:val="008C597D"/>
    <w:rsid w:val="008C63FF"/>
    <w:rsid w:val="008D3020"/>
    <w:rsid w:val="008D58F9"/>
    <w:rsid w:val="008D6362"/>
    <w:rsid w:val="008D6A61"/>
    <w:rsid w:val="008E08FC"/>
    <w:rsid w:val="008E576D"/>
    <w:rsid w:val="008E5E6B"/>
    <w:rsid w:val="008F11C5"/>
    <w:rsid w:val="008F28EB"/>
    <w:rsid w:val="008F3BB6"/>
    <w:rsid w:val="008F458D"/>
    <w:rsid w:val="008F4847"/>
    <w:rsid w:val="008F4B01"/>
    <w:rsid w:val="00900CA5"/>
    <w:rsid w:val="00900EDC"/>
    <w:rsid w:val="009012D9"/>
    <w:rsid w:val="009021EF"/>
    <w:rsid w:val="0090445E"/>
    <w:rsid w:val="00905350"/>
    <w:rsid w:val="0090616D"/>
    <w:rsid w:val="009077A2"/>
    <w:rsid w:val="0091006A"/>
    <w:rsid w:val="0091065D"/>
    <w:rsid w:val="0091140B"/>
    <w:rsid w:val="00912A40"/>
    <w:rsid w:val="00912F3A"/>
    <w:rsid w:val="009150F7"/>
    <w:rsid w:val="0091604F"/>
    <w:rsid w:val="009165A9"/>
    <w:rsid w:val="009167F5"/>
    <w:rsid w:val="0091702E"/>
    <w:rsid w:val="0091719D"/>
    <w:rsid w:val="00920148"/>
    <w:rsid w:val="00925615"/>
    <w:rsid w:val="009263E1"/>
    <w:rsid w:val="00926544"/>
    <w:rsid w:val="00930BCD"/>
    <w:rsid w:val="00931211"/>
    <w:rsid w:val="009319BB"/>
    <w:rsid w:val="00931F2D"/>
    <w:rsid w:val="00932EF9"/>
    <w:rsid w:val="009335FB"/>
    <w:rsid w:val="00934094"/>
    <w:rsid w:val="00934357"/>
    <w:rsid w:val="009366AD"/>
    <w:rsid w:val="009400E8"/>
    <w:rsid w:val="00941F5C"/>
    <w:rsid w:val="009432E5"/>
    <w:rsid w:val="00943B9E"/>
    <w:rsid w:val="009446C1"/>
    <w:rsid w:val="009506F5"/>
    <w:rsid w:val="009516E1"/>
    <w:rsid w:val="00952886"/>
    <w:rsid w:val="009549D7"/>
    <w:rsid w:val="009568F5"/>
    <w:rsid w:val="00957537"/>
    <w:rsid w:val="00962916"/>
    <w:rsid w:val="00962BB9"/>
    <w:rsid w:val="00963165"/>
    <w:rsid w:val="00965CA3"/>
    <w:rsid w:val="00967260"/>
    <w:rsid w:val="0096789F"/>
    <w:rsid w:val="00970D9B"/>
    <w:rsid w:val="009721D8"/>
    <w:rsid w:val="00974843"/>
    <w:rsid w:val="00977C5E"/>
    <w:rsid w:val="0098195E"/>
    <w:rsid w:val="00981AE6"/>
    <w:rsid w:val="009827F2"/>
    <w:rsid w:val="00982CC4"/>
    <w:rsid w:val="00985EA6"/>
    <w:rsid w:val="00987B97"/>
    <w:rsid w:val="0099166B"/>
    <w:rsid w:val="00991C76"/>
    <w:rsid w:val="00992208"/>
    <w:rsid w:val="00992675"/>
    <w:rsid w:val="009941CC"/>
    <w:rsid w:val="0099444D"/>
    <w:rsid w:val="00997C10"/>
    <w:rsid w:val="009A2892"/>
    <w:rsid w:val="009A66A4"/>
    <w:rsid w:val="009A684B"/>
    <w:rsid w:val="009B0D90"/>
    <w:rsid w:val="009B484A"/>
    <w:rsid w:val="009B73AA"/>
    <w:rsid w:val="009C1207"/>
    <w:rsid w:val="009C1227"/>
    <w:rsid w:val="009C2CB5"/>
    <w:rsid w:val="009C3A29"/>
    <w:rsid w:val="009C5EFC"/>
    <w:rsid w:val="009C6704"/>
    <w:rsid w:val="009C70D1"/>
    <w:rsid w:val="009D078E"/>
    <w:rsid w:val="009D090A"/>
    <w:rsid w:val="009D1166"/>
    <w:rsid w:val="009D2182"/>
    <w:rsid w:val="009D4D04"/>
    <w:rsid w:val="009D4E99"/>
    <w:rsid w:val="009D6306"/>
    <w:rsid w:val="009D64D5"/>
    <w:rsid w:val="009D7570"/>
    <w:rsid w:val="009E14D5"/>
    <w:rsid w:val="009E1A52"/>
    <w:rsid w:val="009E2272"/>
    <w:rsid w:val="009F0FC0"/>
    <w:rsid w:val="009F42F8"/>
    <w:rsid w:val="009F4889"/>
    <w:rsid w:val="009F6D1D"/>
    <w:rsid w:val="009F7F82"/>
    <w:rsid w:val="00A01C65"/>
    <w:rsid w:val="00A01EAC"/>
    <w:rsid w:val="00A0532E"/>
    <w:rsid w:val="00A05625"/>
    <w:rsid w:val="00A05C9D"/>
    <w:rsid w:val="00A071A4"/>
    <w:rsid w:val="00A078D5"/>
    <w:rsid w:val="00A1005D"/>
    <w:rsid w:val="00A10600"/>
    <w:rsid w:val="00A10B36"/>
    <w:rsid w:val="00A10E80"/>
    <w:rsid w:val="00A111E3"/>
    <w:rsid w:val="00A11C7A"/>
    <w:rsid w:val="00A11EE4"/>
    <w:rsid w:val="00A1272C"/>
    <w:rsid w:val="00A12A7B"/>
    <w:rsid w:val="00A132DA"/>
    <w:rsid w:val="00A13D5A"/>
    <w:rsid w:val="00A1453D"/>
    <w:rsid w:val="00A16F4A"/>
    <w:rsid w:val="00A170A6"/>
    <w:rsid w:val="00A203AC"/>
    <w:rsid w:val="00A23FDA"/>
    <w:rsid w:val="00A2630F"/>
    <w:rsid w:val="00A26E5A"/>
    <w:rsid w:val="00A275D3"/>
    <w:rsid w:val="00A3247D"/>
    <w:rsid w:val="00A32DAA"/>
    <w:rsid w:val="00A32F35"/>
    <w:rsid w:val="00A34369"/>
    <w:rsid w:val="00A34AAD"/>
    <w:rsid w:val="00A3668B"/>
    <w:rsid w:val="00A41BDB"/>
    <w:rsid w:val="00A42380"/>
    <w:rsid w:val="00A42C5B"/>
    <w:rsid w:val="00A469D3"/>
    <w:rsid w:val="00A53DCF"/>
    <w:rsid w:val="00A555AA"/>
    <w:rsid w:val="00A61CF2"/>
    <w:rsid w:val="00A62AC5"/>
    <w:rsid w:val="00A62CCB"/>
    <w:rsid w:val="00A647F1"/>
    <w:rsid w:val="00A658C9"/>
    <w:rsid w:val="00A659D9"/>
    <w:rsid w:val="00A66222"/>
    <w:rsid w:val="00A70DC5"/>
    <w:rsid w:val="00A7203B"/>
    <w:rsid w:val="00A72485"/>
    <w:rsid w:val="00A73016"/>
    <w:rsid w:val="00A73F96"/>
    <w:rsid w:val="00A743F1"/>
    <w:rsid w:val="00A74F03"/>
    <w:rsid w:val="00A74FBF"/>
    <w:rsid w:val="00A754F9"/>
    <w:rsid w:val="00A8128B"/>
    <w:rsid w:val="00A81E75"/>
    <w:rsid w:val="00A84A16"/>
    <w:rsid w:val="00A87462"/>
    <w:rsid w:val="00A92690"/>
    <w:rsid w:val="00A93DBF"/>
    <w:rsid w:val="00A943F8"/>
    <w:rsid w:val="00A948A2"/>
    <w:rsid w:val="00A960BE"/>
    <w:rsid w:val="00A972C2"/>
    <w:rsid w:val="00AA3442"/>
    <w:rsid w:val="00AA3894"/>
    <w:rsid w:val="00AB0DE4"/>
    <w:rsid w:val="00AB19B9"/>
    <w:rsid w:val="00AB1ADF"/>
    <w:rsid w:val="00AB401A"/>
    <w:rsid w:val="00AB47BA"/>
    <w:rsid w:val="00AB5036"/>
    <w:rsid w:val="00AC092A"/>
    <w:rsid w:val="00AC341A"/>
    <w:rsid w:val="00AC528F"/>
    <w:rsid w:val="00AC64DC"/>
    <w:rsid w:val="00AC6F61"/>
    <w:rsid w:val="00AC73BA"/>
    <w:rsid w:val="00AD10A1"/>
    <w:rsid w:val="00AD1AAE"/>
    <w:rsid w:val="00AD22BC"/>
    <w:rsid w:val="00AD3DFD"/>
    <w:rsid w:val="00AD4B0D"/>
    <w:rsid w:val="00AD6969"/>
    <w:rsid w:val="00AD7F7A"/>
    <w:rsid w:val="00AE032C"/>
    <w:rsid w:val="00AE0970"/>
    <w:rsid w:val="00AE0F32"/>
    <w:rsid w:val="00AE2510"/>
    <w:rsid w:val="00AE3C9B"/>
    <w:rsid w:val="00AE57A2"/>
    <w:rsid w:val="00AE597B"/>
    <w:rsid w:val="00AE6635"/>
    <w:rsid w:val="00AF28A2"/>
    <w:rsid w:val="00AF3417"/>
    <w:rsid w:val="00AF6BFE"/>
    <w:rsid w:val="00B02234"/>
    <w:rsid w:val="00B025B6"/>
    <w:rsid w:val="00B04005"/>
    <w:rsid w:val="00B05EDB"/>
    <w:rsid w:val="00B0734D"/>
    <w:rsid w:val="00B10010"/>
    <w:rsid w:val="00B12940"/>
    <w:rsid w:val="00B15119"/>
    <w:rsid w:val="00B15196"/>
    <w:rsid w:val="00B22D91"/>
    <w:rsid w:val="00B23395"/>
    <w:rsid w:val="00B2349D"/>
    <w:rsid w:val="00B23766"/>
    <w:rsid w:val="00B25FB6"/>
    <w:rsid w:val="00B26E73"/>
    <w:rsid w:val="00B3472C"/>
    <w:rsid w:val="00B36B06"/>
    <w:rsid w:val="00B36CAD"/>
    <w:rsid w:val="00B42331"/>
    <w:rsid w:val="00B44648"/>
    <w:rsid w:val="00B453C2"/>
    <w:rsid w:val="00B45F2E"/>
    <w:rsid w:val="00B506C1"/>
    <w:rsid w:val="00B52645"/>
    <w:rsid w:val="00B53F37"/>
    <w:rsid w:val="00B547B9"/>
    <w:rsid w:val="00B56375"/>
    <w:rsid w:val="00B57EB8"/>
    <w:rsid w:val="00B62F36"/>
    <w:rsid w:val="00B630B9"/>
    <w:rsid w:val="00B63477"/>
    <w:rsid w:val="00B671B1"/>
    <w:rsid w:val="00B671C3"/>
    <w:rsid w:val="00B67E0F"/>
    <w:rsid w:val="00B713A3"/>
    <w:rsid w:val="00B71FCA"/>
    <w:rsid w:val="00B72236"/>
    <w:rsid w:val="00B723BE"/>
    <w:rsid w:val="00B805CA"/>
    <w:rsid w:val="00B82391"/>
    <w:rsid w:val="00B827CB"/>
    <w:rsid w:val="00B85D43"/>
    <w:rsid w:val="00B8685F"/>
    <w:rsid w:val="00B86CAA"/>
    <w:rsid w:val="00B90B4C"/>
    <w:rsid w:val="00B912C0"/>
    <w:rsid w:val="00B930E4"/>
    <w:rsid w:val="00B955FE"/>
    <w:rsid w:val="00B956E4"/>
    <w:rsid w:val="00B96086"/>
    <w:rsid w:val="00B96EB4"/>
    <w:rsid w:val="00BA1072"/>
    <w:rsid w:val="00BA1746"/>
    <w:rsid w:val="00BA2A9C"/>
    <w:rsid w:val="00BA3015"/>
    <w:rsid w:val="00BA3682"/>
    <w:rsid w:val="00BA3FE6"/>
    <w:rsid w:val="00BA438E"/>
    <w:rsid w:val="00BA5946"/>
    <w:rsid w:val="00BA6543"/>
    <w:rsid w:val="00BA765B"/>
    <w:rsid w:val="00BB19C3"/>
    <w:rsid w:val="00BB1D98"/>
    <w:rsid w:val="00BB3437"/>
    <w:rsid w:val="00BB4B54"/>
    <w:rsid w:val="00BB5D8F"/>
    <w:rsid w:val="00BB67E8"/>
    <w:rsid w:val="00BB79FF"/>
    <w:rsid w:val="00BC0E7C"/>
    <w:rsid w:val="00BC29BD"/>
    <w:rsid w:val="00BC3D2B"/>
    <w:rsid w:val="00BC53F6"/>
    <w:rsid w:val="00BD02EF"/>
    <w:rsid w:val="00BD1A14"/>
    <w:rsid w:val="00BD21C8"/>
    <w:rsid w:val="00BD369A"/>
    <w:rsid w:val="00BD4845"/>
    <w:rsid w:val="00BD4F5D"/>
    <w:rsid w:val="00BD56B9"/>
    <w:rsid w:val="00BD632F"/>
    <w:rsid w:val="00BE09E5"/>
    <w:rsid w:val="00BE1904"/>
    <w:rsid w:val="00BE19C5"/>
    <w:rsid w:val="00BE1F2E"/>
    <w:rsid w:val="00BE3144"/>
    <w:rsid w:val="00BE4AE9"/>
    <w:rsid w:val="00BE5200"/>
    <w:rsid w:val="00BE528E"/>
    <w:rsid w:val="00BE5DAD"/>
    <w:rsid w:val="00BE659D"/>
    <w:rsid w:val="00BE7035"/>
    <w:rsid w:val="00BE7948"/>
    <w:rsid w:val="00BF0971"/>
    <w:rsid w:val="00BF0EC3"/>
    <w:rsid w:val="00BF22C8"/>
    <w:rsid w:val="00BF3B27"/>
    <w:rsid w:val="00BF5E8F"/>
    <w:rsid w:val="00BF75FC"/>
    <w:rsid w:val="00C0464C"/>
    <w:rsid w:val="00C07037"/>
    <w:rsid w:val="00C07744"/>
    <w:rsid w:val="00C15F3D"/>
    <w:rsid w:val="00C17BF9"/>
    <w:rsid w:val="00C21386"/>
    <w:rsid w:val="00C21B00"/>
    <w:rsid w:val="00C22F0D"/>
    <w:rsid w:val="00C25A24"/>
    <w:rsid w:val="00C2692E"/>
    <w:rsid w:val="00C27920"/>
    <w:rsid w:val="00C321EE"/>
    <w:rsid w:val="00C33103"/>
    <w:rsid w:val="00C33F70"/>
    <w:rsid w:val="00C34A70"/>
    <w:rsid w:val="00C34FFB"/>
    <w:rsid w:val="00C355A5"/>
    <w:rsid w:val="00C41BF1"/>
    <w:rsid w:val="00C42F6D"/>
    <w:rsid w:val="00C43980"/>
    <w:rsid w:val="00C446EF"/>
    <w:rsid w:val="00C44FB9"/>
    <w:rsid w:val="00C45B92"/>
    <w:rsid w:val="00C45CA1"/>
    <w:rsid w:val="00C516EA"/>
    <w:rsid w:val="00C5557B"/>
    <w:rsid w:val="00C56AC4"/>
    <w:rsid w:val="00C56BB0"/>
    <w:rsid w:val="00C5739F"/>
    <w:rsid w:val="00C579E0"/>
    <w:rsid w:val="00C62241"/>
    <w:rsid w:val="00C65A7D"/>
    <w:rsid w:val="00C65F33"/>
    <w:rsid w:val="00C65FB7"/>
    <w:rsid w:val="00C703F0"/>
    <w:rsid w:val="00C724A2"/>
    <w:rsid w:val="00C72874"/>
    <w:rsid w:val="00C730B6"/>
    <w:rsid w:val="00C735A8"/>
    <w:rsid w:val="00C74F95"/>
    <w:rsid w:val="00C75945"/>
    <w:rsid w:val="00C77039"/>
    <w:rsid w:val="00C80C53"/>
    <w:rsid w:val="00C8208D"/>
    <w:rsid w:val="00C83320"/>
    <w:rsid w:val="00C87BD7"/>
    <w:rsid w:val="00C90441"/>
    <w:rsid w:val="00C904DB"/>
    <w:rsid w:val="00C91BEF"/>
    <w:rsid w:val="00C936C0"/>
    <w:rsid w:val="00C93D05"/>
    <w:rsid w:val="00C94FD8"/>
    <w:rsid w:val="00C9554C"/>
    <w:rsid w:val="00C96E53"/>
    <w:rsid w:val="00CA03EA"/>
    <w:rsid w:val="00CA1598"/>
    <w:rsid w:val="00CA28CA"/>
    <w:rsid w:val="00CA3D7D"/>
    <w:rsid w:val="00CA63E1"/>
    <w:rsid w:val="00CB2817"/>
    <w:rsid w:val="00CB54FD"/>
    <w:rsid w:val="00CB5B8A"/>
    <w:rsid w:val="00CB61D6"/>
    <w:rsid w:val="00CB6321"/>
    <w:rsid w:val="00CB78ED"/>
    <w:rsid w:val="00CC0F3F"/>
    <w:rsid w:val="00CC1ED7"/>
    <w:rsid w:val="00CC2777"/>
    <w:rsid w:val="00CC281E"/>
    <w:rsid w:val="00CC71A6"/>
    <w:rsid w:val="00CC7330"/>
    <w:rsid w:val="00CD00DB"/>
    <w:rsid w:val="00CD1755"/>
    <w:rsid w:val="00CD1BAC"/>
    <w:rsid w:val="00CD31F3"/>
    <w:rsid w:val="00CD4BA2"/>
    <w:rsid w:val="00CD5109"/>
    <w:rsid w:val="00CD5C99"/>
    <w:rsid w:val="00CD64EF"/>
    <w:rsid w:val="00CE13AB"/>
    <w:rsid w:val="00CE223D"/>
    <w:rsid w:val="00CE2717"/>
    <w:rsid w:val="00CE2BE5"/>
    <w:rsid w:val="00CE7667"/>
    <w:rsid w:val="00CF069E"/>
    <w:rsid w:val="00CF4472"/>
    <w:rsid w:val="00CF4DC2"/>
    <w:rsid w:val="00CF5DCB"/>
    <w:rsid w:val="00CF7D2D"/>
    <w:rsid w:val="00CF7D7C"/>
    <w:rsid w:val="00CF7F5F"/>
    <w:rsid w:val="00D0120F"/>
    <w:rsid w:val="00D022D9"/>
    <w:rsid w:val="00D02D54"/>
    <w:rsid w:val="00D07D23"/>
    <w:rsid w:val="00D10001"/>
    <w:rsid w:val="00D120C9"/>
    <w:rsid w:val="00D12720"/>
    <w:rsid w:val="00D127EF"/>
    <w:rsid w:val="00D12F6F"/>
    <w:rsid w:val="00D13DBD"/>
    <w:rsid w:val="00D17506"/>
    <w:rsid w:val="00D204F6"/>
    <w:rsid w:val="00D207A4"/>
    <w:rsid w:val="00D21986"/>
    <w:rsid w:val="00D21A32"/>
    <w:rsid w:val="00D21F51"/>
    <w:rsid w:val="00D23325"/>
    <w:rsid w:val="00D23AC5"/>
    <w:rsid w:val="00D24FF5"/>
    <w:rsid w:val="00D25688"/>
    <w:rsid w:val="00D26606"/>
    <w:rsid w:val="00D26E32"/>
    <w:rsid w:val="00D275BF"/>
    <w:rsid w:val="00D278B8"/>
    <w:rsid w:val="00D279DB"/>
    <w:rsid w:val="00D30025"/>
    <w:rsid w:val="00D3080C"/>
    <w:rsid w:val="00D30F16"/>
    <w:rsid w:val="00D316BA"/>
    <w:rsid w:val="00D31F56"/>
    <w:rsid w:val="00D322FD"/>
    <w:rsid w:val="00D32372"/>
    <w:rsid w:val="00D329A2"/>
    <w:rsid w:val="00D3303D"/>
    <w:rsid w:val="00D33772"/>
    <w:rsid w:val="00D34727"/>
    <w:rsid w:val="00D364AB"/>
    <w:rsid w:val="00D403B5"/>
    <w:rsid w:val="00D43BC8"/>
    <w:rsid w:val="00D450E7"/>
    <w:rsid w:val="00D46B1C"/>
    <w:rsid w:val="00D47103"/>
    <w:rsid w:val="00D47E7B"/>
    <w:rsid w:val="00D50ACF"/>
    <w:rsid w:val="00D514C5"/>
    <w:rsid w:val="00D53291"/>
    <w:rsid w:val="00D538DC"/>
    <w:rsid w:val="00D54EEC"/>
    <w:rsid w:val="00D54EEF"/>
    <w:rsid w:val="00D55C01"/>
    <w:rsid w:val="00D568A6"/>
    <w:rsid w:val="00D57758"/>
    <w:rsid w:val="00D6067E"/>
    <w:rsid w:val="00D6165F"/>
    <w:rsid w:val="00D6231A"/>
    <w:rsid w:val="00D63383"/>
    <w:rsid w:val="00D63549"/>
    <w:rsid w:val="00D65B21"/>
    <w:rsid w:val="00D66A33"/>
    <w:rsid w:val="00D71488"/>
    <w:rsid w:val="00D734F0"/>
    <w:rsid w:val="00D739E8"/>
    <w:rsid w:val="00D74708"/>
    <w:rsid w:val="00D74C63"/>
    <w:rsid w:val="00D80744"/>
    <w:rsid w:val="00D81F36"/>
    <w:rsid w:val="00D8508C"/>
    <w:rsid w:val="00D85711"/>
    <w:rsid w:val="00D85B57"/>
    <w:rsid w:val="00D86250"/>
    <w:rsid w:val="00D87B33"/>
    <w:rsid w:val="00D92900"/>
    <w:rsid w:val="00D92C48"/>
    <w:rsid w:val="00D92D84"/>
    <w:rsid w:val="00D93212"/>
    <w:rsid w:val="00D949CD"/>
    <w:rsid w:val="00D94ACC"/>
    <w:rsid w:val="00D97AAB"/>
    <w:rsid w:val="00DA01EB"/>
    <w:rsid w:val="00DA2548"/>
    <w:rsid w:val="00DA2E05"/>
    <w:rsid w:val="00DA495D"/>
    <w:rsid w:val="00DA49FB"/>
    <w:rsid w:val="00DA4C23"/>
    <w:rsid w:val="00DA4CB3"/>
    <w:rsid w:val="00DB0EB5"/>
    <w:rsid w:val="00DB21B7"/>
    <w:rsid w:val="00DB2A9E"/>
    <w:rsid w:val="00DB7ADF"/>
    <w:rsid w:val="00DC12EE"/>
    <w:rsid w:val="00DC17D8"/>
    <w:rsid w:val="00DC26DB"/>
    <w:rsid w:val="00DC3A6C"/>
    <w:rsid w:val="00DC4D95"/>
    <w:rsid w:val="00DD0179"/>
    <w:rsid w:val="00DD0D8E"/>
    <w:rsid w:val="00DD0F3E"/>
    <w:rsid w:val="00DD20C7"/>
    <w:rsid w:val="00DD24AC"/>
    <w:rsid w:val="00DD2F4D"/>
    <w:rsid w:val="00DD6853"/>
    <w:rsid w:val="00DD6B6F"/>
    <w:rsid w:val="00DE159E"/>
    <w:rsid w:val="00DE1F32"/>
    <w:rsid w:val="00DE7426"/>
    <w:rsid w:val="00DF600D"/>
    <w:rsid w:val="00E00523"/>
    <w:rsid w:val="00E01385"/>
    <w:rsid w:val="00E01B4F"/>
    <w:rsid w:val="00E0289B"/>
    <w:rsid w:val="00E02F0B"/>
    <w:rsid w:val="00E041DB"/>
    <w:rsid w:val="00E052C5"/>
    <w:rsid w:val="00E06C11"/>
    <w:rsid w:val="00E07173"/>
    <w:rsid w:val="00E0732D"/>
    <w:rsid w:val="00E07F1E"/>
    <w:rsid w:val="00E10B4C"/>
    <w:rsid w:val="00E11955"/>
    <w:rsid w:val="00E1197A"/>
    <w:rsid w:val="00E11F97"/>
    <w:rsid w:val="00E13454"/>
    <w:rsid w:val="00E14262"/>
    <w:rsid w:val="00E15522"/>
    <w:rsid w:val="00E16193"/>
    <w:rsid w:val="00E21EA8"/>
    <w:rsid w:val="00E25B36"/>
    <w:rsid w:val="00E2707D"/>
    <w:rsid w:val="00E2730B"/>
    <w:rsid w:val="00E30EFE"/>
    <w:rsid w:val="00E31C93"/>
    <w:rsid w:val="00E3205D"/>
    <w:rsid w:val="00E34C08"/>
    <w:rsid w:val="00E3553B"/>
    <w:rsid w:val="00E37127"/>
    <w:rsid w:val="00E376C6"/>
    <w:rsid w:val="00E400B6"/>
    <w:rsid w:val="00E40B88"/>
    <w:rsid w:val="00E41CC8"/>
    <w:rsid w:val="00E41FA3"/>
    <w:rsid w:val="00E42474"/>
    <w:rsid w:val="00E45C38"/>
    <w:rsid w:val="00E52B2F"/>
    <w:rsid w:val="00E540BA"/>
    <w:rsid w:val="00E572FD"/>
    <w:rsid w:val="00E60DF8"/>
    <w:rsid w:val="00E64DC3"/>
    <w:rsid w:val="00E64E9B"/>
    <w:rsid w:val="00E650D9"/>
    <w:rsid w:val="00E66A14"/>
    <w:rsid w:val="00E66EF3"/>
    <w:rsid w:val="00E70972"/>
    <w:rsid w:val="00E713B4"/>
    <w:rsid w:val="00E71700"/>
    <w:rsid w:val="00E73114"/>
    <w:rsid w:val="00E73B60"/>
    <w:rsid w:val="00E74A2C"/>
    <w:rsid w:val="00E82EC2"/>
    <w:rsid w:val="00E85889"/>
    <w:rsid w:val="00E861E3"/>
    <w:rsid w:val="00E87773"/>
    <w:rsid w:val="00E87A94"/>
    <w:rsid w:val="00E919F3"/>
    <w:rsid w:val="00E946BF"/>
    <w:rsid w:val="00E953E3"/>
    <w:rsid w:val="00E961F2"/>
    <w:rsid w:val="00EA13FA"/>
    <w:rsid w:val="00EA5A99"/>
    <w:rsid w:val="00EA6947"/>
    <w:rsid w:val="00EA7BA2"/>
    <w:rsid w:val="00EB003E"/>
    <w:rsid w:val="00EB0DAF"/>
    <w:rsid w:val="00EB37BB"/>
    <w:rsid w:val="00EB5EB0"/>
    <w:rsid w:val="00EB5EF0"/>
    <w:rsid w:val="00EC02A2"/>
    <w:rsid w:val="00EC1A40"/>
    <w:rsid w:val="00EC320B"/>
    <w:rsid w:val="00EC47D3"/>
    <w:rsid w:val="00EC558B"/>
    <w:rsid w:val="00EC68FB"/>
    <w:rsid w:val="00EC7B14"/>
    <w:rsid w:val="00EC7B19"/>
    <w:rsid w:val="00ED04BE"/>
    <w:rsid w:val="00ED077E"/>
    <w:rsid w:val="00ED0B4E"/>
    <w:rsid w:val="00ED163C"/>
    <w:rsid w:val="00ED2F45"/>
    <w:rsid w:val="00ED307A"/>
    <w:rsid w:val="00ED34F5"/>
    <w:rsid w:val="00ED5E95"/>
    <w:rsid w:val="00EE03E2"/>
    <w:rsid w:val="00EE0983"/>
    <w:rsid w:val="00EE1841"/>
    <w:rsid w:val="00EE2003"/>
    <w:rsid w:val="00EE2A52"/>
    <w:rsid w:val="00EE2F11"/>
    <w:rsid w:val="00EE51EF"/>
    <w:rsid w:val="00EE5F1C"/>
    <w:rsid w:val="00EF0297"/>
    <w:rsid w:val="00EF17F9"/>
    <w:rsid w:val="00EF1A82"/>
    <w:rsid w:val="00EF5149"/>
    <w:rsid w:val="00EF639C"/>
    <w:rsid w:val="00F0060F"/>
    <w:rsid w:val="00F01823"/>
    <w:rsid w:val="00F03525"/>
    <w:rsid w:val="00F0394C"/>
    <w:rsid w:val="00F04A25"/>
    <w:rsid w:val="00F04B90"/>
    <w:rsid w:val="00F04DA4"/>
    <w:rsid w:val="00F052F8"/>
    <w:rsid w:val="00F07A27"/>
    <w:rsid w:val="00F10067"/>
    <w:rsid w:val="00F104F2"/>
    <w:rsid w:val="00F1069D"/>
    <w:rsid w:val="00F11824"/>
    <w:rsid w:val="00F11DFA"/>
    <w:rsid w:val="00F11F9B"/>
    <w:rsid w:val="00F1631A"/>
    <w:rsid w:val="00F17904"/>
    <w:rsid w:val="00F17BCF"/>
    <w:rsid w:val="00F234BD"/>
    <w:rsid w:val="00F271B9"/>
    <w:rsid w:val="00F3797B"/>
    <w:rsid w:val="00F40134"/>
    <w:rsid w:val="00F40901"/>
    <w:rsid w:val="00F43E52"/>
    <w:rsid w:val="00F4542D"/>
    <w:rsid w:val="00F4609D"/>
    <w:rsid w:val="00F469D3"/>
    <w:rsid w:val="00F46D2F"/>
    <w:rsid w:val="00F5012A"/>
    <w:rsid w:val="00F518E1"/>
    <w:rsid w:val="00F51F28"/>
    <w:rsid w:val="00F53526"/>
    <w:rsid w:val="00F53861"/>
    <w:rsid w:val="00F539A9"/>
    <w:rsid w:val="00F55878"/>
    <w:rsid w:val="00F563D1"/>
    <w:rsid w:val="00F57935"/>
    <w:rsid w:val="00F61AA7"/>
    <w:rsid w:val="00F6422A"/>
    <w:rsid w:val="00F646CF"/>
    <w:rsid w:val="00F65015"/>
    <w:rsid w:val="00F66F45"/>
    <w:rsid w:val="00F66FFF"/>
    <w:rsid w:val="00F67007"/>
    <w:rsid w:val="00F74225"/>
    <w:rsid w:val="00F74708"/>
    <w:rsid w:val="00F74795"/>
    <w:rsid w:val="00F74E1D"/>
    <w:rsid w:val="00F81005"/>
    <w:rsid w:val="00F82547"/>
    <w:rsid w:val="00F83EED"/>
    <w:rsid w:val="00F856BC"/>
    <w:rsid w:val="00F8642D"/>
    <w:rsid w:val="00F866E9"/>
    <w:rsid w:val="00F878FA"/>
    <w:rsid w:val="00F90005"/>
    <w:rsid w:val="00F90E69"/>
    <w:rsid w:val="00F951ED"/>
    <w:rsid w:val="00F9526F"/>
    <w:rsid w:val="00FA49C1"/>
    <w:rsid w:val="00FA6757"/>
    <w:rsid w:val="00FA76BD"/>
    <w:rsid w:val="00FB1527"/>
    <w:rsid w:val="00FB1D1C"/>
    <w:rsid w:val="00FB201C"/>
    <w:rsid w:val="00FB3476"/>
    <w:rsid w:val="00FB47FF"/>
    <w:rsid w:val="00FB5079"/>
    <w:rsid w:val="00FB7264"/>
    <w:rsid w:val="00FB7EB1"/>
    <w:rsid w:val="00FC0771"/>
    <w:rsid w:val="00FC29F2"/>
    <w:rsid w:val="00FC2AEB"/>
    <w:rsid w:val="00FC33C1"/>
    <w:rsid w:val="00FC358A"/>
    <w:rsid w:val="00FC3AB7"/>
    <w:rsid w:val="00FC407D"/>
    <w:rsid w:val="00FC6389"/>
    <w:rsid w:val="00FD2ACF"/>
    <w:rsid w:val="00FD3FDD"/>
    <w:rsid w:val="00FD42E9"/>
    <w:rsid w:val="00FD6695"/>
    <w:rsid w:val="00FE2093"/>
    <w:rsid w:val="00FE49D5"/>
    <w:rsid w:val="00FE64D3"/>
    <w:rsid w:val="00FE6FAD"/>
    <w:rsid w:val="00FF0420"/>
    <w:rsid w:val="00FF24ED"/>
    <w:rsid w:val="00FF3F57"/>
    <w:rsid w:val="00FF55BA"/>
    <w:rsid w:val="00FF5C5C"/>
    <w:rsid w:val="00FF63C1"/>
    <w:rsid w:val="00FF75E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d9c1f7"/>
    </o:shapedefaults>
    <o:shapelayout v:ext="edit">
      <o:idmap v:ext="edit" data="1"/>
      <o:rules v:ext="edit">
        <o:r id="V:Rule1" type="connector" idref="#_x0000_s1119"/>
        <o:r id="V:Rule2" type="connector" idref="#_x0000_s1118"/>
        <o:r id="V:Rule3" type="connector" idref="#_x0000_s1043"/>
        <o:r id="V:Rule4" type="connector" idref="#_x0000_s1045"/>
        <o:r id="V:Rule5" type="connector" idref="#_x0000_s1076"/>
        <o:r id="V:Rule6" type="connector" idref="#Straight Arrow Connector 23"/>
        <o:r id="V:Rule7" type="connector" idref="#_x0000_s1078"/>
        <o:r id="V:Rule8" type="connector" idref="#_x0000_s1108"/>
        <o:r id="V:Rule9" type="connector" idref="#_x0000_s1046"/>
        <o:r id="V:Rule10" type="connector" idref="#_x0000_s1097"/>
        <o:r id="V:Rule11" type="connector" idref="#_x0000_s1044"/>
        <o:r id="V:Rule12" type="connector" idref="#_x0000_s1070"/>
        <o:r id="V:Rule13" type="connector" idref="#_x0000_s1101"/>
        <o:r id="V:Rule14" type="connector" idref="#_x0000_s1105"/>
        <o:r id="V:Rule15" type="connector" idref="#Straight Arrow Connector 3"/>
        <o:r id="V:Rule16" type="connector" idref="#_x0000_s1074"/>
        <o:r id="V:Rule17" type="connector" idref="#_x0000_s1113"/>
        <o:r id="V:Rule18" type="connector" idref="#_x0000_s1079"/>
        <o:r id="V:Rule19" type="connector" idref="#_x0000_s1073"/>
        <o:r id="V:Rule20" type="connector" idref="#_x0000_s1103"/>
        <o:r id="V:Rule21" type="connector" idref="#_x0000_s1099"/>
        <o:r id="V:Rule22" type="connector" idref="#_x0000_s1075"/>
        <o:r id="V:Rule23" type="connector" idref="#_x0000_s1115"/>
        <o:r id="V:Rule24" type="connector" idref="#_x0000_s1077"/>
        <o:r id="V:Rule25" type="connector" idref="#_x0000_s1069"/>
        <o:r id="V:Rule26" type="connector" idref="#_x0000_s1104"/>
        <o:r id="V:Rule27" type="connector" idref="#_x0000_s1106"/>
        <o:r id="V:Rule28" type="connector" idref="#Straight Arrow Connector 19"/>
        <o:r id="V:Rule29" type="connector" idref="#_x0000_s1042"/>
      </o:rules>
    </o:shapelayout>
  </w:shapeDefaults>
  <w:decimalSymbol w:val="."/>
  <w:listSeparator w:val=","/>
  <w14:docId w14:val="299FB5E6"/>
  <w15:docId w15:val="{D51AFC25-5376-4D54-BB2C-58908E9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33"/>
  </w:style>
  <w:style w:type="paragraph" w:styleId="Heading1">
    <w:name w:val="heading 1"/>
    <w:basedOn w:val="Normal"/>
    <w:next w:val="Normal"/>
    <w:link w:val="Heading1Char"/>
    <w:uiPriority w:val="9"/>
    <w:qFormat/>
    <w:rsid w:val="000A1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C6D7C"/>
    <w:pPr>
      <w:tabs>
        <w:tab w:val="left" w:pos="624"/>
      </w:tabs>
      <w:spacing w:after="240" w:line="240" w:lineRule="auto"/>
      <w:ind w:left="624" w:hanging="624"/>
    </w:pPr>
  </w:style>
  <w:style w:type="paragraph" w:styleId="ListParagraph">
    <w:name w:val="List Paragraph"/>
    <w:basedOn w:val="Normal"/>
    <w:uiPriority w:val="34"/>
    <w:qFormat/>
    <w:rsid w:val="007D176E"/>
    <w:pPr>
      <w:ind w:left="720"/>
      <w:contextualSpacing/>
    </w:pPr>
  </w:style>
  <w:style w:type="paragraph" w:styleId="Header">
    <w:name w:val="header"/>
    <w:basedOn w:val="Normal"/>
    <w:link w:val="HeaderChar"/>
    <w:uiPriority w:val="99"/>
    <w:unhideWhenUsed/>
    <w:rsid w:val="0052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F50"/>
  </w:style>
  <w:style w:type="paragraph" w:styleId="Footer">
    <w:name w:val="footer"/>
    <w:basedOn w:val="Normal"/>
    <w:link w:val="FooterChar"/>
    <w:uiPriority w:val="99"/>
    <w:unhideWhenUsed/>
    <w:rsid w:val="0052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F50"/>
  </w:style>
  <w:style w:type="table" w:styleId="TableGrid">
    <w:name w:val="Table Grid"/>
    <w:basedOn w:val="TableNormal"/>
    <w:uiPriority w:val="39"/>
    <w:rsid w:val="005A1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E38E8"/>
    <w:pPr>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table" w:customStyle="1" w:styleId="TableGrid1">
    <w:name w:val="Table Grid1"/>
    <w:basedOn w:val="TableNormal"/>
    <w:next w:val="TableGrid"/>
    <w:uiPriority w:val="39"/>
    <w:rsid w:val="00BE528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1F5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25DD1"/>
    <w:rPr>
      <w:color w:val="0563C1" w:themeColor="hyperlink"/>
      <w:u w:val="single"/>
    </w:rPr>
  </w:style>
  <w:style w:type="character" w:styleId="CommentReference">
    <w:name w:val="annotation reference"/>
    <w:basedOn w:val="DefaultParagraphFont"/>
    <w:uiPriority w:val="99"/>
    <w:semiHidden/>
    <w:unhideWhenUsed/>
    <w:rsid w:val="00B44648"/>
    <w:rPr>
      <w:sz w:val="16"/>
      <w:szCs w:val="16"/>
    </w:rPr>
  </w:style>
  <w:style w:type="paragraph" w:styleId="CommentText">
    <w:name w:val="annotation text"/>
    <w:basedOn w:val="Normal"/>
    <w:link w:val="CommentTextChar"/>
    <w:uiPriority w:val="99"/>
    <w:semiHidden/>
    <w:unhideWhenUsed/>
    <w:rsid w:val="00B44648"/>
    <w:pPr>
      <w:spacing w:line="240" w:lineRule="auto"/>
    </w:pPr>
    <w:rPr>
      <w:sz w:val="20"/>
      <w:szCs w:val="20"/>
    </w:rPr>
  </w:style>
  <w:style w:type="character" w:customStyle="1" w:styleId="CommentTextChar">
    <w:name w:val="Comment Text Char"/>
    <w:basedOn w:val="DefaultParagraphFont"/>
    <w:link w:val="CommentText"/>
    <w:uiPriority w:val="99"/>
    <w:semiHidden/>
    <w:rsid w:val="00B44648"/>
    <w:rPr>
      <w:sz w:val="20"/>
      <w:szCs w:val="20"/>
    </w:rPr>
  </w:style>
  <w:style w:type="paragraph" w:styleId="CommentSubject">
    <w:name w:val="annotation subject"/>
    <w:basedOn w:val="CommentText"/>
    <w:next w:val="CommentText"/>
    <w:link w:val="CommentSubjectChar"/>
    <w:uiPriority w:val="99"/>
    <w:semiHidden/>
    <w:unhideWhenUsed/>
    <w:rsid w:val="00B44648"/>
    <w:rPr>
      <w:b/>
      <w:bCs/>
    </w:rPr>
  </w:style>
  <w:style w:type="character" w:customStyle="1" w:styleId="CommentSubjectChar">
    <w:name w:val="Comment Subject Char"/>
    <w:basedOn w:val="CommentTextChar"/>
    <w:link w:val="CommentSubject"/>
    <w:uiPriority w:val="99"/>
    <w:semiHidden/>
    <w:rsid w:val="00B44648"/>
    <w:rPr>
      <w:b/>
      <w:bCs/>
      <w:sz w:val="20"/>
      <w:szCs w:val="20"/>
    </w:rPr>
  </w:style>
  <w:style w:type="paragraph" w:styleId="BalloonText">
    <w:name w:val="Balloon Text"/>
    <w:basedOn w:val="Normal"/>
    <w:link w:val="BalloonTextChar"/>
    <w:uiPriority w:val="99"/>
    <w:semiHidden/>
    <w:unhideWhenUsed/>
    <w:rsid w:val="00B44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648"/>
    <w:rPr>
      <w:rFonts w:ascii="Segoe UI" w:hAnsi="Segoe UI" w:cs="Segoe UI"/>
      <w:sz w:val="18"/>
      <w:szCs w:val="18"/>
    </w:rPr>
  </w:style>
  <w:style w:type="character" w:styleId="Strong">
    <w:name w:val="Strong"/>
    <w:basedOn w:val="DefaultParagraphFont"/>
    <w:uiPriority w:val="22"/>
    <w:qFormat/>
    <w:rsid w:val="00865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829">
      <w:bodyDiv w:val="1"/>
      <w:marLeft w:val="0"/>
      <w:marRight w:val="0"/>
      <w:marTop w:val="0"/>
      <w:marBottom w:val="0"/>
      <w:divBdr>
        <w:top w:val="none" w:sz="0" w:space="0" w:color="auto"/>
        <w:left w:val="none" w:sz="0" w:space="0" w:color="auto"/>
        <w:bottom w:val="none" w:sz="0" w:space="0" w:color="auto"/>
        <w:right w:val="none" w:sz="0" w:space="0" w:color="auto"/>
      </w:divBdr>
    </w:div>
    <w:div w:id="191114878">
      <w:bodyDiv w:val="1"/>
      <w:marLeft w:val="0"/>
      <w:marRight w:val="0"/>
      <w:marTop w:val="0"/>
      <w:marBottom w:val="0"/>
      <w:divBdr>
        <w:top w:val="none" w:sz="0" w:space="0" w:color="auto"/>
        <w:left w:val="none" w:sz="0" w:space="0" w:color="auto"/>
        <w:bottom w:val="none" w:sz="0" w:space="0" w:color="auto"/>
        <w:right w:val="none" w:sz="0" w:space="0" w:color="auto"/>
      </w:divBdr>
    </w:div>
    <w:div w:id="224729003">
      <w:bodyDiv w:val="1"/>
      <w:marLeft w:val="0"/>
      <w:marRight w:val="0"/>
      <w:marTop w:val="0"/>
      <w:marBottom w:val="0"/>
      <w:divBdr>
        <w:top w:val="none" w:sz="0" w:space="0" w:color="auto"/>
        <w:left w:val="none" w:sz="0" w:space="0" w:color="auto"/>
        <w:bottom w:val="none" w:sz="0" w:space="0" w:color="auto"/>
        <w:right w:val="none" w:sz="0" w:space="0" w:color="auto"/>
      </w:divBdr>
    </w:div>
    <w:div w:id="254438181">
      <w:bodyDiv w:val="1"/>
      <w:marLeft w:val="0"/>
      <w:marRight w:val="0"/>
      <w:marTop w:val="0"/>
      <w:marBottom w:val="0"/>
      <w:divBdr>
        <w:top w:val="none" w:sz="0" w:space="0" w:color="auto"/>
        <w:left w:val="none" w:sz="0" w:space="0" w:color="auto"/>
        <w:bottom w:val="none" w:sz="0" w:space="0" w:color="auto"/>
        <w:right w:val="none" w:sz="0" w:space="0" w:color="auto"/>
      </w:divBdr>
    </w:div>
    <w:div w:id="304550170">
      <w:bodyDiv w:val="1"/>
      <w:marLeft w:val="0"/>
      <w:marRight w:val="0"/>
      <w:marTop w:val="0"/>
      <w:marBottom w:val="0"/>
      <w:divBdr>
        <w:top w:val="none" w:sz="0" w:space="0" w:color="auto"/>
        <w:left w:val="none" w:sz="0" w:space="0" w:color="auto"/>
        <w:bottom w:val="none" w:sz="0" w:space="0" w:color="auto"/>
        <w:right w:val="none" w:sz="0" w:space="0" w:color="auto"/>
      </w:divBdr>
    </w:div>
    <w:div w:id="846672585">
      <w:bodyDiv w:val="1"/>
      <w:marLeft w:val="0"/>
      <w:marRight w:val="0"/>
      <w:marTop w:val="0"/>
      <w:marBottom w:val="0"/>
      <w:divBdr>
        <w:top w:val="none" w:sz="0" w:space="0" w:color="auto"/>
        <w:left w:val="none" w:sz="0" w:space="0" w:color="auto"/>
        <w:bottom w:val="none" w:sz="0" w:space="0" w:color="auto"/>
        <w:right w:val="none" w:sz="0" w:space="0" w:color="auto"/>
      </w:divBdr>
    </w:div>
    <w:div w:id="902374321">
      <w:bodyDiv w:val="1"/>
      <w:marLeft w:val="0"/>
      <w:marRight w:val="0"/>
      <w:marTop w:val="0"/>
      <w:marBottom w:val="0"/>
      <w:divBdr>
        <w:top w:val="none" w:sz="0" w:space="0" w:color="auto"/>
        <w:left w:val="none" w:sz="0" w:space="0" w:color="auto"/>
        <w:bottom w:val="none" w:sz="0" w:space="0" w:color="auto"/>
        <w:right w:val="none" w:sz="0" w:space="0" w:color="auto"/>
      </w:divBdr>
    </w:div>
    <w:div w:id="953680335">
      <w:bodyDiv w:val="1"/>
      <w:marLeft w:val="0"/>
      <w:marRight w:val="0"/>
      <w:marTop w:val="0"/>
      <w:marBottom w:val="0"/>
      <w:divBdr>
        <w:top w:val="none" w:sz="0" w:space="0" w:color="auto"/>
        <w:left w:val="none" w:sz="0" w:space="0" w:color="auto"/>
        <w:bottom w:val="none" w:sz="0" w:space="0" w:color="auto"/>
        <w:right w:val="none" w:sz="0" w:space="0" w:color="auto"/>
      </w:divBdr>
    </w:div>
    <w:div w:id="1227373056">
      <w:bodyDiv w:val="1"/>
      <w:marLeft w:val="0"/>
      <w:marRight w:val="0"/>
      <w:marTop w:val="0"/>
      <w:marBottom w:val="0"/>
      <w:divBdr>
        <w:top w:val="none" w:sz="0" w:space="0" w:color="auto"/>
        <w:left w:val="none" w:sz="0" w:space="0" w:color="auto"/>
        <w:bottom w:val="none" w:sz="0" w:space="0" w:color="auto"/>
        <w:right w:val="none" w:sz="0" w:space="0" w:color="auto"/>
      </w:divBdr>
    </w:div>
    <w:div w:id="1545286645">
      <w:bodyDiv w:val="1"/>
      <w:marLeft w:val="0"/>
      <w:marRight w:val="0"/>
      <w:marTop w:val="0"/>
      <w:marBottom w:val="0"/>
      <w:divBdr>
        <w:top w:val="none" w:sz="0" w:space="0" w:color="auto"/>
        <w:left w:val="none" w:sz="0" w:space="0" w:color="auto"/>
        <w:bottom w:val="none" w:sz="0" w:space="0" w:color="auto"/>
        <w:right w:val="none" w:sz="0" w:space="0" w:color="auto"/>
      </w:divBdr>
    </w:div>
    <w:div w:id="1941374943">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6EDC-A548-4189-BC89-D6B2AC6F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16767</TotalTime>
  <Pages>20</Pages>
  <Words>29109</Words>
  <Characters>165924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Suganthi R</dc:creator>
  <cp:keywords/>
  <dc:description/>
  <cp:lastModifiedBy>ABC</cp:lastModifiedBy>
  <cp:revision>822</cp:revision>
  <dcterms:created xsi:type="dcterms:W3CDTF">2023-10-29T15:11:00Z</dcterms:created>
  <dcterms:modified xsi:type="dcterms:W3CDTF">2025-05-12T04:37:00Z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id="nvmFC6K0"/&gt;&lt;style id="http://www.zotero.org/styles/vancouver-superscript-brackets-only-year" locale="en-US" hasBibliography="1" bibliographyStyleHasBeenSet="1"/&gt;&lt;prefs&gt;&lt;pref name="fieldType" valu</vt:lpwstr>
  </property>
  <property fmtid="{D5CDD505-2E9C-101B-9397-08002B2CF9AE}" pid="3" name="ZOTERO_PREF_2">
    <vt:lpwstr>e="Field"/&gt;&lt;pref name="automaticJournalAbbreviations" value="true"/&gt;&lt;pref name="dontAskDelayCitationUpdates" value="true"/&gt;&lt;/prefs&gt;&lt;/data&gt;</vt:lpwstr>
  </property>
</Properties>
</file>