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92A6A" w:rsidRPr="00BA5D0C" w:rsidRDefault="00992A6A">
      <w:pPr>
        <w:spacing w:before="103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3"/>
      </w:tblGrid>
      <w:tr w:rsidR="00FB12AE" w:rsidRPr="00BA5D0C" w:rsidTr="00B65BA5">
        <w:trPr>
          <w:trHeight w:val="290"/>
        </w:trPr>
        <w:tc>
          <w:tcPr>
            <w:tcW w:w="5166" w:type="dxa"/>
          </w:tcPr>
          <w:p w:rsidR="00FB12AE" w:rsidRPr="00BA5D0C" w:rsidRDefault="00FB12AE" w:rsidP="00FB12AE">
            <w:pPr>
              <w:pStyle w:val="TableParagraph"/>
              <w:spacing w:before="2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BA5D0C">
              <w:rPr>
                <w:rFonts w:ascii="Arial" w:hAnsi="Arial" w:cs="Arial"/>
                <w:sz w:val="20"/>
                <w:szCs w:val="20"/>
              </w:rPr>
              <w:t>Journal</w:t>
            </w:r>
            <w:r w:rsidRPr="00BA5D0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3" w:type="dxa"/>
            <w:vAlign w:val="center"/>
          </w:tcPr>
          <w:p w:rsidR="00FB12AE" w:rsidRPr="00BA5D0C" w:rsidRDefault="00FB12AE" w:rsidP="00FB12AE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7" w:history="1">
              <w:r w:rsidRPr="00BA5D0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Case Reports in Medicine and Health</w:t>
              </w:r>
            </w:hyperlink>
            <w:r w:rsidRPr="00BA5D0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FB12AE" w:rsidRPr="00BA5D0C">
        <w:trPr>
          <w:trHeight w:val="290"/>
        </w:trPr>
        <w:tc>
          <w:tcPr>
            <w:tcW w:w="5166" w:type="dxa"/>
          </w:tcPr>
          <w:p w:rsidR="00FB12AE" w:rsidRPr="00BA5D0C" w:rsidRDefault="00FB12AE" w:rsidP="00FB12AE">
            <w:pPr>
              <w:pStyle w:val="TableParagraph"/>
              <w:spacing w:before="3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BA5D0C">
              <w:rPr>
                <w:rFonts w:ascii="Arial" w:hAnsi="Arial" w:cs="Arial"/>
                <w:sz w:val="20"/>
                <w:szCs w:val="20"/>
              </w:rPr>
              <w:t>Manuscript</w:t>
            </w:r>
            <w:r w:rsidRPr="00BA5D0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3" w:type="dxa"/>
          </w:tcPr>
          <w:p w:rsidR="00FB12AE" w:rsidRPr="00BA5D0C" w:rsidRDefault="00FB12AE" w:rsidP="00FB12AE">
            <w:pPr>
              <w:pStyle w:val="TableParagraph"/>
              <w:spacing w:before="33"/>
              <w:rPr>
                <w:rFonts w:ascii="Arial" w:hAnsi="Arial" w:cs="Arial"/>
                <w:b/>
                <w:sz w:val="20"/>
                <w:szCs w:val="20"/>
              </w:rPr>
            </w:pPr>
            <w:r w:rsidRPr="00BA5D0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Ms_AJCRMH_135597</w:t>
            </w:r>
          </w:p>
        </w:tc>
      </w:tr>
      <w:tr w:rsidR="00FB12AE" w:rsidRPr="00BA5D0C">
        <w:trPr>
          <w:trHeight w:val="650"/>
        </w:trPr>
        <w:tc>
          <w:tcPr>
            <w:tcW w:w="5166" w:type="dxa"/>
          </w:tcPr>
          <w:p w:rsidR="00FB12AE" w:rsidRPr="00BA5D0C" w:rsidRDefault="00FB12AE" w:rsidP="00FB12AE">
            <w:pPr>
              <w:pStyle w:val="TableParagraph"/>
              <w:spacing w:before="2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BA5D0C">
              <w:rPr>
                <w:rFonts w:ascii="Arial" w:hAnsi="Arial" w:cs="Arial"/>
                <w:sz w:val="20"/>
                <w:szCs w:val="20"/>
              </w:rPr>
              <w:t>Title</w:t>
            </w:r>
            <w:r w:rsidRPr="00BA5D0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of</w:t>
            </w:r>
            <w:r w:rsidRPr="00BA5D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the</w:t>
            </w:r>
            <w:r w:rsidRPr="00BA5D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3" w:type="dxa"/>
          </w:tcPr>
          <w:p w:rsidR="00FB12AE" w:rsidRPr="00BA5D0C" w:rsidRDefault="00FB12AE" w:rsidP="00FB12AE">
            <w:pPr>
              <w:pStyle w:val="TableParagraph"/>
              <w:spacing w:before="212"/>
              <w:rPr>
                <w:rFonts w:ascii="Arial" w:hAnsi="Arial" w:cs="Arial"/>
                <w:b/>
                <w:sz w:val="20"/>
                <w:szCs w:val="20"/>
              </w:rPr>
            </w:pPr>
            <w:r w:rsidRPr="00BA5D0C">
              <w:rPr>
                <w:rFonts w:ascii="Arial" w:hAnsi="Arial" w:cs="Arial"/>
                <w:b/>
                <w:sz w:val="20"/>
                <w:szCs w:val="20"/>
              </w:rPr>
              <w:t>"FROM</w:t>
            </w:r>
            <w:r w:rsidRPr="00BA5D0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b/>
                <w:sz w:val="20"/>
                <w:szCs w:val="20"/>
              </w:rPr>
              <w:t>CONFUSION</w:t>
            </w:r>
            <w:r w:rsidRPr="00BA5D0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BA5D0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b/>
                <w:sz w:val="20"/>
                <w:szCs w:val="20"/>
              </w:rPr>
              <w:t>CLARITY</w:t>
            </w:r>
            <w:proofErr w:type="gramStart"/>
            <w:r w:rsidRPr="00BA5D0C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Pr="00BA5D0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b/>
                <w:sz w:val="20"/>
                <w:szCs w:val="20"/>
              </w:rPr>
              <w:t>:</w:t>
            </w:r>
            <w:proofErr w:type="gramEnd"/>
            <w:r w:rsidRPr="00BA5D0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b/>
                <w:sz w:val="20"/>
                <w:szCs w:val="20"/>
              </w:rPr>
              <w:t>MANAGEMENT</w:t>
            </w:r>
            <w:r w:rsidRPr="00BA5D0C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A5D0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b/>
                <w:sz w:val="20"/>
                <w:szCs w:val="20"/>
              </w:rPr>
              <w:t>RARE</w:t>
            </w:r>
            <w:r w:rsidRPr="00BA5D0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BA5D0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BA5D0C">
              <w:rPr>
                <w:rFonts w:ascii="Arial" w:hAnsi="Arial" w:cs="Arial"/>
                <w:b/>
                <w:sz w:val="20"/>
                <w:szCs w:val="20"/>
              </w:rPr>
              <w:t>ELUSIVE</w:t>
            </w:r>
            <w:r w:rsidRPr="00BA5D0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b/>
                <w:sz w:val="20"/>
                <w:szCs w:val="20"/>
              </w:rPr>
              <w:t>,</w:t>
            </w:r>
            <w:proofErr w:type="gramEnd"/>
            <w:r w:rsidRPr="00BA5D0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b/>
                <w:sz w:val="20"/>
                <w:szCs w:val="20"/>
              </w:rPr>
              <w:t>KIKUCHI-FUJIMOTO</w:t>
            </w:r>
            <w:r w:rsidRPr="00BA5D0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DISEASE</w:t>
            </w:r>
          </w:p>
        </w:tc>
      </w:tr>
      <w:tr w:rsidR="00FB12AE" w:rsidRPr="00BA5D0C">
        <w:trPr>
          <w:trHeight w:val="330"/>
        </w:trPr>
        <w:tc>
          <w:tcPr>
            <w:tcW w:w="5166" w:type="dxa"/>
          </w:tcPr>
          <w:p w:rsidR="00FB12AE" w:rsidRPr="00BA5D0C" w:rsidRDefault="00FB12AE" w:rsidP="00FB12AE">
            <w:pPr>
              <w:pStyle w:val="TableParagraph"/>
              <w:spacing w:before="2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BA5D0C">
              <w:rPr>
                <w:rFonts w:ascii="Arial" w:hAnsi="Arial" w:cs="Arial"/>
                <w:sz w:val="20"/>
                <w:szCs w:val="20"/>
              </w:rPr>
              <w:t>Type</w:t>
            </w:r>
            <w:r w:rsidRPr="00BA5D0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of</w:t>
            </w:r>
            <w:r w:rsidRPr="00BA5D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the</w:t>
            </w:r>
            <w:r w:rsidRPr="00BA5D0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3" w:type="dxa"/>
          </w:tcPr>
          <w:p w:rsidR="00FB12AE" w:rsidRPr="00BA5D0C" w:rsidRDefault="00FB12AE" w:rsidP="00FB12AE">
            <w:pPr>
              <w:pStyle w:val="TableParagraph"/>
              <w:spacing w:before="52"/>
              <w:rPr>
                <w:rFonts w:ascii="Arial" w:hAnsi="Arial" w:cs="Arial"/>
                <w:b/>
                <w:sz w:val="20"/>
                <w:szCs w:val="20"/>
              </w:rPr>
            </w:pPr>
            <w:r w:rsidRPr="00BA5D0C">
              <w:rPr>
                <w:rFonts w:ascii="Arial" w:hAnsi="Arial" w:cs="Arial"/>
                <w:b/>
                <w:sz w:val="20"/>
                <w:szCs w:val="20"/>
              </w:rPr>
              <w:t>Case</w:t>
            </w:r>
            <w:r w:rsidRPr="00BA5D0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b/>
                <w:spacing w:val="-2"/>
                <w:sz w:val="20"/>
                <w:szCs w:val="20"/>
              </w:rPr>
              <w:t>report</w:t>
            </w:r>
          </w:p>
        </w:tc>
      </w:tr>
    </w:tbl>
    <w:p w:rsidR="00992A6A" w:rsidRPr="00BA5D0C" w:rsidRDefault="00992A6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6"/>
        <w:gridCol w:w="9267"/>
        <w:gridCol w:w="6376"/>
      </w:tblGrid>
      <w:tr w:rsidR="00992A6A" w:rsidRPr="00BA5D0C">
        <w:trPr>
          <w:trHeight w:val="453"/>
        </w:trPr>
        <w:tc>
          <w:tcPr>
            <w:tcW w:w="20939" w:type="dxa"/>
            <w:gridSpan w:val="3"/>
            <w:tcBorders>
              <w:top w:val="nil"/>
              <w:left w:val="nil"/>
              <w:right w:val="nil"/>
            </w:tcBorders>
          </w:tcPr>
          <w:p w:rsidR="00992A6A" w:rsidRPr="00BA5D0C" w:rsidRDefault="007E74C2">
            <w:pPr>
              <w:pStyle w:val="TableParagraph"/>
              <w:spacing w:line="221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BA5D0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BA5D0C">
              <w:rPr>
                <w:rFonts w:ascii="Arial" w:hAnsi="Arial" w:cs="Arial"/>
                <w:b/>
                <w:color w:val="000000"/>
                <w:spacing w:val="48"/>
                <w:sz w:val="20"/>
                <w:szCs w:val="20"/>
                <w:highlight w:val="yellow"/>
              </w:rPr>
              <w:t xml:space="preserve"> </w:t>
            </w:r>
            <w:r w:rsidRPr="00BA5D0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BA5D0C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 xml:space="preserve"> Comments</w:t>
            </w:r>
          </w:p>
        </w:tc>
      </w:tr>
      <w:tr w:rsidR="00992A6A" w:rsidRPr="00BA5D0C">
        <w:trPr>
          <w:trHeight w:val="970"/>
        </w:trPr>
        <w:tc>
          <w:tcPr>
            <w:tcW w:w="5296" w:type="dxa"/>
          </w:tcPr>
          <w:p w:rsidR="00992A6A" w:rsidRPr="00BA5D0C" w:rsidRDefault="00992A6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7" w:type="dxa"/>
          </w:tcPr>
          <w:p w:rsidR="00992A6A" w:rsidRPr="00BA5D0C" w:rsidRDefault="007E74C2">
            <w:pPr>
              <w:pStyle w:val="TableParagraph"/>
              <w:spacing w:line="228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BA5D0C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BA5D0C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992A6A" w:rsidRPr="00BA5D0C" w:rsidRDefault="007E74C2">
            <w:pPr>
              <w:pStyle w:val="TableParagraph"/>
              <w:ind w:left="109" w:right="72"/>
              <w:rPr>
                <w:rFonts w:ascii="Arial" w:hAnsi="Arial" w:cs="Arial"/>
                <w:b/>
                <w:sz w:val="20"/>
                <w:szCs w:val="20"/>
              </w:rPr>
            </w:pPr>
            <w:r w:rsidRPr="00BA5D0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BA5D0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BA5D0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BA5D0C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BA5D0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BA5D0C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BA5D0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BA5D0C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BA5D0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BA5D0C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BA5D0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BA5D0C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BA5D0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BA5D0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BA5D0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BA5D0C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BA5D0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BA5D0C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BA5D0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BA5D0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BA5D0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BA5D0C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BA5D0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 peer</w:t>
            </w:r>
            <w:r w:rsidRPr="00BA5D0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376" w:type="dxa"/>
          </w:tcPr>
          <w:p w:rsidR="00992A6A" w:rsidRPr="00BA5D0C" w:rsidRDefault="007E74C2">
            <w:pPr>
              <w:pStyle w:val="TableParagraph"/>
              <w:spacing w:line="256" w:lineRule="auto"/>
              <w:ind w:left="105" w:right="669"/>
              <w:rPr>
                <w:rFonts w:ascii="Arial" w:hAnsi="Arial" w:cs="Arial"/>
                <w:sz w:val="20"/>
                <w:szCs w:val="20"/>
              </w:rPr>
            </w:pPr>
            <w:r w:rsidRPr="00BA5D0C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BA5D0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BA5D0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(It</w:t>
            </w:r>
            <w:r w:rsidRPr="00BA5D0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is</w:t>
            </w:r>
            <w:r w:rsidRPr="00BA5D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mandatory</w:t>
            </w:r>
            <w:r w:rsidRPr="00BA5D0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that</w:t>
            </w:r>
            <w:r w:rsidRPr="00BA5D0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authors</w:t>
            </w:r>
            <w:r w:rsidRPr="00BA5D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should</w:t>
            </w:r>
            <w:r w:rsidRPr="00BA5D0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write</w:t>
            </w:r>
            <w:r w:rsidRPr="00BA5D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992A6A" w:rsidRPr="00BA5D0C">
        <w:trPr>
          <w:trHeight w:val="1260"/>
        </w:trPr>
        <w:tc>
          <w:tcPr>
            <w:tcW w:w="5296" w:type="dxa"/>
          </w:tcPr>
          <w:p w:rsidR="00992A6A" w:rsidRPr="00BA5D0C" w:rsidRDefault="007E74C2">
            <w:pPr>
              <w:pStyle w:val="TableParagraph"/>
              <w:ind w:left="470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BA5D0C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A5D0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BA5D0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A5D0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BA5D0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BA5D0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BA5D0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A5D0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BA5D0C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267" w:type="dxa"/>
          </w:tcPr>
          <w:p w:rsidR="00992A6A" w:rsidRPr="00BA5D0C" w:rsidRDefault="007E74C2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BA5D0C">
              <w:rPr>
                <w:rFonts w:ascii="Arial" w:hAnsi="Arial" w:cs="Arial"/>
                <w:sz w:val="20"/>
                <w:szCs w:val="20"/>
              </w:rPr>
              <w:t>The report holds educational value, particularly in highlighting a non-</w:t>
            </w:r>
            <w:proofErr w:type="spellStart"/>
            <w:r w:rsidRPr="00BA5D0C">
              <w:rPr>
                <w:rFonts w:ascii="Arial" w:hAnsi="Arial" w:cs="Arial"/>
                <w:sz w:val="20"/>
                <w:szCs w:val="20"/>
              </w:rPr>
              <w:t>ondontogenic</w:t>
            </w:r>
            <w:proofErr w:type="spellEnd"/>
            <w:r w:rsidRPr="00BA5D0C">
              <w:rPr>
                <w:rFonts w:ascii="Arial" w:hAnsi="Arial" w:cs="Arial"/>
                <w:sz w:val="20"/>
                <w:szCs w:val="20"/>
              </w:rPr>
              <w:t xml:space="preserve"> cause of cervical lymphadenopathy</w:t>
            </w:r>
            <w:r w:rsidRPr="00BA5D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that</w:t>
            </w:r>
            <w:r w:rsidRPr="00BA5D0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may</w:t>
            </w:r>
            <w:r w:rsidRPr="00BA5D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mimic</w:t>
            </w:r>
            <w:r w:rsidRPr="00BA5D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odontogenic</w:t>
            </w:r>
            <w:r w:rsidRPr="00BA5D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infections,</w:t>
            </w:r>
            <w:r w:rsidRPr="00BA5D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and</w:t>
            </w:r>
            <w:r w:rsidRPr="00BA5D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in</w:t>
            </w:r>
            <w:r w:rsidRPr="00BA5D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reinforcing</w:t>
            </w:r>
            <w:r w:rsidRPr="00BA5D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the</w:t>
            </w:r>
            <w:r w:rsidRPr="00BA5D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importance</w:t>
            </w:r>
            <w:r w:rsidRPr="00BA5D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of</w:t>
            </w:r>
            <w:r w:rsidRPr="00BA5D0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A5D0C">
              <w:rPr>
                <w:rFonts w:ascii="Arial" w:hAnsi="Arial" w:cs="Arial"/>
                <w:sz w:val="20"/>
                <w:szCs w:val="20"/>
              </w:rPr>
              <w:t>histopatgological</w:t>
            </w:r>
            <w:proofErr w:type="spellEnd"/>
            <w:r w:rsidRPr="00BA5D0C">
              <w:rPr>
                <w:rFonts w:ascii="Arial" w:hAnsi="Arial" w:cs="Arial"/>
                <w:sz w:val="20"/>
                <w:szCs w:val="20"/>
              </w:rPr>
              <w:t xml:space="preserve"> evaluation in such scenarios.</w:t>
            </w:r>
          </w:p>
        </w:tc>
        <w:tc>
          <w:tcPr>
            <w:tcW w:w="6376" w:type="dxa"/>
          </w:tcPr>
          <w:p w:rsidR="00992A6A" w:rsidRPr="00BA5D0C" w:rsidRDefault="00992A6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A6A" w:rsidRPr="00BA5D0C">
        <w:trPr>
          <w:trHeight w:val="1265"/>
        </w:trPr>
        <w:tc>
          <w:tcPr>
            <w:tcW w:w="5296" w:type="dxa"/>
          </w:tcPr>
          <w:p w:rsidR="00992A6A" w:rsidRPr="00BA5D0C" w:rsidRDefault="007E74C2">
            <w:pPr>
              <w:pStyle w:val="TableParagraph"/>
              <w:spacing w:line="228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BA5D0C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A5D0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A5D0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BA5D0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b/>
                <w:sz w:val="20"/>
                <w:szCs w:val="20"/>
              </w:rPr>
              <w:t>of the</w:t>
            </w:r>
            <w:r w:rsidRPr="00BA5D0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BA5D0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992A6A" w:rsidRPr="00BA5D0C" w:rsidRDefault="007E74C2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BA5D0C">
              <w:rPr>
                <w:rFonts w:ascii="Arial" w:hAnsi="Arial" w:cs="Arial"/>
                <w:b/>
                <w:sz w:val="20"/>
                <w:szCs w:val="20"/>
              </w:rPr>
              <w:t>(If not</w:t>
            </w:r>
            <w:r w:rsidRPr="00BA5D0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A5D0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BA5D0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BA5D0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BA5D0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267" w:type="dxa"/>
          </w:tcPr>
          <w:p w:rsidR="00992A6A" w:rsidRPr="00BA5D0C" w:rsidRDefault="007E74C2">
            <w:pPr>
              <w:pStyle w:val="TableParagraph"/>
              <w:spacing w:line="228" w:lineRule="exact"/>
              <w:ind w:left="0" w:right="84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D0C">
              <w:rPr>
                <w:rFonts w:ascii="Arial" w:hAnsi="Arial" w:cs="Arial"/>
                <w:spacing w:val="-4"/>
                <w:sz w:val="20"/>
                <w:szCs w:val="20"/>
              </w:rPr>
              <w:t>Yes.</w:t>
            </w:r>
          </w:p>
        </w:tc>
        <w:tc>
          <w:tcPr>
            <w:tcW w:w="6376" w:type="dxa"/>
          </w:tcPr>
          <w:p w:rsidR="00992A6A" w:rsidRPr="00BA5D0C" w:rsidRDefault="00992A6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A6A" w:rsidRPr="00BA5D0C">
        <w:trPr>
          <w:trHeight w:val="1260"/>
        </w:trPr>
        <w:tc>
          <w:tcPr>
            <w:tcW w:w="5296" w:type="dxa"/>
          </w:tcPr>
          <w:p w:rsidR="00992A6A" w:rsidRPr="00BA5D0C" w:rsidRDefault="007E74C2">
            <w:pPr>
              <w:pStyle w:val="TableParagraph"/>
              <w:ind w:left="470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BA5D0C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BA5D0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A5D0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BA5D0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BA5D0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BA5D0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A5D0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BA5D0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BA5D0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A5D0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267" w:type="dxa"/>
          </w:tcPr>
          <w:p w:rsidR="00992A6A" w:rsidRPr="00BA5D0C" w:rsidRDefault="007E74C2">
            <w:pPr>
              <w:pStyle w:val="TableParagraph"/>
              <w:spacing w:line="229" w:lineRule="exact"/>
              <w:ind w:left="0" w:right="84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D0C">
              <w:rPr>
                <w:rFonts w:ascii="Arial" w:hAnsi="Arial" w:cs="Arial"/>
                <w:spacing w:val="-4"/>
                <w:sz w:val="20"/>
                <w:szCs w:val="20"/>
              </w:rPr>
              <w:t>Yes.</w:t>
            </w:r>
          </w:p>
        </w:tc>
        <w:tc>
          <w:tcPr>
            <w:tcW w:w="6376" w:type="dxa"/>
          </w:tcPr>
          <w:p w:rsidR="00992A6A" w:rsidRPr="00BA5D0C" w:rsidRDefault="00992A6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A6A" w:rsidRPr="00BA5D0C">
        <w:trPr>
          <w:trHeight w:val="705"/>
        </w:trPr>
        <w:tc>
          <w:tcPr>
            <w:tcW w:w="5296" w:type="dxa"/>
          </w:tcPr>
          <w:p w:rsidR="00992A6A" w:rsidRPr="00BA5D0C" w:rsidRDefault="007E74C2">
            <w:pPr>
              <w:pStyle w:val="TableParagraph"/>
              <w:ind w:left="470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BA5D0C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A5D0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A5D0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BA5D0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BA5D0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BA5D0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A5D0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BA5D0C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267" w:type="dxa"/>
          </w:tcPr>
          <w:p w:rsidR="00992A6A" w:rsidRPr="00BA5D0C" w:rsidRDefault="007E74C2">
            <w:pPr>
              <w:pStyle w:val="TableParagraph"/>
              <w:spacing w:line="228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BA5D0C">
              <w:rPr>
                <w:rFonts w:ascii="Arial" w:hAnsi="Arial" w:cs="Arial"/>
                <w:spacing w:val="-4"/>
                <w:sz w:val="20"/>
                <w:szCs w:val="20"/>
              </w:rPr>
              <w:t>Yes.</w:t>
            </w:r>
          </w:p>
        </w:tc>
        <w:tc>
          <w:tcPr>
            <w:tcW w:w="6376" w:type="dxa"/>
          </w:tcPr>
          <w:p w:rsidR="00992A6A" w:rsidRPr="00BA5D0C" w:rsidRDefault="00992A6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A6A" w:rsidRPr="00BA5D0C">
        <w:trPr>
          <w:trHeight w:val="705"/>
        </w:trPr>
        <w:tc>
          <w:tcPr>
            <w:tcW w:w="5296" w:type="dxa"/>
          </w:tcPr>
          <w:p w:rsidR="00992A6A" w:rsidRPr="00BA5D0C" w:rsidRDefault="007E74C2">
            <w:pPr>
              <w:pStyle w:val="TableParagraph"/>
              <w:spacing w:line="230" w:lineRule="exact"/>
              <w:ind w:left="470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BA5D0C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BA5D0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A5D0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BA5D0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BA5D0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BA5D0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BA5D0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BA5D0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BA5D0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267" w:type="dxa"/>
          </w:tcPr>
          <w:p w:rsidR="00992A6A" w:rsidRPr="00BA5D0C" w:rsidRDefault="007E74C2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BA5D0C">
              <w:rPr>
                <w:rFonts w:ascii="Arial" w:hAnsi="Arial" w:cs="Arial"/>
                <w:sz w:val="20"/>
                <w:szCs w:val="20"/>
              </w:rPr>
              <w:t>Yes.</w:t>
            </w:r>
            <w:r w:rsidRPr="00BA5D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It</w:t>
            </w:r>
            <w:r w:rsidRPr="00BA5D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would</w:t>
            </w:r>
            <w:r w:rsidRPr="00BA5D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be</w:t>
            </w:r>
            <w:r w:rsidRPr="00BA5D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useful</w:t>
            </w:r>
            <w:r w:rsidRPr="00BA5D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to</w:t>
            </w:r>
            <w:r w:rsidRPr="00BA5D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incorporate</w:t>
            </w:r>
            <w:r w:rsidRPr="00BA5D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discussing</w:t>
            </w:r>
            <w:r w:rsidRPr="00BA5D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viral</w:t>
            </w:r>
            <w:r w:rsidRPr="00BA5D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triggers</w:t>
            </w:r>
            <w:r w:rsidRPr="00BA5D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in</w:t>
            </w:r>
            <w:r w:rsidRPr="00BA5D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Kikuchi-Fujimoto</w:t>
            </w:r>
            <w:r w:rsidRPr="00BA5D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disease</w:t>
            </w:r>
            <w:r w:rsidRPr="00BA5D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to</w:t>
            </w:r>
            <w:r w:rsidRPr="00BA5D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support</w:t>
            </w:r>
            <w:r w:rsidRPr="00BA5D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the ethnological discussion.</w:t>
            </w:r>
          </w:p>
        </w:tc>
        <w:tc>
          <w:tcPr>
            <w:tcW w:w="6376" w:type="dxa"/>
          </w:tcPr>
          <w:p w:rsidR="00992A6A" w:rsidRPr="00BA5D0C" w:rsidRDefault="00992A6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A6A" w:rsidRPr="00BA5D0C">
        <w:trPr>
          <w:trHeight w:val="2666"/>
        </w:trPr>
        <w:tc>
          <w:tcPr>
            <w:tcW w:w="5296" w:type="dxa"/>
          </w:tcPr>
          <w:p w:rsidR="00992A6A" w:rsidRPr="00BA5D0C" w:rsidRDefault="007E74C2">
            <w:pPr>
              <w:pStyle w:val="TableParagraph"/>
              <w:ind w:left="470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BA5D0C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A5D0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A5D0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BA5D0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BA5D0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A5D0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A5D0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BA5D0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267" w:type="dxa"/>
          </w:tcPr>
          <w:p w:rsidR="00992A6A" w:rsidRPr="00BA5D0C" w:rsidRDefault="007E74C2">
            <w:pPr>
              <w:pStyle w:val="TableParagraph"/>
              <w:spacing w:line="228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BA5D0C">
              <w:rPr>
                <w:rFonts w:ascii="Arial" w:hAnsi="Arial" w:cs="Arial"/>
                <w:sz w:val="20"/>
                <w:szCs w:val="20"/>
              </w:rPr>
              <w:t>I</w:t>
            </w:r>
            <w:r w:rsidRPr="00BA5D0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recommend</w:t>
            </w:r>
            <w:r w:rsidRPr="00BA5D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addressing</w:t>
            </w:r>
            <w:r w:rsidRPr="00BA5D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the</w:t>
            </w:r>
            <w:r w:rsidRPr="00BA5D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following</w:t>
            </w:r>
            <w:r w:rsidRPr="00BA5D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points to</w:t>
            </w:r>
            <w:r w:rsidRPr="00BA5D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align</w:t>
            </w:r>
            <w:r w:rsidRPr="00BA5D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the quality</w:t>
            </w:r>
            <w:r w:rsidRPr="00BA5D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of</w:t>
            </w:r>
            <w:r w:rsidRPr="00BA5D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the</w:t>
            </w:r>
            <w:r w:rsidRPr="00BA5D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article</w:t>
            </w:r>
            <w:r w:rsidRPr="00BA5D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with</w:t>
            </w:r>
            <w:r w:rsidRPr="00BA5D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academic</w:t>
            </w:r>
            <w:r w:rsidRPr="00BA5D0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pacing w:val="-2"/>
                <w:sz w:val="20"/>
                <w:szCs w:val="20"/>
              </w:rPr>
              <w:t>standards:</w:t>
            </w:r>
          </w:p>
          <w:p w:rsidR="00992A6A" w:rsidRPr="00BA5D0C" w:rsidRDefault="007E74C2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190"/>
              <w:rPr>
                <w:rFonts w:ascii="Arial" w:hAnsi="Arial" w:cs="Arial"/>
                <w:sz w:val="20"/>
                <w:szCs w:val="20"/>
              </w:rPr>
            </w:pPr>
            <w:r w:rsidRPr="00BA5D0C">
              <w:rPr>
                <w:rFonts w:ascii="Arial" w:hAnsi="Arial" w:cs="Arial"/>
                <w:sz w:val="20"/>
                <w:szCs w:val="20"/>
              </w:rPr>
              <w:t>capitalize</w:t>
            </w:r>
            <w:r w:rsidRPr="00BA5D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all</w:t>
            </w:r>
            <w:r w:rsidRPr="00BA5D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section</w:t>
            </w:r>
            <w:r w:rsidRPr="00BA5D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headings</w:t>
            </w:r>
            <w:r w:rsidRPr="00BA5D0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and</w:t>
            </w:r>
            <w:r w:rsidRPr="00BA5D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 xml:space="preserve">disease names </w:t>
            </w:r>
            <w:r w:rsidRPr="00BA5D0C">
              <w:rPr>
                <w:rFonts w:ascii="Arial" w:hAnsi="Arial" w:cs="Arial"/>
                <w:spacing w:val="-2"/>
                <w:sz w:val="20"/>
                <w:szCs w:val="20"/>
              </w:rPr>
              <w:t>consistently.</w:t>
            </w:r>
          </w:p>
          <w:p w:rsidR="00992A6A" w:rsidRPr="00BA5D0C" w:rsidRDefault="007E74C2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35"/>
              <w:rPr>
                <w:rFonts w:ascii="Arial" w:hAnsi="Arial" w:cs="Arial"/>
                <w:sz w:val="20"/>
                <w:szCs w:val="20"/>
              </w:rPr>
            </w:pPr>
            <w:r w:rsidRPr="00BA5D0C">
              <w:rPr>
                <w:rFonts w:ascii="Arial" w:hAnsi="Arial" w:cs="Arial"/>
                <w:sz w:val="20"/>
                <w:szCs w:val="20"/>
              </w:rPr>
              <w:t>Use</w:t>
            </w:r>
            <w:r w:rsidRPr="00BA5D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serial</w:t>
            </w:r>
            <w:r w:rsidRPr="00BA5D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commas</w:t>
            </w:r>
            <w:r w:rsidRPr="00BA5D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in</w:t>
            </w:r>
            <w:r w:rsidRPr="00BA5D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lists of</w:t>
            </w:r>
            <w:r w:rsidRPr="00BA5D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three</w:t>
            </w:r>
            <w:r w:rsidRPr="00BA5D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or</w:t>
            </w:r>
            <w:r w:rsidRPr="00BA5D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 xml:space="preserve">more </w:t>
            </w:r>
            <w:r w:rsidRPr="00BA5D0C">
              <w:rPr>
                <w:rFonts w:ascii="Arial" w:hAnsi="Arial" w:cs="Arial"/>
                <w:spacing w:val="-2"/>
                <w:sz w:val="20"/>
                <w:szCs w:val="20"/>
              </w:rPr>
              <w:t>items.</w:t>
            </w:r>
          </w:p>
          <w:p w:rsidR="00992A6A" w:rsidRPr="00BA5D0C" w:rsidRDefault="007E74C2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35"/>
              <w:rPr>
                <w:rFonts w:ascii="Arial" w:hAnsi="Arial" w:cs="Arial"/>
                <w:sz w:val="20"/>
                <w:szCs w:val="20"/>
              </w:rPr>
            </w:pPr>
            <w:r w:rsidRPr="00BA5D0C">
              <w:rPr>
                <w:rFonts w:ascii="Arial" w:hAnsi="Arial" w:cs="Arial"/>
                <w:sz w:val="20"/>
                <w:szCs w:val="20"/>
              </w:rPr>
              <w:t>Replace</w:t>
            </w:r>
            <w:r w:rsidRPr="00BA5D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hyphens with</w:t>
            </w:r>
            <w:r w:rsidRPr="00BA5D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A5D0C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Pr="00BA5D0C">
              <w:rPr>
                <w:rFonts w:ascii="Arial" w:hAnsi="Arial" w:cs="Arial"/>
                <w:sz w:val="20"/>
                <w:szCs w:val="20"/>
              </w:rPr>
              <w:t>-dashes</w:t>
            </w:r>
            <w:r w:rsidRPr="00BA5D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in</w:t>
            </w:r>
            <w:r w:rsidRPr="00BA5D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numeric</w:t>
            </w:r>
            <w:r w:rsidRPr="00BA5D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ranges</w:t>
            </w:r>
            <w:r w:rsidRPr="00BA5D0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and</w:t>
            </w:r>
            <w:r w:rsidRPr="00BA5D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between</w:t>
            </w:r>
            <w:r w:rsidRPr="00BA5D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 xml:space="preserve">eponymous </w:t>
            </w:r>
            <w:r w:rsidRPr="00BA5D0C">
              <w:rPr>
                <w:rFonts w:ascii="Arial" w:hAnsi="Arial" w:cs="Arial"/>
                <w:spacing w:val="-2"/>
                <w:sz w:val="20"/>
                <w:szCs w:val="20"/>
              </w:rPr>
              <w:t>terms.</w:t>
            </w:r>
          </w:p>
          <w:p w:rsidR="00992A6A" w:rsidRPr="00BA5D0C" w:rsidRDefault="007E74C2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35"/>
              <w:rPr>
                <w:rFonts w:ascii="Arial" w:hAnsi="Arial" w:cs="Arial"/>
                <w:sz w:val="20"/>
                <w:szCs w:val="20"/>
              </w:rPr>
            </w:pPr>
            <w:r w:rsidRPr="00BA5D0C">
              <w:rPr>
                <w:rFonts w:ascii="Arial" w:hAnsi="Arial" w:cs="Arial"/>
                <w:sz w:val="20"/>
                <w:szCs w:val="20"/>
              </w:rPr>
              <w:t>Ensure</w:t>
            </w:r>
            <w:r w:rsidRPr="00BA5D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subject-verb</w:t>
            </w:r>
            <w:r w:rsidRPr="00BA5D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agreement</w:t>
            </w:r>
            <w:r w:rsidRPr="00BA5D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and</w:t>
            </w:r>
            <w:r w:rsidRPr="00BA5D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maintain</w:t>
            </w:r>
            <w:r w:rsidRPr="00BA5D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consistent</w:t>
            </w:r>
            <w:r w:rsidRPr="00BA5D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past-tense narration</w:t>
            </w:r>
            <w:r w:rsidRPr="00BA5D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through</w:t>
            </w:r>
            <w:r w:rsidRPr="00BA5D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the</w:t>
            </w:r>
            <w:r w:rsidRPr="00BA5D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 xml:space="preserve">case </w:t>
            </w:r>
            <w:r w:rsidRPr="00BA5D0C">
              <w:rPr>
                <w:rFonts w:ascii="Arial" w:hAnsi="Arial" w:cs="Arial"/>
                <w:spacing w:val="-2"/>
                <w:sz w:val="20"/>
                <w:szCs w:val="20"/>
              </w:rPr>
              <w:t>report.</w:t>
            </w:r>
          </w:p>
          <w:p w:rsidR="00992A6A" w:rsidRPr="00BA5D0C" w:rsidRDefault="007E74C2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35"/>
              <w:rPr>
                <w:rFonts w:ascii="Arial" w:hAnsi="Arial" w:cs="Arial"/>
                <w:sz w:val="20"/>
                <w:szCs w:val="20"/>
              </w:rPr>
            </w:pPr>
            <w:r w:rsidRPr="00BA5D0C">
              <w:rPr>
                <w:rFonts w:ascii="Arial" w:hAnsi="Arial" w:cs="Arial"/>
                <w:sz w:val="20"/>
                <w:szCs w:val="20"/>
              </w:rPr>
              <w:t>Use</w:t>
            </w:r>
            <w:r w:rsidRPr="00BA5D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parentheses rather</w:t>
            </w:r>
            <w:r w:rsidRPr="00BA5D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than</w:t>
            </w:r>
            <w:r w:rsidRPr="00BA5D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A5D0C">
              <w:rPr>
                <w:rFonts w:ascii="Arial" w:hAnsi="Arial" w:cs="Arial"/>
                <w:sz w:val="20"/>
                <w:szCs w:val="20"/>
              </w:rPr>
              <w:t>em</w:t>
            </w:r>
            <w:proofErr w:type="spellEnd"/>
            <w:r w:rsidRPr="00BA5D0C">
              <w:rPr>
                <w:rFonts w:ascii="Arial" w:hAnsi="Arial" w:cs="Arial"/>
                <w:sz w:val="20"/>
                <w:szCs w:val="20"/>
              </w:rPr>
              <w:t>-dashes for</w:t>
            </w:r>
            <w:r w:rsidRPr="00BA5D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short,</w:t>
            </w:r>
            <w:r w:rsidRPr="00BA5D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supplementary</w:t>
            </w:r>
            <w:r w:rsidRPr="00BA5D0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pacing w:val="-2"/>
                <w:sz w:val="20"/>
                <w:szCs w:val="20"/>
              </w:rPr>
              <w:t>remarks.</w:t>
            </w:r>
          </w:p>
          <w:p w:rsidR="00992A6A" w:rsidRPr="00BA5D0C" w:rsidRDefault="007E74C2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35" w:line="276" w:lineRule="auto"/>
              <w:ind w:right="106"/>
              <w:rPr>
                <w:rFonts w:ascii="Arial" w:hAnsi="Arial" w:cs="Arial"/>
                <w:sz w:val="20"/>
                <w:szCs w:val="20"/>
              </w:rPr>
            </w:pPr>
            <w:r w:rsidRPr="00BA5D0C">
              <w:rPr>
                <w:rFonts w:ascii="Arial" w:hAnsi="Arial" w:cs="Arial"/>
                <w:sz w:val="20"/>
                <w:szCs w:val="20"/>
              </w:rPr>
              <w:t xml:space="preserve">Convert dense, inline clinical data into structured bullet point lists under clear subheadings to improve </w:t>
            </w:r>
            <w:r w:rsidRPr="00BA5D0C">
              <w:rPr>
                <w:rFonts w:ascii="Arial" w:hAnsi="Arial" w:cs="Arial"/>
                <w:spacing w:val="-2"/>
                <w:sz w:val="20"/>
                <w:szCs w:val="20"/>
              </w:rPr>
              <w:t>clarity.</w:t>
            </w:r>
          </w:p>
        </w:tc>
        <w:tc>
          <w:tcPr>
            <w:tcW w:w="6376" w:type="dxa"/>
          </w:tcPr>
          <w:p w:rsidR="00992A6A" w:rsidRPr="00BA5D0C" w:rsidRDefault="00992A6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A6A" w:rsidRPr="00BA5D0C">
        <w:trPr>
          <w:trHeight w:val="1174"/>
        </w:trPr>
        <w:tc>
          <w:tcPr>
            <w:tcW w:w="5296" w:type="dxa"/>
          </w:tcPr>
          <w:p w:rsidR="00992A6A" w:rsidRPr="00BA5D0C" w:rsidRDefault="007E74C2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BA5D0C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BA5D0C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267" w:type="dxa"/>
          </w:tcPr>
          <w:p w:rsidR="00992A6A" w:rsidRPr="00BA5D0C" w:rsidRDefault="007E74C2">
            <w:pPr>
              <w:pStyle w:val="TableParagraph"/>
              <w:ind w:left="109" w:right="72"/>
              <w:rPr>
                <w:rFonts w:ascii="Arial" w:hAnsi="Arial" w:cs="Arial"/>
                <w:sz w:val="20"/>
                <w:szCs w:val="20"/>
              </w:rPr>
            </w:pPr>
            <w:r w:rsidRPr="00BA5D0C">
              <w:rPr>
                <w:rFonts w:ascii="Arial" w:hAnsi="Arial" w:cs="Arial"/>
                <w:sz w:val="20"/>
                <w:szCs w:val="20"/>
              </w:rPr>
              <w:t>This</w:t>
            </w:r>
            <w:r w:rsidRPr="00BA5D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case</w:t>
            </w:r>
            <w:r w:rsidRPr="00BA5D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report</w:t>
            </w:r>
            <w:r w:rsidRPr="00BA5D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presents</w:t>
            </w:r>
            <w:r w:rsidRPr="00BA5D0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a</w:t>
            </w:r>
            <w:r w:rsidRPr="00BA5D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clear</w:t>
            </w:r>
            <w:r w:rsidRPr="00BA5D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and</w:t>
            </w:r>
            <w:r w:rsidRPr="00BA5D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logically</w:t>
            </w:r>
            <w:r w:rsidRPr="00BA5D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structured</w:t>
            </w:r>
            <w:r w:rsidRPr="00BA5D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account</w:t>
            </w:r>
            <w:r w:rsidRPr="00BA5D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of</w:t>
            </w:r>
            <w:r w:rsidRPr="00BA5D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Kikuchi-Fujimoto</w:t>
            </w:r>
            <w:r w:rsidRPr="00BA5D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disease,</w:t>
            </w:r>
            <w:r w:rsidRPr="00BA5D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a</w:t>
            </w:r>
            <w:r w:rsidRPr="00BA5D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>rare</w:t>
            </w:r>
            <w:r w:rsidRPr="00BA5D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A5D0C">
              <w:rPr>
                <w:rFonts w:ascii="Arial" w:hAnsi="Arial" w:cs="Arial"/>
                <w:sz w:val="20"/>
                <w:szCs w:val="20"/>
              </w:rPr>
              <w:t xml:space="preserve">but important diagnostic consideration in patients presenting with cervical lymphadenopathy of presumed odontogenic origin. The authors provide a logical clinical narrative, appropriate use of imaging and </w:t>
            </w:r>
            <w:proofErr w:type="spellStart"/>
            <w:r w:rsidRPr="00BA5D0C">
              <w:rPr>
                <w:rFonts w:ascii="Arial" w:hAnsi="Arial" w:cs="Arial"/>
                <w:sz w:val="20"/>
                <w:szCs w:val="20"/>
              </w:rPr>
              <w:t>histopatholohgy</w:t>
            </w:r>
            <w:proofErr w:type="spellEnd"/>
            <w:r w:rsidRPr="00BA5D0C">
              <w:rPr>
                <w:rFonts w:ascii="Arial" w:hAnsi="Arial" w:cs="Arial"/>
                <w:sz w:val="20"/>
                <w:szCs w:val="20"/>
              </w:rPr>
              <w:t>, and practical management approach.</w:t>
            </w:r>
          </w:p>
        </w:tc>
        <w:tc>
          <w:tcPr>
            <w:tcW w:w="6376" w:type="dxa"/>
          </w:tcPr>
          <w:p w:rsidR="00992A6A" w:rsidRPr="00BA5D0C" w:rsidRDefault="00992A6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2A6A" w:rsidRPr="00BA5D0C" w:rsidRDefault="00992A6A">
      <w:pPr>
        <w:pStyle w:val="TableParagraph"/>
        <w:rPr>
          <w:rFonts w:ascii="Arial" w:hAnsi="Arial" w:cs="Arial"/>
          <w:sz w:val="20"/>
          <w:szCs w:val="20"/>
        </w:rPr>
        <w:sectPr w:rsidR="00992A6A" w:rsidRPr="00BA5D0C">
          <w:headerReference w:type="default" r:id="rId8"/>
          <w:footerReference w:type="default" r:id="rId9"/>
          <w:pgSz w:w="23820" w:h="16840" w:orient="landscape"/>
          <w:pgMar w:top="1820" w:right="1417" w:bottom="880" w:left="1417" w:header="1283" w:footer="693" w:gutter="0"/>
          <w:cols w:space="720"/>
        </w:sectPr>
      </w:pPr>
    </w:p>
    <w:p w:rsidR="00992A6A" w:rsidRPr="00BA5D0C" w:rsidRDefault="00992A6A">
      <w:pPr>
        <w:ind w:left="23"/>
        <w:rPr>
          <w:rFonts w:ascii="Arial" w:hAnsi="Arial" w:cs="Arial"/>
          <w:sz w:val="20"/>
          <w:szCs w:val="20"/>
        </w:rPr>
      </w:pPr>
      <w:bookmarkStart w:id="0" w:name="Re"/>
      <w:bookmarkEnd w:id="0"/>
    </w:p>
    <w:p w:rsidR="00593F05" w:rsidRPr="00BA5D0C" w:rsidRDefault="00593F05">
      <w:pPr>
        <w:ind w:left="23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8"/>
        <w:gridCol w:w="7183"/>
        <w:gridCol w:w="7171"/>
      </w:tblGrid>
      <w:tr w:rsidR="00593F05" w:rsidRPr="00BA5D0C" w:rsidTr="007C108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F05" w:rsidRPr="00BA5D0C" w:rsidRDefault="00593F05" w:rsidP="00593F05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BA5D0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A5D0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593F05" w:rsidRPr="00BA5D0C" w:rsidRDefault="00593F05" w:rsidP="00593F05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93F05" w:rsidRPr="00BA5D0C" w:rsidTr="007C1087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F05" w:rsidRPr="00BA5D0C" w:rsidRDefault="00593F05" w:rsidP="00593F05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F05" w:rsidRPr="00BA5D0C" w:rsidRDefault="00593F05" w:rsidP="00593F05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A5D0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593F05" w:rsidRPr="00BA5D0C" w:rsidRDefault="00593F05" w:rsidP="00593F05">
            <w:pPr>
              <w:widowControl/>
              <w:autoSpaceDE/>
              <w:autoSpaceDN/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BA5D0C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BA5D0C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593F05" w:rsidRPr="00BA5D0C" w:rsidRDefault="00593F05" w:rsidP="00593F05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593F05" w:rsidRPr="00BA5D0C" w:rsidTr="007C1087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F05" w:rsidRPr="00BA5D0C" w:rsidRDefault="00593F05" w:rsidP="00593F05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BA5D0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593F05" w:rsidRPr="00BA5D0C" w:rsidRDefault="00593F05" w:rsidP="00593F05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F05" w:rsidRPr="00BA5D0C" w:rsidRDefault="00593F05" w:rsidP="00593F05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A5D0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A5D0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A5D0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593F05" w:rsidRPr="00BA5D0C" w:rsidRDefault="00593F05" w:rsidP="00593F05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593F05" w:rsidRPr="00BA5D0C" w:rsidRDefault="00593F05" w:rsidP="00593F05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593F05" w:rsidRPr="00BA5D0C" w:rsidRDefault="00593F05" w:rsidP="00593F05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593F05" w:rsidRPr="00BA5D0C" w:rsidRDefault="00593F05" w:rsidP="00593F05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593F05" w:rsidRPr="00BA5D0C" w:rsidRDefault="00593F05" w:rsidP="00593F05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BA5D0C" w:rsidRPr="00BA5D0C" w:rsidRDefault="00BA5D0C" w:rsidP="00593F05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BA5D0C" w:rsidRPr="00BA5D0C" w:rsidRDefault="00BA5D0C" w:rsidP="00BA5D0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A5D0C">
        <w:rPr>
          <w:rFonts w:ascii="Arial" w:hAnsi="Arial" w:cs="Arial"/>
          <w:b/>
          <w:u w:val="single"/>
        </w:rPr>
        <w:t>Reviewer details:</w:t>
      </w:r>
    </w:p>
    <w:p w:rsidR="00BA5D0C" w:rsidRPr="00BA5D0C" w:rsidRDefault="00BA5D0C" w:rsidP="00593F05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BA5D0C" w:rsidRPr="00BA5D0C" w:rsidRDefault="00BA5D0C" w:rsidP="00BA5D0C">
      <w:pPr>
        <w:widowControl/>
        <w:autoSpaceDE/>
        <w:autoSpaceDN/>
        <w:rPr>
          <w:rFonts w:ascii="Arial" w:hAnsi="Arial" w:cs="Arial"/>
          <w:b/>
          <w:bCs/>
          <w:sz w:val="20"/>
          <w:szCs w:val="20"/>
        </w:rPr>
      </w:pPr>
      <w:bookmarkStart w:id="3" w:name="_Hlk197535369"/>
      <w:r w:rsidRPr="00BA5D0C">
        <w:rPr>
          <w:rFonts w:ascii="Arial" w:hAnsi="Arial" w:cs="Arial"/>
          <w:b/>
          <w:bCs/>
          <w:sz w:val="20"/>
          <w:szCs w:val="20"/>
        </w:rPr>
        <w:t>Jose Manuel Ruano Aguilar</w:t>
      </w:r>
      <w:r w:rsidRPr="00BA5D0C">
        <w:rPr>
          <w:rFonts w:ascii="Arial" w:hAnsi="Arial" w:cs="Arial"/>
          <w:b/>
          <w:bCs/>
          <w:sz w:val="20"/>
          <w:szCs w:val="20"/>
        </w:rPr>
        <w:t xml:space="preserve">, </w:t>
      </w:r>
      <w:r w:rsidRPr="00BA5D0C">
        <w:rPr>
          <w:rFonts w:ascii="Arial" w:hAnsi="Arial" w:cs="Arial"/>
          <w:b/>
          <w:bCs/>
          <w:sz w:val="20"/>
          <w:szCs w:val="20"/>
        </w:rPr>
        <w:t>Hospital Angeles Lomas</w:t>
      </w:r>
      <w:r w:rsidRPr="00BA5D0C">
        <w:rPr>
          <w:rFonts w:ascii="Arial" w:hAnsi="Arial" w:cs="Arial"/>
          <w:b/>
          <w:bCs/>
          <w:sz w:val="20"/>
          <w:szCs w:val="20"/>
        </w:rPr>
        <w:t xml:space="preserve">, </w:t>
      </w:r>
      <w:r w:rsidRPr="00BA5D0C">
        <w:rPr>
          <w:rFonts w:ascii="Arial" w:hAnsi="Arial" w:cs="Arial"/>
          <w:b/>
          <w:bCs/>
          <w:sz w:val="20"/>
          <w:szCs w:val="20"/>
        </w:rPr>
        <w:t>Mexico</w:t>
      </w:r>
    </w:p>
    <w:bookmarkEnd w:id="3"/>
    <w:p w:rsidR="00593F05" w:rsidRPr="00BA5D0C" w:rsidRDefault="00593F05" w:rsidP="00593F05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593F05" w:rsidRPr="00BA5D0C" w:rsidRDefault="00593F05" w:rsidP="00593F05">
      <w:pPr>
        <w:widowControl/>
        <w:autoSpaceDE/>
        <w:autoSpaceDN/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2"/>
    <w:p w:rsidR="00593F05" w:rsidRPr="00BA5D0C" w:rsidRDefault="00593F05" w:rsidP="00593F05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593F05" w:rsidRPr="00BA5D0C" w:rsidRDefault="00593F05">
      <w:pPr>
        <w:ind w:left="23"/>
        <w:rPr>
          <w:rFonts w:ascii="Arial" w:hAnsi="Arial" w:cs="Arial"/>
          <w:sz w:val="20"/>
          <w:szCs w:val="20"/>
        </w:rPr>
      </w:pPr>
    </w:p>
    <w:sectPr w:rsidR="00593F05" w:rsidRPr="00BA5D0C">
      <w:pgSz w:w="23820" w:h="16840" w:orient="landscape"/>
      <w:pgMar w:top="1820" w:right="1417" w:bottom="880" w:left="1417" w:header="1283" w:footer="6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46A58" w:rsidRDefault="00646A58">
      <w:r>
        <w:separator/>
      </w:r>
    </w:p>
  </w:endnote>
  <w:endnote w:type="continuationSeparator" w:id="0">
    <w:p w:rsidR="00646A58" w:rsidRDefault="0064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2A6A" w:rsidRDefault="007E74C2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902017</wp:posOffset>
              </wp:positionH>
              <wp:positionV relativeFrom="page">
                <wp:posOffset>10113595</wp:posOffset>
              </wp:positionV>
              <wp:extent cx="661670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92A6A" w:rsidRDefault="007E74C2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35pt;width:52.1pt;height:10.9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" filled="f" stroked="f">
              <v:textbox inset="0,0,0,0">
                <w:txbxContent>
                  <w:p w:rsidR="00992A6A" w:rsidRDefault="007E74C2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2642235</wp:posOffset>
              </wp:positionH>
              <wp:positionV relativeFrom="page">
                <wp:posOffset>10113595</wp:posOffset>
              </wp:positionV>
              <wp:extent cx="706120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612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92A6A" w:rsidRDefault="007E74C2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8.05pt;margin-top:796.35pt;width:55.6pt;height:10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" filled="f" stroked="f">
              <v:textbox inset="0,0,0,0">
                <w:txbxContent>
                  <w:p w:rsidR="00992A6A" w:rsidRDefault="007E74C2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4414265</wp:posOffset>
              </wp:positionH>
              <wp:positionV relativeFrom="page">
                <wp:posOffset>10113595</wp:posOffset>
              </wp:positionV>
              <wp:extent cx="861694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694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92A6A" w:rsidRDefault="007E74C2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6pt;margin-top:796.35pt;width:67.85pt;height:10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" filled="f" stroked="f">
              <v:textbox inset="0,0,0,0">
                <w:txbxContent>
                  <w:p w:rsidR="00992A6A" w:rsidRDefault="007E74C2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6846569</wp:posOffset>
              </wp:positionH>
              <wp:positionV relativeFrom="page">
                <wp:posOffset>10113595</wp:posOffset>
              </wp:positionV>
              <wp:extent cx="1021715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92A6A" w:rsidRDefault="007E74C2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 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1pt;margin-top:796.35pt;width:80.45pt;height:10.9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" filled="f" stroked="f">
              <v:textbox inset="0,0,0,0">
                <w:txbxContent>
                  <w:p w:rsidR="00992A6A" w:rsidRDefault="007E74C2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 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46A58" w:rsidRDefault="00646A58">
      <w:r>
        <w:separator/>
      </w:r>
    </w:p>
  </w:footnote>
  <w:footnote w:type="continuationSeparator" w:id="0">
    <w:p w:rsidR="00646A58" w:rsidRDefault="00646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2A6A" w:rsidRDefault="007E74C2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902017</wp:posOffset>
              </wp:positionH>
              <wp:positionV relativeFrom="page">
                <wp:posOffset>802217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92A6A" w:rsidRDefault="007E74C2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3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2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15pt;width:86.7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" filled="f" stroked="f">
              <v:textbox inset="0,0,0,0">
                <w:txbxContent>
                  <w:p w:rsidR="00992A6A" w:rsidRDefault="007E74C2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3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2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5727F"/>
    <w:multiLevelType w:val="hybridMultilevel"/>
    <w:tmpl w:val="6D083712"/>
    <w:lvl w:ilvl="0" w:tplc="017C4D12"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1010A692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2" w:tplc="CCA2D830">
      <w:numFmt w:val="bullet"/>
      <w:lvlText w:val="•"/>
      <w:lvlJc w:val="left"/>
      <w:pPr>
        <w:ind w:left="2507" w:hanging="360"/>
      </w:pPr>
      <w:rPr>
        <w:rFonts w:hint="default"/>
        <w:lang w:val="en-US" w:eastAsia="en-US" w:bidi="ar-SA"/>
      </w:rPr>
    </w:lvl>
    <w:lvl w:ilvl="3" w:tplc="5BA41174">
      <w:numFmt w:val="bullet"/>
      <w:lvlText w:val="•"/>
      <w:lvlJc w:val="left"/>
      <w:pPr>
        <w:ind w:left="3351" w:hanging="360"/>
      </w:pPr>
      <w:rPr>
        <w:rFonts w:hint="default"/>
        <w:lang w:val="en-US" w:eastAsia="en-US" w:bidi="ar-SA"/>
      </w:rPr>
    </w:lvl>
    <w:lvl w:ilvl="4" w:tplc="D0C6D568">
      <w:numFmt w:val="bullet"/>
      <w:lvlText w:val="•"/>
      <w:lvlJc w:val="left"/>
      <w:pPr>
        <w:ind w:left="4194" w:hanging="360"/>
      </w:pPr>
      <w:rPr>
        <w:rFonts w:hint="default"/>
        <w:lang w:val="en-US" w:eastAsia="en-US" w:bidi="ar-SA"/>
      </w:rPr>
    </w:lvl>
    <w:lvl w:ilvl="5" w:tplc="87A68D9E">
      <w:numFmt w:val="bullet"/>
      <w:lvlText w:val="•"/>
      <w:lvlJc w:val="left"/>
      <w:pPr>
        <w:ind w:left="5038" w:hanging="360"/>
      </w:pPr>
      <w:rPr>
        <w:rFonts w:hint="default"/>
        <w:lang w:val="en-US" w:eastAsia="en-US" w:bidi="ar-SA"/>
      </w:rPr>
    </w:lvl>
    <w:lvl w:ilvl="6" w:tplc="516E64F2">
      <w:numFmt w:val="bullet"/>
      <w:lvlText w:val="•"/>
      <w:lvlJc w:val="left"/>
      <w:pPr>
        <w:ind w:left="5882" w:hanging="360"/>
      </w:pPr>
      <w:rPr>
        <w:rFonts w:hint="default"/>
        <w:lang w:val="en-US" w:eastAsia="en-US" w:bidi="ar-SA"/>
      </w:rPr>
    </w:lvl>
    <w:lvl w:ilvl="7" w:tplc="318E6532">
      <w:numFmt w:val="bullet"/>
      <w:lvlText w:val="•"/>
      <w:lvlJc w:val="left"/>
      <w:pPr>
        <w:ind w:left="6725" w:hanging="360"/>
      </w:pPr>
      <w:rPr>
        <w:rFonts w:hint="default"/>
        <w:lang w:val="en-US" w:eastAsia="en-US" w:bidi="ar-SA"/>
      </w:rPr>
    </w:lvl>
    <w:lvl w:ilvl="8" w:tplc="9DAAF59C">
      <w:numFmt w:val="bullet"/>
      <w:lvlText w:val="•"/>
      <w:lvlJc w:val="left"/>
      <w:pPr>
        <w:ind w:left="7569" w:hanging="360"/>
      </w:pPr>
      <w:rPr>
        <w:rFonts w:hint="default"/>
        <w:lang w:val="en-US" w:eastAsia="en-US" w:bidi="ar-SA"/>
      </w:rPr>
    </w:lvl>
  </w:abstractNum>
  <w:num w:numId="1" w16cid:durableId="180433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2A6A"/>
    <w:rsid w:val="00500DC2"/>
    <w:rsid w:val="00593F05"/>
    <w:rsid w:val="00646A58"/>
    <w:rsid w:val="006B474C"/>
    <w:rsid w:val="007E74C2"/>
    <w:rsid w:val="00992A6A"/>
    <w:rsid w:val="009B3C3C"/>
    <w:rsid w:val="00BA5D0C"/>
    <w:rsid w:val="00CF2FF4"/>
    <w:rsid w:val="00FB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2DE79"/>
  <w15:docId w15:val="{AE01F9B1-CAB4-4321-9506-6E560042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unhideWhenUsed/>
    <w:rsid w:val="00CF2FF4"/>
    <w:rPr>
      <w:color w:val="0000FF"/>
      <w:u w:val="single"/>
    </w:rPr>
  </w:style>
  <w:style w:type="paragraph" w:customStyle="1" w:styleId="Affiliation">
    <w:name w:val="Affiliation"/>
    <w:basedOn w:val="Normal"/>
    <w:rsid w:val="00BA5D0C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jcrmh.com/index.php/AJCRM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5</cp:revision>
  <dcterms:created xsi:type="dcterms:W3CDTF">2025-05-03T09:59:00Z</dcterms:created>
  <dcterms:modified xsi:type="dcterms:W3CDTF">2025-05-07T13:05:00Z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2025-05-03T00:00:00Z</vt:filetime>
  </property>
  <property fmtid="{D5CDD505-2E9C-101B-9397-08002B2CF9AE}" pid="5" name="Producer">
    <vt:lpwstr>3-Heights(TM) PDF Security Shell 4.8.25.2 (http://www.pdf-tools.com)</vt:lpwstr>
  </property>
</Properties>
</file>