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C7C36" w14:textId="77777777" w:rsidR="00ED03D0" w:rsidRPr="00FB0A57" w:rsidRDefault="00ED03D0" w:rsidP="004A543E">
      <w:pPr>
        <w:jc w:val="center"/>
        <w:rPr>
          <w:rFonts w:ascii="Times New Roman" w:hAnsi="Times New Roman" w:cs="Times New Roman"/>
          <w:b/>
          <w:bCs/>
        </w:rPr>
      </w:pPr>
      <w:r w:rsidRPr="00FB0A57">
        <w:rPr>
          <w:rFonts w:ascii="Times New Roman" w:hAnsi="Times New Roman" w:cs="Times New Roman"/>
          <w:b/>
          <w:bCs/>
        </w:rPr>
        <w:t>Biochemical Implications and Strategic Utilization of Alternative Feed Ingredients in Nigerian Poultry Production: Challenges, Gaps, and Future Perspectives</w:t>
      </w:r>
    </w:p>
    <w:p w14:paraId="41F5D824" w14:textId="77777777" w:rsidR="00ED03D0" w:rsidRPr="00FB0A57" w:rsidRDefault="00ED03D0" w:rsidP="004A543E">
      <w:pPr>
        <w:jc w:val="center"/>
        <w:rPr>
          <w:rFonts w:ascii="Times New Roman" w:hAnsi="Times New Roman" w:cs="Times New Roman"/>
          <w:b/>
          <w:bCs/>
        </w:rPr>
      </w:pPr>
    </w:p>
    <w:p w14:paraId="0F71C395" w14:textId="77777777" w:rsidR="004A543E" w:rsidRPr="00FB0A57" w:rsidRDefault="004A543E" w:rsidP="004A543E">
      <w:pPr>
        <w:jc w:val="both"/>
        <w:rPr>
          <w:rFonts w:ascii="Times New Roman" w:hAnsi="Times New Roman" w:cs="Times New Roman"/>
          <w:b/>
          <w:bCs/>
        </w:rPr>
      </w:pPr>
    </w:p>
    <w:p w14:paraId="1A68F131" w14:textId="77777777" w:rsidR="0075401E" w:rsidRPr="0075401E" w:rsidRDefault="0075401E" w:rsidP="004A543E">
      <w:pPr>
        <w:jc w:val="both"/>
        <w:rPr>
          <w:rFonts w:ascii="Times New Roman" w:hAnsi="Times New Roman" w:cs="Times New Roman"/>
        </w:rPr>
      </w:pPr>
      <w:r w:rsidRPr="0075401E">
        <w:rPr>
          <w:rFonts w:ascii="Times New Roman" w:hAnsi="Times New Roman" w:cs="Times New Roman"/>
          <w:b/>
          <w:bCs/>
        </w:rPr>
        <w:t>Abstract</w:t>
      </w:r>
    </w:p>
    <w:p w14:paraId="46F991E8" w14:textId="77777777" w:rsidR="0075401E" w:rsidRPr="0075401E" w:rsidRDefault="0075401E" w:rsidP="004A543E">
      <w:pPr>
        <w:jc w:val="both"/>
        <w:rPr>
          <w:rFonts w:ascii="Times New Roman" w:hAnsi="Times New Roman" w:cs="Times New Roman"/>
        </w:rPr>
      </w:pPr>
      <w:r w:rsidRPr="0075401E">
        <w:rPr>
          <w:rFonts w:ascii="Times New Roman" w:hAnsi="Times New Roman" w:cs="Times New Roman"/>
        </w:rPr>
        <w:t>The escalating costs and inconsistent availability of conventional poultry feed ingredients, notably maize and soybean meal, have prompted Nigerian poultry producers to explore alternative feed ingredients (AFIs), including agro-industrial by-products. While AFIs offer notable economic incentives, their potential biochemical impacts on poultry health warrant careful evaluation. This review synthesizes current knowledge on the biochemical responses of poultry to common AFIs utilized in Nigeria—specifically cassava peels, palm kernel cake, moringa leaf meal, maggot meal, and brewers' dried grains. Focus is placed on critical markers such as liver enzymes (AST, ALT, ALP), oxidative stress indicators (MDA, catalase, SOD), serum lipid profiles, and immune function parameters. Evidence indicates that while certain AFIs enhance antioxidant defenses and reduce feed costs, others—particularly when improperly processed or used at excessive levels—may precipitate liver dysfunction, lipid imbalances, or compromised nutrient assimilation. These findings highlight the necessity of incorporating biochemical assessments into feed evaluation protocols. The review further advocates for integrative research linking biochemical markers with performance outcomes to define safe inclusion thresholds and support the sustainable advancement of poultry production systems in Nigeria.</w:t>
      </w:r>
    </w:p>
    <w:p w14:paraId="6F5F5874" w14:textId="77777777" w:rsidR="001E6231" w:rsidRPr="00FB0A57" w:rsidRDefault="00FB1876" w:rsidP="004A543E">
      <w:pPr>
        <w:jc w:val="both"/>
        <w:rPr>
          <w:rFonts w:ascii="Times New Roman" w:hAnsi="Times New Roman" w:cs="Times New Roman"/>
          <w:b/>
          <w:bCs/>
        </w:rPr>
      </w:pPr>
      <w:r w:rsidRPr="00FB1876">
        <w:rPr>
          <w:rFonts w:ascii="Times New Roman" w:hAnsi="Times New Roman" w:cs="Times New Roman"/>
          <w:b/>
          <w:bCs/>
        </w:rPr>
        <w:t>Keywords:</w:t>
      </w:r>
      <w:r w:rsidRPr="00FB0A57">
        <w:rPr>
          <w:rFonts w:ascii="Times New Roman" w:hAnsi="Times New Roman" w:cs="Times New Roman"/>
          <w:b/>
          <w:bCs/>
        </w:rPr>
        <w:t xml:space="preserve"> </w:t>
      </w:r>
    </w:p>
    <w:p w14:paraId="37D15EEA" w14:textId="77777777" w:rsidR="00FB1876" w:rsidRPr="00FB0A57" w:rsidRDefault="00FB1876" w:rsidP="004A543E">
      <w:pPr>
        <w:jc w:val="both"/>
        <w:rPr>
          <w:rFonts w:ascii="Times New Roman" w:hAnsi="Times New Roman" w:cs="Times New Roman"/>
        </w:rPr>
      </w:pPr>
      <w:r w:rsidRPr="00FB1876">
        <w:rPr>
          <w:rFonts w:ascii="Times New Roman" w:hAnsi="Times New Roman" w:cs="Times New Roman"/>
        </w:rPr>
        <w:t xml:space="preserve">Alternative </w:t>
      </w:r>
      <w:r w:rsidR="00561285">
        <w:rPr>
          <w:rFonts w:ascii="Times New Roman" w:hAnsi="Times New Roman" w:cs="Times New Roman"/>
        </w:rPr>
        <w:t>F</w:t>
      </w:r>
      <w:r w:rsidRPr="00FB1876">
        <w:rPr>
          <w:rFonts w:ascii="Times New Roman" w:hAnsi="Times New Roman" w:cs="Times New Roman"/>
        </w:rPr>
        <w:t xml:space="preserve">eed </w:t>
      </w:r>
      <w:r w:rsidR="00561285">
        <w:rPr>
          <w:rFonts w:ascii="Times New Roman" w:hAnsi="Times New Roman" w:cs="Times New Roman"/>
        </w:rPr>
        <w:t>I</w:t>
      </w:r>
      <w:r w:rsidRPr="00FB1876">
        <w:rPr>
          <w:rFonts w:ascii="Times New Roman" w:hAnsi="Times New Roman" w:cs="Times New Roman"/>
        </w:rPr>
        <w:t>ngredients (AFIs)</w:t>
      </w:r>
      <w:r w:rsidRPr="00FB0A57">
        <w:rPr>
          <w:rFonts w:ascii="Times New Roman" w:hAnsi="Times New Roman" w:cs="Times New Roman"/>
        </w:rPr>
        <w:t xml:space="preserve">, </w:t>
      </w:r>
      <w:r w:rsidRPr="00FB1876">
        <w:rPr>
          <w:rFonts w:ascii="Times New Roman" w:hAnsi="Times New Roman" w:cs="Times New Roman"/>
        </w:rPr>
        <w:t xml:space="preserve">Poultry </w:t>
      </w:r>
      <w:r w:rsidR="00561285">
        <w:rPr>
          <w:rFonts w:ascii="Times New Roman" w:hAnsi="Times New Roman" w:cs="Times New Roman"/>
        </w:rPr>
        <w:t>N</w:t>
      </w:r>
      <w:r w:rsidRPr="00FB1876">
        <w:rPr>
          <w:rFonts w:ascii="Times New Roman" w:hAnsi="Times New Roman" w:cs="Times New Roman"/>
        </w:rPr>
        <w:t>utrition</w:t>
      </w:r>
      <w:r w:rsidRPr="00FB0A57">
        <w:rPr>
          <w:rFonts w:ascii="Times New Roman" w:hAnsi="Times New Roman" w:cs="Times New Roman"/>
        </w:rPr>
        <w:t xml:space="preserve">, </w:t>
      </w:r>
      <w:r w:rsidRPr="00FB1876">
        <w:rPr>
          <w:rFonts w:ascii="Times New Roman" w:hAnsi="Times New Roman" w:cs="Times New Roman"/>
        </w:rPr>
        <w:t xml:space="preserve">Biochemical </w:t>
      </w:r>
      <w:r w:rsidR="00561285">
        <w:rPr>
          <w:rFonts w:ascii="Times New Roman" w:hAnsi="Times New Roman" w:cs="Times New Roman"/>
        </w:rPr>
        <w:t>M</w:t>
      </w:r>
      <w:r w:rsidRPr="00FB1876">
        <w:rPr>
          <w:rFonts w:ascii="Times New Roman" w:hAnsi="Times New Roman" w:cs="Times New Roman"/>
        </w:rPr>
        <w:t>arkers</w:t>
      </w:r>
      <w:r w:rsidRPr="00FB0A57">
        <w:rPr>
          <w:rFonts w:ascii="Times New Roman" w:hAnsi="Times New Roman" w:cs="Times New Roman"/>
        </w:rPr>
        <w:t xml:space="preserve">, </w:t>
      </w:r>
      <w:r w:rsidRPr="00FB1876">
        <w:rPr>
          <w:rFonts w:ascii="Times New Roman" w:hAnsi="Times New Roman" w:cs="Times New Roman"/>
        </w:rPr>
        <w:t xml:space="preserve">Sustainable </w:t>
      </w:r>
      <w:r w:rsidR="00561285">
        <w:rPr>
          <w:rFonts w:ascii="Times New Roman" w:hAnsi="Times New Roman" w:cs="Times New Roman"/>
        </w:rPr>
        <w:t>P</w:t>
      </w:r>
      <w:r w:rsidRPr="00FB1876">
        <w:rPr>
          <w:rFonts w:ascii="Times New Roman" w:hAnsi="Times New Roman" w:cs="Times New Roman"/>
        </w:rPr>
        <w:t xml:space="preserve">oultry </w:t>
      </w:r>
      <w:r w:rsidR="00561285">
        <w:rPr>
          <w:rFonts w:ascii="Times New Roman" w:hAnsi="Times New Roman" w:cs="Times New Roman"/>
        </w:rPr>
        <w:t>P</w:t>
      </w:r>
      <w:r w:rsidRPr="00FB1876">
        <w:rPr>
          <w:rFonts w:ascii="Times New Roman" w:hAnsi="Times New Roman" w:cs="Times New Roman"/>
        </w:rPr>
        <w:t>roduction</w:t>
      </w:r>
      <w:r w:rsidRPr="00FB0A57">
        <w:rPr>
          <w:rFonts w:ascii="Times New Roman" w:hAnsi="Times New Roman" w:cs="Times New Roman"/>
        </w:rPr>
        <w:t xml:space="preserve">, </w:t>
      </w:r>
      <w:r w:rsidRPr="00FB1876">
        <w:rPr>
          <w:rFonts w:ascii="Times New Roman" w:hAnsi="Times New Roman" w:cs="Times New Roman"/>
        </w:rPr>
        <w:t xml:space="preserve">Feed </w:t>
      </w:r>
      <w:r w:rsidR="00561285">
        <w:rPr>
          <w:rFonts w:ascii="Times New Roman" w:hAnsi="Times New Roman" w:cs="Times New Roman"/>
        </w:rPr>
        <w:t>S</w:t>
      </w:r>
      <w:r w:rsidRPr="00FB1876">
        <w:rPr>
          <w:rFonts w:ascii="Times New Roman" w:hAnsi="Times New Roman" w:cs="Times New Roman"/>
        </w:rPr>
        <w:t xml:space="preserve">afety </w:t>
      </w:r>
      <w:r w:rsidR="00561285">
        <w:rPr>
          <w:rFonts w:ascii="Times New Roman" w:hAnsi="Times New Roman" w:cs="Times New Roman"/>
        </w:rPr>
        <w:t>R</w:t>
      </w:r>
      <w:r w:rsidRPr="00FB1876">
        <w:rPr>
          <w:rFonts w:ascii="Times New Roman" w:hAnsi="Times New Roman" w:cs="Times New Roman"/>
        </w:rPr>
        <w:t>egulation</w:t>
      </w:r>
    </w:p>
    <w:p w14:paraId="76330BC0" w14:textId="77777777"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1. Introduction</w:t>
      </w:r>
    </w:p>
    <w:p w14:paraId="1F56AF4D" w14:textId="77777777" w:rsidR="0075401E" w:rsidRPr="0075401E" w:rsidRDefault="0075401E" w:rsidP="004A543E">
      <w:pPr>
        <w:jc w:val="both"/>
        <w:rPr>
          <w:rFonts w:ascii="Times New Roman" w:hAnsi="Times New Roman" w:cs="Times New Roman"/>
        </w:rPr>
      </w:pPr>
      <w:r w:rsidRPr="0075401E">
        <w:rPr>
          <w:rFonts w:ascii="Times New Roman" w:hAnsi="Times New Roman" w:cs="Times New Roman"/>
        </w:rPr>
        <w:t>Poultry production forms a critical part of Nigeria’s livestock industry, playing a major role in enhancing food security, creating employment opportunities, and supporting household incomes. Yet, feed remains the single largest expense in poultry farming, accounting for up to 70% of total production costs (Olomu, 2011). Traditionally, Nigerian poultry diets have depended heavily on maize and soybean meal. However, this reliance has increasingly been undermined by volatile market prices, seasonal supply disruptions, and growing competition between animal feed industries and human food demands.</w:t>
      </w:r>
    </w:p>
    <w:p w14:paraId="5B8FDBD6" w14:textId="77777777" w:rsidR="0075401E" w:rsidRPr="0075401E" w:rsidRDefault="0075401E" w:rsidP="004A543E">
      <w:pPr>
        <w:jc w:val="both"/>
        <w:rPr>
          <w:rFonts w:ascii="Times New Roman" w:hAnsi="Times New Roman" w:cs="Times New Roman"/>
        </w:rPr>
      </w:pPr>
      <w:r w:rsidRPr="0075401E">
        <w:rPr>
          <w:rFonts w:ascii="Times New Roman" w:hAnsi="Times New Roman" w:cs="Times New Roman"/>
        </w:rPr>
        <w:t>In response, attention has shifted toward the use of alternative feed ingredients (AFIs)—locally available, non-conventional feed resources—as a strategy to reduce costs and enhance the sustainability of poultry production (</w:t>
      </w:r>
      <w:r w:rsidR="001B5DA3">
        <w:rPr>
          <w:rFonts w:ascii="Times New Roman" w:hAnsi="Times New Roman" w:cs="Times New Roman"/>
        </w:rPr>
        <w:t>Esonu et al</w:t>
      </w:r>
      <w:r w:rsidR="00241CD0">
        <w:rPr>
          <w:rFonts w:ascii="Times New Roman" w:hAnsi="Times New Roman" w:cs="Times New Roman"/>
        </w:rPr>
        <w:t>., 2007;</w:t>
      </w:r>
      <w:commentRangeStart w:id="0"/>
      <w:r w:rsidR="001B5DA3">
        <w:rPr>
          <w:rFonts w:ascii="Times New Roman" w:hAnsi="Times New Roman" w:cs="Times New Roman"/>
        </w:rPr>
        <w:t>.,</w:t>
      </w:r>
      <w:commentRangeEnd w:id="0"/>
      <w:r w:rsidR="00E61CD8">
        <w:rPr>
          <w:rStyle w:val="CommentReference"/>
        </w:rPr>
        <w:commentReference w:id="0"/>
      </w:r>
      <w:r w:rsidR="00E0254F">
        <w:rPr>
          <w:rFonts w:ascii="Times New Roman" w:hAnsi="Times New Roman" w:cs="Times New Roman"/>
        </w:rPr>
        <w:t>Olowoyeye</w:t>
      </w:r>
      <w:r w:rsidRPr="0075401E">
        <w:rPr>
          <w:rFonts w:ascii="Times New Roman" w:hAnsi="Times New Roman" w:cs="Times New Roman"/>
        </w:rPr>
        <w:t xml:space="preserve"> et al., 20</w:t>
      </w:r>
      <w:r w:rsidR="00E0254F">
        <w:rPr>
          <w:rFonts w:ascii="Times New Roman" w:hAnsi="Times New Roman" w:cs="Times New Roman"/>
        </w:rPr>
        <w:t>19</w:t>
      </w:r>
      <w:r w:rsidRPr="0075401E">
        <w:rPr>
          <w:rFonts w:ascii="Times New Roman" w:hAnsi="Times New Roman" w:cs="Times New Roman"/>
        </w:rPr>
        <w:t xml:space="preserve">). Among the promising candidates are cassava peels, palm kernel cake (PKC), moringa leaf meal, insect meals, </w:t>
      </w:r>
      <w:r w:rsidRPr="0075401E">
        <w:rPr>
          <w:rFonts w:ascii="Times New Roman" w:hAnsi="Times New Roman" w:cs="Times New Roman"/>
        </w:rPr>
        <w:lastRenderedPageBreak/>
        <w:t>and brewers' dried grains (BDG), each offering potential as affordable sources of energy and protein.</w:t>
      </w:r>
    </w:p>
    <w:p w14:paraId="38F189CB" w14:textId="77777777" w:rsidR="0075401E" w:rsidRPr="0075401E" w:rsidRDefault="0075401E" w:rsidP="004A543E">
      <w:pPr>
        <w:jc w:val="both"/>
        <w:rPr>
          <w:rFonts w:ascii="Times New Roman" w:hAnsi="Times New Roman" w:cs="Times New Roman"/>
        </w:rPr>
      </w:pPr>
      <w:r w:rsidRPr="0075401E">
        <w:rPr>
          <w:rFonts w:ascii="Times New Roman" w:hAnsi="Times New Roman" w:cs="Times New Roman"/>
        </w:rPr>
        <w:t xml:space="preserve">However, much of the existing research on AFIs has concentrated narrowly on external performance indicators such as growth rate, feed intake, and feed conversion efficiency. While valuable, this performance-focused approach often overlooks critical internal physiological responses that determine animal health, welfare, and long-term productivity. Biochemical evaluations—analyzing liver and kidney function markers, immune system parameters, and antioxidant status—provide a more comprehensive understanding of how AFIs influence metabolic health in poultry ( </w:t>
      </w:r>
      <w:r w:rsidR="00FF545E">
        <w:rPr>
          <w:rFonts w:ascii="Times New Roman" w:hAnsi="Times New Roman" w:cs="Times New Roman"/>
        </w:rPr>
        <w:t>Amevor</w:t>
      </w:r>
      <w:r w:rsidRPr="0075401E">
        <w:rPr>
          <w:rFonts w:ascii="Times New Roman" w:hAnsi="Times New Roman" w:cs="Times New Roman"/>
        </w:rPr>
        <w:t xml:space="preserve"> et al., 20</w:t>
      </w:r>
      <w:r w:rsidR="007D7B50">
        <w:rPr>
          <w:rFonts w:ascii="Times New Roman" w:hAnsi="Times New Roman" w:cs="Times New Roman"/>
        </w:rPr>
        <w:t>25</w:t>
      </w:r>
      <w:r w:rsidRPr="0075401E">
        <w:rPr>
          <w:rFonts w:ascii="Times New Roman" w:hAnsi="Times New Roman" w:cs="Times New Roman"/>
        </w:rPr>
        <w:t>).</w:t>
      </w:r>
    </w:p>
    <w:p w14:paraId="253FFD8D" w14:textId="77777777" w:rsidR="0075401E" w:rsidRPr="0075401E" w:rsidRDefault="0075401E" w:rsidP="004A543E">
      <w:pPr>
        <w:jc w:val="both"/>
        <w:rPr>
          <w:rFonts w:ascii="Times New Roman" w:hAnsi="Times New Roman" w:cs="Times New Roman"/>
        </w:rPr>
      </w:pPr>
      <w:r w:rsidRPr="0075401E">
        <w:rPr>
          <w:rFonts w:ascii="Times New Roman" w:hAnsi="Times New Roman" w:cs="Times New Roman"/>
        </w:rPr>
        <w:t>This review seeks to address this gap by examining the biochemical impacts of commonly used AFIs within the context of Nigerian poultry nutrition. Specifically, it evaluates changes in blood biochemistry and tissue biomarkers that signal physiological status and potential toxicological risks associated with AFI inclusion. By integrating these insights, the review aims to inform not only academic research and feed formulation practices but also regulatory standards and farmer education initiatives to promote safer, more sustainable poultry production systems.</w:t>
      </w:r>
    </w:p>
    <w:p w14:paraId="22EEC4AB" w14:textId="77777777"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2. Overview of Common Alternative Feed Ingredients in Nigeria</w:t>
      </w:r>
    </w:p>
    <w:p w14:paraId="3CFBA1AC" w14:textId="77777777"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2.1 Cassava Peels and Fermented Cassava Products</w:t>
      </w:r>
    </w:p>
    <w:p w14:paraId="1C761D40" w14:textId="77777777" w:rsidR="0075401E" w:rsidRPr="0075401E" w:rsidRDefault="0075401E" w:rsidP="004A543E">
      <w:pPr>
        <w:jc w:val="both"/>
        <w:rPr>
          <w:rFonts w:ascii="Times New Roman" w:hAnsi="Times New Roman" w:cs="Times New Roman"/>
        </w:rPr>
      </w:pPr>
      <w:r w:rsidRPr="0075401E">
        <w:rPr>
          <w:rFonts w:ascii="Times New Roman" w:hAnsi="Times New Roman" w:cs="Times New Roman"/>
        </w:rPr>
        <w:t>Cassava peels, an abundant agro-industrial by-product, are widely available in Nigeria due to the extensive cultivation and processing of cassava. They offer a low-cost alternative to maize in poultry diets and have become increasingly attractive to feed millers aiming to reduce production costs (Bello et al., 2015). Fermentation, particularly when cassava peels are combined with palm kernel cake, has been shown to enhance their nutritional profile, allowing up to 50% substitution of conventional energy sources without negatively affecting growth performance (Obongekpe, 2020). However, cassava peels naturally contain cyanogenic glycosides, which can be toxic if improperly processed. Traditional methods such as sun-drying, soaking, boiling, or ensiling have been proven effective in significantly reducing cyanide content to safe levels for animal consumption (Okah &amp; Ebere, 2017). Nonetheless, their high fiber content remains a constraint in poultry diets, necessitating the use of fiber-degrading enzymes or supplementation with protein-rich ingredients to improve overall digestibility.</w:t>
      </w:r>
    </w:p>
    <w:p w14:paraId="7A4CEAF3" w14:textId="77777777"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2.2 Palm Kernel Cake (PKC)</w:t>
      </w:r>
    </w:p>
    <w:p w14:paraId="73DE7026" w14:textId="77777777" w:rsidR="0075401E" w:rsidRPr="0075401E" w:rsidRDefault="0075401E" w:rsidP="004A543E">
      <w:pPr>
        <w:jc w:val="both"/>
        <w:rPr>
          <w:rFonts w:ascii="Times New Roman" w:hAnsi="Times New Roman" w:cs="Times New Roman"/>
        </w:rPr>
      </w:pPr>
      <w:r w:rsidRPr="0075401E">
        <w:rPr>
          <w:rFonts w:ascii="Times New Roman" w:hAnsi="Times New Roman" w:cs="Times New Roman"/>
        </w:rPr>
        <w:t xml:space="preserve">Palm kernel cake (PKC) is another widely utilized by-product in Nigerian poultry nutrition, valued for its affordability and consistent availability. Despite its economic benefits, PKC presents limitations due to its high fiber content and relatively low lysine levels, both of which can impair nutrient digestibility and protein quality (Moseri et al., 2020). To address these challenges, processing methods such as microbial fermentation and enzyme supplementation are commonly employed. Fermentation, in particular, has been shown to improve nutrient bioavailability by breaking down fibrous components and enhancing protein digestibility. Studies indicate that diets </w:t>
      </w:r>
      <w:r w:rsidRPr="0075401E">
        <w:rPr>
          <w:rFonts w:ascii="Times New Roman" w:hAnsi="Times New Roman" w:cs="Times New Roman"/>
        </w:rPr>
        <w:lastRenderedPageBreak/>
        <w:t>incorporating fermented PKC—especially when combined with cassava peels—yield improved carcass quality and favorable blood profiles in both pigs and poultry, supporting its safe and efficient utilization (Obongekpe, 2020).</w:t>
      </w:r>
    </w:p>
    <w:p w14:paraId="37815605" w14:textId="77777777"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2.3 Moringa oleifera Leaf Meal</w:t>
      </w:r>
    </w:p>
    <w:p w14:paraId="77CDCD2A" w14:textId="77777777" w:rsidR="0075401E" w:rsidRPr="0075401E" w:rsidRDefault="0075401E" w:rsidP="004A543E">
      <w:pPr>
        <w:jc w:val="both"/>
        <w:rPr>
          <w:rFonts w:ascii="Times New Roman" w:hAnsi="Times New Roman" w:cs="Times New Roman"/>
        </w:rPr>
      </w:pPr>
      <w:r w:rsidRPr="0075401E">
        <w:rPr>
          <w:rFonts w:ascii="Times New Roman" w:hAnsi="Times New Roman" w:cs="Times New Roman"/>
        </w:rPr>
        <w:t xml:space="preserve">Moringa oleifera leaf meal (MOLM) offers an excellent source of protein, often exceeding 25% crude protein content, and is rich in vitamins, minerals, and bioactive antioxidants such as flavonoids and phenolic acids. In poultry and ruminant diets, MOLM supplementation has been associated with enhanced weight gain, improved immune responses, and increased antioxidant capacity (Adegun </w:t>
      </w:r>
      <w:r w:rsidR="008235E8">
        <w:rPr>
          <w:rFonts w:ascii="Times New Roman" w:hAnsi="Times New Roman" w:cs="Times New Roman"/>
        </w:rPr>
        <w:t>et al.,</w:t>
      </w:r>
      <w:r w:rsidRPr="0075401E">
        <w:rPr>
          <w:rFonts w:ascii="Times New Roman" w:hAnsi="Times New Roman" w:cs="Times New Roman"/>
        </w:rPr>
        <w:t xml:space="preserve"> 2011). However, the presence of anti-nutritional factors such as tannins and saponins at high inclusion rates may impair nutrient absorption. Evidence suggests that inclusion levels up to 10–15% in poultry diets are safe and do not adversely affect growth performance, egg production, or other productive parameters (Akintunde &amp; Toye, 2022).</w:t>
      </w:r>
    </w:p>
    <w:p w14:paraId="2D44ABCF" w14:textId="77777777"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2.4 Maggot Meal and Insect-Based Protein Sources</w:t>
      </w:r>
    </w:p>
    <w:p w14:paraId="3E7FFF3D" w14:textId="77777777" w:rsidR="0075401E" w:rsidRPr="0075401E" w:rsidRDefault="0075401E" w:rsidP="004A543E">
      <w:pPr>
        <w:jc w:val="both"/>
        <w:rPr>
          <w:rFonts w:ascii="Times New Roman" w:hAnsi="Times New Roman" w:cs="Times New Roman"/>
        </w:rPr>
      </w:pPr>
      <w:r w:rsidRPr="0075401E">
        <w:rPr>
          <w:rFonts w:ascii="Times New Roman" w:hAnsi="Times New Roman" w:cs="Times New Roman"/>
        </w:rPr>
        <w:t>Maggot meal, primarily derived from the larvae of the housefly (</w:t>
      </w:r>
      <w:r w:rsidRPr="0075401E">
        <w:rPr>
          <w:rFonts w:ascii="Times New Roman" w:hAnsi="Times New Roman" w:cs="Times New Roman"/>
          <w:i/>
          <w:iCs/>
        </w:rPr>
        <w:t>Musca domestica</w:t>
      </w:r>
      <w:r w:rsidRPr="0075401E">
        <w:rPr>
          <w:rFonts w:ascii="Times New Roman" w:hAnsi="Times New Roman" w:cs="Times New Roman"/>
        </w:rPr>
        <w:t xml:space="preserve">), has emerged as a promising alternative protein source in poultry diets. With crude protein content reaching up </w:t>
      </w:r>
      <w:commentRangeStart w:id="1"/>
      <w:r w:rsidRPr="0075401E">
        <w:rPr>
          <w:rFonts w:ascii="Times New Roman" w:hAnsi="Times New Roman" w:cs="Times New Roman"/>
        </w:rPr>
        <w:t xml:space="preserve">to 60% and a favorable amino acid profile, maggot meal effectively supports growth and feed conversion in both broilers and layers when included at appropriate levels </w:t>
      </w:r>
      <w:commentRangeEnd w:id="1"/>
      <w:r w:rsidR="00E61CD8">
        <w:rPr>
          <w:rStyle w:val="CommentReference"/>
        </w:rPr>
        <w:commentReference w:id="1"/>
      </w:r>
      <w:r w:rsidRPr="0075401E">
        <w:rPr>
          <w:rFonts w:ascii="Times New Roman" w:hAnsi="Times New Roman" w:cs="Times New Roman"/>
        </w:rPr>
        <w:t>(Awoniyi et al., 2004). Despite its nutritional benefits, public perception and consumer acceptance of insect-based proteins remain significant barriers to widespread adoption. Additionally, improper processing or inadequate storage practices can lead to microbial contamination and the accumulation of harmful toxins. As such, ensuring hygienic production and handling practices is critical to the safe and effective use of maggot meal in poultry feed formulations.</w:t>
      </w:r>
    </w:p>
    <w:p w14:paraId="4F6F953C" w14:textId="77777777"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2.5 Brewers’ Dried Grains (BDG)</w:t>
      </w:r>
    </w:p>
    <w:p w14:paraId="06BD02FB" w14:textId="77777777" w:rsidR="0075401E" w:rsidRPr="0075401E" w:rsidRDefault="0075401E" w:rsidP="004A543E">
      <w:pPr>
        <w:jc w:val="both"/>
        <w:rPr>
          <w:rFonts w:ascii="Times New Roman" w:hAnsi="Times New Roman" w:cs="Times New Roman"/>
        </w:rPr>
      </w:pPr>
      <w:commentRangeStart w:id="2"/>
      <w:r w:rsidRPr="0075401E">
        <w:rPr>
          <w:rFonts w:ascii="Times New Roman" w:hAnsi="Times New Roman" w:cs="Times New Roman"/>
        </w:rPr>
        <w:t xml:space="preserve">Brewers’ dried grains (BDG), a by-product of the beer brewing industry, are readily available across Nigeria and offer a valuable nutritional profile characterized by 20–25% crude protein, moderate fiber, and residual energy. </w:t>
      </w:r>
      <w:r w:rsidRPr="00FB0A57">
        <w:rPr>
          <w:rFonts w:ascii="Times New Roman" w:hAnsi="Times New Roman" w:cs="Times New Roman"/>
        </w:rPr>
        <w:t>The inclusion</w:t>
      </w:r>
      <w:r w:rsidRPr="0075401E">
        <w:rPr>
          <w:rFonts w:ascii="Times New Roman" w:hAnsi="Times New Roman" w:cs="Times New Roman"/>
        </w:rPr>
        <w:t xml:space="preserve"> of BDG in poultry diets has been shown to improve cost efficiency without compromising performance when incorporated at rates up to 20% (El-Hack et al., 2019). However, one of the major concerns associated with BDG use is the risk of mycotoxin contamination, particularly under poor storage conditions. High moisture content and inadequate drying facilitate the growth of fungi, notably </w:t>
      </w:r>
      <w:r w:rsidRPr="0075401E">
        <w:rPr>
          <w:rFonts w:ascii="Times New Roman" w:hAnsi="Times New Roman" w:cs="Times New Roman"/>
          <w:i/>
          <w:iCs/>
        </w:rPr>
        <w:t>Aspergillus</w:t>
      </w:r>
      <w:r w:rsidRPr="0075401E">
        <w:rPr>
          <w:rFonts w:ascii="Times New Roman" w:hAnsi="Times New Roman" w:cs="Times New Roman"/>
        </w:rPr>
        <w:t xml:space="preserve"> species, which produce aflatoxins detrimental to poultry health. Proper drying, handling, and storage protocols are therefore essential to ensuring the safety and quality of BDG intended for feed use.</w:t>
      </w:r>
      <w:commentRangeEnd w:id="2"/>
      <w:r w:rsidR="00E61CD8">
        <w:rPr>
          <w:rStyle w:val="CommentReference"/>
        </w:rPr>
        <w:commentReference w:id="2"/>
      </w:r>
    </w:p>
    <w:p w14:paraId="1C28050B" w14:textId="77777777" w:rsidR="00FB0A57" w:rsidRDefault="00FB0A57" w:rsidP="004A543E">
      <w:pPr>
        <w:jc w:val="both"/>
        <w:rPr>
          <w:rFonts w:ascii="Times New Roman" w:hAnsi="Times New Roman" w:cs="Times New Roman"/>
          <w:b/>
          <w:bCs/>
        </w:rPr>
      </w:pPr>
    </w:p>
    <w:p w14:paraId="465630C4" w14:textId="77777777"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3. Biochemical Parameters in Poultry Nutrition Studies</w:t>
      </w:r>
    </w:p>
    <w:p w14:paraId="7399AAC3" w14:textId="77777777" w:rsidR="0075401E" w:rsidRPr="0075401E" w:rsidRDefault="0075401E" w:rsidP="004A543E">
      <w:pPr>
        <w:jc w:val="both"/>
        <w:rPr>
          <w:rFonts w:ascii="Times New Roman" w:hAnsi="Times New Roman" w:cs="Times New Roman"/>
        </w:rPr>
      </w:pPr>
      <w:r w:rsidRPr="0075401E">
        <w:rPr>
          <w:rFonts w:ascii="Times New Roman" w:hAnsi="Times New Roman" w:cs="Times New Roman"/>
        </w:rPr>
        <w:t xml:space="preserve">Biochemical parameters offer critical insights into the internal physiological responses of poultry to dietary interventions. Unlike growth performance metrics, which often reflect outcomes only </w:t>
      </w:r>
      <w:r w:rsidRPr="0075401E">
        <w:rPr>
          <w:rFonts w:ascii="Times New Roman" w:hAnsi="Times New Roman" w:cs="Times New Roman"/>
        </w:rPr>
        <w:lastRenderedPageBreak/>
        <w:t>after prolonged exposure, biochemical markers can provide early warnings of toxicity, metabolic stress, or, conversely, improvements in health and resilience. They serve as valuable tools in evaluating the safety, efficacy, and physiological impacts of alternative feed ingredients (AFIs) and other nutritional strategies.</w:t>
      </w:r>
    </w:p>
    <w:p w14:paraId="6938F9B1" w14:textId="77777777"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3.1 Enzymatic Activity (Amylase, Protease, Lipase)</w:t>
      </w:r>
    </w:p>
    <w:p w14:paraId="49CFE912" w14:textId="77777777" w:rsidR="0075401E" w:rsidRPr="0075401E" w:rsidRDefault="0075401E" w:rsidP="004A543E">
      <w:pPr>
        <w:jc w:val="both"/>
        <w:rPr>
          <w:rFonts w:ascii="Times New Roman" w:hAnsi="Times New Roman" w:cs="Times New Roman"/>
        </w:rPr>
      </w:pPr>
      <w:r w:rsidRPr="0075401E">
        <w:rPr>
          <w:rFonts w:ascii="Times New Roman" w:hAnsi="Times New Roman" w:cs="Times New Roman"/>
        </w:rPr>
        <w:t>Digestive enzymes such as amylase, protease, and lipase play essential roles in nutrient assimilation in poultry. Supplementation with exogenous enzymes, particularly in young broilers with immature digestive systems, has been shown to enhance nutrient utilization. For instance, the addition of multi-enzyme blends to corn–soybean diets significantly improved the digestibility of starch and protein in broilers, achieving ileal digestibility rates of approximately 97.7% for starch and 80–83% for protein (Slominski et al., 2006). Although the direct impact on overall growth performance was modest, the findings emphasize the role of enzyme activity in optimizing feed efficiency and nutrient availability.</w:t>
      </w:r>
    </w:p>
    <w:p w14:paraId="482D3559" w14:textId="77777777"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3.2 Liver Function Enzymes (AST, ALT, ALP)</w:t>
      </w:r>
    </w:p>
    <w:p w14:paraId="0964810F" w14:textId="77777777" w:rsidR="0075401E" w:rsidRPr="0075401E" w:rsidRDefault="0075401E" w:rsidP="004A543E">
      <w:pPr>
        <w:jc w:val="both"/>
        <w:rPr>
          <w:rFonts w:ascii="Times New Roman" w:hAnsi="Times New Roman" w:cs="Times New Roman"/>
        </w:rPr>
      </w:pPr>
      <w:r w:rsidRPr="0075401E">
        <w:rPr>
          <w:rFonts w:ascii="Times New Roman" w:hAnsi="Times New Roman" w:cs="Times New Roman"/>
        </w:rPr>
        <w:t xml:space="preserve">Liver function enzymes—specifically aspartate aminotransferase (AST), alanine aminotransferase (ALT), and alkaline phosphatase (ALP)—are reliable indicators of hepatic health and metabolic status. Nutritional stressors, including heat exposure and dietary imbalances, can significantly alter these enzymes' activity. In broilers subjected to acute heat stress, elevated levels of ALT, AST, and ALP were observed, signaling hepatic strain and potential organ dysfunction (Huang et al., 2017). Conversely, dietary supplementation with natural extracts such as </w:t>
      </w:r>
      <w:r w:rsidRPr="0075401E">
        <w:rPr>
          <w:rFonts w:ascii="Times New Roman" w:hAnsi="Times New Roman" w:cs="Times New Roman"/>
          <w:i/>
          <w:iCs/>
        </w:rPr>
        <w:t>Urtica dioica</w:t>
      </w:r>
      <w:r w:rsidRPr="0075401E">
        <w:rPr>
          <w:rFonts w:ascii="Times New Roman" w:hAnsi="Times New Roman" w:cs="Times New Roman"/>
        </w:rPr>
        <w:t xml:space="preserve"> (nettle) has demonstrated hepatoprotective effects by reducing these enzyme levels (Behboodi et al., 2021), underscoring the potential of phytogenic additives in mitigating metabolic stress.</w:t>
      </w:r>
    </w:p>
    <w:p w14:paraId="6FB7DB3D" w14:textId="77777777"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3.3 Oxidative Stress Markers (MDA, SOD, GPx, Catalase)</w:t>
      </w:r>
    </w:p>
    <w:p w14:paraId="7B62953D" w14:textId="77777777" w:rsidR="0075401E" w:rsidRPr="0075401E" w:rsidRDefault="0075401E" w:rsidP="004A543E">
      <w:pPr>
        <w:jc w:val="both"/>
        <w:rPr>
          <w:rFonts w:ascii="Times New Roman" w:hAnsi="Times New Roman" w:cs="Times New Roman"/>
        </w:rPr>
      </w:pPr>
      <w:r w:rsidRPr="0075401E">
        <w:rPr>
          <w:rFonts w:ascii="Times New Roman" w:hAnsi="Times New Roman" w:cs="Times New Roman"/>
        </w:rPr>
        <w:t>Oxidative stress is a major factor affecting poultry health, and it is typically assessed through markers such as malondialdehyde (MDA), superoxide dismutase (SOD), glutathione peroxidase (GPx), and catalase activities. High oxidative stress leads to lipid peroxidation, damaging cellular membranes and impairing physiological functions. Nutritional interventions with antioxidant-rich additives, such as Moringa and nettle extracts, have been shown to enhance endogenous antioxidant defenses. Broilers receiving 0.25 ml/L of nettle extract exhibited increased serum SOD activity and total antioxidant capacity, coupled with a significant reduction in lipid peroxidation markers (Behboodi et al., 2021), demonstrating the protective role of natural antioxidants in poultry diets.</w:t>
      </w:r>
    </w:p>
    <w:p w14:paraId="10043C86" w14:textId="77777777" w:rsidR="00FB0A57" w:rsidRDefault="00FB0A57" w:rsidP="004A543E">
      <w:pPr>
        <w:jc w:val="both"/>
        <w:rPr>
          <w:rFonts w:ascii="Times New Roman" w:hAnsi="Times New Roman" w:cs="Times New Roman"/>
          <w:b/>
          <w:bCs/>
        </w:rPr>
      </w:pPr>
    </w:p>
    <w:p w14:paraId="0D92A1CC" w14:textId="77777777"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3.4 Lipid Profile (HDL, LDL, Total Cholesterol)</w:t>
      </w:r>
    </w:p>
    <w:p w14:paraId="4D55BCAA" w14:textId="77777777" w:rsidR="0075401E" w:rsidRPr="0075401E" w:rsidRDefault="0075401E" w:rsidP="004A543E">
      <w:pPr>
        <w:jc w:val="both"/>
        <w:rPr>
          <w:rFonts w:ascii="Times New Roman" w:hAnsi="Times New Roman" w:cs="Times New Roman"/>
        </w:rPr>
      </w:pPr>
      <w:r w:rsidRPr="0075401E">
        <w:rPr>
          <w:rFonts w:ascii="Times New Roman" w:hAnsi="Times New Roman" w:cs="Times New Roman"/>
        </w:rPr>
        <w:t xml:space="preserve">Alterations in lipid metabolism are closely tied to both genetic factors and dietary composition. In broiler lines selected for fat content, birds with a predisposition for fat deposition exhibited higher </w:t>
      </w:r>
      <w:r w:rsidRPr="0075401E">
        <w:rPr>
          <w:rFonts w:ascii="Times New Roman" w:hAnsi="Times New Roman" w:cs="Times New Roman"/>
        </w:rPr>
        <w:lastRenderedPageBreak/>
        <w:t xml:space="preserve">high-density lipoprotein (HDL) levels and </w:t>
      </w:r>
      <w:commentRangeStart w:id="3"/>
      <w:r w:rsidRPr="0075401E">
        <w:rPr>
          <w:rFonts w:ascii="Times New Roman" w:hAnsi="Times New Roman" w:cs="Times New Roman"/>
        </w:rPr>
        <w:t>HDL-to-low-density lipoprotein (LDL</w:t>
      </w:r>
      <w:commentRangeEnd w:id="3"/>
      <w:r w:rsidR="00495EF3">
        <w:rPr>
          <w:rStyle w:val="CommentReference"/>
        </w:rPr>
        <w:commentReference w:id="3"/>
      </w:r>
      <w:r w:rsidRPr="0075401E">
        <w:rPr>
          <w:rFonts w:ascii="Times New Roman" w:hAnsi="Times New Roman" w:cs="Times New Roman"/>
        </w:rPr>
        <w:t xml:space="preserve">) ratios, but lower LDL and total cholesterol levels (Dong et al., 2015). This suggests that lipid profiles can serve as predictive biomarkers for fat deposition traits. Moreover, supplementation with </w:t>
      </w:r>
      <w:r w:rsidRPr="0075401E">
        <w:rPr>
          <w:rFonts w:ascii="Times New Roman" w:hAnsi="Times New Roman" w:cs="Times New Roman"/>
          <w:i/>
          <w:iCs/>
        </w:rPr>
        <w:t>Urtica dioica</w:t>
      </w:r>
      <w:r w:rsidRPr="0075401E">
        <w:rPr>
          <w:rFonts w:ascii="Times New Roman" w:hAnsi="Times New Roman" w:cs="Times New Roman"/>
        </w:rPr>
        <w:t xml:space="preserve"> extract has been shown to lower serum cholesterol and triglyceride levels in broilers, thereby potentially improving meat quality and reducing the risk of lipid-related disorders (Behboodi et al., 2021).</w:t>
      </w:r>
    </w:p>
    <w:p w14:paraId="6D33B061" w14:textId="77777777"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3.</w:t>
      </w:r>
      <w:commentRangeStart w:id="4"/>
      <w:r w:rsidRPr="0075401E">
        <w:rPr>
          <w:rFonts w:ascii="Times New Roman" w:hAnsi="Times New Roman" w:cs="Times New Roman"/>
          <w:b/>
          <w:bCs/>
        </w:rPr>
        <w:t>5 Serum Protein Levels (Albumin, Globulin)</w:t>
      </w:r>
    </w:p>
    <w:p w14:paraId="73026548" w14:textId="77777777" w:rsidR="0075401E" w:rsidRPr="0075401E" w:rsidRDefault="0075401E" w:rsidP="004A543E">
      <w:pPr>
        <w:jc w:val="both"/>
        <w:rPr>
          <w:rFonts w:ascii="Times New Roman" w:hAnsi="Times New Roman" w:cs="Times New Roman"/>
        </w:rPr>
      </w:pPr>
      <w:r w:rsidRPr="0075401E">
        <w:rPr>
          <w:rFonts w:ascii="Times New Roman" w:hAnsi="Times New Roman" w:cs="Times New Roman"/>
        </w:rPr>
        <w:t>Serum proteins, including albumin and globulin, reflect the protein metabolic status and immune competence of poultry. Dietary interventions using biofortified maize and natural additives have been associated with increases in total protein, albumin, and globulin concentrations without adverse effects (Odunitan-Wayas et al., 2018; Behboodi et al., 2021). For example, nettle extract supplementation elevated serum albumin levels while concurrently reducing urea concentrations and liver enzyme activities, suggesting improved protein metabolism and hepatic function.</w:t>
      </w:r>
      <w:commentRangeEnd w:id="4"/>
      <w:r w:rsidR="00495EF3">
        <w:rPr>
          <w:rStyle w:val="CommentReference"/>
        </w:rPr>
        <w:commentReference w:id="4"/>
      </w:r>
    </w:p>
    <w:p w14:paraId="3DF478A9" w14:textId="77777777"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3.6 Immune Function Indicators (IgG, IgA, WBC Count)</w:t>
      </w:r>
    </w:p>
    <w:p w14:paraId="66C5CED3" w14:textId="77777777" w:rsidR="0075401E" w:rsidRPr="0075401E" w:rsidRDefault="0075401E" w:rsidP="004A543E">
      <w:pPr>
        <w:jc w:val="both"/>
        <w:rPr>
          <w:rFonts w:ascii="Times New Roman" w:hAnsi="Times New Roman" w:cs="Times New Roman"/>
        </w:rPr>
      </w:pPr>
      <w:r w:rsidRPr="0075401E">
        <w:rPr>
          <w:rFonts w:ascii="Times New Roman" w:hAnsi="Times New Roman" w:cs="Times New Roman"/>
        </w:rPr>
        <w:t xml:space="preserve">Assessment of immune function through immunoglobulin levels (IgG, IgA) and white blood cell (WBC) counts provides important insights into the immunomodulatory effects </w:t>
      </w:r>
      <w:commentRangeStart w:id="5"/>
      <w:r w:rsidRPr="0075401E">
        <w:rPr>
          <w:rFonts w:ascii="Times New Roman" w:hAnsi="Times New Roman" w:cs="Times New Roman"/>
        </w:rPr>
        <w:t>of dietary components</w:t>
      </w:r>
      <w:commentRangeEnd w:id="5"/>
      <w:r w:rsidR="00495EF3">
        <w:rPr>
          <w:rStyle w:val="CommentReference"/>
        </w:rPr>
        <w:commentReference w:id="5"/>
      </w:r>
      <w:r w:rsidRPr="0075401E">
        <w:rPr>
          <w:rFonts w:ascii="Times New Roman" w:hAnsi="Times New Roman" w:cs="Times New Roman"/>
        </w:rPr>
        <w:t>. Natural additives such as Moringa and hot red pepper have been shown to enhance both innate and adaptive immune responses, as evidenced by increased IgG production and elevated WBC counts in supplemented birds (Khan et al., 2021; Adedoyin et al., 2019). Importantly, these immunostimulatory effects were achieved without adverse impacts on liver or kidney function, supporting the safety and efficacy of phytogenic additives in promoting poultry health.</w:t>
      </w:r>
    </w:p>
    <w:p w14:paraId="4D9C4FEA" w14:textId="77777777" w:rsidR="00F3313D" w:rsidRPr="00F3313D" w:rsidRDefault="00F3313D" w:rsidP="004A543E">
      <w:pPr>
        <w:jc w:val="both"/>
        <w:rPr>
          <w:rFonts w:ascii="Times New Roman" w:hAnsi="Times New Roman" w:cs="Times New Roman"/>
          <w:b/>
          <w:bCs/>
        </w:rPr>
      </w:pPr>
      <w:r w:rsidRPr="00F3313D">
        <w:rPr>
          <w:rFonts w:ascii="Times New Roman" w:hAnsi="Times New Roman" w:cs="Times New Roman"/>
          <w:b/>
          <w:bCs/>
        </w:rPr>
        <w:t>4. Biochemical Impacts of Specific Alternative Feeds</w:t>
      </w:r>
    </w:p>
    <w:p w14:paraId="00B2A6FE" w14:textId="77777777" w:rsidR="00F3313D" w:rsidRPr="00F3313D" w:rsidRDefault="00F3313D" w:rsidP="004A543E">
      <w:pPr>
        <w:jc w:val="both"/>
        <w:rPr>
          <w:rFonts w:ascii="Times New Roman" w:hAnsi="Times New Roman" w:cs="Times New Roman"/>
          <w:b/>
          <w:bCs/>
        </w:rPr>
      </w:pPr>
      <w:r w:rsidRPr="00F3313D">
        <w:rPr>
          <w:rFonts w:ascii="Times New Roman" w:hAnsi="Times New Roman" w:cs="Times New Roman"/>
          <w:b/>
          <w:bCs/>
        </w:rPr>
        <w:t>4.1 Effects of Cassava By-Products</w:t>
      </w:r>
    </w:p>
    <w:p w14:paraId="60BD0FB9" w14:textId="77777777" w:rsidR="00F3313D" w:rsidRPr="00F3313D" w:rsidRDefault="00F3313D" w:rsidP="00FB0A57">
      <w:pPr>
        <w:rPr>
          <w:rFonts w:ascii="Times New Roman" w:hAnsi="Times New Roman" w:cs="Times New Roman"/>
        </w:rPr>
      </w:pPr>
      <w:r w:rsidRPr="00F3313D">
        <w:rPr>
          <w:rFonts w:ascii="Times New Roman" w:hAnsi="Times New Roman" w:cs="Times New Roman"/>
          <w:b/>
          <w:bCs/>
        </w:rPr>
        <w:t>Detoxification Impact on Liver Enzymes</w:t>
      </w:r>
      <w:r w:rsidRPr="00F3313D">
        <w:rPr>
          <w:rFonts w:ascii="Times New Roman" w:hAnsi="Times New Roman" w:cs="Times New Roman"/>
        </w:rPr>
        <w:br/>
        <w:t xml:space="preserve">Cassava by-products, particularly peels and pulp, are rich in energy but naturally contain cyanogenic glycosides that can pose toxicity risks if not properly processed. Nonetheless, studies have demonstrated that controlled inclusion of hydrolyzed or fermented cassava peel meal preserves liver integrity. Feeding broilers with </w:t>
      </w:r>
      <w:r w:rsidRPr="00F3313D">
        <w:rPr>
          <w:rFonts w:ascii="Times New Roman" w:hAnsi="Times New Roman" w:cs="Times New Roman"/>
          <w:i/>
          <w:iCs/>
        </w:rPr>
        <w:t>Aspergillus niger</w:t>
      </w:r>
      <w:r w:rsidRPr="00F3313D">
        <w:rPr>
          <w:rFonts w:ascii="Times New Roman" w:hAnsi="Times New Roman" w:cs="Times New Roman"/>
        </w:rPr>
        <w:t>-hydrolyzed cassava peel meal, even at inclusion levels up to 50%, maintained normal liver collagen and reticulin structures, indicating the absence of liver damage (Muhammed et al., 2016). Histological assessments further confirmed no significant hepatic lesions at moderate cassava inclusion rates (Adeyemo et al., 2014).</w:t>
      </w:r>
    </w:p>
    <w:p w14:paraId="501127EA" w14:textId="77777777" w:rsidR="00F3313D" w:rsidRPr="00F3313D" w:rsidRDefault="00F3313D" w:rsidP="004A543E">
      <w:pPr>
        <w:jc w:val="both"/>
        <w:rPr>
          <w:rFonts w:ascii="Times New Roman" w:hAnsi="Times New Roman" w:cs="Times New Roman"/>
        </w:rPr>
      </w:pPr>
      <w:r w:rsidRPr="00F3313D">
        <w:rPr>
          <w:rFonts w:ascii="Times New Roman" w:hAnsi="Times New Roman" w:cs="Times New Roman"/>
          <w:b/>
          <w:bCs/>
        </w:rPr>
        <w:t>Role of Fermentation in Improving Bioavailability and Reducing Stress Markers</w:t>
      </w:r>
      <w:r w:rsidRPr="00F3313D">
        <w:rPr>
          <w:rFonts w:ascii="Times New Roman" w:hAnsi="Times New Roman" w:cs="Times New Roman"/>
        </w:rPr>
        <w:br/>
        <w:t xml:space="preserve">Fermentation significantly improves the nutritional quality of cassava by reducing anti-nutritional factors and enhancing nutrient digestibility. For example, cassava pulp fermented with </w:t>
      </w:r>
      <w:r w:rsidRPr="00F3313D">
        <w:rPr>
          <w:rFonts w:ascii="Times New Roman" w:hAnsi="Times New Roman" w:cs="Times New Roman"/>
          <w:i/>
          <w:iCs/>
        </w:rPr>
        <w:lastRenderedPageBreak/>
        <w:t>Acremonium charticola</w:t>
      </w:r>
      <w:r w:rsidRPr="00F3313D">
        <w:rPr>
          <w:rFonts w:ascii="Times New Roman" w:hAnsi="Times New Roman" w:cs="Times New Roman"/>
        </w:rPr>
        <w:t xml:space="preserve"> reduced oxidative stress markers and improved crude protein content in broiler meat (Sugiharto et al., 2017). A recent meta-analysis also found that fermented cassava diets elevated serum protein levels and enhanced white blood cell counts in poultry, suggesting improved immune function and nutrient utilization (Ogbuewu et al., 2023).</w:t>
      </w:r>
    </w:p>
    <w:p w14:paraId="3D351D0A" w14:textId="77777777" w:rsidR="00F3313D" w:rsidRPr="00F3313D" w:rsidRDefault="00F3313D" w:rsidP="004A543E">
      <w:pPr>
        <w:jc w:val="both"/>
        <w:rPr>
          <w:rFonts w:ascii="Times New Roman" w:hAnsi="Times New Roman" w:cs="Times New Roman"/>
          <w:b/>
          <w:bCs/>
        </w:rPr>
      </w:pPr>
      <w:r w:rsidRPr="00F3313D">
        <w:rPr>
          <w:rFonts w:ascii="Times New Roman" w:hAnsi="Times New Roman" w:cs="Times New Roman"/>
          <w:b/>
          <w:bCs/>
        </w:rPr>
        <w:t>4.2 Impact of Palm Kernel Cake (PKC) and Other Fibrous Ingredients</w:t>
      </w:r>
    </w:p>
    <w:p w14:paraId="39A7EB17" w14:textId="77777777" w:rsidR="00F3313D" w:rsidRPr="00F3313D" w:rsidRDefault="00F3313D" w:rsidP="00FB0A57">
      <w:pPr>
        <w:rPr>
          <w:rFonts w:ascii="Times New Roman" w:hAnsi="Times New Roman" w:cs="Times New Roman"/>
        </w:rPr>
      </w:pPr>
      <w:r w:rsidRPr="00F3313D">
        <w:rPr>
          <w:rFonts w:ascii="Times New Roman" w:hAnsi="Times New Roman" w:cs="Times New Roman"/>
          <w:b/>
          <w:bCs/>
        </w:rPr>
        <w:t>Liver Enlargement and Enzyme Elevation Due to Fibrous Overload</w:t>
      </w:r>
      <w:r w:rsidRPr="00F3313D">
        <w:rPr>
          <w:rFonts w:ascii="Times New Roman" w:hAnsi="Times New Roman" w:cs="Times New Roman"/>
        </w:rPr>
        <w:br/>
        <w:t>High-fiber feed ingredients such as PKC can impose significant metabolic strain on poultry, leading to compensatory liver enlargement and elevated liver enzyme activities. In broilers, liver weight was found to increase significantly with higher PKC inclusion rates, particularly when diets lacked supplemental enzymes (Hakim et al., 2022). Additionally, in vitro studies demonstrated that unprocessed PKC could induce oxidative stress in hepatocytes, highlighting the importance of appropriate processing (Oskoueian et al., 2014).</w:t>
      </w:r>
    </w:p>
    <w:p w14:paraId="79F29EC1" w14:textId="77777777" w:rsidR="00F3313D" w:rsidRPr="00F3313D" w:rsidRDefault="00F3313D" w:rsidP="00FB0A57">
      <w:pPr>
        <w:rPr>
          <w:rFonts w:ascii="Times New Roman" w:hAnsi="Times New Roman" w:cs="Times New Roman"/>
        </w:rPr>
      </w:pPr>
      <w:r w:rsidRPr="00F3313D">
        <w:rPr>
          <w:rFonts w:ascii="Times New Roman" w:hAnsi="Times New Roman" w:cs="Times New Roman"/>
          <w:b/>
          <w:bCs/>
        </w:rPr>
        <w:t>Effect of Enzyme Supplementation</w:t>
      </w:r>
      <w:r w:rsidRPr="00F3313D">
        <w:rPr>
          <w:rFonts w:ascii="Times New Roman" w:hAnsi="Times New Roman" w:cs="Times New Roman"/>
        </w:rPr>
        <w:br/>
        <w:t>The incorporation of fiber-degrading enzymes such as mannanase, cellulase, and protease has proven effective in mitigating the adverse effects of PKC. Enzyme supplementation improved average daily gain (ADG), feed conversion ratio (FCR), and carcass yield in broilers fed diets containing 10–20% PKC, without compromising liver health (Zubaidah et al., 2024). Further improvements were noted when PKC was combined with xylanase, promoting gut microbial balance and enhancing nutrient digestibility (Okukpe et al., 2019). Techniques like sieving to remove shell particles, coupled with enzyme supplementation, have also been shown to increase crude protein availability while reducing fibrous load on internal organs (Sinurat et al., 2013).</w:t>
      </w:r>
    </w:p>
    <w:p w14:paraId="6BC1444D" w14:textId="77777777" w:rsidR="00F3313D" w:rsidRPr="00F3313D" w:rsidRDefault="00F3313D" w:rsidP="004A543E">
      <w:pPr>
        <w:jc w:val="both"/>
        <w:rPr>
          <w:rFonts w:ascii="Times New Roman" w:hAnsi="Times New Roman" w:cs="Times New Roman"/>
          <w:b/>
          <w:bCs/>
        </w:rPr>
      </w:pPr>
      <w:r w:rsidRPr="00F3313D">
        <w:rPr>
          <w:rFonts w:ascii="Times New Roman" w:hAnsi="Times New Roman" w:cs="Times New Roman"/>
          <w:b/>
          <w:bCs/>
        </w:rPr>
        <w:t>4.3 Antioxidant Potential of Moringa</w:t>
      </w:r>
    </w:p>
    <w:p w14:paraId="70663747" w14:textId="77777777" w:rsidR="00F3313D" w:rsidRPr="00F3313D" w:rsidRDefault="00F3313D" w:rsidP="00FB0A57">
      <w:pPr>
        <w:rPr>
          <w:rFonts w:ascii="Times New Roman" w:hAnsi="Times New Roman" w:cs="Times New Roman"/>
        </w:rPr>
      </w:pPr>
      <w:r w:rsidRPr="00F3313D">
        <w:rPr>
          <w:rFonts w:ascii="Times New Roman" w:hAnsi="Times New Roman" w:cs="Times New Roman"/>
          <w:b/>
          <w:bCs/>
        </w:rPr>
        <w:t>Effects on Oxidative Stress Parameters</w:t>
      </w:r>
      <w:r w:rsidRPr="00F3313D">
        <w:rPr>
          <w:rFonts w:ascii="Times New Roman" w:hAnsi="Times New Roman" w:cs="Times New Roman"/>
        </w:rPr>
        <w:br/>
      </w:r>
      <w:r w:rsidRPr="00F3313D">
        <w:rPr>
          <w:rFonts w:ascii="Times New Roman" w:hAnsi="Times New Roman" w:cs="Times New Roman"/>
          <w:i/>
          <w:iCs/>
        </w:rPr>
        <w:t>Moringa oleifera</w:t>
      </w:r>
      <w:r w:rsidRPr="00F3313D">
        <w:rPr>
          <w:rFonts w:ascii="Times New Roman" w:hAnsi="Times New Roman" w:cs="Times New Roman"/>
        </w:rPr>
        <w:t xml:space="preserve"> leaf supplementation has exhibited strong antioxidant properties in poultry nutrition. Inclusion of Moringa in broiler diets increased the activities of antioxidant enzymes such as glutathione peroxidase, catalase, and superoxide dismutase, helping to counteract oxidative damage (El-Deep et al., 2019). In disease-challenged birds, Moringa supplementation reduced malondialdehyde (MDA) levels and supported liver antioxidant defenses during infections like infectious bursal disease (Balami et al., 2021). Furthermore, studies found that Moringa reduced hepatic lipid peroxidation without adversely affecting performance outcomes (Rao et al., 2019).</w:t>
      </w:r>
    </w:p>
    <w:p w14:paraId="1C63A1FF" w14:textId="77777777" w:rsidR="00F3313D" w:rsidRPr="00F3313D" w:rsidRDefault="00F3313D" w:rsidP="00FB0A57">
      <w:pPr>
        <w:rPr>
          <w:rFonts w:ascii="Times New Roman" w:hAnsi="Times New Roman" w:cs="Times New Roman"/>
        </w:rPr>
      </w:pPr>
      <w:r w:rsidRPr="00F3313D">
        <w:rPr>
          <w:rFonts w:ascii="Times New Roman" w:hAnsi="Times New Roman" w:cs="Times New Roman"/>
          <w:b/>
          <w:bCs/>
        </w:rPr>
        <w:t>Immunomodulatory Roles</w:t>
      </w:r>
      <w:r w:rsidRPr="00F3313D">
        <w:rPr>
          <w:rFonts w:ascii="Times New Roman" w:hAnsi="Times New Roman" w:cs="Times New Roman"/>
        </w:rPr>
        <w:br/>
        <w:t xml:space="preserve">Beyond its antioxidative effects, Moringa exerts significant immunomodulatory impacts. Supplementation upregulated key cytokines such as interleukin-2 (IL-2) and interleukin-6 (IL-6) and boosted antibody responses against poultry vaccines like Newcastle disease virus (NDV) (El-Deep et al., 2019). Additionally, Moringa supplementation enhanced immunoglobulin concentrations and improved resistance to pathogenic challenges, even matching the </w:t>
      </w:r>
      <w:r w:rsidRPr="00F3313D">
        <w:rPr>
          <w:rFonts w:ascii="Times New Roman" w:hAnsi="Times New Roman" w:cs="Times New Roman"/>
        </w:rPr>
        <w:lastRenderedPageBreak/>
        <w:t>effectiveness of standard anticoccidial drugs in coccidiosis-challenged broilers (Mahfuz &amp; Piao, 2019; Mashalla et al., 2022).</w:t>
      </w:r>
    </w:p>
    <w:p w14:paraId="354A6936" w14:textId="77777777" w:rsidR="00F3313D" w:rsidRPr="00F3313D" w:rsidRDefault="00F3313D" w:rsidP="004A543E">
      <w:pPr>
        <w:jc w:val="both"/>
        <w:rPr>
          <w:rFonts w:ascii="Times New Roman" w:hAnsi="Times New Roman" w:cs="Times New Roman"/>
          <w:b/>
          <w:bCs/>
        </w:rPr>
      </w:pPr>
      <w:r w:rsidRPr="00F3313D">
        <w:rPr>
          <w:rFonts w:ascii="Times New Roman" w:hAnsi="Times New Roman" w:cs="Times New Roman"/>
          <w:b/>
          <w:bCs/>
        </w:rPr>
        <w:t>4.4 Maggot and Insect Meals</w:t>
      </w:r>
    </w:p>
    <w:p w14:paraId="02B31197" w14:textId="77777777" w:rsidR="00F3313D" w:rsidRPr="00F3313D" w:rsidRDefault="00F3313D" w:rsidP="00FB0A57">
      <w:pPr>
        <w:rPr>
          <w:rFonts w:ascii="Times New Roman" w:hAnsi="Times New Roman" w:cs="Times New Roman"/>
        </w:rPr>
      </w:pPr>
      <w:r w:rsidRPr="00F3313D">
        <w:rPr>
          <w:rFonts w:ascii="Times New Roman" w:hAnsi="Times New Roman" w:cs="Times New Roman"/>
          <w:b/>
          <w:bCs/>
        </w:rPr>
        <w:t>Effect on Lipid Metabolism and Immune Response</w:t>
      </w:r>
      <w:r w:rsidRPr="00F3313D">
        <w:rPr>
          <w:rFonts w:ascii="Times New Roman" w:hAnsi="Times New Roman" w:cs="Times New Roman"/>
        </w:rPr>
        <w:br/>
        <w:t>Insect meals, including those derived from black soldier fly larvae and housefly maggots, offer promising high-quality protein sources for poultry. Their inclusion in broiler diets has been associated with improved lipid metabolism, including reductions in total cholesterol and LDL levels, as well as enhanced antioxidant enzyme activities such as SOD (Ognik et al., 2020). In addition to metabolic benefits, insect-based proteins stimulate humoral and cellular immunity, partly due to the presence of natural antimicrobial peptides (Elahi et al., 2022; Malematja et al., 2023).</w:t>
      </w:r>
    </w:p>
    <w:p w14:paraId="2AB68095" w14:textId="77777777" w:rsidR="00F3313D" w:rsidRPr="00F3313D" w:rsidRDefault="00F3313D" w:rsidP="00FB0A57">
      <w:pPr>
        <w:rPr>
          <w:rFonts w:ascii="Times New Roman" w:hAnsi="Times New Roman" w:cs="Times New Roman"/>
        </w:rPr>
      </w:pPr>
      <w:r w:rsidRPr="00F3313D">
        <w:rPr>
          <w:rFonts w:ascii="Times New Roman" w:hAnsi="Times New Roman" w:cs="Times New Roman"/>
          <w:b/>
          <w:bCs/>
        </w:rPr>
        <w:t>Risk of Microbial Contamination and Toxin Accumulation</w:t>
      </w:r>
      <w:r w:rsidRPr="00F3313D">
        <w:rPr>
          <w:rFonts w:ascii="Times New Roman" w:hAnsi="Times New Roman" w:cs="Times New Roman"/>
        </w:rPr>
        <w:br/>
      </w:r>
      <w:commentRangeStart w:id="6"/>
      <w:r w:rsidRPr="00F3313D">
        <w:rPr>
          <w:rFonts w:ascii="Times New Roman" w:hAnsi="Times New Roman" w:cs="Times New Roman"/>
        </w:rPr>
        <w:t>Despite these advantages, the use of insect meals is not without risks</w:t>
      </w:r>
      <w:commentRangeEnd w:id="6"/>
      <w:r w:rsidR="00DA7C7A">
        <w:rPr>
          <w:rStyle w:val="CommentReference"/>
        </w:rPr>
        <w:commentReference w:id="6"/>
      </w:r>
      <w:r w:rsidRPr="00F3313D">
        <w:rPr>
          <w:rFonts w:ascii="Times New Roman" w:hAnsi="Times New Roman" w:cs="Times New Roman"/>
        </w:rPr>
        <w:t xml:space="preserve">. When larvae are reared on waste substrates, they may harbor pathogenic microbes such as </w:t>
      </w:r>
      <w:r w:rsidRPr="00F3313D">
        <w:rPr>
          <w:rFonts w:ascii="Times New Roman" w:hAnsi="Times New Roman" w:cs="Times New Roman"/>
          <w:i/>
          <w:iCs/>
        </w:rPr>
        <w:t>Salmonella</w:t>
      </w:r>
      <w:r w:rsidRPr="00F3313D">
        <w:rPr>
          <w:rFonts w:ascii="Times New Roman" w:hAnsi="Times New Roman" w:cs="Times New Roman"/>
        </w:rPr>
        <w:t xml:space="preserve"> and </w:t>
      </w:r>
      <w:r w:rsidRPr="00F3313D">
        <w:rPr>
          <w:rFonts w:ascii="Times New Roman" w:hAnsi="Times New Roman" w:cs="Times New Roman"/>
          <w:i/>
          <w:iCs/>
        </w:rPr>
        <w:t>E. coli</w:t>
      </w:r>
      <w:r w:rsidRPr="00F3313D">
        <w:rPr>
          <w:rFonts w:ascii="Times New Roman" w:hAnsi="Times New Roman" w:cs="Times New Roman"/>
        </w:rPr>
        <w:t>, posing food safety concerns if not processed properly (Popowska-Nowak et al., 2017). Moreover, over-inclusion rates exceeding 10–15% can lead to lipid oxidation and excessive fat accumulation in the liver, necessitating careful formulation to balance nutritional benefits with safety (Ognik et al., 2020).</w:t>
      </w:r>
    </w:p>
    <w:p w14:paraId="366FACD9" w14:textId="77777777" w:rsidR="00F3313D" w:rsidRPr="00F3313D" w:rsidRDefault="00F3313D" w:rsidP="00FB0A57">
      <w:pPr>
        <w:rPr>
          <w:rFonts w:ascii="Times New Roman" w:hAnsi="Times New Roman" w:cs="Times New Roman"/>
          <w:b/>
          <w:bCs/>
        </w:rPr>
      </w:pPr>
      <w:r w:rsidRPr="00F3313D">
        <w:rPr>
          <w:rFonts w:ascii="Times New Roman" w:hAnsi="Times New Roman" w:cs="Times New Roman"/>
          <w:b/>
          <w:bCs/>
        </w:rPr>
        <w:t>4.5 Brewers’ Dried Grains (BDG) and By-Product Blends</w:t>
      </w:r>
    </w:p>
    <w:p w14:paraId="7546CDB5" w14:textId="77777777" w:rsidR="00F3313D" w:rsidRPr="00F3313D" w:rsidRDefault="00F3313D" w:rsidP="00FB0A57">
      <w:pPr>
        <w:rPr>
          <w:rFonts w:ascii="Times New Roman" w:hAnsi="Times New Roman" w:cs="Times New Roman"/>
        </w:rPr>
      </w:pPr>
      <w:r w:rsidRPr="00F3313D">
        <w:rPr>
          <w:rFonts w:ascii="Times New Roman" w:hAnsi="Times New Roman" w:cs="Times New Roman"/>
          <w:b/>
          <w:bCs/>
        </w:rPr>
        <w:t>Variability in Nutrient Composition</w:t>
      </w:r>
      <w:r w:rsidRPr="00F3313D">
        <w:rPr>
          <w:rFonts w:ascii="Times New Roman" w:hAnsi="Times New Roman" w:cs="Times New Roman"/>
        </w:rPr>
        <w:br/>
        <w:t>Brewers' dried grains (BDG), a common by-product of the brewing industry, are characterized by considerable variability in nutrient composition, particularly with respect to crude protein and fiber contents. On average, BDG contains approximately 20% crude protein and significant levels of lysine, methionine, and threonine—offering a protein profile superior to maize (El-Hack et al., 2019). However, poor drying and storage conditions can lead to nutrient losses and fungal contamination (Faccenda et al., 2020).</w:t>
      </w:r>
    </w:p>
    <w:p w14:paraId="384E8088" w14:textId="77777777" w:rsidR="00F3313D" w:rsidRPr="00F3313D" w:rsidRDefault="00F3313D" w:rsidP="00FB0A57">
      <w:pPr>
        <w:rPr>
          <w:rFonts w:ascii="Times New Roman" w:hAnsi="Times New Roman" w:cs="Times New Roman"/>
        </w:rPr>
      </w:pPr>
      <w:r w:rsidRPr="00F3313D">
        <w:rPr>
          <w:rFonts w:ascii="Times New Roman" w:hAnsi="Times New Roman" w:cs="Times New Roman"/>
          <w:b/>
          <w:bCs/>
        </w:rPr>
        <w:t>Protein Efficiency Ratio and Liver Function Indicators</w:t>
      </w:r>
      <w:r w:rsidRPr="00F3313D">
        <w:rPr>
          <w:rFonts w:ascii="Times New Roman" w:hAnsi="Times New Roman" w:cs="Times New Roman"/>
        </w:rPr>
        <w:br/>
        <w:t xml:space="preserve">When incorporated appropriately, BDG has demonstrated positive effects on protein efficiency and metabolic health in poultry. Fermented or enzyme-treated BDG improved body weight gain, enhanced feed efficiency, and upregulated genes related to nutrient absorption, while also reducing cholesterol content in thigh muscle (Al-Khalaifah et al., 2020). In addition, biodegradation of BDG with </w:t>
      </w:r>
      <w:r w:rsidRPr="00F3313D">
        <w:rPr>
          <w:rFonts w:ascii="Times New Roman" w:hAnsi="Times New Roman" w:cs="Times New Roman"/>
          <w:i/>
          <w:iCs/>
        </w:rPr>
        <w:t>Aspergillus flavus</w:t>
      </w:r>
      <w:r w:rsidRPr="00F3313D">
        <w:rPr>
          <w:rFonts w:ascii="Times New Roman" w:hAnsi="Times New Roman" w:cs="Times New Roman"/>
        </w:rPr>
        <w:t xml:space="preserve"> increased protein content and decreased fiber levels, facilitating improved nutrient digestibility without adverse effects on liver function (Lawal et al., 2017). In laying hens, moderate BDG inclusion (≤10%) was associated with reduced hepatic fat deposition and enhanced internal egg quality, suggesting favorable impacts on lipid metabolism (Jensen et al., 1976).</w:t>
      </w:r>
    </w:p>
    <w:p w14:paraId="36A5AAE9" w14:textId="77777777" w:rsidR="00F3313D" w:rsidRPr="00F3313D" w:rsidRDefault="00F3313D" w:rsidP="004A543E">
      <w:pPr>
        <w:jc w:val="both"/>
        <w:rPr>
          <w:rFonts w:ascii="Times New Roman" w:hAnsi="Times New Roman" w:cs="Times New Roman"/>
        </w:rPr>
      </w:pPr>
      <w:r w:rsidRPr="00F3313D">
        <w:rPr>
          <w:rFonts w:ascii="Times New Roman" w:hAnsi="Times New Roman" w:cs="Times New Roman"/>
        </w:rPr>
        <w:lastRenderedPageBreak/>
        <w:t>While alternative feed ingredients offer promising nutritional and economic benefits, the biochemical evidence reviewed highlights the need for cautious and strategic utilization. The physiological responses observed—ranging from enhanced antioxidant defenses to potential hepatic stress and lipid imbalances—underscore the complex interplay between feed composition, processing quality, and poultry health. Despite significant advances in optimizing the use of AFIs, several challenges persist, including variability in nutrient composition, limited biochemical data, and potential safety risks. The following section critically examines these challenges and outlines the key limitations that must be addressed to ensure the sustainable and safe integration of AFIs into poultry production systems.</w:t>
      </w:r>
    </w:p>
    <w:p w14:paraId="0C9A8DC1" w14:textId="77777777" w:rsidR="008F5690" w:rsidRPr="008F5690" w:rsidRDefault="008F5690" w:rsidP="004A543E">
      <w:pPr>
        <w:jc w:val="both"/>
        <w:rPr>
          <w:rFonts w:ascii="Times New Roman" w:hAnsi="Times New Roman" w:cs="Times New Roman"/>
          <w:b/>
          <w:bCs/>
        </w:rPr>
      </w:pPr>
      <w:r w:rsidRPr="008F5690">
        <w:rPr>
          <w:rFonts w:ascii="Times New Roman" w:hAnsi="Times New Roman" w:cs="Times New Roman"/>
          <w:b/>
          <w:bCs/>
        </w:rPr>
        <w:t>5. Challenges and Limitations of Alternative Feed Ingredients (AFIs)</w:t>
      </w:r>
    </w:p>
    <w:p w14:paraId="203CE82D" w14:textId="77777777" w:rsidR="008F5690" w:rsidRPr="008F5690" w:rsidRDefault="008F5690" w:rsidP="004A543E">
      <w:pPr>
        <w:jc w:val="both"/>
        <w:rPr>
          <w:rFonts w:ascii="Times New Roman" w:hAnsi="Times New Roman" w:cs="Times New Roman"/>
        </w:rPr>
      </w:pPr>
      <w:r w:rsidRPr="008F5690">
        <w:rPr>
          <w:rFonts w:ascii="Times New Roman" w:hAnsi="Times New Roman" w:cs="Times New Roman"/>
        </w:rPr>
        <w:t>Despite the growing interest in alternative feed ingredients (AFIs) for poultry production, several significant challenges and limitations continue to constrain their widespread adoption and optimal use. A thorough understanding of these issues is critical for refining feed evaluation strategies, ensuring animal health, and achieving consistent production outcomes.</w:t>
      </w:r>
    </w:p>
    <w:p w14:paraId="5BA3CFA0" w14:textId="77777777" w:rsidR="008F5690" w:rsidRPr="008F5690" w:rsidRDefault="008F5690" w:rsidP="004A543E">
      <w:pPr>
        <w:jc w:val="both"/>
        <w:rPr>
          <w:rFonts w:ascii="Times New Roman" w:hAnsi="Times New Roman" w:cs="Times New Roman"/>
          <w:b/>
          <w:bCs/>
        </w:rPr>
      </w:pPr>
      <w:r w:rsidRPr="008F5690">
        <w:rPr>
          <w:rFonts w:ascii="Times New Roman" w:hAnsi="Times New Roman" w:cs="Times New Roman"/>
          <w:b/>
          <w:bCs/>
        </w:rPr>
        <w:t>5.1 Variability in Composition</w:t>
      </w:r>
    </w:p>
    <w:p w14:paraId="36611FB1" w14:textId="77777777" w:rsidR="008F5690" w:rsidRPr="008F5690" w:rsidRDefault="008F5690" w:rsidP="004A543E">
      <w:pPr>
        <w:jc w:val="both"/>
        <w:rPr>
          <w:rFonts w:ascii="Times New Roman" w:hAnsi="Times New Roman" w:cs="Times New Roman"/>
        </w:rPr>
      </w:pPr>
      <w:r w:rsidRPr="008F5690">
        <w:rPr>
          <w:rFonts w:ascii="Times New Roman" w:hAnsi="Times New Roman" w:cs="Times New Roman"/>
        </w:rPr>
        <w:t>One of the primary obstacles associated with AFIs is the inconsistency in their nutrient composition. Variability often arises from differences in sourcing, processing methods, and storage conditions. For example, the nutritional profile of brewers’ dried grains (BDG) or palm kernel cake (PKC) can fluctuate markedly depending on factors such as processing temperature and the origin of raw materials. Such inconsistencies affect nutrient availability and digestibility, leading to unpredictable performance outcomes in poultry diets (An &amp; Kong, 2018). Without standardized processing protocols, it becomes challenging to formulate balanced rations using AFIs, ultimately discouraging their wider adoption across the poultry industry.</w:t>
      </w:r>
    </w:p>
    <w:p w14:paraId="470998BA" w14:textId="77777777" w:rsidR="008F5690" w:rsidRPr="008F5690" w:rsidRDefault="008F5690" w:rsidP="004A543E">
      <w:pPr>
        <w:jc w:val="both"/>
        <w:rPr>
          <w:rFonts w:ascii="Times New Roman" w:hAnsi="Times New Roman" w:cs="Times New Roman"/>
          <w:b/>
          <w:bCs/>
        </w:rPr>
      </w:pPr>
      <w:r w:rsidRPr="008F5690">
        <w:rPr>
          <w:rFonts w:ascii="Times New Roman" w:hAnsi="Times New Roman" w:cs="Times New Roman"/>
          <w:b/>
          <w:bCs/>
        </w:rPr>
        <w:t>5.2 Limited Biochemical Data</w:t>
      </w:r>
    </w:p>
    <w:p w14:paraId="5634DFBA" w14:textId="77777777" w:rsidR="008F5690" w:rsidRPr="008F5690" w:rsidRDefault="008F5690" w:rsidP="004A543E">
      <w:pPr>
        <w:jc w:val="both"/>
        <w:rPr>
          <w:rFonts w:ascii="Times New Roman" w:hAnsi="Times New Roman" w:cs="Times New Roman"/>
        </w:rPr>
      </w:pPr>
      <w:r w:rsidRPr="008F5690">
        <w:rPr>
          <w:rFonts w:ascii="Times New Roman" w:hAnsi="Times New Roman" w:cs="Times New Roman"/>
        </w:rPr>
        <w:t>A major limitation in the current body of research on AFIs is the predominant focus on external performance metrics, such as body weight gain and feed conversion ratios, with relatively few studies incorporating detailed biochemical or physiological assessments. This creates critical knowledge gaps regarding the effects of AFIs on liver function, enzymatic activity, oxidative stress, and immune competence. For instance, while insect-based protein sources like maggot and mosquito meals have shown promising effects on growth performance, studies rarely assess their biochemical safety profiles (Tsafrakidou et al., 2024). The absence of comprehensive biochemical data increases the risk of overlooking subclinical toxicity or long-term metabolic disturbances.</w:t>
      </w:r>
    </w:p>
    <w:p w14:paraId="4577B956" w14:textId="77777777" w:rsidR="008F5690" w:rsidRPr="008F5690" w:rsidRDefault="008F5690" w:rsidP="004A543E">
      <w:pPr>
        <w:jc w:val="both"/>
        <w:rPr>
          <w:rFonts w:ascii="Times New Roman" w:hAnsi="Times New Roman" w:cs="Times New Roman"/>
          <w:b/>
          <w:bCs/>
        </w:rPr>
      </w:pPr>
      <w:r w:rsidRPr="008F5690">
        <w:rPr>
          <w:rFonts w:ascii="Times New Roman" w:hAnsi="Times New Roman" w:cs="Times New Roman"/>
          <w:b/>
          <w:bCs/>
        </w:rPr>
        <w:t>5.3 Breed and Age Dependency</w:t>
      </w:r>
    </w:p>
    <w:p w14:paraId="1D0DFF1F" w14:textId="77777777" w:rsidR="008F5690" w:rsidRPr="008F5690" w:rsidRDefault="008F5690" w:rsidP="004A543E">
      <w:pPr>
        <w:jc w:val="both"/>
        <w:rPr>
          <w:rFonts w:ascii="Times New Roman" w:hAnsi="Times New Roman" w:cs="Times New Roman"/>
        </w:rPr>
      </w:pPr>
      <w:r w:rsidRPr="008F5690">
        <w:rPr>
          <w:rFonts w:ascii="Times New Roman" w:hAnsi="Times New Roman" w:cs="Times New Roman"/>
        </w:rPr>
        <w:t xml:space="preserve">Another complicating factor in the use of AFIs is the variability in physiological responses across different poultry breeds and age groups. Young birds, with underdeveloped digestive systems, may be less capable of utilizing high-fiber AFIs effectively, while genetic lines selected for rapid growth </w:t>
      </w:r>
      <w:r w:rsidRPr="008F5690">
        <w:rPr>
          <w:rFonts w:ascii="Times New Roman" w:hAnsi="Times New Roman" w:cs="Times New Roman"/>
        </w:rPr>
        <w:lastRenderedPageBreak/>
        <w:t xml:space="preserve">or dual-purpose traits exhibit distinct nutrient absorption and metabolism patterns. For example, a study on high-oleic peanuts found that while nutrient digestibility improved across strains, body weight gain varied significantly, highlighting genotype-specific responses (Toomer et al., 2020). These breed- and age-dependent differences make it difficult to establish universal inclusion guidelines for AFIs, necessitating more </w:t>
      </w:r>
      <w:commentRangeStart w:id="7"/>
      <w:r w:rsidRPr="008F5690">
        <w:rPr>
          <w:rFonts w:ascii="Times New Roman" w:hAnsi="Times New Roman" w:cs="Times New Roman"/>
        </w:rPr>
        <w:t>tailored</w:t>
      </w:r>
      <w:commentRangeEnd w:id="7"/>
      <w:r w:rsidR="00B63A56">
        <w:rPr>
          <w:rStyle w:val="CommentReference"/>
        </w:rPr>
        <w:commentReference w:id="7"/>
      </w:r>
      <w:r w:rsidRPr="008F5690">
        <w:rPr>
          <w:rFonts w:ascii="Times New Roman" w:hAnsi="Times New Roman" w:cs="Times New Roman"/>
        </w:rPr>
        <w:t xml:space="preserve"> nutritional recommendations.</w:t>
      </w:r>
    </w:p>
    <w:p w14:paraId="3D010ACC" w14:textId="77777777" w:rsidR="008F5690" w:rsidRPr="008F5690" w:rsidRDefault="008F5690" w:rsidP="004A543E">
      <w:pPr>
        <w:jc w:val="both"/>
        <w:rPr>
          <w:rFonts w:ascii="Times New Roman" w:hAnsi="Times New Roman" w:cs="Times New Roman"/>
          <w:b/>
          <w:bCs/>
        </w:rPr>
      </w:pPr>
      <w:r w:rsidRPr="008F5690">
        <w:rPr>
          <w:rFonts w:ascii="Times New Roman" w:hAnsi="Times New Roman" w:cs="Times New Roman"/>
          <w:b/>
          <w:bCs/>
        </w:rPr>
        <w:t>5.4 Underreporting of Adverse Effects</w:t>
      </w:r>
    </w:p>
    <w:p w14:paraId="6C081956" w14:textId="77777777" w:rsidR="008F5690" w:rsidRPr="008F5690" w:rsidRDefault="008F5690" w:rsidP="004A543E">
      <w:pPr>
        <w:jc w:val="both"/>
        <w:rPr>
          <w:rFonts w:ascii="Times New Roman" w:hAnsi="Times New Roman" w:cs="Times New Roman"/>
        </w:rPr>
      </w:pPr>
      <w:r w:rsidRPr="008F5690">
        <w:rPr>
          <w:rFonts w:ascii="Times New Roman" w:hAnsi="Times New Roman" w:cs="Times New Roman"/>
        </w:rPr>
        <w:t xml:space="preserve">Subclinical or delayed physiological impacts of AFIs are often underreported, primarily due to the limited use of biochemical monitoring in feeding trials. Without routine evaluations of liver enzymes (e.g., AST, ALT), oxidative stress markers (e.g., MDA, SOD), or immune indicators (e.g., IgG, IgA), potential feed-induced organ dysfunction or metabolic stress may go unnoticed. This </w:t>
      </w:r>
      <w:commentRangeStart w:id="8"/>
      <w:r w:rsidRPr="008F5690">
        <w:rPr>
          <w:rFonts w:ascii="Times New Roman" w:hAnsi="Times New Roman" w:cs="Times New Roman"/>
        </w:rPr>
        <w:t>underreporting</w:t>
      </w:r>
      <w:commentRangeEnd w:id="8"/>
      <w:r w:rsidR="00B63A56">
        <w:rPr>
          <w:rStyle w:val="CommentReference"/>
        </w:rPr>
        <w:commentReference w:id="8"/>
      </w:r>
      <w:r w:rsidRPr="008F5690">
        <w:rPr>
          <w:rFonts w:ascii="Times New Roman" w:hAnsi="Times New Roman" w:cs="Times New Roman"/>
        </w:rPr>
        <w:t xml:space="preserve"> risks presenting an overly optimistic view of AFI safety and efficacy. In a recent review of sustainable poultry feeding strategies, researchers emphasized that although many by-product feeds appear promising, the presence of anti-nutritional factors and potential organ-level toxicity remains insufficiently documented and urgently requires biochemical scrutiny (Vlaicu et al., 2024).</w:t>
      </w:r>
    </w:p>
    <w:p w14:paraId="0DC0E14C" w14:textId="77777777" w:rsidR="008F5690" w:rsidRPr="008F5690" w:rsidRDefault="008F5690" w:rsidP="004A543E">
      <w:pPr>
        <w:jc w:val="both"/>
        <w:rPr>
          <w:rFonts w:ascii="Times New Roman" w:hAnsi="Times New Roman" w:cs="Times New Roman"/>
        </w:rPr>
      </w:pPr>
      <w:r w:rsidRPr="008F5690">
        <w:rPr>
          <w:rFonts w:ascii="Times New Roman" w:hAnsi="Times New Roman" w:cs="Times New Roman"/>
        </w:rPr>
        <w:t>The challenges outlined—ranging from nutrient variability and insufficient biochemical data to breed-specific responses and underreported adverse effects—highlight significant barriers to the effective and safe utilization of alternative feed ingredients in poultry production. Addressing these issues requires a more comprehensive research framework that moves beyond conventional performance metrics to include detailed physiological and biochemical evaluations. The next section identifies critical research gaps and proposes future directions needed to establish evidence-based guidelines, improve feed safety standards, and maximize the potential of AFIs in sustainable poultry nutrition.</w:t>
      </w:r>
    </w:p>
    <w:p w14:paraId="3B8FC733" w14:textId="77777777" w:rsidR="00ED03D0" w:rsidRPr="00ED03D0" w:rsidRDefault="00ED03D0" w:rsidP="004A543E">
      <w:pPr>
        <w:jc w:val="both"/>
        <w:rPr>
          <w:rFonts w:ascii="Times New Roman" w:hAnsi="Times New Roman" w:cs="Times New Roman"/>
          <w:b/>
          <w:bCs/>
        </w:rPr>
      </w:pPr>
      <w:r w:rsidRPr="00ED03D0">
        <w:rPr>
          <w:rFonts w:ascii="Times New Roman" w:hAnsi="Times New Roman" w:cs="Times New Roman"/>
          <w:b/>
          <w:bCs/>
        </w:rPr>
        <w:t>6. Research Gaps and Future Directions</w:t>
      </w:r>
    </w:p>
    <w:p w14:paraId="15D9B7E9" w14:textId="77777777" w:rsidR="00ED03D0" w:rsidRPr="00ED03D0" w:rsidRDefault="00ED03D0" w:rsidP="004A543E">
      <w:pPr>
        <w:jc w:val="both"/>
        <w:rPr>
          <w:rFonts w:ascii="Times New Roman" w:hAnsi="Times New Roman" w:cs="Times New Roman"/>
        </w:rPr>
      </w:pPr>
      <w:r w:rsidRPr="00ED03D0">
        <w:rPr>
          <w:rFonts w:ascii="Times New Roman" w:hAnsi="Times New Roman" w:cs="Times New Roman"/>
        </w:rPr>
        <w:t>Although interest in alternative feed ingredients (AFIs) for poultry production continues to grow, several critical research and regulatory gaps remain, limiting their safe and widespread application. Addressing these gaps is essential for optimizing poultry nutrition strategies that enhance performance while safeguarding animal welfare and public health.</w:t>
      </w:r>
    </w:p>
    <w:p w14:paraId="5C712AF4" w14:textId="77777777" w:rsidR="00ED03D0" w:rsidRPr="00ED03D0" w:rsidRDefault="00ED03D0" w:rsidP="004A543E">
      <w:pPr>
        <w:jc w:val="both"/>
        <w:rPr>
          <w:rFonts w:ascii="Times New Roman" w:hAnsi="Times New Roman" w:cs="Times New Roman"/>
          <w:b/>
          <w:bCs/>
        </w:rPr>
      </w:pPr>
      <w:r w:rsidRPr="00ED03D0">
        <w:rPr>
          <w:rFonts w:ascii="Times New Roman" w:hAnsi="Times New Roman" w:cs="Times New Roman"/>
          <w:b/>
          <w:bCs/>
        </w:rPr>
        <w:t>6.1 Need for Integrative Studies Linking Performance Metrics with Biochemical Markers</w:t>
      </w:r>
    </w:p>
    <w:p w14:paraId="7C89AD27" w14:textId="77777777" w:rsidR="00ED03D0" w:rsidRPr="00ED03D0" w:rsidRDefault="00ED03D0" w:rsidP="004A543E">
      <w:pPr>
        <w:jc w:val="both"/>
        <w:rPr>
          <w:rFonts w:ascii="Times New Roman" w:hAnsi="Times New Roman" w:cs="Times New Roman"/>
        </w:rPr>
      </w:pPr>
      <w:r w:rsidRPr="00ED03D0">
        <w:rPr>
          <w:rFonts w:ascii="Times New Roman" w:hAnsi="Times New Roman" w:cs="Times New Roman"/>
        </w:rPr>
        <w:t xml:space="preserve">Current research on AFIs predominantly emphasizes external performance indicators such as body weight gain and feed conversion ratios. However, there remains a significant lack of integrated studies that simultaneously evaluate biochemical parameters such as liver enzyme profiles, oxidative stress markers, and immune biomarkers. This disconnect hampers comprehensive assessments of feed ingredient safety and physiological impacts. As Vlaicu et al. (2024) emphasize, the development of sustainable poultry feeding systems requires a balanced evaluation of both productivity outcomes and internal physiological responses. Without such integrative </w:t>
      </w:r>
      <w:r w:rsidRPr="00ED03D0">
        <w:rPr>
          <w:rFonts w:ascii="Times New Roman" w:hAnsi="Times New Roman" w:cs="Times New Roman"/>
        </w:rPr>
        <w:lastRenderedPageBreak/>
        <w:t>approaches, it is difficult to detect subclinical disturbances that may undermine long-term animal health and production efficiency.</w:t>
      </w:r>
    </w:p>
    <w:p w14:paraId="48C49B31" w14:textId="77777777" w:rsidR="00ED03D0" w:rsidRPr="00ED03D0" w:rsidRDefault="00ED03D0" w:rsidP="004A543E">
      <w:pPr>
        <w:jc w:val="both"/>
        <w:rPr>
          <w:rFonts w:ascii="Times New Roman" w:hAnsi="Times New Roman" w:cs="Times New Roman"/>
          <w:b/>
          <w:bCs/>
        </w:rPr>
      </w:pPr>
      <w:r w:rsidRPr="00ED03D0">
        <w:rPr>
          <w:rFonts w:ascii="Times New Roman" w:hAnsi="Times New Roman" w:cs="Times New Roman"/>
          <w:b/>
          <w:bCs/>
        </w:rPr>
        <w:t>6.2 Establish Biochemical Safety Thresholds for AFIs</w:t>
      </w:r>
    </w:p>
    <w:p w14:paraId="3982818A" w14:textId="77777777" w:rsidR="00ED03D0" w:rsidRPr="00ED03D0" w:rsidRDefault="00ED03D0" w:rsidP="004A543E">
      <w:pPr>
        <w:jc w:val="both"/>
        <w:rPr>
          <w:rFonts w:ascii="Times New Roman" w:hAnsi="Times New Roman" w:cs="Times New Roman"/>
        </w:rPr>
      </w:pPr>
      <w:r w:rsidRPr="00ED03D0">
        <w:rPr>
          <w:rFonts w:ascii="Times New Roman" w:hAnsi="Times New Roman" w:cs="Times New Roman"/>
        </w:rPr>
        <w:t>Another major limitation in AFI research is the absence of clearly established biochemical safety thresholds. Many feeding trials fail to investigate or report on early indicators of organ stress, oxidative imbalance, or endocrine disruptions that could compromise bird health. For example, in evaluating probiotic safety, Susanti et al. (2021) demonstrated that only through comprehensive biochemical and phenotypic analyses could virulence traits be ruled out and growth-promoting efficacy confirmed. A similar methodology should be applied systematically to AFIs. Establishing maximum tolerable limits based on biochemical markers would provide a scientific basis for feed formulation guidelines and enhance confidence in the safe use of alternative feed resources.</w:t>
      </w:r>
    </w:p>
    <w:p w14:paraId="5EB063B2" w14:textId="77777777" w:rsidR="00ED03D0" w:rsidRPr="00ED03D0" w:rsidRDefault="00ED03D0" w:rsidP="004A543E">
      <w:pPr>
        <w:jc w:val="both"/>
        <w:rPr>
          <w:rFonts w:ascii="Times New Roman" w:hAnsi="Times New Roman" w:cs="Times New Roman"/>
          <w:b/>
          <w:bCs/>
        </w:rPr>
      </w:pPr>
      <w:r w:rsidRPr="00ED03D0">
        <w:rPr>
          <w:rFonts w:ascii="Times New Roman" w:hAnsi="Times New Roman" w:cs="Times New Roman"/>
          <w:b/>
          <w:bCs/>
        </w:rPr>
        <w:t>6.3 Role of Omics (e.g., Metabolomics, Proteomics) in Identifying Subclinical Effects</w:t>
      </w:r>
    </w:p>
    <w:p w14:paraId="2FED9854" w14:textId="77777777" w:rsidR="00ED03D0" w:rsidRPr="00ED03D0" w:rsidRDefault="00ED03D0" w:rsidP="004A543E">
      <w:pPr>
        <w:jc w:val="both"/>
        <w:rPr>
          <w:rFonts w:ascii="Times New Roman" w:hAnsi="Times New Roman" w:cs="Times New Roman"/>
        </w:rPr>
      </w:pPr>
      <w:r w:rsidRPr="00ED03D0">
        <w:rPr>
          <w:rFonts w:ascii="Times New Roman" w:hAnsi="Times New Roman" w:cs="Times New Roman"/>
        </w:rPr>
        <w:t>The application of omics technologies—such as transcriptomics, metabolomics, and proteomics—represents a transformative opportunity to uncover subclinical effects of dietary interventions. These high-throughput tools enable detailed profiling of molecular and cellular responses to AFIs, revealing metabolic pathways and immune processes that traditional performance evaluations might overlook. For instance, multi-omics analyses have successfully identified biomarkers related to feed efficiency, gut health, and metabolic resilience in poultry (Urgessa &amp; Woldesemayat, 2023; Zampiga et al., 2018). Integrating omics approaches into AFI research will allow for earlier detection of physiological disturbances, stronger cause-effect validation, and more predictive assessments of long-term safety and productivity.</w:t>
      </w:r>
    </w:p>
    <w:p w14:paraId="48F9A13C" w14:textId="77777777" w:rsidR="00ED03D0" w:rsidRPr="00ED03D0" w:rsidRDefault="00ED03D0" w:rsidP="004A543E">
      <w:pPr>
        <w:jc w:val="both"/>
        <w:rPr>
          <w:rFonts w:ascii="Times New Roman" w:hAnsi="Times New Roman" w:cs="Times New Roman"/>
          <w:b/>
          <w:bCs/>
        </w:rPr>
      </w:pPr>
      <w:r w:rsidRPr="00ED03D0">
        <w:rPr>
          <w:rFonts w:ascii="Times New Roman" w:hAnsi="Times New Roman" w:cs="Times New Roman"/>
          <w:b/>
          <w:bCs/>
        </w:rPr>
        <w:t>6.4 National Feed Policy and Regulation</w:t>
      </w:r>
    </w:p>
    <w:p w14:paraId="2BAB6905" w14:textId="77777777" w:rsidR="00ED03D0" w:rsidRPr="00ED03D0" w:rsidRDefault="00ED03D0" w:rsidP="004A543E">
      <w:pPr>
        <w:jc w:val="both"/>
        <w:rPr>
          <w:rFonts w:ascii="Times New Roman" w:hAnsi="Times New Roman" w:cs="Times New Roman"/>
        </w:rPr>
      </w:pPr>
      <w:r w:rsidRPr="00ED03D0">
        <w:rPr>
          <w:rFonts w:ascii="Times New Roman" w:hAnsi="Times New Roman" w:cs="Times New Roman"/>
        </w:rPr>
        <w:t>In many countries, including Nigeria, regulatory frameworks for feed ingredients remain fragmented, inconsistent, or outdated. The absence of clear national standards governing the evaluation, approval, and monitoring of AFIs contributes to variability in feed quality and safety. A comprehensive, standardized feed policy is urgently needed to regulate the incorporation of agro-industrial by-products, insect-based meals, and other novel feed ingredients. Such a policy should mandate routine testing for contaminants such as mycotoxins, heavy metals, and microbial pathogens. Moreover, emerging scientific insights—particularly from omics and biochemical safety studies—must be integrated into regulatory frameworks to ensure animal health protection, feed industry transparency, and consumer safety.</w:t>
      </w:r>
    </w:p>
    <w:p w14:paraId="69E89FB5" w14:textId="77777777" w:rsidR="00ED03D0" w:rsidRPr="00ED03D0" w:rsidRDefault="00ED03D0" w:rsidP="004A543E">
      <w:pPr>
        <w:jc w:val="both"/>
        <w:rPr>
          <w:rFonts w:ascii="Times New Roman" w:hAnsi="Times New Roman" w:cs="Times New Roman"/>
        </w:rPr>
      </w:pPr>
      <w:r w:rsidRPr="00ED03D0">
        <w:rPr>
          <w:rFonts w:ascii="Times New Roman" w:hAnsi="Times New Roman" w:cs="Times New Roman"/>
        </w:rPr>
        <w:t>Bridging the research and regulatory gaps identified is critical for advancing the responsible use of alternative feed ingredients in poultry nutrition. A multidisciplinary approach—combining performance evaluation, biochemical monitoring, omics technologies, and policy reform—is necessary to fully unlock the potential of AFIs while safeguarding animal health and production sustainability. The final section synthesizes the key insights from this review and outlines concluding remarks on the future outlook for AFIs in the Nigerian poultry sector and beyond.</w:t>
      </w:r>
    </w:p>
    <w:p w14:paraId="1C43DA1E" w14:textId="77777777" w:rsidR="00ED03D0" w:rsidRPr="00ED03D0" w:rsidRDefault="00ED03D0" w:rsidP="004A543E">
      <w:pPr>
        <w:jc w:val="both"/>
        <w:rPr>
          <w:rFonts w:ascii="Times New Roman" w:hAnsi="Times New Roman" w:cs="Times New Roman"/>
          <w:b/>
          <w:bCs/>
        </w:rPr>
      </w:pPr>
      <w:r w:rsidRPr="00ED03D0">
        <w:rPr>
          <w:rFonts w:ascii="Times New Roman" w:hAnsi="Times New Roman" w:cs="Times New Roman"/>
          <w:b/>
          <w:bCs/>
        </w:rPr>
        <w:lastRenderedPageBreak/>
        <w:t>7. Conclusion</w:t>
      </w:r>
    </w:p>
    <w:p w14:paraId="721371EF" w14:textId="77777777" w:rsidR="00ED03D0" w:rsidRPr="00ED03D0" w:rsidRDefault="00ED03D0" w:rsidP="004A543E">
      <w:pPr>
        <w:jc w:val="both"/>
        <w:rPr>
          <w:rFonts w:ascii="Times New Roman" w:hAnsi="Times New Roman" w:cs="Times New Roman"/>
        </w:rPr>
      </w:pPr>
      <w:r w:rsidRPr="00ED03D0">
        <w:rPr>
          <w:rFonts w:ascii="Times New Roman" w:hAnsi="Times New Roman" w:cs="Times New Roman"/>
        </w:rPr>
        <w:t>Alternative feed ingredients (AFIs) present a significant opportunity to enhance the sustainability, resilience, and cost-efficiency of poultry production systems. Their utilization aligns with broader goals of reducing reliance on conventional feedstuffs, minimizing agricultural waste, and promoting local resource use. However, realizing the full potential of AFIs remains constrained by critical research deficiencies and regulatory gaps.</w:t>
      </w:r>
    </w:p>
    <w:p w14:paraId="6F06D123" w14:textId="77777777" w:rsidR="00ED03D0" w:rsidRPr="00ED03D0" w:rsidRDefault="00ED03D0" w:rsidP="004A543E">
      <w:pPr>
        <w:jc w:val="both"/>
        <w:rPr>
          <w:rFonts w:ascii="Times New Roman" w:hAnsi="Times New Roman" w:cs="Times New Roman"/>
        </w:rPr>
      </w:pPr>
      <w:r w:rsidRPr="00ED03D0">
        <w:rPr>
          <w:rFonts w:ascii="Times New Roman" w:hAnsi="Times New Roman" w:cs="Times New Roman"/>
        </w:rPr>
        <w:t>Addressing these challenges requires a multidisciplinary strategy that integrates conventional performance assessments with detailed biochemical evaluations. Establishing evidence-based safety thresholds, applying advanced omics technologies to detect subclinical effects, and enforcing standardized national feed regulations are essential steps toward ensuring the safe and effective incorporation of AFIs into poultry diets. Only through such a comprehensive, science-driven, and policy-supported approach can AFIs contribute meaningfully to sustainable poultry production while safeguarding animal health and food security.</w:t>
      </w:r>
    </w:p>
    <w:p w14:paraId="73921A88" w14:textId="77777777" w:rsidR="0075401E" w:rsidRPr="00FB0A57" w:rsidRDefault="0075401E" w:rsidP="004A543E">
      <w:pPr>
        <w:jc w:val="both"/>
        <w:rPr>
          <w:rFonts w:ascii="Times New Roman" w:hAnsi="Times New Roman" w:cs="Times New Roman"/>
        </w:rPr>
      </w:pPr>
    </w:p>
    <w:p w14:paraId="4710C61F" w14:textId="77777777" w:rsidR="00620040" w:rsidRPr="00FB0A57" w:rsidRDefault="00620040" w:rsidP="004A543E">
      <w:pPr>
        <w:jc w:val="both"/>
        <w:rPr>
          <w:rFonts w:ascii="Times New Roman" w:hAnsi="Times New Roman" w:cs="Times New Roman"/>
          <w:b/>
          <w:bCs/>
        </w:rPr>
      </w:pPr>
      <w:r w:rsidRPr="00FB0A57">
        <w:rPr>
          <w:rFonts w:ascii="Times New Roman" w:hAnsi="Times New Roman" w:cs="Times New Roman"/>
          <w:b/>
          <w:bCs/>
        </w:rPr>
        <w:t>References</w:t>
      </w:r>
    </w:p>
    <w:p w14:paraId="698D70B2" w14:textId="77777777" w:rsidR="00461EBB" w:rsidRPr="000E6DB6" w:rsidRDefault="00461EBB" w:rsidP="000E6DB6">
      <w:pPr>
        <w:jc w:val="both"/>
      </w:pPr>
      <w:r w:rsidRPr="000E6DB6">
        <w:t>Adedoyin, A., Mosobalaje, M., &amp; Bamimore, A. (2019). Performance, Immuno-stimulatory and Blood Biochemical Indices of Broiler Chickens Fed Hot Red Pepper (Capsicum annuum L.) Supplemented Diets. </w:t>
      </w:r>
      <w:r w:rsidRPr="000E6DB6">
        <w:rPr>
          <w:i/>
          <w:iCs/>
        </w:rPr>
        <w:t>Journal of Experimental Agriculture International</w:t>
      </w:r>
      <w:r w:rsidRPr="000E6DB6">
        <w:t xml:space="preserve">. </w:t>
      </w:r>
      <w:hyperlink r:id="rId11" w:history="1">
        <w:r w:rsidRPr="000E6DB6">
          <w:rPr>
            <w:rStyle w:val="Hyperlink"/>
          </w:rPr>
          <w:t>https://doi.org/10.9734/JEAI/2019/V36I330238</w:t>
        </w:r>
      </w:hyperlink>
      <w:r w:rsidRPr="000E6DB6">
        <w:t>.</w:t>
      </w:r>
    </w:p>
    <w:p w14:paraId="722949E8" w14:textId="77777777" w:rsidR="00461EBB" w:rsidRPr="000E6DB6" w:rsidRDefault="00461EBB" w:rsidP="000E6DB6">
      <w:pPr>
        <w:jc w:val="both"/>
        <w:rPr>
          <w:rFonts w:ascii="Times New Roman" w:hAnsi="Times New Roman" w:cs="Times New Roman"/>
        </w:rPr>
      </w:pPr>
      <w:r w:rsidRPr="000E6DB6">
        <w:rPr>
          <w:rFonts w:ascii="Times New Roman" w:hAnsi="Times New Roman" w:cs="Times New Roman"/>
        </w:rPr>
        <w:t>Adegun, M. K.</w:t>
      </w:r>
      <w:r w:rsidR="007D1DF5">
        <w:rPr>
          <w:rFonts w:ascii="Times New Roman" w:hAnsi="Times New Roman" w:cs="Times New Roman"/>
        </w:rPr>
        <w:t>,</w:t>
      </w:r>
      <w:r w:rsidRPr="000E6DB6">
        <w:rPr>
          <w:rFonts w:ascii="Times New Roman" w:hAnsi="Times New Roman" w:cs="Times New Roman"/>
        </w:rPr>
        <w:t xml:space="preserve"> Aye, P. A. </w:t>
      </w:r>
      <w:r w:rsidR="007D1DF5">
        <w:rPr>
          <w:rFonts w:ascii="Times New Roman" w:hAnsi="Times New Roman" w:cs="Times New Roman"/>
        </w:rPr>
        <w:t xml:space="preserve">&amp; Dairo F.A.S </w:t>
      </w:r>
      <w:r w:rsidRPr="000E6DB6">
        <w:rPr>
          <w:rFonts w:ascii="Times New Roman" w:hAnsi="Times New Roman" w:cs="Times New Roman"/>
        </w:rPr>
        <w:t xml:space="preserve">(2011). Evaluation of </w:t>
      </w:r>
      <w:r w:rsidRPr="000E6DB6">
        <w:rPr>
          <w:rFonts w:ascii="Times New Roman" w:hAnsi="Times New Roman" w:cs="Times New Roman"/>
          <w:i/>
          <w:iCs/>
        </w:rPr>
        <w:t>Moringa oleifera</w:t>
      </w:r>
      <w:r w:rsidRPr="000E6DB6">
        <w:rPr>
          <w:rFonts w:ascii="Times New Roman" w:hAnsi="Times New Roman" w:cs="Times New Roman"/>
        </w:rPr>
        <w:t xml:space="preserve">, </w:t>
      </w:r>
      <w:r w:rsidRPr="000E6DB6">
        <w:rPr>
          <w:rFonts w:ascii="Times New Roman" w:hAnsi="Times New Roman" w:cs="Times New Roman"/>
          <w:i/>
          <w:iCs/>
        </w:rPr>
        <w:t>Gliricidia sepium</w:t>
      </w:r>
      <w:r w:rsidRPr="000E6DB6">
        <w:rPr>
          <w:rFonts w:ascii="Times New Roman" w:hAnsi="Times New Roman" w:cs="Times New Roman"/>
        </w:rPr>
        <w:t xml:space="preserve"> and </w:t>
      </w:r>
      <w:r w:rsidRPr="000E6DB6">
        <w:rPr>
          <w:rFonts w:ascii="Times New Roman" w:hAnsi="Times New Roman" w:cs="Times New Roman"/>
          <w:i/>
          <w:iCs/>
        </w:rPr>
        <w:t>Leucaena leucocephala</w:t>
      </w:r>
      <w:r w:rsidRPr="000E6DB6">
        <w:rPr>
          <w:rFonts w:ascii="Times New Roman" w:hAnsi="Times New Roman" w:cs="Times New Roman"/>
        </w:rPr>
        <w:t xml:space="preserve">-based multinutrient blocks as feed supplements for sheep in South Western Nigeria. </w:t>
      </w:r>
      <w:r w:rsidRPr="000E6DB6">
        <w:rPr>
          <w:rFonts w:ascii="Times New Roman" w:hAnsi="Times New Roman" w:cs="Times New Roman"/>
          <w:i/>
          <w:iCs/>
        </w:rPr>
        <w:t>Agriculture and Biology Journal of North America, 2</w:t>
      </w:r>
      <w:r w:rsidRPr="000E6DB6">
        <w:rPr>
          <w:rFonts w:ascii="Times New Roman" w:hAnsi="Times New Roman" w:cs="Times New Roman"/>
        </w:rPr>
        <w:t>(11), 1395–1401. https://doi.org/10.5251/ABJNA.2011.2.11.1395.1401</w:t>
      </w:r>
    </w:p>
    <w:p w14:paraId="3505430A" w14:textId="77777777" w:rsidR="00461EBB" w:rsidRPr="000E6DB6" w:rsidRDefault="00461EBB" w:rsidP="000E6DB6">
      <w:pPr>
        <w:jc w:val="both"/>
      </w:pPr>
      <w:r w:rsidRPr="000E6DB6">
        <w:t>Adeyemo, A., Sani, A., Aderibigbe, T., Abdurrasheed, M., &amp; Agbolade, J. (2014). A study of Aspergillus niger- hydrolyzed cassava peel meal as a carbohydrate source on the histology of broiler chickens. </w:t>
      </w:r>
      <w:r w:rsidRPr="000E6DB6">
        <w:rPr>
          <w:i/>
          <w:iCs/>
        </w:rPr>
        <w:t>SpringerPlus</w:t>
      </w:r>
      <w:r w:rsidRPr="000E6DB6">
        <w:t xml:space="preserve">, 3. </w:t>
      </w:r>
      <w:hyperlink r:id="rId12" w:history="1">
        <w:r w:rsidRPr="000E6DB6">
          <w:rPr>
            <w:rStyle w:val="Hyperlink"/>
          </w:rPr>
          <w:t>https://doi.org/10.1186/2193-1801-3-31</w:t>
        </w:r>
      </w:hyperlink>
      <w:r w:rsidRPr="000E6DB6">
        <w:t>.</w:t>
      </w:r>
    </w:p>
    <w:p w14:paraId="25E9B6EB" w14:textId="77777777" w:rsidR="008235E8" w:rsidRDefault="008235E8" w:rsidP="000E6DB6">
      <w:pPr>
        <w:jc w:val="both"/>
      </w:pPr>
      <w:r w:rsidRPr="008235E8">
        <w:t xml:space="preserve">Akintunde, A., &amp; Toye, A. A. (2022). Comparative study on egg characteristics of Yoruba ecotype Nigerian local chickens and Isa Brown chickens fed graded levels of </w:t>
      </w:r>
      <w:r w:rsidRPr="008235E8">
        <w:rPr>
          <w:i/>
          <w:iCs/>
        </w:rPr>
        <w:t>Moringa oleifera</w:t>
      </w:r>
      <w:r w:rsidRPr="008235E8">
        <w:t xml:space="preserve"> seed meal. </w:t>
      </w:r>
      <w:r w:rsidRPr="008235E8">
        <w:rPr>
          <w:i/>
          <w:iCs/>
        </w:rPr>
        <w:t>Agricultural Science Digest</w:t>
      </w:r>
      <w:r w:rsidRPr="008235E8">
        <w:t>. https://doi.org/10.18805/ag.df-430</w:t>
      </w:r>
    </w:p>
    <w:p w14:paraId="121B1883" w14:textId="77777777" w:rsidR="00461EBB" w:rsidRPr="000E6DB6" w:rsidRDefault="00461EBB" w:rsidP="000E6DB6">
      <w:pPr>
        <w:jc w:val="both"/>
      </w:pPr>
      <w:r w:rsidRPr="000E6DB6">
        <w:t>Al-Khalaifah, H., Shahin, S., Omar, A., Mohammed, H., Mahmoud, H., &amp; Ibrahim, D. (2020). Effects of graded levels of microbial fermented or enzymatically treated dried brewer’s grains on growth, digestive and nutrient transporter genes expression and cost effectiveness in broiler chickens. </w:t>
      </w:r>
      <w:r w:rsidRPr="000E6DB6">
        <w:rPr>
          <w:i/>
          <w:iCs/>
        </w:rPr>
        <w:t>BMC Veterinary Research</w:t>
      </w:r>
      <w:r w:rsidRPr="000E6DB6">
        <w:t xml:space="preserve">, 16. </w:t>
      </w:r>
      <w:hyperlink r:id="rId13" w:history="1">
        <w:r w:rsidRPr="000E6DB6">
          <w:rPr>
            <w:rStyle w:val="Hyperlink"/>
          </w:rPr>
          <w:t>https://doi.org/10.1186/s12917-020-02603-0</w:t>
        </w:r>
      </w:hyperlink>
      <w:r w:rsidRPr="000E6DB6">
        <w:t>.</w:t>
      </w:r>
    </w:p>
    <w:p w14:paraId="3488037A" w14:textId="77777777" w:rsidR="007D7B50" w:rsidRDefault="007D7B50" w:rsidP="000E6DB6">
      <w:pPr>
        <w:jc w:val="both"/>
      </w:pPr>
      <w:r w:rsidRPr="007D7B50">
        <w:lastRenderedPageBreak/>
        <w:t>Amevor, F. K., Uyanga, V. A., Wu, L., Xu, D., Shu, G., Wang, Y., &amp; Zhao, X. (2025). Enhancing poultry health and productivity through the liver-gut axis with integrated nutritional and immunological approaches: a mini-review. </w:t>
      </w:r>
      <w:r w:rsidRPr="007D7B50">
        <w:rPr>
          <w:i/>
          <w:iCs/>
        </w:rPr>
        <w:t>Frontiers in Physiology</w:t>
      </w:r>
      <w:r w:rsidRPr="007D7B50">
        <w:t>, </w:t>
      </w:r>
      <w:r w:rsidRPr="007D7B50">
        <w:rPr>
          <w:i/>
          <w:iCs/>
        </w:rPr>
        <w:t>16</w:t>
      </w:r>
      <w:r w:rsidRPr="007D7B50">
        <w:t>, 1537099.</w:t>
      </w:r>
    </w:p>
    <w:p w14:paraId="60FA2766" w14:textId="77777777" w:rsidR="00461EBB" w:rsidRPr="000E6DB6" w:rsidRDefault="00461EBB" w:rsidP="000E6DB6">
      <w:pPr>
        <w:jc w:val="both"/>
      </w:pPr>
      <w:r w:rsidRPr="000E6DB6">
        <w:t>An, S., &amp; Kong, C. (2018). Calculation of Replacement Price for Alternative Feed Ingredient in Consideration of Nutrient Content in Feed Ingredient Fed to Broiler Chickens. </w:t>
      </w:r>
      <w:r w:rsidRPr="000E6DB6">
        <w:rPr>
          <w:i/>
          <w:iCs/>
        </w:rPr>
        <w:t>Korean Journal of Poultry Science</w:t>
      </w:r>
      <w:r w:rsidRPr="000E6DB6">
        <w:t xml:space="preserve">. </w:t>
      </w:r>
      <w:hyperlink r:id="rId14" w:history="1">
        <w:r w:rsidRPr="000E6DB6">
          <w:rPr>
            <w:rStyle w:val="Hyperlink"/>
          </w:rPr>
          <w:t>https://doi.org/10.5536/KJPS.2018.45.2.73</w:t>
        </w:r>
      </w:hyperlink>
      <w:r w:rsidRPr="000E6DB6">
        <w:t>.</w:t>
      </w:r>
    </w:p>
    <w:p w14:paraId="77C66A37" w14:textId="77777777" w:rsidR="00461EBB" w:rsidRPr="000E6DB6" w:rsidRDefault="00461EBB" w:rsidP="000E6DB6">
      <w:pPr>
        <w:jc w:val="both"/>
      </w:pPr>
      <w:r w:rsidRPr="000E6DB6">
        <w:t>Awoniyi T. A. M., V. A. Aletor and J. M. Aina, 2003. Performance of Broiler - Chickens Fed on Maggot Meal in Place of Fishmeal. </w:t>
      </w:r>
      <w:r w:rsidRPr="000E6DB6">
        <w:rPr>
          <w:i/>
          <w:iCs/>
        </w:rPr>
        <w:t>International Journal of Poultry Science, 2: 271-274.</w:t>
      </w:r>
      <w:r w:rsidRPr="000E6DB6">
        <w:br/>
        <w:t>DOI: </w:t>
      </w:r>
      <w:hyperlink r:id="rId15" w:tgtFrame="_blank" w:history="1">
        <w:r w:rsidRPr="000E6DB6">
          <w:rPr>
            <w:rStyle w:val="Hyperlink"/>
          </w:rPr>
          <w:t>10.3923/ijps.2003.271.274</w:t>
        </w:r>
      </w:hyperlink>
    </w:p>
    <w:p w14:paraId="11E5AAFB" w14:textId="77777777" w:rsidR="00461EBB" w:rsidRPr="000E6DB6" w:rsidRDefault="00461EBB" w:rsidP="000E6DB6">
      <w:pPr>
        <w:jc w:val="both"/>
      </w:pPr>
      <w:r w:rsidRPr="000E6DB6">
        <w:t>Balami, A., Sule, A., Enam, S., Gadzama, J., Ndahi, J., Mustapha, M., Adamu, L., Wakawa, A., Aluwong, T., &amp; Abdu, P. (2021). Effect of Moringa oleifera Supplementation on Oxidative Stress Biomarkers ‎during Infectious Bursal Disease Virus Infection in Broiler Chickens. </w:t>
      </w:r>
      <w:r w:rsidRPr="000E6DB6">
        <w:rPr>
          <w:i/>
          <w:iCs/>
        </w:rPr>
        <w:t>Sahel Journal of Veterinary Sciences</w:t>
      </w:r>
      <w:r w:rsidRPr="000E6DB6">
        <w:t xml:space="preserve">. </w:t>
      </w:r>
      <w:hyperlink r:id="rId16" w:history="1">
        <w:r w:rsidRPr="000E6DB6">
          <w:rPr>
            <w:rStyle w:val="Hyperlink"/>
          </w:rPr>
          <w:t>https://doi.org/10.54058/saheljvs.v18i3.229</w:t>
        </w:r>
      </w:hyperlink>
      <w:r w:rsidRPr="000E6DB6">
        <w:t>.</w:t>
      </w:r>
    </w:p>
    <w:p w14:paraId="32DD2159" w14:textId="77777777" w:rsidR="00461EBB" w:rsidRPr="000E6DB6" w:rsidRDefault="00461EBB" w:rsidP="000E6DB6">
      <w:pPr>
        <w:jc w:val="both"/>
      </w:pPr>
      <w:r w:rsidRPr="000E6DB6">
        <w:t>Behboodi, H., Alemi, M. &amp; Baradaran, A. </w:t>
      </w:r>
      <w:r w:rsidRPr="000E6DB6">
        <w:rPr>
          <w:i/>
          <w:iCs/>
        </w:rPr>
        <w:t>Urtica dioica</w:t>
      </w:r>
      <w:r w:rsidRPr="000E6DB6">
        <w:t> extract—suitable dietary supplement influencing the growth body characteristics, antioxidant status, and serum biochemical parameters of broiler chickens. </w:t>
      </w:r>
      <w:r w:rsidRPr="000E6DB6">
        <w:rPr>
          <w:i/>
          <w:iCs/>
        </w:rPr>
        <w:t>Comp Clin Pathol</w:t>
      </w:r>
      <w:r w:rsidRPr="000E6DB6">
        <w:t xml:space="preserve"> 30, 913–920 (2021). </w:t>
      </w:r>
      <w:hyperlink r:id="rId17" w:history="1">
        <w:r w:rsidRPr="000E6DB6">
          <w:rPr>
            <w:rStyle w:val="Hyperlink"/>
          </w:rPr>
          <w:t>https://doi.org/10.1007/s00580-021-03286-1</w:t>
        </w:r>
      </w:hyperlink>
    </w:p>
    <w:p w14:paraId="685515B7" w14:textId="77777777" w:rsidR="00274933" w:rsidRPr="000E6DB6" w:rsidRDefault="00274933" w:rsidP="000E6DB6">
      <w:pPr>
        <w:jc w:val="both"/>
      </w:pPr>
      <w:r w:rsidRPr="000E6DB6">
        <w:t xml:space="preserve">Bello, K., Adetoye, A. M., &amp; Irekhore, O. (2015). Assessment of the use of cassava as alternative energy feedstuff in livestock feeds in Nigeria. </w:t>
      </w:r>
      <w:r w:rsidRPr="000E6DB6">
        <w:rPr>
          <w:i/>
          <w:iCs/>
        </w:rPr>
        <w:t>International Journal of Applied Agriculture and Apiculture Research, 11</w:t>
      </w:r>
      <w:r w:rsidRPr="000E6DB6">
        <w:t>, 67–76.</w:t>
      </w:r>
    </w:p>
    <w:p w14:paraId="232F0B23" w14:textId="77777777" w:rsidR="00F34333" w:rsidRPr="000E6DB6" w:rsidRDefault="00F34333" w:rsidP="000E6DB6">
      <w:pPr>
        <w:jc w:val="both"/>
      </w:pPr>
      <w:r w:rsidRPr="000E6DB6">
        <w:t>J.- Q. Dong, H. Zhang, X.- F. Jiang, S.- Z. Wang, Z.- Q. Du, Z.- P. Wang, L. Leng, Z.- P. Cao, Y.- M. Li, P. Luan, H. Li, Comparison of serum biochemical parameters between two broiler chicken lines divergently selected for abdominal fat content, </w:t>
      </w:r>
      <w:r w:rsidRPr="000E6DB6">
        <w:rPr>
          <w:i/>
          <w:iCs/>
        </w:rPr>
        <w:t>Journal of Animal Science</w:t>
      </w:r>
      <w:r w:rsidRPr="000E6DB6">
        <w:t>, Volume 93, Issue 7, July 2015, Pages 3278–3286, </w:t>
      </w:r>
      <w:hyperlink r:id="rId18" w:history="1">
        <w:r w:rsidRPr="000E6DB6">
          <w:rPr>
            <w:rStyle w:val="Hyperlink"/>
          </w:rPr>
          <w:t>https://doi.org/10.2527/jas.2015-8871</w:t>
        </w:r>
      </w:hyperlink>
    </w:p>
    <w:p w14:paraId="5ECB08A4" w14:textId="77777777" w:rsidR="00F34333" w:rsidRPr="000E6DB6" w:rsidRDefault="00F34333" w:rsidP="000E6DB6">
      <w:pPr>
        <w:jc w:val="both"/>
      </w:pPr>
      <w:r w:rsidRPr="000E6DB6">
        <w:t>El-Deep, M., Dawood, M., Assar, M., Ijiri, D., &amp; Ohtsuka, A. (2019). Dietary Moringa oleifera improves growth performance, oxidative status, and immune related gene expression in broilers under normal and high temperature conditions.. </w:t>
      </w:r>
      <w:r w:rsidRPr="000E6DB6">
        <w:rPr>
          <w:i/>
          <w:iCs/>
        </w:rPr>
        <w:t>Journal of thermal biology</w:t>
      </w:r>
      <w:r w:rsidRPr="000E6DB6">
        <w:t xml:space="preserve">, 82, 157-163 . </w:t>
      </w:r>
      <w:hyperlink r:id="rId19" w:history="1">
        <w:r w:rsidRPr="000E6DB6">
          <w:rPr>
            <w:rStyle w:val="Hyperlink"/>
          </w:rPr>
          <w:t>https://doi.org/10.1016/J.JTHERBIO.2019.04.016</w:t>
        </w:r>
      </w:hyperlink>
      <w:r w:rsidRPr="000E6DB6">
        <w:t>.</w:t>
      </w:r>
    </w:p>
    <w:p w14:paraId="2E176DFF" w14:textId="77777777" w:rsidR="00F34333" w:rsidRPr="000E6DB6" w:rsidRDefault="00F34333" w:rsidP="000E6DB6">
      <w:pPr>
        <w:jc w:val="both"/>
      </w:pPr>
      <w:r w:rsidRPr="000E6DB6">
        <w:t>El-Hack, M., Alagawany, M., Patra, A., Abdel-Latif, M., Ashour, E., Arif, M., Farag, M., &amp; Dhama, K. (2019). Use of Brewers Dried Grains as an Unconventional Feed Ingredient in the Diets of Broiler Chickens: A Review. </w:t>
      </w:r>
      <w:r w:rsidRPr="000E6DB6">
        <w:rPr>
          <w:i/>
          <w:iCs/>
        </w:rPr>
        <w:t>Advances in Animal and Veterinary Sciences</w:t>
      </w:r>
      <w:r w:rsidRPr="000E6DB6">
        <w:t xml:space="preserve">. </w:t>
      </w:r>
      <w:hyperlink r:id="rId20" w:history="1">
        <w:r w:rsidRPr="000E6DB6">
          <w:rPr>
            <w:rStyle w:val="Hyperlink"/>
          </w:rPr>
          <w:t>https://doi.org/10.17582/JOURNAL.AAVS/2019/7.3.218.224</w:t>
        </w:r>
      </w:hyperlink>
      <w:r w:rsidRPr="000E6DB6">
        <w:t>.</w:t>
      </w:r>
    </w:p>
    <w:p w14:paraId="53E39120" w14:textId="77777777" w:rsidR="001B5DA3" w:rsidRDefault="001B5DA3" w:rsidP="000E6DB6">
      <w:pPr>
        <w:jc w:val="both"/>
      </w:pPr>
      <w:r w:rsidRPr="001B5DA3">
        <w:t xml:space="preserve">Esonu, B. O., Udedibie, A. B. I., &amp; Herbert, U. (2007). The use of palm kernel meal as substitute for maize in broiler diets. </w:t>
      </w:r>
      <w:r w:rsidRPr="001B5DA3">
        <w:rPr>
          <w:i/>
          <w:iCs/>
        </w:rPr>
        <w:t>Nigerian Journal of Animal Production</w:t>
      </w:r>
      <w:r w:rsidRPr="001B5DA3">
        <w:t xml:space="preserve">, </w:t>
      </w:r>
      <w:r w:rsidRPr="001B5DA3">
        <w:rPr>
          <w:i/>
          <w:iCs/>
        </w:rPr>
        <w:t>34</w:t>
      </w:r>
      <w:r w:rsidRPr="001B5DA3">
        <w:t>(2), 160–166.</w:t>
      </w:r>
    </w:p>
    <w:p w14:paraId="5C434906" w14:textId="77777777" w:rsidR="00F34333" w:rsidRPr="000E6DB6" w:rsidRDefault="00F34333" w:rsidP="000E6DB6">
      <w:pPr>
        <w:jc w:val="both"/>
      </w:pPr>
      <w:r w:rsidRPr="000E6DB6">
        <w:lastRenderedPageBreak/>
        <w:t>Faccenda, A., Zambom, M., Avila, A., Castagnara, D., Dri, R., Fischer, M., Tinini, R., Dessbesell, J., Almeida, A., &amp; Almeida, K. (2020). Influence of storage period on the nutritional and microbiological value of sun-dried brewer’s grains. </w:t>
      </w:r>
      <w:r w:rsidRPr="000E6DB6">
        <w:rPr>
          <w:i/>
          <w:iCs/>
        </w:rPr>
        <w:t>Revista Colombiana de Ciencias Pecuarias</w:t>
      </w:r>
      <w:r w:rsidRPr="000E6DB6">
        <w:t xml:space="preserve">. </w:t>
      </w:r>
      <w:hyperlink r:id="rId21" w:history="1">
        <w:r w:rsidRPr="000E6DB6">
          <w:rPr>
            <w:rStyle w:val="Hyperlink"/>
          </w:rPr>
          <w:t>https://doi.org/10.17533/udea.rccp.v34n4a02</w:t>
        </w:r>
      </w:hyperlink>
      <w:r w:rsidRPr="000E6DB6">
        <w:t>.</w:t>
      </w:r>
    </w:p>
    <w:p w14:paraId="1C554133" w14:textId="77777777" w:rsidR="00F34333" w:rsidRPr="000E6DB6" w:rsidRDefault="00F34333" w:rsidP="000E6DB6">
      <w:pPr>
        <w:jc w:val="both"/>
      </w:pPr>
      <w:r w:rsidRPr="000E6DB6">
        <w:t>Hakim, A., Zulkifli, I., Farjam, A., Awad, E., &amp; Ramiah, S. (2022). Impact of Feeding Fermented Palm Kernel Cake and High Dietary Fat on Nutrient Digestibility, Enzyme Activity, Intestinal Morphology and Intestinal Nutrient Transporters mRNA Expression in Broiler Chickens under Hot and Humid Conditions. </w:t>
      </w:r>
      <w:r w:rsidRPr="000E6DB6">
        <w:rPr>
          <w:i/>
          <w:iCs/>
        </w:rPr>
        <w:t>Animals : an Open Access Journal from MDPI</w:t>
      </w:r>
      <w:r w:rsidRPr="000E6DB6">
        <w:t xml:space="preserve">, 12. </w:t>
      </w:r>
      <w:hyperlink r:id="rId22" w:history="1">
        <w:r w:rsidRPr="000E6DB6">
          <w:rPr>
            <w:rStyle w:val="Hyperlink"/>
          </w:rPr>
          <w:t>https://doi.org/10.3390/ani12070882</w:t>
        </w:r>
      </w:hyperlink>
      <w:r w:rsidRPr="000E6DB6">
        <w:t>.</w:t>
      </w:r>
    </w:p>
    <w:p w14:paraId="0DB30916" w14:textId="77777777" w:rsidR="00F34333" w:rsidRPr="000E6DB6" w:rsidRDefault="00F34333" w:rsidP="000E6DB6">
      <w:pPr>
        <w:jc w:val="both"/>
      </w:pPr>
      <w:r w:rsidRPr="000E6DB6">
        <w:t>Huang, S., Yang, H., Rehman, M. U., &amp; Tong, Z. (2018). Acute heat stress in broiler chickens and its impact on serum biochemical and electrolyte parameters. </w:t>
      </w:r>
      <w:r w:rsidRPr="000E6DB6">
        <w:rPr>
          <w:i/>
          <w:iCs/>
        </w:rPr>
        <w:t>Indian Journal of Animal Research</w:t>
      </w:r>
      <w:r w:rsidRPr="000E6DB6">
        <w:t>, </w:t>
      </w:r>
      <w:r w:rsidRPr="000E6DB6">
        <w:rPr>
          <w:i/>
          <w:iCs/>
        </w:rPr>
        <w:t>52</w:t>
      </w:r>
      <w:r w:rsidRPr="000E6DB6">
        <w:t>(5), 683-686.</w:t>
      </w:r>
    </w:p>
    <w:p w14:paraId="28705661" w14:textId="77777777" w:rsidR="00F34333" w:rsidRPr="000E6DB6" w:rsidRDefault="00F34333" w:rsidP="000E6DB6">
      <w:pPr>
        <w:jc w:val="both"/>
      </w:pPr>
      <w:r w:rsidRPr="000E6DB6">
        <w:t>Jensen, L., Chang, C., &amp; Maurice, D. (1976). Improvement in Interior Egg Quality and Reduction in Liver Fat in Hens Fed Brewers Dried Grains. </w:t>
      </w:r>
      <w:r w:rsidRPr="000E6DB6">
        <w:rPr>
          <w:i/>
          <w:iCs/>
        </w:rPr>
        <w:t>Poultry Science</w:t>
      </w:r>
      <w:r w:rsidRPr="000E6DB6">
        <w:t xml:space="preserve">, 55, 1841-1847. </w:t>
      </w:r>
      <w:hyperlink r:id="rId23" w:history="1">
        <w:r w:rsidRPr="000E6DB6">
          <w:rPr>
            <w:rStyle w:val="Hyperlink"/>
          </w:rPr>
          <w:t>https://doi.org/10.3382/PS.0551841</w:t>
        </w:r>
      </w:hyperlink>
      <w:r w:rsidRPr="000E6DB6">
        <w:t>.</w:t>
      </w:r>
    </w:p>
    <w:p w14:paraId="78AE825B" w14:textId="77777777" w:rsidR="00620040" w:rsidRPr="000E6DB6" w:rsidRDefault="00F9265E" w:rsidP="000E6DB6">
      <w:pPr>
        <w:jc w:val="both"/>
        <w:rPr>
          <w:rFonts w:ascii="Times New Roman" w:hAnsi="Times New Roman" w:cs="Times New Roman"/>
        </w:rPr>
      </w:pPr>
      <w:r w:rsidRPr="000E6DB6">
        <w:rPr>
          <w:rFonts w:ascii="Times New Roman" w:hAnsi="Times New Roman" w:cs="Times New Roman"/>
        </w:rPr>
        <w:t>Khan, A., Tahir, M., Alhidary, I., Abdelrahman, M., Swelum, A., &amp; Khan, R. (2021). Role of dietary Moringa oleifera leaf extract on productive parameters, humoral immunity and lipid peroxidation in broiler chicks. </w:t>
      </w:r>
      <w:r w:rsidRPr="000E6DB6">
        <w:rPr>
          <w:rFonts w:ascii="Times New Roman" w:hAnsi="Times New Roman" w:cs="Times New Roman"/>
          <w:i/>
          <w:iCs/>
        </w:rPr>
        <w:t>Animal Biotechnology</w:t>
      </w:r>
      <w:r w:rsidRPr="000E6DB6">
        <w:rPr>
          <w:rFonts w:ascii="Times New Roman" w:hAnsi="Times New Roman" w:cs="Times New Roman"/>
        </w:rPr>
        <w:t>, 33, 1353 - 1358. https://doi.org/10.1080/10495398.2021.1899936.</w:t>
      </w:r>
    </w:p>
    <w:p w14:paraId="59CBC2F6" w14:textId="77777777" w:rsidR="00093D93" w:rsidRDefault="00093D93" w:rsidP="000E6DB6">
      <w:pPr>
        <w:jc w:val="both"/>
        <w:rPr>
          <w:rFonts w:ascii="Times New Roman" w:hAnsi="Times New Roman" w:cs="Times New Roman"/>
        </w:rPr>
      </w:pPr>
      <w:r w:rsidRPr="00093D93">
        <w:rPr>
          <w:rFonts w:ascii="Times New Roman" w:hAnsi="Times New Roman" w:cs="Times New Roman"/>
        </w:rPr>
        <w:t>Lawal, T., Ademola, S., Owoseni, A., Atobatele, O., &amp; Asuelimen, P. (2017). Aspergillus flavus Degraded Brewer Dried Grains for Broiler Chicken Diet: Performance and Nutrient Digestibility Parameters. </w:t>
      </w:r>
      <w:r w:rsidRPr="00093D93">
        <w:rPr>
          <w:rFonts w:ascii="Times New Roman" w:hAnsi="Times New Roman" w:cs="Times New Roman"/>
          <w:i/>
          <w:iCs/>
        </w:rPr>
        <w:t>Journal of Advances in Biology &amp; Biotechnology</w:t>
      </w:r>
      <w:r w:rsidRPr="00093D93">
        <w:rPr>
          <w:rFonts w:ascii="Times New Roman" w:hAnsi="Times New Roman" w:cs="Times New Roman"/>
        </w:rPr>
        <w:t>, 11, 1-8. https://doi.org/10.9734/JABB/2017/28681.</w:t>
      </w:r>
    </w:p>
    <w:p w14:paraId="79033267" w14:textId="77777777" w:rsidR="00176CAB" w:rsidRPr="000E6DB6" w:rsidRDefault="00176CAB" w:rsidP="000E6DB6">
      <w:pPr>
        <w:jc w:val="both"/>
      </w:pPr>
      <w:r w:rsidRPr="000E6DB6">
        <w:t>Mahfuz, S., &amp; Piao, X. (2019). Application of Moringa (Moringa oleifera) as Natural Feed Supplement in Poultry Diets. </w:t>
      </w:r>
      <w:r w:rsidRPr="000E6DB6">
        <w:rPr>
          <w:i/>
          <w:iCs/>
        </w:rPr>
        <w:t>Animals : an Open Access Journal from MDPI</w:t>
      </w:r>
      <w:r w:rsidRPr="000E6DB6">
        <w:t xml:space="preserve">, 9. </w:t>
      </w:r>
      <w:hyperlink r:id="rId24" w:history="1">
        <w:r w:rsidRPr="000E6DB6">
          <w:rPr>
            <w:rStyle w:val="Hyperlink"/>
          </w:rPr>
          <w:t>https://doi.org/10.3390/ani9070431</w:t>
        </w:r>
      </w:hyperlink>
      <w:r w:rsidRPr="000E6DB6">
        <w:t>.</w:t>
      </w:r>
    </w:p>
    <w:p w14:paraId="0AB18DDC" w14:textId="77777777" w:rsidR="00176CAB" w:rsidRPr="000E6DB6" w:rsidRDefault="00176CAB" w:rsidP="000E6DB6">
      <w:pPr>
        <w:jc w:val="both"/>
      </w:pPr>
      <w:r w:rsidRPr="000E6DB6">
        <w:t>Malematja, E., Manyelo, T., Sebola, N., &amp; Mabelebele, M. (2023). The role of insects in promoting the health and gut status of poultry. </w:t>
      </w:r>
      <w:r w:rsidRPr="000E6DB6">
        <w:rPr>
          <w:i/>
          <w:iCs/>
        </w:rPr>
        <w:t>Comparative Clinical Pathology</w:t>
      </w:r>
      <w:r w:rsidRPr="000E6DB6">
        <w:t xml:space="preserve">, 32, 501-513. </w:t>
      </w:r>
      <w:hyperlink r:id="rId25" w:history="1">
        <w:r w:rsidRPr="000E6DB6">
          <w:rPr>
            <w:rStyle w:val="Hyperlink"/>
          </w:rPr>
          <w:t>https://doi.org/10.1007/s00580-023-03447-4</w:t>
        </w:r>
      </w:hyperlink>
      <w:r w:rsidRPr="000E6DB6">
        <w:t>.</w:t>
      </w:r>
    </w:p>
    <w:p w14:paraId="589BEEE3" w14:textId="77777777" w:rsidR="00176CAB" w:rsidRPr="000E6DB6" w:rsidRDefault="00176CAB" w:rsidP="000E6DB6">
      <w:pPr>
        <w:jc w:val="both"/>
      </w:pPr>
      <w:r w:rsidRPr="00672D19">
        <w:t>Moseri, H., Belonwu, E. N., &amp; Egieme, C. (2020). Effect of Cassava Peels and Palm Kernel Cake Meal Mixtures on the Heamatological and Serum Biochemical of Finisher Pigs. </w:t>
      </w:r>
      <w:r w:rsidRPr="00672D19">
        <w:rPr>
          <w:i/>
          <w:iCs/>
        </w:rPr>
        <w:t>European Journal of Agriculture and Food Sciences</w:t>
      </w:r>
      <w:r w:rsidRPr="00672D19">
        <w:t>, </w:t>
      </w:r>
      <w:r w:rsidRPr="00672D19">
        <w:rPr>
          <w:i/>
          <w:iCs/>
        </w:rPr>
        <w:t>2</w:t>
      </w:r>
      <w:r w:rsidRPr="00672D19">
        <w:t xml:space="preserve">(4). </w:t>
      </w:r>
      <w:hyperlink r:id="rId26" w:history="1">
        <w:r w:rsidRPr="00672D19">
          <w:rPr>
            <w:rStyle w:val="Hyperlink"/>
          </w:rPr>
          <w:t>https://doi.org/10.24018/ejfood.2020.2.4.30</w:t>
        </w:r>
      </w:hyperlink>
    </w:p>
    <w:p w14:paraId="71285C9E" w14:textId="77777777" w:rsidR="00176CAB" w:rsidRPr="000E6DB6" w:rsidRDefault="00176CAB" w:rsidP="000E6DB6">
      <w:pPr>
        <w:jc w:val="both"/>
      </w:pPr>
      <w:r w:rsidRPr="000E6DB6">
        <w:lastRenderedPageBreak/>
        <w:t xml:space="preserve">Muhammed, A., Adeyemo, I., , O., Afodun, M., &amp; Ajayi, A. (2016). Safety of collagen and reticulin fibres in the liver and kidney of broiler chicken fed with Aspergillus niger -hydrolyzed cassava peel meal as carbohydrate source. , 7, 5-12. </w:t>
      </w:r>
      <w:hyperlink r:id="rId27" w:history="1">
        <w:r w:rsidRPr="000E6DB6">
          <w:rPr>
            <w:rStyle w:val="Hyperlink"/>
          </w:rPr>
          <w:t>https://doi.org/10.5897/JMLD2015.0119</w:t>
        </w:r>
      </w:hyperlink>
      <w:r w:rsidRPr="000E6DB6">
        <w:t>.</w:t>
      </w:r>
    </w:p>
    <w:p w14:paraId="347617A7" w14:textId="77777777" w:rsidR="00176CAB" w:rsidRPr="000E6DB6" w:rsidRDefault="00176CAB" w:rsidP="000E6DB6">
      <w:pPr>
        <w:jc w:val="both"/>
      </w:pPr>
      <w:r w:rsidRPr="000E6DB6">
        <w:t xml:space="preserve">Obongekpe, R. (2020). Nutritional assessment of graded levels of fermented mixtures of cassava peels and palm kernel cake. </w:t>
      </w:r>
      <w:r w:rsidRPr="000E6DB6">
        <w:rPr>
          <w:i/>
          <w:iCs/>
        </w:rPr>
        <w:t>International Journal of Research and Scientific Innovation, 7</w:t>
      </w:r>
      <w:r w:rsidRPr="000E6DB6">
        <w:t xml:space="preserve">(5), 180–191. </w:t>
      </w:r>
      <w:hyperlink r:id="rId28" w:history="1">
        <w:r w:rsidRPr="000E6DB6">
          <w:rPr>
            <w:rStyle w:val="Hyperlink"/>
          </w:rPr>
          <w:t>https://doi.org/10.31033/IJRASB.7.5.25</w:t>
        </w:r>
      </w:hyperlink>
    </w:p>
    <w:p w14:paraId="31763E0E" w14:textId="77777777" w:rsidR="00BC601D" w:rsidRDefault="00BC601D" w:rsidP="00BC601D">
      <w:r w:rsidRPr="00BC601D">
        <w:t xml:space="preserve">Odunitan-Wayas, F. A., Kolanisi, U., &amp; Chimonyo, M. (2018). Haematological and serum biochemical responses of Ovambo chickens fed provitamin A biofortified maize. </w:t>
      </w:r>
      <w:r w:rsidRPr="00BC601D">
        <w:rPr>
          <w:i/>
          <w:iCs/>
        </w:rPr>
        <w:t>Brazilian Journal of Poultry Science</w:t>
      </w:r>
      <w:r w:rsidRPr="00BC601D">
        <w:t xml:space="preserve">. </w:t>
      </w:r>
      <w:hyperlink r:id="rId29" w:history="1">
        <w:r w:rsidRPr="00BC601D">
          <w:rPr>
            <w:rStyle w:val="Hyperlink"/>
          </w:rPr>
          <w:t>https://doi.org/10.1590/1806-9061-2016-0444</w:t>
        </w:r>
      </w:hyperlink>
    </w:p>
    <w:p w14:paraId="20377781" w14:textId="77777777" w:rsidR="0002798D" w:rsidRPr="000E6DB6" w:rsidRDefault="0002798D" w:rsidP="000E6DB6">
      <w:pPr>
        <w:jc w:val="both"/>
      </w:pPr>
      <w:r w:rsidRPr="000E6DB6">
        <w:t>Ogbuewu, I., Mabelebele, M., &amp; Mbajiorgu, C. (2023). Meta-analysis of blood indices and production physiology of broiler chickens on dietary fermented cassava intervention. </w:t>
      </w:r>
      <w:r w:rsidRPr="000E6DB6">
        <w:rPr>
          <w:i/>
          <w:iCs/>
        </w:rPr>
        <w:t>Tropical Animal Health and Production</w:t>
      </w:r>
      <w:r w:rsidRPr="000E6DB6">
        <w:t xml:space="preserve">, 55. </w:t>
      </w:r>
      <w:hyperlink r:id="rId30" w:history="1">
        <w:r w:rsidRPr="000E6DB6">
          <w:rPr>
            <w:rStyle w:val="Hyperlink"/>
          </w:rPr>
          <w:t>https://doi.org/10.1007/s11250-023-03783-1</w:t>
        </w:r>
      </w:hyperlink>
      <w:r w:rsidRPr="000E6DB6">
        <w:t>.</w:t>
      </w:r>
    </w:p>
    <w:p w14:paraId="0AF0503B" w14:textId="77777777" w:rsidR="0002798D" w:rsidRPr="000E6DB6" w:rsidRDefault="0002798D" w:rsidP="000E6DB6">
      <w:pPr>
        <w:jc w:val="both"/>
      </w:pPr>
      <w:r w:rsidRPr="000E6DB6">
        <w:t>Ognik, K., Kozłowski, K., Stępniowska, A., Listos, P., Józefiak, D., Zduńczyk, Z., &amp; Jankowski, J. (2020). Antioxidant Status and Liver Function of Young Turkeys Receiving a Diet with Full-Fat Insect Meal from Hermetia illucens. </w:t>
      </w:r>
      <w:r w:rsidRPr="000E6DB6">
        <w:rPr>
          <w:i/>
          <w:iCs/>
        </w:rPr>
        <w:t>Animals : an Open Access Journal from MDPI</w:t>
      </w:r>
      <w:r w:rsidRPr="000E6DB6">
        <w:t xml:space="preserve">, 10. </w:t>
      </w:r>
      <w:hyperlink r:id="rId31" w:history="1">
        <w:r w:rsidRPr="000E6DB6">
          <w:rPr>
            <w:rStyle w:val="Hyperlink"/>
          </w:rPr>
          <w:t>https://doi.org/10.3390/ani10081339</w:t>
        </w:r>
      </w:hyperlink>
      <w:r w:rsidRPr="000E6DB6">
        <w:t>.</w:t>
      </w:r>
    </w:p>
    <w:p w14:paraId="40429C09" w14:textId="77777777" w:rsidR="0002798D" w:rsidRPr="000E6DB6" w:rsidRDefault="0002798D" w:rsidP="000E6DB6">
      <w:pPr>
        <w:jc w:val="both"/>
      </w:pPr>
      <w:r w:rsidRPr="000E6DB6">
        <w:t xml:space="preserve">Okah, U. C., &amp; Ebere, M. (2017). Effect of processing methods on the chemical composition of cassava peel as livestock feed resource. </w:t>
      </w:r>
      <w:r w:rsidRPr="000E6DB6">
        <w:rPr>
          <w:i/>
          <w:iCs/>
        </w:rPr>
        <w:t>College of Animal Science and Production, MOUAU</w:t>
      </w:r>
      <w:r w:rsidRPr="000E6DB6">
        <w:t>.</w:t>
      </w:r>
    </w:p>
    <w:p w14:paraId="5668CC60" w14:textId="77777777" w:rsidR="0002798D" w:rsidRPr="000E6DB6" w:rsidRDefault="0002798D" w:rsidP="000E6DB6">
      <w:pPr>
        <w:jc w:val="both"/>
      </w:pPr>
      <w:r w:rsidRPr="000E6DB6">
        <w:t>Okukpe, M., Aderibigde, T., &amp; Atleh, J. (2019). Effect of Supplementation of Palm Kernel Cake (PKC) with Enzyme Xylanase on Performances and Gut Microbiota of Broiler Chickens. </w:t>
      </w:r>
      <w:r w:rsidRPr="000E6DB6">
        <w:rPr>
          <w:i/>
          <w:iCs/>
        </w:rPr>
        <w:t>Vidyodaya Journal of Science</w:t>
      </w:r>
      <w:r w:rsidRPr="000E6DB6">
        <w:t>. https://doi.org/10.4038/VJS.V22I1.6061.</w:t>
      </w:r>
    </w:p>
    <w:p w14:paraId="0D75672E" w14:textId="77777777" w:rsidR="00A73D87" w:rsidRDefault="00A73D87" w:rsidP="000E6DB6">
      <w:pPr>
        <w:jc w:val="both"/>
      </w:pPr>
      <w:r w:rsidRPr="00A73D87">
        <w:t xml:space="preserve">Olomu, J. M. (2011). </w:t>
      </w:r>
      <w:r w:rsidRPr="00A73D87">
        <w:rPr>
          <w:i/>
          <w:iCs/>
        </w:rPr>
        <w:t>Monogastric Animal Nutrition: Principles and Practice</w:t>
      </w:r>
      <w:r w:rsidRPr="00A73D87">
        <w:t xml:space="preserve"> (2nd ed.). St. Jackson Publishing.</w:t>
      </w:r>
    </w:p>
    <w:p w14:paraId="6C03FD31" w14:textId="77777777" w:rsidR="0002798D" w:rsidRPr="000E6DB6" w:rsidRDefault="0002798D" w:rsidP="000E6DB6">
      <w:pPr>
        <w:jc w:val="both"/>
      </w:pPr>
      <w:r w:rsidRPr="000E6DB6">
        <w:t>Oskoueian, E., Abdullah, N., Idrus, Z., Ebrahimi, M., Goh, Y., Shakeri, M., &amp; Oskoueian, A. (2014). Palm kernel cake extract exerts hepatoprotective activity in heat-induced oxidative stress in chicken hepatocytes. </w:t>
      </w:r>
      <w:r w:rsidRPr="000E6DB6">
        <w:rPr>
          <w:i/>
          <w:iCs/>
        </w:rPr>
        <w:t>BMC Complementary and Alternative Medicine</w:t>
      </w:r>
      <w:r w:rsidRPr="000E6DB6">
        <w:t xml:space="preserve">, 14. </w:t>
      </w:r>
      <w:hyperlink r:id="rId32" w:history="1">
        <w:r w:rsidRPr="000E6DB6">
          <w:rPr>
            <w:rStyle w:val="Hyperlink"/>
          </w:rPr>
          <w:t>https://doi.org/10.1186/1472-6882-14-368</w:t>
        </w:r>
      </w:hyperlink>
      <w:r w:rsidRPr="000E6DB6">
        <w:t>.</w:t>
      </w:r>
    </w:p>
    <w:p w14:paraId="70152474" w14:textId="77777777" w:rsidR="0002798D" w:rsidRPr="000E6DB6" w:rsidRDefault="0002798D" w:rsidP="000E6DB6">
      <w:pPr>
        <w:jc w:val="both"/>
      </w:pPr>
      <w:r w:rsidRPr="000E6DB6">
        <w:t xml:space="preserve">Popowska-Nowak, E., Tumialis, D., &amp; Pezowicz, E. (2017). Susceptibility of lesser mealworm, Alphitobius diaperinus Panzer (Coleoptera: Tenebrionidae) to entomopathogenic fungi isolated from poultry houses litter and nearby soil. , 15, 31-39. </w:t>
      </w:r>
      <w:hyperlink r:id="rId33" w:history="1">
        <w:r w:rsidRPr="000E6DB6">
          <w:rPr>
            <w:rStyle w:val="Hyperlink"/>
          </w:rPr>
          <w:t>https://doi.org/10.21697/seb.2017.15.4.04</w:t>
        </w:r>
      </w:hyperlink>
      <w:r w:rsidRPr="000E6DB6">
        <w:t>.</w:t>
      </w:r>
    </w:p>
    <w:p w14:paraId="76246675" w14:textId="77777777" w:rsidR="0002798D" w:rsidRPr="000E6DB6" w:rsidRDefault="0002798D" w:rsidP="000E6DB6">
      <w:pPr>
        <w:jc w:val="both"/>
      </w:pPr>
      <w:r w:rsidRPr="000E6DB6">
        <w:t xml:space="preserve">Rao, S., Raju, M., Prakash, B., Rajkumar, U., &amp; Reddy, E. (2019). Effect of supplementing moringa (Moringa oleifera) leaf meal and pomegranate (Punica granatum) peel meal on performance, </w:t>
      </w:r>
      <w:r w:rsidRPr="000E6DB6">
        <w:lastRenderedPageBreak/>
        <w:t>carcass attributes, immune and antioxidant responses in broiler chickens. </w:t>
      </w:r>
      <w:r w:rsidRPr="000E6DB6">
        <w:rPr>
          <w:i/>
          <w:iCs/>
        </w:rPr>
        <w:t>Animal Production Science</w:t>
      </w:r>
      <w:r w:rsidRPr="000E6DB6">
        <w:t xml:space="preserve">. </w:t>
      </w:r>
      <w:hyperlink r:id="rId34" w:history="1">
        <w:r w:rsidRPr="000E6DB6">
          <w:rPr>
            <w:rStyle w:val="Hyperlink"/>
          </w:rPr>
          <w:t>https://doi.org/10.1071/AN17390</w:t>
        </w:r>
      </w:hyperlink>
      <w:r w:rsidRPr="000E6DB6">
        <w:t>.</w:t>
      </w:r>
    </w:p>
    <w:p w14:paraId="6D7B7B21" w14:textId="77777777" w:rsidR="00176CAB" w:rsidRPr="000E6DB6" w:rsidRDefault="0002798D" w:rsidP="000E6DB6">
      <w:pPr>
        <w:jc w:val="both"/>
        <w:rPr>
          <w:rFonts w:ascii="Times New Roman" w:hAnsi="Times New Roman" w:cs="Times New Roman"/>
        </w:rPr>
      </w:pPr>
      <w:r w:rsidRPr="000E6DB6">
        <w:rPr>
          <w:rFonts w:ascii="Times New Roman" w:hAnsi="Times New Roman" w:cs="Times New Roman"/>
        </w:rPr>
        <w:t>Sinurat, A., Purwadaria, T., &amp; Purba, M. (2015). Effect of enzyme supplementation on nutritive values of fermented palm kernel cake used to substitute soybean meal in broiler diet.. </w:t>
      </w:r>
      <w:r w:rsidRPr="000E6DB6">
        <w:rPr>
          <w:rFonts w:ascii="Times New Roman" w:hAnsi="Times New Roman" w:cs="Times New Roman"/>
          <w:i/>
          <w:iCs/>
        </w:rPr>
        <w:t>Jurnal Ilmu Ternak dan Veteriner</w:t>
      </w:r>
      <w:r w:rsidRPr="000E6DB6">
        <w:rPr>
          <w:rFonts w:ascii="Times New Roman" w:hAnsi="Times New Roman" w:cs="Times New Roman"/>
        </w:rPr>
        <w:t>, 20, 184-192. https://doi.org/10.14334/JITV.V20I3.1185.</w:t>
      </w:r>
    </w:p>
    <w:p w14:paraId="352F9F18" w14:textId="77777777" w:rsidR="000E6DB6" w:rsidRPr="000E6DB6" w:rsidRDefault="000E6DB6" w:rsidP="000E6DB6">
      <w:pPr>
        <w:jc w:val="both"/>
      </w:pPr>
      <w:r w:rsidRPr="000E6DB6">
        <w:t>Sugiharto, S., Yudiarti, T., Isroli, I., Widiastuti, E., &amp; Putra, F. (2017). Effects of feeding cassava pulp fermented with Acremonium charticola on growth performance, nutrient digestibility and meat quality of broiler chicks. </w:t>
      </w:r>
      <w:r w:rsidRPr="000E6DB6">
        <w:rPr>
          <w:i/>
          <w:iCs/>
        </w:rPr>
        <w:t>South African Journal of Animal Science</w:t>
      </w:r>
      <w:r w:rsidRPr="000E6DB6">
        <w:t xml:space="preserve">, 47, 130-137. </w:t>
      </w:r>
      <w:hyperlink r:id="rId35" w:history="1">
        <w:r w:rsidRPr="000E6DB6">
          <w:rPr>
            <w:rStyle w:val="Hyperlink"/>
          </w:rPr>
          <w:t>https://doi.org/10.4314/SAJAS.V47I2.4</w:t>
        </w:r>
      </w:hyperlink>
      <w:r w:rsidRPr="000E6DB6">
        <w:t>.</w:t>
      </w:r>
    </w:p>
    <w:p w14:paraId="7EF72A2A" w14:textId="77777777" w:rsidR="000E6DB6" w:rsidRPr="000E6DB6" w:rsidRDefault="000E6DB6" w:rsidP="000E6DB6">
      <w:pPr>
        <w:jc w:val="both"/>
      </w:pPr>
      <w:r w:rsidRPr="000E6DB6">
        <w:t>Susanti D, Volland A, Tawari N, Baxter N, Gangaiah D, Plata G, Nagireddy A, Hawkins T, Mane SP and Kumar A (2021) Multi-Omics Characterization of Host-Derived </w:t>
      </w:r>
      <w:r w:rsidRPr="000E6DB6">
        <w:rPr>
          <w:i/>
          <w:iCs/>
        </w:rPr>
        <w:t>Bacillus</w:t>
      </w:r>
      <w:r w:rsidRPr="000E6DB6">
        <w:t> spp. Probiotics for Improved Growth Performance in Poultry. </w:t>
      </w:r>
      <w:r w:rsidRPr="000E6DB6">
        <w:rPr>
          <w:i/>
          <w:iCs/>
        </w:rPr>
        <w:t>Front. Microbiol.</w:t>
      </w:r>
      <w:r w:rsidRPr="000E6DB6">
        <w:t> 12:747845. doi: 10.3389/fmicb.2021.747845</w:t>
      </w:r>
    </w:p>
    <w:p w14:paraId="6B199447" w14:textId="77777777" w:rsidR="000E6DB6" w:rsidRPr="000E6DB6" w:rsidRDefault="000E6DB6" w:rsidP="000E6DB6">
      <w:pPr>
        <w:jc w:val="both"/>
        <w:rPr>
          <w:rFonts w:ascii="Times New Roman" w:hAnsi="Times New Roman" w:cs="Times New Roman"/>
        </w:rPr>
      </w:pPr>
      <w:r w:rsidRPr="000E6DB6">
        <w:rPr>
          <w:rFonts w:ascii="Times New Roman" w:hAnsi="Times New Roman" w:cs="Times New Roman"/>
        </w:rPr>
        <w:t>Toomer, O., Sanders, E., Vu, T., Malheiros, R., Redhead, A., Livingston, M., Livingston, K., Carvalho, L., &amp; Ferket, P. (2020). The effects of high-oleic peanuts as an alternative feed ingredient on broiler performance, ileal digestibility, apparent metabolizable energy, and histology of the intestine.. </w:t>
      </w:r>
      <w:r w:rsidRPr="000E6DB6">
        <w:rPr>
          <w:rFonts w:ascii="Times New Roman" w:hAnsi="Times New Roman" w:cs="Times New Roman"/>
          <w:i/>
          <w:iCs/>
        </w:rPr>
        <w:t>Translational animal science</w:t>
      </w:r>
      <w:r w:rsidRPr="000E6DB6">
        <w:rPr>
          <w:rFonts w:ascii="Times New Roman" w:hAnsi="Times New Roman" w:cs="Times New Roman"/>
        </w:rPr>
        <w:t>, 4 3, txaa137 . https://doi.org/10.1093/tas/txaa137.</w:t>
      </w:r>
    </w:p>
    <w:p w14:paraId="4F5A4DEB" w14:textId="77777777" w:rsidR="000E6DB6" w:rsidRPr="000E6DB6" w:rsidRDefault="000E6DB6" w:rsidP="000E6DB6">
      <w:pPr>
        <w:jc w:val="both"/>
        <w:rPr>
          <w:rFonts w:ascii="Times New Roman" w:hAnsi="Times New Roman" w:cs="Times New Roman"/>
        </w:rPr>
      </w:pPr>
      <w:r w:rsidRPr="000E6DB6">
        <w:rPr>
          <w:rFonts w:ascii="Times New Roman" w:hAnsi="Times New Roman" w:cs="Times New Roman"/>
        </w:rPr>
        <w:t>Tsafrakidou, P., Papoti, V., Giannakakis, E., Christaki, A., Miaoulis, M., Oppert, B., Cohnstaedt, L., Arsi, K., Donoghue, A., Vergos, E., Chaskopoulou, A., &amp; Zinoviadou, K. (2024). Mosquitoes harvested from rice fields as alternative protein ingredient in broiler feed: insights from the first pilot study.. </w:t>
      </w:r>
      <w:r w:rsidRPr="000E6DB6">
        <w:rPr>
          <w:rFonts w:ascii="Times New Roman" w:hAnsi="Times New Roman" w:cs="Times New Roman"/>
          <w:i/>
          <w:iCs/>
        </w:rPr>
        <w:t>Journal of economic entomology</w:t>
      </w:r>
      <w:r w:rsidRPr="000E6DB6">
        <w:rPr>
          <w:rFonts w:ascii="Times New Roman" w:hAnsi="Times New Roman" w:cs="Times New Roman"/>
        </w:rPr>
        <w:t>. https://doi.org/10.1093/jee/toae096.</w:t>
      </w:r>
    </w:p>
    <w:p w14:paraId="566C2063" w14:textId="77777777" w:rsidR="000E6DB6" w:rsidRPr="000E6DB6" w:rsidRDefault="000E6DB6" w:rsidP="000E6DB6">
      <w:pPr>
        <w:jc w:val="both"/>
      </w:pPr>
      <w:r w:rsidRPr="000E6DB6">
        <w:t>Urgessa, O. E., &amp; Woldesemayat, A. A. (2023). OMICs approaches and technologies for understanding low-high feed efficiency traits in chicken: implication to breeding. </w:t>
      </w:r>
      <w:r w:rsidRPr="000E6DB6">
        <w:rPr>
          <w:i/>
          <w:iCs/>
        </w:rPr>
        <w:t>Animal Biotechnology</w:t>
      </w:r>
      <w:r w:rsidRPr="000E6DB6">
        <w:t>, </w:t>
      </w:r>
      <w:r w:rsidRPr="000E6DB6">
        <w:rPr>
          <w:i/>
          <w:iCs/>
        </w:rPr>
        <w:t>34</w:t>
      </w:r>
      <w:r w:rsidRPr="000E6DB6">
        <w:t xml:space="preserve">(8), 4147–4166. </w:t>
      </w:r>
      <w:hyperlink r:id="rId36" w:history="1">
        <w:r w:rsidRPr="000E6DB6">
          <w:rPr>
            <w:rStyle w:val="Hyperlink"/>
          </w:rPr>
          <w:t>https://doi.org/10.1080/10495398.2023.2187404</w:t>
        </w:r>
      </w:hyperlink>
    </w:p>
    <w:p w14:paraId="0D236503" w14:textId="77777777" w:rsidR="000E6DB6" w:rsidRPr="00370F51" w:rsidRDefault="000E6DB6" w:rsidP="000E6DB6">
      <w:pPr>
        <w:jc w:val="both"/>
      </w:pPr>
      <w:r w:rsidRPr="00370F51">
        <w:t>Vlaicu, P. A., Untea, A. E., &amp; Oancea, A. G. (2024). Sustainable Poultry Feeding Strategies for Achieving Zero Hunger and Enhancing Food Quality. </w:t>
      </w:r>
      <w:r w:rsidRPr="00370F51">
        <w:rPr>
          <w:i/>
          <w:iCs/>
        </w:rPr>
        <w:t>Agriculture</w:t>
      </w:r>
      <w:r w:rsidRPr="00370F51">
        <w:t>, </w:t>
      </w:r>
      <w:r w:rsidRPr="00370F51">
        <w:rPr>
          <w:i/>
          <w:iCs/>
        </w:rPr>
        <w:t>14</w:t>
      </w:r>
      <w:r w:rsidRPr="00370F51">
        <w:t>(10), 1811. https://doi.org/10.3390/agriculture14101811</w:t>
      </w:r>
    </w:p>
    <w:p w14:paraId="21E6DEE9" w14:textId="77777777" w:rsidR="000E6DB6" w:rsidRPr="000E6DB6" w:rsidRDefault="000E6DB6" w:rsidP="000E6DB6">
      <w:pPr>
        <w:jc w:val="both"/>
      </w:pPr>
      <w:r w:rsidRPr="000E6DB6">
        <w:t xml:space="preserve">Zampiga, M., Flees, J. J., Meluzzi, A., Dridi, S., &amp; Sirri, F. (2018). Application of omics technologies for a deeper insight into quali-quantitative production traits in broiler chickens: A review. </w:t>
      </w:r>
      <w:r w:rsidRPr="000E6DB6">
        <w:rPr>
          <w:i/>
          <w:iCs/>
        </w:rPr>
        <w:t>Journal of Animal Science and Biotechnology, 9</w:t>
      </w:r>
      <w:r w:rsidRPr="000E6DB6">
        <w:t xml:space="preserve">, 61. </w:t>
      </w:r>
      <w:hyperlink r:id="rId37" w:history="1">
        <w:r w:rsidRPr="000E6DB6">
          <w:rPr>
            <w:rStyle w:val="Hyperlink"/>
          </w:rPr>
          <w:t>https://doi.org/10.1186/s40104-018-0278-5</w:t>
        </w:r>
      </w:hyperlink>
    </w:p>
    <w:p w14:paraId="31025AAD" w14:textId="77777777" w:rsidR="000E6DB6" w:rsidRDefault="000E6DB6" w:rsidP="00FB0A57">
      <w:pPr>
        <w:rPr>
          <w:rFonts w:ascii="Times New Roman" w:hAnsi="Times New Roman" w:cs="Times New Roman"/>
        </w:rPr>
      </w:pPr>
    </w:p>
    <w:p w14:paraId="425D6402" w14:textId="77777777" w:rsidR="00620040" w:rsidRPr="00FB0A57" w:rsidRDefault="00620040" w:rsidP="00FB0A57">
      <w:pPr>
        <w:rPr>
          <w:rFonts w:ascii="Times New Roman" w:hAnsi="Times New Roman" w:cs="Times New Roman"/>
        </w:rPr>
      </w:pPr>
    </w:p>
    <w:sectPr w:rsidR="00620040" w:rsidRPr="00FB0A57">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LL" w:date="2025-05-08T07:32:00Z" w:initials="D">
    <w:p w14:paraId="3F0A77C9" w14:textId="1A7B6DB7" w:rsidR="00E61CD8" w:rsidRDefault="00E61CD8">
      <w:pPr>
        <w:pStyle w:val="CommentText"/>
      </w:pPr>
      <w:r>
        <w:rPr>
          <w:rStyle w:val="CommentReference"/>
        </w:rPr>
        <w:annotationRef/>
      </w:r>
      <w:r>
        <w:t>remove</w:t>
      </w:r>
    </w:p>
  </w:comment>
  <w:comment w:id="1" w:author="DELL" w:date="2025-05-08T07:39:00Z" w:initials="D">
    <w:p w14:paraId="4488EE85" w14:textId="40DA6D34" w:rsidR="00E61CD8" w:rsidRDefault="00E61CD8">
      <w:pPr>
        <w:pStyle w:val="CommentText"/>
      </w:pPr>
      <w:r>
        <w:rPr>
          <w:rStyle w:val="CommentReference"/>
        </w:rPr>
        <w:annotationRef/>
      </w:r>
      <w:r>
        <w:t>at what appropriate level???</w:t>
      </w:r>
    </w:p>
  </w:comment>
  <w:comment w:id="2" w:author="DELL" w:date="2025-05-08T07:39:00Z" w:initials="D">
    <w:p w14:paraId="169C4D3E" w14:textId="45100A3F" w:rsidR="00E61CD8" w:rsidRDefault="00E61CD8">
      <w:pPr>
        <w:pStyle w:val="CommentText"/>
      </w:pPr>
      <w:r>
        <w:rPr>
          <w:rStyle w:val="CommentReference"/>
        </w:rPr>
        <w:annotationRef/>
      </w:r>
      <w:r w:rsidR="00495EF3">
        <w:t>Need explore more literature with inclusion rate</w:t>
      </w:r>
    </w:p>
  </w:comment>
  <w:comment w:id="3" w:author="DELL" w:date="2025-05-08T10:51:00Z" w:initials="D">
    <w:p w14:paraId="1365F6FE" w14:textId="7D428FC6" w:rsidR="00495EF3" w:rsidRDefault="00495EF3">
      <w:pPr>
        <w:pStyle w:val="CommentText"/>
      </w:pPr>
      <w:r>
        <w:rPr>
          <w:rStyle w:val="CommentReference"/>
        </w:rPr>
        <w:annotationRef/>
      </w:r>
      <w:r>
        <w:t>HDL:LDL</w:t>
      </w:r>
    </w:p>
  </w:comment>
  <w:comment w:id="4" w:author="DELL" w:date="2025-05-08T10:51:00Z" w:initials="D">
    <w:p w14:paraId="7D92A87F" w14:textId="79948127" w:rsidR="00495EF3" w:rsidRDefault="00495EF3">
      <w:pPr>
        <w:pStyle w:val="CommentText"/>
      </w:pPr>
      <w:r>
        <w:rPr>
          <w:rStyle w:val="CommentReference"/>
        </w:rPr>
        <w:annotationRef/>
      </w:r>
      <w:r>
        <w:t>Relation of S Protein to physiology???</w:t>
      </w:r>
    </w:p>
  </w:comment>
  <w:comment w:id="5" w:author="DELL" w:date="2025-05-08T10:53:00Z" w:initials="D">
    <w:p w14:paraId="512B9F7E" w14:textId="739328A4" w:rsidR="00495EF3" w:rsidRDefault="00495EF3">
      <w:pPr>
        <w:pStyle w:val="CommentText"/>
      </w:pPr>
      <w:r>
        <w:rPr>
          <w:rStyle w:val="CommentReference"/>
        </w:rPr>
        <w:annotationRef/>
      </w:r>
      <w:r>
        <w:t>????</w:t>
      </w:r>
    </w:p>
  </w:comment>
  <w:comment w:id="6" w:author="DELL" w:date="2025-05-08T10:58:00Z" w:initials="D">
    <w:p w14:paraId="1CCE22A0" w14:textId="2B564563" w:rsidR="00DA7C7A" w:rsidRDefault="00DA7C7A">
      <w:pPr>
        <w:pStyle w:val="CommentText"/>
      </w:pPr>
      <w:r>
        <w:rPr>
          <w:rStyle w:val="CommentReference"/>
        </w:rPr>
        <w:annotationRef/>
      </w:r>
      <w:r>
        <w:t>Meaning not clear? Re-write it</w:t>
      </w:r>
    </w:p>
  </w:comment>
  <w:comment w:id="7" w:author="DELL" w:date="2025-05-08T11:10:00Z" w:initials="D">
    <w:p w14:paraId="243CFB88" w14:textId="06AFCCDD" w:rsidR="00B63A56" w:rsidRDefault="00B63A56">
      <w:pPr>
        <w:pStyle w:val="CommentText"/>
      </w:pPr>
      <w:r>
        <w:rPr>
          <w:rStyle w:val="CommentReference"/>
        </w:rPr>
        <w:annotationRef/>
      </w:r>
      <w:r>
        <w:t>??</w:t>
      </w:r>
    </w:p>
  </w:comment>
  <w:comment w:id="8" w:author="DELL" w:date="2025-05-08T11:12:00Z" w:initials="D">
    <w:p w14:paraId="7FA960A1" w14:textId="5A9A27D8" w:rsidR="00B63A56" w:rsidRDefault="00B63A56">
      <w:pPr>
        <w:pStyle w:val="CommentText"/>
      </w:pPr>
      <w:r>
        <w:rPr>
          <w:rStyle w:val="CommentReference"/>
        </w:rPr>
        <w:annotationRef/>
      </w:r>
      <w:r>
        <w:t>spacing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0A77C9" w15:done="1"/>
  <w15:commentEx w15:paraId="4488EE85" w15:done="0"/>
  <w15:commentEx w15:paraId="169C4D3E" w15:done="0"/>
  <w15:commentEx w15:paraId="1365F6FE" w15:done="0"/>
  <w15:commentEx w15:paraId="7D92A87F" w15:done="0"/>
  <w15:commentEx w15:paraId="512B9F7E" w15:done="0"/>
  <w15:commentEx w15:paraId="1CCE22A0" w15:done="0"/>
  <w15:commentEx w15:paraId="243CFB88" w15:done="0"/>
  <w15:commentEx w15:paraId="7FA960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734991" w16cex:dateUtc="2025-05-08T01:47:00Z"/>
  <w16cex:commentExtensible w16cex:durableId="15DA5335" w16cex:dateUtc="2025-05-08T01:54:00Z"/>
  <w16cex:commentExtensible w16cex:durableId="53FD8E3C" w16cex:dateUtc="2025-05-08T01:54:00Z"/>
  <w16cex:commentExtensible w16cex:durableId="348EC834" w16cex:dateUtc="2025-05-08T05:06:00Z"/>
  <w16cex:commentExtensible w16cex:durableId="32516FB1" w16cex:dateUtc="2025-05-08T05:06:00Z"/>
  <w16cex:commentExtensible w16cex:durableId="1D18D7A4" w16cex:dateUtc="2025-05-08T05:08:00Z"/>
  <w16cex:commentExtensible w16cex:durableId="11002715" w16cex:dateUtc="2025-05-08T05:13:00Z"/>
  <w16cex:commentExtensible w16cex:durableId="20632300" w16cex:dateUtc="2025-05-08T05:25:00Z"/>
  <w16cex:commentExtensible w16cex:durableId="4603BCB9" w16cex:dateUtc="2025-05-08T0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0A77C9" w16cid:durableId="0A734991"/>
  <w16cid:commentId w16cid:paraId="4488EE85" w16cid:durableId="15DA5335"/>
  <w16cid:commentId w16cid:paraId="169C4D3E" w16cid:durableId="53FD8E3C"/>
  <w16cid:commentId w16cid:paraId="1365F6FE" w16cid:durableId="348EC834"/>
  <w16cid:commentId w16cid:paraId="7D92A87F" w16cid:durableId="32516FB1"/>
  <w16cid:commentId w16cid:paraId="512B9F7E" w16cid:durableId="1D18D7A4"/>
  <w16cid:commentId w16cid:paraId="1CCE22A0" w16cid:durableId="11002715"/>
  <w16cid:commentId w16cid:paraId="243CFB88" w16cid:durableId="20632300"/>
  <w16cid:commentId w16cid:paraId="7FA960A1" w16cid:durableId="4603BC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DC531" w14:textId="77777777" w:rsidR="00F40617" w:rsidRDefault="00F40617" w:rsidP="00FB0A57">
      <w:pPr>
        <w:spacing w:after="0" w:line="240" w:lineRule="auto"/>
      </w:pPr>
      <w:r>
        <w:separator/>
      </w:r>
    </w:p>
  </w:endnote>
  <w:endnote w:type="continuationSeparator" w:id="0">
    <w:p w14:paraId="1F92A219" w14:textId="77777777" w:rsidR="00F40617" w:rsidRDefault="00F40617" w:rsidP="00FB0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5FAB" w14:textId="77777777" w:rsidR="008D2C58" w:rsidRDefault="008D2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9B6E" w14:textId="77777777" w:rsidR="008D2C58" w:rsidRDefault="008D2C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6B3C" w14:textId="77777777" w:rsidR="008D2C58" w:rsidRDefault="008D2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2FF8A" w14:textId="77777777" w:rsidR="00F40617" w:rsidRDefault="00F40617" w:rsidP="00FB0A57">
      <w:pPr>
        <w:spacing w:after="0" w:line="240" w:lineRule="auto"/>
      </w:pPr>
      <w:r>
        <w:separator/>
      </w:r>
    </w:p>
  </w:footnote>
  <w:footnote w:type="continuationSeparator" w:id="0">
    <w:p w14:paraId="25B8C8B7" w14:textId="77777777" w:rsidR="00F40617" w:rsidRDefault="00F40617" w:rsidP="00FB0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E555" w14:textId="77777777" w:rsidR="008D2C58" w:rsidRDefault="00000000">
    <w:pPr>
      <w:pStyle w:val="Header"/>
    </w:pPr>
    <w:r>
      <w:rPr>
        <w:noProof/>
      </w:rPr>
      <w:pict w14:anchorId="63691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62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C427" w14:textId="77777777" w:rsidR="008D2C58" w:rsidRDefault="00000000">
    <w:pPr>
      <w:pStyle w:val="Header"/>
    </w:pPr>
    <w:r>
      <w:rPr>
        <w:noProof/>
      </w:rPr>
      <w:pict w14:anchorId="50E5C6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62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74BAB" w14:textId="77777777" w:rsidR="008D2C58" w:rsidRDefault="00000000">
    <w:pPr>
      <w:pStyle w:val="Header"/>
    </w:pPr>
    <w:r>
      <w:rPr>
        <w:noProof/>
      </w:rPr>
      <w:pict w14:anchorId="1A077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62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31EA"/>
    <w:multiLevelType w:val="multilevel"/>
    <w:tmpl w:val="1690E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11191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1E"/>
    <w:rsid w:val="0002798D"/>
    <w:rsid w:val="00093D93"/>
    <w:rsid w:val="000D6C84"/>
    <w:rsid w:val="000E6DB6"/>
    <w:rsid w:val="00176CAB"/>
    <w:rsid w:val="00190DB8"/>
    <w:rsid w:val="001B5DA3"/>
    <w:rsid w:val="001E6231"/>
    <w:rsid w:val="00241CD0"/>
    <w:rsid w:val="00274933"/>
    <w:rsid w:val="00461EBB"/>
    <w:rsid w:val="00495EF3"/>
    <w:rsid w:val="004A543E"/>
    <w:rsid w:val="00561285"/>
    <w:rsid w:val="00620040"/>
    <w:rsid w:val="006903D2"/>
    <w:rsid w:val="006E79C1"/>
    <w:rsid w:val="0075401E"/>
    <w:rsid w:val="007A6D1A"/>
    <w:rsid w:val="007D1DF5"/>
    <w:rsid w:val="007D7B50"/>
    <w:rsid w:val="008235E8"/>
    <w:rsid w:val="00891708"/>
    <w:rsid w:val="008D2C58"/>
    <w:rsid w:val="008F5690"/>
    <w:rsid w:val="00996965"/>
    <w:rsid w:val="00A73D87"/>
    <w:rsid w:val="00B218E0"/>
    <w:rsid w:val="00B505E0"/>
    <w:rsid w:val="00B63A56"/>
    <w:rsid w:val="00BC601D"/>
    <w:rsid w:val="00C668A2"/>
    <w:rsid w:val="00D702B9"/>
    <w:rsid w:val="00DA7C7A"/>
    <w:rsid w:val="00DC2D94"/>
    <w:rsid w:val="00E01569"/>
    <w:rsid w:val="00E0254F"/>
    <w:rsid w:val="00E61CD8"/>
    <w:rsid w:val="00ED03D0"/>
    <w:rsid w:val="00F3313D"/>
    <w:rsid w:val="00F34333"/>
    <w:rsid w:val="00F40617"/>
    <w:rsid w:val="00F47538"/>
    <w:rsid w:val="00F9265E"/>
    <w:rsid w:val="00FB0A57"/>
    <w:rsid w:val="00FB1876"/>
    <w:rsid w:val="00FF545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0374E"/>
  <w15:chartTrackingRefBased/>
  <w15:docId w15:val="{ADE0A628-4CC9-428B-9662-3AE940EF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0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40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40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40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40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40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0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0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0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0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40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40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40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40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40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0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0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01E"/>
    <w:rPr>
      <w:rFonts w:eastAsiaTheme="majorEastAsia" w:cstheme="majorBidi"/>
      <w:color w:val="272727" w:themeColor="text1" w:themeTint="D8"/>
    </w:rPr>
  </w:style>
  <w:style w:type="paragraph" w:styleId="Title">
    <w:name w:val="Title"/>
    <w:basedOn w:val="Normal"/>
    <w:next w:val="Normal"/>
    <w:link w:val="TitleChar"/>
    <w:uiPriority w:val="10"/>
    <w:qFormat/>
    <w:rsid w:val="00754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0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0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01E"/>
    <w:pPr>
      <w:spacing w:before="160"/>
      <w:jc w:val="center"/>
    </w:pPr>
    <w:rPr>
      <w:i/>
      <w:iCs/>
      <w:color w:val="404040" w:themeColor="text1" w:themeTint="BF"/>
    </w:rPr>
  </w:style>
  <w:style w:type="character" w:customStyle="1" w:styleId="QuoteChar">
    <w:name w:val="Quote Char"/>
    <w:basedOn w:val="DefaultParagraphFont"/>
    <w:link w:val="Quote"/>
    <w:uiPriority w:val="29"/>
    <w:rsid w:val="0075401E"/>
    <w:rPr>
      <w:i/>
      <w:iCs/>
      <w:color w:val="404040" w:themeColor="text1" w:themeTint="BF"/>
    </w:rPr>
  </w:style>
  <w:style w:type="paragraph" w:styleId="ListParagraph">
    <w:name w:val="List Paragraph"/>
    <w:basedOn w:val="Normal"/>
    <w:uiPriority w:val="34"/>
    <w:qFormat/>
    <w:rsid w:val="0075401E"/>
    <w:pPr>
      <w:ind w:left="720"/>
      <w:contextualSpacing/>
    </w:pPr>
  </w:style>
  <w:style w:type="character" w:styleId="IntenseEmphasis">
    <w:name w:val="Intense Emphasis"/>
    <w:basedOn w:val="DefaultParagraphFont"/>
    <w:uiPriority w:val="21"/>
    <w:qFormat/>
    <w:rsid w:val="0075401E"/>
    <w:rPr>
      <w:i/>
      <w:iCs/>
      <w:color w:val="2F5496" w:themeColor="accent1" w:themeShade="BF"/>
    </w:rPr>
  </w:style>
  <w:style w:type="paragraph" w:styleId="IntenseQuote">
    <w:name w:val="Intense Quote"/>
    <w:basedOn w:val="Normal"/>
    <w:next w:val="Normal"/>
    <w:link w:val="IntenseQuoteChar"/>
    <w:uiPriority w:val="30"/>
    <w:qFormat/>
    <w:rsid w:val="007540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401E"/>
    <w:rPr>
      <w:i/>
      <w:iCs/>
      <w:color w:val="2F5496" w:themeColor="accent1" w:themeShade="BF"/>
    </w:rPr>
  </w:style>
  <w:style w:type="character" w:styleId="IntenseReference">
    <w:name w:val="Intense Reference"/>
    <w:basedOn w:val="DefaultParagraphFont"/>
    <w:uiPriority w:val="32"/>
    <w:qFormat/>
    <w:rsid w:val="0075401E"/>
    <w:rPr>
      <w:b/>
      <w:bCs/>
      <w:smallCaps/>
      <w:color w:val="2F5496" w:themeColor="accent1" w:themeShade="BF"/>
      <w:spacing w:val="5"/>
    </w:rPr>
  </w:style>
  <w:style w:type="character" w:styleId="Hyperlink">
    <w:name w:val="Hyperlink"/>
    <w:basedOn w:val="DefaultParagraphFont"/>
    <w:uiPriority w:val="99"/>
    <w:unhideWhenUsed/>
    <w:rsid w:val="00620040"/>
    <w:rPr>
      <w:color w:val="0563C1" w:themeColor="hyperlink"/>
      <w:u w:val="single"/>
    </w:rPr>
  </w:style>
  <w:style w:type="character" w:styleId="UnresolvedMention">
    <w:name w:val="Unresolved Mention"/>
    <w:basedOn w:val="DefaultParagraphFont"/>
    <w:uiPriority w:val="99"/>
    <w:semiHidden/>
    <w:unhideWhenUsed/>
    <w:rsid w:val="00620040"/>
    <w:rPr>
      <w:color w:val="605E5C"/>
      <w:shd w:val="clear" w:color="auto" w:fill="E1DFDD"/>
    </w:rPr>
  </w:style>
  <w:style w:type="paragraph" w:styleId="Header">
    <w:name w:val="header"/>
    <w:basedOn w:val="Normal"/>
    <w:link w:val="HeaderChar"/>
    <w:uiPriority w:val="99"/>
    <w:unhideWhenUsed/>
    <w:rsid w:val="00FB0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A57"/>
  </w:style>
  <w:style w:type="paragraph" w:styleId="Footer">
    <w:name w:val="footer"/>
    <w:basedOn w:val="Normal"/>
    <w:link w:val="FooterChar"/>
    <w:uiPriority w:val="99"/>
    <w:unhideWhenUsed/>
    <w:rsid w:val="00FB0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A57"/>
  </w:style>
  <w:style w:type="character" w:styleId="CommentReference">
    <w:name w:val="annotation reference"/>
    <w:basedOn w:val="DefaultParagraphFont"/>
    <w:uiPriority w:val="99"/>
    <w:semiHidden/>
    <w:unhideWhenUsed/>
    <w:rsid w:val="00E61CD8"/>
    <w:rPr>
      <w:sz w:val="16"/>
      <w:szCs w:val="16"/>
    </w:rPr>
  </w:style>
  <w:style w:type="paragraph" w:styleId="CommentText">
    <w:name w:val="annotation text"/>
    <w:basedOn w:val="Normal"/>
    <w:link w:val="CommentTextChar"/>
    <w:uiPriority w:val="99"/>
    <w:semiHidden/>
    <w:unhideWhenUsed/>
    <w:rsid w:val="00E61CD8"/>
    <w:pPr>
      <w:spacing w:line="240" w:lineRule="auto"/>
    </w:pPr>
    <w:rPr>
      <w:sz w:val="20"/>
      <w:szCs w:val="20"/>
    </w:rPr>
  </w:style>
  <w:style w:type="character" w:customStyle="1" w:styleId="CommentTextChar">
    <w:name w:val="Comment Text Char"/>
    <w:basedOn w:val="DefaultParagraphFont"/>
    <w:link w:val="CommentText"/>
    <w:uiPriority w:val="99"/>
    <w:semiHidden/>
    <w:rsid w:val="00E61CD8"/>
    <w:rPr>
      <w:sz w:val="20"/>
      <w:szCs w:val="20"/>
    </w:rPr>
  </w:style>
  <w:style w:type="paragraph" w:styleId="CommentSubject">
    <w:name w:val="annotation subject"/>
    <w:basedOn w:val="CommentText"/>
    <w:next w:val="CommentText"/>
    <w:link w:val="CommentSubjectChar"/>
    <w:uiPriority w:val="99"/>
    <w:semiHidden/>
    <w:unhideWhenUsed/>
    <w:rsid w:val="00E61CD8"/>
    <w:rPr>
      <w:b/>
      <w:bCs/>
    </w:rPr>
  </w:style>
  <w:style w:type="character" w:customStyle="1" w:styleId="CommentSubjectChar">
    <w:name w:val="Comment Subject Char"/>
    <w:basedOn w:val="CommentTextChar"/>
    <w:link w:val="CommentSubject"/>
    <w:uiPriority w:val="99"/>
    <w:semiHidden/>
    <w:rsid w:val="00E61C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714">
      <w:bodyDiv w:val="1"/>
      <w:marLeft w:val="0"/>
      <w:marRight w:val="0"/>
      <w:marTop w:val="0"/>
      <w:marBottom w:val="0"/>
      <w:divBdr>
        <w:top w:val="none" w:sz="0" w:space="0" w:color="auto"/>
        <w:left w:val="none" w:sz="0" w:space="0" w:color="auto"/>
        <w:bottom w:val="none" w:sz="0" w:space="0" w:color="auto"/>
        <w:right w:val="none" w:sz="0" w:space="0" w:color="auto"/>
      </w:divBdr>
    </w:div>
    <w:div w:id="18166077">
      <w:bodyDiv w:val="1"/>
      <w:marLeft w:val="0"/>
      <w:marRight w:val="0"/>
      <w:marTop w:val="0"/>
      <w:marBottom w:val="0"/>
      <w:divBdr>
        <w:top w:val="none" w:sz="0" w:space="0" w:color="auto"/>
        <w:left w:val="none" w:sz="0" w:space="0" w:color="auto"/>
        <w:bottom w:val="none" w:sz="0" w:space="0" w:color="auto"/>
        <w:right w:val="none" w:sz="0" w:space="0" w:color="auto"/>
      </w:divBdr>
    </w:div>
    <w:div w:id="358748717">
      <w:bodyDiv w:val="1"/>
      <w:marLeft w:val="0"/>
      <w:marRight w:val="0"/>
      <w:marTop w:val="0"/>
      <w:marBottom w:val="0"/>
      <w:divBdr>
        <w:top w:val="none" w:sz="0" w:space="0" w:color="auto"/>
        <w:left w:val="none" w:sz="0" w:space="0" w:color="auto"/>
        <w:bottom w:val="none" w:sz="0" w:space="0" w:color="auto"/>
        <w:right w:val="none" w:sz="0" w:space="0" w:color="auto"/>
      </w:divBdr>
    </w:div>
    <w:div w:id="436408108">
      <w:bodyDiv w:val="1"/>
      <w:marLeft w:val="0"/>
      <w:marRight w:val="0"/>
      <w:marTop w:val="0"/>
      <w:marBottom w:val="0"/>
      <w:divBdr>
        <w:top w:val="none" w:sz="0" w:space="0" w:color="auto"/>
        <w:left w:val="none" w:sz="0" w:space="0" w:color="auto"/>
        <w:bottom w:val="none" w:sz="0" w:space="0" w:color="auto"/>
        <w:right w:val="none" w:sz="0" w:space="0" w:color="auto"/>
      </w:divBdr>
    </w:div>
    <w:div w:id="437600739">
      <w:bodyDiv w:val="1"/>
      <w:marLeft w:val="0"/>
      <w:marRight w:val="0"/>
      <w:marTop w:val="0"/>
      <w:marBottom w:val="0"/>
      <w:divBdr>
        <w:top w:val="none" w:sz="0" w:space="0" w:color="auto"/>
        <w:left w:val="none" w:sz="0" w:space="0" w:color="auto"/>
        <w:bottom w:val="none" w:sz="0" w:space="0" w:color="auto"/>
        <w:right w:val="none" w:sz="0" w:space="0" w:color="auto"/>
      </w:divBdr>
    </w:div>
    <w:div w:id="511995360">
      <w:bodyDiv w:val="1"/>
      <w:marLeft w:val="0"/>
      <w:marRight w:val="0"/>
      <w:marTop w:val="0"/>
      <w:marBottom w:val="0"/>
      <w:divBdr>
        <w:top w:val="none" w:sz="0" w:space="0" w:color="auto"/>
        <w:left w:val="none" w:sz="0" w:space="0" w:color="auto"/>
        <w:bottom w:val="none" w:sz="0" w:space="0" w:color="auto"/>
        <w:right w:val="none" w:sz="0" w:space="0" w:color="auto"/>
      </w:divBdr>
    </w:div>
    <w:div w:id="534001032">
      <w:bodyDiv w:val="1"/>
      <w:marLeft w:val="0"/>
      <w:marRight w:val="0"/>
      <w:marTop w:val="0"/>
      <w:marBottom w:val="0"/>
      <w:divBdr>
        <w:top w:val="none" w:sz="0" w:space="0" w:color="auto"/>
        <w:left w:val="none" w:sz="0" w:space="0" w:color="auto"/>
        <w:bottom w:val="none" w:sz="0" w:space="0" w:color="auto"/>
        <w:right w:val="none" w:sz="0" w:space="0" w:color="auto"/>
      </w:divBdr>
    </w:div>
    <w:div w:id="675496819">
      <w:bodyDiv w:val="1"/>
      <w:marLeft w:val="0"/>
      <w:marRight w:val="0"/>
      <w:marTop w:val="0"/>
      <w:marBottom w:val="0"/>
      <w:divBdr>
        <w:top w:val="none" w:sz="0" w:space="0" w:color="auto"/>
        <w:left w:val="none" w:sz="0" w:space="0" w:color="auto"/>
        <w:bottom w:val="none" w:sz="0" w:space="0" w:color="auto"/>
        <w:right w:val="none" w:sz="0" w:space="0" w:color="auto"/>
      </w:divBdr>
      <w:divsChild>
        <w:div w:id="1142578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950028">
      <w:bodyDiv w:val="1"/>
      <w:marLeft w:val="0"/>
      <w:marRight w:val="0"/>
      <w:marTop w:val="0"/>
      <w:marBottom w:val="0"/>
      <w:divBdr>
        <w:top w:val="none" w:sz="0" w:space="0" w:color="auto"/>
        <w:left w:val="none" w:sz="0" w:space="0" w:color="auto"/>
        <w:bottom w:val="none" w:sz="0" w:space="0" w:color="auto"/>
        <w:right w:val="none" w:sz="0" w:space="0" w:color="auto"/>
      </w:divBdr>
    </w:div>
    <w:div w:id="996999920">
      <w:bodyDiv w:val="1"/>
      <w:marLeft w:val="0"/>
      <w:marRight w:val="0"/>
      <w:marTop w:val="0"/>
      <w:marBottom w:val="0"/>
      <w:divBdr>
        <w:top w:val="none" w:sz="0" w:space="0" w:color="auto"/>
        <w:left w:val="none" w:sz="0" w:space="0" w:color="auto"/>
        <w:bottom w:val="none" w:sz="0" w:space="0" w:color="auto"/>
        <w:right w:val="none" w:sz="0" w:space="0" w:color="auto"/>
      </w:divBdr>
    </w:div>
    <w:div w:id="998651633">
      <w:bodyDiv w:val="1"/>
      <w:marLeft w:val="0"/>
      <w:marRight w:val="0"/>
      <w:marTop w:val="0"/>
      <w:marBottom w:val="0"/>
      <w:divBdr>
        <w:top w:val="none" w:sz="0" w:space="0" w:color="auto"/>
        <w:left w:val="none" w:sz="0" w:space="0" w:color="auto"/>
        <w:bottom w:val="none" w:sz="0" w:space="0" w:color="auto"/>
        <w:right w:val="none" w:sz="0" w:space="0" w:color="auto"/>
      </w:divBdr>
    </w:div>
    <w:div w:id="1004287350">
      <w:bodyDiv w:val="1"/>
      <w:marLeft w:val="0"/>
      <w:marRight w:val="0"/>
      <w:marTop w:val="0"/>
      <w:marBottom w:val="0"/>
      <w:divBdr>
        <w:top w:val="none" w:sz="0" w:space="0" w:color="auto"/>
        <w:left w:val="none" w:sz="0" w:space="0" w:color="auto"/>
        <w:bottom w:val="none" w:sz="0" w:space="0" w:color="auto"/>
        <w:right w:val="none" w:sz="0" w:space="0" w:color="auto"/>
      </w:divBdr>
    </w:div>
    <w:div w:id="1160341933">
      <w:bodyDiv w:val="1"/>
      <w:marLeft w:val="0"/>
      <w:marRight w:val="0"/>
      <w:marTop w:val="0"/>
      <w:marBottom w:val="0"/>
      <w:divBdr>
        <w:top w:val="none" w:sz="0" w:space="0" w:color="auto"/>
        <w:left w:val="none" w:sz="0" w:space="0" w:color="auto"/>
        <w:bottom w:val="none" w:sz="0" w:space="0" w:color="auto"/>
        <w:right w:val="none" w:sz="0" w:space="0" w:color="auto"/>
      </w:divBdr>
    </w:div>
    <w:div w:id="1163476205">
      <w:bodyDiv w:val="1"/>
      <w:marLeft w:val="0"/>
      <w:marRight w:val="0"/>
      <w:marTop w:val="0"/>
      <w:marBottom w:val="0"/>
      <w:divBdr>
        <w:top w:val="none" w:sz="0" w:space="0" w:color="auto"/>
        <w:left w:val="none" w:sz="0" w:space="0" w:color="auto"/>
        <w:bottom w:val="none" w:sz="0" w:space="0" w:color="auto"/>
        <w:right w:val="none" w:sz="0" w:space="0" w:color="auto"/>
      </w:divBdr>
    </w:div>
    <w:div w:id="1288580775">
      <w:bodyDiv w:val="1"/>
      <w:marLeft w:val="0"/>
      <w:marRight w:val="0"/>
      <w:marTop w:val="0"/>
      <w:marBottom w:val="0"/>
      <w:divBdr>
        <w:top w:val="none" w:sz="0" w:space="0" w:color="auto"/>
        <w:left w:val="none" w:sz="0" w:space="0" w:color="auto"/>
        <w:bottom w:val="none" w:sz="0" w:space="0" w:color="auto"/>
        <w:right w:val="none" w:sz="0" w:space="0" w:color="auto"/>
      </w:divBdr>
    </w:div>
    <w:div w:id="1301885481">
      <w:bodyDiv w:val="1"/>
      <w:marLeft w:val="0"/>
      <w:marRight w:val="0"/>
      <w:marTop w:val="0"/>
      <w:marBottom w:val="0"/>
      <w:divBdr>
        <w:top w:val="none" w:sz="0" w:space="0" w:color="auto"/>
        <w:left w:val="none" w:sz="0" w:space="0" w:color="auto"/>
        <w:bottom w:val="none" w:sz="0" w:space="0" w:color="auto"/>
        <w:right w:val="none" w:sz="0" w:space="0" w:color="auto"/>
      </w:divBdr>
    </w:div>
    <w:div w:id="1525820747">
      <w:bodyDiv w:val="1"/>
      <w:marLeft w:val="0"/>
      <w:marRight w:val="0"/>
      <w:marTop w:val="0"/>
      <w:marBottom w:val="0"/>
      <w:divBdr>
        <w:top w:val="none" w:sz="0" w:space="0" w:color="auto"/>
        <w:left w:val="none" w:sz="0" w:space="0" w:color="auto"/>
        <w:bottom w:val="none" w:sz="0" w:space="0" w:color="auto"/>
        <w:right w:val="none" w:sz="0" w:space="0" w:color="auto"/>
      </w:divBdr>
    </w:div>
    <w:div w:id="1538666953">
      <w:bodyDiv w:val="1"/>
      <w:marLeft w:val="0"/>
      <w:marRight w:val="0"/>
      <w:marTop w:val="0"/>
      <w:marBottom w:val="0"/>
      <w:divBdr>
        <w:top w:val="none" w:sz="0" w:space="0" w:color="auto"/>
        <w:left w:val="none" w:sz="0" w:space="0" w:color="auto"/>
        <w:bottom w:val="none" w:sz="0" w:space="0" w:color="auto"/>
        <w:right w:val="none" w:sz="0" w:space="0" w:color="auto"/>
      </w:divBdr>
    </w:div>
    <w:div w:id="1545092408">
      <w:bodyDiv w:val="1"/>
      <w:marLeft w:val="0"/>
      <w:marRight w:val="0"/>
      <w:marTop w:val="0"/>
      <w:marBottom w:val="0"/>
      <w:divBdr>
        <w:top w:val="none" w:sz="0" w:space="0" w:color="auto"/>
        <w:left w:val="none" w:sz="0" w:space="0" w:color="auto"/>
        <w:bottom w:val="none" w:sz="0" w:space="0" w:color="auto"/>
        <w:right w:val="none" w:sz="0" w:space="0" w:color="auto"/>
      </w:divBdr>
    </w:div>
    <w:div w:id="1600677680">
      <w:bodyDiv w:val="1"/>
      <w:marLeft w:val="0"/>
      <w:marRight w:val="0"/>
      <w:marTop w:val="0"/>
      <w:marBottom w:val="0"/>
      <w:divBdr>
        <w:top w:val="none" w:sz="0" w:space="0" w:color="auto"/>
        <w:left w:val="none" w:sz="0" w:space="0" w:color="auto"/>
        <w:bottom w:val="none" w:sz="0" w:space="0" w:color="auto"/>
        <w:right w:val="none" w:sz="0" w:space="0" w:color="auto"/>
      </w:divBdr>
    </w:div>
    <w:div w:id="1603148769">
      <w:bodyDiv w:val="1"/>
      <w:marLeft w:val="0"/>
      <w:marRight w:val="0"/>
      <w:marTop w:val="0"/>
      <w:marBottom w:val="0"/>
      <w:divBdr>
        <w:top w:val="none" w:sz="0" w:space="0" w:color="auto"/>
        <w:left w:val="none" w:sz="0" w:space="0" w:color="auto"/>
        <w:bottom w:val="none" w:sz="0" w:space="0" w:color="auto"/>
        <w:right w:val="none" w:sz="0" w:space="0" w:color="auto"/>
      </w:divBdr>
    </w:div>
    <w:div w:id="1613054733">
      <w:bodyDiv w:val="1"/>
      <w:marLeft w:val="0"/>
      <w:marRight w:val="0"/>
      <w:marTop w:val="0"/>
      <w:marBottom w:val="0"/>
      <w:divBdr>
        <w:top w:val="none" w:sz="0" w:space="0" w:color="auto"/>
        <w:left w:val="none" w:sz="0" w:space="0" w:color="auto"/>
        <w:bottom w:val="none" w:sz="0" w:space="0" w:color="auto"/>
        <w:right w:val="none" w:sz="0" w:space="0" w:color="auto"/>
      </w:divBdr>
    </w:div>
    <w:div w:id="1699350901">
      <w:bodyDiv w:val="1"/>
      <w:marLeft w:val="0"/>
      <w:marRight w:val="0"/>
      <w:marTop w:val="0"/>
      <w:marBottom w:val="0"/>
      <w:divBdr>
        <w:top w:val="none" w:sz="0" w:space="0" w:color="auto"/>
        <w:left w:val="none" w:sz="0" w:space="0" w:color="auto"/>
        <w:bottom w:val="none" w:sz="0" w:space="0" w:color="auto"/>
        <w:right w:val="none" w:sz="0" w:space="0" w:color="auto"/>
      </w:divBdr>
    </w:div>
    <w:div w:id="1837724101">
      <w:bodyDiv w:val="1"/>
      <w:marLeft w:val="0"/>
      <w:marRight w:val="0"/>
      <w:marTop w:val="0"/>
      <w:marBottom w:val="0"/>
      <w:divBdr>
        <w:top w:val="none" w:sz="0" w:space="0" w:color="auto"/>
        <w:left w:val="none" w:sz="0" w:space="0" w:color="auto"/>
        <w:bottom w:val="none" w:sz="0" w:space="0" w:color="auto"/>
        <w:right w:val="none" w:sz="0" w:space="0" w:color="auto"/>
      </w:divBdr>
    </w:div>
    <w:div w:id="1917083800">
      <w:bodyDiv w:val="1"/>
      <w:marLeft w:val="0"/>
      <w:marRight w:val="0"/>
      <w:marTop w:val="0"/>
      <w:marBottom w:val="0"/>
      <w:divBdr>
        <w:top w:val="none" w:sz="0" w:space="0" w:color="auto"/>
        <w:left w:val="none" w:sz="0" w:space="0" w:color="auto"/>
        <w:bottom w:val="none" w:sz="0" w:space="0" w:color="auto"/>
        <w:right w:val="none" w:sz="0" w:space="0" w:color="auto"/>
      </w:divBdr>
      <w:divsChild>
        <w:div w:id="32640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5696276">
      <w:bodyDiv w:val="1"/>
      <w:marLeft w:val="0"/>
      <w:marRight w:val="0"/>
      <w:marTop w:val="0"/>
      <w:marBottom w:val="0"/>
      <w:divBdr>
        <w:top w:val="none" w:sz="0" w:space="0" w:color="auto"/>
        <w:left w:val="none" w:sz="0" w:space="0" w:color="auto"/>
        <w:bottom w:val="none" w:sz="0" w:space="0" w:color="auto"/>
        <w:right w:val="none" w:sz="0" w:space="0" w:color="auto"/>
      </w:divBdr>
    </w:div>
    <w:div w:id="2048484313">
      <w:bodyDiv w:val="1"/>
      <w:marLeft w:val="0"/>
      <w:marRight w:val="0"/>
      <w:marTop w:val="0"/>
      <w:marBottom w:val="0"/>
      <w:divBdr>
        <w:top w:val="none" w:sz="0" w:space="0" w:color="auto"/>
        <w:left w:val="none" w:sz="0" w:space="0" w:color="auto"/>
        <w:bottom w:val="none" w:sz="0" w:space="0" w:color="auto"/>
        <w:right w:val="none" w:sz="0" w:space="0" w:color="auto"/>
      </w:divBdr>
    </w:div>
    <w:div w:id="210660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86/s12917-020-02603-0" TargetMode="External"/><Relationship Id="rId18" Type="http://schemas.openxmlformats.org/officeDocument/2006/relationships/hyperlink" Target="https://doi.org/10.2527/jas.2015-8871" TargetMode="External"/><Relationship Id="rId26" Type="http://schemas.openxmlformats.org/officeDocument/2006/relationships/hyperlink" Target="https://doi.org/10.24018/ejfood.2020.2.4.30"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7533/udea.rccp.v34n4a02" TargetMode="External"/><Relationship Id="rId34" Type="http://schemas.openxmlformats.org/officeDocument/2006/relationships/hyperlink" Target="https://doi.org/10.1071/AN17390" TargetMode="External"/><Relationship Id="rId42"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doi.org/10.1186/2193-1801-3-31" TargetMode="External"/><Relationship Id="rId17" Type="http://schemas.openxmlformats.org/officeDocument/2006/relationships/hyperlink" Target="https://doi.org/10.1007/s00580-021-03286-1" TargetMode="External"/><Relationship Id="rId25" Type="http://schemas.openxmlformats.org/officeDocument/2006/relationships/hyperlink" Target="https://doi.org/10.1007/s00580-023-03447-4" TargetMode="External"/><Relationship Id="rId33" Type="http://schemas.openxmlformats.org/officeDocument/2006/relationships/hyperlink" Target="https://doi.org/10.21697/seb.2017.15.4.04" TargetMode="External"/><Relationship Id="rId38" Type="http://schemas.openxmlformats.org/officeDocument/2006/relationships/header" Target="header1.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54058/saheljvs.v18i3.229" TargetMode="External"/><Relationship Id="rId20" Type="http://schemas.openxmlformats.org/officeDocument/2006/relationships/hyperlink" Target="https://doi.org/10.17582/JOURNAL.AAVS/2019/7.3.218.224" TargetMode="External"/><Relationship Id="rId29" Type="http://schemas.openxmlformats.org/officeDocument/2006/relationships/hyperlink" Target="https://doi.org/10.1590/1806-9061-2016-0444"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JEAI/2019/V36I330238" TargetMode="External"/><Relationship Id="rId24" Type="http://schemas.openxmlformats.org/officeDocument/2006/relationships/hyperlink" Target="https://doi.org/10.3390/ani9070431" TargetMode="External"/><Relationship Id="rId32" Type="http://schemas.openxmlformats.org/officeDocument/2006/relationships/hyperlink" Target="https://doi.org/10.1186/1472-6882-14-368" TargetMode="External"/><Relationship Id="rId37" Type="http://schemas.openxmlformats.org/officeDocument/2006/relationships/hyperlink" Target="https://doi.org/10.1186/s40104-018-0278-5"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923/ijps.2003.271.274" TargetMode="External"/><Relationship Id="rId23" Type="http://schemas.openxmlformats.org/officeDocument/2006/relationships/hyperlink" Target="https://doi.org/10.3382/PS.0551841" TargetMode="External"/><Relationship Id="rId28" Type="http://schemas.openxmlformats.org/officeDocument/2006/relationships/hyperlink" Target="https://doi.org/10.31033/IJRASB.7.5.25" TargetMode="External"/><Relationship Id="rId36" Type="http://schemas.openxmlformats.org/officeDocument/2006/relationships/hyperlink" Target="https://doi.org/10.1080/10495398.2023.2187404" TargetMode="External"/><Relationship Id="rId10" Type="http://schemas.microsoft.com/office/2018/08/relationships/commentsExtensible" Target="commentsExtensible.xml"/><Relationship Id="rId19" Type="http://schemas.openxmlformats.org/officeDocument/2006/relationships/hyperlink" Target="https://doi.org/10.1016/J.JTHERBIO.2019.04.016" TargetMode="External"/><Relationship Id="rId31" Type="http://schemas.openxmlformats.org/officeDocument/2006/relationships/hyperlink" Target="https://doi.org/10.3390/ani10081339"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5536/KJPS.2018.45.2.73" TargetMode="External"/><Relationship Id="rId22" Type="http://schemas.openxmlformats.org/officeDocument/2006/relationships/hyperlink" Target="https://doi.org/10.3390/ani12070882" TargetMode="External"/><Relationship Id="rId27" Type="http://schemas.openxmlformats.org/officeDocument/2006/relationships/hyperlink" Target="https://doi.org/10.5897/JMLD2015.0119" TargetMode="External"/><Relationship Id="rId30" Type="http://schemas.openxmlformats.org/officeDocument/2006/relationships/hyperlink" Target="https://doi.org/10.1007/s11250-023-03783-1" TargetMode="External"/><Relationship Id="rId35" Type="http://schemas.openxmlformats.org/officeDocument/2006/relationships/hyperlink" Target="https://doi.org/10.4314/SAJAS.V47I2.4"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880</TotalTime>
  <Pages>15</Pages>
  <Words>6641</Words>
  <Characters>37859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OLOWOYEYE JANET</dc:creator>
  <cp:keywords/>
  <dc:description/>
  <cp:lastModifiedBy>DELL</cp:lastModifiedBy>
  <cp:revision>26</cp:revision>
  <dcterms:created xsi:type="dcterms:W3CDTF">2025-04-26T13:19:00Z</dcterms:created>
  <dcterms:modified xsi:type="dcterms:W3CDTF">2025-05-08T05:29:00Z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b47f1a66-8a05-4b9e-8d09-06dd398bc661</vt:lpwstr>
  </property>
</Properties>
</file>