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8842B" w14:textId="7DD4E16E" w:rsidR="006E6162" w:rsidRDefault="006E6162" w:rsidP="0093496C">
      <w:pPr>
        <w:spacing w:before="100" w:beforeAutospacing="1" w:after="100" w:afterAutospacing="1" w:line="360" w:lineRule="auto"/>
        <w:jc w:val="center"/>
        <w:rPr>
          <w:rFonts w:ascii="Times New Roman" w:hAnsi="Times New Roman" w:cs="Times New Roman"/>
          <w:b/>
          <w:bCs/>
          <w:sz w:val="24"/>
          <w:szCs w:val="24"/>
        </w:rPr>
      </w:pPr>
      <w:r w:rsidRPr="006E6162">
        <w:rPr>
          <w:rFonts w:ascii="Times New Roman" w:hAnsi="Times New Roman" w:cs="Times New Roman"/>
          <w:b/>
          <w:bCs/>
          <w:sz w:val="24"/>
          <w:szCs w:val="24"/>
        </w:rPr>
        <w:t>Integrated Herbicide</w:t>
      </w:r>
      <w:r w:rsidRPr="006E6162">
        <w:rPr>
          <w:rFonts w:ascii="Times New Roman" w:hAnsi="Times New Roman" w:cs="Times New Roman"/>
          <w:b/>
          <w:bCs/>
          <w:sz w:val="24"/>
          <w:szCs w:val="24"/>
        </w:rPr>
        <w:noBreakHyphen/>
        <w:t>Hand</w:t>
      </w:r>
      <w:r w:rsidRPr="006E6162">
        <w:rPr>
          <w:rFonts w:ascii="Times New Roman" w:hAnsi="Times New Roman" w:cs="Times New Roman"/>
          <w:b/>
          <w:bCs/>
          <w:sz w:val="24"/>
          <w:szCs w:val="24"/>
        </w:rPr>
        <w:noBreakHyphen/>
        <w:t xml:space="preserve">Weeding Practices and Nitrogen Rates Enhance Weed Control and Seed Yield of Sesame </w:t>
      </w:r>
      <w:r w:rsidR="00BB6E86">
        <w:rPr>
          <w:rFonts w:ascii="Times New Roman" w:hAnsi="Times New Roman" w:cs="Times New Roman"/>
          <w:b/>
          <w:bCs/>
          <w:sz w:val="24"/>
          <w:szCs w:val="24"/>
        </w:rPr>
        <w:t>(</w:t>
      </w:r>
      <w:r w:rsidR="00BB6E86" w:rsidRPr="00BB6E86">
        <w:rPr>
          <w:rFonts w:ascii="Times New Roman" w:hAnsi="Times New Roman" w:cs="Times New Roman"/>
          <w:b/>
          <w:bCs/>
          <w:i/>
          <w:iCs/>
          <w:sz w:val="24"/>
          <w:szCs w:val="24"/>
        </w:rPr>
        <w:t>Sesamum indicum</w:t>
      </w:r>
      <w:r w:rsidR="00BB6E86">
        <w:rPr>
          <w:rFonts w:ascii="Times New Roman" w:hAnsi="Times New Roman" w:cs="Times New Roman"/>
          <w:b/>
          <w:bCs/>
          <w:sz w:val="24"/>
          <w:szCs w:val="24"/>
        </w:rPr>
        <w:t xml:space="preserve"> </w:t>
      </w:r>
      <w:r w:rsidR="002D0A40">
        <w:rPr>
          <w:rFonts w:ascii="Times New Roman" w:hAnsi="Times New Roman" w:cs="Times New Roman"/>
          <w:b/>
          <w:bCs/>
          <w:sz w:val="24"/>
          <w:szCs w:val="24"/>
        </w:rPr>
        <w:t xml:space="preserve">L.) </w:t>
      </w:r>
      <w:r w:rsidRPr="006E6162">
        <w:rPr>
          <w:rFonts w:ascii="Times New Roman" w:hAnsi="Times New Roman" w:cs="Times New Roman"/>
          <w:b/>
          <w:bCs/>
          <w:sz w:val="24"/>
          <w:szCs w:val="24"/>
        </w:rPr>
        <w:t>under Semi</w:t>
      </w:r>
      <w:r w:rsidRPr="006E6162">
        <w:rPr>
          <w:rFonts w:ascii="Times New Roman" w:hAnsi="Times New Roman" w:cs="Times New Roman"/>
          <w:b/>
          <w:bCs/>
          <w:sz w:val="24"/>
          <w:szCs w:val="24"/>
        </w:rPr>
        <w:noBreakHyphen/>
        <w:t>Arid, Loamy</w:t>
      </w:r>
      <w:r w:rsidRPr="006E6162">
        <w:rPr>
          <w:rFonts w:ascii="Times New Roman" w:hAnsi="Times New Roman" w:cs="Times New Roman"/>
          <w:b/>
          <w:bCs/>
          <w:sz w:val="24"/>
          <w:szCs w:val="24"/>
        </w:rPr>
        <w:noBreakHyphen/>
        <w:t>Sandy Soils</w:t>
      </w:r>
    </w:p>
    <w:p w14:paraId="3FF0A281" w14:textId="77777777" w:rsidR="00B749E6" w:rsidRDefault="00B749E6" w:rsidP="0093496C">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606E145F" w14:textId="5DFFF897" w:rsidR="00D34655" w:rsidRDefault="00D34655" w:rsidP="0093496C">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276E3E1E" w14:textId="404CDDB0" w:rsidR="00D34655" w:rsidRDefault="00D34655" w:rsidP="00D34655">
      <w:pPr>
        <w:pStyle w:val="NormalWeb"/>
        <w:tabs>
          <w:tab w:val="left" w:pos="1134"/>
        </w:tabs>
        <w:spacing w:line="360" w:lineRule="auto"/>
        <w:jc w:val="both"/>
      </w:pPr>
      <w:r w:rsidRPr="00294066">
        <w:t>A field experiment was conducted on loamy</w:t>
      </w:r>
      <w:r w:rsidRPr="00294066">
        <w:noBreakHyphen/>
        <w:t>sandy soil during the  </w:t>
      </w:r>
      <w:r w:rsidRPr="00294066">
        <w:rPr>
          <w:i/>
          <w:iCs/>
        </w:rPr>
        <w:t>kharif</w:t>
      </w:r>
      <w:r w:rsidRPr="00294066">
        <w:t xml:space="preserve"> season. The factorial RBD trial comprised </w:t>
      </w:r>
      <w:r w:rsidRPr="00294066">
        <w:rPr>
          <w:rStyle w:val="Strong"/>
          <w:rFonts w:eastAsiaTheme="majorEastAsia"/>
          <w:b w:val="0"/>
          <w:bCs w:val="0"/>
        </w:rPr>
        <w:t>seven weed</w:t>
      </w:r>
      <w:r w:rsidRPr="00294066">
        <w:rPr>
          <w:rStyle w:val="Strong"/>
          <w:rFonts w:eastAsiaTheme="majorEastAsia"/>
          <w:b w:val="0"/>
          <w:bCs w:val="0"/>
        </w:rPr>
        <w:noBreakHyphen/>
        <w:t>management treatments</w:t>
      </w:r>
      <w:r>
        <w:t xml:space="preserve">: </w:t>
      </w:r>
      <w:r w:rsidRPr="00294066">
        <w:t>weedy check; one hand</w:t>
      </w:r>
      <w:r w:rsidRPr="00294066">
        <w:noBreakHyphen/>
        <w:t>weeding (HW) at 20 DAS; two HW at 20 &amp; 40 DAS; alachlor 1.5 kg ha</w:t>
      </w:r>
      <w:r>
        <w:rPr>
          <w:vertAlign w:val="superscript"/>
        </w:rPr>
        <w:t>-1</w:t>
      </w:r>
      <w:r w:rsidRPr="00294066">
        <w:t>; alachlor 1.5 kg ha</w:t>
      </w:r>
      <w:r>
        <w:rPr>
          <w:vertAlign w:val="superscript"/>
        </w:rPr>
        <w:t>-1</w:t>
      </w:r>
      <w:r w:rsidRPr="00294066">
        <w:t> + HW 30 DAS; imazethapyr 0.15 kg ha</w:t>
      </w:r>
      <w:r>
        <w:rPr>
          <w:vertAlign w:val="superscript"/>
        </w:rPr>
        <w:t>-1</w:t>
      </w:r>
      <w:r w:rsidRPr="00294066">
        <w:t>; and imazethapyr 0.15 kg ha</w:t>
      </w:r>
      <w:r>
        <w:rPr>
          <w:vertAlign w:val="superscript"/>
        </w:rPr>
        <w:t>-1</w:t>
      </w:r>
      <w:r w:rsidRPr="00294066">
        <w:t> + HW 30 DAS</w:t>
      </w:r>
      <w:r>
        <w:t xml:space="preserve">, </w:t>
      </w:r>
      <w:r w:rsidRPr="00294066">
        <w:t xml:space="preserve">combined with </w:t>
      </w:r>
      <w:r w:rsidRPr="00294066">
        <w:rPr>
          <w:rStyle w:val="Strong"/>
          <w:rFonts w:eastAsiaTheme="majorEastAsia"/>
          <w:b w:val="0"/>
          <w:bCs w:val="0"/>
        </w:rPr>
        <w:t>three nitrogen rates</w:t>
      </w:r>
      <w:r w:rsidRPr="00294066">
        <w:t xml:space="preserve"> (0, 20, 40 kg N ha</w:t>
      </w:r>
      <w:r>
        <w:rPr>
          <w:vertAlign w:val="superscript"/>
        </w:rPr>
        <w:t>-1</w:t>
      </w:r>
      <w:r w:rsidRPr="00294066">
        <w:t>), each treatment replicated thrice. Pre</w:t>
      </w:r>
      <w:r w:rsidRPr="00294066">
        <w:noBreakHyphen/>
        <w:t xml:space="preserve">emergence </w:t>
      </w:r>
      <w:r w:rsidRPr="00294066">
        <w:rPr>
          <w:rStyle w:val="Strong"/>
          <w:rFonts w:eastAsiaTheme="majorEastAsia"/>
          <w:b w:val="0"/>
          <w:bCs w:val="0"/>
        </w:rPr>
        <w:t>imazethapyr 0.15 kg ha</w:t>
      </w:r>
      <w:r>
        <w:rPr>
          <w:rStyle w:val="Strong"/>
          <w:rFonts w:eastAsiaTheme="majorEastAsia"/>
          <w:b w:val="0"/>
          <w:bCs w:val="0"/>
          <w:vertAlign w:val="superscript"/>
        </w:rPr>
        <w:t>-1</w:t>
      </w:r>
      <w:r w:rsidRPr="00294066">
        <w:rPr>
          <w:rStyle w:val="Strong"/>
          <w:rFonts w:eastAsiaTheme="majorEastAsia"/>
          <w:b w:val="0"/>
          <w:bCs w:val="0"/>
        </w:rPr>
        <w:t xml:space="preserve"> + one HW at 30 DAS</w:t>
      </w:r>
      <w:r w:rsidRPr="00294066">
        <w:rPr>
          <w:b/>
          <w:bCs/>
        </w:rPr>
        <w:t xml:space="preserve"> </w:t>
      </w:r>
      <w:r w:rsidRPr="00294066">
        <w:t>and</w:t>
      </w:r>
      <w:r w:rsidRPr="00294066">
        <w:rPr>
          <w:b/>
          <w:bCs/>
        </w:rPr>
        <w:t xml:space="preserve"> </w:t>
      </w:r>
      <w:r w:rsidRPr="00294066">
        <w:rPr>
          <w:rStyle w:val="Strong"/>
          <w:rFonts w:eastAsiaTheme="majorEastAsia"/>
          <w:b w:val="0"/>
          <w:bCs w:val="0"/>
        </w:rPr>
        <w:t>two HW at 20 </w:t>
      </w:r>
      <w:r>
        <w:rPr>
          <w:rStyle w:val="Strong"/>
          <w:rFonts w:eastAsiaTheme="majorEastAsia"/>
          <w:b w:val="0"/>
          <w:bCs w:val="0"/>
        </w:rPr>
        <w:t>and</w:t>
      </w:r>
      <w:r w:rsidRPr="00294066">
        <w:rPr>
          <w:rStyle w:val="Strong"/>
          <w:rFonts w:eastAsiaTheme="majorEastAsia"/>
          <w:b w:val="0"/>
          <w:bCs w:val="0"/>
        </w:rPr>
        <w:t> 40 DAS</w:t>
      </w:r>
      <w:r w:rsidRPr="00294066">
        <w:t xml:space="preserve"> gave the greatest weed suppression, lowering weed density and dry matter by </w:t>
      </w:r>
      <w:r w:rsidRPr="00294066">
        <w:rPr>
          <w:rStyle w:val="Strong"/>
          <w:rFonts w:eastAsiaTheme="majorEastAsia"/>
          <w:b w:val="0"/>
          <w:bCs w:val="0"/>
        </w:rPr>
        <w:t>approximately</w:t>
      </w:r>
      <w:r w:rsidRPr="00294066">
        <w:rPr>
          <w:rStyle w:val="Strong"/>
          <w:rFonts w:eastAsiaTheme="majorEastAsia"/>
        </w:rPr>
        <w:t> </w:t>
      </w:r>
      <w:r w:rsidRPr="00294066">
        <w:rPr>
          <w:rStyle w:val="Strong"/>
          <w:rFonts w:eastAsiaTheme="majorEastAsia"/>
          <w:b w:val="0"/>
          <w:bCs w:val="0"/>
        </w:rPr>
        <w:t>82 % at harvest</w:t>
      </w:r>
      <w:r w:rsidRPr="00294066">
        <w:t xml:space="preserve"> and achieving the highest weed</w:t>
      </w:r>
      <w:r w:rsidRPr="00294066">
        <w:noBreakHyphen/>
        <w:t xml:space="preserve">control efficiency among all treatments. The imazethapyr + HW package also produced the tallest </w:t>
      </w:r>
      <w:commentRangeStart w:id="0"/>
      <w:r w:rsidRPr="00294066">
        <w:t>plants</w:t>
      </w:r>
      <w:commentRangeEnd w:id="0"/>
      <w:r w:rsidR="00772A20">
        <w:rPr>
          <w:rStyle w:val="CommentReference"/>
          <w:rFonts w:asciiTheme="minorHAnsi" w:eastAsiaTheme="minorHAnsi" w:hAnsiTheme="minorHAnsi" w:cstheme="minorBidi"/>
          <w:kern w:val="2"/>
          <w:lang w:eastAsia="en-US"/>
          <w14:ligatures w14:val="standardContextual"/>
        </w:rPr>
        <w:commentReference w:id="0"/>
      </w:r>
      <w:r w:rsidRPr="00294066">
        <w:t xml:space="preserve"> </w:t>
      </w:r>
      <w:commentRangeStart w:id="1"/>
      <w:r w:rsidRPr="00294066">
        <w:t>and</w:t>
      </w:r>
      <w:commentRangeEnd w:id="1"/>
      <w:r w:rsidR="00772A20">
        <w:rPr>
          <w:rStyle w:val="CommentReference"/>
          <w:rFonts w:asciiTheme="minorHAnsi" w:eastAsiaTheme="minorHAnsi" w:hAnsiTheme="minorHAnsi" w:cstheme="minorBidi"/>
          <w:kern w:val="2"/>
          <w:lang w:eastAsia="en-US"/>
          <w14:ligatures w14:val="standardContextual"/>
        </w:rPr>
        <w:commentReference w:id="1"/>
      </w:r>
      <w:r w:rsidRPr="00294066">
        <w:t xml:space="preserve"> the maximum seed yield (</w:t>
      </w:r>
      <w:r w:rsidRPr="00294066">
        <w:rPr>
          <w:rStyle w:val="Strong"/>
          <w:rFonts w:eastAsiaTheme="majorEastAsia"/>
          <w:b w:val="0"/>
          <w:bCs w:val="0"/>
        </w:rPr>
        <w:t>855 kg ha</w:t>
      </w:r>
      <w:r>
        <w:rPr>
          <w:rStyle w:val="Strong"/>
          <w:rFonts w:eastAsiaTheme="majorEastAsia"/>
          <w:b w:val="0"/>
          <w:bCs w:val="0"/>
          <w:vertAlign w:val="superscript"/>
        </w:rPr>
        <w:t>-1</w:t>
      </w:r>
      <w:r w:rsidRPr="00294066">
        <w:t>)</w:t>
      </w:r>
      <w:r w:rsidRPr="00294066">
        <w:rPr>
          <w:b/>
          <w:bCs/>
        </w:rPr>
        <w:t>,</w:t>
      </w:r>
      <w:r w:rsidRPr="00294066">
        <w:t xml:space="preserve"> significantly surpassing all other weed</w:t>
      </w:r>
      <w:r w:rsidRPr="00294066">
        <w:noBreakHyphen/>
        <w:t xml:space="preserve">control options. Nitrogen nutrition further enhanced crop performance: </w:t>
      </w:r>
      <w:commentRangeStart w:id="2"/>
      <w:r w:rsidRPr="00294066">
        <w:t xml:space="preserve">raising the dose to </w:t>
      </w:r>
      <w:r w:rsidRPr="00294066">
        <w:rPr>
          <w:rStyle w:val="Strong"/>
          <w:rFonts w:eastAsiaTheme="majorEastAsia"/>
          <w:b w:val="0"/>
          <w:bCs w:val="0"/>
        </w:rPr>
        <w:t>40 kg N ha</w:t>
      </w:r>
      <w:r>
        <w:rPr>
          <w:rStyle w:val="Strong"/>
          <w:rFonts w:eastAsiaTheme="majorEastAsia"/>
          <w:b w:val="0"/>
          <w:bCs w:val="0"/>
          <w:vertAlign w:val="superscript"/>
        </w:rPr>
        <w:t>-1</w:t>
      </w:r>
      <w:r w:rsidRPr="00294066">
        <w:t xml:space="preserve"> </w:t>
      </w:r>
      <w:commentRangeEnd w:id="2"/>
      <w:r w:rsidR="00CA4ADA">
        <w:rPr>
          <w:rStyle w:val="CommentReference"/>
          <w:rFonts w:asciiTheme="minorHAnsi" w:eastAsiaTheme="minorHAnsi" w:hAnsiTheme="minorHAnsi" w:cstheme="minorBidi"/>
          <w:kern w:val="2"/>
          <w:lang w:eastAsia="en-US"/>
          <w14:ligatures w14:val="standardContextual"/>
        </w:rPr>
        <w:commentReference w:id="2"/>
      </w:r>
      <w:r w:rsidRPr="00294066">
        <w:t xml:space="preserve">delivered the tallest plants and the highest mean seed yield </w:t>
      </w:r>
      <w:r w:rsidRPr="00294066">
        <w:rPr>
          <w:b/>
          <w:bCs/>
        </w:rPr>
        <w:t>(</w:t>
      </w:r>
      <w:r w:rsidRPr="00294066">
        <w:rPr>
          <w:rStyle w:val="Strong"/>
          <w:rFonts w:eastAsiaTheme="majorEastAsia"/>
          <w:b w:val="0"/>
          <w:bCs w:val="0"/>
        </w:rPr>
        <w:t>787 kg ha</w:t>
      </w:r>
      <w:r w:rsidRPr="00294066">
        <w:rPr>
          <w:rStyle w:val="Strong"/>
          <w:rFonts w:eastAsiaTheme="majorEastAsia"/>
          <w:b w:val="0"/>
          <w:bCs w:val="0"/>
          <w:vertAlign w:val="superscript"/>
        </w:rPr>
        <w:t>-1</w:t>
      </w:r>
      <w:r w:rsidRPr="00294066">
        <w:rPr>
          <w:b/>
          <w:bCs/>
        </w:rPr>
        <w:t>)</w:t>
      </w:r>
      <w:r w:rsidRPr="00294066">
        <w:t>, demonstrating that adequate N amplifies the benefits of effective weed management in sesame.</w:t>
      </w:r>
    </w:p>
    <w:p w14:paraId="1E09E35C" w14:textId="25B8FFC4" w:rsidR="00056079" w:rsidRPr="00294066" w:rsidRDefault="00056079" w:rsidP="00D34655">
      <w:pPr>
        <w:pStyle w:val="NormalWeb"/>
        <w:tabs>
          <w:tab w:val="left" w:pos="1134"/>
        </w:tabs>
        <w:spacing w:line="360" w:lineRule="auto"/>
        <w:jc w:val="both"/>
      </w:pPr>
      <w:r w:rsidRPr="0093496C">
        <w:rPr>
          <w:b/>
          <w:bCs/>
        </w:rPr>
        <w:t>Keywords:</w:t>
      </w:r>
      <w:r>
        <w:t xml:space="preserve"> </w:t>
      </w:r>
      <w:r w:rsidR="007F3189">
        <w:t>I</w:t>
      </w:r>
      <w:r>
        <w:t>mazethapyr</w:t>
      </w:r>
      <w:r w:rsidR="007F3189">
        <w:t>; I</w:t>
      </w:r>
      <w:r>
        <w:t xml:space="preserve">ntegrated weed management; </w:t>
      </w:r>
      <w:r w:rsidR="007F3189">
        <w:t>Sesame; N</w:t>
      </w:r>
      <w:r>
        <w:t xml:space="preserve">itrogen fertilization; </w:t>
      </w:r>
      <w:r w:rsidR="007F3189">
        <w:t>Seed yield; W</w:t>
      </w:r>
      <w:r>
        <w:t>eed control efficiency</w:t>
      </w:r>
    </w:p>
    <w:p w14:paraId="220210FA" w14:textId="2E6273CE" w:rsidR="002A25BB" w:rsidRPr="002A25BB" w:rsidRDefault="002A25BB" w:rsidP="0093496C">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b/>
          <w:bCs/>
          <w:kern w:val="0"/>
          <w:sz w:val="24"/>
          <w:szCs w:val="24"/>
          <w:lang w:eastAsia="en-IN"/>
          <w14:ligatures w14:val="none"/>
        </w:rPr>
        <w:t>Introduction</w:t>
      </w:r>
    </w:p>
    <w:p w14:paraId="44520430" w14:textId="77777777" w:rsidR="002A25BB" w:rsidRPr="002A25BB" w:rsidRDefault="002A25BB" w:rsidP="00FD24A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commonly referred to as "</w:t>
      </w:r>
      <w:proofErr w:type="spellStart"/>
      <w:r w:rsidRPr="002A25BB">
        <w:rPr>
          <w:rFonts w:ascii="Times New Roman" w:eastAsia="Times New Roman" w:hAnsi="Times New Roman" w:cs="Times New Roman"/>
          <w:kern w:val="0"/>
          <w:sz w:val="24"/>
          <w:szCs w:val="24"/>
          <w:lang w:eastAsia="en-IN"/>
          <w14:ligatures w14:val="none"/>
        </w:rPr>
        <w:t>til</w:t>
      </w:r>
      <w:proofErr w:type="spellEnd"/>
      <w:r w:rsidRPr="002A25BB">
        <w:rPr>
          <w:rFonts w:ascii="Times New Roman" w:eastAsia="Times New Roman" w:hAnsi="Times New Roman" w:cs="Times New Roman"/>
          <w:kern w:val="0"/>
          <w:sz w:val="24"/>
          <w:szCs w:val="24"/>
          <w:lang w:eastAsia="en-IN"/>
          <w14:ligatures w14:val="none"/>
        </w:rPr>
        <w:t>" in India, is one of the most ancient oilseed crops cultivated for its high-quality edible oil and protein-rich cake. India ranks among the leading producers of sesame globally, with major cultivation occurring in the states of Uttar Pradesh, Rajasthan, Madhya Pradesh, Maharashtra, Gujarat, and West Bengal (FAO, 2021). Despite its economic and nutritional importance, sesame productivity in India remains relatively low, primarily due to poor crop management practices, with weed infestation being a major yield-limiting factor (Singh et al., 2020).</w:t>
      </w:r>
    </w:p>
    <w:p w14:paraId="19777636" w14:textId="437B5477"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lastRenderedPageBreak/>
        <w:t xml:space="preserve">Weed competition in sesame is particularly severe during the initial stages of crop growth due to its slow germination and poor early canopy coverage, which allows rapid weed emergence and dominance (Kumar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2018). Weeds compete with the crop for essential resources such as light, water, and nutrients, especially nitrogen</w:t>
      </w:r>
      <w:r w:rsidRPr="00663938">
        <w:rPr>
          <w:rFonts w:ascii="Times New Roman" w:eastAsia="Times New Roman" w:hAnsi="Times New Roman" w:cs="Times New Roman"/>
          <w:kern w:val="0"/>
          <w:sz w:val="24"/>
          <w:szCs w:val="24"/>
          <w:lang w:eastAsia="en-IN"/>
          <w14:ligatures w14:val="none"/>
        </w:rPr>
        <w:t xml:space="preserve">, </w:t>
      </w:r>
      <w:r w:rsidRPr="002A25BB">
        <w:rPr>
          <w:rFonts w:ascii="Times New Roman" w:eastAsia="Times New Roman" w:hAnsi="Times New Roman" w:cs="Times New Roman"/>
          <w:kern w:val="0"/>
          <w:sz w:val="24"/>
          <w:szCs w:val="24"/>
          <w:lang w:eastAsia="en-IN"/>
          <w14:ligatures w14:val="none"/>
        </w:rPr>
        <w:t xml:space="preserve">an element crucial for plant growth and development. If not controlled timely, weeds can cause yield losses ranging from 30% to 70% in sesame, depending on the intensity and spectrum of weed flora (Choudhary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2019).</w:t>
      </w:r>
    </w:p>
    <w:p w14:paraId="16FEC81E" w14:textId="1C656253"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Traditional methods such as hand weeding are still widely practiced in India due to their effectiveness and affordability in smallholder systems. However, these methods are </w:t>
      </w:r>
      <w:r w:rsidR="00705352" w:rsidRPr="002A25BB">
        <w:rPr>
          <w:rFonts w:ascii="Times New Roman" w:eastAsia="Times New Roman" w:hAnsi="Times New Roman" w:cs="Times New Roman"/>
          <w:kern w:val="0"/>
          <w:sz w:val="24"/>
          <w:szCs w:val="24"/>
          <w:lang w:eastAsia="en-IN"/>
          <w14:ligatures w14:val="none"/>
        </w:rPr>
        <w:t>labour-intensive</w:t>
      </w:r>
      <w:r w:rsidRPr="002A25BB">
        <w:rPr>
          <w:rFonts w:ascii="Times New Roman" w:eastAsia="Times New Roman" w:hAnsi="Times New Roman" w:cs="Times New Roman"/>
          <w:kern w:val="0"/>
          <w:sz w:val="24"/>
          <w:szCs w:val="24"/>
          <w:lang w:eastAsia="en-IN"/>
          <w14:ligatures w14:val="none"/>
        </w:rPr>
        <w:t xml:space="preserve"> and increasingly constrained by rising wage rates and </w:t>
      </w:r>
      <w:r w:rsidR="00705352" w:rsidRPr="002A25BB">
        <w:rPr>
          <w:rFonts w:ascii="Times New Roman" w:eastAsia="Times New Roman" w:hAnsi="Times New Roman" w:cs="Times New Roman"/>
          <w:kern w:val="0"/>
          <w:sz w:val="24"/>
          <w:szCs w:val="24"/>
          <w:lang w:eastAsia="en-IN"/>
          <w14:ligatures w14:val="none"/>
        </w:rPr>
        <w:t>labour</w:t>
      </w:r>
      <w:r w:rsidRPr="002A25BB">
        <w:rPr>
          <w:rFonts w:ascii="Times New Roman" w:eastAsia="Times New Roman" w:hAnsi="Times New Roman" w:cs="Times New Roman"/>
          <w:kern w:val="0"/>
          <w:sz w:val="24"/>
          <w:szCs w:val="24"/>
          <w:lang w:eastAsia="en-IN"/>
          <w14:ligatures w14:val="none"/>
        </w:rPr>
        <w:t xml:space="preserve"> shortages (Patel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2020). In this context, the integration of chemical weed management strategies, particularly the use of pre-emergence herbicides such as alachlor and imazethapyr, has gained attention for their potential to provide early-season weed control and reduce </w:t>
      </w:r>
      <w:r w:rsidR="00705352" w:rsidRPr="002A25BB">
        <w:rPr>
          <w:rFonts w:ascii="Times New Roman" w:eastAsia="Times New Roman" w:hAnsi="Times New Roman" w:cs="Times New Roman"/>
          <w:kern w:val="0"/>
          <w:sz w:val="24"/>
          <w:szCs w:val="24"/>
          <w:lang w:eastAsia="en-IN"/>
          <w14:ligatures w14:val="none"/>
        </w:rPr>
        <w:t>labour</w:t>
      </w:r>
      <w:r w:rsidRPr="002A25BB">
        <w:rPr>
          <w:rFonts w:ascii="Times New Roman" w:eastAsia="Times New Roman" w:hAnsi="Times New Roman" w:cs="Times New Roman"/>
          <w:kern w:val="0"/>
          <w:sz w:val="24"/>
          <w:szCs w:val="24"/>
          <w:lang w:eastAsia="en-IN"/>
          <w14:ligatures w14:val="none"/>
        </w:rPr>
        <w:t xml:space="preserve"> dependency (Yadav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2021). Previous studies have shown that alachlor effectively controls broad-leaved and grassy weeds in oilseed crops when applied at appropriate doses (Balyan et al., 2017), while imazethapyr has been reported to offer broad-spectrum control with a </w:t>
      </w:r>
      <w:r w:rsidR="00705352" w:rsidRPr="002A25BB">
        <w:rPr>
          <w:rFonts w:ascii="Times New Roman" w:eastAsia="Times New Roman" w:hAnsi="Times New Roman" w:cs="Times New Roman"/>
          <w:kern w:val="0"/>
          <w:sz w:val="24"/>
          <w:szCs w:val="24"/>
          <w:lang w:eastAsia="en-IN"/>
          <w14:ligatures w14:val="none"/>
        </w:rPr>
        <w:t>favourable</w:t>
      </w:r>
      <w:r w:rsidRPr="002A25BB">
        <w:rPr>
          <w:rFonts w:ascii="Times New Roman" w:eastAsia="Times New Roman" w:hAnsi="Times New Roman" w:cs="Times New Roman"/>
          <w:kern w:val="0"/>
          <w:sz w:val="24"/>
          <w:szCs w:val="24"/>
          <w:lang w:eastAsia="en-IN"/>
          <w14:ligatures w14:val="none"/>
        </w:rPr>
        <w:t xml:space="preserve"> environmental profile (Verma and Singh, 2022).</w:t>
      </w:r>
    </w:p>
    <w:p w14:paraId="474FD9D9" w14:textId="7DF16D29"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Nitrogen availability further influences weed-crop competition, as weeds often outcompete crops for available nutrients under nitrogen-rich conditions (Pandey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2019). The interactive effects of weed management practices and nitrogen levels on weed dynamics are therefore critical to understand, especially in low-input systems like sesame cultivation. However, comprehensive studies investigating this interaction in sesame are limited in the Indian context. </w:t>
      </w:r>
      <w:r w:rsidRPr="00663938">
        <w:rPr>
          <w:rFonts w:ascii="Times New Roman" w:eastAsia="Times New Roman" w:hAnsi="Times New Roman" w:cs="Times New Roman"/>
          <w:kern w:val="0"/>
          <w:sz w:val="24"/>
          <w:szCs w:val="24"/>
          <w:lang w:eastAsia="en-IN"/>
          <w14:ligatures w14:val="none"/>
        </w:rPr>
        <w:t xml:space="preserve">Additionally </w:t>
      </w:r>
      <w:r w:rsidRPr="002A25BB">
        <w:rPr>
          <w:rFonts w:ascii="Times New Roman" w:eastAsia="Times New Roman" w:hAnsi="Times New Roman" w:cs="Times New Roman"/>
          <w:kern w:val="0"/>
          <w:sz w:val="24"/>
          <w:szCs w:val="24"/>
          <w:lang w:eastAsia="en-IN"/>
          <w14:ligatures w14:val="none"/>
        </w:rPr>
        <w:t xml:space="preserve">higher nitrogen levels </w:t>
      </w:r>
      <w:r w:rsidR="00CE6A26" w:rsidRPr="00663938">
        <w:rPr>
          <w:rFonts w:ascii="Times New Roman" w:eastAsia="Times New Roman" w:hAnsi="Times New Roman" w:cs="Times New Roman"/>
          <w:kern w:val="0"/>
          <w:sz w:val="24"/>
          <w:szCs w:val="24"/>
          <w:lang w:eastAsia="en-IN"/>
          <w14:ligatures w14:val="none"/>
        </w:rPr>
        <w:t>are</w:t>
      </w:r>
      <w:r w:rsidR="00FD24A8" w:rsidRPr="00663938">
        <w:rPr>
          <w:rFonts w:ascii="Times New Roman" w:eastAsia="Times New Roman" w:hAnsi="Times New Roman" w:cs="Times New Roman"/>
          <w:kern w:val="0"/>
          <w:sz w:val="24"/>
          <w:szCs w:val="24"/>
          <w:lang w:eastAsia="en-IN"/>
          <w14:ligatures w14:val="none"/>
        </w:rPr>
        <w:t xml:space="preserve"> linked to </w:t>
      </w:r>
      <w:r w:rsidRPr="002A25BB">
        <w:rPr>
          <w:rFonts w:ascii="Times New Roman" w:eastAsia="Times New Roman" w:hAnsi="Times New Roman" w:cs="Times New Roman"/>
          <w:kern w:val="0"/>
          <w:sz w:val="24"/>
          <w:szCs w:val="24"/>
          <w:lang w:eastAsia="en-IN"/>
          <w14:ligatures w14:val="none"/>
        </w:rPr>
        <w:t xml:space="preserve">greater weed biomass and density if not managed properly (Sharma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2020), emphasizing the need for synchronized weed and nutrient management approaches.</w:t>
      </w:r>
    </w:p>
    <w:p w14:paraId="5D654773" w14:textId="39548C44"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Given this background, the present study was undertaken to evaluate the </w:t>
      </w:r>
      <w:r w:rsidR="00FD24A8" w:rsidRPr="00663938">
        <w:rPr>
          <w:rFonts w:ascii="Times New Roman" w:eastAsia="Times New Roman" w:hAnsi="Times New Roman" w:cs="Times New Roman"/>
          <w:kern w:val="0"/>
          <w:sz w:val="24"/>
          <w:szCs w:val="24"/>
          <w:lang w:eastAsia="en-IN"/>
          <w14:ligatures w14:val="none"/>
        </w:rPr>
        <w:t>e</w:t>
      </w:r>
      <w:r w:rsidRPr="002A25BB">
        <w:rPr>
          <w:rFonts w:ascii="Times New Roman" w:eastAsia="Times New Roman" w:hAnsi="Times New Roman" w:cs="Times New Roman"/>
          <w:kern w:val="0"/>
          <w:sz w:val="24"/>
          <w:szCs w:val="24"/>
          <w:lang w:eastAsia="en-IN"/>
          <w14:ligatures w14:val="none"/>
        </w:rPr>
        <w:t xml:space="preserve">ffect of different weed management practices </w:t>
      </w:r>
      <w:r w:rsidR="00FD24A8" w:rsidRPr="00663938">
        <w:rPr>
          <w:rFonts w:ascii="Times New Roman" w:eastAsia="Times New Roman" w:hAnsi="Times New Roman" w:cs="Times New Roman"/>
          <w:kern w:val="0"/>
          <w:sz w:val="24"/>
          <w:szCs w:val="24"/>
          <w:lang w:eastAsia="en-IN"/>
          <w14:ligatures w14:val="none"/>
        </w:rPr>
        <w:t xml:space="preserve">and </w:t>
      </w:r>
      <w:r w:rsidRPr="002A25BB">
        <w:rPr>
          <w:rFonts w:ascii="Times New Roman" w:eastAsia="Times New Roman" w:hAnsi="Times New Roman" w:cs="Times New Roman"/>
          <w:kern w:val="0"/>
          <w:sz w:val="24"/>
          <w:szCs w:val="24"/>
          <w:lang w:eastAsia="en-IN"/>
          <w14:ligatures w14:val="none"/>
        </w:rPr>
        <w:t xml:space="preserve">varying nitrogen levels on weed </w:t>
      </w:r>
      <w:r w:rsidR="00FD24A8" w:rsidRPr="00663938">
        <w:rPr>
          <w:rFonts w:ascii="Times New Roman" w:eastAsia="Times New Roman" w:hAnsi="Times New Roman" w:cs="Times New Roman"/>
          <w:kern w:val="0"/>
          <w:sz w:val="24"/>
          <w:szCs w:val="24"/>
          <w:lang w:eastAsia="en-IN"/>
          <w14:ligatures w14:val="none"/>
        </w:rPr>
        <w:t xml:space="preserve">dynamics and weed control efficiency </w:t>
      </w:r>
      <w:r w:rsidRPr="002A25BB">
        <w:rPr>
          <w:rFonts w:ascii="Times New Roman" w:eastAsia="Times New Roman" w:hAnsi="Times New Roman" w:cs="Times New Roman"/>
          <w:kern w:val="0"/>
          <w:sz w:val="24"/>
          <w:szCs w:val="24"/>
          <w:lang w:eastAsia="en-IN"/>
          <w14:ligatures w14:val="none"/>
        </w:rPr>
        <w:t>in sesame.</w:t>
      </w:r>
    </w:p>
    <w:p w14:paraId="1172FD04" w14:textId="36B3DDA7" w:rsidR="002A25BB" w:rsidRPr="00663938" w:rsidRDefault="00FD24A8" w:rsidP="00FD24A8">
      <w:pPr>
        <w:spacing w:line="240" w:lineRule="auto"/>
        <w:jc w:val="center"/>
        <w:rPr>
          <w:rFonts w:ascii="Times New Roman" w:eastAsia="Times New Roman" w:hAnsi="Times New Roman" w:cs="Times New Roman"/>
          <w:b/>
          <w:bCs/>
          <w:kern w:val="0"/>
          <w:sz w:val="24"/>
          <w:szCs w:val="24"/>
          <w:lang w:eastAsia="en-IN"/>
          <w14:ligatures w14:val="none"/>
        </w:rPr>
      </w:pPr>
      <w:r w:rsidRPr="00663938">
        <w:rPr>
          <w:rFonts w:ascii="Times New Roman" w:eastAsia="Times New Roman" w:hAnsi="Times New Roman" w:cs="Times New Roman"/>
          <w:b/>
          <w:bCs/>
          <w:kern w:val="0"/>
          <w:sz w:val="24"/>
          <w:szCs w:val="24"/>
          <w:lang w:eastAsia="en-IN"/>
          <w14:ligatures w14:val="none"/>
        </w:rPr>
        <w:t>Materials and methods</w:t>
      </w:r>
    </w:p>
    <w:p w14:paraId="3858E854" w14:textId="4456B32F" w:rsidR="00FD24A8" w:rsidRPr="00663938" w:rsidRDefault="00FD24A8" w:rsidP="00FD24A8">
      <w:pPr>
        <w:spacing w:after="0" w:line="360" w:lineRule="auto"/>
        <w:jc w:val="both"/>
        <w:rPr>
          <w:rFonts w:ascii="Times New Roman" w:hAnsi="Times New Roman" w:cs="Times New Roman"/>
          <w:sz w:val="24"/>
          <w:szCs w:val="24"/>
          <w:lang w:val="en-US"/>
        </w:rPr>
      </w:pPr>
      <w:r w:rsidRPr="00663938">
        <w:rPr>
          <w:rFonts w:ascii="Times New Roman" w:hAnsi="Times New Roman" w:cs="Times New Roman"/>
          <w:sz w:val="24"/>
          <w:szCs w:val="24"/>
        </w:rPr>
        <w:t>The experiment was conducted during rainy season (</w:t>
      </w:r>
      <w:r w:rsidRPr="00663938">
        <w:rPr>
          <w:rFonts w:ascii="Times New Roman" w:hAnsi="Times New Roman" w:cs="Times New Roman"/>
          <w:i/>
          <w:iCs/>
          <w:sz w:val="24"/>
          <w:szCs w:val="24"/>
        </w:rPr>
        <w:t>kharif</w:t>
      </w:r>
      <w:r w:rsidRPr="00663938">
        <w:rPr>
          <w:rFonts w:ascii="Times New Roman" w:hAnsi="Times New Roman" w:cs="Times New Roman"/>
          <w:sz w:val="24"/>
          <w:szCs w:val="24"/>
        </w:rPr>
        <w:t>) of</w:t>
      </w:r>
      <w:r w:rsidRPr="00663938">
        <w:rPr>
          <w:rFonts w:ascii="Times New Roman" w:hAnsi="Times New Roman" w:cs="Times New Roman"/>
          <w:i/>
          <w:iCs/>
          <w:sz w:val="24"/>
          <w:szCs w:val="24"/>
        </w:rPr>
        <w:t xml:space="preserve"> </w:t>
      </w:r>
      <w:r w:rsidRPr="00663938">
        <w:rPr>
          <w:rFonts w:ascii="Times New Roman" w:hAnsi="Times New Roman" w:cs="Times New Roman"/>
          <w:sz w:val="24"/>
          <w:szCs w:val="24"/>
        </w:rPr>
        <w:t xml:space="preserve">2018 at Agronomy Farm, College of Agriculture and Research, Maharaja </w:t>
      </w:r>
      <w:proofErr w:type="spellStart"/>
      <w:r w:rsidRPr="00663938">
        <w:rPr>
          <w:rFonts w:ascii="Times New Roman" w:hAnsi="Times New Roman" w:cs="Times New Roman"/>
          <w:sz w:val="24"/>
          <w:szCs w:val="24"/>
        </w:rPr>
        <w:t>Jyoti</w:t>
      </w:r>
      <w:proofErr w:type="spellEnd"/>
      <w:r w:rsidRPr="00663938">
        <w:rPr>
          <w:rFonts w:ascii="Times New Roman" w:hAnsi="Times New Roman" w:cs="Times New Roman"/>
          <w:sz w:val="24"/>
          <w:szCs w:val="24"/>
        </w:rPr>
        <w:t xml:space="preserve"> Rao </w:t>
      </w:r>
      <w:proofErr w:type="spellStart"/>
      <w:r w:rsidRPr="00663938">
        <w:rPr>
          <w:rFonts w:ascii="Times New Roman" w:hAnsi="Times New Roman" w:cs="Times New Roman"/>
          <w:sz w:val="24"/>
          <w:szCs w:val="24"/>
        </w:rPr>
        <w:t>Phoole</w:t>
      </w:r>
      <w:proofErr w:type="spellEnd"/>
      <w:r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rPr>
        <w:t xml:space="preserve">University, </w:t>
      </w:r>
      <w:proofErr w:type="spellStart"/>
      <w:r w:rsidR="00FF2EA2" w:rsidRPr="00663938">
        <w:rPr>
          <w:rFonts w:ascii="Times New Roman" w:hAnsi="Times New Roman" w:cs="Times New Roman"/>
          <w:sz w:val="24"/>
          <w:szCs w:val="24"/>
        </w:rPr>
        <w:t>Achrol</w:t>
      </w:r>
      <w:proofErr w:type="spellEnd"/>
      <w:r w:rsidRPr="00663938">
        <w:rPr>
          <w:rFonts w:ascii="Times New Roman" w:hAnsi="Times New Roman" w:cs="Times New Roman"/>
          <w:sz w:val="24"/>
          <w:szCs w:val="24"/>
        </w:rPr>
        <w:t xml:space="preserve">, </w:t>
      </w:r>
      <w:r w:rsidRPr="00663938">
        <w:rPr>
          <w:rFonts w:ascii="Times New Roman" w:hAnsi="Times New Roman" w:cs="Times New Roman"/>
          <w:sz w:val="24"/>
          <w:szCs w:val="24"/>
        </w:rPr>
        <w:lastRenderedPageBreak/>
        <w:t>Rajasthan.</w:t>
      </w:r>
      <w:r w:rsidR="00FF2EA2" w:rsidRPr="00663938">
        <w:rPr>
          <w:rFonts w:ascii="Times New Roman" w:hAnsi="Times New Roman" w:cs="Times New Roman"/>
          <w:sz w:val="24"/>
          <w:szCs w:val="24"/>
          <w:lang w:val="en-US"/>
        </w:rPr>
        <w:t>The area falls in agro-climatic zone-</w:t>
      </w:r>
      <w:proofErr w:type="spellStart"/>
      <w:r w:rsidR="00FF2EA2" w:rsidRPr="00663938">
        <w:rPr>
          <w:rFonts w:ascii="Times New Roman" w:hAnsi="Times New Roman" w:cs="Times New Roman"/>
          <w:sz w:val="24"/>
          <w:szCs w:val="24"/>
          <w:lang w:val="en-US"/>
        </w:rPr>
        <w:t>IIIa</w:t>
      </w:r>
      <w:proofErr w:type="spellEnd"/>
      <w:r w:rsidR="00FF2EA2" w:rsidRPr="00663938">
        <w:rPr>
          <w:rFonts w:ascii="Times New Roman" w:hAnsi="Times New Roman" w:cs="Times New Roman"/>
          <w:sz w:val="24"/>
          <w:szCs w:val="24"/>
          <w:lang w:val="en-US"/>
        </w:rPr>
        <w:t xml:space="preserve"> (Semi-arid eastern plain zone of Rajasthan). </w:t>
      </w:r>
      <w:r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rPr>
        <w:t xml:space="preserve">The average weekly rainfall received during the experimental period was 30 mm. Weekly </w:t>
      </w:r>
      <w:commentRangeStart w:id="3"/>
      <w:r w:rsidR="00FF2EA2" w:rsidRPr="00663938">
        <w:rPr>
          <w:rFonts w:ascii="Times New Roman" w:hAnsi="Times New Roman" w:cs="Times New Roman"/>
          <w:sz w:val="24"/>
          <w:szCs w:val="24"/>
        </w:rPr>
        <w:t>mean</w:t>
      </w:r>
      <w:commentRangeEnd w:id="3"/>
      <w:r w:rsidR="00CF6D67">
        <w:rPr>
          <w:rStyle w:val="CommentReference"/>
        </w:rPr>
        <w:commentReference w:id="3"/>
      </w:r>
      <w:r w:rsidR="00FF2EA2" w:rsidRPr="00663938">
        <w:rPr>
          <w:rFonts w:ascii="Times New Roman" w:hAnsi="Times New Roman" w:cs="Times New Roman"/>
          <w:sz w:val="24"/>
          <w:szCs w:val="24"/>
        </w:rPr>
        <w:t xml:space="preserve"> m</w:t>
      </w:r>
      <w:r w:rsidR="00FF2EA2" w:rsidRPr="00FF2EA2">
        <w:rPr>
          <w:rFonts w:ascii="Times New Roman" w:hAnsi="Times New Roman" w:cs="Times New Roman"/>
          <w:sz w:val="24"/>
          <w:szCs w:val="24"/>
        </w:rPr>
        <w:t xml:space="preserve">aximum temperature varied between 30°C and 37°C, while minimum temperatures </w:t>
      </w:r>
      <w:r w:rsidR="00FF2EA2" w:rsidRPr="00663938">
        <w:rPr>
          <w:rFonts w:ascii="Times New Roman" w:hAnsi="Times New Roman" w:cs="Times New Roman"/>
          <w:sz w:val="24"/>
          <w:szCs w:val="24"/>
        </w:rPr>
        <w:t xml:space="preserve">was </w:t>
      </w:r>
      <w:r w:rsidR="00FF2EA2" w:rsidRPr="00FF2EA2">
        <w:rPr>
          <w:rFonts w:ascii="Times New Roman" w:hAnsi="Times New Roman" w:cs="Times New Roman"/>
          <w:sz w:val="24"/>
          <w:szCs w:val="24"/>
        </w:rPr>
        <w:t xml:space="preserve">27.5°C to 19°C. Relative humidity ranged from 54% to 86%, with higher values observed during wetter weeks and a noticeable </w:t>
      </w:r>
      <w:commentRangeStart w:id="4"/>
      <w:r w:rsidR="00FF2EA2" w:rsidRPr="00FF2EA2">
        <w:rPr>
          <w:rFonts w:ascii="Times New Roman" w:hAnsi="Times New Roman" w:cs="Times New Roman"/>
          <w:sz w:val="24"/>
          <w:szCs w:val="24"/>
        </w:rPr>
        <w:t>decline</w:t>
      </w:r>
      <w:commentRangeEnd w:id="4"/>
      <w:r w:rsidR="00CF6D67">
        <w:rPr>
          <w:rStyle w:val="CommentReference"/>
        </w:rPr>
        <w:commentReference w:id="4"/>
      </w:r>
      <w:r w:rsidR="00FF2EA2" w:rsidRPr="00FF2EA2">
        <w:rPr>
          <w:rFonts w:ascii="Times New Roman" w:hAnsi="Times New Roman" w:cs="Times New Roman"/>
          <w:sz w:val="24"/>
          <w:szCs w:val="24"/>
        </w:rPr>
        <w:t xml:space="preserve"> during drier periods.</w:t>
      </w:r>
      <w:r w:rsidR="00FF2EA2"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lang w:val="en-US"/>
        </w:rPr>
        <w:t>The soil of the experimental field was loamy sand in texture, alkaline in reaction, poor in organic carbon</w:t>
      </w:r>
      <w:r w:rsidR="001D5A5E">
        <w:rPr>
          <w:rFonts w:ascii="Times New Roman" w:hAnsi="Times New Roman" w:cs="Times New Roman"/>
          <w:sz w:val="24"/>
          <w:szCs w:val="24"/>
          <w:lang w:val="en-US"/>
        </w:rPr>
        <w:t xml:space="preserve"> (</w:t>
      </w:r>
      <w:r w:rsidR="003E3748">
        <w:rPr>
          <w:rFonts w:ascii="Times New Roman" w:hAnsi="Times New Roman" w:cs="Times New Roman"/>
          <w:sz w:val="24"/>
          <w:szCs w:val="24"/>
          <w:lang w:val="en-US"/>
        </w:rPr>
        <w:t>0.18%)</w:t>
      </w:r>
      <w:r w:rsidR="00FF2EA2" w:rsidRPr="00663938">
        <w:rPr>
          <w:rFonts w:ascii="Times New Roman" w:hAnsi="Times New Roman" w:cs="Times New Roman"/>
          <w:sz w:val="24"/>
          <w:szCs w:val="24"/>
          <w:lang w:val="en-US"/>
        </w:rPr>
        <w:t xml:space="preserve"> with low available nitrogen </w:t>
      </w:r>
      <w:r w:rsidR="003E3748">
        <w:rPr>
          <w:rFonts w:ascii="Times New Roman" w:hAnsi="Times New Roman" w:cs="Times New Roman"/>
          <w:sz w:val="24"/>
          <w:szCs w:val="24"/>
          <w:lang w:val="en-US"/>
        </w:rPr>
        <w:t>(127.14 kg ha</w:t>
      </w:r>
      <w:r w:rsidR="003E3748">
        <w:rPr>
          <w:rFonts w:ascii="Times New Roman" w:hAnsi="Times New Roman" w:cs="Times New Roman"/>
          <w:sz w:val="24"/>
          <w:szCs w:val="24"/>
          <w:vertAlign w:val="superscript"/>
          <w:lang w:val="en-US"/>
        </w:rPr>
        <w:t>-1</w:t>
      </w:r>
      <w:r w:rsidR="003E3748">
        <w:rPr>
          <w:rFonts w:ascii="Times New Roman" w:hAnsi="Times New Roman" w:cs="Times New Roman"/>
          <w:sz w:val="24"/>
          <w:szCs w:val="24"/>
          <w:lang w:val="en-US"/>
        </w:rPr>
        <w:t xml:space="preserve">), </w:t>
      </w:r>
      <w:r w:rsidR="00FF2EA2" w:rsidRPr="00663938">
        <w:rPr>
          <w:rFonts w:ascii="Times New Roman" w:hAnsi="Times New Roman" w:cs="Times New Roman"/>
          <w:sz w:val="24"/>
          <w:szCs w:val="24"/>
          <w:lang w:val="en-US"/>
        </w:rPr>
        <w:t xml:space="preserve">medium in available phosphorus </w:t>
      </w:r>
      <w:r w:rsidR="003E3748">
        <w:rPr>
          <w:rFonts w:ascii="Times New Roman" w:hAnsi="Times New Roman" w:cs="Times New Roman"/>
          <w:sz w:val="24"/>
          <w:szCs w:val="24"/>
          <w:lang w:val="en-US"/>
        </w:rPr>
        <w:t>(</w:t>
      </w:r>
      <w:r w:rsidR="004A5239">
        <w:rPr>
          <w:rFonts w:ascii="Times New Roman" w:hAnsi="Times New Roman" w:cs="Times New Roman"/>
          <w:sz w:val="24"/>
          <w:szCs w:val="24"/>
          <w:lang w:val="en-US"/>
        </w:rPr>
        <w:t>16.38 kg ha</w:t>
      </w:r>
      <w:r w:rsidR="004A5239">
        <w:rPr>
          <w:rFonts w:ascii="Times New Roman" w:hAnsi="Times New Roman" w:cs="Times New Roman"/>
          <w:sz w:val="24"/>
          <w:szCs w:val="24"/>
          <w:vertAlign w:val="superscript"/>
          <w:lang w:val="en-US"/>
        </w:rPr>
        <w:t>-1</w:t>
      </w:r>
      <w:r w:rsidR="004A5239">
        <w:rPr>
          <w:rFonts w:ascii="Times New Roman" w:hAnsi="Times New Roman" w:cs="Times New Roman"/>
          <w:sz w:val="24"/>
          <w:szCs w:val="24"/>
          <w:lang w:val="en-US"/>
        </w:rPr>
        <w:t xml:space="preserve">) </w:t>
      </w:r>
      <w:r w:rsidR="00FF2EA2" w:rsidRPr="00663938">
        <w:rPr>
          <w:rFonts w:ascii="Times New Roman" w:hAnsi="Times New Roman" w:cs="Times New Roman"/>
          <w:sz w:val="24"/>
          <w:szCs w:val="24"/>
          <w:lang w:val="en-US"/>
        </w:rPr>
        <w:t>and potas</w:t>
      </w:r>
      <w:r w:rsidR="004A5239">
        <w:rPr>
          <w:rFonts w:ascii="Times New Roman" w:hAnsi="Times New Roman" w:cs="Times New Roman"/>
          <w:sz w:val="24"/>
          <w:szCs w:val="24"/>
          <w:lang w:val="en-US"/>
        </w:rPr>
        <w:t>sium (156.68 kg ha</w:t>
      </w:r>
      <w:r w:rsidR="004A5239">
        <w:rPr>
          <w:rFonts w:ascii="Times New Roman" w:hAnsi="Times New Roman" w:cs="Times New Roman"/>
          <w:sz w:val="24"/>
          <w:szCs w:val="24"/>
          <w:vertAlign w:val="superscript"/>
          <w:lang w:val="en-US"/>
        </w:rPr>
        <w:t>-1</w:t>
      </w:r>
      <w:r w:rsidR="004A5239">
        <w:rPr>
          <w:rFonts w:ascii="Times New Roman" w:hAnsi="Times New Roman" w:cs="Times New Roman"/>
          <w:sz w:val="24"/>
          <w:szCs w:val="24"/>
          <w:lang w:val="en-US"/>
        </w:rPr>
        <w:t>)</w:t>
      </w:r>
      <w:r w:rsidR="00FF2EA2" w:rsidRPr="00663938">
        <w:rPr>
          <w:rFonts w:ascii="Times New Roman" w:hAnsi="Times New Roman" w:cs="Times New Roman"/>
          <w:sz w:val="24"/>
          <w:szCs w:val="24"/>
          <w:lang w:val="en-US"/>
        </w:rPr>
        <w:t>.</w:t>
      </w:r>
    </w:p>
    <w:p w14:paraId="23F4A38B" w14:textId="4D24F7E7" w:rsidR="00FF2EA2" w:rsidRDefault="00FF2EA2" w:rsidP="00FD24A8">
      <w:pPr>
        <w:spacing w:after="0" w:line="360" w:lineRule="auto"/>
        <w:jc w:val="both"/>
        <w:rPr>
          <w:rFonts w:ascii="Times New Roman" w:hAnsi="Times New Roman" w:cs="Times New Roman"/>
          <w:sz w:val="24"/>
          <w:szCs w:val="24"/>
          <w:lang w:val="en-US"/>
        </w:rPr>
      </w:pPr>
      <w:r w:rsidRPr="00663938">
        <w:rPr>
          <w:rFonts w:ascii="Times New Roman" w:hAnsi="Times New Roman" w:cs="Times New Roman"/>
          <w:sz w:val="24"/>
          <w:szCs w:val="24"/>
          <w:lang w:val="en-US"/>
        </w:rPr>
        <w:tab/>
        <w:t xml:space="preserve">The experiment was laid out in a </w:t>
      </w:r>
      <w:r w:rsidRPr="00BA6558">
        <w:rPr>
          <w:rFonts w:ascii="Times New Roman" w:hAnsi="Times New Roman" w:cs="Times New Roman"/>
          <w:sz w:val="24"/>
          <w:szCs w:val="24"/>
          <w:lang w:val="en-US"/>
        </w:rPr>
        <w:t>factorial</w:t>
      </w:r>
      <w:r w:rsidRPr="00663938">
        <w:rPr>
          <w:rFonts w:ascii="Times New Roman" w:hAnsi="Times New Roman" w:cs="Times New Roman"/>
          <w:sz w:val="24"/>
          <w:szCs w:val="24"/>
          <w:lang w:val="en-US"/>
        </w:rPr>
        <w:t xml:space="preserve"> randomized block design (</w:t>
      </w:r>
      <w:r w:rsidR="004A5239">
        <w:rPr>
          <w:rFonts w:ascii="Times New Roman" w:hAnsi="Times New Roman" w:cs="Times New Roman"/>
          <w:sz w:val="24"/>
          <w:szCs w:val="24"/>
          <w:lang w:val="en-US"/>
        </w:rPr>
        <w:t>F</w:t>
      </w:r>
      <w:r w:rsidRPr="00663938">
        <w:rPr>
          <w:rFonts w:ascii="Times New Roman" w:hAnsi="Times New Roman" w:cs="Times New Roman"/>
          <w:sz w:val="24"/>
          <w:szCs w:val="24"/>
          <w:lang w:val="en-US"/>
        </w:rPr>
        <w:t xml:space="preserve">RBD) with </w:t>
      </w:r>
      <w:r w:rsidR="00663938">
        <w:rPr>
          <w:rFonts w:ascii="Times New Roman" w:hAnsi="Times New Roman" w:cs="Times New Roman"/>
          <w:sz w:val="24"/>
          <w:szCs w:val="24"/>
          <w:lang w:val="en-US"/>
        </w:rPr>
        <w:t xml:space="preserve">first factor involving </w:t>
      </w:r>
      <w:r w:rsidRPr="00663938">
        <w:rPr>
          <w:rFonts w:ascii="Times New Roman" w:hAnsi="Times New Roman" w:cs="Times New Roman"/>
          <w:sz w:val="24"/>
          <w:szCs w:val="24"/>
          <w:lang w:val="en-US"/>
        </w:rPr>
        <w:t xml:space="preserve">seven weed management treatments </w:t>
      </w:r>
      <w:r w:rsidR="00663938" w:rsidRPr="00663938">
        <w:rPr>
          <w:rFonts w:ascii="Times New Roman" w:hAnsi="Times New Roman" w:cs="Times New Roman"/>
          <w:sz w:val="24"/>
          <w:szCs w:val="24"/>
          <w:lang w:val="en-US"/>
        </w:rPr>
        <w:t>(W</w:t>
      </w:r>
      <w:r w:rsidR="00663938" w:rsidRPr="00663938">
        <w:rPr>
          <w:rFonts w:ascii="Times New Roman" w:hAnsi="Times New Roman" w:cs="Times New Roman"/>
          <w:sz w:val="24"/>
          <w:szCs w:val="24"/>
          <w:vertAlign w:val="subscript"/>
          <w:lang w:val="en-US"/>
        </w:rPr>
        <w:t>1</w:t>
      </w:r>
      <w:r w:rsidR="00663938" w:rsidRPr="00663938">
        <w:rPr>
          <w:rFonts w:ascii="Times New Roman" w:hAnsi="Times New Roman" w:cs="Times New Roman"/>
          <w:sz w:val="24"/>
          <w:szCs w:val="24"/>
          <w:lang w:val="en-US"/>
        </w:rPr>
        <w:t>: weedy check, W</w:t>
      </w:r>
      <w:r w:rsidR="00663938" w:rsidRPr="00663938">
        <w:rPr>
          <w:rFonts w:ascii="Times New Roman" w:hAnsi="Times New Roman" w:cs="Times New Roman"/>
          <w:sz w:val="24"/>
          <w:szCs w:val="24"/>
          <w:vertAlign w:val="subscript"/>
          <w:lang w:val="en-US"/>
        </w:rPr>
        <w:t>2</w:t>
      </w:r>
      <w:r w:rsidR="00663938" w:rsidRPr="00663938">
        <w:rPr>
          <w:rFonts w:ascii="Times New Roman" w:hAnsi="Times New Roman" w:cs="Times New Roman"/>
          <w:sz w:val="24"/>
          <w:szCs w:val="24"/>
          <w:lang w:val="en-US"/>
        </w:rPr>
        <w:t>: one hand weeding</w:t>
      </w:r>
      <w:r w:rsidR="00663938">
        <w:rPr>
          <w:rFonts w:ascii="Times New Roman" w:hAnsi="Times New Roman" w:cs="Times New Roman"/>
          <w:sz w:val="24"/>
          <w:szCs w:val="24"/>
          <w:lang w:val="en-US"/>
        </w:rPr>
        <w:t xml:space="preserve"> (HW)</w:t>
      </w:r>
      <w:r w:rsidR="00663938" w:rsidRPr="00663938">
        <w:rPr>
          <w:rFonts w:ascii="Times New Roman" w:hAnsi="Times New Roman" w:cs="Times New Roman"/>
          <w:sz w:val="24"/>
          <w:szCs w:val="24"/>
          <w:lang w:val="en-US"/>
        </w:rPr>
        <w:t xml:space="preserve"> at 20 DAS, W</w:t>
      </w:r>
      <w:r w:rsidR="00663938" w:rsidRPr="00663938">
        <w:rPr>
          <w:rFonts w:ascii="Times New Roman" w:hAnsi="Times New Roman" w:cs="Times New Roman"/>
          <w:sz w:val="24"/>
          <w:szCs w:val="24"/>
          <w:vertAlign w:val="subscript"/>
          <w:lang w:val="en-US"/>
        </w:rPr>
        <w:t>3</w:t>
      </w:r>
      <w:r w:rsidR="00663938" w:rsidRPr="00663938">
        <w:rPr>
          <w:rFonts w:ascii="Times New Roman" w:hAnsi="Times New Roman" w:cs="Times New Roman"/>
          <w:sz w:val="24"/>
          <w:szCs w:val="24"/>
          <w:lang w:val="en-US"/>
        </w:rPr>
        <w:t>: two hand weeding at 20 and 40 DAS, W</w:t>
      </w:r>
      <w:r w:rsidR="00663938" w:rsidRPr="00663938">
        <w:rPr>
          <w:rFonts w:ascii="Times New Roman" w:hAnsi="Times New Roman" w:cs="Times New Roman"/>
          <w:sz w:val="24"/>
          <w:szCs w:val="24"/>
          <w:vertAlign w:val="subscript"/>
          <w:lang w:val="en-US"/>
        </w:rPr>
        <w:t>4</w:t>
      </w:r>
      <w:r w:rsidR="00663938" w:rsidRPr="00663938">
        <w:rPr>
          <w:rFonts w:ascii="Times New Roman" w:hAnsi="Times New Roman" w:cs="Times New Roman"/>
          <w:sz w:val="24"/>
          <w:szCs w:val="24"/>
          <w:lang w:val="en-US"/>
        </w:rPr>
        <w:t xml:space="preserve">: </w:t>
      </w:r>
      <w:r w:rsidR="00663938">
        <w:rPr>
          <w:rFonts w:ascii="Times New Roman" w:hAnsi="Times New Roman" w:cs="Times New Roman"/>
          <w:sz w:val="24"/>
          <w:szCs w:val="24"/>
          <w:lang w:val="en-US"/>
        </w:rPr>
        <w:t>p</w:t>
      </w:r>
      <w:r w:rsidR="00663938" w:rsidRPr="00663938">
        <w:rPr>
          <w:rFonts w:ascii="Times New Roman" w:hAnsi="Times New Roman" w:cs="Times New Roman"/>
          <w:sz w:val="24"/>
          <w:szCs w:val="24"/>
          <w:lang w:val="en-US"/>
        </w:rPr>
        <w:t xml:space="preserve">re-emergence application (PE) of </w:t>
      </w:r>
      <w:r w:rsidR="00663938" w:rsidRPr="00663938">
        <w:rPr>
          <w:rFonts w:ascii="Times New Roman" w:hAnsi="Times New Roman" w:cs="Times New Roman"/>
          <w:sz w:val="24"/>
          <w:szCs w:val="24"/>
        </w:rPr>
        <w:t xml:space="preserve">Alachlor @ 1.5 kg </w:t>
      </w:r>
      <w:proofErr w:type="spellStart"/>
      <w:r w:rsidR="00663938" w:rsidRPr="00663938">
        <w:rPr>
          <w:rFonts w:ascii="Times New Roman" w:hAnsi="Times New Roman" w:cs="Times New Roman"/>
          <w:sz w:val="24"/>
          <w:szCs w:val="24"/>
        </w:rPr>
        <w:t>a.i</w:t>
      </w:r>
      <w:proofErr w:type="spellEnd"/>
      <w:r w:rsidR="00663938" w:rsidRPr="00663938">
        <w:rPr>
          <w:rFonts w:ascii="Times New Roman" w:hAnsi="Times New Roman" w:cs="Times New Roman"/>
          <w:sz w:val="24"/>
          <w:szCs w:val="24"/>
        </w:rPr>
        <w:t>./ha</w:t>
      </w:r>
      <w:r w:rsidR="00663938">
        <w:rPr>
          <w:rFonts w:ascii="Times New Roman" w:hAnsi="Times New Roman" w:cs="Times New Roman"/>
          <w:sz w:val="24"/>
          <w:szCs w:val="24"/>
        </w:rPr>
        <w:t>, W</w:t>
      </w:r>
      <w:r w:rsidR="00663938">
        <w:rPr>
          <w:rFonts w:ascii="Times New Roman" w:hAnsi="Times New Roman" w:cs="Times New Roman"/>
          <w:sz w:val="24"/>
          <w:szCs w:val="24"/>
          <w:vertAlign w:val="subscript"/>
        </w:rPr>
        <w:t>5</w:t>
      </w:r>
      <w:r w:rsidR="00663938">
        <w:rPr>
          <w:rFonts w:ascii="Times New Roman" w:hAnsi="Times New Roman" w:cs="Times New Roman"/>
          <w:sz w:val="24"/>
          <w:szCs w:val="24"/>
        </w:rPr>
        <w:t xml:space="preserve">: </w:t>
      </w:r>
      <w:r w:rsidR="00663938" w:rsidRPr="00663938">
        <w:rPr>
          <w:rFonts w:ascii="Times New Roman" w:hAnsi="Times New Roman" w:cs="Times New Roman"/>
          <w:sz w:val="24"/>
          <w:szCs w:val="24"/>
          <w:lang w:val="en-US"/>
        </w:rPr>
        <w:t xml:space="preserve">of </w:t>
      </w:r>
      <w:proofErr w:type="spellStart"/>
      <w:r w:rsidR="00663938" w:rsidRPr="00663938">
        <w:rPr>
          <w:rFonts w:ascii="Times New Roman" w:hAnsi="Times New Roman" w:cs="Times New Roman"/>
          <w:sz w:val="24"/>
          <w:szCs w:val="24"/>
        </w:rPr>
        <w:t>Alachlor</w:t>
      </w:r>
      <w:proofErr w:type="spellEnd"/>
      <w:r w:rsidR="00663938" w:rsidRPr="00663938">
        <w:rPr>
          <w:rFonts w:ascii="Times New Roman" w:hAnsi="Times New Roman" w:cs="Times New Roman"/>
          <w:sz w:val="24"/>
          <w:szCs w:val="24"/>
        </w:rPr>
        <w:t xml:space="preserve"> </w:t>
      </w:r>
      <w:r w:rsidR="00663938">
        <w:rPr>
          <w:rFonts w:ascii="Times New Roman" w:hAnsi="Times New Roman" w:cs="Times New Roman"/>
          <w:sz w:val="24"/>
          <w:szCs w:val="24"/>
        </w:rPr>
        <w:t>@</w:t>
      </w:r>
      <w:r w:rsidR="00663938" w:rsidRPr="00663938">
        <w:rPr>
          <w:rFonts w:ascii="Times New Roman" w:hAnsi="Times New Roman" w:cs="Times New Roman"/>
          <w:sz w:val="24"/>
          <w:szCs w:val="24"/>
        </w:rPr>
        <w:t xml:space="preserve">1.5 kg </w:t>
      </w:r>
      <w:proofErr w:type="spellStart"/>
      <w:r w:rsidR="00663938" w:rsidRPr="00663938">
        <w:rPr>
          <w:rFonts w:ascii="Times New Roman" w:hAnsi="Times New Roman" w:cs="Times New Roman"/>
          <w:sz w:val="24"/>
          <w:szCs w:val="24"/>
        </w:rPr>
        <w:t>a.i</w:t>
      </w:r>
      <w:proofErr w:type="spellEnd"/>
      <w:r w:rsidR="00663938" w:rsidRPr="00663938">
        <w:rPr>
          <w:rFonts w:ascii="Times New Roman" w:hAnsi="Times New Roman" w:cs="Times New Roman"/>
          <w:sz w:val="24"/>
          <w:szCs w:val="24"/>
        </w:rPr>
        <w:t>./ha</w:t>
      </w:r>
      <w:r w:rsidR="00663938">
        <w:rPr>
          <w:rFonts w:ascii="Times New Roman" w:hAnsi="Times New Roman" w:cs="Times New Roman"/>
          <w:sz w:val="24"/>
          <w:szCs w:val="24"/>
        </w:rPr>
        <w:t xml:space="preserve"> (PE) + </w:t>
      </w:r>
      <w:r w:rsidR="00663938" w:rsidRPr="00663938">
        <w:rPr>
          <w:rFonts w:ascii="Times New Roman" w:hAnsi="Times New Roman" w:cs="Times New Roman"/>
          <w:sz w:val="24"/>
          <w:szCs w:val="24"/>
        </w:rPr>
        <w:t xml:space="preserve"> </w:t>
      </w:r>
      <w:r w:rsidR="00663938">
        <w:rPr>
          <w:rFonts w:ascii="Times New Roman" w:hAnsi="Times New Roman" w:cs="Times New Roman"/>
          <w:sz w:val="24"/>
          <w:szCs w:val="24"/>
        </w:rPr>
        <w:t>HW at 30 DAS, W</w:t>
      </w:r>
      <w:r w:rsidR="00663938">
        <w:rPr>
          <w:rFonts w:ascii="Times New Roman" w:hAnsi="Times New Roman" w:cs="Times New Roman"/>
          <w:sz w:val="24"/>
          <w:szCs w:val="24"/>
          <w:vertAlign w:val="subscript"/>
        </w:rPr>
        <w:t>6</w:t>
      </w:r>
      <w:r w:rsidR="00663938">
        <w:rPr>
          <w:rFonts w:ascii="Times New Roman" w:hAnsi="Times New Roman" w:cs="Times New Roman"/>
          <w:sz w:val="24"/>
          <w:szCs w:val="24"/>
        </w:rPr>
        <w:t xml:space="preserve">: </w:t>
      </w:r>
      <w:r w:rsidR="00663938" w:rsidRPr="00663938">
        <w:rPr>
          <w:rFonts w:ascii="Times New Roman" w:hAnsi="Times New Roman" w:cs="Times New Roman"/>
          <w:sz w:val="24"/>
          <w:szCs w:val="24"/>
          <w:lang w:val="en-US"/>
        </w:rPr>
        <w:t xml:space="preserve">imazethapyr @ 0.15 kg </w:t>
      </w:r>
      <w:proofErr w:type="spellStart"/>
      <w:r w:rsidR="00663938" w:rsidRPr="00663938">
        <w:rPr>
          <w:rFonts w:ascii="Times New Roman" w:hAnsi="Times New Roman" w:cs="Times New Roman"/>
          <w:sz w:val="24"/>
          <w:szCs w:val="24"/>
          <w:lang w:val="en-US"/>
        </w:rPr>
        <w:t>a.i</w:t>
      </w:r>
      <w:proofErr w:type="spellEnd"/>
      <w:r w:rsidR="00663938" w:rsidRPr="00663938">
        <w:rPr>
          <w:rFonts w:ascii="Times New Roman" w:hAnsi="Times New Roman" w:cs="Times New Roman"/>
          <w:sz w:val="24"/>
          <w:szCs w:val="24"/>
          <w:lang w:val="en-US"/>
        </w:rPr>
        <w:t xml:space="preserve">./ha </w:t>
      </w:r>
      <w:r w:rsidR="00663938">
        <w:rPr>
          <w:rFonts w:ascii="Times New Roman" w:hAnsi="Times New Roman" w:cs="Times New Roman"/>
          <w:sz w:val="24"/>
          <w:szCs w:val="24"/>
          <w:lang w:val="en-US"/>
        </w:rPr>
        <w:t>(PE), W</w:t>
      </w:r>
      <w:r w:rsidR="00663938">
        <w:rPr>
          <w:rFonts w:ascii="Times New Roman" w:hAnsi="Times New Roman" w:cs="Times New Roman"/>
          <w:sz w:val="24"/>
          <w:szCs w:val="24"/>
          <w:vertAlign w:val="subscript"/>
          <w:lang w:val="en-US"/>
        </w:rPr>
        <w:t>7</w:t>
      </w:r>
      <w:r w:rsidR="00663938">
        <w:rPr>
          <w:rFonts w:ascii="Times New Roman" w:hAnsi="Times New Roman" w:cs="Times New Roman"/>
          <w:sz w:val="24"/>
          <w:szCs w:val="24"/>
          <w:lang w:val="en-US"/>
        </w:rPr>
        <w:t xml:space="preserve">: </w:t>
      </w:r>
      <w:proofErr w:type="spellStart"/>
      <w:r w:rsidR="00663938" w:rsidRPr="00663938">
        <w:rPr>
          <w:rFonts w:ascii="Times New Roman" w:hAnsi="Times New Roman" w:cs="Times New Roman"/>
          <w:sz w:val="24"/>
          <w:szCs w:val="24"/>
          <w:lang w:val="en-US"/>
        </w:rPr>
        <w:t>imazethapyr</w:t>
      </w:r>
      <w:proofErr w:type="spellEnd"/>
      <w:r w:rsidR="00663938" w:rsidRPr="00663938">
        <w:rPr>
          <w:rFonts w:ascii="Times New Roman" w:hAnsi="Times New Roman" w:cs="Times New Roman"/>
          <w:sz w:val="24"/>
          <w:szCs w:val="24"/>
          <w:lang w:val="en-US"/>
        </w:rPr>
        <w:t xml:space="preserve"> @ 0.15 kg </w:t>
      </w:r>
      <w:proofErr w:type="spellStart"/>
      <w:r w:rsidR="00663938" w:rsidRPr="00663938">
        <w:rPr>
          <w:rFonts w:ascii="Times New Roman" w:hAnsi="Times New Roman" w:cs="Times New Roman"/>
          <w:sz w:val="24"/>
          <w:szCs w:val="24"/>
          <w:lang w:val="en-US"/>
        </w:rPr>
        <w:t>a.i</w:t>
      </w:r>
      <w:proofErr w:type="spellEnd"/>
      <w:r w:rsidR="00663938" w:rsidRPr="00663938">
        <w:rPr>
          <w:rFonts w:ascii="Times New Roman" w:hAnsi="Times New Roman" w:cs="Times New Roman"/>
          <w:sz w:val="24"/>
          <w:szCs w:val="24"/>
          <w:lang w:val="en-US"/>
        </w:rPr>
        <w:t xml:space="preserve">./ha </w:t>
      </w:r>
      <w:r w:rsidR="00663938">
        <w:rPr>
          <w:rFonts w:ascii="Times New Roman" w:hAnsi="Times New Roman" w:cs="Times New Roman"/>
          <w:sz w:val="24"/>
          <w:szCs w:val="24"/>
          <w:lang w:val="en-US"/>
        </w:rPr>
        <w:t>(PE) + HW at 30 DAS) and three nitrogen levels (N</w:t>
      </w:r>
      <w:r w:rsidR="00663938">
        <w:rPr>
          <w:rFonts w:ascii="Times New Roman" w:hAnsi="Times New Roman" w:cs="Times New Roman"/>
          <w:sz w:val="24"/>
          <w:szCs w:val="24"/>
          <w:vertAlign w:val="subscript"/>
          <w:lang w:val="en-US"/>
        </w:rPr>
        <w:t>0</w:t>
      </w:r>
      <w:r w:rsidR="00663938">
        <w:rPr>
          <w:rFonts w:ascii="Times New Roman" w:hAnsi="Times New Roman" w:cs="Times New Roman"/>
          <w:sz w:val="24"/>
          <w:szCs w:val="24"/>
          <w:lang w:val="en-US"/>
        </w:rPr>
        <w:t>: control, N</w:t>
      </w:r>
      <w:r w:rsidR="00663938">
        <w:rPr>
          <w:rFonts w:ascii="Times New Roman" w:hAnsi="Times New Roman" w:cs="Times New Roman"/>
          <w:sz w:val="24"/>
          <w:szCs w:val="24"/>
          <w:vertAlign w:val="subscript"/>
          <w:lang w:val="en-US"/>
        </w:rPr>
        <w:t>1</w:t>
      </w:r>
      <w:r w:rsidR="00663938">
        <w:rPr>
          <w:rFonts w:ascii="Times New Roman" w:hAnsi="Times New Roman" w:cs="Times New Roman"/>
          <w:sz w:val="24"/>
          <w:szCs w:val="24"/>
          <w:lang w:val="en-US"/>
        </w:rPr>
        <w:t>:20 kg N ha</w:t>
      </w:r>
      <w:r w:rsidR="00663938">
        <w:rPr>
          <w:rFonts w:ascii="Times New Roman" w:hAnsi="Times New Roman" w:cs="Times New Roman"/>
          <w:sz w:val="24"/>
          <w:szCs w:val="24"/>
          <w:vertAlign w:val="superscript"/>
          <w:lang w:val="en-US"/>
        </w:rPr>
        <w:t>-1</w:t>
      </w:r>
      <w:r w:rsidR="00663938">
        <w:rPr>
          <w:rFonts w:ascii="Times New Roman" w:hAnsi="Times New Roman" w:cs="Times New Roman"/>
          <w:sz w:val="24"/>
          <w:szCs w:val="24"/>
          <w:lang w:val="en-US"/>
        </w:rPr>
        <w:t>, N</w:t>
      </w:r>
      <w:r w:rsidR="00663938">
        <w:rPr>
          <w:rFonts w:ascii="Times New Roman" w:hAnsi="Times New Roman" w:cs="Times New Roman"/>
          <w:sz w:val="24"/>
          <w:szCs w:val="24"/>
          <w:vertAlign w:val="subscript"/>
          <w:lang w:val="en-US"/>
        </w:rPr>
        <w:t>2</w:t>
      </w:r>
      <w:r w:rsidR="00663938">
        <w:rPr>
          <w:rFonts w:ascii="Times New Roman" w:hAnsi="Times New Roman" w:cs="Times New Roman"/>
          <w:sz w:val="24"/>
          <w:szCs w:val="24"/>
          <w:lang w:val="en-US"/>
        </w:rPr>
        <w:t>: 40 kg N ha</w:t>
      </w:r>
      <w:r w:rsidR="00663938">
        <w:rPr>
          <w:rFonts w:ascii="Times New Roman" w:hAnsi="Times New Roman" w:cs="Times New Roman"/>
          <w:sz w:val="24"/>
          <w:szCs w:val="24"/>
          <w:vertAlign w:val="superscript"/>
          <w:lang w:val="en-US"/>
        </w:rPr>
        <w:t>-1</w:t>
      </w:r>
      <w:r w:rsidR="00663938">
        <w:rPr>
          <w:rFonts w:ascii="Times New Roman" w:hAnsi="Times New Roman" w:cs="Times New Roman"/>
          <w:sz w:val="24"/>
          <w:szCs w:val="24"/>
          <w:lang w:val="en-US"/>
        </w:rPr>
        <w:t>) as second factor.</w:t>
      </w:r>
    </w:p>
    <w:p w14:paraId="637957F5" w14:textId="2231F25A" w:rsidR="00663938" w:rsidRDefault="00663938" w:rsidP="0066393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herbicides were applied 1 day after sowing (DAS) of the crop using a knapsack sprayer. Hand weeding was done manually using </w:t>
      </w:r>
      <w:proofErr w:type="spellStart"/>
      <w:r w:rsidRPr="00663938">
        <w:rPr>
          <w:rFonts w:ascii="Times New Roman" w:hAnsi="Times New Roman" w:cs="Times New Roman"/>
          <w:i/>
          <w:iCs/>
          <w:sz w:val="24"/>
          <w:szCs w:val="24"/>
          <w:lang w:val="en-US"/>
        </w:rPr>
        <w:t>khurpi</w:t>
      </w:r>
      <w:proofErr w:type="spellEnd"/>
      <w:r>
        <w:rPr>
          <w:rFonts w:ascii="Times New Roman" w:hAnsi="Times New Roman" w:cs="Times New Roman"/>
          <w:sz w:val="24"/>
          <w:szCs w:val="24"/>
          <w:lang w:val="en-US"/>
        </w:rPr>
        <w:t xml:space="preserve">.  </w:t>
      </w:r>
      <w:r w:rsidRPr="00663938">
        <w:rPr>
          <w:rFonts w:ascii="Times New Roman" w:hAnsi="Times New Roman" w:cs="Times New Roman"/>
          <w:sz w:val="24"/>
          <w:szCs w:val="24"/>
          <w:lang w:val="en-US"/>
        </w:rPr>
        <w:t>A uniform dose of 25 kg P</w:t>
      </w:r>
      <w:r w:rsidRPr="00663938">
        <w:rPr>
          <w:rFonts w:ascii="Times New Roman" w:hAnsi="Times New Roman" w:cs="Times New Roman"/>
          <w:sz w:val="24"/>
          <w:szCs w:val="24"/>
          <w:vertAlign w:val="subscript"/>
          <w:lang w:val="en-US"/>
        </w:rPr>
        <w:t>2</w:t>
      </w:r>
      <w:r w:rsidRPr="00663938">
        <w:rPr>
          <w:rFonts w:ascii="Times New Roman" w:hAnsi="Times New Roman" w:cs="Times New Roman"/>
          <w:sz w:val="24"/>
          <w:szCs w:val="24"/>
          <w:lang w:val="en-US"/>
        </w:rPr>
        <w:t>O</w:t>
      </w:r>
      <w:r w:rsidRPr="00663938">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w:t>
      </w:r>
      <w:r w:rsidRPr="00663938">
        <w:rPr>
          <w:rFonts w:ascii="Times New Roman" w:hAnsi="Times New Roman" w:cs="Times New Roman"/>
          <w:sz w:val="24"/>
          <w:szCs w:val="24"/>
          <w:lang w:val="en-US"/>
        </w:rPr>
        <w:t>ha</w:t>
      </w:r>
      <w:r>
        <w:rPr>
          <w:rFonts w:ascii="Times New Roman" w:hAnsi="Times New Roman" w:cs="Times New Roman"/>
          <w:sz w:val="24"/>
          <w:szCs w:val="24"/>
          <w:vertAlign w:val="superscript"/>
          <w:lang w:val="en-US"/>
        </w:rPr>
        <w:t>-1</w:t>
      </w:r>
      <w:r w:rsidRPr="00663938">
        <w:rPr>
          <w:rFonts w:ascii="Times New Roman" w:hAnsi="Times New Roman" w:cs="Times New Roman"/>
          <w:sz w:val="24"/>
          <w:szCs w:val="24"/>
          <w:lang w:val="en-US"/>
        </w:rPr>
        <w:t xml:space="preserve"> was drilled in furrows at the time of last ploughing through SSP</w:t>
      </w:r>
      <w:r>
        <w:rPr>
          <w:rFonts w:ascii="Times New Roman" w:hAnsi="Times New Roman" w:cs="Times New Roman"/>
          <w:sz w:val="24"/>
          <w:szCs w:val="24"/>
          <w:lang w:val="en-US"/>
        </w:rPr>
        <w:t xml:space="preserve">. Urea was used as the source for nitrogen, which was applied as basal as per treatment. </w:t>
      </w:r>
      <w:r w:rsidRPr="00663938">
        <w:rPr>
          <w:rFonts w:ascii="Times New Roman" w:hAnsi="Times New Roman" w:cs="Times New Roman"/>
          <w:sz w:val="24"/>
          <w:szCs w:val="24"/>
          <w:lang w:val="en-US"/>
        </w:rPr>
        <w:t xml:space="preserve">Weed density was taken at 50 DAS and at harvest stage from </w:t>
      </w:r>
      <w:r>
        <w:rPr>
          <w:rFonts w:ascii="Times New Roman" w:hAnsi="Times New Roman" w:cs="Times New Roman"/>
          <w:sz w:val="24"/>
          <w:szCs w:val="24"/>
          <w:lang w:val="en-US"/>
        </w:rPr>
        <w:t xml:space="preserve">three </w:t>
      </w:r>
      <w:r w:rsidRPr="00663938">
        <w:rPr>
          <w:rFonts w:ascii="Times New Roman" w:hAnsi="Times New Roman" w:cs="Times New Roman"/>
          <w:sz w:val="24"/>
          <w:szCs w:val="24"/>
          <w:lang w:val="en-US"/>
        </w:rPr>
        <w:t xml:space="preserve">random spots in each </w:t>
      </w:r>
      <w:r w:rsidR="00BA6558" w:rsidRPr="00663938">
        <w:rPr>
          <w:rFonts w:ascii="Times New Roman" w:hAnsi="Times New Roman" w:cs="Times New Roman"/>
          <w:sz w:val="24"/>
          <w:szCs w:val="24"/>
          <w:lang w:val="en-US"/>
        </w:rPr>
        <w:t>plot</w:t>
      </w:r>
      <w:r w:rsidRPr="006639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using a quadrate </w:t>
      </w:r>
      <w:r w:rsidRPr="00663938">
        <w:rPr>
          <w:rFonts w:ascii="Times New Roman" w:hAnsi="Times New Roman" w:cs="Times New Roman"/>
          <w:sz w:val="24"/>
          <w:szCs w:val="24"/>
          <w:lang w:val="en-US"/>
        </w:rPr>
        <w:t>of 0.25 m</w:t>
      </w:r>
      <w:r w:rsidRPr="00663938">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p w14:paraId="122684CD" w14:textId="76A97027" w:rsidR="00663938" w:rsidRDefault="00663938" w:rsidP="0093496C">
      <w:pPr>
        <w:spacing w:after="0" w:line="360" w:lineRule="auto"/>
        <w:rPr>
          <w:rFonts w:ascii="Times New Roman" w:hAnsi="Times New Roman" w:cs="Times New Roman"/>
          <w:b/>
          <w:bCs/>
          <w:sz w:val="24"/>
          <w:szCs w:val="24"/>
          <w:lang w:val="en-US"/>
        </w:rPr>
      </w:pPr>
      <w:r w:rsidRPr="00663938">
        <w:rPr>
          <w:rFonts w:ascii="Times New Roman" w:hAnsi="Times New Roman" w:cs="Times New Roman"/>
          <w:b/>
          <w:bCs/>
          <w:sz w:val="24"/>
          <w:szCs w:val="24"/>
          <w:lang w:val="en-US"/>
        </w:rPr>
        <w:t>Results and discussion</w:t>
      </w:r>
    </w:p>
    <w:p w14:paraId="56C6A2C1" w14:textId="77777777" w:rsidR="00663938" w:rsidRPr="002A25BB" w:rsidRDefault="00663938" w:rsidP="00663938">
      <w:pPr>
        <w:spacing w:after="0" w:line="360" w:lineRule="auto"/>
        <w:rPr>
          <w:rFonts w:ascii="Times New Roman" w:hAnsi="Times New Roman" w:cs="Times New Roman"/>
          <w:b/>
          <w:bCs/>
          <w:sz w:val="24"/>
          <w:szCs w:val="24"/>
        </w:rPr>
      </w:pPr>
    </w:p>
    <w:p w14:paraId="3801396E" w14:textId="77777777" w:rsidR="00BA6558" w:rsidRPr="00BA6558" w:rsidRDefault="00BA6558" w:rsidP="00BA6558">
      <w:pPr>
        <w:tabs>
          <w:tab w:val="left" w:pos="1276"/>
        </w:tabs>
        <w:spacing w:line="360" w:lineRule="auto"/>
        <w:jc w:val="both"/>
        <w:rPr>
          <w:rFonts w:ascii="Times New Roman" w:hAnsi="Times New Roman" w:cs="Times New Roman"/>
          <w:b/>
          <w:bCs/>
          <w:i/>
          <w:iCs/>
          <w:sz w:val="24"/>
          <w:szCs w:val="24"/>
        </w:rPr>
      </w:pPr>
      <w:r w:rsidRPr="00BA6558">
        <w:rPr>
          <w:rFonts w:ascii="Times New Roman" w:hAnsi="Times New Roman" w:cs="Times New Roman"/>
          <w:b/>
          <w:bCs/>
          <w:i/>
          <w:iCs/>
          <w:sz w:val="24"/>
          <w:szCs w:val="24"/>
        </w:rPr>
        <w:t>Weed density and infestation</w:t>
      </w:r>
    </w:p>
    <w:p w14:paraId="22050BDA" w14:textId="69521273" w:rsidR="00BA6558" w:rsidRPr="00D861A9" w:rsidRDefault="00BA6558" w:rsidP="00BA6558">
      <w:p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on weed density and weed infestation is presented in Table 1. Weed management treatments significantly influenced the weed density throughout the experimental period. </w:t>
      </w:r>
      <w:r w:rsidRPr="00D861A9">
        <w:rPr>
          <w:rFonts w:ascii="Times New Roman" w:hAnsi="Times New Roman" w:cs="Times New Roman"/>
          <w:sz w:val="24"/>
          <w:szCs w:val="24"/>
        </w:rPr>
        <w:t>At 50 DAS and harvest stages, the minimum weed density (5.78 and 4.33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was obtained when two hand weeding were done at 20 and 40 DAS. However, it was found at par with pre-emergence application of </w:t>
      </w:r>
      <w:proofErr w:type="spellStart"/>
      <w:r w:rsidRPr="00D861A9">
        <w:rPr>
          <w:rFonts w:ascii="Times New Roman" w:hAnsi="Times New Roman" w:cs="Times New Roman"/>
          <w:sz w:val="24"/>
          <w:szCs w:val="24"/>
        </w:rPr>
        <w:t>imaz</w:t>
      </w:r>
      <w:proofErr w:type="spellEnd"/>
      <w:r w:rsidRPr="00D861A9">
        <w:rPr>
          <w:rFonts w:ascii="Times New Roman" w:hAnsi="Times New Roman" w:cs="Times New Roman"/>
          <w:sz w:val="24"/>
          <w:szCs w:val="24"/>
          <w:lang w:val="pt-BR"/>
        </w:rPr>
        <w:t>ethapyr</w:t>
      </w:r>
      <w:r w:rsidRPr="00D861A9">
        <w:rPr>
          <w:rFonts w:ascii="Times New Roman" w:hAnsi="Times New Roman" w:cs="Times New Roman"/>
          <w:sz w:val="24"/>
          <w:szCs w:val="24"/>
        </w:rPr>
        <w:t xml:space="preserve"> at 0.15 kg</w:t>
      </w:r>
      <w:r w:rsidR="003B5603">
        <w:rPr>
          <w:rFonts w:ascii="Times New Roman" w:hAnsi="Times New Roman" w:cs="Times New Roman"/>
          <w:sz w:val="24"/>
          <w:szCs w:val="24"/>
        </w:rPr>
        <w:t xml:space="preserve"> </w:t>
      </w:r>
      <w:r w:rsidRPr="00D861A9">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DAS that exhibited weed densities of 5.89 and 4.56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at these stages. These two treatments resulted 91.9 and 91.7 % reduction in weed density at 50 DAS and 92.4 and 92.0 % at harvest stages, respectively in comparison to weedy check plots. This finding is supported by the work of Singh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(2018) and Joshi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(2022) where Hand weeding and imazethapyr recorded significant reduction in weed density. Pre emergence application of alachlor at 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w:t>
      </w:r>
      <w:r w:rsidRPr="00D861A9">
        <w:rPr>
          <w:rFonts w:ascii="Times New Roman" w:hAnsi="Times New Roman" w:cs="Times New Roman"/>
          <w:caps/>
          <w:sz w:val="24"/>
          <w:szCs w:val="24"/>
        </w:rPr>
        <w:t>Das</w:t>
      </w:r>
      <w:r w:rsidRPr="00D861A9">
        <w:rPr>
          <w:rFonts w:ascii="Times New Roman" w:hAnsi="Times New Roman" w:cs="Times New Roman"/>
          <w:sz w:val="24"/>
          <w:szCs w:val="24"/>
        </w:rPr>
        <w:t xml:space="preserve">, one HW at 20 DAS and </w:t>
      </w:r>
      <w:proofErr w:type="spellStart"/>
      <w:r w:rsidRPr="00D861A9">
        <w:rPr>
          <w:rFonts w:ascii="Times New Roman" w:hAnsi="Times New Roman" w:cs="Times New Roman"/>
          <w:sz w:val="24"/>
          <w:szCs w:val="24"/>
        </w:rPr>
        <w:t>imaz</w:t>
      </w:r>
      <w:proofErr w:type="spellEnd"/>
      <w:r w:rsidRPr="00D861A9">
        <w:rPr>
          <w:rFonts w:ascii="Times New Roman" w:hAnsi="Times New Roman" w:cs="Times New Roman"/>
          <w:sz w:val="24"/>
          <w:szCs w:val="24"/>
          <w:lang w:val="pt-BR"/>
        </w:rPr>
        <w:t>ethapyr</w:t>
      </w:r>
      <w:r w:rsidRPr="00D861A9">
        <w:rPr>
          <w:rFonts w:ascii="Times New Roman" w:hAnsi="Times New Roman" w:cs="Times New Roman"/>
          <w:sz w:val="24"/>
          <w:szCs w:val="24"/>
        </w:rPr>
        <w:t xml:space="preserve"> at 0.15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also recorded 89.9, 88.3 and 87.4 % lower weed </w:t>
      </w:r>
      <w:r w:rsidRPr="00D861A9">
        <w:rPr>
          <w:rFonts w:ascii="Times New Roman" w:hAnsi="Times New Roman" w:cs="Times New Roman"/>
          <w:sz w:val="24"/>
          <w:szCs w:val="24"/>
        </w:rPr>
        <w:lastRenderedPageBreak/>
        <w:t xml:space="preserve">population at 50 DAS and 90.9, 87.3 and 86.4 % at harvest stages, respectively than weedy check treatment. Similar findings were reported by Sujithra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(2018). Throughout the experiment, the highest weed density was reported in Dhaka </w:t>
      </w:r>
      <w:r w:rsidRPr="00D861A9">
        <w:rPr>
          <w:rFonts w:ascii="Times New Roman" w:hAnsi="Times New Roman" w:cs="Times New Roman"/>
          <w:i/>
          <w:iCs/>
          <w:sz w:val="24"/>
          <w:szCs w:val="24"/>
        </w:rPr>
        <w:t xml:space="preserve">et al. </w:t>
      </w:r>
      <w:r w:rsidRPr="00D861A9">
        <w:rPr>
          <w:rFonts w:ascii="Times New Roman" w:hAnsi="Times New Roman" w:cs="Times New Roman"/>
          <w:sz w:val="24"/>
          <w:szCs w:val="24"/>
        </w:rPr>
        <w:t>(</w:t>
      </w:r>
      <w:commentRangeStart w:id="5"/>
      <w:r w:rsidRPr="00D861A9">
        <w:rPr>
          <w:rFonts w:ascii="Times New Roman" w:hAnsi="Times New Roman" w:cs="Times New Roman"/>
          <w:sz w:val="24"/>
          <w:szCs w:val="24"/>
        </w:rPr>
        <w:t>2014</w:t>
      </w:r>
      <w:commentRangeEnd w:id="5"/>
      <w:r w:rsidR="00E92A49">
        <w:rPr>
          <w:rStyle w:val="CommentReference"/>
        </w:rPr>
        <w:commentReference w:id="5"/>
      </w:r>
      <w:r w:rsidRPr="00D861A9">
        <w:rPr>
          <w:rFonts w:ascii="Times New Roman" w:hAnsi="Times New Roman" w:cs="Times New Roman"/>
          <w:sz w:val="24"/>
          <w:szCs w:val="24"/>
        </w:rPr>
        <w:t xml:space="preserve">). Nitrogen levels did not produce any significant result in terms of weed density at 50 DAS. However, at harvest stage, </w:t>
      </w:r>
      <w:r w:rsidRPr="00D861A9">
        <w:rPr>
          <w:rFonts w:ascii="Times New Roman" w:hAnsi="Times New Roman" w:cs="Times New Roman"/>
          <w:bCs/>
          <w:sz w:val="24"/>
          <w:szCs w:val="24"/>
          <w:lang w:val="en-US"/>
        </w:rPr>
        <w:t>application of N at 40 kg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recorded the highest weed density of 14.60 m</w:t>
      </w:r>
      <w:r w:rsidRPr="00D861A9">
        <w:rPr>
          <w:rFonts w:ascii="Times New Roman" w:hAnsi="Times New Roman" w:cs="Times New Roman"/>
          <w:bCs/>
          <w:sz w:val="24"/>
          <w:szCs w:val="24"/>
          <w:vertAlign w:val="superscript"/>
          <w:lang w:val="en-US"/>
        </w:rPr>
        <w:t>-2</w:t>
      </w:r>
      <w:r w:rsidRPr="00D861A9">
        <w:rPr>
          <w:rFonts w:ascii="Times New Roman" w:hAnsi="Times New Roman" w:cs="Times New Roman"/>
          <w:bCs/>
          <w:sz w:val="24"/>
          <w:szCs w:val="24"/>
          <w:lang w:val="en-US"/>
        </w:rPr>
        <w:t xml:space="preserve"> that was 25.4 % higher than control. However, it was found statistically similar with 20 kg N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Similar findings were reported by Kamani </w:t>
      </w:r>
      <w:r w:rsidRPr="00D861A9">
        <w:rPr>
          <w:rFonts w:ascii="Times New Roman" w:hAnsi="Times New Roman" w:cs="Times New Roman"/>
          <w:bCs/>
          <w:i/>
          <w:iCs/>
          <w:sz w:val="24"/>
          <w:szCs w:val="24"/>
          <w:lang w:val="en-US"/>
        </w:rPr>
        <w:t xml:space="preserve">et al. </w:t>
      </w:r>
      <w:r w:rsidRPr="00D861A9">
        <w:rPr>
          <w:rFonts w:ascii="Times New Roman" w:hAnsi="Times New Roman" w:cs="Times New Roman"/>
          <w:bCs/>
          <w:sz w:val="24"/>
          <w:szCs w:val="24"/>
          <w:lang w:val="en-US"/>
        </w:rPr>
        <w:t xml:space="preserve">(2022). </w:t>
      </w:r>
    </w:p>
    <w:p w14:paraId="36A46A56" w14:textId="0B65AB3F" w:rsidR="00BA6558" w:rsidRPr="00D861A9" w:rsidRDefault="00BA6558" w:rsidP="00BA6558">
      <w:pPr>
        <w:tabs>
          <w:tab w:val="left" w:pos="1276"/>
        </w:tabs>
        <w:spacing w:line="360" w:lineRule="auto"/>
        <w:ind w:firstLine="720"/>
        <w:jc w:val="both"/>
        <w:rPr>
          <w:rFonts w:ascii="Times New Roman" w:hAnsi="Times New Roman" w:cs="Times New Roman"/>
          <w:bCs/>
          <w:sz w:val="24"/>
          <w:szCs w:val="24"/>
          <w:lang w:val="en-US"/>
        </w:rPr>
      </w:pPr>
      <w:r w:rsidRPr="00D861A9">
        <w:rPr>
          <w:rFonts w:ascii="Times New Roman" w:hAnsi="Times New Roman" w:cs="Times New Roman"/>
          <w:bCs/>
          <w:sz w:val="24"/>
          <w:szCs w:val="24"/>
          <w:lang w:val="en-US"/>
        </w:rPr>
        <w:t>The perusal data on weed infestation as influenced by weed management treatments and nitrogen levels is presented in Table 1. T</w:t>
      </w:r>
      <w:r w:rsidRPr="00B4111E">
        <w:rPr>
          <w:rFonts w:ascii="Times New Roman" w:hAnsi="Times New Roman" w:cs="Times New Roman"/>
          <w:bCs/>
          <w:sz w:val="24"/>
          <w:szCs w:val="24"/>
          <w:lang w:val="en-US"/>
        </w:rPr>
        <w:t xml:space="preserve">wo hand weeding at 20 and 40 DAS witnessed the lowest weed infestation (40.68 and 34.82%) at 50 DAS and harvest stages. It was very closely accompanied by </w:t>
      </w:r>
      <w:r w:rsidRPr="00D861A9">
        <w:rPr>
          <w:rFonts w:ascii="Times New Roman" w:hAnsi="Times New Roman" w:cs="Times New Roman"/>
          <w:bCs/>
          <w:sz w:val="24"/>
          <w:szCs w:val="24"/>
          <w:lang w:val="en-US"/>
        </w:rPr>
        <w:t>pre-emergence</w:t>
      </w:r>
      <w:r w:rsidRPr="00B4111E">
        <w:rPr>
          <w:rFonts w:ascii="Times New Roman" w:hAnsi="Times New Roman" w:cs="Times New Roman"/>
          <w:bCs/>
          <w:sz w:val="24"/>
          <w:szCs w:val="24"/>
          <w:lang w:val="en-US"/>
        </w:rPr>
        <w:t xml:space="preserve"> application of </w:t>
      </w:r>
      <w:proofErr w:type="spellStart"/>
      <w:r w:rsidRPr="00B4111E">
        <w:rPr>
          <w:rFonts w:ascii="Times New Roman" w:hAnsi="Times New Roman" w:cs="Times New Roman"/>
          <w:bCs/>
          <w:sz w:val="24"/>
          <w:szCs w:val="24"/>
          <w:lang w:val="en-US"/>
        </w:rPr>
        <w:t>imaz</w:t>
      </w:r>
      <w:proofErr w:type="spellEnd"/>
      <w:r w:rsidRPr="00B4111E">
        <w:rPr>
          <w:rFonts w:ascii="Times New Roman" w:hAnsi="Times New Roman" w:cs="Times New Roman"/>
          <w:bCs/>
          <w:sz w:val="24"/>
          <w:szCs w:val="24"/>
          <w:lang w:val="pt-BR"/>
        </w:rPr>
        <w:t>ethapyr</w:t>
      </w:r>
      <w:r w:rsidRPr="00B4111E">
        <w:rPr>
          <w:rFonts w:ascii="Times New Roman" w:hAnsi="Times New Roman" w:cs="Times New Roman"/>
          <w:bCs/>
          <w:sz w:val="24"/>
          <w:szCs w:val="24"/>
          <w:lang w:val="en-US"/>
        </w:rPr>
        <w:t xml:space="preserve"> at 0.15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 HW at 30 DAS (40.94 and 35.70</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 xml:space="preserve">%). These two-treatment recorded 49.6 and 49.3 </w:t>
      </w:r>
      <w:r w:rsidRPr="00D861A9">
        <w:rPr>
          <w:rFonts w:ascii="Times New Roman" w:hAnsi="Times New Roman" w:cs="Times New Roman"/>
          <w:bCs/>
          <w:sz w:val="24"/>
          <w:szCs w:val="24"/>
          <w:lang w:val="en-US"/>
        </w:rPr>
        <w:t>%</w:t>
      </w:r>
      <w:r w:rsidRPr="00B4111E">
        <w:rPr>
          <w:rFonts w:ascii="Times New Roman" w:hAnsi="Times New Roman" w:cs="Times New Roman"/>
          <w:bCs/>
          <w:sz w:val="24"/>
          <w:szCs w:val="24"/>
          <w:lang w:val="en-US"/>
        </w:rPr>
        <w:t xml:space="preserve"> lower weed infestation at 50 DAS and 54.7 and 53.7 per cent at harvest stage than </w:t>
      </w:r>
      <w:r w:rsidRPr="00B4111E">
        <w:rPr>
          <w:rFonts w:ascii="Times New Roman" w:hAnsi="Times New Roman" w:cs="Times New Roman"/>
          <w:bCs/>
          <w:sz w:val="24"/>
          <w:szCs w:val="24"/>
          <w:lang w:val="pt-BR"/>
        </w:rPr>
        <w:t>weedy check</w:t>
      </w:r>
      <w:r w:rsidRPr="00B4111E">
        <w:rPr>
          <w:rFonts w:ascii="Times New Roman" w:hAnsi="Times New Roman" w:cs="Times New Roman"/>
          <w:bCs/>
          <w:sz w:val="24"/>
          <w:szCs w:val="24"/>
          <w:lang w:val="en-US"/>
        </w:rPr>
        <w:t xml:space="preserve"> wherein, the maximum weed infestation of 90.28 and 89.47 </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 xml:space="preserve">was obtained at these stages. Reducing the weed infestation by 44.7, 40.3 and 39.4 </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at 50 DAS and 50.7, 41.9 and 40.9 per cent at harvest stage, alachlor at 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 HW at 30 DAS, one HW at 20 DAS and </w:t>
      </w:r>
      <w:proofErr w:type="spellStart"/>
      <w:r w:rsidRPr="00B4111E">
        <w:rPr>
          <w:rFonts w:ascii="Times New Roman" w:hAnsi="Times New Roman" w:cs="Times New Roman"/>
          <w:bCs/>
          <w:sz w:val="24"/>
          <w:szCs w:val="24"/>
          <w:lang w:val="en-US"/>
        </w:rPr>
        <w:t>imaz</w:t>
      </w:r>
      <w:proofErr w:type="spellEnd"/>
      <w:r w:rsidRPr="00B4111E">
        <w:rPr>
          <w:rFonts w:ascii="Times New Roman" w:hAnsi="Times New Roman" w:cs="Times New Roman"/>
          <w:bCs/>
          <w:sz w:val="24"/>
          <w:szCs w:val="24"/>
          <w:lang w:val="pt-BR"/>
        </w:rPr>
        <w:t>ethapyr</w:t>
      </w:r>
      <w:r w:rsidRPr="00B4111E">
        <w:rPr>
          <w:rFonts w:ascii="Times New Roman" w:hAnsi="Times New Roman" w:cs="Times New Roman"/>
          <w:bCs/>
          <w:sz w:val="24"/>
          <w:szCs w:val="24"/>
          <w:lang w:val="en-US"/>
        </w:rPr>
        <w:t xml:space="preserve"> at 0.15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were found to be the next better treatments. </w:t>
      </w:r>
      <w:r w:rsidRPr="00D861A9">
        <w:rPr>
          <w:rFonts w:ascii="Times New Roman" w:hAnsi="Times New Roman" w:cs="Times New Roman"/>
          <w:bCs/>
          <w:sz w:val="24"/>
          <w:szCs w:val="24"/>
          <w:lang w:val="en-US"/>
        </w:rPr>
        <w:t>In case of nitrogen levels, the maximum weed infestation of 55.39 and 51.36 % at 50 DAS and at harvest stages was noted with 40 kg N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that was 4.1 and 4.5 % higher than control. However, it was found statistically at par with 20 kg N</w:t>
      </w:r>
      <w:r w:rsidR="00A66371">
        <w:rPr>
          <w:rFonts w:ascii="Times New Roman" w:hAnsi="Times New Roman" w:cs="Times New Roman"/>
          <w:bCs/>
          <w:sz w:val="24"/>
          <w:szCs w:val="24"/>
          <w:lang w:val="en-US"/>
        </w:rPr>
        <w:t xml:space="preserve"> </w:t>
      </w:r>
      <w:r w:rsidRPr="00D861A9">
        <w:rPr>
          <w:rFonts w:ascii="Times New Roman" w:hAnsi="Times New Roman" w:cs="Times New Roman"/>
          <w:bCs/>
          <w:sz w:val="24"/>
          <w:szCs w:val="24"/>
          <w:lang w:val="en-US"/>
        </w:rPr>
        <w:t>ha</w:t>
      </w:r>
      <w:r w:rsidR="00A66371">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w:t>
      </w:r>
    </w:p>
    <w:p w14:paraId="42B6623A" w14:textId="77777777" w:rsidR="00BA6558" w:rsidRPr="00BA6558" w:rsidRDefault="00BA6558" w:rsidP="00BA6558">
      <w:pPr>
        <w:tabs>
          <w:tab w:val="left" w:pos="1276"/>
        </w:tabs>
        <w:spacing w:line="360" w:lineRule="auto"/>
        <w:jc w:val="both"/>
        <w:rPr>
          <w:rFonts w:ascii="Times New Roman" w:hAnsi="Times New Roman" w:cs="Times New Roman"/>
          <w:b/>
          <w:bCs/>
          <w:i/>
          <w:iCs/>
          <w:sz w:val="24"/>
          <w:szCs w:val="24"/>
        </w:rPr>
      </w:pPr>
      <w:r w:rsidRPr="00BA6558">
        <w:rPr>
          <w:rFonts w:ascii="Times New Roman" w:hAnsi="Times New Roman" w:cs="Times New Roman"/>
          <w:b/>
          <w:bCs/>
          <w:i/>
          <w:iCs/>
          <w:sz w:val="24"/>
          <w:szCs w:val="24"/>
        </w:rPr>
        <w:t>Weed dry weight and weed control efficiency</w:t>
      </w:r>
    </w:p>
    <w:p w14:paraId="69E3297A" w14:textId="0B4EB634" w:rsidR="00BA6558" w:rsidRPr="00D861A9" w:rsidRDefault="00BA6558" w:rsidP="00BA6558">
      <w:p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on weed dry weight and weed control efficiency is presented in Table 1 and 2 respectively. Significant influence of the weed management treatment and </w:t>
      </w:r>
      <w:r w:rsidR="008D1DED">
        <w:rPr>
          <w:rFonts w:ascii="Times New Roman" w:hAnsi="Times New Roman" w:cs="Times New Roman"/>
          <w:sz w:val="24"/>
          <w:szCs w:val="24"/>
        </w:rPr>
        <w:t>nitrogen</w:t>
      </w:r>
      <w:r>
        <w:rPr>
          <w:rFonts w:ascii="Times New Roman" w:hAnsi="Times New Roman" w:cs="Times New Roman"/>
          <w:sz w:val="24"/>
          <w:szCs w:val="24"/>
        </w:rPr>
        <w:t xml:space="preserve"> level could be observed at both stage of observation. </w:t>
      </w:r>
      <w:r w:rsidRPr="00D861A9">
        <w:rPr>
          <w:rFonts w:ascii="Times New Roman" w:hAnsi="Times New Roman" w:cs="Times New Roman"/>
          <w:sz w:val="24"/>
          <w:szCs w:val="24"/>
        </w:rPr>
        <w:t xml:space="preserve">At </w:t>
      </w:r>
      <w:r w:rsidRPr="00D861A9">
        <w:rPr>
          <w:rStyle w:val="Strong"/>
          <w:rFonts w:ascii="Times New Roman" w:hAnsi="Times New Roman" w:cs="Times New Roman"/>
          <w:b w:val="0"/>
          <w:bCs w:val="0"/>
          <w:sz w:val="24"/>
          <w:szCs w:val="24"/>
        </w:rPr>
        <w:t>50 DAS</w:t>
      </w:r>
      <w:r w:rsidRPr="00D861A9">
        <w:rPr>
          <w:rFonts w:ascii="Times New Roman" w:hAnsi="Times New Roman" w:cs="Times New Roman"/>
          <w:sz w:val="24"/>
          <w:szCs w:val="24"/>
        </w:rPr>
        <w:t xml:space="preserve"> the lowest weed dry matter was recorded with </w:t>
      </w:r>
      <w:r w:rsidRPr="00D861A9">
        <w:rPr>
          <w:rStyle w:val="Strong"/>
          <w:rFonts w:ascii="Times New Roman" w:hAnsi="Times New Roman" w:cs="Times New Roman"/>
          <w:b w:val="0"/>
          <w:bCs w:val="0"/>
          <w:sz w:val="24"/>
          <w:szCs w:val="24"/>
        </w:rPr>
        <w:t>imazethapyr @ 0.15 kg ha</w:t>
      </w:r>
      <w:r w:rsidRPr="00D861A9">
        <w:rPr>
          <w:rStyle w:val="Strong"/>
          <w:rFonts w:ascii="Times New Roman" w:eastAsiaTheme="majorEastAsia" w:hAnsi="Times New Roman" w:cs="Times New Roman"/>
          <w:b w:val="0"/>
          <w:bCs w:val="0"/>
          <w:sz w:val="24"/>
          <w:szCs w:val="24"/>
          <w:vertAlign w:val="superscript"/>
        </w:rPr>
        <w:t>-1</w:t>
      </w:r>
      <w:r w:rsidRPr="00D861A9">
        <w:rPr>
          <w:rStyle w:val="Strong"/>
          <w:rFonts w:ascii="Times New Roman" w:hAnsi="Times New Roman" w:cs="Times New Roman"/>
          <w:b w:val="0"/>
          <w:bCs w:val="0"/>
          <w:sz w:val="24"/>
          <w:szCs w:val="24"/>
        </w:rPr>
        <w:t> + one HW at 30 DAS (34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w:t>
      </w:r>
      <w:r w:rsidRPr="00D861A9">
        <w:rPr>
          <w:rFonts w:ascii="Times New Roman" w:hAnsi="Times New Roman" w:cs="Times New Roman"/>
          <w:sz w:val="24"/>
          <w:szCs w:val="24"/>
        </w:rPr>
        <w:t xml:space="preserve">, closely followed by the </w:t>
      </w:r>
      <w:r w:rsidRPr="00D861A9">
        <w:rPr>
          <w:rStyle w:val="Strong"/>
          <w:rFonts w:ascii="Times New Roman" w:eastAsiaTheme="majorEastAsia" w:hAnsi="Times New Roman" w:cs="Times New Roman"/>
          <w:b w:val="0"/>
          <w:bCs w:val="0"/>
          <w:sz w:val="24"/>
          <w:szCs w:val="24"/>
        </w:rPr>
        <w:t xml:space="preserve">two-hand </w:t>
      </w:r>
      <w:r w:rsidRPr="00D861A9">
        <w:rPr>
          <w:rStyle w:val="Strong"/>
          <w:rFonts w:ascii="Times New Roman" w:hAnsi="Times New Roman" w:cs="Times New Roman"/>
          <w:b w:val="0"/>
          <w:bCs w:val="0"/>
          <w:sz w:val="24"/>
          <w:szCs w:val="24"/>
        </w:rPr>
        <w:t>weeding at 20 + 40 DAS (35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w:t>
      </w:r>
      <w:r w:rsidRPr="00D861A9">
        <w:rPr>
          <w:rFonts w:ascii="Times New Roman" w:hAnsi="Times New Roman" w:cs="Times New Roman"/>
          <w:sz w:val="24"/>
          <w:szCs w:val="24"/>
        </w:rPr>
        <w:t xml:space="preserve">. Both treatments were statistically at par and provided </w:t>
      </w:r>
      <w:r w:rsidRPr="00D861A9">
        <w:rPr>
          <w:rStyle w:val="Strong"/>
          <w:rFonts w:ascii="Times New Roman" w:hAnsi="Times New Roman" w:cs="Times New Roman"/>
          <w:b w:val="0"/>
          <w:bCs w:val="0"/>
          <w:sz w:val="24"/>
          <w:szCs w:val="24"/>
        </w:rPr>
        <w:t>weed</w:t>
      </w:r>
      <w:r w:rsidRPr="00D861A9">
        <w:rPr>
          <w:rStyle w:val="Strong"/>
          <w:rFonts w:ascii="Times New Roman" w:eastAsiaTheme="majorEastAsia" w:hAnsi="Times New Roman" w:cs="Times New Roman"/>
          <w:b w:val="0"/>
          <w:bCs w:val="0"/>
          <w:sz w:val="24"/>
          <w:szCs w:val="24"/>
        </w:rPr>
        <w:t xml:space="preserve"> </w:t>
      </w:r>
      <w:r w:rsidRPr="00D861A9">
        <w:rPr>
          <w:rStyle w:val="Strong"/>
          <w:rFonts w:ascii="Times New Roman" w:hAnsi="Times New Roman" w:cs="Times New Roman"/>
          <w:b w:val="0"/>
          <w:bCs w:val="0"/>
          <w:sz w:val="24"/>
          <w:szCs w:val="24"/>
        </w:rPr>
        <w:t>control efficiencies (WCE) of 85.2 % and 83.9 %, respectively</w:t>
      </w:r>
      <w:r w:rsidRPr="00D861A9">
        <w:rPr>
          <w:rFonts w:ascii="Times New Roman" w:hAnsi="Times New Roman" w:cs="Times New Roman"/>
          <w:sz w:val="24"/>
          <w:szCs w:val="24"/>
        </w:rPr>
        <w:t>, representing 84–85 % reduction in biomass relative to the weedy check (218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t>
      </w:r>
      <w:r>
        <w:rPr>
          <w:rFonts w:ascii="Times New Roman" w:hAnsi="Times New Roman" w:cs="Times New Roman"/>
          <w:sz w:val="24"/>
          <w:szCs w:val="24"/>
        </w:rPr>
        <w:t xml:space="preserve">Das </w:t>
      </w:r>
      <w:r>
        <w:rPr>
          <w:rFonts w:ascii="Times New Roman" w:hAnsi="Times New Roman" w:cs="Times New Roman"/>
          <w:i/>
          <w:iCs/>
          <w:sz w:val="24"/>
          <w:szCs w:val="24"/>
        </w:rPr>
        <w:t>et al.</w:t>
      </w:r>
      <w:r>
        <w:rPr>
          <w:rFonts w:ascii="Times New Roman" w:hAnsi="Times New Roman" w:cs="Times New Roman"/>
          <w:sz w:val="24"/>
          <w:szCs w:val="24"/>
        </w:rPr>
        <w:t xml:space="preserve"> (2022) reported similar finding where </w:t>
      </w:r>
      <w:r w:rsidRPr="00B66298">
        <w:rPr>
          <w:rFonts w:ascii="Times New Roman" w:hAnsi="Times New Roman" w:cs="Times New Roman"/>
          <w:sz w:val="24"/>
          <w:szCs w:val="24"/>
        </w:rPr>
        <w:t>double</w:t>
      </w:r>
      <w:r w:rsidRPr="00B66298">
        <w:rPr>
          <w:rFonts w:ascii="Times New Roman" w:hAnsi="Times New Roman" w:cs="Times New Roman"/>
          <w:sz w:val="24"/>
          <w:szCs w:val="24"/>
        </w:rPr>
        <w:noBreakHyphen/>
        <w:t>HW or a PE imazethapyr spray combined with one HW produced the lowest weed biomass and the highest seed yields, with WCE values above 80 %</w:t>
      </w:r>
      <w:r>
        <w:rPr>
          <w:rFonts w:ascii="Times New Roman" w:hAnsi="Times New Roman" w:cs="Times New Roman"/>
          <w:sz w:val="24"/>
          <w:szCs w:val="24"/>
        </w:rPr>
        <w:t xml:space="preserve">. </w:t>
      </w:r>
      <w:r w:rsidRPr="00D861A9">
        <w:rPr>
          <w:rFonts w:ascii="Times New Roman" w:hAnsi="Times New Roman" w:cs="Times New Roman"/>
          <w:sz w:val="24"/>
          <w:szCs w:val="24"/>
        </w:rPr>
        <w:t>Pre</w:t>
      </w:r>
      <w:r>
        <w:rPr>
          <w:rFonts w:ascii="Times New Roman" w:hAnsi="Times New Roman" w:cs="Times New Roman"/>
          <w:sz w:val="24"/>
          <w:szCs w:val="24"/>
        </w:rPr>
        <w:t>-</w:t>
      </w:r>
      <w:r w:rsidRPr="00D861A9">
        <w:rPr>
          <w:rFonts w:ascii="Times New Roman" w:hAnsi="Times New Roman" w:cs="Times New Roman"/>
          <w:sz w:val="24"/>
          <w:szCs w:val="24"/>
        </w:rPr>
        <w:t>emergence application of alachlor at 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w:t>
      </w:r>
      <w:r w:rsidRPr="00D861A9">
        <w:rPr>
          <w:rFonts w:ascii="Times New Roman" w:hAnsi="Times New Roman" w:cs="Times New Roman"/>
          <w:caps/>
          <w:sz w:val="24"/>
          <w:szCs w:val="24"/>
        </w:rPr>
        <w:t>Das</w:t>
      </w:r>
      <w:r w:rsidRPr="00D861A9">
        <w:rPr>
          <w:rFonts w:ascii="Times New Roman" w:hAnsi="Times New Roman" w:cs="Times New Roman"/>
          <w:sz w:val="24"/>
          <w:szCs w:val="24"/>
        </w:rPr>
        <w:t xml:space="preserve"> came next (44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WCE - 80.2 %). Similar trend was also observed at harvest stage where, </w:t>
      </w:r>
      <w:r w:rsidRPr="00D861A9">
        <w:rPr>
          <w:rStyle w:val="Strong"/>
          <w:rFonts w:ascii="Times New Roman" w:hAnsi="Times New Roman" w:cs="Times New Roman"/>
          <w:b w:val="0"/>
          <w:bCs w:val="0"/>
          <w:sz w:val="24"/>
          <w:szCs w:val="24"/>
        </w:rPr>
        <w:t>imazethapyr @ 0.15 kg ha</w:t>
      </w:r>
      <w:r w:rsidRPr="00D861A9">
        <w:rPr>
          <w:rStyle w:val="Strong"/>
          <w:rFonts w:ascii="Times New Roman" w:eastAsiaTheme="majorEastAsia" w:hAnsi="Times New Roman" w:cs="Times New Roman"/>
          <w:b w:val="0"/>
          <w:bCs w:val="0"/>
          <w:sz w:val="24"/>
          <w:szCs w:val="24"/>
          <w:vertAlign w:val="superscript"/>
        </w:rPr>
        <w:t>-1</w:t>
      </w:r>
      <w:r w:rsidRPr="00D861A9">
        <w:rPr>
          <w:rStyle w:val="Strong"/>
          <w:rFonts w:ascii="Times New Roman" w:hAnsi="Times New Roman" w:cs="Times New Roman"/>
          <w:b w:val="0"/>
          <w:bCs w:val="0"/>
          <w:sz w:val="24"/>
          <w:szCs w:val="24"/>
        </w:rPr>
        <w:t xml:space="preserve"> + one HW </w:t>
      </w:r>
      <w:r w:rsidRPr="00D861A9">
        <w:rPr>
          <w:rStyle w:val="Strong"/>
          <w:rFonts w:ascii="Times New Roman" w:hAnsi="Times New Roman" w:cs="Times New Roman"/>
          <w:b w:val="0"/>
          <w:bCs w:val="0"/>
          <w:sz w:val="24"/>
          <w:szCs w:val="24"/>
        </w:rPr>
        <w:lastRenderedPageBreak/>
        <w:t>at 30 DAS</w:t>
      </w:r>
      <w:r w:rsidRPr="00D861A9">
        <w:rPr>
          <w:rFonts w:ascii="Times New Roman" w:hAnsi="Times New Roman" w:cs="Times New Roman"/>
          <w:sz w:val="24"/>
          <w:szCs w:val="24"/>
        </w:rPr>
        <w:t xml:space="preserve"> recorded weed dry weight of </w:t>
      </w:r>
      <w:r w:rsidRPr="00D861A9">
        <w:rPr>
          <w:rStyle w:val="Strong"/>
          <w:rFonts w:ascii="Times New Roman" w:hAnsi="Times New Roman" w:cs="Times New Roman"/>
          <w:b w:val="0"/>
          <w:bCs w:val="0"/>
          <w:sz w:val="24"/>
          <w:szCs w:val="24"/>
        </w:rPr>
        <w:t>48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 xml:space="preserve"> </w:t>
      </w:r>
      <w:r w:rsidRPr="00D861A9">
        <w:rPr>
          <w:rStyle w:val="Strong"/>
          <w:rFonts w:ascii="Times New Roman" w:eastAsiaTheme="majorEastAsia" w:hAnsi="Times New Roman" w:cs="Times New Roman"/>
          <w:b w:val="0"/>
          <w:bCs w:val="0"/>
          <w:sz w:val="24"/>
          <w:szCs w:val="24"/>
        </w:rPr>
        <w:t xml:space="preserve">and </w:t>
      </w:r>
      <w:r w:rsidRPr="00D861A9">
        <w:rPr>
          <w:rStyle w:val="Strong"/>
          <w:rFonts w:ascii="Times New Roman" w:hAnsi="Times New Roman" w:cs="Times New Roman"/>
          <w:b w:val="0"/>
          <w:bCs w:val="0"/>
          <w:sz w:val="24"/>
          <w:szCs w:val="24"/>
        </w:rPr>
        <w:t>WCE </w:t>
      </w:r>
      <w:r w:rsidRPr="00D861A9">
        <w:rPr>
          <w:rStyle w:val="Strong"/>
          <w:rFonts w:ascii="Times New Roman" w:eastAsiaTheme="majorEastAsia" w:hAnsi="Times New Roman" w:cs="Times New Roman"/>
          <w:b w:val="0"/>
          <w:bCs w:val="0"/>
          <w:sz w:val="24"/>
          <w:szCs w:val="24"/>
        </w:rPr>
        <w:t xml:space="preserve">of </w:t>
      </w:r>
      <w:r w:rsidRPr="00D861A9">
        <w:rPr>
          <w:rStyle w:val="Strong"/>
          <w:rFonts w:ascii="Times New Roman" w:hAnsi="Times New Roman" w:cs="Times New Roman"/>
          <w:b w:val="0"/>
          <w:bCs w:val="0"/>
          <w:sz w:val="24"/>
          <w:szCs w:val="24"/>
        </w:rPr>
        <w:t>82.9 %</w:t>
      </w:r>
      <w:r w:rsidRPr="00D861A9">
        <w:rPr>
          <w:rFonts w:ascii="Times New Roman" w:hAnsi="Times New Roman" w:cs="Times New Roman"/>
          <w:sz w:val="24"/>
          <w:szCs w:val="24"/>
        </w:rPr>
        <w:t>. Weedy check resulted in the highest dry weight (218.45 and 265.15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and lowest WCE (71.58 and 72.22%) at 50 DAS and harvest, respectively.</w:t>
      </w:r>
    </w:p>
    <w:p w14:paraId="4ABB286D" w14:textId="77777777" w:rsidR="00BA6558" w:rsidRPr="00B66298" w:rsidRDefault="00BA6558" w:rsidP="00BA6558">
      <w:pPr>
        <w:pStyle w:val="NormalWeb"/>
        <w:tabs>
          <w:tab w:val="left" w:pos="1276"/>
        </w:tabs>
        <w:spacing w:line="360" w:lineRule="auto"/>
        <w:ind w:firstLine="720"/>
        <w:jc w:val="both"/>
      </w:pPr>
      <w:r w:rsidRPr="00D861A9">
        <w:t>Under nitrogen levels, increase in weed dry weight was observed during both days of observation, with the increase in N level. The highest dry weight at 50 DAS (81.29 g m</w:t>
      </w:r>
      <w:r w:rsidRPr="00D861A9">
        <w:rPr>
          <w:vertAlign w:val="superscript"/>
        </w:rPr>
        <w:t>-2</w:t>
      </w:r>
      <w:r w:rsidRPr="00D861A9">
        <w:t>) and harvest (101.38 g m</w:t>
      </w:r>
      <w:r w:rsidRPr="00D861A9">
        <w:rPr>
          <w:vertAlign w:val="superscript"/>
        </w:rPr>
        <w:t>-2</w:t>
      </w:r>
      <w:r w:rsidRPr="00D861A9">
        <w:t>) was recorded under 40 kg N ha</w:t>
      </w:r>
      <w:r w:rsidRPr="00D861A9">
        <w:rPr>
          <w:vertAlign w:val="superscript"/>
        </w:rPr>
        <w:t>-1</w:t>
      </w:r>
      <w:r w:rsidRPr="00D861A9">
        <w:t>.</w:t>
      </w:r>
      <w:r>
        <w:t xml:space="preserve"> No significant effect of nitrogen level was observed under WCE during both days of observation. Similar finding was reported by Daniya </w:t>
      </w:r>
      <w:r>
        <w:rPr>
          <w:i/>
          <w:iCs/>
        </w:rPr>
        <w:t>et al.</w:t>
      </w:r>
      <w:r>
        <w:t xml:space="preserve"> (2014) </w:t>
      </w:r>
      <w:r w:rsidRPr="00B66298">
        <w:t>where higher N levels stimulate nitrophilous weed species more than the sesame crop itself</w:t>
      </w:r>
      <w:r>
        <w:t>.</w:t>
      </w:r>
    </w:p>
    <w:p w14:paraId="090AC826" w14:textId="77777777" w:rsidR="00BA6558" w:rsidRPr="00BA6558" w:rsidRDefault="00BA6558" w:rsidP="00BA6558">
      <w:pPr>
        <w:pStyle w:val="NormalWeb"/>
        <w:tabs>
          <w:tab w:val="left" w:pos="1276"/>
        </w:tabs>
        <w:spacing w:line="360" w:lineRule="auto"/>
        <w:jc w:val="both"/>
        <w:rPr>
          <w:b/>
          <w:bCs/>
          <w:i/>
          <w:iCs/>
        </w:rPr>
      </w:pPr>
      <w:r w:rsidRPr="00BA6558">
        <w:rPr>
          <w:b/>
          <w:bCs/>
          <w:i/>
          <w:iCs/>
        </w:rPr>
        <w:t>Growth and yield parameters</w:t>
      </w:r>
    </w:p>
    <w:p w14:paraId="55B4140F" w14:textId="77777777" w:rsidR="00BA6558" w:rsidRDefault="00BA6558" w:rsidP="00BA6558">
      <w:pPr>
        <w:pStyle w:val="NormalWeb"/>
        <w:tabs>
          <w:tab w:val="left" w:pos="1276"/>
        </w:tabs>
        <w:spacing w:line="360" w:lineRule="auto"/>
        <w:jc w:val="both"/>
      </w:pPr>
      <w:r w:rsidRPr="00C20389">
        <w:t>Data on plant height and seed yield is presented in Fig. 1 and 2.</w:t>
      </w:r>
      <w:r>
        <w:t>,</w:t>
      </w:r>
      <w:r w:rsidRPr="00C20389">
        <w:t xml:space="preserve"> </w:t>
      </w:r>
      <w:r>
        <w:t>r</w:t>
      </w:r>
      <w:r w:rsidRPr="00C20389">
        <w:t>espectively. At 50 DAS, the weedy check (W</w:t>
      </w:r>
      <w:r w:rsidRPr="00C20389">
        <w:rPr>
          <w:vertAlign w:val="subscript"/>
        </w:rPr>
        <w:t>1</w:t>
      </w:r>
      <w:r w:rsidRPr="00C20389">
        <w:t>) produced the shortest sesame plants</w:t>
      </w:r>
      <w:r>
        <w:t xml:space="preserve"> (</w:t>
      </w:r>
      <w:r w:rsidRPr="00C20389">
        <w:t>8</w:t>
      </w:r>
      <w:r>
        <w:t>6.09</w:t>
      </w:r>
      <w:r w:rsidRPr="00C20389">
        <w:t> cm</w:t>
      </w:r>
      <w:r>
        <w:t>)</w:t>
      </w:r>
      <w:r w:rsidRPr="00C20389">
        <w:t xml:space="preserve">. </w:t>
      </w:r>
      <w:r>
        <w:t>weed management treatments significantly influenced the plant height,</w:t>
      </w:r>
      <w:r w:rsidRPr="00C20389">
        <w:t xml:space="preserve"> with </w:t>
      </w:r>
      <w:r w:rsidRPr="00D861A9">
        <w:rPr>
          <w:rStyle w:val="Strong"/>
          <w:rFonts w:eastAsiaTheme="majorEastAsia"/>
          <w:b w:val="0"/>
          <w:bCs w:val="0"/>
        </w:rPr>
        <w:t>imazethapyr @ 0.15 kg ha</w:t>
      </w:r>
      <w:r w:rsidRPr="00D861A9">
        <w:rPr>
          <w:rStyle w:val="Strong"/>
          <w:rFonts w:eastAsiaTheme="majorEastAsia"/>
          <w:b w:val="0"/>
          <w:bCs w:val="0"/>
          <w:vertAlign w:val="superscript"/>
        </w:rPr>
        <w:t>-1</w:t>
      </w:r>
      <w:r w:rsidRPr="00D861A9">
        <w:rPr>
          <w:rStyle w:val="Strong"/>
          <w:rFonts w:eastAsiaTheme="majorEastAsia"/>
          <w:b w:val="0"/>
          <w:bCs w:val="0"/>
        </w:rPr>
        <w:t> + one HW at 30 DAS</w:t>
      </w:r>
      <w:r w:rsidRPr="00C20389">
        <w:t xml:space="preserve"> </w:t>
      </w:r>
      <w:r>
        <w:t>(W</w:t>
      </w:r>
      <w:r>
        <w:rPr>
          <w:vertAlign w:val="subscript"/>
        </w:rPr>
        <w:t>7</w:t>
      </w:r>
      <w:r>
        <w:t xml:space="preserve">) recording the </w:t>
      </w:r>
      <w:r w:rsidRPr="00C20389">
        <w:t xml:space="preserve">tallest </w:t>
      </w:r>
      <w:r>
        <w:t>plant (143.05 cm)</w:t>
      </w:r>
      <w:r w:rsidRPr="00C20389">
        <w:t xml:space="preserve">, </w:t>
      </w:r>
      <w:r>
        <w:t>which w</w:t>
      </w:r>
      <w:r w:rsidRPr="00C20389">
        <w:t>a</w:t>
      </w:r>
      <w:r>
        <w:t>s</w:t>
      </w:r>
      <w:r w:rsidRPr="00C20389">
        <w:t xml:space="preserve"> </w:t>
      </w:r>
      <w:r>
        <w:t xml:space="preserve">approx. </w:t>
      </w:r>
      <w:r w:rsidRPr="00C20389">
        <w:t>60 % gain over W</w:t>
      </w:r>
      <w:r w:rsidRPr="00C20389">
        <w:rPr>
          <w:vertAlign w:val="subscript"/>
        </w:rPr>
        <w:t>1</w:t>
      </w:r>
      <w:r>
        <w:t xml:space="preserve"> (fig. 1)</w:t>
      </w:r>
      <w:r w:rsidRPr="00C20389">
        <w:t xml:space="preserve">. </w:t>
      </w:r>
      <w:r>
        <w:t>This was followed by W</w:t>
      </w:r>
      <w:r>
        <w:rPr>
          <w:vertAlign w:val="subscript"/>
        </w:rPr>
        <w:t>3</w:t>
      </w:r>
      <w:r>
        <w:t xml:space="preserve"> (139.27 cm) and W</w:t>
      </w:r>
      <w:r>
        <w:rPr>
          <w:vertAlign w:val="subscript"/>
        </w:rPr>
        <w:t xml:space="preserve">5 </w:t>
      </w:r>
      <w:r>
        <w:t>(128.07 cm). Similarly, at harvest stage, t</w:t>
      </w:r>
      <w:r w:rsidRPr="00C20389">
        <w:t xml:space="preserve">he same </w:t>
      </w:r>
      <w:r>
        <w:t>trend was observed where,</w:t>
      </w:r>
      <w:r w:rsidRPr="00C20389">
        <w:t xml:space="preserve"> W</w:t>
      </w:r>
      <w:r w:rsidRPr="00C20389">
        <w:rPr>
          <w:vertAlign w:val="subscript"/>
        </w:rPr>
        <w:t>7</w:t>
      </w:r>
      <w:r w:rsidRPr="00C20389">
        <w:t xml:space="preserve"> and W</w:t>
      </w:r>
      <w:r w:rsidRPr="00C20389">
        <w:rPr>
          <w:vertAlign w:val="subscript"/>
        </w:rPr>
        <w:t>3</w:t>
      </w:r>
      <w:r w:rsidRPr="00C20389">
        <w:t xml:space="preserve"> maintained the tallest </w:t>
      </w:r>
      <w:r>
        <w:t>height 155.84 and 146.86 cm, respectively. This could be due to the e</w:t>
      </w:r>
      <w:r w:rsidRPr="00C20389">
        <w:t>arly</w:t>
      </w:r>
      <w:r>
        <w:t xml:space="preserve"> </w:t>
      </w:r>
      <w:r w:rsidRPr="00C20389">
        <w:t>season height boosts under effective weed control have been reported by Singh </w:t>
      </w:r>
      <w:r w:rsidRPr="00C20389">
        <w:rPr>
          <w:i/>
          <w:iCs/>
        </w:rPr>
        <w:t>et al</w:t>
      </w:r>
      <w:r w:rsidRPr="00C20389">
        <w:t>. (2019) and Joshi </w:t>
      </w:r>
      <w:r w:rsidRPr="00C20389">
        <w:rPr>
          <w:i/>
          <w:iCs/>
        </w:rPr>
        <w:t>et al</w:t>
      </w:r>
      <w:r w:rsidRPr="00C20389">
        <w:t>. (2021), who attribute the response to reduced early competition.</w:t>
      </w:r>
      <w:r>
        <w:t xml:space="preserve"> </w:t>
      </w:r>
      <w:r w:rsidRPr="00C20389">
        <w:t>These increments align with Sujithra </w:t>
      </w:r>
      <w:r w:rsidRPr="00C20389">
        <w:rPr>
          <w:i/>
          <w:iCs/>
        </w:rPr>
        <w:t>et al</w:t>
      </w:r>
      <w:r w:rsidRPr="00C20389">
        <w:t>.</w:t>
      </w:r>
      <w:proofErr w:type="gramStart"/>
      <w:r w:rsidRPr="00C20389">
        <w:t> (</w:t>
      </w:r>
      <w:proofErr w:type="gramEnd"/>
      <w:r w:rsidRPr="00C20389">
        <w:t xml:space="preserve">2020), who found that integrated weed management in sesame extended internode length and accelerated node production, culminating in a </w:t>
      </w:r>
      <w:commentRangeStart w:id="6"/>
      <w:r w:rsidRPr="00C20389">
        <w:t>30–40 cm height advantage</w:t>
      </w:r>
      <w:commentRangeEnd w:id="6"/>
      <w:r w:rsidR="00277CB7">
        <w:rPr>
          <w:rStyle w:val="CommentReference"/>
          <w:rFonts w:asciiTheme="minorHAnsi" w:eastAsiaTheme="minorHAnsi" w:hAnsiTheme="minorHAnsi" w:cstheme="minorBidi"/>
          <w:kern w:val="2"/>
          <w:lang w:eastAsia="en-US"/>
          <w14:ligatures w14:val="standardContextual"/>
        </w:rPr>
        <w:commentReference w:id="6"/>
      </w:r>
      <w:r>
        <w:t xml:space="preserve">. </w:t>
      </w:r>
    </w:p>
    <w:p w14:paraId="7492816D" w14:textId="78725545" w:rsidR="00BA6558" w:rsidRDefault="00BA6558" w:rsidP="00BA6558">
      <w:pPr>
        <w:pStyle w:val="NormalWeb"/>
        <w:tabs>
          <w:tab w:val="left" w:pos="1276"/>
        </w:tabs>
        <w:spacing w:line="360" w:lineRule="auto"/>
        <w:jc w:val="both"/>
      </w:pPr>
      <w:r>
        <w:tab/>
        <w:t>Nitrogen level also significantly influenced the plant height of sesame. It was observed throughout the experimental period that higher rates of nitrogen correspond to increased plant height. Application of 40 kg N ha</w:t>
      </w:r>
      <w:r>
        <w:rPr>
          <w:vertAlign w:val="superscript"/>
        </w:rPr>
        <w:t>-1</w:t>
      </w:r>
      <w:r>
        <w:t xml:space="preserve"> resulted in the tallest plant height both at 50 DAS (129.32 cm) and harvest (139.70 cm). </w:t>
      </w:r>
      <w:r w:rsidRPr="00C20389">
        <w:t>Th</w:t>
      </w:r>
      <w:r>
        <w:t>ese</w:t>
      </w:r>
      <w:r w:rsidRPr="00C20389">
        <w:t xml:space="preserve"> </w:t>
      </w:r>
      <w:r>
        <w:t xml:space="preserve">findings align with the work of </w:t>
      </w:r>
      <w:r w:rsidRPr="00C20389">
        <w:t>Kamani </w:t>
      </w:r>
      <w:r w:rsidRPr="00C20389">
        <w:rPr>
          <w:i/>
          <w:iCs/>
        </w:rPr>
        <w:t>et al</w:t>
      </w:r>
      <w:r w:rsidRPr="00C20389">
        <w:t xml:space="preserve">. (2022), </w:t>
      </w:r>
      <w:r>
        <w:t xml:space="preserve">where they observed </w:t>
      </w:r>
      <w:r w:rsidRPr="00C20389">
        <w:t>linear 10–15 cm increase in sesame height for each additional 20 kg N ha</w:t>
      </w:r>
      <w:r>
        <w:rPr>
          <w:vertAlign w:val="superscript"/>
        </w:rPr>
        <w:t>-1</w:t>
      </w:r>
      <w:r w:rsidRPr="00C20389">
        <w:t xml:space="preserve"> up to 40 kg N ha</w:t>
      </w:r>
      <w:r>
        <w:rPr>
          <w:vertAlign w:val="superscript"/>
        </w:rPr>
        <w:t>-1</w:t>
      </w:r>
      <w:r w:rsidRPr="00C20389">
        <w:t>, likely due to augmented chlorophyll production and leaf</w:t>
      </w:r>
      <w:r w:rsidRPr="00C20389">
        <w:noBreakHyphen/>
        <w:t>area expansion.</w:t>
      </w:r>
    </w:p>
    <w:p w14:paraId="337C2E01" w14:textId="77777777" w:rsidR="00BA6558" w:rsidRDefault="00BA6558" w:rsidP="00BA6558">
      <w:pPr>
        <w:pStyle w:val="NormalWeb"/>
        <w:tabs>
          <w:tab w:val="left" w:pos="1276"/>
        </w:tabs>
        <w:spacing w:line="360" w:lineRule="auto"/>
        <w:jc w:val="both"/>
      </w:pPr>
      <w:r>
        <w:tab/>
        <w:t xml:space="preserve">Weed management treatment and nitrogen level also significantly influenced the seed yield (Fig. 2). Effective weed suppression translated directly into higher seed yield. The </w:t>
      </w:r>
      <w:r>
        <w:lastRenderedPageBreak/>
        <w:t>weedy check produced only about 520 kg ha</w:t>
      </w:r>
      <w:r>
        <w:rPr>
          <w:vertAlign w:val="superscript"/>
        </w:rPr>
        <w:t>-1</w:t>
      </w:r>
      <w:r>
        <w:t>, whereas the highest yield of 855 kg ha</w:t>
      </w:r>
      <w:r>
        <w:rPr>
          <w:vertAlign w:val="superscript"/>
        </w:rPr>
        <w:t>-1</w:t>
      </w:r>
      <w:r>
        <w:t xml:space="preserve"> was recorded with </w:t>
      </w:r>
      <w:r w:rsidRPr="00D861A9">
        <w:rPr>
          <w:rStyle w:val="Strong"/>
          <w:rFonts w:eastAsiaTheme="majorEastAsia"/>
          <w:b w:val="0"/>
          <w:bCs w:val="0"/>
        </w:rPr>
        <w:t>imazethapyr @ 0.15 kg ha</w:t>
      </w:r>
      <w:r w:rsidRPr="00D861A9">
        <w:rPr>
          <w:rStyle w:val="Strong"/>
          <w:rFonts w:eastAsiaTheme="majorEastAsia"/>
          <w:b w:val="0"/>
          <w:bCs w:val="0"/>
          <w:vertAlign w:val="superscript"/>
        </w:rPr>
        <w:t>-1</w:t>
      </w:r>
      <w:r w:rsidRPr="00D861A9">
        <w:rPr>
          <w:rStyle w:val="Strong"/>
          <w:rFonts w:eastAsiaTheme="majorEastAsia"/>
          <w:b w:val="0"/>
          <w:bCs w:val="0"/>
        </w:rPr>
        <w:t> + one HW at 30 DAS</w:t>
      </w:r>
      <w:r>
        <w:t>, followed by two-hand weeding at 20 and 40 DAS (818 kg ha</w:t>
      </w:r>
      <w:r>
        <w:rPr>
          <w:vertAlign w:val="superscript"/>
        </w:rPr>
        <w:t>-1</w:t>
      </w:r>
      <w:r>
        <w:t>). These treatments resulted in 50–70 % yield increases reported for similar integrated or double</w:t>
      </w:r>
      <w:r>
        <w:noBreakHyphen/>
        <w:t>hand</w:t>
      </w:r>
      <w:r>
        <w:noBreakHyphen/>
        <w:t>weeding schedules in field studies by Singh </w:t>
      </w:r>
      <w:r w:rsidRPr="00440B80">
        <w:rPr>
          <w:i/>
          <w:iCs/>
        </w:rPr>
        <w:t>et al</w:t>
      </w:r>
      <w:r>
        <w:t>. (2019) and Sujithra </w:t>
      </w:r>
      <w:r w:rsidRPr="00440B80">
        <w:rPr>
          <w:i/>
          <w:iCs/>
        </w:rPr>
        <w:t>et al</w:t>
      </w:r>
      <w:r>
        <w:t xml:space="preserve">. (2020). </w:t>
      </w:r>
      <w:r w:rsidRPr="00247A72">
        <w:t>Higher yields in W</w:t>
      </w:r>
      <w:r w:rsidRPr="00247A72">
        <w:rPr>
          <w:vertAlign w:val="subscript"/>
        </w:rPr>
        <w:t>7</w:t>
      </w:r>
      <w:r w:rsidRPr="00247A72">
        <w:t xml:space="preserve"> and W</w:t>
      </w:r>
      <w:r w:rsidRPr="00247A72">
        <w:rPr>
          <w:vertAlign w:val="subscript"/>
        </w:rPr>
        <w:t>3</w:t>
      </w:r>
      <w:r>
        <w:rPr>
          <w:vertAlign w:val="subscript"/>
        </w:rPr>
        <w:t xml:space="preserve"> </w:t>
      </w:r>
      <w:r>
        <w:t xml:space="preserve">could be attributed to the </w:t>
      </w:r>
      <w:r w:rsidRPr="00247A72">
        <w:t>early weed suppression</w:t>
      </w:r>
      <w:r>
        <w:t>,</w:t>
      </w:r>
      <w:r w:rsidRPr="00247A72">
        <w:t xml:space="preserve"> reduced below</w:t>
      </w:r>
      <w:r w:rsidRPr="00247A72">
        <w:noBreakHyphen/>
        <w:t xml:space="preserve">ground competition </w:t>
      </w:r>
      <w:r>
        <w:t xml:space="preserve">and </w:t>
      </w:r>
      <w:r w:rsidRPr="00247A72">
        <w:t xml:space="preserve">cleaner canopies </w:t>
      </w:r>
      <w:r>
        <w:t xml:space="preserve">which synergistically </w:t>
      </w:r>
      <w:r w:rsidRPr="00247A72">
        <w:t>delay leaf senescence 6–8 days, lengthening the photosynthetic period and capsule filling</w:t>
      </w:r>
      <w:r>
        <w:t xml:space="preserve">, ultimately resulting in increased seed yield (Ghosh and Pal, 2017; Rahman </w:t>
      </w:r>
      <w:r w:rsidRPr="00451548">
        <w:rPr>
          <w:i/>
          <w:iCs/>
        </w:rPr>
        <w:t>et al</w:t>
      </w:r>
      <w:r>
        <w:t xml:space="preserve">., 2021; El-Naim </w:t>
      </w:r>
      <w:r w:rsidRPr="00451548">
        <w:rPr>
          <w:i/>
          <w:iCs/>
        </w:rPr>
        <w:t>et al</w:t>
      </w:r>
      <w:r>
        <w:t>., 2012).</w:t>
      </w:r>
    </w:p>
    <w:p w14:paraId="3DFDBC7F" w14:textId="77777777" w:rsidR="00BA6558" w:rsidRDefault="00BA6558" w:rsidP="00BA6558">
      <w:pPr>
        <w:pStyle w:val="NormalWeb"/>
        <w:tabs>
          <w:tab w:val="left" w:pos="1276"/>
        </w:tabs>
        <w:spacing w:line="360" w:lineRule="auto"/>
        <w:jc w:val="both"/>
      </w:pPr>
      <w:r>
        <w:tab/>
        <w:t>Nitrogen level also significantly influenced the seed yield. The highest seed yield of 787 kg ha</w:t>
      </w:r>
      <w:r>
        <w:rPr>
          <w:vertAlign w:val="superscript"/>
        </w:rPr>
        <w:t>-1</w:t>
      </w:r>
      <w:r>
        <w:t xml:space="preserve"> was recoded with the application of 40 kg N ha</w:t>
      </w:r>
      <w:r>
        <w:rPr>
          <w:vertAlign w:val="superscript"/>
        </w:rPr>
        <w:t>-1</w:t>
      </w:r>
      <w:r>
        <w:t xml:space="preserve"> (N</w:t>
      </w:r>
      <w:r>
        <w:rPr>
          <w:vertAlign w:val="subscript"/>
        </w:rPr>
        <w:t>2</w:t>
      </w:r>
      <w:r>
        <w:t>), followed by N</w:t>
      </w:r>
      <w:r>
        <w:rPr>
          <w:vertAlign w:val="subscript"/>
        </w:rPr>
        <w:t xml:space="preserve">1 </w:t>
      </w:r>
      <w:r>
        <w:t>(729 kg N ha</w:t>
      </w:r>
      <w:r>
        <w:rPr>
          <w:vertAlign w:val="superscript"/>
        </w:rPr>
        <w:t>-1</w:t>
      </w:r>
      <w:r>
        <w:t>) and control (613 kg ha</w:t>
      </w:r>
      <w:r>
        <w:rPr>
          <w:vertAlign w:val="superscript"/>
        </w:rPr>
        <w:t>-1</w:t>
      </w:r>
      <w:r>
        <w:t xml:space="preserve">). </w:t>
      </w:r>
      <w:r w:rsidRPr="00440B80">
        <w:t>Nitrogen is a key component of chlorophyll and amino acids, which are essential for photosynthesis and protein synthesis. Adequate nitrogen promotes vigorous plant growth, leading to increased leaf area and higher photosynthetic capacity.</w:t>
      </w:r>
      <w:r>
        <w:t xml:space="preserve"> The higher seed yield with increased rate of nitrogen could be attributed to the role of nitrogen in enzymatic and protein synthesis (Sehgal </w:t>
      </w:r>
      <w:r>
        <w:rPr>
          <w:i/>
          <w:iCs/>
        </w:rPr>
        <w:t>et al.,</w:t>
      </w:r>
      <w:r>
        <w:t xml:space="preserve"> 2021). Additionally, Increased nitrogen generally leads to more total biomass, and a higher portion of that biomass can be partitioned to economic yield (Reddy </w:t>
      </w:r>
      <w:r>
        <w:rPr>
          <w:i/>
          <w:iCs/>
        </w:rPr>
        <w:t>et al.,</w:t>
      </w:r>
      <w:r>
        <w:t xml:space="preserve"> 2022). </w:t>
      </w:r>
    </w:p>
    <w:p w14:paraId="7F7D4DDB" w14:textId="172B1C26" w:rsidR="002D0A40" w:rsidRPr="006272D1" w:rsidRDefault="006272D1" w:rsidP="0093496C">
      <w:pPr>
        <w:pStyle w:val="NormalWeb"/>
        <w:tabs>
          <w:tab w:val="left" w:pos="1276"/>
        </w:tabs>
        <w:spacing w:line="360" w:lineRule="auto"/>
        <w:rPr>
          <w:b/>
          <w:bCs/>
        </w:rPr>
      </w:pPr>
      <w:r w:rsidRPr="006272D1">
        <w:rPr>
          <w:b/>
          <w:bCs/>
        </w:rPr>
        <w:t>Conclusion</w:t>
      </w:r>
    </w:p>
    <w:p w14:paraId="13C75CEF" w14:textId="52C35FAC" w:rsidR="001573EE" w:rsidRPr="001573EE" w:rsidRDefault="001573EE" w:rsidP="001573E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73EE">
        <w:rPr>
          <w:rFonts w:ascii="Times New Roman" w:eastAsia="Times New Roman" w:hAnsi="Times New Roman" w:cs="Times New Roman"/>
          <w:kern w:val="0"/>
          <w:sz w:val="24"/>
          <w:szCs w:val="24"/>
          <w:lang w:eastAsia="en-IN"/>
          <w14:ligatures w14:val="none"/>
        </w:rPr>
        <w:t xml:space="preserve">The integrated weed management practice involving the </w:t>
      </w:r>
      <w:commentRangeStart w:id="7"/>
      <w:r w:rsidRPr="001573EE">
        <w:rPr>
          <w:rFonts w:ascii="Times New Roman" w:eastAsia="Times New Roman" w:hAnsi="Times New Roman" w:cs="Times New Roman"/>
          <w:kern w:val="0"/>
          <w:sz w:val="24"/>
          <w:szCs w:val="24"/>
          <w:lang w:eastAsia="en-IN"/>
          <w14:ligatures w14:val="none"/>
        </w:rPr>
        <w:t>application of Imazethapyr @ 1.5 kg ha</w:t>
      </w:r>
      <w:r>
        <w:rPr>
          <w:rFonts w:ascii="Times New Roman" w:eastAsia="Times New Roman" w:hAnsi="Times New Roman" w:cs="Times New Roman"/>
          <w:kern w:val="0"/>
          <w:sz w:val="24"/>
          <w:szCs w:val="24"/>
          <w:vertAlign w:val="superscript"/>
          <w:lang w:eastAsia="en-IN"/>
          <w14:ligatures w14:val="none"/>
        </w:rPr>
        <w:t>-1</w:t>
      </w:r>
      <w:r w:rsidRPr="001573E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Pr="001573EE">
        <w:rPr>
          <w:rFonts w:ascii="Times New Roman" w:eastAsia="Times New Roman" w:hAnsi="Times New Roman" w:cs="Times New Roman"/>
          <w:kern w:val="0"/>
          <w:sz w:val="24"/>
          <w:szCs w:val="24"/>
          <w:lang w:eastAsia="en-IN"/>
          <w14:ligatures w14:val="none"/>
        </w:rPr>
        <w:t xml:space="preserve">hand weeding at 30 DAS proved to be the most effective in suppressing weed growth. </w:t>
      </w:r>
      <w:commentRangeEnd w:id="7"/>
      <w:r w:rsidR="0035697B">
        <w:rPr>
          <w:rStyle w:val="CommentReference"/>
        </w:rPr>
        <w:commentReference w:id="7"/>
      </w:r>
      <w:r w:rsidRPr="001573EE">
        <w:rPr>
          <w:rFonts w:ascii="Times New Roman" w:eastAsia="Times New Roman" w:hAnsi="Times New Roman" w:cs="Times New Roman"/>
          <w:kern w:val="0"/>
          <w:sz w:val="24"/>
          <w:szCs w:val="24"/>
          <w:lang w:eastAsia="en-IN"/>
          <w14:ligatures w14:val="none"/>
        </w:rPr>
        <w:t>This treatment significantly reduced weed density, weed infestation, and weed dry matter accumulation compared to other treatments. The enhanced weed</w:t>
      </w:r>
      <w:bookmarkStart w:id="8" w:name="_GoBack"/>
      <w:bookmarkEnd w:id="8"/>
      <w:r w:rsidRPr="001573EE">
        <w:rPr>
          <w:rFonts w:ascii="Times New Roman" w:eastAsia="Times New Roman" w:hAnsi="Times New Roman" w:cs="Times New Roman"/>
          <w:kern w:val="0"/>
          <w:sz w:val="24"/>
          <w:szCs w:val="24"/>
          <w:lang w:eastAsia="en-IN"/>
          <w14:ligatures w14:val="none"/>
        </w:rPr>
        <w:t xml:space="preserve"> suppression led to the highest weed control efficiency, thereby minimizing crop-weed competition during the critical growth stages of sesame</w:t>
      </w:r>
      <w:r w:rsidR="005F4215">
        <w:rPr>
          <w:rFonts w:ascii="Times New Roman" w:eastAsia="Times New Roman" w:hAnsi="Times New Roman" w:cs="Times New Roman"/>
          <w:kern w:val="0"/>
          <w:sz w:val="24"/>
          <w:szCs w:val="24"/>
          <w:lang w:eastAsia="en-IN"/>
          <w14:ligatures w14:val="none"/>
        </w:rPr>
        <w:t xml:space="preserve">, ultimately leading to the highest seed yield. </w:t>
      </w:r>
      <w:r w:rsidRPr="001573EE">
        <w:rPr>
          <w:rFonts w:ascii="Times New Roman" w:eastAsia="Times New Roman" w:hAnsi="Times New Roman" w:cs="Times New Roman"/>
          <w:kern w:val="0"/>
          <w:sz w:val="24"/>
          <w:szCs w:val="24"/>
          <w:lang w:eastAsia="en-IN"/>
          <w14:ligatures w14:val="none"/>
        </w:rPr>
        <w:t xml:space="preserve">In terms of nutrient management, the application of 40 kg </w:t>
      </w:r>
      <w:r w:rsidR="005F4215">
        <w:rPr>
          <w:rFonts w:ascii="Times New Roman" w:eastAsia="Times New Roman" w:hAnsi="Times New Roman" w:cs="Times New Roman"/>
          <w:kern w:val="0"/>
          <w:sz w:val="24"/>
          <w:szCs w:val="24"/>
          <w:lang w:eastAsia="en-IN"/>
          <w14:ligatures w14:val="none"/>
        </w:rPr>
        <w:t>N</w:t>
      </w:r>
      <w:r w:rsidRPr="001573EE">
        <w:rPr>
          <w:rFonts w:ascii="Times New Roman" w:eastAsia="Times New Roman" w:hAnsi="Times New Roman" w:cs="Times New Roman"/>
          <w:kern w:val="0"/>
          <w:sz w:val="24"/>
          <w:szCs w:val="24"/>
          <w:lang w:eastAsia="en-IN"/>
          <w14:ligatures w14:val="none"/>
        </w:rPr>
        <w:t xml:space="preserve"> </w:t>
      </w:r>
      <w:r w:rsidR="005F4215">
        <w:rPr>
          <w:rFonts w:ascii="Times New Roman" w:eastAsia="Times New Roman" w:hAnsi="Times New Roman" w:cs="Times New Roman"/>
          <w:kern w:val="0"/>
          <w:sz w:val="24"/>
          <w:szCs w:val="24"/>
          <w:lang w:eastAsia="en-IN"/>
          <w14:ligatures w14:val="none"/>
        </w:rPr>
        <w:t>ha</w:t>
      </w:r>
      <w:r w:rsidR="005F4215">
        <w:rPr>
          <w:rFonts w:ascii="Times New Roman" w:eastAsia="Times New Roman" w:hAnsi="Times New Roman" w:cs="Times New Roman"/>
          <w:kern w:val="0"/>
          <w:sz w:val="24"/>
          <w:szCs w:val="24"/>
          <w:vertAlign w:val="superscript"/>
          <w:lang w:eastAsia="en-IN"/>
          <w14:ligatures w14:val="none"/>
        </w:rPr>
        <w:t>-1</w:t>
      </w:r>
      <w:r w:rsidR="005F4215">
        <w:rPr>
          <w:rFonts w:ascii="Times New Roman" w:eastAsia="Times New Roman" w:hAnsi="Times New Roman" w:cs="Times New Roman"/>
          <w:kern w:val="0"/>
          <w:sz w:val="24"/>
          <w:szCs w:val="24"/>
          <w:lang w:eastAsia="en-IN"/>
          <w14:ligatures w14:val="none"/>
        </w:rPr>
        <w:t xml:space="preserve"> </w:t>
      </w:r>
      <w:r w:rsidRPr="001573EE">
        <w:rPr>
          <w:rFonts w:ascii="Times New Roman" w:eastAsia="Times New Roman" w:hAnsi="Times New Roman" w:cs="Times New Roman"/>
          <w:kern w:val="0"/>
          <w:sz w:val="24"/>
          <w:szCs w:val="24"/>
          <w:lang w:eastAsia="en-IN"/>
          <w14:ligatures w14:val="none"/>
        </w:rPr>
        <w:t>recorded the tallest plants and highest seed yield among the nitrogen levels tested. The synergistic effect of effective weed control and optimum nitrogen nutrition contributed to improved crop growth and productivity in sesame.</w:t>
      </w:r>
    </w:p>
    <w:p w14:paraId="3AD6747F" w14:textId="77777777" w:rsidR="003948AD" w:rsidRPr="00B70534" w:rsidRDefault="00E0588F" w:rsidP="003948AD">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3948AD" w:rsidRPr="00B70534">
        <w:rPr>
          <w:rFonts w:ascii="Times New Roman" w:eastAsia="Times New Roman" w:hAnsi="Times New Roman" w:cs="Times New Roman"/>
          <w:b/>
          <w:bCs/>
          <w:kern w:val="0"/>
          <w:sz w:val="24"/>
          <w:szCs w:val="24"/>
          <w:lang w:eastAsia="en-IN"/>
          <w14:ligatures w14:val="none"/>
        </w:rPr>
        <w:t xml:space="preserve">Acknowledgements </w:t>
      </w:r>
    </w:p>
    <w:p w14:paraId="504005FA" w14:textId="77777777" w:rsidR="003948AD" w:rsidRDefault="003948AD" w:rsidP="003948A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lastRenderedPageBreak/>
        <w:t xml:space="preserve">The    author    extends    his    gratitude    to    the </w:t>
      </w:r>
      <w:r w:rsidRPr="00B74DFA">
        <w:rPr>
          <w:rFonts w:ascii="Times New Roman" w:eastAsia="Times New Roman" w:hAnsi="Times New Roman" w:cs="Times New Roman"/>
          <w:kern w:val="0"/>
          <w:sz w:val="24"/>
          <w:szCs w:val="24"/>
          <w:lang w:eastAsia="en-IN"/>
          <w14:ligatures w14:val="none"/>
        </w:rPr>
        <w:t>MJRP College of Agriculture and Research</w:t>
      </w:r>
      <w:r w:rsidRPr="00D54BE3">
        <w:rPr>
          <w:rFonts w:ascii="Times New Roman" w:eastAsia="Times New Roman" w:hAnsi="Times New Roman" w:cs="Times New Roman"/>
          <w:kern w:val="0"/>
          <w:sz w:val="24"/>
          <w:szCs w:val="24"/>
          <w:lang w:eastAsia="en-IN"/>
          <w14:ligatures w14:val="none"/>
        </w:rPr>
        <w:t>, for providing the essential resources    and    support    for    this research. Additionally,    the    collaborative    efforts    of    all contributing  authors  are  acknowledged  for  their valuable  contributions  to  this  study,  enhancing the quality of the forthcoming journal publication.</w:t>
      </w:r>
    </w:p>
    <w:p w14:paraId="4332197E" w14:textId="77777777" w:rsidR="003948AD" w:rsidRPr="00D54BE3" w:rsidRDefault="003948AD" w:rsidP="003948AD">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54BE3">
        <w:rPr>
          <w:rFonts w:ascii="Times New Roman" w:eastAsia="Times New Roman" w:hAnsi="Times New Roman" w:cs="Times New Roman"/>
          <w:b/>
          <w:bCs/>
          <w:kern w:val="0"/>
          <w:sz w:val="24"/>
          <w:szCs w:val="24"/>
          <w:lang w:eastAsia="en-IN"/>
          <w14:ligatures w14:val="none"/>
        </w:rPr>
        <w:t>Competing interests</w:t>
      </w:r>
    </w:p>
    <w:p w14:paraId="0A429956" w14:textId="7408D029" w:rsidR="00BA6558" w:rsidRPr="00E0588F" w:rsidRDefault="003948AD" w:rsidP="003948A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t>Authors    have    declared    that    no competing interests exist</w:t>
      </w:r>
    </w:p>
    <w:p w14:paraId="03614E0F" w14:textId="1854DA2C" w:rsidR="002A25BB" w:rsidRPr="002A25BB" w:rsidRDefault="002A25BB" w:rsidP="0093496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b/>
          <w:bCs/>
          <w:kern w:val="0"/>
          <w:sz w:val="24"/>
          <w:szCs w:val="24"/>
          <w:lang w:eastAsia="en-IN"/>
          <w14:ligatures w14:val="none"/>
        </w:rPr>
        <w:t>References</w:t>
      </w:r>
    </w:p>
    <w:p w14:paraId="45320BEE"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Balyan, R.S., Malik, R.K., Panwar, R.S., &amp; Yadav, A. (2017). Integrated weed management in oilseed crops. </w:t>
      </w:r>
      <w:r w:rsidRPr="002A25BB">
        <w:rPr>
          <w:rFonts w:ascii="Times New Roman" w:eastAsia="Times New Roman" w:hAnsi="Times New Roman" w:cs="Times New Roman"/>
          <w:i/>
          <w:iCs/>
          <w:kern w:val="0"/>
          <w:sz w:val="24"/>
          <w:szCs w:val="24"/>
          <w:lang w:eastAsia="en-IN"/>
          <w14:ligatures w14:val="none"/>
        </w:rPr>
        <w:t>Indian Journal of Weed Science</w:t>
      </w:r>
      <w:r w:rsidRPr="002A25BB">
        <w:rPr>
          <w:rFonts w:ascii="Times New Roman" w:eastAsia="Times New Roman" w:hAnsi="Times New Roman" w:cs="Times New Roman"/>
          <w:kern w:val="0"/>
          <w:sz w:val="24"/>
          <w:szCs w:val="24"/>
          <w:lang w:eastAsia="en-IN"/>
          <w14:ligatures w14:val="none"/>
        </w:rPr>
        <w:t>, 49(3), 245–251.</w:t>
      </w:r>
    </w:p>
    <w:p w14:paraId="2C008327"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Choudhary, J., Meena, B.L., &amp; Kumar, S. (2019). Yield loss due to weed competition in oilseed crops: A review. </w:t>
      </w:r>
      <w:r w:rsidRPr="002A25BB">
        <w:rPr>
          <w:rFonts w:ascii="Times New Roman" w:eastAsia="Times New Roman" w:hAnsi="Times New Roman" w:cs="Times New Roman"/>
          <w:i/>
          <w:iCs/>
          <w:kern w:val="0"/>
          <w:sz w:val="24"/>
          <w:szCs w:val="24"/>
          <w:lang w:eastAsia="en-IN"/>
          <w14:ligatures w14:val="none"/>
        </w:rPr>
        <w:t>Agricultural Reviews</w:t>
      </w:r>
      <w:r w:rsidRPr="002A25BB">
        <w:rPr>
          <w:rFonts w:ascii="Times New Roman" w:eastAsia="Times New Roman" w:hAnsi="Times New Roman" w:cs="Times New Roman"/>
          <w:kern w:val="0"/>
          <w:sz w:val="24"/>
          <w:szCs w:val="24"/>
          <w:lang w:eastAsia="en-IN"/>
          <w14:ligatures w14:val="none"/>
        </w:rPr>
        <w:t>, 40(3), 223–229.</w:t>
      </w:r>
    </w:p>
    <w:p w14:paraId="2AB432E8"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CE5576">
        <w:rPr>
          <w:rFonts w:ascii="Times New Roman" w:eastAsia="Times New Roman" w:hAnsi="Times New Roman" w:cs="Times New Roman"/>
          <w:kern w:val="0"/>
          <w:sz w:val="24"/>
          <w:szCs w:val="24"/>
          <w:lang w:eastAsia="en-IN"/>
          <w14:ligatures w14:val="none"/>
        </w:rPr>
        <w:t xml:space="preserve">Daniya, E., </w:t>
      </w:r>
      <w:proofErr w:type="spellStart"/>
      <w:r w:rsidRPr="00CE5576">
        <w:rPr>
          <w:rFonts w:ascii="Times New Roman" w:eastAsia="Times New Roman" w:hAnsi="Times New Roman" w:cs="Times New Roman"/>
          <w:kern w:val="0"/>
          <w:sz w:val="24"/>
          <w:szCs w:val="24"/>
          <w:lang w:eastAsia="en-IN"/>
          <w14:ligatures w14:val="none"/>
        </w:rPr>
        <w:t>Dadari</w:t>
      </w:r>
      <w:proofErr w:type="spellEnd"/>
      <w:r w:rsidRPr="00CE5576">
        <w:rPr>
          <w:rFonts w:ascii="Times New Roman" w:eastAsia="Times New Roman" w:hAnsi="Times New Roman" w:cs="Times New Roman"/>
          <w:kern w:val="0"/>
          <w:sz w:val="24"/>
          <w:szCs w:val="24"/>
          <w:lang w:eastAsia="en-IN"/>
          <w14:ligatures w14:val="none"/>
        </w:rPr>
        <w:t xml:space="preserve">, S. A., </w:t>
      </w:r>
      <w:proofErr w:type="spellStart"/>
      <w:r w:rsidRPr="00CE5576">
        <w:rPr>
          <w:rFonts w:ascii="Times New Roman" w:eastAsia="Times New Roman" w:hAnsi="Times New Roman" w:cs="Times New Roman"/>
          <w:kern w:val="0"/>
          <w:sz w:val="24"/>
          <w:szCs w:val="24"/>
          <w:lang w:eastAsia="en-IN"/>
          <w14:ligatures w14:val="none"/>
        </w:rPr>
        <w:t>Ndahi</w:t>
      </w:r>
      <w:proofErr w:type="spellEnd"/>
      <w:r w:rsidRPr="00CE5576">
        <w:rPr>
          <w:rFonts w:ascii="Times New Roman" w:eastAsia="Times New Roman" w:hAnsi="Times New Roman" w:cs="Times New Roman"/>
          <w:kern w:val="0"/>
          <w:sz w:val="24"/>
          <w:szCs w:val="24"/>
          <w:lang w:eastAsia="en-IN"/>
          <w14:ligatures w14:val="none"/>
        </w:rPr>
        <w:t xml:space="preserve">, W. B., </w:t>
      </w:r>
      <w:proofErr w:type="spellStart"/>
      <w:r w:rsidRPr="00CE5576">
        <w:rPr>
          <w:rFonts w:ascii="Times New Roman" w:eastAsia="Times New Roman" w:hAnsi="Times New Roman" w:cs="Times New Roman"/>
          <w:kern w:val="0"/>
          <w:sz w:val="24"/>
          <w:szCs w:val="24"/>
          <w:lang w:eastAsia="en-IN"/>
          <w14:ligatures w14:val="none"/>
        </w:rPr>
        <w:t>Kuchinda</w:t>
      </w:r>
      <w:proofErr w:type="spellEnd"/>
      <w:r w:rsidRPr="00CE5576">
        <w:rPr>
          <w:rFonts w:ascii="Times New Roman" w:eastAsia="Times New Roman" w:hAnsi="Times New Roman" w:cs="Times New Roman"/>
          <w:kern w:val="0"/>
          <w:sz w:val="24"/>
          <w:szCs w:val="24"/>
          <w:lang w:eastAsia="en-IN"/>
          <w14:ligatures w14:val="none"/>
        </w:rPr>
        <w:t>, N. C., &amp; Babaji, B. A. (2015). Effect of seed rate and nitrogen fertilizer on weed species composition, density and diversity in two sesame varieties. </w:t>
      </w:r>
      <w:r w:rsidRPr="00CE5576">
        <w:rPr>
          <w:rFonts w:ascii="Times New Roman" w:eastAsia="Times New Roman" w:hAnsi="Times New Roman" w:cs="Times New Roman"/>
          <w:i/>
          <w:iCs/>
          <w:kern w:val="0"/>
          <w:sz w:val="24"/>
          <w:szCs w:val="24"/>
          <w:lang w:eastAsia="en-IN"/>
          <w14:ligatures w14:val="none"/>
        </w:rPr>
        <w:t>Archives of Agronomy and Soil Science</w:t>
      </w:r>
      <w:r w:rsidRPr="00CE5576">
        <w:rPr>
          <w:rFonts w:ascii="Times New Roman" w:eastAsia="Times New Roman" w:hAnsi="Times New Roman" w:cs="Times New Roman"/>
          <w:kern w:val="0"/>
          <w:sz w:val="24"/>
          <w:szCs w:val="24"/>
          <w:lang w:eastAsia="en-IN"/>
          <w14:ligatures w14:val="none"/>
        </w:rPr>
        <w:t>, </w:t>
      </w:r>
      <w:r w:rsidRPr="00CE5576">
        <w:rPr>
          <w:rFonts w:ascii="Times New Roman" w:eastAsia="Times New Roman" w:hAnsi="Times New Roman" w:cs="Times New Roman"/>
          <w:i/>
          <w:iCs/>
          <w:kern w:val="0"/>
          <w:sz w:val="24"/>
          <w:szCs w:val="24"/>
          <w:lang w:eastAsia="en-IN"/>
          <w14:ligatures w14:val="none"/>
        </w:rPr>
        <w:t>61</w:t>
      </w:r>
      <w:r w:rsidRPr="00CE5576">
        <w:rPr>
          <w:rFonts w:ascii="Times New Roman" w:eastAsia="Times New Roman" w:hAnsi="Times New Roman" w:cs="Times New Roman"/>
          <w:kern w:val="0"/>
          <w:sz w:val="24"/>
          <w:szCs w:val="24"/>
          <w:lang w:eastAsia="en-IN"/>
          <w14:ligatures w14:val="none"/>
        </w:rPr>
        <w:t>(4), 553-567.</w:t>
      </w:r>
    </w:p>
    <w:p w14:paraId="5E11A98C" w14:textId="77777777" w:rsidR="00AB36A1" w:rsidRPr="000B1EDF"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690F0C">
        <w:rPr>
          <w:rFonts w:ascii="Times New Roman" w:eastAsia="Times New Roman" w:hAnsi="Times New Roman" w:cs="Times New Roman"/>
          <w:kern w:val="0"/>
          <w:sz w:val="24"/>
          <w:szCs w:val="24"/>
          <w:lang w:eastAsia="en-IN"/>
          <w14:ligatures w14:val="none"/>
        </w:rPr>
        <w:t>Das, S., Dolai, A. K., Ghosh, P., Mandi, A., &amp; Aktar, S.</w:t>
      </w:r>
      <w:r>
        <w:rPr>
          <w:rFonts w:ascii="Times New Roman" w:eastAsia="Times New Roman" w:hAnsi="Times New Roman" w:cs="Times New Roman"/>
          <w:kern w:val="0"/>
          <w:sz w:val="24"/>
          <w:szCs w:val="24"/>
          <w:lang w:eastAsia="en-IN"/>
          <w14:ligatures w14:val="none"/>
        </w:rPr>
        <w:t xml:space="preserve"> (2022).</w:t>
      </w:r>
      <w:r w:rsidRPr="00690F0C">
        <w:rPr>
          <w:rFonts w:ascii="Times New Roman" w:eastAsia="Times New Roman" w:hAnsi="Times New Roman" w:cs="Times New Roman"/>
          <w:kern w:val="0"/>
          <w:sz w:val="24"/>
          <w:szCs w:val="24"/>
          <w:lang w:eastAsia="en-IN"/>
          <w14:ligatures w14:val="none"/>
        </w:rPr>
        <w:t xml:space="preserve"> Productivity improvement of sesame by weed management through plastic mulch and herbicides.</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International Journal of Advanced Chemistry Research</w:t>
      </w:r>
      <w:r>
        <w:rPr>
          <w:rFonts w:ascii="Times New Roman" w:eastAsia="Times New Roman" w:hAnsi="Times New Roman" w:cs="Times New Roman"/>
          <w:kern w:val="0"/>
          <w:sz w:val="24"/>
          <w:szCs w:val="24"/>
          <w:lang w:eastAsia="en-IN"/>
          <w14:ligatures w14:val="none"/>
        </w:rPr>
        <w:t>, 4(2), 83-86.</w:t>
      </w:r>
    </w:p>
    <w:p w14:paraId="66A253B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Dhaka, A. K., Kumpawat, B. S., &amp; Mahajan, G. (2014). Weed interference and its management in irrigated sesame. </w:t>
      </w:r>
      <w:r w:rsidRPr="00854C60">
        <w:rPr>
          <w:rFonts w:ascii="Times New Roman" w:eastAsia="Times New Roman" w:hAnsi="Times New Roman" w:cs="Times New Roman"/>
          <w:i/>
          <w:iCs/>
          <w:kern w:val="0"/>
          <w:sz w:val="24"/>
          <w:szCs w:val="24"/>
          <w:lang w:eastAsia="en-IN"/>
          <w14:ligatures w14:val="none"/>
        </w:rPr>
        <w:t>Journal of Oilseeds Research</w:t>
      </w:r>
      <w:r w:rsidRPr="00854C60">
        <w:rPr>
          <w:rFonts w:ascii="Times New Roman" w:eastAsia="Times New Roman" w:hAnsi="Times New Roman" w:cs="Times New Roman"/>
          <w:kern w:val="0"/>
          <w:sz w:val="24"/>
          <w:szCs w:val="24"/>
          <w:lang w:eastAsia="en-IN"/>
          <w14:ligatures w14:val="none"/>
        </w:rPr>
        <w:t>, 31(2), 76</w:t>
      </w:r>
      <w:r w:rsidRPr="00854C60">
        <w:rPr>
          <w:rFonts w:ascii="Times New Roman" w:eastAsia="Times New Roman" w:hAnsi="Times New Roman" w:cs="Times New Roman"/>
          <w:kern w:val="0"/>
          <w:sz w:val="24"/>
          <w:szCs w:val="24"/>
          <w:lang w:eastAsia="en-IN"/>
          <w14:ligatures w14:val="none"/>
        </w:rPr>
        <w:noBreakHyphen/>
        <w:t>80.</w:t>
      </w:r>
    </w:p>
    <w:p w14:paraId="7C71CCD2"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El</w:t>
      </w:r>
      <w:r w:rsidRPr="000B1EDF">
        <w:rPr>
          <w:rFonts w:ascii="Times New Roman" w:eastAsia="Times New Roman" w:hAnsi="Times New Roman" w:cs="Times New Roman"/>
          <w:kern w:val="0"/>
          <w:sz w:val="24"/>
          <w:szCs w:val="24"/>
          <w:lang w:eastAsia="en-IN"/>
          <w14:ligatures w14:val="none"/>
        </w:rPr>
        <w:noBreakHyphen/>
        <w:t xml:space="preserve">Naim, A. M., Ahmed, E. M., Abdullah, M. &amp; Ibrahim, M. E. (2012). </w:t>
      </w:r>
      <w:r w:rsidRPr="000B1EDF">
        <w:rPr>
          <w:rFonts w:ascii="Times New Roman" w:eastAsia="Times New Roman" w:hAnsi="Times New Roman" w:cs="Times New Roman"/>
          <w:i/>
          <w:iCs/>
          <w:kern w:val="0"/>
          <w:sz w:val="24"/>
          <w:szCs w:val="24"/>
          <w:lang w:eastAsia="en-IN"/>
          <w14:ligatures w14:val="none"/>
        </w:rPr>
        <w:t>Weed management–induced delay of leaf senescence and its impact on yield components in sesame.</w:t>
      </w:r>
      <w:r w:rsidRPr="000B1EDF">
        <w:rPr>
          <w:rFonts w:ascii="Times New Roman" w:eastAsia="Times New Roman" w:hAnsi="Times New Roman" w:cs="Times New Roman"/>
          <w:kern w:val="0"/>
          <w:sz w:val="24"/>
          <w:szCs w:val="24"/>
          <w:lang w:eastAsia="en-IN"/>
          <w14:ligatures w14:val="none"/>
        </w:rPr>
        <w:t xml:space="preserve"> International Journal of Agronomy and Plant Production, 3 (5), 189 – 195.</w:t>
      </w:r>
    </w:p>
    <w:p w14:paraId="34CB897A"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FAO. (2021). </w:t>
      </w:r>
      <w:r w:rsidRPr="002A25BB">
        <w:rPr>
          <w:rFonts w:ascii="Times New Roman" w:eastAsia="Times New Roman" w:hAnsi="Times New Roman" w:cs="Times New Roman"/>
          <w:i/>
          <w:iCs/>
          <w:kern w:val="0"/>
          <w:sz w:val="24"/>
          <w:szCs w:val="24"/>
          <w:lang w:eastAsia="en-IN"/>
          <w14:ligatures w14:val="none"/>
        </w:rPr>
        <w:t>FAOSTAT: Crop Production Statistics</w:t>
      </w:r>
      <w:r w:rsidRPr="002A25BB">
        <w:rPr>
          <w:rFonts w:ascii="Times New Roman" w:eastAsia="Times New Roman" w:hAnsi="Times New Roman" w:cs="Times New Roman"/>
          <w:kern w:val="0"/>
          <w:sz w:val="24"/>
          <w:szCs w:val="24"/>
          <w:lang w:eastAsia="en-IN"/>
          <w14:ligatures w14:val="none"/>
        </w:rPr>
        <w:t xml:space="preserve">. Food and Agriculture Organization of the United Nations. Retrieved from </w:t>
      </w:r>
      <w:hyperlink r:id="rId9" w:history="1">
        <w:r w:rsidRPr="002A25BB">
          <w:rPr>
            <w:rFonts w:ascii="Times New Roman" w:eastAsia="Times New Roman" w:hAnsi="Times New Roman" w:cs="Times New Roman"/>
            <w:color w:val="0000FF"/>
            <w:kern w:val="0"/>
            <w:sz w:val="24"/>
            <w:szCs w:val="24"/>
            <w:u w:val="single"/>
            <w:lang w:eastAsia="en-IN"/>
            <w14:ligatures w14:val="none"/>
          </w:rPr>
          <w:t>https://www.fao.org/faostat/</w:t>
        </w:r>
      </w:hyperlink>
    </w:p>
    <w:p w14:paraId="7F65EA74" w14:textId="77777777" w:rsidR="00AB36A1" w:rsidRPr="000B1EDF"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Ghosh,</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R.</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K. &amp; Pal,</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S.</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 xml:space="preserve">K. (2017). </w:t>
      </w:r>
      <w:r w:rsidRPr="000B1EDF">
        <w:rPr>
          <w:rFonts w:ascii="Times New Roman" w:eastAsia="Times New Roman" w:hAnsi="Times New Roman" w:cs="Times New Roman"/>
          <w:i/>
          <w:iCs/>
          <w:kern w:val="0"/>
          <w:sz w:val="24"/>
          <w:szCs w:val="24"/>
          <w:lang w:eastAsia="en-IN"/>
          <w14:ligatures w14:val="none"/>
        </w:rPr>
        <w:t>Integrated weed</w:t>
      </w:r>
      <w:r w:rsidRPr="000B1EDF">
        <w:rPr>
          <w:rFonts w:ascii="Times New Roman" w:eastAsia="Times New Roman" w:hAnsi="Times New Roman" w:cs="Times New Roman"/>
          <w:i/>
          <w:iCs/>
          <w:kern w:val="0"/>
          <w:sz w:val="24"/>
          <w:szCs w:val="24"/>
          <w:lang w:eastAsia="en-IN"/>
          <w14:ligatures w14:val="none"/>
        </w:rPr>
        <w:noBreakHyphen/>
        <w:t>management effects on leaf</w:t>
      </w:r>
      <w:r w:rsidRPr="000B1EDF">
        <w:rPr>
          <w:rFonts w:ascii="Times New Roman" w:eastAsia="Times New Roman" w:hAnsi="Times New Roman" w:cs="Times New Roman"/>
          <w:i/>
          <w:iCs/>
          <w:kern w:val="0"/>
          <w:sz w:val="24"/>
          <w:szCs w:val="24"/>
          <w:lang w:eastAsia="en-IN"/>
          <w14:ligatures w14:val="none"/>
        </w:rPr>
        <w:noBreakHyphen/>
        <w:t>area index, radiation interception and productivity of sesame (Sesamum</w:t>
      </w:r>
      <w:r w:rsidRPr="000B1EDF">
        <w:rPr>
          <w:rFonts w:ascii="Arial" w:eastAsia="Times New Roman" w:hAnsi="Arial" w:cs="Arial"/>
          <w:i/>
          <w:iCs/>
          <w:kern w:val="0"/>
          <w:sz w:val="24"/>
          <w:szCs w:val="24"/>
          <w:lang w:eastAsia="en-IN"/>
          <w14:ligatures w14:val="none"/>
        </w:rPr>
        <w:t> </w:t>
      </w:r>
      <w:r w:rsidRPr="000B1EDF">
        <w:rPr>
          <w:rFonts w:ascii="Times New Roman" w:eastAsia="Times New Roman" w:hAnsi="Times New Roman" w:cs="Times New Roman"/>
          <w:i/>
          <w:iCs/>
          <w:kern w:val="0"/>
          <w:sz w:val="24"/>
          <w:szCs w:val="24"/>
          <w:lang w:eastAsia="en-IN"/>
          <w14:ligatures w14:val="none"/>
        </w:rPr>
        <w:t>indicum</w:t>
      </w:r>
      <w:r w:rsidRPr="000B1EDF">
        <w:rPr>
          <w:rFonts w:ascii="Arial" w:eastAsia="Times New Roman" w:hAnsi="Arial" w:cs="Arial"/>
          <w:i/>
          <w:iCs/>
          <w:kern w:val="0"/>
          <w:sz w:val="24"/>
          <w:szCs w:val="24"/>
          <w:lang w:eastAsia="en-IN"/>
          <w14:ligatures w14:val="none"/>
        </w:rPr>
        <w:t> </w:t>
      </w:r>
      <w:r w:rsidRPr="000B1EDF">
        <w:rPr>
          <w:rFonts w:ascii="Times New Roman" w:eastAsia="Times New Roman" w:hAnsi="Times New Roman" w:cs="Times New Roman"/>
          <w:i/>
          <w:iCs/>
          <w:kern w:val="0"/>
          <w:sz w:val="24"/>
          <w:szCs w:val="24"/>
          <w:lang w:eastAsia="en-IN"/>
          <w14:ligatures w14:val="none"/>
        </w:rPr>
        <w:t>L.).</w:t>
      </w:r>
      <w:r w:rsidRPr="000B1EDF">
        <w:rPr>
          <w:rFonts w:ascii="Times New Roman" w:eastAsia="Times New Roman" w:hAnsi="Times New Roman" w:cs="Times New Roman"/>
          <w:kern w:val="0"/>
          <w:sz w:val="24"/>
          <w:szCs w:val="24"/>
          <w:lang w:eastAsia="en-IN"/>
          <w14:ligatures w14:val="none"/>
        </w:rPr>
        <w:t xml:space="preserve"> Journal of Crop and Weed,</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13</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(2),</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124</w:t>
      </w:r>
      <w:r w:rsidRPr="000B1EDF">
        <w:rPr>
          <w:rFonts w:ascii="Arial" w:eastAsia="Times New Roman" w:hAnsi="Arial" w:cs="Arial"/>
          <w:kern w:val="0"/>
          <w:sz w:val="24"/>
          <w:szCs w:val="24"/>
          <w:lang w:eastAsia="en-IN"/>
          <w14:ligatures w14:val="none"/>
        </w:rPr>
        <w:t> </w:t>
      </w:r>
      <w:r w:rsidRPr="000B1EDF">
        <w:rPr>
          <w:rFonts w:ascii="Aptos" w:eastAsia="Times New Roman" w:hAnsi="Aptos" w:cs="Aptos"/>
          <w:kern w:val="0"/>
          <w:sz w:val="24"/>
          <w:szCs w:val="24"/>
          <w:lang w:eastAsia="en-IN"/>
          <w14:ligatures w14:val="none"/>
        </w:rPr>
        <w:t>–</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129.</w:t>
      </w:r>
    </w:p>
    <w:p w14:paraId="03E05BE1"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Joshi, A., Kumawat, N. K., &amp; Rawat, L. (2022). Performance of imazethapyr</w:t>
      </w:r>
      <w:r w:rsidRPr="00854C60">
        <w:rPr>
          <w:rFonts w:ascii="Times New Roman" w:eastAsia="Times New Roman" w:hAnsi="Times New Roman" w:cs="Times New Roman"/>
          <w:kern w:val="0"/>
          <w:sz w:val="24"/>
          <w:szCs w:val="24"/>
          <w:lang w:eastAsia="en-IN"/>
          <w14:ligatures w14:val="none"/>
        </w:rPr>
        <w:noBreakHyphen/>
        <w:t>based weed</w:t>
      </w:r>
      <w:r w:rsidRPr="00854C60">
        <w:rPr>
          <w:rFonts w:ascii="Times New Roman" w:eastAsia="Times New Roman" w:hAnsi="Times New Roman" w:cs="Times New Roman"/>
          <w:kern w:val="0"/>
          <w:sz w:val="24"/>
          <w:szCs w:val="24"/>
          <w:lang w:eastAsia="en-IN"/>
          <w14:ligatures w14:val="none"/>
        </w:rPr>
        <w:noBreakHyphen/>
        <w:t>control schedules in rain</w:t>
      </w:r>
      <w:r w:rsidRPr="00854C60">
        <w:rPr>
          <w:rFonts w:ascii="Times New Roman" w:eastAsia="Times New Roman" w:hAnsi="Times New Roman" w:cs="Times New Roman"/>
          <w:kern w:val="0"/>
          <w:sz w:val="24"/>
          <w:szCs w:val="24"/>
          <w:lang w:eastAsia="en-IN"/>
          <w14:ligatures w14:val="none"/>
        </w:rPr>
        <w:noBreakHyphen/>
        <w:t xml:space="preserve">fed sesame. </w:t>
      </w:r>
      <w:r w:rsidRPr="00854C60">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854C60">
        <w:rPr>
          <w:rFonts w:ascii="Times New Roman" w:eastAsia="Times New Roman" w:hAnsi="Times New Roman" w:cs="Times New Roman"/>
          <w:kern w:val="0"/>
          <w:sz w:val="24"/>
          <w:szCs w:val="24"/>
          <w:lang w:eastAsia="en-IN"/>
          <w14:ligatures w14:val="none"/>
        </w:rPr>
        <w:t>, 11(4), 453</w:t>
      </w:r>
      <w:r w:rsidRPr="00854C60">
        <w:rPr>
          <w:rFonts w:ascii="Times New Roman" w:eastAsia="Times New Roman" w:hAnsi="Times New Roman" w:cs="Times New Roman"/>
          <w:kern w:val="0"/>
          <w:sz w:val="24"/>
          <w:szCs w:val="24"/>
          <w:lang w:eastAsia="en-IN"/>
          <w14:ligatures w14:val="none"/>
        </w:rPr>
        <w:noBreakHyphen/>
        <w:t>461.</w:t>
      </w:r>
    </w:p>
    <w:p w14:paraId="51318467"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lastRenderedPageBreak/>
        <w:t>Joshi, L., Meena, R. S., &amp; Kant, A. (2021). Effect of two</w:t>
      </w:r>
      <w:r w:rsidRPr="00854C60">
        <w:rPr>
          <w:rFonts w:ascii="Times New Roman" w:eastAsia="Times New Roman" w:hAnsi="Times New Roman" w:cs="Times New Roman"/>
          <w:kern w:val="0"/>
          <w:sz w:val="24"/>
          <w:szCs w:val="24"/>
          <w:lang w:eastAsia="en-IN"/>
          <w14:ligatures w14:val="none"/>
        </w:rPr>
        <w:noBreakHyphen/>
        <w:t>stage hand</w:t>
      </w:r>
      <w:r w:rsidRPr="00854C60">
        <w:rPr>
          <w:rFonts w:ascii="Times New Roman" w:eastAsia="Times New Roman" w:hAnsi="Times New Roman" w:cs="Times New Roman"/>
          <w:kern w:val="0"/>
          <w:sz w:val="24"/>
          <w:szCs w:val="24"/>
          <w:lang w:eastAsia="en-IN"/>
          <w14:ligatures w14:val="none"/>
        </w:rPr>
        <w:noBreakHyphen/>
        <w:t xml:space="preserve">weeding and herbicide integration on growth parameters of sesame. </w:t>
      </w:r>
      <w:r w:rsidRPr="00854C60">
        <w:rPr>
          <w:rFonts w:ascii="Times New Roman" w:eastAsia="Times New Roman" w:hAnsi="Times New Roman" w:cs="Times New Roman"/>
          <w:i/>
          <w:iCs/>
          <w:kern w:val="0"/>
          <w:sz w:val="24"/>
          <w:szCs w:val="24"/>
          <w:lang w:eastAsia="en-IN"/>
          <w14:ligatures w14:val="none"/>
        </w:rPr>
        <w:t>Asian Journal of Agricultural Research</w:t>
      </w:r>
      <w:r w:rsidRPr="00854C60">
        <w:rPr>
          <w:rFonts w:ascii="Times New Roman" w:eastAsia="Times New Roman" w:hAnsi="Times New Roman" w:cs="Times New Roman"/>
          <w:kern w:val="0"/>
          <w:sz w:val="24"/>
          <w:szCs w:val="24"/>
          <w:lang w:eastAsia="en-IN"/>
          <w14:ligatures w14:val="none"/>
        </w:rPr>
        <w:t>, 15(3), 125</w:t>
      </w:r>
      <w:r w:rsidRPr="00854C60">
        <w:rPr>
          <w:rFonts w:ascii="Times New Roman" w:eastAsia="Times New Roman" w:hAnsi="Times New Roman" w:cs="Times New Roman"/>
          <w:kern w:val="0"/>
          <w:sz w:val="24"/>
          <w:szCs w:val="24"/>
          <w:lang w:eastAsia="en-IN"/>
          <w14:ligatures w14:val="none"/>
        </w:rPr>
        <w:noBreakHyphen/>
        <w:t>131.</w:t>
      </w:r>
    </w:p>
    <w:p w14:paraId="73B15010"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Kamani, M. M., &amp; Patel, P. K. (2022). Nitrogen fertilisation effects on sesame height and canopy attributes. </w:t>
      </w:r>
      <w:r w:rsidRPr="00854C60">
        <w:rPr>
          <w:rFonts w:ascii="Times New Roman" w:eastAsia="Times New Roman" w:hAnsi="Times New Roman" w:cs="Times New Roman"/>
          <w:i/>
          <w:iCs/>
          <w:kern w:val="0"/>
          <w:sz w:val="24"/>
          <w:szCs w:val="24"/>
          <w:lang w:eastAsia="en-IN"/>
          <w14:ligatures w14:val="none"/>
        </w:rPr>
        <w:t>Research Journal of Agricultural Sciences</w:t>
      </w:r>
      <w:r w:rsidRPr="00854C60">
        <w:rPr>
          <w:rFonts w:ascii="Times New Roman" w:eastAsia="Times New Roman" w:hAnsi="Times New Roman" w:cs="Times New Roman"/>
          <w:kern w:val="0"/>
          <w:sz w:val="24"/>
          <w:szCs w:val="24"/>
          <w:lang w:eastAsia="en-IN"/>
          <w14:ligatures w14:val="none"/>
        </w:rPr>
        <w:t>, 13(2), 332</w:t>
      </w:r>
      <w:r w:rsidRPr="00854C60">
        <w:rPr>
          <w:rFonts w:ascii="Times New Roman" w:eastAsia="Times New Roman" w:hAnsi="Times New Roman" w:cs="Times New Roman"/>
          <w:kern w:val="0"/>
          <w:sz w:val="24"/>
          <w:szCs w:val="24"/>
          <w:lang w:eastAsia="en-IN"/>
          <w14:ligatures w14:val="none"/>
        </w:rPr>
        <w:noBreakHyphen/>
        <w:t>336.</w:t>
      </w:r>
    </w:p>
    <w:p w14:paraId="74595E2F"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Kamani, M. M., Patel, P. K., &amp; Desai, L. J. (2022). Interaction of nitrogen and weed management on weed flora and nutrient uptake in sesame (</w:t>
      </w:r>
      <w:r w:rsidRPr="00854C60">
        <w:rPr>
          <w:rFonts w:ascii="Times New Roman" w:eastAsia="Times New Roman" w:hAnsi="Times New Roman" w:cs="Times New Roman"/>
          <w:i/>
          <w:iCs/>
          <w:kern w:val="0"/>
          <w:sz w:val="24"/>
          <w:szCs w:val="24"/>
          <w:lang w:eastAsia="en-IN"/>
          <w14:ligatures w14:val="none"/>
        </w:rPr>
        <w:t>Sesamum indicum</w:t>
      </w:r>
      <w:r w:rsidRPr="00854C60">
        <w:rPr>
          <w:rFonts w:ascii="Times New Roman" w:eastAsia="Times New Roman" w:hAnsi="Times New Roman" w:cs="Times New Roman"/>
          <w:kern w:val="0"/>
          <w:sz w:val="24"/>
          <w:szCs w:val="24"/>
          <w:lang w:eastAsia="en-IN"/>
          <w14:ligatures w14:val="none"/>
        </w:rPr>
        <w:t xml:space="preserve"> L.). </w:t>
      </w:r>
      <w:r w:rsidRPr="00854C60">
        <w:rPr>
          <w:rFonts w:ascii="Times New Roman" w:eastAsia="Times New Roman" w:hAnsi="Times New Roman" w:cs="Times New Roman"/>
          <w:i/>
          <w:iCs/>
          <w:kern w:val="0"/>
          <w:sz w:val="24"/>
          <w:szCs w:val="24"/>
          <w:lang w:eastAsia="en-IN"/>
          <w14:ligatures w14:val="none"/>
        </w:rPr>
        <w:t>Agricultural Science Digest</w:t>
      </w:r>
      <w:r w:rsidRPr="00854C60">
        <w:rPr>
          <w:rFonts w:ascii="Times New Roman" w:eastAsia="Times New Roman" w:hAnsi="Times New Roman" w:cs="Times New Roman"/>
          <w:kern w:val="0"/>
          <w:sz w:val="24"/>
          <w:szCs w:val="24"/>
          <w:lang w:eastAsia="en-IN"/>
          <w14:ligatures w14:val="none"/>
        </w:rPr>
        <w:t>, 42(1), 12</w:t>
      </w:r>
      <w:r w:rsidRPr="00854C60">
        <w:rPr>
          <w:rFonts w:ascii="Times New Roman" w:eastAsia="Times New Roman" w:hAnsi="Times New Roman" w:cs="Times New Roman"/>
          <w:kern w:val="0"/>
          <w:sz w:val="24"/>
          <w:szCs w:val="24"/>
          <w:lang w:eastAsia="en-IN"/>
          <w14:ligatures w14:val="none"/>
        </w:rPr>
        <w:noBreakHyphen/>
        <w:t>17.</w:t>
      </w:r>
    </w:p>
    <w:p w14:paraId="237F3254"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Kumar, P., Singh, R.K., &amp; Verma, R. (2018). Weed flora and its management in 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w:t>
      </w:r>
      <w:r w:rsidRPr="002A25BB">
        <w:rPr>
          <w:rFonts w:ascii="Times New Roman" w:eastAsia="Times New Roman" w:hAnsi="Times New Roman" w:cs="Times New Roman"/>
          <w:i/>
          <w:iCs/>
          <w:kern w:val="0"/>
          <w:sz w:val="24"/>
          <w:szCs w:val="24"/>
          <w:lang w:eastAsia="en-IN"/>
          <w14:ligatures w14:val="none"/>
        </w:rPr>
        <w:t>Journal of Pharmacognosy and Phytochemistry</w:t>
      </w:r>
      <w:r w:rsidRPr="002A25BB">
        <w:rPr>
          <w:rFonts w:ascii="Times New Roman" w:eastAsia="Times New Roman" w:hAnsi="Times New Roman" w:cs="Times New Roman"/>
          <w:kern w:val="0"/>
          <w:sz w:val="24"/>
          <w:szCs w:val="24"/>
          <w:lang w:eastAsia="en-IN"/>
          <w14:ligatures w14:val="none"/>
        </w:rPr>
        <w:t>, 7(5), 1298–1301.</w:t>
      </w:r>
    </w:p>
    <w:p w14:paraId="61BA80BA"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Pandey, A., Tiwari, R.K., &amp; Singh, B. (2019). Nutrient management in relation to weed dynamics in field crops. </w:t>
      </w:r>
      <w:r w:rsidRPr="002A25BB">
        <w:rPr>
          <w:rFonts w:ascii="Times New Roman" w:eastAsia="Times New Roman" w:hAnsi="Times New Roman" w:cs="Times New Roman"/>
          <w:i/>
          <w:iCs/>
          <w:kern w:val="0"/>
          <w:sz w:val="24"/>
          <w:szCs w:val="24"/>
          <w:lang w:eastAsia="en-IN"/>
          <w14:ligatures w14:val="none"/>
        </w:rPr>
        <w:t>Indian Journal of Agronomy</w:t>
      </w:r>
      <w:r w:rsidRPr="002A25BB">
        <w:rPr>
          <w:rFonts w:ascii="Times New Roman" w:eastAsia="Times New Roman" w:hAnsi="Times New Roman" w:cs="Times New Roman"/>
          <w:kern w:val="0"/>
          <w:sz w:val="24"/>
          <w:szCs w:val="24"/>
          <w:lang w:eastAsia="en-IN"/>
          <w14:ligatures w14:val="none"/>
        </w:rPr>
        <w:t>, 64(4), 433–440.</w:t>
      </w:r>
    </w:p>
    <w:p w14:paraId="4AE952F6"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Patel, J.J., Thakur, T.C., &amp; Chaudhary, P. (2020). Constraints in adoption of herbicides in smallholder oilseed farming. </w:t>
      </w:r>
      <w:r w:rsidRPr="002A25BB">
        <w:rPr>
          <w:rFonts w:ascii="Times New Roman" w:eastAsia="Times New Roman" w:hAnsi="Times New Roman" w:cs="Times New Roman"/>
          <w:i/>
          <w:iCs/>
          <w:kern w:val="0"/>
          <w:sz w:val="24"/>
          <w:szCs w:val="24"/>
          <w:lang w:eastAsia="en-IN"/>
          <w14:ligatures w14:val="none"/>
        </w:rPr>
        <w:t>Indian Journal of Extension Education</w:t>
      </w:r>
      <w:r w:rsidRPr="002A25BB">
        <w:rPr>
          <w:rFonts w:ascii="Times New Roman" w:eastAsia="Times New Roman" w:hAnsi="Times New Roman" w:cs="Times New Roman"/>
          <w:kern w:val="0"/>
          <w:sz w:val="24"/>
          <w:szCs w:val="24"/>
          <w:lang w:eastAsia="en-IN"/>
          <w14:ligatures w14:val="none"/>
        </w:rPr>
        <w:t>, 56(1), 90–93.</w:t>
      </w:r>
    </w:p>
    <w:p w14:paraId="742076B7" w14:textId="77777777" w:rsidR="00AB36A1" w:rsidRPr="00932ACA"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 xml:space="preserve">Rahman, M. A., Islam, M. S., Hossain, M. M. &amp; Ali, M. (2021). </w:t>
      </w:r>
      <w:r w:rsidRPr="000B1EDF">
        <w:rPr>
          <w:rFonts w:ascii="Times New Roman" w:eastAsia="Times New Roman" w:hAnsi="Times New Roman" w:cs="Times New Roman"/>
          <w:i/>
          <w:iCs/>
          <w:kern w:val="0"/>
          <w:sz w:val="24"/>
          <w:szCs w:val="24"/>
          <w:lang w:eastAsia="en-IN"/>
          <w14:ligatures w14:val="none"/>
        </w:rPr>
        <w:t>Improved ¹⁵N recovery and nitrogen</w:t>
      </w:r>
      <w:r w:rsidRPr="000B1EDF">
        <w:rPr>
          <w:rFonts w:ascii="Times New Roman" w:eastAsia="Times New Roman" w:hAnsi="Times New Roman" w:cs="Times New Roman"/>
          <w:i/>
          <w:iCs/>
          <w:kern w:val="0"/>
          <w:sz w:val="24"/>
          <w:szCs w:val="24"/>
          <w:lang w:eastAsia="en-IN"/>
          <w14:ligatures w14:val="none"/>
        </w:rPr>
        <w:noBreakHyphen/>
        <w:t>use efficiency in sesame through combined chemical and mechanical weed control.</w:t>
      </w:r>
      <w:r w:rsidRPr="000B1EDF">
        <w:rPr>
          <w:rFonts w:ascii="Times New Roman" w:eastAsia="Times New Roman" w:hAnsi="Times New Roman" w:cs="Times New Roman"/>
          <w:kern w:val="0"/>
          <w:sz w:val="24"/>
          <w:szCs w:val="24"/>
          <w:lang w:eastAsia="en-IN"/>
          <w14:ligatures w14:val="none"/>
        </w:rPr>
        <w:t xml:space="preserve"> Agronomy Journal, 113 (6), 5024 – 5033.</w:t>
      </w:r>
    </w:p>
    <w:p w14:paraId="1C773209"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FA79F8">
        <w:rPr>
          <w:rFonts w:ascii="Times New Roman" w:eastAsia="Times New Roman" w:hAnsi="Times New Roman" w:cs="Times New Roman"/>
          <w:kern w:val="0"/>
          <w:sz w:val="24"/>
          <w:szCs w:val="24"/>
          <w:lang w:eastAsia="en-IN"/>
          <w14:ligatures w14:val="none"/>
        </w:rPr>
        <w:t>Reddy, V. H., Dawson, J., Srinu, K., &amp; Sai, G. D. (2022). Effect of different levels of nitrogen and potassium on growth and yield of Sesame (Sesamum indicum L.). </w:t>
      </w:r>
      <w:r w:rsidRPr="00FA79F8">
        <w:rPr>
          <w:rFonts w:ascii="Times New Roman" w:eastAsia="Times New Roman" w:hAnsi="Times New Roman" w:cs="Times New Roman"/>
          <w:i/>
          <w:iCs/>
          <w:kern w:val="0"/>
          <w:sz w:val="24"/>
          <w:szCs w:val="24"/>
          <w:lang w:eastAsia="en-IN"/>
          <w14:ligatures w14:val="none"/>
        </w:rPr>
        <w:t>The Pharma Innovation Journal</w:t>
      </w:r>
      <w:r w:rsidRPr="00FA79F8">
        <w:rPr>
          <w:rFonts w:ascii="Times New Roman" w:eastAsia="Times New Roman" w:hAnsi="Times New Roman" w:cs="Times New Roman"/>
          <w:kern w:val="0"/>
          <w:sz w:val="24"/>
          <w:szCs w:val="24"/>
          <w:lang w:eastAsia="en-IN"/>
          <w14:ligatures w14:val="none"/>
        </w:rPr>
        <w:t>, </w:t>
      </w:r>
      <w:r w:rsidRPr="00FA79F8">
        <w:rPr>
          <w:rFonts w:ascii="Times New Roman" w:eastAsia="Times New Roman" w:hAnsi="Times New Roman" w:cs="Times New Roman"/>
          <w:i/>
          <w:iCs/>
          <w:kern w:val="0"/>
          <w:sz w:val="24"/>
          <w:szCs w:val="24"/>
          <w:lang w:eastAsia="en-IN"/>
          <w14:ligatures w14:val="none"/>
        </w:rPr>
        <w:t>11</w:t>
      </w:r>
      <w:r w:rsidRPr="00FA79F8">
        <w:rPr>
          <w:rFonts w:ascii="Times New Roman" w:eastAsia="Times New Roman" w:hAnsi="Times New Roman" w:cs="Times New Roman"/>
          <w:kern w:val="0"/>
          <w:sz w:val="24"/>
          <w:szCs w:val="24"/>
          <w:lang w:eastAsia="en-IN"/>
          <w14:ligatures w14:val="none"/>
        </w:rPr>
        <w:t>(4), 969-972.</w:t>
      </w:r>
    </w:p>
    <w:p w14:paraId="23C737F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E01866">
        <w:rPr>
          <w:rFonts w:ascii="Times New Roman" w:eastAsia="Times New Roman" w:hAnsi="Times New Roman" w:cs="Times New Roman"/>
          <w:kern w:val="0"/>
          <w:sz w:val="24"/>
          <w:szCs w:val="24"/>
          <w:lang w:eastAsia="en-IN"/>
          <w14:ligatures w14:val="none"/>
        </w:rPr>
        <w:t>Sehgal, A., Smith, C. A., Walne, C. H., Chastain, D., Shankle, M., &amp; Reddy, K. R. (2021). Developing functional relationships between sesame growth, development, and nitrogen nutrition during early season. </w:t>
      </w:r>
      <w:proofErr w:type="spellStart"/>
      <w:r w:rsidRPr="00E01866">
        <w:rPr>
          <w:rFonts w:ascii="Times New Roman" w:eastAsia="Times New Roman" w:hAnsi="Times New Roman" w:cs="Times New Roman"/>
          <w:i/>
          <w:iCs/>
          <w:kern w:val="0"/>
          <w:sz w:val="24"/>
          <w:szCs w:val="24"/>
          <w:lang w:eastAsia="en-IN"/>
          <w14:ligatures w14:val="none"/>
        </w:rPr>
        <w:t>Agrosystems</w:t>
      </w:r>
      <w:proofErr w:type="spellEnd"/>
      <w:r w:rsidRPr="00E01866">
        <w:rPr>
          <w:rFonts w:ascii="Times New Roman" w:eastAsia="Times New Roman" w:hAnsi="Times New Roman" w:cs="Times New Roman"/>
          <w:i/>
          <w:iCs/>
          <w:kern w:val="0"/>
          <w:sz w:val="24"/>
          <w:szCs w:val="24"/>
          <w:lang w:eastAsia="en-IN"/>
          <w14:ligatures w14:val="none"/>
        </w:rPr>
        <w:t>, Geosciences &amp; Environment</w:t>
      </w:r>
      <w:r w:rsidRPr="00E01866">
        <w:rPr>
          <w:rFonts w:ascii="Times New Roman" w:eastAsia="Times New Roman" w:hAnsi="Times New Roman" w:cs="Times New Roman"/>
          <w:kern w:val="0"/>
          <w:sz w:val="24"/>
          <w:szCs w:val="24"/>
          <w:lang w:eastAsia="en-IN"/>
          <w14:ligatures w14:val="none"/>
        </w:rPr>
        <w:t>, </w:t>
      </w:r>
      <w:r w:rsidRPr="00E01866">
        <w:rPr>
          <w:rFonts w:ascii="Times New Roman" w:eastAsia="Times New Roman" w:hAnsi="Times New Roman" w:cs="Times New Roman"/>
          <w:i/>
          <w:iCs/>
          <w:kern w:val="0"/>
          <w:sz w:val="24"/>
          <w:szCs w:val="24"/>
          <w:lang w:eastAsia="en-IN"/>
          <w14:ligatures w14:val="none"/>
        </w:rPr>
        <w:t>4</w:t>
      </w:r>
      <w:r w:rsidRPr="00E01866">
        <w:rPr>
          <w:rFonts w:ascii="Times New Roman" w:eastAsia="Times New Roman" w:hAnsi="Times New Roman" w:cs="Times New Roman"/>
          <w:kern w:val="0"/>
          <w:sz w:val="24"/>
          <w:szCs w:val="24"/>
          <w:lang w:eastAsia="en-IN"/>
          <w14:ligatures w14:val="none"/>
        </w:rPr>
        <w:t>(3), e20198.</w:t>
      </w:r>
    </w:p>
    <w:p w14:paraId="2CBA0CFE"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Sharma, V., Meena, R.S., &amp; Saha, S. (2020). Influence of nitrogen and weed management practices on weed dynamics and productivity of oilseed crops. </w:t>
      </w:r>
      <w:r w:rsidRPr="002A25BB">
        <w:rPr>
          <w:rFonts w:ascii="Times New Roman" w:eastAsia="Times New Roman" w:hAnsi="Times New Roman" w:cs="Times New Roman"/>
          <w:i/>
          <w:iCs/>
          <w:kern w:val="0"/>
          <w:sz w:val="24"/>
          <w:szCs w:val="24"/>
          <w:lang w:eastAsia="en-IN"/>
          <w14:ligatures w14:val="none"/>
        </w:rPr>
        <w:t>Legume Research</w:t>
      </w:r>
      <w:r w:rsidRPr="002A25BB">
        <w:rPr>
          <w:rFonts w:ascii="Times New Roman" w:eastAsia="Times New Roman" w:hAnsi="Times New Roman" w:cs="Times New Roman"/>
          <w:kern w:val="0"/>
          <w:sz w:val="24"/>
          <w:szCs w:val="24"/>
          <w:lang w:eastAsia="en-IN"/>
          <w14:ligatures w14:val="none"/>
        </w:rPr>
        <w:t>, 43(5), 711–716.</w:t>
      </w:r>
    </w:p>
    <w:p w14:paraId="78912A16"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Singh, G., Mishra, J.S., &amp; Yadav, R.K. (2020). Agronomic strategies to improve productivity of 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A review. </w:t>
      </w:r>
      <w:r w:rsidRPr="002A25BB">
        <w:rPr>
          <w:rFonts w:ascii="Times New Roman" w:eastAsia="Times New Roman" w:hAnsi="Times New Roman" w:cs="Times New Roman"/>
          <w:i/>
          <w:iCs/>
          <w:kern w:val="0"/>
          <w:sz w:val="24"/>
          <w:szCs w:val="24"/>
          <w:lang w:eastAsia="en-IN"/>
          <w14:ligatures w14:val="none"/>
        </w:rPr>
        <w:t>Oilseeds Research</w:t>
      </w:r>
      <w:r w:rsidRPr="002A25BB">
        <w:rPr>
          <w:rFonts w:ascii="Times New Roman" w:eastAsia="Times New Roman" w:hAnsi="Times New Roman" w:cs="Times New Roman"/>
          <w:kern w:val="0"/>
          <w:sz w:val="24"/>
          <w:szCs w:val="24"/>
          <w:lang w:eastAsia="en-IN"/>
          <w14:ligatures w14:val="none"/>
        </w:rPr>
        <w:t>, 37(2), 139–144.</w:t>
      </w:r>
    </w:p>
    <w:p w14:paraId="7408889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Singh, P., Bhatia, A., &amp; Singh, H. (2019). Influence of integrated weed management on growth and yield attributes of sesame in north</w:t>
      </w:r>
      <w:r w:rsidRPr="00854C60">
        <w:rPr>
          <w:rFonts w:ascii="Times New Roman" w:eastAsia="Times New Roman" w:hAnsi="Times New Roman" w:cs="Times New Roman"/>
          <w:kern w:val="0"/>
          <w:sz w:val="24"/>
          <w:szCs w:val="24"/>
          <w:lang w:eastAsia="en-IN"/>
          <w14:ligatures w14:val="none"/>
        </w:rPr>
        <w:noBreakHyphen/>
        <w:t xml:space="preserve">west India. </w:t>
      </w:r>
      <w:r w:rsidRPr="00854C60">
        <w:rPr>
          <w:rFonts w:ascii="Times New Roman" w:eastAsia="Times New Roman" w:hAnsi="Times New Roman" w:cs="Times New Roman"/>
          <w:i/>
          <w:iCs/>
          <w:kern w:val="0"/>
          <w:sz w:val="24"/>
          <w:szCs w:val="24"/>
          <w:lang w:eastAsia="en-IN"/>
          <w14:ligatures w14:val="none"/>
        </w:rPr>
        <w:t>Journal of Pharmacognosy and Phytochemistry</w:t>
      </w:r>
      <w:r w:rsidRPr="00854C60">
        <w:rPr>
          <w:rFonts w:ascii="Times New Roman" w:eastAsia="Times New Roman" w:hAnsi="Times New Roman" w:cs="Times New Roman"/>
          <w:kern w:val="0"/>
          <w:sz w:val="24"/>
          <w:szCs w:val="24"/>
          <w:lang w:eastAsia="en-IN"/>
          <w14:ligatures w14:val="none"/>
        </w:rPr>
        <w:t>, 8(5), 1911</w:t>
      </w:r>
      <w:r w:rsidRPr="00854C60">
        <w:rPr>
          <w:rFonts w:ascii="Times New Roman" w:eastAsia="Times New Roman" w:hAnsi="Times New Roman" w:cs="Times New Roman"/>
          <w:kern w:val="0"/>
          <w:sz w:val="24"/>
          <w:szCs w:val="24"/>
          <w:lang w:eastAsia="en-IN"/>
          <w14:ligatures w14:val="none"/>
        </w:rPr>
        <w:noBreakHyphen/>
        <w:t>1914.</w:t>
      </w:r>
    </w:p>
    <w:p w14:paraId="066C4F8A"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lastRenderedPageBreak/>
        <w:t>Singh,</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S., Sharma,</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R.</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K., &amp; Verma,</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R.</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K. (2018). Effect of integrated weed</w:t>
      </w:r>
      <w:r w:rsidRPr="00854C60">
        <w:rPr>
          <w:rFonts w:ascii="Times New Roman" w:eastAsia="Times New Roman" w:hAnsi="Times New Roman" w:cs="Times New Roman"/>
          <w:kern w:val="0"/>
          <w:sz w:val="24"/>
          <w:szCs w:val="24"/>
          <w:lang w:eastAsia="en-IN"/>
          <w14:ligatures w14:val="none"/>
        </w:rPr>
        <w:noBreakHyphen/>
        <w:t>management practices on weed dynamics and seed yield of sesame (</w:t>
      </w:r>
      <w:r w:rsidRPr="00854C60">
        <w:rPr>
          <w:rFonts w:ascii="Times New Roman" w:eastAsia="Times New Roman" w:hAnsi="Times New Roman" w:cs="Times New Roman"/>
          <w:i/>
          <w:iCs/>
          <w:kern w:val="0"/>
          <w:sz w:val="24"/>
          <w:szCs w:val="24"/>
          <w:lang w:eastAsia="en-IN"/>
          <w14:ligatures w14:val="none"/>
        </w:rPr>
        <w:t>Sesamum indicum</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 xml:space="preserve">L.). </w:t>
      </w:r>
      <w:r w:rsidRPr="00854C60">
        <w:rPr>
          <w:rFonts w:ascii="Times New Roman" w:eastAsia="Times New Roman" w:hAnsi="Times New Roman" w:cs="Times New Roman"/>
          <w:i/>
          <w:iCs/>
          <w:kern w:val="0"/>
          <w:sz w:val="24"/>
          <w:szCs w:val="24"/>
          <w:lang w:eastAsia="en-IN"/>
          <w14:ligatures w14:val="none"/>
        </w:rPr>
        <w:t>Indian Journal of Weed Science</w:t>
      </w:r>
      <w:r w:rsidRPr="00854C60">
        <w:rPr>
          <w:rFonts w:ascii="Times New Roman" w:eastAsia="Times New Roman" w:hAnsi="Times New Roman" w:cs="Times New Roman"/>
          <w:kern w:val="0"/>
          <w:sz w:val="24"/>
          <w:szCs w:val="24"/>
          <w:lang w:eastAsia="en-IN"/>
          <w14:ligatures w14:val="none"/>
        </w:rPr>
        <w:t>, 50(2),</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168</w:t>
      </w:r>
      <w:r w:rsidRPr="00854C60">
        <w:rPr>
          <w:rFonts w:ascii="Times New Roman" w:eastAsia="Times New Roman" w:hAnsi="Times New Roman" w:cs="Times New Roman"/>
          <w:kern w:val="0"/>
          <w:sz w:val="24"/>
          <w:szCs w:val="24"/>
          <w:lang w:eastAsia="en-IN"/>
          <w14:ligatures w14:val="none"/>
        </w:rPr>
        <w:noBreakHyphen/>
        <w:t>173.</w:t>
      </w:r>
    </w:p>
    <w:p w14:paraId="04341669"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Sujithra, R., &amp; Somasundaram, E. (2020). Integrated weed management boosts plant height and yield in sesame. </w:t>
      </w:r>
      <w:r w:rsidRPr="00854C60">
        <w:rPr>
          <w:rFonts w:ascii="Times New Roman" w:eastAsia="Times New Roman" w:hAnsi="Times New Roman" w:cs="Times New Roman"/>
          <w:i/>
          <w:iCs/>
          <w:kern w:val="0"/>
          <w:sz w:val="24"/>
          <w:szCs w:val="24"/>
          <w:lang w:eastAsia="en-IN"/>
          <w14:ligatures w14:val="none"/>
        </w:rPr>
        <w:t>Plant Archives</w:t>
      </w:r>
      <w:r w:rsidRPr="00854C60">
        <w:rPr>
          <w:rFonts w:ascii="Times New Roman" w:eastAsia="Times New Roman" w:hAnsi="Times New Roman" w:cs="Times New Roman"/>
          <w:kern w:val="0"/>
          <w:sz w:val="24"/>
          <w:szCs w:val="24"/>
          <w:lang w:eastAsia="en-IN"/>
          <w14:ligatures w14:val="none"/>
        </w:rPr>
        <w:t>, 20(Supplement 2), 1902</w:t>
      </w:r>
      <w:r w:rsidRPr="00854C60">
        <w:rPr>
          <w:rFonts w:ascii="Times New Roman" w:eastAsia="Times New Roman" w:hAnsi="Times New Roman" w:cs="Times New Roman"/>
          <w:kern w:val="0"/>
          <w:sz w:val="24"/>
          <w:szCs w:val="24"/>
          <w:lang w:eastAsia="en-IN"/>
          <w14:ligatures w14:val="none"/>
        </w:rPr>
        <w:noBreakHyphen/>
        <w:t>1906.</w:t>
      </w:r>
    </w:p>
    <w:p w14:paraId="5D4C733D"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Sujithra, R., Somasundaram, E., &amp; Chandrasekaran, B. (2018). Comparative efficacy of herbicides and hand</w:t>
      </w:r>
      <w:r w:rsidRPr="00854C60">
        <w:rPr>
          <w:rFonts w:ascii="Times New Roman" w:eastAsia="Times New Roman" w:hAnsi="Times New Roman" w:cs="Times New Roman"/>
          <w:kern w:val="0"/>
          <w:sz w:val="24"/>
          <w:szCs w:val="24"/>
          <w:lang w:eastAsia="en-IN"/>
          <w14:ligatures w14:val="none"/>
        </w:rPr>
        <w:noBreakHyphen/>
        <w:t xml:space="preserve">weeding on growth and productivity of sesame under southern Indian conditions. </w:t>
      </w:r>
      <w:r w:rsidRPr="00854C60">
        <w:rPr>
          <w:rFonts w:ascii="Times New Roman" w:eastAsia="Times New Roman" w:hAnsi="Times New Roman" w:cs="Times New Roman"/>
          <w:i/>
          <w:iCs/>
          <w:kern w:val="0"/>
          <w:sz w:val="24"/>
          <w:szCs w:val="24"/>
          <w:lang w:eastAsia="en-IN"/>
          <w14:ligatures w14:val="none"/>
        </w:rPr>
        <w:t>Madras Agricultural Journal</w:t>
      </w:r>
      <w:r w:rsidRPr="00854C60">
        <w:rPr>
          <w:rFonts w:ascii="Times New Roman" w:eastAsia="Times New Roman" w:hAnsi="Times New Roman" w:cs="Times New Roman"/>
          <w:kern w:val="0"/>
          <w:sz w:val="24"/>
          <w:szCs w:val="24"/>
          <w:lang w:eastAsia="en-IN"/>
          <w14:ligatures w14:val="none"/>
        </w:rPr>
        <w:t>, 105(1</w:t>
      </w:r>
      <w:r w:rsidRPr="00854C60">
        <w:rPr>
          <w:rFonts w:ascii="Times New Roman" w:eastAsia="Times New Roman" w:hAnsi="Times New Roman" w:cs="Times New Roman"/>
          <w:kern w:val="0"/>
          <w:sz w:val="24"/>
          <w:szCs w:val="24"/>
          <w:lang w:eastAsia="en-IN"/>
          <w14:ligatures w14:val="none"/>
        </w:rPr>
        <w:noBreakHyphen/>
        <w:t>3), 27</w:t>
      </w:r>
      <w:r w:rsidRPr="00854C60">
        <w:rPr>
          <w:rFonts w:ascii="Times New Roman" w:eastAsia="Times New Roman" w:hAnsi="Times New Roman" w:cs="Times New Roman"/>
          <w:kern w:val="0"/>
          <w:sz w:val="24"/>
          <w:szCs w:val="24"/>
          <w:lang w:eastAsia="en-IN"/>
          <w14:ligatures w14:val="none"/>
        </w:rPr>
        <w:noBreakHyphen/>
        <w:t>31.</w:t>
      </w:r>
    </w:p>
    <w:p w14:paraId="58EDD4BC"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Verma, K., &amp; Singh, A.K. (2022). Herbicide use in oilseed crops: Trends, efficacy, and environmental considerations. </w:t>
      </w:r>
      <w:r w:rsidRPr="002A25BB">
        <w:rPr>
          <w:rFonts w:ascii="Times New Roman" w:eastAsia="Times New Roman" w:hAnsi="Times New Roman" w:cs="Times New Roman"/>
          <w:i/>
          <w:iCs/>
          <w:kern w:val="0"/>
          <w:sz w:val="24"/>
          <w:szCs w:val="24"/>
          <w:lang w:eastAsia="en-IN"/>
          <w14:ligatures w14:val="none"/>
        </w:rPr>
        <w:t>Indian Journal of Weed Science</w:t>
      </w:r>
      <w:r w:rsidRPr="002A25BB">
        <w:rPr>
          <w:rFonts w:ascii="Times New Roman" w:eastAsia="Times New Roman" w:hAnsi="Times New Roman" w:cs="Times New Roman"/>
          <w:kern w:val="0"/>
          <w:sz w:val="24"/>
          <w:szCs w:val="24"/>
          <w:lang w:eastAsia="en-IN"/>
          <w14:ligatures w14:val="none"/>
        </w:rPr>
        <w:t>, 54(2), 125–133.</w:t>
      </w:r>
    </w:p>
    <w:p w14:paraId="37070784" w14:textId="77777777" w:rsidR="00AB36A1" w:rsidRPr="00BA6558"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Yadav, D.S., Kumar, A., &amp; Chaudhary, S. (2021). Weed control strategies in oilseed crops under Indian conditions. </w:t>
      </w:r>
      <w:r w:rsidRPr="002A25BB">
        <w:rPr>
          <w:rFonts w:ascii="Times New Roman" w:eastAsia="Times New Roman" w:hAnsi="Times New Roman" w:cs="Times New Roman"/>
          <w:i/>
          <w:iCs/>
          <w:kern w:val="0"/>
          <w:sz w:val="24"/>
          <w:szCs w:val="24"/>
          <w:lang w:eastAsia="en-IN"/>
          <w14:ligatures w14:val="none"/>
        </w:rPr>
        <w:t>Agricultural Reviews</w:t>
      </w:r>
      <w:r w:rsidRPr="002A25BB">
        <w:rPr>
          <w:rFonts w:ascii="Times New Roman" w:eastAsia="Times New Roman" w:hAnsi="Times New Roman" w:cs="Times New Roman"/>
          <w:kern w:val="0"/>
          <w:sz w:val="24"/>
          <w:szCs w:val="24"/>
          <w:lang w:eastAsia="en-IN"/>
          <w14:ligatures w14:val="none"/>
        </w:rPr>
        <w:t>, 42(4), 314–319.</w:t>
      </w:r>
    </w:p>
    <w:p w14:paraId="471DB07E" w14:textId="77777777" w:rsidR="00E73C9E" w:rsidRPr="00932ACA" w:rsidRDefault="00E73C9E" w:rsidP="00E73C9E"/>
    <w:p w14:paraId="56E11C97" w14:textId="77777777" w:rsidR="003E2FFB" w:rsidRDefault="003E2FFB" w:rsidP="002A25BB">
      <w:pPr>
        <w:rPr>
          <w:rFonts w:ascii="Times New Roman" w:hAnsi="Times New Roman" w:cs="Times New Roman"/>
          <w:sz w:val="24"/>
          <w:szCs w:val="24"/>
        </w:rPr>
        <w:sectPr w:rsidR="003E2F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514AEF66" w14:textId="7FF89286" w:rsidR="00663938" w:rsidRDefault="00663938" w:rsidP="002A25BB">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Table 1. </w:t>
      </w:r>
      <w:r w:rsidRPr="00663938">
        <w:rPr>
          <w:rFonts w:ascii="Times New Roman" w:hAnsi="Times New Roman" w:cs="Times New Roman"/>
          <w:sz w:val="24"/>
          <w:szCs w:val="24"/>
          <w:lang w:val="en-US"/>
        </w:rPr>
        <w:t xml:space="preserve">Effect of weed management and nitrogen levels on </w:t>
      </w:r>
      <w:r w:rsidR="00E511AC">
        <w:rPr>
          <w:rFonts w:ascii="Times New Roman" w:hAnsi="Times New Roman" w:cs="Times New Roman"/>
          <w:sz w:val="24"/>
          <w:szCs w:val="24"/>
          <w:lang w:val="en-US"/>
        </w:rPr>
        <w:t xml:space="preserve">total </w:t>
      </w:r>
      <w:r w:rsidRPr="00663938">
        <w:rPr>
          <w:rFonts w:ascii="Times New Roman" w:hAnsi="Times New Roman" w:cs="Times New Roman"/>
          <w:sz w:val="24"/>
          <w:szCs w:val="24"/>
          <w:lang w:val="en-US"/>
        </w:rPr>
        <w:t>weed density</w:t>
      </w:r>
      <w:r w:rsidR="00AB36A1">
        <w:rPr>
          <w:rFonts w:ascii="Times New Roman" w:hAnsi="Times New Roman" w:cs="Times New Roman"/>
          <w:sz w:val="24"/>
          <w:szCs w:val="24"/>
          <w:lang w:val="en-US"/>
        </w:rPr>
        <w:t xml:space="preserve"> and </w:t>
      </w:r>
      <w:r w:rsidRPr="00663938">
        <w:rPr>
          <w:rFonts w:ascii="Times New Roman" w:hAnsi="Times New Roman" w:cs="Times New Roman"/>
          <w:sz w:val="24"/>
          <w:szCs w:val="24"/>
          <w:lang w:val="en-US"/>
        </w:rPr>
        <w:t>weed infestation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133"/>
        <w:gridCol w:w="1794"/>
        <w:gridCol w:w="1732"/>
        <w:gridCol w:w="1671"/>
        <w:gridCol w:w="1618"/>
      </w:tblGrid>
      <w:tr w:rsidR="00DA194E" w:rsidRPr="00697E42" w14:paraId="6FD39BA8" w14:textId="73DCA210" w:rsidTr="00DA194E">
        <w:trPr>
          <w:trHeight w:val="20"/>
        </w:trPr>
        <w:tc>
          <w:tcPr>
            <w:tcW w:w="2557" w:type="pct"/>
            <w:vMerge w:val="restart"/>
          </w:tcPr>
          <w:p w14:paraId="6C16E51A" w14:textId="45FD36AC"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Treatment</w:t>
            </w:r>
          </w:p>
        </w:tc>
        <w:tc>
          <w:tcPr>
            <w:tcW w:w="1264" w:type="pct"/>
            <w:gridSpan w:val="2"/>
            <w:tcBorders>
              <w:bottom w:val="single" w:sz="4" w:space="0" w:color="auto"/>
            </w:tcBorders>
          </w:tcPr>
          <w:p w14:paraId="0DABA599" w14:textId="5F23590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Total Weed density (no. m</w:t>
            </w:r>
            <w:r w:rsidRPr="00697E42">
              <w:rPr>
                <w:rFonts w:ascii="Times New Roman" w:hAnsi="Times New Roman" w:cs="Times New Roman"/>
                <w:sz w:val="24"/>
                <w:szCs w:val="24"/>
                <w:vertAlign w:val="superscript"/>
                <w:lang w:val="en-US"/>
              </w:rPr>
              <w:t>-2</w:t>
            </w:r>
            <w:r w:rsidRPr="00697E42">
              <w:rPr>
                <w:rFonts w:ascii="Times New Roman" w:hAnsi="Times New Roman" w:cs="Times New Roman"/>
                <w:sz w:val="24"/>
                <w:szCs w:val="24"/>
                <w:lang w:val="en-US"/>
              </w:rPr>
              <w:t>)</w:t>
            </w:r>
          </w:p>
        </w:tc>
        <w:tc>
          <w:tcPr>
            <w:tcW w:w="1179" w:type="pct"/>
            <w:gridSpan w:val="2"/>
            <w:tcBorders>
              <w:bottom w:val="single" w:sz="4" w:space="0" w:color="auto"/>
              <w:right w:val="single" w:sz="4" w:space="0" w:color="auto"/>
            </w:tcBorders>
          </w:tcPr>
          <w:p w14:paraId="4E6E12CA" w14:textId="2D46C4B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Weed infestation (%)</w:t>
            </w:r>
          </w:p>
        </w:tc>
      </w:tr>
      <w:tr w:rsidR="00DA194E" w:rsidRPr="00697E42" w14:paraId="688EDA5F" w14:textId="7031C722" w:rsidTr="00DA194E">
        <w:trPr>
          <w:trHeight w:val="20"/>
        </w:trPr>
        <w:tc>
          <w:tcPr>
            <w:tcW w:w="2557" w:type="pct"/>
            <w:vMerge/>
            <w:tcBorders>
              <w:bottom w:val="single" w:sz="4" w:space="0" w:color="auto"/>
            </w:tcBorders>
          </w:tcPr>
          <w:p w14:paraId="240778CA" w14:textId="77777777" w:rsidR="00DA194E" w:rsidRPr="00697E42" w:rsidRDefault="00DA194E" w:rsidP="00697E42">
            <w:pPr>
              <w:rPr>
                <w:rFonts w:ascii="Times New Roman" w:hAnsi="Times New Roman" w:cs="Times New Roman"/>
                <w:sz w:val="24"/>
                <w:szCs w:val="24"/>
                <w:lang w:val="en-US"/>
              </w:rPr>
            </w:pPr>
          </w:p>
        </w:tc>
        <w:tc>
          <w:tcPr>
            <w:tcW w:w="643" w:type="pct"/>
            <w:tcBorders>
              <w:top w:val="single" w:sz="4" w:space="0" w:color="auto"/>
              <w:bottom w:val="single" w:sz="4" w:space="0" w:color="auto"/>
            </w:tcBorders>
          </w:tcPr>
          <w:p w14:paraId="4DB1A17E" w14:textId="5CB3F89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50 DAS</w:t>
            </w:r>
          </w:p>
        </w:tc>
        <w:tc>
          <w:tcPr>
            <w:tcW w:w="621" w:type="pct"/>
            <w:tcBorders>
              <w:top w:val="single" w:sz="4" w:space="0" w:color="auto"/>
              <w:bottom w:val="single" w:sz="4" w:space="0" w:color="auto"/>
            </w:tcBorders>
          </w:tcPr>
          <w:p w14:paraId="328D3CE2" w14:textId="4B5A0C0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Harvest</w:t>
            </w:r>
          </w:p>
        </w:tc>
        <w:tc>
          <w:tcPr>
            <w:tcW w:w="599" w:type="pct"/>
            <w:tcBorders>
              <w:top w:val="single" w:sz="4" w:space="0" w:color="auto"/>
              <w:bottom w:val="single" w:sz="4" w:space="0" w:color="auto"/>
            </w:tcBorders>
          </w:tcPr>
          <w:p w14:paraId="6F658955" w14:textId="23E9F83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50 DAS</w:t>
            </w:r>
          </w:p>
        </w:tc>
        <w:tc>
          <w:tcPr>
            <w:tcW w:w="580" w:type="pct"/>
            <w:tcBorders>
              <w:top w:val="single" w:sz="4" w:space="0" w:color="auto"/>
              <w:right w:val="single" w:sz="4" w:space="0" w:color="auto"/>
            </w:tcBorders>
          </w:tcPr>
          <w:p w14:paraId="25527CEA" w14:textId="588CBB2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Harvest</w:t>
            </w:r>
          </w:p>
        </w:tc>
      </w:tr>
      <w:tr w:rsidR="00DA194E" w:rsidRPr="00697E42" w14:paraId="024938BF" w14:textId="32375D9D" w:rsidTr="00DA194E">
        <w:trPr>
          <w:trHeight w:val="20"/>
        </w:trPr>
        <w:tc>
          <w:tcPr>
            <w:tcW w:w="5000" w:type="pct"/>
            <w:gridSpan w:val="5"/>
            <w:tcBorders>
              <w:top w:val="single" w:sz="4" w:space="0" w:color="auto"/>
              <w:right w:val="single" w:sz="4" w:space="0" w:color="auto"/>
            </w:tcBorders>
          </w:tcPr>
          <w:p w14:paraId="4C8C1039" w14:textId="47B8164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Weed management</w:t>
            </w:r>
          </w:p>
        </w:tc>
      </w:tr>
      <w:tr w:rsidR="00DA194E" w:rsidRPr="00697E42" w14:paraId="6E2B77BB" w14:textId="34574688" w:rsidTr="00DA194E">
        <w:trPr>
          <w:trHeight w:val="20"/>
        </w:trPr>
        <w:tc>
          <w:tcPr>
            <w:tcW w:w="2557" w:type="pct"/>
            <w:tcBorders>
              <w:top w:val="single" w:sz="4" w:space="0" w:color="auto"/>
            </w:tcBorders>
          </w:tcPr>
          <w:p w14:paraId="4E12B56D" w14:textId="540283E2"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Weedy check</w:t>
            </w:r>
          </w:p>
        </w:tc>
        <w:tc>
          <w:tcPr>
            <w:tcW w:w="643" w:type="pct"/>
            <w:tcBorders>
              <w:top w:val="single" w:sz="4" w:space="0" w:color="auto"/>
            </w:tcBorders>
          </w:tcPr>
          <w:p w14:paraId="311F10F5" w14:textId="7A4D783D"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8.47</w:t>
            </w:r>
          </w:p>
          <w:p w14:paraId="3EC6FFBA" w14:textId="3B57C4A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(71.22)</w:t>
            </w:r>
          </w:p>
        </w:tc>
        <w:tc>
          <w:tcPr>
            <w:tcW w:w="621" w:type="pct"/>
            <w:tcBorders>
              <w:top w:val="single" w:sz="4" w:space="0" w:color="auto"/>
            </w:tcBorders>
          </w:tcPr>
          <w:p w14:paraId="1D539B5E" w14:textId="066EFAE5"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7.56</w:t>
            </w:r>
          </w:p>
          <w:p w14:paraId="734D46FA" w14:textId="4CBA2CC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(56.67)</w:t>
            </w:r>
          </w:p>
        </w:tc>
        <w:tc>
          <w:tcPr>
            <w:tcW w:w="599" w:type="pct"/>
            <w:tcBorders>
              <w:top w:val="single" w:sz="4" w:space="0" w:color="auto"/>
            </w:tcBorders>
          </w:tcPr>
          <w:p w14:paraId="76A8DECD" w14:textId="175D112B"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90.28</w:t>
            </w:r>
          </w:p>
        </w:tc>
        <w:tc>
          <w:tcPr>
            <w:tcW w:w="580" w:type="pct"/>
            <w:tcBorders>
              <w:top w:val="single" w:sz="4" w:space="0" w:color="auto"/>
              <w:right w:val="single" w:sz="4" w:space="0" w:color="auto"/>
            </w:tcBorders>
          </w:tcPr>
          <w:p w14:paraId="47785396" w14:textId="6868595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89.47</w:t>
            </w:r>
          </w:p>
        </w:tc>
      </w:tr>
      <w:tr w:rsidR="00DA194E" w:rsidRPr="00697E42" w14:paraId="675D7E85" w14:textId="228F708F" w:rsidTr="00DA194E">
        <w:trPr>
          <w:trHeight w:val="20"/>
        </w:trPr>
        <w:tc>
          <w:tcPr>
            <w:tcW w:w="2557" w:type="pct"/>
          </w:tcPr>
          <w:p w14:paraId="149D43C3" w14:textId="7F8A6A83"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One HW at 20 DAS</w:t>
            </w:r>
          </w:p>
        </w:tc>
        <w:tc>
          <w:tcPr>
            <w:tcW w:w="643" w:type="pct"/>
          </w:tcPr>
          <w:p w14:paraId="3A5BF3C2" w14:textId="671FEF0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2.97</w:t>
            </w:r>
          </w:p>
          <w:p w14:paraId="703D4902" w14:textId="455DCBB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(8.33)</w:t>
            </w:r>
          </w:p>
        </w:tc>
        <w:tc>
          <w:tcPr>
            <w:tcW w:w="621" w:type="pct"/>
          </w:tcPr>
          <w:p w14:paraId="01ED4CF2" w14:textId="7728540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2.67</w:t>
            </w:r>
          </w:p>
          <w:p w14:paraId="7A26C244" w14:textId="542DF3C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(7.17)</w:t>
            </w:r>
          </w:p>
        </w:tc>
        <w:tc>
          <w:tcPr>
            <w:tcW w:w="599" w:type="pct"/>
          </w:tcPr>
          <w:p w14:paraId="3BF7A450" w14:textId="06392E3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49.96</w:t>
            </w:r>
          </w:p>
        </w:tc>
        <w:tc>
          <w:tcPr>
            <w:tcW w:w="580" w:type="pct"/>
            <w:tcBorders>
              <w:right w:val="single" w:sz="4" w:space="0" w:color="auto"/>
            </w:tcBorders>
          </w:tcPr>
          <w:p w14:paraId="26676369" w14:textId="5AAE96E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47.54</w:t>
            </w:r>
          </w:p>
        </w:tc>
      </w:tr>
      <w:tr w:rsidR="00DA194E" w:rsidRPr="00697E42" w14:paraId="0ACF6ECA" w14:textId="1FF4718E" w:rsidTr="00DA194E">
        <w:trPr>
          <w:trHeight w:val="20"/>
        </w:trPr>
        <w:tc>
          <w:tcPr>
            <w:tcW w:w="2557" w:type="pct"/>
          </w:tcPr>
          <w:p w14:paraId="08CBAA2F" w14:textId="7C2515A1"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Two HW at 20 &amp; 40 DAS</w:t>
            </w:r>
            <w:r w:rsidRPr="00697E42">
              <w:rPr>
                <w:rFonts w:ascii="Times New Roman" w:hAnsi="Times New Roman" w:cs="Times New Roman"/>
                <w:sz w:val="24"/>
                <w:szCs w:val="24"/>
                <w:vertAlign w:val="superscript"/>
              </w:rPr>
              <w:t>*</w:t>
            </w:r>
          </w:p>
        </w:tc>
        <w:tc>
          <w:tcPr>
            <w:tcW w:w="643" w:type="pct"/>
          </w:tcPr>
          <w:p w14:paraId="7195369B" w14:textId="7BF48D03"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2.51</w:t>
            </w:r>
          </w:p>
          <w:p w14:paraId="084C75D7" w14:textId="21E88DD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(5.78)</w:t>
            </w:r>
          </w:p>
        </w:tc>
        <w:tc>
          <w:tcPr>
            <w:tcW w:w="621" w:type="pct"/>
          </w:tcPr>
          <w:p w14:paraId="2F9CC086" w14:textId="7F52A566"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2.20</w:t>
            </w:r>
          </w:p>
          <w:p w14:paraId="78516563" w14:textId="28751B1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(4.33)</w:t>
            </w:r>
          </w:p>
        </w:tc>
        <w:tc>
          <w:tcPr>
            <w:tcW w:w="599" w:type="pct"/>
          </w:tcPr>
          <w:p w14:paraId="65AB6E37" w14:textId="76DFC1C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40.68</w:t>
            </w:r>
          </w:p>
        </w:tc>
        <w:tc>
          <w:tcPr>
            <w:tcW w:w="580" w:type="pct"/>
            <w:tcBorders>
              <w:right w:val="single" w:sz="4" w:space="0" w:color="auto"/>
            </w:tcBorders>
          </w:tcPr>
          <w:p w14:paraId="7CB01981" w14:textId="0118FEE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34.82</w:t>
            </w:r>
          </w:p>
        </w:tc>
      </w:tr>
      <w:tr w:rsidR="00DA194E" w:rsidRPr="00697E42" w14:paraId="1E37FDB8" w14:textId="633BEEDB" w:rsidTr="00DA194E">
        <w:trPr>
          <w:trHeight w:val="20"/>
        </w:trPr>
        <w:tc>
          <w:tcPr>
            <w:tcW w:w="2557" w:type="pct"/>
          </w:tcPr>
          <w:p w14:paraId="6AA7CAD7" w14:textId="768F82A3"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Alachlor @ 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643" w:type="pct"/>
          </w:tcPr>
          <w:p w14:paraId="12C21645" w14:textId="697D3AE2"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3.33</w:t>
            </w:r>
          </w:p>
          <w:p w14:paraId="421D7B36" w14:textId="7852924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(10.61)</w:t>
            </w:r>
          </w:p>
        </w:tc>
        <w:tc>
          <w:tcPr>
            <w:tcW w:w="621" w:type="pct"/>
          </w:tcPr>
          <w:p w14:paraId="6A600170" w14:textId="70EF527B"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2.98</w:t>
            </w:r>
          </w:p>
          <w:p w14:paraId="000CB00C" w14:textId="32F7E02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(8.39)</w:t>
            </w:r>
          </w:p>
        </w:tc>
        <w:tc>
          <w:tcPr>
            <w:tcW w:w="599" w:type="pct"/>
          </w:tcPr>
          <w:p w14:paraId="01CA5F48" w14:textId="36F7AC1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55.27</w:t>
            </w:r>
          </w:p>
        </w:tc>
        <w:tc>
          <w:tcPr>
            <w:tcW w:w="580" w:type="pct"/>
            <w:tcBorders>
              <w:right w:val="single" w:sz="4" w:space="0" w:color="auto"/>
            </w:tcBorders>
          </w:tcPr>
          <w:p w14:paraId="4BB5F2FF" w14:textId="56912BAB"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50.11</w:t>
            </w:r>
          </w:p>
        </w:tc>
      </w:tr>
      <w:tr w:rsidR="00DA194E" w:rsidRPr="00697E42" w14:paraId="28BA3B7F" w14:textId="004E6FE6" w:rsidTr="00DA194E">
        <w:trPr>
          <w:trHeight w:val="20"/>
        </w:trPr>
        <w:tc>
          <w:tcPr>
            <w:tcW w:w="2557" w:type="pct"/>
          </w:tcPr>
          <w:p w14:paraId="5174264C" w14:textId="6EDF68F0"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lang w:val="pt-BR"/>
              </w:rPr>
              <w:t>Alachlor @ 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643" w:type="pct"/>
          </w:tcPr>
          <w:p w14:paraId="6EFD42C2" w14:textId="7EAA3C44"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2.77</w:t>
            </w:r>
          </w:p>
          <w:p w14:paraId="6FEE22D3" w14:textId="4C6F903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(7.17)</w:t>
            </w:r>
          </w:p>
        </w:tc>
        <w:tc>
          <w:tcPr>
            <w:tcW w:w="621" w:type="pct"/>
          </w:tcPr>
          <w:p w14:paraId="0AD1D5A6" w14:textId="75A664A8"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2.38</w:t>
            </w:r>
          </w:p>
          <w:p w14:paraId="1DBAE41A" w14:textId="0431F00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(5.17)</w:t>
            </w:r>
          </w:p>
        </w:tc>
        <w:tc>
          <w:tcPr>
            <w:tcW w:w="599" w:type="pct"/>
          </w:tcPr>
          <w:p w14:paraId="25CD7F35" w14:textId="1A45317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45.63</w:t>
            </w:r>
          </w:p>
        </w:tc>
        <w:tc>
          <w:tcPr>
            <w:tcW w:w="580" w:type="pct"/>
            <w:tcBorders>
              <w:right w:val="single" w:sz="4" w:space="0" w:color="auto"/>
            </w:tcBorders>
          </w:tcPr>
          <w:p w14:paraId="5795CBD9" w14:textId="6B875CBF"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38.74</w:t>
            </w:r>
          </w:p>
        </w:tc>
      </w:tr>
      <w:tr w:rsidR="00DA194E" w:rsidRPr="00697E42" w14:paraId="5474190D" w14:textId="718B110B" w:rsidTr="00DA194E">
        <w:trPr>
          <w:trHeight w:val="20"/>
        </w:trPr>
        <w:tc>
          <w:tcPr>
            <w:tcW w:w="2557" w:type="pct"/>
          </w:tcPr>
          <w:p w14:paraId="34BB87E9" w14:textId="64EDF8AC" w:rsidR="00DA194E" w:rsidRPr="00697E42" w:rsidRDefault="00DA194E" w:rsidP="00697E42">
            <w:pPr>
              <w:rPr>
                <w:rFonts w:ascii="Times New Roman" w:hAnsi="Times New Roman" w:cs="Times New Roman"/>
                <w:sz w:val="24"/>
                <w:szCs w:val="24"/>
                <w:lang w:val="pt-BR"/>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mazethapyr @ 0.15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643" w:type="pct"/>
          </w:tcPr>
          <w:p w14:paraId="4158C32F" w14:textId="47A039D3"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3.08</w:t>
            </w:r>
          </w:p>
          <w:p w14:paraId="1959D122" w14:textId="120ABF4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(9.00)</w:t>
            </w:r>
          </w:p>
        </w:tc>
        <w:tc>
          <w:tcPr>
            <w:tcW w:w="621" w:type="pct"/>
          </w:tcPr>
          <w:p w14:paraId="371D957C" w14:textId="73AAB48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2.87</w:t>
            </w:r>
          </w:p>
          <w:p w14:paraId="25B8D6E0" w14:textId="60EE7579"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(7.72)</w:t>
            </w:r>
          </w:p>
        </w:tc>
        <w:tc>
          <w:tcPr>
            <w:tcW w:w="599" w:type="pct"/>
          </w:tcPr>
          <w:p w14:paraId="3F181AD4" w14:textId="42FE064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50.88</w:t>
            </w:r>
          </w:p>
        </w:tc>
        <w:tc>
          <w:tcPr>
            <w:tcW w:w="580" w:type="pct"/>
            <w:tcBorders>
              <w:right w:val="single" w:sz="4" w:space="0" w:color="auto"/>
            </w:tcBorders>
          </w:tcPr>
          <w:p w14:paraId="1ACA0D7C" w14:textId="26435AB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48.53</w:t>
            </w:r>
          </w:p>
        </w:tc>
      </w:tr>
      <w:tr w:rsidR="00DA194E" w:rsidRPr="00697E42" w14:paraId="3F72754B" w14:textId="1B412EDD" w:rsidTr="00DA194E">
        <w:trPr>
          <w:trHeight w:val="20"/>
        </w:trPr>
        <w:tc>
          <w:tcPr>
            <w:tcW w:w="2557" w:type="pct"/>
          </w:tcPr>
          <w:p w14:paraId="5E26C140" w14:textId="5E04569A" w:rsidR="00DA194E" w:rsidRPr="00697E42" w:rsidRDefault="00DA194E" w:rsidP="00697E42">
            <w:pPr>
              <w:rPr>
                <w:rFonts w:ascii="Times New Roman" w:hAnsi="Times New Roman" w:cs="Times New Roman"/>
                <w:caps/>
                <w:sz w:val="24"/>
                <w:szCs w:val="24"/>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w:t>
            </w:r>
            <w:r w:rsidRPr="00697E42">
              <w:rPr>
                <w:rFonts w:ascii="Times New Roman" w:hAnsi="Times New Roman" w:cs="Times New Roman"/>
                <w:sz w:val="24"/>
                <w:szCs w:val="24"/>
                <w:lang w:val="pt-BR"/>
              </w:rPr>
              <w:t>ethapyr @ 0.15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643" w:type="pct"/>
          </w:tcPr>
          <w:p w14:paraId="39C70F14" w14:textId="77EF385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2.53</w:t>
            </w:r>
          </w:p>
          <w:p w14:paraId="0FD0A638" w14:textId="3B39F70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(5.89)</w:t>
            </w:r>
          </w:p>
        </w:tc>
        <w:tc>
          <w:tcPr>
            <w:tcW w:w="621" w:type="pct"/>
          </w:tcPr>
          <w:p w14:paraId="15407B58" w14:textId="75A975B7"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2.25</w:t>
            </w:r>
          </w:p>
          <w:p w14:paraId="52857062" w14:textId="68F4DFF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(4.56)</w:t>
            </w:r>
          </w:p>
        </w:tc>
        <w:tc>
          <w:tcPr>
            <w:tcW w:w="599" w:type="pct"/>
          </w:tcPr>
          <w:p w14:paraId="643548B9" w14:textId="00FBC33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40.94</w:t>
            </w:r>
          </w:p>
        </w:tc>
        <w:tc>
          <w:tcPr>
            <w:tcW w:w="580" w:type="pct"/>
            <w:tcBorders>
              <w:right w:val="single" w:sz="4" w:space="0" w:color="auto"/>
            </w:tcBorders>
          </w:tcPr>
          <w:p w14:paraId="6B33DB56" w14:textId="557C2F2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35.70</w:t>
            </w:r>
          </w:p>
        </w:tc>
      </w:tr>
      <w:tr w:rsidR="00DA194E" w:rsidRPr="00697E42" w14:paraId="32F000E2" w14:textId="2375E1C9" w:rsidTr="00DA194E">
        <w:trPr>
          <w:trHeight w:val="20"/>
        </w:trPr>
        <w:tc>
          <w:tcPr>
            <w:tcW w:w="2557" w:type="pct"/>
          </w:tcPr>
          <w:p w14:paraId="7A0D29FD" w14:textId="3C5EB41F" w:rsidR="00DA194E" w:rsidRPr="00697E42" w:rsidRDefault="00DA194E" w:rsidP="00697E42">
            <w:pPr>
              <w:rPr>
                <w:rFonts w:ascii="Times New Roman" w:hAnsi="Times New Roman" w:cs="Times New Roman"/>
                <w:caps/>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643" w:type="pct"/>
          </w:tcPr>
          <w:p w14:paraId="6610B75C" w14:textId="27D628FF"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0.12</w:t>
            </w:r>
          </w:p>
        </w:tc>
        <w:tc>
          <w:tcPr>
            <w:tcW w:w="621" w:type="pct"/>
          </w:tcPr>
          <w:p w14:paraId="2A57265B" w14:textId="5DEF97E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0.10</w:t>
            </w:r>
          </w:p>
        </w:tc>
        <w:tc>
          <w:tcPr>
            <w:tcW w:w="599" w:type="pct"/>
          </w:tcPr>
          <w:p w14:paraId="6C67340B" w14:textId="1829CAC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1.14</w:t>
            </w:r>
          </w:p>
        </w:tc>
        <w:tc>
          <w:tcPr>
            <w:tcW w:w="580" w:type="pct"/>
            <w:tcBorders>
              <w:right w:val="single" w:sz="4" w:space="0" w:color="auto"/>
            </w:tcBorders>
          </w:tcPr>
          <w:p w14:paraId="4E4472AC" w14:textId="165510E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1.13</w:t>
            </w:r>
          </w:p>
        </w:tc>
      </w:tr>
      <w:tr w:rsidR="00DA194E" w:rsidRPr="00697E42" w14:paraId="40C14901" w14:textId="12A18B85" w:rsidTr="00DA194E">
        <w:trPr>
          <w:trHeight w:val="20"/>
        </w:trPr>
        <w:tc>
          <w:tcPr>
            <w:tcW w:w="2557" w:type="pct"/>
            <w:tcBorders>
              <w:bottom w:val="single" w:sz="4" w:space="0" w:color="auto"/>
            </w:tcBorders>
          </w:tcPr>
          <w:p w14:paraId="1D9986E8" w14:textId="521A72B2"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643" w:type="pct"/>
            <w:tcBorders>
              <w:bottom w:val="single" w:sz="4" w:space="0" w:color="auto"/>
            </w:tcBorders>
          </w:tcPr>
          <w:p w14:paraId="25D93019" w14:textId="4BA2530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0.35</w:t>
            </w:r>
          </w:p>
        </w:tc>
        <w:tc>
          <w:tcPr>
            <w:tcW w:w="621" w:type="pct"/>
            <w:tcBorders>
              <w:bottom w:val="single" w:sz="4" w:space="0" w:color="auto"/>
            </w:tcBorders>
          </w:tcPr>
          <w:p w14:paraId="1817034E" w14:textId="2D58078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0.29</w:t>
            </w:r>
          </w:p>
        </w:tc>
        <w:tc>
          <w:tcPr>
            <w:tcW w:w="599" w:type="pct"/>
            <w:tcBorders>
              <w:bottom w:val="single" w:sz="4" w:space="0" w:color="auto"/>
            </w:tcBorders>
          </w:tcPr>
          <w:p w14:paraId="45E6811B" w14:textId="58765B3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3.26</w:t>
            </w:r>
          </w:p>
        </w:tc>
        <w:tc>
          <w:tcPr>
            <w:tcW w:w="580" w:type="pct"/>
            <w:tcBorders>
              <w:bottom w:val="single" w:sz="4" w:space="0" w:color="auto"/>
              <w:right w:val="single" w:sz="4" w:space="0" w:color="auto"/>
            </w:tcBorders>
          </w:tcPr>
          <w:p w14:paraId="36F3C45F" w14:textId="4F970D8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3.22</w:t>
            </w:r>
          </w:p>
        </w:tc>
      </w:tr>
      <w:tr w:rsidR="00DA194E" w:rsidRPr="00697E42" w14:paraId="69407A80" w14:textId="35924250" w:rsidTr="00DA194E">
        <w:trPr>
          <w:trHeight w:val="20"/>
        </w:trPr>
        <w:tc>
          <w:tcPr>
            <w:tcW w:w="5000" w:type="pct"/>
            <w:gridSpan w:val="5"/>
            <w:tcBorders>
              <w:top w:val="single" w:sz="4" w:space="0" w:color="auto"/>
              <w:bottom w:val="single" w:sz="4" w:space="0" w:color="auto"/>
              <w:right w:val="single" w:sz="4" w:space="0" w:color="auto"/>
            </w:tcBorders>
          </w:tcPr>
          <w:p w14:paraId="1600F813" w14:textId="13A65175" w:rsidR="00DA194E" w:rsidRPr="00697E42" w:rsidRDefault="00DA194E" w:rsidP="00697E42">
            <w:pPr>
              <w:jc w:val="center"/>
              <w:rPr>
                <w:rFonts w:ascii="Times New Roman" w:hAnsi="Times New Roman" w:cs="Times New Roman"/>
                <w:sz w:val="24"/>
                <w:szCs w:val="24"/>
              </w:rPr>
            </w:pPr>
            <w:r w:rsidRPr="00697E42">
              <w:rPr>
                <w:rFonts w:ascii="Times New Roman" w:hAnsi="Times New Roman" w:cs="Times New Roman"/>
                <w:sz w:val="24"/>
                <w:szCs w:val="24"/>
              </w:rPr>
              <w:t>Nitrogen levels (kg</w:t>
            </w:r>
            <w:r>
              <w:rPr>
                <w:rFonts w:ascii="Times New Roman" w:hAnsi="Times New Roman" w:cs="Times New Roman"/>
                <w:sz w:val="24"/>
                <w:szCs w:val="24"/>
              </w:rPr>
              <w:t xml:space="preserve"> </w:t>
            </w:r>
            <w:r w:rsidRPr="00697E42">
              <w:rPr>
                <w:rFonts w:ascii="Times New Roman" w:hAnsi="Times New Roman" w:cs="Times New Roman"/>
                <w:sz w:val="24"/>
                <w:szCs w:val="24"/>
              </w:rPr>
              <w:t>ha</w:t>
            </w:r>
            <w:r>
              <w:rPr>
                <w:rFonts w:ascii="Times New Roman" w:hAnsi="Times New Roman" w:cs="Times New Roman"/>
                <w:sz w:val="24"/>
                <w:szCs w:val="24"/>
                <w:vertAlign w:val="superscript"/>
              </w:rPr>
              <w:t>-1</w:t>
            </w:r>
            <w:r w:rsidRPr="00697E42">
              <w:rPr>
                <w:rFonts w:ascii="Times New Roman" w:hAnsi="Times New Roman" w:cs="Times New Roman"/>
                <w:sz w:val="24"/>
                <w:szCs w:val="24"/>
              </w:rPr>
              <w:t>)</w:t>
            </w:r>
          </w:p>
        </w:tc>
      </w:tr>
      <w:tr w:rsidR="00DA194E" w:rsidRPr="00697E42" w14:paraId="43FA4556" w14:textId="3E39AEA5" w:rsidTr="00DA194E">
        <w:trPr>
          <w:trHeight w:val="20"/>
        </w:trPr>
        <w:tc>
          <w:tcPr>
            <w:tcW w:w="2557" w:type="pct"/>
            <w:tcBorders>
              <w:top w:val="single" w:sz="4" w:space="0" w:color="auto"/>
            </w:tcBorders>
          </w:tcPr>
          <w:p w14:paraId="4861F1C2" w14:textId="00501A7D"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0    </w:t>
            </w:r>
          </w:p>
        </w:tc>
        <w:tc>
          <w:tcPr>
            <w:tcW w:w="643" w:type="pct"/>
            <w:tcBorders>
              <w:top w:val="single" w:sz="4" w:space="0" w:color="auto"/>
            </w:tcBorders>
          </w:tcPr>
          <w:p w14:paraId="62309298" w14:textId="07E3B30A"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3.99</w:t>
            </w:r>
          </w:p>
          <w:p w14:paraId="70846994" w14:textId="14036B1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(15.43)</w:t>
            </w:r>
          </w:p>
        </w:tc>
        <w:tc>
          <w:tcPr>
            <w:tcW w:w="621" w:type="pct"/>
            <w:tcBorders>
              <w:top w:val="single" w:sz="4" w:space="0" w:color="auto"/>
            </w:tcBorders>
          </w:tcPr>
          <w:p w14:paraId="787E6C83" w14:textId="20154D5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3.48</w:t>
            </w:r>
          </w:p>
          <w:p w14:paraId="22D34542" w14:textId="5CE5D73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(11.64)</w:t>
            </w:r>
          </w:p>
        </w:tc>
        <w:tc>
          <w:tcPr>
            <w:tcW w:w="599" w:type="pct"/>
            <w:tcBorders>
              <w:top w:val="single" w:sz="4" w:space="0" w:color="auto"/>
            </w:tcBorders>
          </w:tcPr>
          <w:p w14:paraId="1E14BD6F" w14:textId="233CCBFC"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51.09</w:t>
            </w:r>
          </w:p>
        </w:tc>
        <w:tc>
          <w:tcPr>
            <w:tcW w:w="580" w:type="pct"/>
            <w:tcBorders>
              <w:top w:val="single" w:sz="4" w:space="0" w:color="auto"/>
              <w:right w:val="single" w:sz="4" w:space="0" w:color="auto"/>
            </w:tcBorders>
          </w:tcPr>
          <w:p w14:paraId="1CB4179B" w14:textId="6E6A3AF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47.11</w:t>
            </w:r>
          </w:p>
        </w:tc>
      </w:tr>
      <w:tr w:rsidR="00DA194E" w:rsidRPr="00697E42" w14:paraId="4E5F2A34" w14:textId="4C7FE50E" w:rsidTr="00DA194E">
        <w:trPr>
          <w:trHeight w:val="20"/>
        </w:trPr>
        <w:tc>
          <w:tcPr>
            <w:tcW w:w="2557" w:type="pct"/>
          </w:tcPr>
          <w:p w14:paraId="6E633F4C" w14:textId="33E2E994"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20 </w:t>
            </w:r>
          </w:p>
        </w:tc>
        <w:tc>
          <w:tcPr>
            <w:tcW w:w="643" w:type="pct"/>
          </w:tcPr>
          <w:p w14:paraId="1C737B79" w14:textId="5C4FE6E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4.21</w:t>
            </w:r>
          </w:p>
          <w:p w14:paraId="70802E4F" w14:textId="256B324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(17.19)</w:t>
            </w:r>
          </w:p>
        </w:tc>
        <w:tc>
          <w:tcPr>
            <w:tcW w:w="621" w:type="pct"/>
          </w:tcPr>
          <w:p w14:paraId="6EF785D4" w14:textId="63B144B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3.81</w:t>
            </w:r>
          </w:p>
          <w:p w14:paraId="007D7587" w14:textId="50E7FD9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(14.05)</w:t>
            </w:r>
          </w:p>
        </w:tc>
        <w:tc>
          <w:tcPr>
            <w:tcW w:w="599" w:type="pct"/>
          </w:tcPr>
          <w:p w14:paraId="68127403" w14:textId="7C650D5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53.66</w:t>
            </w:r>
          </w:p>
        </w:tc>
        <w:tc>
          <w:tcPr>
            <w:tcW w:w="580" w:type="pct"/>
            <w:tcBorders>
              <w:right w:val="single" w:sz="4" w:space="0" w:color="auto"/>
            </w:tcBorders>
          </w:tcPr>
          <w:p w14:paraId="26F98B3B" w14:textId="4BBCB25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49.34</w:t>
            </w:r>
          </w:p>
        </w:tc>
      </w:tr>
      <w:tr w:rsidR="00DA194E" w:rsidRPr="00697E42" w14:paraId="38B3345C" w14:textId="7F39CA70" w:rsidTr="00DA194E">
        <w:trPr>
          <w:trHeight w:val="20"/>
        </w:trPr>
        <w:tc>
          <w:tcPr>
            <w:tcW w:w="2557" w:type="pct"/>
          </w:tcPr>
          <w:p w14:paraId="40AF0661" w14:textId="4DEC925A"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40 </w:t>
            </w:r>
          </w:p>
        </w:tc>
        <w:tc>
          <w:tcPr>
            <w:tcW w:w="643" w:type="pct"/>
          </w:tcPr>
          <w:p w14:paraId="2DC2057C" w14:textId="33B3691D"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4.30</w:t>
            </w:r>
          </w:p>
          <w:p w14:paraId="15948932" w14:textId="672FBF1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(17.95)</w:t>
            </w:r>
          </w:p>
        </w:tc>
        <w:tc>
          <w:tcPr>
            <w:tcW w:w="621" w:type="pct"/>
          </w:tcPr>
          <w:p w14:paraId="6CF7758E" w14:textId="0538C4A5"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3.89</w:t>
            </w:r>
          </w:p>
          <w:p w14:paraId="7E5FF390" w14:textId="37D4777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(14.60)</w:t>
            </w:r>
          </w:p>
        </w:tc>
        <w:tc>
          <w:tcPr>
            <w:tcW w:w="599" w:type="pct"/>
          </w:tcPr>
          <w:p w14:paraId="420FE88D" w14:textId="2113A72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55.39</w:t>
            </w:r>
          </w:p>
        </w:tc>
        <w:tc>
          <w:tcPr>
            <w:tcW w:w="580" w:type="pct"/>
            <w:tcBorders>
              <w:right w:val="single" w:sz="4" w:space="0" w:color="auto"/>
            </w:tcBorders>
          </w:tcPr>
          <w:p w14:paraId="77595232" w14:textId="0A0139D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51.36</w:t>
            </w:r>
          </w:p>
        </w:tc>
      </w:tr>
      <w:tr w:rsidR="00DA194E" w:rsidRPr="00697E42" w14:paraId="47FF2E05" w14:textId="2582BAF5" w:rsidTr="00DA194E">
        <w:trPr>
          <w:trHeight w:val="20"/>
        </w:trPr>
        <w:tc>
          <w:tcPr>
            <w:tcW w:w="2557" w:type="pct"/>
          </w:tcPr>
          <w:p w14:paraId="47A0C4A6" w14:textId="23955A4C" w:rsidR="00DA194E" w:rsidRPr="00697E42" w:rsidRDefault="00DA194E" w:rsidP="00697E42">
            <w:pPr>
              <w:rPr>
                <w:rFonts w:ascii="Times New Roman" w:hAnsi="Times New Roman" w:cs="Times New Roman"/>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643" w:type="pct"/>
          </w:tcPr>
          <w:p w14:paraId="7DA4EB85" w14:textId="5EC09E39"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0.08</w:t>
            </w:r>
          </w:p>
        </w:tc>
        <w:tc>
          <w:tcPr>
            <w:tcW w:w="621" w:type="pct"/>
          </w:tcPr>
          <w:p w14:paraId="3AEC4EA5" w14:textId="1E82E24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0.07</w:t>
            </w:r>
          </w:p>
        </w:tc>
        <w:tc>
          <w:tcPr>
            <w:tcW w:w="599" w:type="pct"/>
          </w:tcPr>
          <w:p w14:paraId="1691D733" w14:textId="6C140A4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0.81</w:t>
            </w:r>
          </w:p>
        </w:tc>
        <w:tc>
          <w:tcPr>
            <w:tcW w:w="580" w:type="pct"/>
            <w:tcBorders>
              <w:right w:val="single" w:sz="4" w:space="0" w:color="auto"/>
            </w:tcBorders>
          </w:tcPr>
          <w:p w14:paraId="73F98F66" w14:textId="57DB093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0.80</w:t>
            </w:r>
          </w:p>
        </w:tc>
      </w:tr>
      <w:tr w:rsidR="00DA194E" w:rsidRPr="00697E42" w14:paraId="404D8A17" w14:textId="0FB361A0" w:rsidTr="00DA194E">
        <w:trPr>
          <w:trHeight w:val="20"/>
        </w:trPr>
        <w:tc>
          <w:tcPr>
            <w:tcW w:w="2557" w:type="pct"/>
          </w:tcPr>
          <w:p w14:paraId="7DEAE595" w14:textId="79B76B7E"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643" w:type="pct"/>
          </w:tcPr>
          <w:p w14:paraId="37767945" w14:textId="1E30658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NS</w:t>
            </w:r>
          </w:p>
        </w:tc>
        <w:tc>
          <w:tcPr>
            <w:tcW w:w="621" w:type="pct"/>
          </w:tcPr>
          <w:p w14:paraId="57171485" w14:textId="41B4102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0.21</w:t>
            </w:r>
          </w:p>
        </w:tc>
        <w:tc>
          <w:tcPr>
            <w:tcW w:w="599" w:type="pct"/>
          </w:tcPr>
          <w:p w14:paraId="2B7B24F5" w14:textId="08FDE23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2.31</w:t>
            </w:r>
          </w:p>
        </w:tc>
        <w:tc>
          <w:tcPr>
            <w:tcW w:w="580" w:type="pct"/>
            <w:tcBorders>
              <w:right w:val="single" w:sz="4" w:space="0" w:color="auto"/>
            </w:tcBorders>
          </w:tcPr>
          <w:p w14:paraId="2E45A166" w14:textId="0EDB4FC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2.28</w:t>
            </w:r>
          </w:p>
        </w:tc>
      </w:tr>
    </w:tbl>
    <w:p w14:paraId="453459C5" w14:textId="4B31F85E" w:rsidR="00697E42" w:rsidRPr="00697E42" w:rsidRDefault="00697E42" w:rsidP="00697E42">
      <w:pPr>
        <w:rPr>
          <w:rFonts w:ascii="Times New Roman" w:hAnsi="Times New Roman" w:cs="Times New Roman"/>
          <w:sz w:val="24"/>
          <w:szCs w:val="24"/>
          <w:lang w:val="en-US"/>
        </w:rPr>
      </w:pPr>
      <w:r w:rsidRPr="00697E42">
        <w:rPr>
          <w:rFonts w:ascii="Times New Roman" w:hAnsi="Times New Roman" w:cs="Times New Roman"/>
          <w:sz w:val="24"/>
          <w:szCs w:val="24"/>
          <w:lang w:val="en-US"/>
        </w:rPr>
        <w:t>Square root transformation (</w:t>
      </w:r>
      <m:oMath>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x+0.5</m:t>
            </m:r>
          </m:e>
        </m:rad>
      </m:oMath>
      <w:r w:rsidRPr="00697E42">
        <w:rPr>
          <w:rFonts w:ascii="Times New Roman" w:hAnsi="Times New Roman" w:cs="Times New Roman"/>
          <w:sz w:val="24"/>
          <w:szCs w:val="24"/>
          <w:lang w:val="en-US"/>
        </w:rPr>
        <w:t>) was applied</w:t>
      </w:r>
      <w:r>
        <w:rPr>
          <w:rFonts w:ascii="Times New Roman" w:hAnsi="Times New Roman" w:cs="Times New Roman"/>
          <w:sz w:val="24"/>
          <w:szCs w:val="24"/>
          <w:lang w:val="en-US"/>
        </w:rPr>
        <w:t xml:space="preserve">. </w:t>
      </w:r>
      <w:r w:rsidRPr="00697E42">
        <w:rPr>
          <w:rFonts w:ascii="Times New Roman" w:hAnsi="Times New Roman" w:cs="Times New Roman"/>
          <w:sz w:val="24"/>
          <w:szCs w:val="24"/>
          <w:lang w:val="en-US"/>
        </w:rPr>
        <w:t xml:space="preserve">Data in parentheses indicate the original </w:t>
      </w:r>
      <w:r w:rsidRPr="00697E42">
        <w:rPr>
          <w:rFonts w:ascii="Times New Roman" w:hAnsi="Times New Roman" w:cs="Times New Roman"/>
          <w:noProof/>
          <w:sz w:val="24"/>
          <w:szCs w:val="24"/>
          <w:lang w:val="en-US" w:bidi="hi-IN"/>
        </w:rPr>
        <mc:AlternateContent>
          <mc:Choice Requires="wps">
            <w:drawing>
              <wp:anchor distT="0" distB="0" distL="114300" distR="114300" simplePos="0" relativeHeight="251659264" behindDoc="0" locked="0" layoutInCell="1" allowOverlap="1" wp14:anchorId="5711FF98" wp14:editId="68875510">
                <wp:simplePos x="0" y="0"/>
                <wp:positionH relativeFrom="column">
                  <wp:posOffset>1880235</wp:posOffset>
                </wp:positionH>
                <wp:positionV relativeFrom="paragraph">
                  <wp:posOffset>8890</wp:posOffset>
                </wp:positionV>
                <wp:extent cx="114300" cy="0"/>
                <wp:effectExtent l="0" t="0" r="0" b="0"/>
                <wp:wrapNone/>
                <wp:docPr id="6268548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F1FBB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7pt" to="15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"/>
            </w:pict>
          </mc:Fallback>
        </mc:AlternateContent>
      </w:r>
      <w:r>
        <w:rPr>
          <w:rFonts w:ascii="Times New Roman" w:hAnsi="Times New Roman" w:cs="Times New Roman"/>
          <w:sz w:val="24"/>
          <w:szCs w:val="24"/>
          <w:lang w:val="en-US"/>
        </w:rPr>
        <w:t>value.</w:t>
      </w:r>
    </w:p>
    <w:p w14:paraId="0BEFFA08" w14:textId="3B9F5AD7" w:rsidR="00663938" w:rsidRDefault="00345014" w:rsidP="002A25B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Table2. </w:t>
      </w:r>
      <w:r w:rsidRPr="00663938">
        <w:rPr>
          <w:rFonts w:ascii="Times New Roman" w:hAnsi="Times New Roman" w:cs="Times New Roman"/>
          <w:sz w:val="24"/>
          <w:szCs w:val="24"/>
          <w:lang w:val="en-US"/>
        </w:rPr>
        <w:t xml:space="preserve">Effect of weed management and nitrogen levels on </w:t>
      </w:r>
      <w:r w:rsidR="00AB36A1">
        <w:rPr>
          <w:rFonts w:ascii="Times New Roman" w:hAnsi="Times New Roman" w:cs="Times New Roman"/>
          <w:sz w:val="24"/>
          <w:szCs w:val="24"/>
          <w:lang w:val="en-US"/>
        </w:rPr>
        <w:t xml:space="preserve">weed dry weight and </w:t>
      </w:r>
      <w:r w:rsidR="00E511AC">
        <w:rPr>
          <w:rFonts w:ascii="Times New Roman" w:hAnsi="Times New Roman" w:cs="Times New Roman"/>
          <w:sz w:val="24"/>
          <w:szCs w:val="24"/>
          <w:lang w:val="en-US"/>
        </w:rPr>
        <w:t>weed control efficiency</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771"/>
        <w:gridCol w:w="3057"/>
        <w:gridCol w:w="3057"/>
        <w:gridCol w:w="1557"/>
        <w:gridCol w:w="1506"/>
      </w:tblGrid>
      <w:tr w:rsidR="004A0111" w14:paraId="2575E4E0" w14:textId="77777777" w:rsidTr="00DA194E">
        <w:tc>
          <w:tcPr>
            <w:tcW w:w="1710" w:type="pct"/>
            <w:vMerge w:val="restart"/>
          </w:tcPr>
          <w:p w14:paraId="2B49F6CB" w14:textId="7FE20D94"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tc>
        <w:tc>
          <w:tcPr>
            <w:tcW w:w="2192" w:type="pct"/>
            <w:gridSpan w:val="2"/>
            <w:tcBorders>
              <w:bottom w:val="single" w:sz="4" w:space="0" w:color="auto"/>
            </w:tcBorders>
          </w:tcPr>
          <w:p w14:paraId="15967F53" w14:textId="2463EEB7"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Weed dry weight (g 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tc>
        <w:tc>
          <w:tcPr>
            <w:tcW w:w="1098" w:type="pct"/>
            <w:gridSpan w:val="2"/>
            <w:tcBorders>
              <w:bottom w:val="single" w:sz="4" w:space="0" w:color="auto"/>
            </w:tcBorders>
          </w:tcPr>
          <w:p w14:paraId="053A37A8" w14:textId="038EBA87"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Weed control </w:t>
            </w:r>
            <w:commentRangeStart w:id="9"/>
            <w:r>
              <w:rPr>
                <w:rFonts w:ascii="Times New Roman" w:hAnsi="Times New Roman" w:cs="Times New Roman"/>
                <w:sz w:val="24"/>
                <w:szCs w:val="24"/>
                <w:lang w:val="en-US"/>
              </w:rPr>
              <w:t>efficiency</w:t>
            </w:r>
            <w:commentRangeEnd w:id="9"/>
            <w:r w:rsidR="00E92A49">
              <w:rPr>
                <w:rStyle w:val="CommentReference"/>
              </w:rPr>
              <w:commentReference w:id="9"/>
            </w:r>
            <w:r>
              <w:rPr>
                <w:rFonts w:ascii="Times New Roman" w:hAnsi="Times New Roman" w:cs="Times New Roman"/>
                <w:sz w:val="24"/>
                <w:szCs w:val="24"/>
                <w:lang w:val="en-US"/>
              </w:rPr>
              <w:t xml:space="preserve"> (%)</w:t>
            </w:r>
          </w:p>
        </w:tc>
      </w:tr>
      <w:tr w:rsidR="004A0111" w14:paraId="30B70BDD" w14:textId="77777777" w:rsidTr="00DA194E">
        <w:tc>
          <w:tcPr>
            <w:tcW w:w="1710" w:type="pct"/>
            <w:vMerge/>
            <w:tcBorders>
              <w:bottom w:val="single" w:sz="4" w:space="0" w:color="auto"/>
            </w:tcBorders>
          </w:tcPr>
          <w:p w14:paraId="1A9815D7" w14:textId="77777777" w:rsidR="004A0111" w:rsidRDefault="004A0111" w:rsidP="002A25BB">
            <w:pPr>
              <w:rPr>
                <w:rFonts w:ascii="Times New Roman" w:hAnsi="Times New Roman" w:cs="Times New Roman"/>
                <w:sz w:val="24"/>
                <w:szCs w:val="24"/>
                <w:lang w:val="en-US"/>
              </w:rPr>
            </w:pPr>
          </w:p>
        </w:tc>
        <w:tc>
          <w:tcPr>
            <w:tcW w:w="1096" w:type="pct"/>
            <w:tcBorders>
              <w:top w:val="single" w:sz="4" w:space="0" w:color="auto"/>
              <w:bottom w:val="single" w:sz="4" w:space="0" w:color="auto"/>
            </w:tcBorders>
          </w:tcPr>
          <w:p w14:paraId="69D2DA54" w14:textId="3B911198"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50 DAS</w:t>
            </w:r>
          </w:p>
        </w:tc>
        <w:tc>
          <w:tcPr>
            <w:tcW w:w="1096" w:type="pct"/>
            <w:tcBorders>
              <w:top w:val="single" w:sz="4" w:space="0" w:color="auto"/>
              <w:bottom w:val="single" w:sz="4" w:space="0" w:color="auto"/>
            </w:tcBorders>
          </w:tcPr>
          <w:p w14:paraId="7DB6080C" w14:textId="72906C75"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Harvest </w:t>
            </w:r>
          </w:p>
        </w:tc>
        <w:tc>
          <w:tcPr>
            <w:tcW w:w="558" w:type="pct"/>
            <w:tcBorders>
              <w:top w:val="single" w:sz="4" w:space="0" w:color="auto"/>
              <w:bottom w:val="single" w:sz="4" w:space="0" w:color="auto"/>
            </w:tcBorders>
          </w:tcPr>
          <w:p w14:paraId="578AA8AE" w14:textId="499F420F"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50 DAS</w:t>
            </w:r>
          </w:p>
        </w:tc>
        <w:tc>
          <w:tcPr>
            <w:tcW w:w="540" w:type="pct"/>
            <w:tcBorders>
              <w:top w:val="single" w:sz="4" w:space="0" w:color="auto"/>
              <w:bottom w:val="single" w:sz="4" w:space="0" w:color="auto"/>
            </w:tcBorders>
          </w:tcPr>
          <w:p w14:paraId="7D75F14D" w14:textId="2F45021B"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Harvest</w:t>
            </w:r>
          </w:p>
        </w:tc>
      </w:tr>
      <w:tr w:rsidR="004A0111" w14:paraId="5B680C75" w14:textId="77777777" w:rsidTr="00DA194E">
        <w:tc>
          <w:tcPr>
            <w:tcW w:w="5000" w:type="pct"/>
            <w:gridSpan w:val="5"/>
            <w:tcBorders>
              <w:top w:val="single" w:sz="4" w:space="0" w:color="auto"/>
            </w:tcBorders>
          </w:tcPr>
          <w:p w14:paraId="17EF8904" w14:textId="590EC7AB"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Weed management</w:t>
            </w:r>
          </w:p>
        </w:tc>
      </w:tr>
      <w:tr w:rsidR="004A0111" w14:paraId="40644A11" w14:textId="77777777" w:rsidTr="00DA194E">
        <w:tc>
          <w:tcPr>
            <w:tcW w:w="1710" w:type="pct"/>
            <w:tcBorders>
              <w:top w:val="single" w:sz="4" w:space="0" w:color="auto"/>
            </w:tcBorders>
          </w:tcPr>
          <w:p w14:paraId="41B2D293" w14:textId="05E97119"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Weedy check</w:t>
            </w:r>
          </w:p>
        </w:tc>
        <w:tc>
          <w:tcPr>
            <w:tcW w:w="1096" w:type="pct"/>
            <w:tcBorders>
              <w:top w:val="single" w:sz="4" w:space="0" w:color="auto"/>
            </w:tcBorders>
          </w:tcPr>
          <w:p w14:paraId="01C2845C" w14:textId="0FDC467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218.45</w:t>
            </w:r>
          </w:p>
        </w:tc>
        <w:tc>
          <w:tcPr>
            <w:tcW w:w="1096" w:type="pct"/>
            <w:tcBorders>
              <w:top w:val="single" w:sz="4" w:space="0" w:color="auto"/>
            </w:tcBorders>
          </w:tcPr>
          <w:p w14:paraId="1FBEA2C4" w14:textId="1D168D6F"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265.15</w:t>
            </w:r>
          </w:p>
        </w:tc>
        <w:tc>
          <w:tcPr>
            <w:tcW w:w="558" w:type="pct"/>
            <w:tcBorders>
              <w:top w:val="single" w:sz="4" w:space="0" w:color="auto"/>
            </w:tcBorders>
          </w:tcPr>
          <w:p w14:paraId="044524BA" w14:textId="79146DA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71.58</w:t>
            </w:r>
          </w:p>
        </w:tc>
        <w:tc>
          <w:tcPr>
            <w:tcW w:w="540" w:type="pct"/>
            <w:tcBorders>
              <w:top w:val="single" w:sz="4" w:space="0" w:color="auto"/>
            </w:tcBorders>
          </w:tcPr>
          <w:p w14:paraId="6B9EA672" w14:textId="1359819A"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72.22</w:t>
            </w:r>
          </w:p>
        </w:tc>
      </w:tr>
      <w:tr w:rsidR="004A0111" w14:paraId="5B77F444" w14:textId="77777777" w:rsidTr="00DA194E">
        <w:tc>
          <w:tcPr>
            <w:tcW w:w="1710" w:type="pct"/>
          </w:tcPr>
          <w:p w14:paraId="627A4252" w14:textId="67A48ACB"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One HW at 20 DAS</w:t>
            </w:r>
          </w:p>
        </w:tc>
        <w:tc>
          <w:tcPr>
            <w:tcW w:w="1096" w:type="pct"/>
          </w:tcPr>
          <w:p w14:paraId="5AF0FE67" w14:textId="1088553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56.81</w:t>
            </w:r>
          </w:p>
        </w:tc>
        <w:tc>
          <w:tcPr>
            <w:tcW w:w="1096" w:type="pct"/>
          </w:tcPr>
          <w:p w14:paraId="4193532D" w14:textId="668275C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64.97</w:t>
            </w:r>
          </w:p>
        </w:tc>
        <w:tc>
          <w:tcPr>
            <w:tcW w:w="558" w:type="pct"/>
          </w:tcPr>
          <w:p w14:paraId="074F1CF5" w14:textId="6F76F49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73.91</w:t>
            </w:r>
          </w:p>
        </w:tc>
        <w:tc>
          <w:tcPr>
            <w:tcW w:w="540" w:type="pct"/>
          </w:tcPr>
          <w:p w14:paraId="01169C54" w14:textId="195A4E75"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72.85</w:t>
            </w:r>
          </w:p>
        </w:tc>
      </w:tr>
      <w:tr w:rsidR="004A0111" w14:paraId="6F9F44D9" w14:textId="77777777" w:rsidTr="00DA194E">
        <w:tc>
          <w:tcPr>
            <w:tcW w:w="1710" w:type="pct"/>
          </w:tcPr>
          <w:p w14:paraId="23E2C5EC" w14:textId="2E6D8F39"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Two HW at 20 &amp; 40 DAS</w:t>
            </w:r>
            <w:r w:rsidRPr="00697E42">
              <w:rPr>
                <w:rFonts w:ascii="Times New Roman" w:hAnsi="Times New Roman" w:cs="Times New Roman"/>
                <w:sz w:val="24"/>
                <w:szCs w:val="24"/>
                <w:vertAlign w:val="superscript"/>
              </w:rPr>
              <w:t>*</w:t>
            </w:r>
          </w:p>
        </w:tc>
        <w:tc>
          <w:tcPr>
            <w:tcW w:w="1096" w:type="pct"/>
          </w:tcPr>
          <w:p w14:paraId="7B471046" w14:textId="59390C58"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35.28</w:t>
            </w:r>
          </w:p>
        </w:tc>
        <w:tc>
          <w:tcPr>
            <w:tcW w:w="1096" w:type="pct"/>
          </w:tcPr>
          <w:p w14:paraId="056B007F" w14:textId="53AE73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49.64</w:t>
            </w:r>
          </w:p>
        </w:tc>
        <w:tc>
          <w:tcPr>
            <w:tcW w:w="558" w:type="pct"/>
          </w:tcPr>
          <w:p w14:paraId="4DCFBF48" w14:textId="4BEAAFE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83.89</w:t>
            </w:r>
          </w:p>
        </w:tc>
        <w:tc>
          <w:tcPr>
            <w:tcW w:w="540" w:type="pct"/>
          </w:tcPr>
          <w:p w14:paraId="35EA111D" w14:textId="744EFBFA"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82.16</w:t>
            </w:r>
          </w:p>
        </w:tc>
      </w:tr>
      <w:tr w:rsidR="004A0111" w14:paraId="5266FB73" w14:textId="77777777" w:rsidTr="00DA194E">
        <w:tc>
          <w:tcPr>
            <w:tcW w:w="1710" w:type="pct"/>
          </w:tcPr>
          <w:p w14:paraId="4C212554" w14:textId="1DC5600B"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Alachlor @ 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1096" w:type="pct"/>
          </w:tcPr>
          <w:p w14:paraId="22B71C14" w14:textId="73A884D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62.10</w:t>
            </w:r>
          </w:p>
        </w:tc>
        <w:tc>
          <w:tcPr>
            <w:tcW w:w="1096" w:type="pct"/>
          </w:tcPr>
          <w:p w14:paraId="6AE08E2C" w14:textId="35EE0CA5"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76.24</w:t>
            </w:r>
          </w:p>
        </w:tc>
        <w:tc>
          <w:tcPr>
            <w:tcW w:w="558" w:type="pct"/>
          </w:tcPr>
          <w:p w14:paraId="2EA1E1F5" w14:textId="74FEB7D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75.57</w:t>
            </w:r>
          </w:p>
        </w:tc>
        <w:tc>
          <w:tcPr>
            <w:tcW w:w="540" w:type="pct"/>
          </w:tcPr>
          <w:p w14:paraId="136630B3" w14:textId="2BE2D8D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74.03</w:t>
            </w:r>
          </w:p>
        </w:tc>
      </w:tr>
      <w:tr w:rsidR="004A0111" w14:paraId="755C54CF" w14:textId="77777777" w:rsidTr="00DA194E">
        <w:tc>
          <w:tcPr>
            <w:tcW w:w="1710" w:type="pct"/>
          </w:tcPr>
          <w:p w14:paraId="49FB4461" w14:textId="42B4B273"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lang w:val="pt-BR"/>
              </w:rPr>
              <w:t>Alachlor @ 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1096" w:type="pct"/>
          </w:tcPr>
          <w:p w14:paraId="1C1B5548" w14:textId="7C9B7A1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43.58</w:t>
            </w:r>
          </w:p>
        </w:tc>
        <w:tc>
          <w:tcPr>
            <w:tcW w:w="1096" w:type="pct"/>
          </w:tcPr>
          <w:p w14:paraId="7B38E39A" w14:textId="0867E140"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58.49</w:t>
            </w:r>
          </w:p>
        </w:tc>
        <w:tc>
          <w:tcPr>
            <w:tcW w:w="558" w:type="pct"/>
          </w:tcPr>
          <w:p w14:paraId="477B179A" w14:textId="43BB159C"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80.15</w:t>
            </w:r>
          </w:p>
        </w:tc>
        <w:tc>
          <w:tcPr>
            <w:tcW w:w="540" w:type="pct"/>
          </w:tcPr>
          <w:p w14:paraId="58454B08" w14:textId="5254779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77.78</w:t>
            </w:r>
          </w:p>
        </w:tc>
      </w:tr>
      <w:tr w:rsidR="004A0111" w14:paraId="616DE762" w14:textId="77777777" w:rsidTr="00DA194E">
        <w:tc>
          <w:tcPr>
            <w:tcW w:w="1710" w:type="pct"/>
          </w:tcPr>
          <w:p w14:paraId="702B9278" w14:textId="2F5C0544" w:rsidR="004A0111" w:rsidRPr="00697E42" w:rsidRDefault="004A0111" w:rsidP="004A0111">
            <w:pPr>
              <w:rPr>
                <w:rFonts w:ascii="Times New Roman" w:hAnsi="Times New Roman" w:cs="Times New Roman"/>
                <w:sz w:val="24"/>
                <w:szCs w:val="24"/>
                <w:lang w:val="pt-BR"/>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mazethapyr @ 0.15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1096" w:type="pct"/>
          </w:tcPr>
          <w:p w14:paraId="1AAE704D" w14:textId="22FC67D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59.55</w:t>
            </w:r>
          </w:p>
        </w:tc>
        <w:tc>
          <w:tcPr>
            <w:tcW w:w="1096" w:type="pct"/>
          </w:tcPr>
          <w:p w14:paraId="6AFA4A12" w14:textId="1438F66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69.64</w:t>
            </w:r>
          </w:p>
        </w:tc>
        <w:tc>
          <w:tcPr>
            <w:tcW w:w="558" w:type="pct"/>
          </w:tcPr>
          <w:p w14:paraId="529F020D" w14:textId="5080744B"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77.78</w:t>
            </w:r>
          </w:p>
        </w:tc>
        <w:tc>
          <w:tcPr>
            <w:tcW w:w="540" w:type="pct"/>
          </w:tcPr>
          <w:p w14:paraId="391E7B53" w14:textId="26E3380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75.98</w:t>
            </w:r>
          </w:p>
        </w:tc>
      </w:tr>
      <w:tr w:rsidR="004A0111" w14:paraId="7351B9AD" w14:textId="77777777" w:rsidTr="00DA194E">
        <w:tc>
          <w:tcPr>
            <w:tcW w:w="1710" w:type="pct"/>
          </w:tcPr>
          <w:p w14:paraId="17CA9524" w14:textId="0485C874" w:rsidR="004A0111" w:rsidRPr="00697E42" w:rsidRDefault="004A0111" w:rsidP="004A0111">
            <w:pPr>
              <w:rPr>
                <w:rFonts w:ascii="Times New Roman" w:hAnsi="Times New Roman" w:cs="Times New Roman"/>
                <w:caps/>
                <w:sz w:val="24"/>
                <w:szCs w:val="24"/>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w:t>
            </w:r>
            <w:r w:rsidRPr="00697E42">
              <w:rPr>
                <w:rFonts w:ascii="Times New Roman" w:hAnsi="Times New Roman" w:cs="Times New Roman"/>
                <w:sz w:val="24"/>
                <w:szCs w:val="24"/>
                <w:lang w:val="pt-BR"/>
              </w:rPr>
              <w:t>ethapyr @ 0.15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r w:rsidRPr="00697E42">
              <w:rPr>
                <w:rFonts w:ascii="Times New Roman" w:hAnsi="Times New Roman" w:cs="Times New Roman"/>
                <w:sz w:val="24"/>
                <w:szCs w:val="24"/>
                <w:vertAlign w:val="superscript"/>
              </w:rPr>
              <w:t>*</w:t>
            </w:r>
          </w:p>
        </w:tc>
        <w:tc>
          <w:tcPr>
            <w:tcW w:w="1096" w:type="pct"/>
          </w:tcPr>
          <w:p w14:paraId="589D1B11" w14:textId="4828B78A"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33.99</w:t>
            </w:r>
          </w:p>
        </w:tc>
        <w:tc>
          <w:tcPr>
            <w:tcW w:w="1096" w:type="pct"/>
          </w:tcPr>
          <w:p w14:paraId="3C58E96E" w14:textId="68523A1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47.86</w:t>
            </w:r>
          </w:p>
        </w:tc>
        <w:tc>
          <w:tcPr>
            <w:tcW w:w="558" w:type="pct"/>
          </w:tcPr>
          <w:p w14:paraId="51C854C1" w14:textId="1EF872C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85.21</w:t>
            </w:r>
          </w:p>
        </w:tc>
        <w:tc>
          <w:tcPr>
            <w:tcW w:w="540" w:type="pct"/>
          </w:tcPr>
          <w:p w14:paraId="0D683F51" w14:textId="176441A2"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82.85</w:t>
            </w:r>
          </w:p>
        </w:tc>
      </w:tr>
      <w:tr w:rsidR="004A0111" w14:paraId="38E4F5AB" w14:textId="77777777" w:rsidTr="00DA194E">
        <w:tc>
          <w:tcPr>
            <w:tcW w:w="1710" w:type="pct"/>
          </w:tcPr>
          <w:p w14:paraId="50A63B6B" w14:textId="42B16156" w:rsidR="004A0111" w:rsidRPr="00697E42" w:rsidRDefault="004A0111" w:rsidP="004A0111">
            <w:pPr>
              <w:rPr>
                <w:rFonts w:ascii="Times New Roman" w:hAnsi="Times New Roman" w:cs="Times New Roman"/>
                <w:caps/>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1096" w:type="pct"/>
          </w:tcPr>
          <w:p w14:paraId="712648B0" w14:textId="07A133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2.73</w:t>
            </w:r>
          </w:p>
        </w:tc>
        <w:tc>
          <w:tcPr>
            <w:tcW w:w="1096" w:type="pct"/>
          </w:tcPr>
          <w:p w14:paraId="2C597B3E" w14:textId="4E31F19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3.57</w:t>
            </w:r>
          </w:p>
        </w:tc>
        <w:tc>
          <w:tcPr>
            <w:tcW w:w="558" w:type="pct"/>
          </w:tcPr>
          <w:p w14:paraId="14425695" w14:textId="39FFFB53"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0.311</w:t>
            </w:r>
          </w:p>
        </w:tc>
        <w:tc>
          <w:tcPr>
            <w:tcW w:w="540" w:type="pct"/>
          </w:tcPr>
          <w:p w14:paraId="50005C62" w14:textId="2FA44E1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0.31</w:t>
            </w:r>
          </w:p>
        </w:tc>
      </w:tr>
      <w:tr w:rsidR="004A0111" w14:paraId="3818CA4A" w14:textId="77777777" w:rsidTr="00DA194E">
        <w:tc>
          <w:tcPr>
            <w:tcW w:w="1710" w:type="pct"/>
            <w:tcBorders>
              <w:bottom w:val="single" w:sz="4" w:space="0" w:color="auto"/>
            </w:tcBorders>
          </w:tcPr>
          <w:p w14:paraId="0A92F37E" w14:textId="2A155904"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1096" w:type="pct"/>
            <w:tcBorders>
              <w:bottom w:val="single" w:sz="4" w:space="0" w:color="auto"/>
            </w:tcBorders>
          </w:tcPr>
          <w:p w14:paraId="20473C50" w14:textId="6D0F025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7.82</w:t>
            </w:r>
          </w:p>
        </w:tc>
        <w:tc>
          <w:tcPr>
            <w:tcW w:w="1096" w:type="pct"/>
            <w:tcBorders>
              <w:bottom w:val="single" w:sz="4" w:space="0" w:color="auto"/>
            </w:tcBorders>
          </w:tcPr>
          <w:p w14:paraId="5E2A7B06" w14:textId="73D938B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10.21</w:t>
            </w:r>
          </w:p>
        </w:tc>
        <w:tc>
          <w:tcPr>
            <w:tcW w:w="558" w:type="pct"/>
            <w:tcBorders>
              <w:bottom w:val="single" w:sz="4" w:space="0" w:color="auto"/>
            </w:tcBorders>
          </w:tcPr>
          <w:p w14:paraId="4293D07C" w14:textId="7FD9B61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0.89</w:t>
            </w:r>
          </w:p>
        </w:tc>
        <w:tc>
          <w:tcPr>
            <w:tcW w:w="540" w:type="pct"/>
            <w:tcBorders>
              <w:bottom w:val="single" w:sz="4" w:space="0" w:color="auto"/>
            </w:tcBorders>
          </w:tcPr>
          <w:p w14:paraId="3BB2093A" w14:textId="6F98727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0.89</w:t>
            </w:r>
          </w:p>
        </w:tc>
      </w:tr>
      <w:tr w:rsidR="004A0111" w14:paraId="00DBCB34" w14:textId="77777777" w:rsidTr="00DA194E">
        <w:tc>
          <w:tcPr>
            <w:tcW w:w="5000" w:type="pct"/>
            <w:gridSpan w:val="5"/>
            <w:tcBorders>
              <w:top w:val="single" w:sz="4" w:space="0" w:color="auto"/>
              <w:bottom w:val="single" w:sz="4" w:space="0" w:color="auto"/>
            </w:tcBorders>
          </w:tcPr>
          <w:p w14:paraId="640A7949" w14:textId="67E195F0" w:rsidR="004A0111" w:rsidRPr="00345014"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Nitrogen levels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p>
        </w:tc>
      </w:tr>
      <w:tr w:rsidR="004A0111" w14:paraId="317BF8D8" w14:textId="77777777" w:rsidTr="00DA194E">
        <w:tc>
          <w:tcPr>
            <w:tcW w:w="1710" w:type="pct"/>
            <w:tcBorders>
              <w:top w:val="single" w:sz="4" w:space="0" w:color="auto"/>
            </w:tcBorders>
          </w:tcPr>
          <w:p w14:paraId="1037B539" w14:textId="01B947EB"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0    </w:t>
            </w:r>
          </w:p>
        </w:tc>
        <w:tc>
          <w:tcPr>
            <w:tcW w:w="1096" w:type="pct"/>
            <w:tcBorders>
              <w:top w:val="single" w:sz="4" w:space="0" w:color="auto"/>
            </w:tcBorders>
          </w:tcPr>
          <w:p w14:paraId="02ACAF0A" w14:textId="5D15FC7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63.23</w:t>
            </w:r>
          </w:p>
        </w:tc>
        <w:tc>
          <w:tcPr>
            <w:tcW w:w="1096" w:type="pct"/>
            <w:tcBorders>
              <w:top w:val="single" w:sz="4" w:space="0" w:color="auto"/>
            </w:tcBorders>
          </w:tcPr>
          <w:p w14:paraId="668F0DE2" w14:textId="1C12927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78.9</w:t>
            </w:r>
          </w:p>
        </w:tc>
        <w:tc>
          <w:tcPr>
            <w:tcW w:w="558" w:type="pct"/>
            <w:tcBorders>
              <w:top w:val="single" w:sz="4" w:space="0" w:color="auto"/>
            </w:tcBorders>
          </w:tcPr>
          <w:p w14:paraId="443006AD" w14:textId="45F1C13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78.21</w:t>
            </w:r>
          </w:p>
        </w:tc>
        <w:tc>
          <w:tcPr>
            <w:tcW w:w="540" w:type="pct"/>
            <w:tcBorders>
              <w:top w:val="single" w:sz="4" w:space="0" w:color="auto"/>
            </w:tcBorders>
          </w:tcPr>
          <w:p w14:paraId="017CF2D1" w14:textId="07F307F2"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76.70</w:t>
            </w:r>
          </w:p>
        </w:tc>
      </w:tr>
      <w:tr w:rsidR="004A0111" w14:paraId="2925C365" w14:textId="77777777" w:rsidTr="00DA194E">
        <w:tc>
          <w:tcPr>
            <w:tcW w:w="1710" w:type="pct"/>
          </w:tcPr>
          <w:p w14:paraId="13FBECC0" w14:textId="28C5B6AF"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20 </w:t>
            </w:r>
          </w:p>
        </w:tc>
        <w:tc>
          <w:tcPr>
            <w:tcW w:w="1096" w:type="pct"/>
          </w:tcPr>
          <w:p w14:paraId="2FC8490C" w14:textId="2F82C76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73.95</w:t>
            </w:r>
          </w:p>
        </w:tc>
        <w:tc>
          <w:tcPr>
            <w:tcW w:w="1096" w:type="pct"/>
          </w:tcPr>
          <w:p w14:paraId="45FD5D02" w14:textId="07DB2C6E"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90.58</w:t>
            </w:r>
          </w:p>
        </w:tc>
        <w:tc>
          <w:tcPr>
            <w:tcW w:w="558" w:type="pct"/>
          </w:tcPr>
          <w:p w14:paraId="42B648A2" w14:textId="1914974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78.14</w:t>
            </w:r>
          </w:p>
        </w:tc>
        <w:tc>
          <w:tcPr>
            <w:tcW w:w="540" w:type="pct"/>
          </w:tcPr>
          <w:p w14:paraId="660D593F" w14:textId="6FB2535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76.88</w:t>
            </w:r>
          </w:p>
        </w:tc>
      </w:tr>
      <w:tr w:rsidR="004A0111" w14:paraId="446E23D2" w14:textId="77777777" w:rsidTr="00DA194E">
        <w:tc>
          <w:tcPr>
            <w:tcW w:w="1710" w:type="pct"/>
          </w:tcPr>
          <w:p w14:paraId="7F0DD3AA" w14:textId="5060FF16"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40 </w:t>
            </w:r>
          </w:p>
        </w:tc>
        <w:tc>
          <w:tcPr>
            <w:tcW w:w="1096" w:type="pct"/>
          </w:tcPr>
          <w:p w14:paraId="712C037F" w14:textId="4727BAE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81.29</w:t>
            </w:r>
          </w:p>
        </w:tc>
        <w:tc>
          <w:tcPr>
            <w:tcW w:w="1096" w:type="pct"/>
          </w:tcPr>
          <w:p w14:paraId="47132020" w14:textId="7E4435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101.38</w:t>
            </w:r>
          </w:p>
        </w:tc>
        <w:tc>
          <w:tcPr>
            <w:tcW w:w="558" w:type="pct"/>
          </w:tcPr>
          <w:p w14:paraId="507E0B15" w14:textId="23E5EF1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78.54</w:t>
            </w:r>
          </w:p>
        </w:tc>
        <w:tc>
          <w:tcPr>
            <w:tcW w:w="540" w:type="pct"/>
          </w:tcPr>
          <w:p w14:paraId="0E7BF4E1" w14:textId="5502E7F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76.94</w:t>
            </w:r>
          </w:p>
        </w:tc>
      </w:tr>
      <w:tr w:rsidR="004A0111" w14:paraId="7302986A" w14:textId="77777777" w:rsidTr="00DA194E">
        <w:tc>
          <w:tcPr>
            <w:tcW w:w="1710" w:type="pct"/>
          </w:tcPr>
          <w:p w14:paraId="1EA84E32" w14:textId="459E116B" w:rsidR="004A0111" w:rsidRPr="00697E42" w:rsidRDefault="004A0111" w:rsidP="004A0111">
            <w:pPr>
              <w:rPr>
                <w:rFonts w:ascii="Times New Roman" w:hAnsi="Times New Roman" w:cs="Times New Roman"/>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1096" w:type="pct"/>
          </w:tcPr>
          <w:p w14:paraId="4A81C315" w14:textId="73E15748"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1.93</w:t>
            </w:r>
          </w:p>
        </w:tc>
        <w:tc>
          <w:tcPr>
            <w:tcW w:w="1096" w:type="pct"/>
          </w:tcPr>
          <w:p w14:paraId="598D5037" w14:textId="26DE5A3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2.52</w:t>
            </w:r>
          </w:p>
        </w:tc>
        <w:tc>
          <w:tcPr>
            <w:tcW w:w="558" w:type="pct"/>
          </w:tcPr>
          <w:p w14:paraId="39CC9F18" w14:textId="43C4376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540" w:type="pct"/>
          </w:tcPr>
          <w:p w14:paraId="7A0027C5" w14:textId="58CC037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r>
      <w:tr w:rsidR="004A0111" w14:paraId="7AA38606" w14:textId="77777777" w:rsidTr="00DA194E">
        <w:tc>
          <w:tcPr>
            <w:tcW w:w="1710" w:type="pct"/>
          </w:tcPr>
          <w:p w14:paraId="224B55BC" w14:textId="6E597EE0"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1096" w:type="pct"/>
          </w:tcPr>
          <w:p w14:paraId="17C7409B" w14:textId="3B36FF8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5.53</w:t>
            </w:r>
          </w:p>
        </w:tc>
        <w:tc>
          <w:tcPr>
            <w:tcW w:w="1096" w:type="pct"/>
          </w:tcPr>
          <w:p w14:paraId="6851A8CD" w14:textId="47F52C2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7.22</w:t>
            </w:r>
          </w:p>
        </w:tc>
        <w:tc>
          <w:tcPr>
            <w:tcW w:w="558" w:type="pct"/>
          </w:tcPr>
          <w:p w14:paraId="3F24C678" w14:textId="1D4B2ED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540" w:type="pct"/>
          </w:tcPr>
          <w:p w14:paraId="00DEB3C7" w14:textId="27960528"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r>
    </w:tbl>
    <w:p w14:paraId="54AA67C8" w14:textId="65AFAA75" w:rsidR="00345014" w:rsidRDefault="00345014" w:rsidP="002A25BB">
      <w:pPr>
        <w:rPr>
          <w:rFonts w:ascii="Times New Roman" w:hAnsi="Times New Roman" w:cs="Times New Roman"/>
          <w:sz w:val="24"/>
          <w:szCs w:val="24"/>
          <w:lang w:val="en-US"/>
        </w:rPr>
      </w:pPr>
    </w:p>
    <w:p w14:paraId="521A52A3" w14:textId="281D4124" w:rsidR="00663938" w:rsidRDefault="00663938" w:rsidP="002A25BB">
      <w:pPr>
        <w:rPr>
          <w:rFonts w:ascii="Times New Roman" w:hAnsi="Times New Roman" w:cs="Times New Roman"/>
          <w:sz w:val="24"/>
          <w:szCs w:val="24"/>
        </w:rPr>
      </w:pPr>
    </w:p>
    <w:p w14:paraId="25586B0C" w14:textId="00BD2365" w:rsidR="00DA194E" w:rsidRDefault="00DA194E" w:rsidP="002A25BB">
      <w:pPr>
        <w:rPr>
          <w:rFonts w:ascii="Times New Roman" w:hAnsi="Times New Roman" w:cs="Times New Roman"/>
          <w:sz w:val="24"/>
          <w:szCs w:val="24"/>
        </w:rPr>
      </w:pPr>
    </w:p>
    <w:p w14:paraId="062E987A" w14:textId="77777777" w:rsidR="00DA194E" w:rsidRDefault="00DA194E" w:rsidP="002A25BB">
      <w:pPr>
        <w:rPr>
          <w:rFonts w:ascii="Times New Roman" w:hAnsi="Times New Roman" w:cs="Times New Roman"/>
          <w:sz w:val="24"/>
          <w:szCs w:val="24"/>
        </w:rPr>
      </w:pPr>
    </w:p>
    <w:p w14:paraId="37005058" w14:textId="0A3BE6C1" w:rsidR="00DA194E" w:rsidRDefault="00DA194E" w:rsidP="002A25BB">
      <w:pPr>
        <w:rPr>
          <w:rFonts w:ascii="Times New Roman" w:hAnsi="Times New Roman" w:cs="Times New Roman"/>
          <w:sz w:val="24"/>
          <w:szCs w:val="24"/>
        </w:rPr>
      </w:pPr>
    </w:p>
    <w:p w14:paraId="690425DD" w14:textId="44504EBE" w:rsidR="00DA194E" w:rsidRDefault="00DA194E" w:rsidP="002A25BB">
      <w:pPr>
        <w:rPr>
          <w:rFonts w:ascii="Times New Roman" w:hAnsi="Times New Roman" w:cs="Times New Roman"/>
          <w:sz w:val="24"/>
          <w:szCs w:val="24"/>
        </w:rPr>
      </w:pPr>
    </w:p>
    <w:p w14:paraId="6F7C7BE2" w14:textId="77777777" w:rsidR="00DA194E" w:rsidRDefault="00DA194E" w:rsidP="002A25BB">
      <w:pPr>
        <w:rPr>
          <w:rFonts w:ascii="Times New Roman" w:hAnsi="Times New Roman" w:cs="Times New Roman"/>
          <w:sz w:val="24"/>
          <w:szCs w:val="24"/>
        </w:rPr>
      </w:pPr>
    </w:p>
    <w:p w14:paraId="251A5599" w14:textId="77777777" w:rsidR="00DA194E" w:rsidRDefault="00DA194E" w:rsidP="002A25BB">
      <w:pPr>
        <w:rPr>
          <w:rFonts w:ascii="Times New Roman" w:hAnsi="Times New Roman" w:cs="Times New Roman"/>
          <w:sz w:val="24"/>
          <w:szCs w:val="24"/>
        </w:rPr>
      </w:pPr>
    </w:p>
    <w:p w14:paraId="428A3AA0" w14:textId="373B8FA5" w:rsidR="00DA194E" w:rsidRDefault="00DA194E" w:rsidP="002A25BB">
      <w:pPr>
        <w:rPr>
          <w:rFonts w:ascii="Times New Roman" w:hAnsi="Times New Roman" w:cs="Times New Roman"/>
          <w:sz w:val="24"/>
          <w:szCs w:val="24"/>
        </w:rPr>
      </w:pPr>
    </w:p>
    <w:p w14:paraId="60AD9BCD" w14:textId="77777777" w:rsidR="00DA194E" w:rsidRDefault="00DA194E" w:rsidP="002A25BB">
      <w:pPr>
        <w:rPr>
          <w:noProof/>
        </w:rPr>
      </w:pPr>
    </w:p>
    <w:p w14:paraId="416F185A" w14:textId="77777777" w:rsidR="00DA194E" w:rsidRDefault="00DA194E" w:rsidP="002A25BB">
      <w:pPr>
        <w:rPr>
          <w:rFonts w:ascii="Times New Roman" w:hAnsi="Times New Roman" w:cs="Times New Roman"/>
          <w:sz w:val="24"/>
          <w:szCs w:val="24"/>
        </w:rPr>
      </w:pPr>
    </w:p>
    <w:p w14:paraId="27014B1E" w14:textId="77777777" w:rsidR="00DA194E" w:rsidRDefault="00DA194E" w:rsidP="002A25BB">
      <w:pPr>
        <w:rPr>
          <w:rFonts w:ascii="Times New Roman" w:hAnsi="Times New Roman" w:cs="Times New Roman"/>
          <w:sz w:val="24"/>
          <w:szCs w:val="24"/>
        </w:rPr>
      </w:pPr>
    </w:p>
    <w:p w14:paraId="0CC680E3" w14:textId="77777777" w:rsidR="00DA194E" w:rsidRDefault="00DA194E" w:rsidP="002A25BB">
      <w:pPr>
        <w:rPr>
          <w:rFonts w:ascii="Times New Roman" w:hAnsi="Times New Roman" w:cs="Times New Roman"/>
          <w:sz w:val="24"/>
          <w:szCs w:val="24"/>
        </w:rPr>
      </w:pPr>
    </w:p>
    <w:p w14:paraId="004BD79B" w14:textId="77777777" w:rsidR="00DA194E" w:rsidRDefault="00DA194E" w:rsidP="002A25BB">
      <w:pPr>
        <w:rPr>
          <w:rFonts w:ascii="Times New Roman" w:hAnsi="Times New Roman" w:cs="Times New Roman"/>
          <w:sz w:val="24"/>
          <w:szCs w:val="24"/>
        </w:rPr>
      </w:pPr>
    </w:p>
    <w:p w14:paraId="6BE9B881" w14:textId="77777777" w:rsidR="00DA194E" w:rsidRDefault="00DA194E" w:rsidP="002A25BB">
      <w:pPr>
        <w:rPr>
          <w:rFonts w:ascii="Times New Roman" w:hAnsi="Times New Roman" w:cs="Times New Roman"/>
          <w:sz w:val="24"/>
          <w:szCs w:val="24"/>
        </w:rPr>
      </w:pPr>
    </w:p>
    <w:p w14:paraId="508F44E4" w14:textId="77777777" w:rsidR="00DA194E" w:rsidRDefault="00DA194E" w:rsidP="002A25BB">
      <w:pPr>
        <w:rPr>
          <w:rFonts w:ascii="Times New Roman" w:hAnsi="Times New Roman" w:cs="Times New Roman"/>
          <w:sz w:val="24"/>
          <w:szCs w:val="24"/>
        </w:rPr>
      </w:pPr>
    </w:p>
    <w:p w14:paraId="36330750" w14:textId="77777777" w:rsidR="00DA194E" w:rsidRDefault="00DA194E" w:rsidP="002A25BB">
      <w:pPr>
        <w:rPr>
          <w:rFonts w:ascii="Times New Roman" w:hAnsi="Times New Roman" w:cs="Times New Roman"/>
          <w:sz w:val="24"/>
          <w:szCs w:val="24"/>
        </w:rPr>
      </w:pPr>
    </w:p>
    <w:p w14:paraId="12F0323A" w14:textId="77777777" w:rsidR="00DA194E" w:rsidRDefault="00DA194E" w:rsidP="002A25BB">
      <w:pPr>
        <w:rPr>
          <w:rFonts w:ascii="Times New Roman" w:hAnsi="Times New Roman" w:cs="Times New Roman"/>
          <w:sz w:val="24"/>
          <w:szCs w:val="24"/>
        </w:rPr>
      </w:pPr>
    </w:p>
    <w:p w14:paraId="21AD721C" w14:textId="77777777" w:rsidR="00DA194E" w:rsidRDefault="00DA194E" w:rsidP="002A25BB">
      <w:pPr>
        <w:rPr>
          <w:rFonts w:ascii="Times New Roman" w:hAnsi="Times New Roman" w:cs="Times New Roman"/>
          <w:sz w:val="24"/>
          <w:szCs w:val="24"/>
        </w:rPr>
      </w:pPr>
    </w:p>
    <w:p w14:paraId="009C2E17" w14:textId="77777777" w:rsidR="00DA194E" w:rsidRDefault="00DA194E" w:rsidP="002A25BB">
      <w:pPr>
        <w:rPr>
          <w:rFonts w:ascii="Times New Roman" w:hAnsi="Times New Roman" w:cs="Times New Roman"/>
          <w:sz w:val="24"/>
          <w:szCs w:val="24"/>
        </w:rPr>
      </w:pPr>
    </w:p>
    <w:p w14:paraId="4C75C79A" w14:textId="5D773E1A" w:rsidR="00DA194E" w:rsidRPr="00DA194E" w:rsidRDefault="00DA194E" w:rsidP="00DA194E">
      <w:pPr>
        <w:jc w:val="center"/>
        <w:rPr>
          <w:rFonts w:ascii="Times New Roman" w:hAnsi="Times New Roman" w:cs="Times New Roman"/>
        </w:rPr>
      </w:pPr>
      <w:r w:rsidRPr="00DA194E">
        <w:rPr>
          <w:rFonts w:ascii="Times New Roman" w:hAnsi="Times New Roman" w:cs="Times New Roman"/>
        </w:rPr>
        <w:t>PH 50 DAS- Plant height at 50 DAS; PH HR- Plant height at harvest stage</w:t>
      </w:r>
    </w:p>
    <w:p w14:paraId="7E8ED9CC" w14:textId="498D4AA7" w:rsidR="00DA194E" w:rsidRDefault="00DA194E" w:rsidP="00DA194E">
      <w:pPr>
        <w:jc w:val="center"/>
        <w:rPr>
          <w:rFonts w:ascii="Times New Roman" w:hAnsi="Times New Roman" w:cs="Times New Roman"/>
          <w:sz w:val="24"/>
          <w:szCs w:val="24"/>
        </w:rPr>
      </w:pPr>
      <w:r>
        <w:rPr>
          <w:noProof/>
          <w:lang w:val="en-US" w:bidi="hi-IN"/>
        </w:rPr>
        <w:drawing>
          <wp:anchor distT="0" distB="0" distL="114300" distR="114300" simplePos="0" relativeHeight="251660288" behindDoc="0" locked="0" layoutInCell="1" allowOverlap="1" wp14:anchorId="63621CDF" wp14:editId="62F98C80">
            <wp:simplePos x="0" y="0"/>
            <wp:positionH relativeFrom="margin">
              <wp:align>center</wp:align>
            </wp:positionH>
            <wp:positionV relativeFrom="margin">
              <wp:align>top</wp:align>
            </wp:positionV>
            <wp:extent cx="5071214" cy="3306445"/>
            <wp:effectExtent l="0" t="0" r="0" b="8255"/>
            <wp:wrapSquare wrapText="bothSides"/>
            <wp:docPr id="475838796" name="Picture 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38796" name="Picture 3" descr="A graph of different colored bars&#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075" t="34383" r="21205" b="7918"/>
                    <a:stretch/>
                  </pic:blipFill>
                  <pic:spPr bwMode="auto">
                    <a:xfrm>
                      <a:off x="0" y="0"/>
                      <a:ext cx="5071214" cy="330644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Fig. 1. Effect of weed management treatments and nitrogen levels on plant height (cm) of sesame.</w:t>
      </w:r>
    </w:p>
    <w:p w14:paraId="5BDFE3CF" w14:textId="491F1C4B" w:rsidR="00DA194E" w:rsidRDefault="00DA194E" w:rsidP="00DA19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DAE5EE" w14:textId="77777777" w:rsidR="00DA194E" w:rsidRDefault="00DA194E" w:rsidP="00DA194E">
      <w:pPr>
        <w:rPr>
          <w:rFonts w:ascii="Times New Roman" w:hAnsi="Times New Roman" w:cs="Times New Roman"/>
          <w:sz w:val="24"/>
          <w:szCs w:val="24"/>
        </w:rPr>
      </w:pPr>
    </w:p>
    <w:p w14:paraId="12BE44FF" w14:textId="77777777" w:rsidR="00DA194E" w:rsidRDefault="00DA194E" w:rsidP="00DA194E">
      <w:pPr>
        <w:rPr>
          <w:rFonts w:ascii="Times New Roman" w:hAnsi="Times New Roman" w:cs="Times New Roman"/>
          <w:sz w:val="24"/>
          <w:szCs w:val="24"/>
        </w:rPr>
      </w:pPr>
    </w:p>
    <w:p w14:paraId="79CEEE94" w14:textId="77777777" w:rsidR="00DA194E" w:rsidRDefault="00DA194E" w:rsidP="00DA194E">
      <w:pPr>
        <w:rPr>
          <w:rFonts w:ascii="Times New Roman" w:hAnsi="Times New Roman" w:cs="Times New Roman"/>
          <w:sz w:val="24"/>
          <w:szCs w:val="24"/>
        </w:rPr>
      </w:pPr>
    </w:p>
    <w:p w14:paraId="2B2C6EF6" w14:textId="77777777" w:rsidR="00DA194E" w:rsidRDefault="00DA194E" w:rsidP="00DA194E">
      <w:pPr>
        <w:rPr>
          <w:rFonts w:ascii="Times New Roman" w:hAnsi="Times New Roman" w:cs="Times New Roman"/>
          <w:sz w:val="24"/>
          <w:szCs w:val="24"/>
        </w:rPr>
      </w:pPr>
    </w:p>
    <w:p w14:paraId="2218FF6B" w14:textId="77777777" w:rsidR="00DA194E" w:rsidRDefault="00DA194E" w:rsidP="00DA194E">
      <w:pPr>
        <w:rPr>
          <w:rFonts w:ascii="Times New Roman" w:hAnsi="Times New Roman" w:cs="Times New Roman"/>
          <w:sz w:val="24"/>
          <w:szCs w:val="24"/>
        </w:rPr>
      </w:pPr>
    </w:p>
    <w:p w14:paraId="0E7C9153" w14:textId="77777777" w:rsidR="00DA194E" w:rsidRDefault="00DA194E" w:rsidP="00DA194E">
      <w:pPr>
        <w:rPr>
          <w:rFonts w:ascii="Times New Roman" w:hAnsi="Times New Roman" w:cs="Times New Roman"/>
          <w:sz w:val="24"/>
          <w:szCs w:val="24"/>
        </w:rPr>
      </w:pPr>
    </w:p>
    <w:p w14:paraId="761422C9" w14:textId="77777777" w:rsidR="00DA194E" w:rsidRDefault="00DA194E" w:rsidP="00DA194E">
      <w:pPr>
        <w:rPr>
          <w:rFonts w:ascii="Times New Roman" w:hAnsi="Times New Roman" w:cs="Times New Roman"/>
          <w:sz w:val="24"/>
          <w:szCs w:val="24"/>
        </w:rPr>
      </w:pPr>
    </w:p>
    <w:p w14:paraId="4EF7EBD6" w14:textId="77777777" w:rsidR="00DA194E" w:rsidRDefault="00DA194E" w:rsidP="00DA194E">
      <w:pPr>
        <w:rPr>
          <w:rFonts w:ascii="Times New Roman" w:hAnsi="Times New Roman" w:cs="Times New Roman"/>
          <w:sz w:val="24"/>
          <w:szCs w:val="24"/>
        </w:rPr>
      </w:pPr>
    </w:p>
    <w:p w14:paraId="5A9071E4" w14:textId="77777777" w:rsidR="00DA194E" w:rsidRDefault="00DA194E" w:rsidP="00DA194E">
      <w:pPr>
        <w:rPr>
          <w:rFonts w:ascii="Times New Roman" w:hAnsi="Times New Roman" w:cs="Times New Roman"/>
          <w:sz w:val="24"/>
          <w:szCs w:val="24"/>
        </w:rPr>
      </w:pPr>
    </w:p>
    <w:p w14:paraId="02B449CA" w14:textId="77777777" w:rsidR="00DA194E" w:rsidRDefault="00DA194E" w:rsidP="00DA194E">
      <w:pPr>
        <w:rPr>
          <w:rFonts w:ascii="Times New Roman" w:hAnsi="Times New Roman" w:cs="Times New Roman"/>
          <w:sz w:val="24"/>
          <w:szCs w:val="24"/>
        </w:rPr>
      </w:pPr>
    </w:p>
    <w:p w14:paraId="0BBE6A95" w14:textId="77777777" w:rsidR="00DA194E" w:rsidRDefault="00DA194E" w:rsidP="00DA194E">
      <w:pPr>
        <w:rPr>
          <w:rFonts w:ascii="Times New Roman" w:hAnsi="Times New Roman" w:cs="Times New Roman"/>
          <w:sz w:val="24"/>
          <w:szCs w:val="24"/>
        </w:rPr>
      </w:pPr>
    </w:p>
    <w:p w14:paraId="0C4075C5" w14:textId="77777777" w:rsidR="00DA194E" w:rsidRDefault="00DA194E" w:rsidP="00DA194E">
      <w:pPr>
        <w:rPr>
          <w:rFonts w:ascii="Times New Roman" w:hAnsi="Times New Roman" w:cs="Times New Roman"/>
          <w:sz w:val="24"/>
          <w:szCs w:val="24"/>
        </w:rPr>
      </w:pPr>
    </w:p>
    <w:p w14:paraId="3DA16C20" w14:textId="77777777" w:rsidR="00DA194E" w:rsidRDefault="00DA194E" w:rsidP="00DA194E">
      <w:pPr>
        <w:rPr>
          <w:rFonts w:ascii="Times New Roman" w:hAnsi="Times New Roman" w:cs="Times New Roman"/>
          <w:sz w:val="24"/>
          <w:szCs w:val="24"/>
        </w:rPr>
      </w:pPr>
    </w:p>
    <w:p w14:paraId="33AA81F7" w14:textId="77777777" w:rsidR="00DA194E" w:rsidRDefault="00DA194E" w:rsidP="00DA194E">
      <w:pPr>
        <w:rPr>
          <w:rFonts w:ascii="Times New Roman" w:hAnsi="Times New Roman" w:cs="Times New Roman"/>
          <w:sz w:val="24"/>
          <w:szCs w:val="24"/>
        </w:rPr>
      </w:pPr>
    </w:p>
    <w:p w14:paraId="10982DD7" w14:textId="77777777" w:rsidR="00DA194E" w:rsidRDefault="00DA194E" w:rsidP="00DA194E">
      <w:pPr>
        <w:rPr>
          <w:rFonts w:ascii="Times New Roman" w:hAnsi="Times New Roman" w:cs="Times New Roman"/>
          <w:sz w:val="24"/>
          <w:szCs w:val="24"/>
        </w:rPr>
      </w:pPr>
    </w:p>
    <w:p w14:paraId="19E54FFA" w14:textId="77777777" w:rsidR="00DA194E" w:rsidRDefault="00DA194E" w:rsidP="00DA194E">
      <w:pPr>
        <w:rPr>
          <w:rFonts w:ascii="Times New Roman" w:hAnsi="Times New Roman" w:cs="Times New Roman"/>
          <w:sz w:val="24"/>
          <w:szCs w:val="24"/>
        </w:rPr>
      </w:pPr>
    </w:p>
    <w:p w14:paraId="7EE8C9EB" w14:textId="77777777" w:rsidR="00DA194E" w:rsidRDefault="00DA194E" w:rsidP="00DA194E">
      <w:pPr>
        <w:rPr>
          <w:rFonts w:ascii="Times New Roman" w:hAnsi="Times New Roman" w:cs="Times New Roman"/>
          <w:sz w:val="24"/>
          <w:szCs w:val="24"/>
        </w:rPr>
      </w:pPr>
    </w:p>
    <w:p w14:paraId="578B9262" w14:textId="516A94B2" w:rsidR="00DA194E" w:rsidRDefault="00DA194E" w:rsidP="00DA194E">
      <w:pPr>
        <w:jc w:val="center"/>
        <w:rPr>
          <w:rFonts w:ascii="Times New Roman" w:hAnsi="Times New Roman" w:cs="Times New Roman"/>
          <w:sz w:val="24"/>
          <w:szCs w:val="24"/>
        </w:rPr>
      </w:pPr>
      <w:r>
        <w:rPr>
          <w:noProof/>
          <w:lang w:val="en-US" w:bidi="hi-IN"/>
        </w:rPr>
        <w:drawing>
          <wp:anchor distT="0" distB="0" distL="114300" distR="114300" simplePos="0" relativeHeight="251661312" behindDoc="0" locked="0" layoutInCell="1" allowOverlap="1" wp14:anchorId="7B2A60B2" wp14:editId="30D12808">
            <wp:simplePos x="0" y="0"/>
            <wp:positionH relativeFrom="margin">
              <wp:posOffset>2191407</wp:posOffset>
            </wp:positionH>
            <wp:positionV relativeFrom="page">
              <wp:posOffset>1213945</wp:posOffset>
            </wp:positionV>
            <wp:extent cx="4476750" cy="2806065"/>
            <wp:effectExtent l="0" t="0" r="0" b="0"/>
            <wp:wrapSquare wrapText="bothSides"/>
            <wp:docPr id="730832871" name="Picture 4"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32871" name="Picture 4" descr="A graph with numbers and lines&#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948" t="39059" r="29268" b="11973"/>
                    <a:stretch/>
                  </pic:blipFill>
                  <pic:spPr bwMode="auto">
                    <a:xfrm>
                      <a:off x="0" y="0"/>
                      <a:ext cx="4476750" cy="280606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Fig. 2. Effect of weed management treatments and nitrogen levels on seed yield (kg ha</w:t>
      </w:r>
      <w:r>
        <w:rPr>
          <w:rFonts w:ascii="Times New Roman" w:hAnsi="Times New Roman" w:cs="Times New Roman"/>
          <w:sz w:val="24"/>
          <w:szCs w:val="24"/>
          <w:vertAlign w:val="superscript"/>
        </w:rPr>
        <w:t>-1</w:t>
      </w:r>
      <w:r>
        <w:rPr>
          <w:rFonts w:ascii="Times New Roman" w:hAnsi="Times New Roman" w:cs="Times New Roman"/>
          <w:sz w:val="24"/>
          <w:szCs w:val="24"/>
        </w:rPr>
        <w:t>) of sesame.</w:t>
      </w:r>
    </w:p>
    <w:p w14:paraId="38719029" w14:textId="207B8D86" w:rsidR="00DA194E" w:rsidRPr="00663938" w:rsidRDefault="00DA194E" w:rsidP="00DA194E">
      <w:pPr>
        <w:rPr>
          <w:rFonts w:ascii="Times New Roman" w:hAnsi="Times New Roman" w:cs="Times New Roman"/>
          <w:sz w:val="24"/>
          <w:szCs w:val="24"/>
        </w:rPr>
      </w:pPr>
    </w:p>
    <w:sectPr w:rsidR="00DA194E" w:rsidRPr="00663938" w:rsidSect="0066393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05-11T05:52:00Z" w:initials="A">
    <w:p w14:paraId="5CB73649" w14:textId="670E3A32" w:rsidR="00772A20" w:rsidRDefault="00772A20">
      <w:pPr>
        <w:pStyle w:val="CommentText"/>
      </w:pPr>
      <w:r>
        <w:rPr>
          <w:rStyle w:val="CommentReference"/>
        </w:rPr>
        <w:annotationRef/>
      </w:r>
      <w:r>
        <w:t>Length of plant</w:t>
      </w:r>
    </w:p>
  </w:comment>
  <w:comment w:id="1" w:author="ADMIN" w:date="2025-05-11T05:51:00Z" w:initials="A">
    <w:p w14:paraId="312230DA" w14:textId="07B8EF0B" w:rsidR="00772A20" w:rsidRDefault="00772A20">
      <w:pPr>
        <w:pStyle w:val="CommentText"/>
      </w:pPr>
      <w:r>
        <w:rPr>
          <w:rStyle w:val="CommentReference"/>
        </w:rPr>
        <w:annotationRef/>
      </w:r>
    </w:p>
  </w:comment>
  <w:comment w:id="2" w:author="ADMIN" w:date="2025-05-11T06:30:00Z" w:initials="A">
    <w:p w14:paraId="51B635A6" w14:textId="2E4FC33D" w:rsidR="00CA4ADA" w:rsidRDefault="00CA4ADA">
      <w:pPr>
        <w:pStyle w:val="CommentText"/>
      </w:pPr>
      <w:r>
        <w:rPr>
          <w:rStyle w:val="CommentReference"/>
        </w:rPr>
        <w:annotationRef/>
      </w:r>
      <w:r>
        <w:t>At which stage of growth?</w:t>
      </w:r>
    </w:p>
  </w:comment>
  <w:comment w:id="3" w:author="ADMIN" w:date="2025-05-11T06:01:00Z" w:initials="A">
    <w:p w14:paraId="555B9276" w14:textId="2D05DA1B" w:rsidR="00CF6D67" w:rsidRDefault="00CF6D67">
      <w:pPr>
        <w:pStyle w:val="CommentText"/>
      </w:pPr>
      <w:r>
        <w:rPr>
          <w:rStyle w:val="CommentReference"/>
        </w:rPr>
        <w:annotationRef/>
      </w:r>
      <w:r>
        <w:t xml:space="preserve">Mean of </w:t>
      </w:r>
    </w:p>
  </w:comment>
  <w:comment w:id="4" w:author="ADMIN" w:date="2025-05-11T06:02:00Z" w:initials="A">
    <w:p w14:paraId="548D18FF" w14:textId="7F8DC2C2" w:rsidR="00CF6D67" w:rsidRDefault="00CF6D67">
      <w:pPr>
        <w:pStyle w:val="CommentText"/>
      </w:pPr>
      <w:r>
        <w:rPr>
          <w:rStyle w:val="CommentReference"/>
        </w:rPr>
        <w:annotationRef/>
      </w:r>
      <w:r>
        <w:t>Noticeably declined</w:t>
      </w:r>
    </w:p>
  </w:comment>
  <w:comment w:id="5" w:author="ADMIN" w:date="2025-05-11T06:11:00Z" w:initials="A">
    <w:p w14:paraId="5AEEFF51" w14:textId="3D202BCE" w:rsidR="00E92A49" w:rsidRDefault="00E92A49">
      <w:pPr>
        <w:pStyle w:val="CommentText"/>
      </w:pPr>
      <w:r>
        <w:rPr>
          <w:rStyle w:val="CommentReference"/>
        </w:rPr>
        <w:annotationRef/>
      </w:r>
      <w:r>
        <w:t xml:space="preserve">Not clear that </w:t>
      </w:r>
      <w:proofErr w:type="spellStart"/>
      <w:r>
        <w:t>its</w:t>
      </w:r>
      <w:proofErr w:type="spellEnd"/>
      <w:r>
        <w:t xml:space="preserve"> about this experiment or Dhaka et </w:t>
      </w:r>
      <w:proofErr w:type="spellStart"/>
      <w:r>
        <w:t>al’s</w:t>
      </w:r>
      <w:proofErr w:type="spellEnd"/>
      <w:r>
        <w:t xml:space="preserve"> exp.</w:t>
      </w:r>
    </w:p>
  </w:comment>
  <w:comment w:id="6" w:author="ADMIN" w:date="2025-05-11T06:24:00Z" w:initials="A">
    <w:p w14:paraId="45A95EE5" w14:textId="78734ADB" w:rsidR="00277CB7" w:rsidRDefault="00277CB7">
      <w:pPr>
        <w:pStyle w:val="CommentText"/>
      </w:pPr>
      <w:r>
        <w:rPr>
          <w:rStyle w:val="CommentReference"/>
        </w:rPr>
        <w:annotationRef/>
      </w:r>
      <w:r>
        <w:t>How much % height advantage?</w:t>
      </w:r>
    </w:p>
  </w:comment>
  <w:comment w:id="7" w:author="ADMIN" w:date="2025-05-11T06:39:00Z" w:initials="A">
    <w:p w14:paraId="699549FD" w14:textId="6D09118F" w:rsidR="0035697B" w:rsidRDefault="0035697B">
      <w:pPr>
        <w:pStyle w:val="CommentText"/>
      </w:pPr>
      <w:r>
        <w:rPr>
          <w:rStyle w:val="CommentReference"/>
        </w:rPr>
        <w:annotationRef/>
      </w:r>
      <w:r>
        <w:t>It should be mentioned in abstract section.</w:t>
      </w:r>
    </w:p>
  </w:comment>
  <w:comment w:id="9" w:author="ADMIN" w:date="2025-05-11T06:18:00Z" w:initials="A">
    <w:p w14:paraId="163D562E" w14:textId="763EAA8E" w:rsidR="00E92A49" w:rsidRDefault="00E92A49">
      <w:pPr>
        <w:pStyle w:val="CommentText"/>
      </w:pPr>
      <w:r>
        <w:rPr>
          <w:rStyle w:val="CommentReference"/>
        </w:rPr>
        <w:annotationRef/>
      </w:r>
      <w:r>
        <w:t>WCE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B73649" w15:done="0"/>
  <w15:commentEx w15:paraId="312230DA" w15:done="0"/>
  <w15:commentEx w15:paraId="51B635A6" w15:done="0"/>
  <w15:commentEx w15:paraId="555B9276" w15:done="0"/>
  <w15:commentEx w15:paraId="548D18FF" w15:done="0"/>
  <w15:commentEx w15:paraId="5AEEFF51" w15:done="0"/>
  <w15:commentEx w15:paraId="45A95EE5" w15:done="0"/>
  <w15:commentEx w15:paraId="699549FD" w15:done="0"/>
  <w15:commentEx w15:paraId="163D56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26EF2" w14:textId="77777777" w:rsidR="000B5A08" w:rsidRDefault="000B5A08" w:rsidP="00B749E6">
      <w:pPr>
        <w:spacing w:after="0" w:line="240" w:lineRule="auto"/>
      </w:pPr>
      <w:r>
        <w:separator/>
      </w:r>
    </w:p>
  </w:endnote>
  <w:endnote w:type="continuationSeparator" w:id="0">
    <w:p w14:paraId="434C761D" w14:textId="77777777" w:rsidR="000B5A08" w:rsidRDefault="000B5A08" w:rsidP="00B7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95E2F" w14:textId="77777777" w:rsidR="00B749E6" w:rsidRDefault="00B74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020A" w14:textId="77777777" w:rsidR="00B749E6" w:rsidRDefault="00B74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93E0" w14:textId="77777777" w:rsidR="00B749E6" w:rsidRDefault="00B74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6CB43" w14:textId="77777777" w:rsidR="000B5A08" w:rsidRDefault="000B5A08" w:rsidP="00B749E6">
      <w:pPr>
        <w:spacing w:after="0" w:line="240" w:lineRule="auto"/>
      </w:pPr>
      <w:r>
        <w:separator/>
      </w:r>
    </w:p>
  </w:footnote>
  <w:footnote w:type="continuationSeparator" w:id="0">
    <w:p w14:paraId="32EE53FB" w14:textId="77777777" w:rsidR="000B5A08" w:rsidRDefault="000B5A08" w:rsidP="00B7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3EBB" w14:textId="3C2E5432" w:rsidR="00B749E6" w:rsidRDefault="000B5A08">
    <w:pPr>
      <w:pStyle w:val="Header"/>
    </w:pPr>
    <w:r>
      <w:rPr>
        <w:noProof/>
      </w:rPr>
      <w:pict w14:anchorId="01F20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80826" w14:textId="5B5D1212" w:rsidR="00B749E6" w:rsidRDefault="000B5A08">
    <w:pPr>
      <w:pStyle w:val="Header"/>
    </w:pPr>
    <w:r>
      <w:rPr>
        <w:noProof/>
      </w:rPr>
      <w:pict w14:anchorId="69722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22424" w14:textId="48FB5EB4" w:rsidR="00B749E6" w:rsidRDefault="000B5A08">
    <w:pPr>
      <w:pStyle w:val="Header"/>
    </w:pPr>
    <w:r>
      <w:rPr>
        <w:noProof/>
      </w:rPr>
      <w:pict w14:anchorId="2669E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6751C"/>
    <w:multiLevelType w:val="multilevel"/>
    <w:tmpl w:val="022A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wNDYyMLQ0NzCyMDVS0lEKTi0uzszPAykwqgUAozlXciwAAAA="/>
  </w:docVars>
  <w:rsids>
    <w:rsidRoot w:val="007E76B5"/>
    <w:rsid w:val="00056079"/>
    <w:rsid w:val="000B5A08"/>
    <w:rsid w:val="000D5B98"/>
    <w:rsid w:val="00137C65"/>
    <w:rsid w:val="001573EE"/>
    <w:rsid w:val="001D5A5E"/>
    <w:rsid w:val="00277CB7"/>
    <w:rsid w:val="002A25BB"/>
    <w:rsid w:val="002B6273"/>
    <w:rsid w:val="002D0A40"/>
    <w:rsid w:val="00345014"/>
    <w:rsid w:val="0035697B"/>
    <w:rsid w:val="003948AD"/>
    <w:rsid w:val="003B5603"/>
    <w:rsid w:val="003B567F"/>
    <w:rsid w:val="003E2FFB"/>
    <w:rsid w:val="003E3748"/>
    <w:rsid w:val="004A0111"/>
    <w:rsid w:val="004A5239"/>
    <w:rsid w:val="004F5F89"/>
    <w:rsid w:val="005F4215"/>
    <w:rsid w:val="006272D1"/>
    <w:rsid w:val="00663938"/>
    <w:rsid w:val="006906F6"/>
    <w:rsid w:val="00690F0C"/>
    <w:rsid w:val="00697E42"/>
    <w:rsid w:val="006A72B0"/>
    <w:rsid w:val="006E6162"/>
    <w:rsid w:val="00705352"/>
    <w:rsid w:val="00752258"/>
    <w:rsid w:val="00772A20"/>
    <w:rsid w:val="007E76B5"/>
    <w:rsid w:val="007F3189"/>
    <w:rsid w:val="0083302C"/>
    <w:rsid w:val="008A109B"/>
    <w:rsid w:val="008D1DED"/>
    <w:rsid w:val="0093496C"/>
    <w:rsid w:val="00950A46"/>
    <w:rsid w:val="00992534"/>
    <w:rsid w:val="00A66371"/>
    <w:rsid w:val="00AB36A1"/>
    <w:rsid w:val="00B749E6"/>
    <w:rsid w:val="00B93F97"/>
    <w:rsid w:val="00BA6558"/>
    <w:rsid w:val="00BB6E86"/>
    <w:rsid w:val="00BD0323"/>
    <w:rsid w:val="00CA4ADA"/>
    <w:rsid w:val="00CE5576"/>
    <w:rsid w:val="00CE6A26"/>
    <w:rsid w:val="00CF6D67"/>
    <w:rsid w:val="00D34655"/>
    <w:rsid w:val="00D54697"/>
    <w:rsid w:val="00DA194E"/>
    <w:rsid w:val="00DC56C8"/>
    <w:rsid w:val="00E01866"/>
    <w:rsid w:val="00E0588F"/>
    <w:rsid w:val="00E511AC"/>
    <w:rsid w:val="00E73C9E"/>
    <w:rsid w:val="00E92A49"/>
    <w:rsid w:val="00F0010A"/>
    <w:rsid w:val="00FA79F8"/>
    <w:rsid w:val="00FB5A77"/>
    <w:rsid w:val="00FC3A91"/>
    <w:rsid w:val="00FD24A8"/>
    <w:rsid w:val="00FF2E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BD2F1"/>
  <w15:chartTrackingRefBased/>
  <w15:docId w15:val="{CBC31EEC-7BC0-4E3F-848B-0B43ED71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6B5"/>
    <w:rPr>
      <w:rFonts w:eastAsiaTheme="majorEastAsia" w:cstheme="majorBidi"/>
      <w:color w:val="272727" w:themeColor="text1" w:themeTint="D8"/>
    </w:rPr>
  </w:style>
  <w:style w:type="paragraph" w:styleId="Title">
    <w:name w:val="Title"/>
    <w:basedOn w:val="Normal"/>
    <w:next w:val="Normal"/>
    <w:link w:val="TitleChar"/>
    <w:uiPriority w:val="10"/>
    <w:qFormat/>
    <w:rsid w:val="007E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6B5"/>
    <w:pPr>
      <w:spacing w:before="160"/>
      <w:jc w:val="center"/>
    </w:pPr>
    <w:rPr>
      <w:i/>
      <w:iCs/>
      <w:color w:val="404040" w:themeColor="text1" w:themeTint="BF"/>
    </w:rPr>
  </w:style>
  <w:style w:type="character" w:customStyle="1" w:styleId="QuoteChar">
    <w:name w:val="Quote Char"/>
    <w:basedOn w:val="DefaultParagraphFont"/>
    <w:link w:val="Quote"/>
    <w:uiPriority w:val="29"/>
    <w:rsid w:val="007E76B5"/>
    <w:rPr>
      <w:i/>
      <w:iCs/>
      <w:color w:val="404040" w:themeColor="text1" w:themeTint="BF"/>
    </w:rPr>
  </w:style>
  <w:style w:type="paragraph" w:styleId="ListParagraph">
    <w:name w:val="List Paragraph"/>
    <w:basedOn w:val="Normal"/>
    <w:uiPriority w:val="34"/>
    <w:qFormat/>
    <w:rsid w:val="007E76B5"/>
    <w:pPr>
      <w:ind w:left="720"/>
      <w:contextualSpacing/>
    </w:pPr>
  </w:style>
  <w:style w:type="character" w:styleId="IntenseEmphasis">
    <w:name w:val="Intense Emphasis"/>
    <w:basedOn w:val="DefaultParagraphFont"/>
    <w:uiPriority w:val="21"/>
    <w:qFormat/>
    <w:rsid w:val="007E76B5"/>
    <w:rPr>
      <w:i/>
      <w:iCs/>
      <w:color w:val="0F4761" w:themeColor="accent1" w:themeShade="BF"/>
    </w:rPr>
  </w:style>
  <w:style w:type="paragraph" w:styleId="IntenseQuote">
    <w:name w:val="Intense Quote"/>
    <w:basedOn w:val="Normal"/>
    <w:next w:val="Normal"/>
    <w:link w:val="IntenseQuoteChar"/>
    <w:uiPriority w:val="30"/>
    <w:qFormat/>
    <w:rsid w:val="007E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6B5"/>
    <w:rPr>
      <w:i/>
      <w:iCs/>
      <w:color w:val="0F4761" w:themeColor="accent1" w:themeShade="BF"/>
    </w:rPr>
  </w:style>
  <w:style w:type="character" w:styleId="IntenseReference">
    <w:name w:val="Intense Reference"/>
    <w:basedOn w:val="DefaultParagraphFont"/>
    <w:uiPriority w:val="32"/>
    <w:qFormat/>
    <w:rsid w:val="007E76B5"/>
    <w:rPr>
      <w:b/>
      <w:bCs/>
      <w:smallCaps/>
      <w:color w:val="0F4761" w:themeColor="accent1" w:themeShade="BF"/>
      <w:spacing w:val="5"/>
    </w:rPr>
  </w:style>
  <w:style w:type="paragraph" w:styleId="NormalWeb">
    <w:name w:val="Normal (Web)"/>
    <w:basedOn w:val="Normal"/>
    <w:uiPriority w:val="99"/>
    <w:semiHidden/>
    <w:unhideWhenUsed/>
    <w:rsid w:val="002A25B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A25BB"/>
    <w:rPr>
      <w:b/>
      <w:bCs/>
    </w:rPr>
  </w:style>
  <w:style w:type="character" w:styleId="Emphasis">
    <w:name w:val="Emphasis"/>
    <w:basedOn w:val="DefaultParagraphFont"/>
    <w:uiPriority w:val="20"/>
    <w:qFormat/>
    <w:rsid w:val="002A25BB"/>
    <w:rPr>
      <w:i/>
      <w:iCs/>
    </w:rPr>
  </w:style>
  <w:style w:type="character" w:styleId="Hyperlink">
    <w:name w:val="Hyperlink"/>
    <w:basedOn w:val="DefaultParagraphFont"/>
    <w:uiPriority w:val="99"/>
    <w:unhideWhenUsed/>
    <w:rsid w:val="002A25BB"/>
    <w:rPr>
      <w:color w:val="0000FF"/>
      <w:u w:val="single"/>
    </w:rPr>
  </w:style>
  <w:style w:type="table" w:styleId="TableGrid">
    <w:name w:val="Table Grid"/>
    <w:basedOn w:val="TableNormal"/>
    <w:uiPriority w:val="39"/>
    <w:rsid w:val="00663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7E42"/>
    <w:rPr>
      <w:color w:val="666666"/>
    </w:rPr>
  </w:style>
  <w:style w:type="paragraph" w:customStyle="1" w:styleId="Default">
    <w:name w:val="Default"/>
    <w:rsid w:val="0093496C"/>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customStyle="1" w:styleId="UnresolvedMention">
    <w:name w:val="Unresolved Mention"/>
    <w:basedOn w:val="DefaultParagraphFont"/>
    <w:uiPriority w:val="99"/>
    <w:semiHidden/>
    <w:unhideWhenUsed/>
    <w:rsid w:val="008A109B"/>
    <w:rPr>
      <w:color w:val="605E5C"/>
      <w:shd w:val="clear" w:color="auto" w:fill="E1DFDD"/>
    </w:rPr>
  </w:style>
  <w:style w:type="paragraph" w:styleId="Header">
    <w:name w:val="header"/>
    <w:basedOn w:val="Normal"/>
    <w:link w:val="HeaderChar"/>
    <w:uiPriority w:val="99"/>
    <w:unhideWhenUsed/>
    <w:rsid w:val="00B74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9E6"/>
  </w:style>
  <w:style w:type="paragraph" w:styleId="Footer">
    <w:name w:val="footer"/>
    <w:basedOn w:val="Normal"/>
    <w:link w:val="FooterChar"/>
    <w:uiPriority w:val="99"/>
    <w:unhideWhenUsed/>
    <w:rsid w:val="00B74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9E6"/>
  </w:style>
  <w:style w:type="character" w:styleId="CommentReference">
    <w:name w:val="annotation reference"/>
    <w:basedOn w:val="DefaultParagraphFont"/>
    <w:uiPriority w:val="99"/>
    <w:semiHidden/>
    <w:unhideWhenUsed/>
    <w:rsid w:val="00772A20"/>
    <w:rPr>
      <w:sz w:val="16"/>
      <w:szCs w:val="16"/>
    </w:rPr>
  </w:style>
  <w:style w:type="paragraph" w:styleId="CommentText">
    <w:name w:val="annotation text"/>
    <w:basedOn w:val="Normal"/>
    <w:link w:val="CommentTextChar"/>
    <w:uiPriority w:val="99"/>
    <w:semiHidden/>
    <w:unhideWhenUsed/>
    <w:rsid w:val="00772A20"/>
    <w:pPr>
      <w:spacing w:line="240" w:lineRule="auto"/>
    </w:pPr>
    <w:rPr>
      <w:sz w:val="20"/>
      <w:szCs w:val="20"/>
    </w:rPr>
  </w:style>
  <w:style w:type="character" w:customStyle="1" w:styleId="CommentTextChar">
    <w:name w:val="Comment Text Char"/>
    <w:basedOn w:val="DefaultParagraphFont"/>
    <w:link w:val="CommentText"/>
    <w:uiPriority w:val="99"/>
    <w:semiHidden/>
    <w:rsid w:val="00772A20"/>
    <w:rPr>
      <w:sz w:val="20"/>
      <w:szCs w:val="20"/>
    </w:rPr>
  </w:style>
  <w:style w:type="paragraph" w:styleId="CommentSubject">
    <w:name w:val="annotation subject"/>
    <w:basedOn w:val="CommentText"/>
    <w:next w:val="CommentText"/>
    <w:link w:val="CommentSubjectChar"/>
    <w:uiPriority w:val="99"/>
    <w:semiHidden/>
    <w:unhideWhenUsed/>
    <w:rsid w:val="00772A20"/>
    <w:rPr>
      <w:b/>
      <w:bCs/>
    </w:rPr>
  </w:style>
  <w:style w:type="character" w:customStyle="1" w:styleId="CommentSubjectChar">
    <w:name w:val="Comment Subject Char"/>
    <w:basedOn w:val="CommentTextChar"/>
    <w:link w:val="CommentSubject"/>
    <w:uiPriority w:val="99"/>
    <w:semiHidden/>
    <w:rsid w:val="00772A20"/>
    <w:rPr>
      <w:b/>
      <w:bCs/>
      <w:sz w:val="20"/>
      <w:szCs w:val="20"/>
    </w:rPr>
  </w:style>
  <w:style w:type="paragraph" w:styleId="BalloonText">
    <w:name w:val="Balloon Text"/>
    <w:basedOn w:val="Normal"/>
    <w:link w:val="BalloonTextChar"/>
    <w:uiPriority w:val="99"/>
    <w:semiHidden/>
    <w:unhideWhenUsed/>
    <w:rsid w:val="00772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A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16095">
      <w:bodyDiv w:val="1"/>
      <w:marLeft w:val="0"/>
      <w:marRight w:val="0"/>
      <w:marTop w:val="0"/>
      <w:marBottom w:val="0"/>
      <w:divBdr>
        <w:top w:val="none" w:sz="0" w:space="0" w:color="auto"/>
        <w:left w:val="none" w:sz="0" w:space="0" w:color="auto"/>
        <w:bottom w:val="none" w:sz="0" w:space="0" w:color="auto"/>
        <w:right w:val="none" w:sz="0" w:space="0" w:color="auto"/>
      </w:divBdr>
    </w:div>
    <w:div w:id="955873614">
      <w:bodyDiv w:val="1"/>
      <w:marLeft w:val="0"/>
      <w:marRight w:val="0"/>
      <w:marTop w:val="0"/>
      <w:marBottom w:val="0"/>
      <w:divBdr>
        <w:top w:val="none" w:sz="0" w:space="0" w:color="auto"/>
        <w:left w:val="none" w:sz="0" w:space="0" w:color="auto"/>
        <w:bottom w:val="none" w:sz="0" w:space="0" w:color="auto"/>
        <w:right w:val="none" w:sz="0" w:space="0" w:color="auto"/>
      </w:divBdr>
    </w:div>
    <w:div w:id="13560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fao.org/faosta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13</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56</cp:revision>
  <dcterms:created xsi:type="dcterms:W3CDTF">2025-05-07T12:06:00Z</dcterms:created>
  <dcterms:modified xsi:type="dcterms:W3CDTF">2025-05-11T01:11:00Z</dcterms:modified>
</cp:coreProperties>
</file>