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97EB" w14:textId="6FC65CCA" w:rsidR="00470968" w:rsidRPr="00470968" w:rsidRDefault="00470968" w:rsidP="00743072">
      <w:pPr>
        <w:spacing w:line="240" w:lineRule="auto"/>
        <w:jc w:val="right"/>
        <w:rPr>
          <w:rFonts w:ascii="Arial" w:hAnsi="Arial" w:cs="Arial"/>
          <w:b/>
          <w:sz w:val="36"/>
          <w:szCs w:val="24"/>
          <w:u w:val="single"/>
        </w:rPr>
      </w:pPr>
      <w:r w:rsidRPr="00470968">
        <w:rPr>
          <w:rFonts w:ascii="Arial" w:hAnsi="Arial" w:cs="Arial"/>
          <w:b/>
          <w:sz w:val="36"/>
          <w:szCs w:val="24"/>
          <w:u w:val="single"/>
        </w:rPr>
        <w:t>Minireview Article</w:t>
      </w:r>
    </w:p>
    <w:p w14:paraId="416B2161" w14:textId="47520F66" w:rsidR="000F0F95" w:rsidRPr="00FE63ED" w:rsidRDefault="000F0F95" w:rsidP="00743072">
      <w:pPr>
        <w:spacing w:line="240" w:lineRule="auto"/>
        <w:jc w:val="right"/>
        <w:rPr>
          <w:rFonts w:ascii="Arial" w:hAnsi="Arial" w:cs="Arial"/>
          <w:b/>
          <w:sz w:val="36"/>
          <w:szCs w:val="24"/>
        </w:rPr>
      </w:pPr>
      <w:commentRangeStart w:id="0"/>
      <w:r w:rsidRPr="00FE63ED">
        <w:rPr>
          <w:rFonts w:ascii="Arial" w:hAnsi="Arial" w:cs="Arial"/>
          <w:b/>
          <w:sz w:val="36"/>
          <w:szCs w:val="24"/>
        </w:rPr>
        <w:t>Carbon Credit Mechanisms: A Market-Based Approach to Climate Mitigation and Sustainable Development</w:t>
      </w:r>
      <w:commentRangeEnd w:id="0"/>
      <w:r w:rsidR="0098335C">
        <w:rPr>
          <w:rStyle w:val="CommentReference"/>
        </w:rPr>
        <w:commentReference w:id="0"/>
      </w:r>
    </w:p>
    <w:p w14:paraId="68F2A8EA" w14:textId="5D51026E" w:rsidR="006D5E43" w:rsidRPr="00FE63ED" w:rsidRDefault="006D5E43" w:rsidP="00743072">
      <w:pPr>
        <w:spacing w:after="0" w:line="240" w:lineRule="auto"/>
        <w:jc w:val="right"/>
        <w:rPr>
          <w:rFonts w:ascii="Arial" w:hAnsi="Arial" w:cs="Arial"/>
          <w:sz w:val="16"/>
          <w:szCs w:val="16"/>
        </w:rPr>
      </w:pPr>
      <w:r>
        <w:rPr>
          <w:rFonts w:ascii="Arial" w:hAnsi="Arial" w:cs="Arial"/>
          <w:sz w:val="16"/>
          <w:szCs w:val="16"/>
        </w:rPr>
        <w:t xml:space="preserve"> </w:t>
      </w:r>
    </w:p>
    <w:p w14:paraId="0A0F48AA" w14:textId="77777777" w:rsidR="000F0F95" w:rsidRDefault="000F0F95" w:rsidP="00F66AA3">
      <w:pPr>
        <w:spacing w:before="100" w:beforeAutospacing="1" w:after="100" w:afterAutospacing="1" w:line="240" w:lineRule="auto"/>
        <w:rPr>
          <w:rFonts w:ascii="Arial" w:eastAsia="Times New Roman" w:hAnsi="Arial" w:cs="Arial"/>
          <w:b/>
          <w:sz w:val="24"/>
          <w:szCs w:val="24"/>
        </w:rPr>
      </w:pPr>
      <w:commentRangeStart w:id="1"/>
      <w:r w:rsidRPr="00FE63ED">
        <w:rPr>
          <w:rFonts w:ascii="Arial" w:eastAsia="Times New Roman" w:hAnsi="Arial" w:cs="Arial"/>
          <w:b/>
          <w:sz w:val="24"/>
          <w:szCs w:val="24"/>
        </w:rPr>
        <w:t>Abstract</w:t>
      </w:r>
      <w:commentRangeEnd w:id="1"/>
      <w:r w:rsidR="0098335C">
        <w:rPr>
          <w:rStyle w:val="CommentReference"/>
        </w:rPr>
        <w:commentReference w:id="1"/>
      </w:r>
    </w:p>
    <w:tbl>
      <w:tblPr>
        <w:tblStyle w:val="TableGrid"/>
        <w:tblW w:w="0" w:type="auto"/>
        <w:tblLook w:val="04A0" w:firstRow="1" w:lastRow="0" w:firstColumn="1" w:lastColumn="0" w:noHBand="0" w:noVBand="1"/>
      </w:tblPr>
      <w:tblGrid>
        <w:gridCol w:w="9243"/>
      </w:tblGrid>
      <w:tr w:rsidR="00FE63ED" w14:paraId="3D9D2185" w14:textId="77777777" w:rsidTr="00FE63ED">
        <w:tc>
          <w:tcPr>
            <w:tcW w:w="9243" w:type="dxa"/>
          </w:tcPr>
          <w:p w14:paraId="0763607A" w14:textId="77777777" w:rsidR="00FE63ED" w:rsidRPr="00743072" w:rsidRDefault="00FE63ED" w:rsidP="00F66AA3">
            <w:pPr>
              <w:rPr>
                <w:rFonts w:ascii="Arial" w:hAnsi="Arial" w:cs="Arial"/>
                <w:sz w:val="20"/>
              </w:rPr>
            </w:pPr>
            <w:r w:rsidRPr="00743072">
              <w:rPr>
                <w:rFonts w:ascii="Arial" w:eastAsia="Times New Roman" w:hAnsi="Arial" w:cs="Arial"/>
                <w:b/>
                <w:sz w:val="20"/>
                <w:szCs w:val="24"/>
              </w:rPr>
              <w:t xml:space="preserve">Introduction- Carbon Emission: </w:t>
            </w:r>
            <w:r w:rsidRPr="00743072">
              <w:rPr>
                <w:rFonts w:ascii="Arial" w:hAnsi="Arial" w:cs="Arial"/>
                <w:sz w:val="20"/>
              </w:rPr>
              <w:t>Climate change is mainly caused by human activities, and it results in the release of harmful greenhouse gases like carbon dioxide, methane, and nitrous oxide into the atmosphere. There are several ways to cut down these emissions, and one of the most important tools is the carbon market</w:t>
            </w:r>
          </w:p>
          <w:p w14:paraId="0A78DD13" w14:textId="77777777" w:rsidR="00FE63ED" w:rsidRPr="00743072" w:rsidRDefault="00FE63ED" w:rsidP="00F66AA3">
            <w:pPr>
              <w:rPr>
                <w:rFonts w:ascii="Arial" w:hAnsi="Arial" w:cs="Arial"/>
                <w:sz w:val="20"/>
              </w:rPr>
            </w:pPr>
            <w:r w:rsidRPr="00743072">
              <w:rPr>
                <w:rFonts w:ascii="Arial" w:hAnsi="Arial" w:cs="Arial"/>
                <w:b/>
                <w:sz w:val="20"/>
              </w:rPr>
              <w:t>Carbon Market:</w:t>
            </w:r>
            <w:r w:rsidRPr="00743072">
              <w:rPr>
                <w:rFonts w:ascii="Arial" w:hAnsi="Arial" w:cs="Arial"/>
                <w:sz w:val="20"/>
              </w:rPr>
              <w:t xml:space="preserve"> In simple terms, the carbon market is about buying and selling carbon credits; each credit indicates one ton of carbon dioxide (or similar gases) that's been removed from the atmosphere or prevented from being released. These credits can be traded at both national and international markets. There are two main types of carbon markets: the compliance market and the voluntary market.</w:t>
            </w:r>
          </w:p>
          <w:p w14:paraId="59C5D095" w14:textId="77777777" w:rsidR="00FE63ED" w:rsidRPr="00743072" w:rsidRDefault="00FE63ED" w:rsidP="00F66AA3">
            <w:pPr>
              <w:rPr>
                <w:rFonts w:ascii="Arial" w:hAnsi="Arial" w:cs="Arial"/>
                <w:sz w:val="20"/>
              </w:rPr>
            </w:pPr>
            <w:r w:rsidRPr="00743072">
              <w:rPr>
                <w:rFonts w:ascii="Arial" w:hAnsi="Arial" w:cs="Arial"/>
                <w:b/>
                <w:sz w:val="20"/>
              </w:rPr>
              <w:t>Compliance Market:</w:t>
            </w:r>
            <w:r w:rsidRPr="00743072">
              <w:rPr>
                <w:rFonts w:ascii="Arial" w:hAnsi="Arial" w:cs="Arial"/>
                <w:sz w:val="20"/>
              </w:rPr>
              <w:t xml:space="preserve"> The compliance market is run under rules set by the United Nations Framework Convention on Climate Change (UNFCCC). It’s backed by regulations and helps monitor emissions across countries and industries.</w:t>
            </w:r>
          </w:p>
          <w:p w14:paraId="14DFC431" w14:textId="77777777" w:rsidR="00FE63ED" w:rsidRPr="00743072" w:rsidRDefault="00FE63ED" w:rsidP="00F66AA3">
            <w:pPr>
              <w:rPr>
                <w:rFonts w:ascii="Arial" w:hAnsi="Arial" w:cs="Arial"/>
                <w:sz w:val="20"/>
              </w:rPr>
            </w:pPr>
            <w:r w:rsidRPr="00743072">
              <w:rPr>
                <w:rFonts w:ascii="Arial" w:hAnsi="Arial" w:cs="Arial"/>
                <w:b/>
                <w:sz w:val="20"/>
              </w:rPr>
              <w:t>Voluntary Market:</w:t>
            </w:r>
            <w:r w:rsidRPr="00743072">
              <w:rPr>
                <w:rFonts w:ascii="Arial" w:hAnsi="Arial" w:cs="Arial"/>
                <w:sz w:val="20"/>
              </w:rPr>
              <w:t xml:space="preserve"> The voluntary market, on the other hand, is for those who want to make a difference even if the law doesn’t require them to. Companies, organizations, or individuals can buy carbon credits to support projects like tree planting or renewable energy. It’s a way for people to take climate action because they care, not because they have to.</w:t>
            </w:r>
          </w:p>
          <w:p w14:paraId="67763A08" w14:textId="77777777" w:rsidR="00FE63ED" w:rsidRPr="00F66AA3" w:rsidRDefault="00F66AA3" w:rsidP="00F66AA3">
            <w:pPr>
              <w:rPr>
                <w:rFonts w:ascii="Arial" w:hAnsi="Arial" w:cs="Arial"/>
                <w:sz w:val="24"/>
              </w:rPr>
            </w:pPr>
            <w:r w:rsidRPr="00743072">
              <w:rPr>
                <w:rFonts w:ascii="Arial" w:hAnsi="Arial" w:cs="Arial"/>
                <w:b/>
                <w:sz w:val="20"/>
              </w:rPr>
              <w:t>Conclus</w:t>
            </w:r>
            <w:r w:rsidR="00FE63ED" w:rsidRPr="00743072">
              <w:rPr>
                <w:rFonts w:ascii="Arial" w:hAnsi="Arial" w:cs="Arial"/>
                <w:b/>
                <w:sz w:val="20"/>
              </w:rPr>
              <w:t>ion:</w:t>
            </w:r>
            <w:r w:rsidRPr="00743072">
              <w:rPr>
                <w:rFonts w:ascii="Arial" w:hAnsi="Arial" w:cs="Arial"/>
                <w:sz w:val="20"/>
              </w:rPr>
              <w:t xml:space="preserve"> This write-up also takes a closer look at the policies both national and global, that support carbon trading, and it suggests ways to make the system clearer, more accessible, and more effective. If done right, carbon trading can help speed up the shift to cleaner technology, reduce emissions, and support sustainable development for the future.</w:t>
            </w:r>
          </w:p>
        </w:tc>
      </w:tr>
    </w:tbl>
    <w:p w14:paraId="501BB246" w14:textId="77777777" w:rsidR="000F0F95" w:rsidRPr="00743072" w:rsidRDefault="000F0F95" w:rsidP="00F66AA3">
      <w:pPr>
        <w:spacing w:line="240" w:lineRule="auto"/>
        <w:rPr>
          <w:rFonts w:ascii="Arial" w:hAnsi="Arial" w:cs="Arial"/>
          <w:sz w:val="20"/>
          <w:szCs w:val="24"/>
        </w:rPr>
      </w:pPr>
      <w:r w:rsidRPr="00743072">
        <w:rPr>
          <w:rFonts w:ascii="Arial" w:hAnsi="Arial" w:cs="Arial"/>
          <w:b/>
          <w:sz w:val="20"/>
          <w:szCs w:val="24"/>
        </w:rPr>
        <w:t>Keywords:</w:t>
      </w:r>
      <w:r w:rsidRPr="00743072">
        <w:rPr>
          <w:rFonts w:ascii="Arial" w:hAnsi="Arial" w:cs="Arial"/>
          <w:sz w:val="20"/>
          <w:szCs w:val="24"/>
        </w:rPr>
        <w:t xml:space="preserve"> Cap and Trade Mechanism; Carbon Credit; Carbon Offsetting; Compliance Market; Voluntary Market</w:t>
      </w:r>
    </w:p>
    <w:p w14:paraId="519301CB" w14:textId="77777777" w:rsidR="007A481D" w:rsidRPr="00683336" w:rsidRDefault="00683336" w:rsidP="00F66AA3">
      <w:pPr>
        <w:pStyle w:val="ListParagraph"/>
        <w:numPr>
          <w:ilvl w:val="0"/>
          <w:numId w:val="1"/>
        </w:numPr>
        <w:spacing w:line="240" w:lineRule="auto"/>
        <w:ind w:left="360"/>
        <w:rPr>
          <w:rFonts w:ascii="Arial" w:hAnsi="Arial" w:cs="Arial"/>
          <w:b/>
          <w:szCs w:val="24"/>
        </w:rPr>
      </w:pPr>
      <w:r w:rsidRPr="00683336">
        <w:rPr>
          <w:rFonts w:ascii="Arial" w:hAnsi="Arial" w:cs="Arial"/>
          <w:b/>
          <w:szCs w:val="24"/>
        </w:rPr>
        <w:t>INTRODUCTION: CARBON EMISSIONS AND CLIMATE CHANGE</w:t>
      </w:r>
    </w:p>
    <w:p w14:paraId="0FB8A4D6" w14:textId="1EBA9E32" w:rsidR="007A481D" w:rsidRPr="00683336" w:rsidRDefault="007A481D" w:rsidP="00683336">
      <w:pPr>
        <w:spacing w:before="100" w:beforeAutospacing="1" w:line="240" w:lineRule="auto"/>
        <w:jc w:val="both"/>
        <w:rPr>
          <w:rFonts w:ascii="Arial" w:eastAsia="Times New Roman" w:hAnsi="Arial" w:cs="Arial"/>
          <w:sz w:val="20"/>
          <w:szCs w:val="20"/>
        </w:rPr>
      </w:pPr>
      <w:r w:rsidRPr="00FE63ED">
        <w:rPr>
          <w:rFonts w:ascii="Arial" w:hAnsi="Arial" w:cs="Arial"/>
          <w:sz w:val="24"/>
          <w:szCs w:val="24"/>
        </w:rPr>
        <w:tab/>
      </w:r>
      <w:r w:rsidRPr="00683336">
        <w:rPr>
          <w:rFonts w:ascii="Arial" w:hAnsi="Arial" w:cs="Arial"/>
          <w:sz w:val="20"/>
          <w:szCs w:val="20"/>
        </w:rPr>
        <w:t xml:space="preserve">Climate change is no longer a far-off danger; it is an urgent worldwide concern. </w:t>
      </w:r>
      <w:r w:rsidRPr="00683336">
        <w:rPr>
          <w:rFonts w:ascii="Arial" w:eastAsia="Times New Roman" w:hAnsi="Arial" w:cs="Arial"/>
          <w:sz w:val="20"/>
          <w:szCs w:val="20"/>
        </w:rPr>
        <w:t>Greenhouse gas (GHG) emissions refer to the atmospheric release of various gases from different sectors over a defined period.</w:t>
      </w:r>
      <w:r w:rsidR="00C2483A">
        <w:rPr>
          <w:rFonts w:ascii="Arial" w:eastAsia="Times New Roman" w:hAnsi="Arial" w:cs="Arial"/>
          <w:sz w:val="20"/>
          <w:szCs w:val="20"/>
        </w:rPr>
        <w:t xml:space="preserve"> </w:t>
      </w:r>
      <w:r w:rsidRPr="00683336">
        <w:rPr>
          <w:rFonts w:ascii="Arial" w:eastAsia="Times New Roman" w:hAnsi="Arial" w:cs="Arial"/>
          <w:sz w:val="20"/>
          <w:szCs w:val="20"/>
        </w:rPr>
        <w:t>The main greenhouse gases include carbon dioxide (CO</w:t>
      </w:r>
      <w:r w:rsidRPr="00683336">
        <w:rPr>
          <w:rFonts w:ascii="Cambria Math" w:eastAsia="Times New Roman" w:hAnsi="Cambria Math" w:cs="Arial"/>
          <w:sz w:val="20"/>
          <w:szCs w:val="20"/>
        </w:rPr>
        <w:t>₂</w:t>
      </w:r>
      <w:r w:rsidRPr="00683336">
        <w:rPr>
          <w:rFonts w:ascii="Arial" w:eastAsia="Times New Roman" w:hAnsi="Arial" w:cs="Arial"/>
          <w:sz w:val="20"/>
          <w:szCs w:val="20"/>
        </w:rPr>
        <w:t>), methane (CH</w:t>
      </w:r>
      <w:r w:rsidRPr="00683336">
        <w:rPr>
          <w:rFonts w:ascii="Cambria Math" w:eastAsia="Times New Roman" w:hAnsi="Cambria Math" w:cs="Arial"/>
          <w:sz w:val="20"/>
          <w:szCs w:val="20"/>
        </w:rPr>
        <w:t>₄</w:t>
      </w:r>
      <w:r w:rsidRPr="00683336">
        <w:rPr>
          <w:rFonts w:ascii="Arial" w:eastAsia="Times New Roman" w:hAnsi="Arial" w:cs="Arial"/>
          <w:sz w:val="20"/>
          <w:szCs w:val="20"/>
        </w:rPr>
        <w:t>), nitrous oxide (N</w:t>
      </w:r>
      <w:r w:rsidRPr="00683336">
        <w:rPr>
          <w:rFonts w:ascii="Cambria Math" w:eastAsia="Times New Roman" w:hAnsi="Cambria Math" w:cs="Arial"/>
          <w:sz w:val="20"/>
          <w:szCs w:val="20"/>
        </w:rPr>
        <w:t>₂</w:t>
      </w:r>
      <w:r w:rsidRPr="00683336">
        <w:rPr>
          <w:rFonts w:ascii="Arial" w:eastAsia="Times New Roman" w:hAnsi="Arial" w:cs="Arial"/>
          <w:sz w:val="20"/>
          <w:szCs w:val="20"/>
        </w:rPr>
        <w:t>O), perfluorocarbons (PFCs), hydrofluorocarbons (HFCs), sulfur hexafluoride (SF</w:t>
      </w:r>
      <w:r w:rsidRPr="00683336">
        <w:rPr>
          <w:rFonts w:ascii="Cambria Math" w:eastAsia="Times New Roman" w:hAnsi="Cambria Math" w:cs="Arial"/>
          <w:sz w:val="20"/>
          <w:szCs w:val="20"/>
        </w:rPr>
        <w:t>₆</w:t>
      </w:r>
      <w:r w:rsidRPr="00683336">
        <w:rPr>
          <w:rFonts w:ascii="Arial" w:eastAsia="Times New Roman" w:hAnsi="Arial" w:cs="Arial"/>
          <w:sz w:val="20"/>
          <w:szCs w:val="20"/>
        </w:rPr>
        <w:t>), and nitrogen trifluoride (NF</w:t>
      </w:r>
      <w:r w:rsidRPr="00683336">
        <w:rPr>
          <w:rFonts w:ascii="Cambria Math" w:eastAsia="Times New Roman" w:hAnsi="Cambria Math" w:cs="Arial"/>
          <w:sz w:val="20"/>
          <w:szCs w:val="20"/>
        </w:rPr>
        <w:t>₃</w:t>
      </w:r>
      <w:r w:rsidRPr="00683336">
        <w:rPr>
          <w:rFonts w:ascii="Arial" w:eastAsia="Times New Roman" w:hAnsi="Arial" w:cs="Arial"/>
          <w:sz w:val="20"/>
          <w:szCs w:val="20"/>
        </w:rPr>
        <w:t>) (Gavin, 2010; UNFCCC, 2022; Defra, 2023).</w:t>
      </w:r>
      <w:r w:rsidRPr="00683336">
        <w:rPr>
          <w:rFonts w:ascii="Arial" w:hAnsi="Arial" w:cs="Arial"/>
          <w:sz w:val="20"/>
          <w:szCs w:val="20"/>
        </w:rPr>
        <w:t xml:space="preserve"> Their levels have increased significantly since the Industrial Revolution, primarily due to human actions like fossil fuel combustion, deforestation, and industrial growth (IPCC, 2021). </w:t>
      </w:r>
    </w:p>
    <w:p w14:paraId="39986249" w14:textId="77777777" w:rsidR="007A481D"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These gases function as a heat-retaining blanket around the Earth, leading to increased global temperatures, melting ice caps, rising sea levels, and more intense and frequent weather occurrences (UNEP, 2022).</w:t>
      </w:r>
    </w:p>
    <w:p w14:paraId="25FF5B5E" w14:textId="77777777" w:rsidR="007A481D" w:rsidRDefault="007A481D" w:rsidP="00683336">
      <w:pPr>
        <w:spacing w:line="240" w:lineRule="auto"/>
        <w:jc w:val="both"/>
        <w:rPr>
          <w:rFonts w:ascii="Arial" w:hAnsi="Arial" w:cs="Arial"/>
          <w:sz w:val="20"/>
          <w:szCs w:val="20"/>
        </w:rPr>
      </w:pPr>
      <w:r w:rsidRPr="00683336">
        <w:rPr>
          <w:rFonts w:ascii="Arial" w:hAnsi="Arial" w:cs="Arial"/>
          <w:sz w:val="20"/>
          <w:szCs w:val="20"/>
        </w:rPr>
        <w:tab/>
        <w:t xml:space="preserve">The immediacy of the circumstance is evident. The Intergovernmental Panel on Climate Change (IPCC) cautions that to prevent the most severe impacts of climate change, we need to restrict global warming to a maximum of 1.5°C beyond pre-industrial levels (IPCC, 2021). Achieving this objective requires prompt and revolutionary steps. </w:t>
      </w:r>
    </w:p>
    <w:p w14:paraId="5060FE9D" w14:textId="77777777" w:rsidR="00743072" w:rsidRDefault="00743072" w:rsidP="00683336">
      <w:pPr>
        <w:spacing w:line="240" w:lineRule="auto"/>
        <w:jc w:val="both"/>
        <w:rPr>
          <w:rFonts w:ascii="Arial" w:hAnsi="Arial" w:cs="Arial"/>
          <w:sz w:val="20"/>
          <w:szCs w:val="20"/>
        </w:rPr>
      </w:pPr>
    </w:p>
    <w:p w14:paraId="3414A23B" w14:textId="77777777" w:rsidR="00743072" w:rsidRPr="00683336" w:rsidRDefault="00743072" w:rsidP="00683336">
      <w:pPr>
        <w:spacing w:line="240" w:lineRule="auto"/>
        <w:jc w:val="both"/>
        <w:rPr>
          <w:rFonts w:ascii="Arial" w:hAnsi="Arial" w:cs="Arial"/>
          <w:sz w:val="20"/>
          <w:szCs w:val="20"/>
        </w:rPr>
      </w:pPr>
    </w:p>
    <w:p w14:paraId="16A07911" w14:textId="77777777" w:rsidR="007A481D" w:rsidRPr="00FE63ED" w:rsidRDefault="00683336" w:rsidP="00F66AA3">
      <w:pPr>
        <w:pStyle w:val="ListParagraph"/>
        <w:numPr>
          <w:ilvl w:val="1"/>
          <w:numId w:val="1"/>
        </w:numPr>
        <w:spacing w:line="240" w:lineRule="auto"/>
        <w:ind w:left="450"/>
        <w:rPr>
          <w:rFonts w:ascii="Arial" w:hAnsi="Arial" w:cs="Arial"/>
          <w:b/>
          <w:sz w:val="24"/>
        </w:rPr>
      </w:pPr>
      <w:commentRangeStart w:id="2"/>
      <w:r w:rsidRPr="00FE63ED">
        <w:rPr>
          <w:rFonts w:ascii="Arial" w:hAnsi="Arial" w:cs="Arial"/>
          <w:b/>
          <w:sz w:val="24"/>
        </w:rPr>
        <w:t>GHG EMISSION SCENARIOS IN WORLD AND INDIA</w:t>
      </w:r>
      <w:commentRangeEnd w:id="2"/>
      <w:r w:rsidR="00C2483A">
        <w:rPr>
          <w:rStyle w:val="CommentReference"/>
        </w:rPr>
        <w:commentReference w:id="2"/>
      </w:r>
    </w:p>
    <w:p w14:paraId="25514D88" w14:textId="77777777" w:rsidR="007A481D" w:rsidRPr="00FE63ED" w:rsidRDefault="007A481D" w:rsidP="00F66AA3">
      <w:pPr>
        <w:spacing w:before="100" w:beforeAutospacing="1" w:after="100" w:afterAutospacing="1" w:line="240" w:lineRule="auto"/>
        <w:rPr>
          <w:rFonts w:ascii="Arial" w:eastAsia="Times New Roman" w:hAnsi="Arial" w:cs="Arial"/>
          <w:sz w:val="24"/>
          <w:szCs w:val="24"/>
        </w:rPr>
      </w:pPr>
      <w:r w:rsidRPr="00FE63ED">
        <w:rPr>
          <w:rFonts w:ascii="Arial" w:eastAsia="Times New Roman" w:hAnsi="Arial" w:cs="Arial"/>
          <w:noProof/>
          <w:sz w:val="24"/>
          <w:szCs w:val="24"/>
        </w:rPr>
        <w:lastRenderedPageBreak/>
        <w:drawing>
          <wp:inline distT="0" distB="0" distL="0" distR="0" wp14:anchorId="0E848874" wp14:editId="0D7370BB">
            <wp:extent cx="5943600" cy="2819660"/>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181167" w14:textId="77777777" w:rsidR="007A481D" w:rsidRPr="00FE63ED" w:rsidRDefault="007A481D" w:rsidP="00F66AA3">
      <w:pPr>
        <w:spacing w:before="100" w:beforeAutospacing="1" w:after="100" w:afterAutospacing="1" w:line="240" w:lineRule="auto"/>
        <w:rPr>
          <w:rFonts w:ascii="Arial" w:eastAsia="Times New Roman" w:hAnsi="Arial" w:cs="Arial"/>
          <w:sz w:val="24"/>
          <w:szCs w:val="24"/>
        </w:rPr>
      </w:pPr>
      <w:r w:rsidRPr="00FE63ED">
        <w:rPr>
          <w:rFonts w:ascii="Arial" w:eastAsia="Times New Roman" w:hAnsi="Arial" w:cs="Arial"/>
          <w:noProof/>
          <w:sz w:val="24"/>
          <w:szCs w:val="24"/>
        </w:rPr>
        <w:drawing>
          <wp:inline distT="0" distB="0" distL="0" distR="0" wp14:anchorId="20B87E51" wp14:editId="60D2AEBC">
            <wp:extent cx="5943600" cy="2824036"/>
            <wp:effectExtent l="19050" t="0" r="1905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082B2" w14:textId="77777777" w:rsidR="005F67AA" w:rsidRPr="00683336" w:rsidRDefault="005F67AA" w:rsidP="00683336">
      <w:pPr>
        <w:spacing w:before="100" w:beforeAutospacing="1" w:after="100" w:afterAutospacing="1" w:line="240" w:lineRule="auto"/>
        <w:jc w:val="both"/>
        <w:rPr>
          <w:rFonts w:ascii="Arial" w:eastAsia="Times New Roman" w:hAnsi="Arial" w:cs="Arial"/>
        </w:rPr>
      </w:pPr>
      <w:r w:rsidRPr="00FE63ED">
        <w:rPr>
          <w:rFonts w:ascii="Arial" w:eastAsia="Times New Roman" w:hAnsi="Arial" w:cs="Arial"/>
          <w:sz w:val="24"/>
          <w:szCs w:val="24"/>
        </w:rPr>
        <w:tab/>
      </w:r>
      <w:r w:rsidRPr="00683336">
        <w:rPr>
          <w:rFonts w:ascii="Arial" w:eastAsia="Times New Roman" w:hAnsi="Arial" w:cs="Arial"/>
        </w:rPr>
        <w:t xml:space="preserve">In 2020, global GHG emissions were estimated at 54.59 billion </w:t>
      </w:r>
      <w:proofErr w:type="spellStart"/>
      <w:r w:rsidRPr="00683336">
        <w:rPr>
          <w:rFonts w:ascii="Arial" w:eastAsia="Times New Roman" w:hAnsi="Arial" w:cs="Arial"/>
        </w:rPr>
        <w:t>tonnes</w:t>
      </w:r>
      <w:proofErr w:type="spellEnd"/>
      <w:r w:rsidRPr="00683336">
        <w:rPr>
          <w:rFonts w:ascii="Arial" w:eastAsia="Times New Roman" w:hAnsi="Arial" w:cs="Arial"/>
        </w:rPr>
        <w:t xml:space="preserve"> of CO</w:t>
      </w:r>
      <w:r w:rsidRPr="00683336">
        <w:rPr>
          <w:rFonts w:ascii="Cambria Math" w:eastAsia="Times New Roman" w:hAnsi="Cambria Math" w:cs="Arial"/>
        </w:rPr>
        <w:t>₂</w:t>
      </w:r>
      <w:r w:rsidRPr="00683336">
        <w:rPr>
          <w:rFonts w:ascii="Arial" w:eastAsia="Times New Roman" w:hAnsi="Arial" w:cs="Arial"/>
        </w:rPr>
        <w:t xml:space="preserve"> equivalent. By 2022, China was the top emitter, contributing 30.68 per cent of global emissions, followed by the United States at 13.61 per cent, and India at 7.62 per cent (Climate Watch, 2023; Venkataraman, 2024).</w:t>
      </w:r>
      <w:r w:rsidR="007A481D" w:rsidRPr="00683336">
        <w:rPr>
          <w:rFonts w:ascii="Arial" w:eastAsia="Times New Roman" w:hAnsi="Arial" w:cs="Arial"/>
        </w:rPr>
        <w:tab/>
      </w:r>
    </w:p>
    <w:p w14:paraId="0282BE2F" w14:textId="77777777" w:rsidR="007A481D" w:rsidRPr="00683336" w:rsidRDefault="005F67AA"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r>
      <w:r w:rsidR="007A481D" w:rsidRPr="00683336">
        <w:rPr>
          <w:rFonts w:ascii="Arial" w:eastAsia="Times New Roman" w:hAnsi="Arial" w:cs="Arial"/>
        </w:rPr>
        <w:t>As illustrated in Figure 1, global GHG emissions originate from various sectors, with electricity and heat production being the largest contributor at 31.33 per cent mainly due to fossil fuel combustion. Transportation accounts for 15.04 per cent, while manufacturing and construction make up 12.84 per cent. Agriculture contributes 12.11 per cent, largely from crop and livestock activities. Other sectors like industry, buildings, and waste management also contribute, albeit to a lesser degree. Smaller sources include land use changes, international aviation and shipping (bunker fuels), and miscellaneous fuel burning.</w:t>
      </w:r>
    </w:p>
    <w:p w14:paraId="6CC6CA8B" w14:textId="77777777" w:rsidR="007A481D" w:rsidRPr="00683336" w:rsidRDefault="007A481D"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t xml:space="preserve">Figure 2 presents the sector-wise breakdown of GHG emissions in India. Electricity and heat production top the list, contributing 35.33 per cent of total national emissions. Agriculture is the second-highest emitter at 23.36 per cent, primarily due to livestock rearing, rice cultivation, and fertilizer application. Manufacturing and construction follow at 16.04 per </w:t>
      </w:r>
      <w:r w:rsidRPr="00683336">
        <w:rPr>
          <w:rFonts w:ascii="Arial" w:eastAsia="Times New Roman" w:hAnsi="Arial" w:cs="Arial"/>
        </w:rPr>
        <w:lastRenderedPageBreak/>
        <w:t>cent, and the transport sector contributes 8.70 per cent. Other contributors include buildings (5.12 per cent), industry (4.70 per cent), fugitive emissions (2.80 per cent), fuel combustion (2.04 per cent), and waste (2.69 per cent). Interestingly, Land Use Change and Forestry (LUC &amp; Forestry) show a negative contribution of -1.07 per cent, indicating that India's forests and land systems act as a net carbon sink by absorbing more emissions than they release. Notably, electricity and heat production remain the largest sources of emissions both globally (31.33 per cent) and in India (35.32 per cent) (Ritchie et al., 2020; Climate Watch, 2023).</w:t>
      </w:r>
    </w:p>
    <w:p w14:paraId="21551C8E" w14:textId="77777777" w:rsidR="00832A1E" w:rsidRPr="00683336" w:rsidRDefault="00832A1E" w:rsidP="00683336">
      <w:pPr>
        <w:spacing w:before="100" w:beforeAutospacing="1" w:after="100" w:afterAutospacing="1" w:line="240" w:lineRule="auto"/>
        <w:jc w:val="center"/>
        <w:rPr>
          <w:rFonts w:ascii="Arial" w:eastAsia="Times New Roman" w:hAnsi="Arial" w:cs="Arial"/>
        </w:rPr>
      </w:pPr>
      <w:r w:rsidRPr="00683336">
        <w:rPr>
          <w:rFonts w:ascii="Arial" w:eastAsia="Times New Roman" w:hAnsi="Arial" w:cs="Arial"/>
          <w:noProof/>
        </w:rPr>
        <w:drawing>
          <wp:inline distT="0" distB="0" distL="0" distR="0" wp14:anchorId="0D863CD0" wp14:editId="71D7BB38">
            <wp:extent cx="4218109" cy="2461846"/>
            <wp:effectExtent l="19050" t="0" r="10991"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3526E9" w14:textId="77777777" w:rsidR="007A481D" w:rsidRPr="00683336" w:rsidRDefault="007A481D"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t>Within the agricultural sector in India, methane is the leading GHG, contributing 56.38 per cent of total agricultural emissions, followed by nitrous oxide at 25.87 per cent and carbon dioxide at 17.73 per cent (Figure 3). Climate change continues to challenge agricultural productivity, with notable declines in cultivated area, crop yields, and overall output (Global Carbon Budget, 2023; Venkataraman, 2024).</w:t>
      </w:r>
    </w:p>
    <w:p w14:paraId="6722A2BE" w14:textId="77777777" w:rsidR="007A481D" w:rsidRPr="00683336" w:rsidRDefault="007A481D" w:rsidP="00683336">
      <w:pPr>
        <w:spacing w:line="240" w:lineRule="auto"/>
        <w:jc w:val="both"/>
        <w:rPr>
          <w:rFonts w:ascii="Arial" w:hAnsi="Arial" w:cs="Arial"/>
        </w:rPr>
      </w:pPr>
      <w:r w:rsidRPr="00683336">
        <w:rPr>
          <w:rFonts w:ascii="Arial" w:hAnsi="Arial" w:cs="Arial"/>
        </w:rPr>
        <w:tab/>
        <w:t xml:space="preserve">In reply, businesses, governments, and international organizations are investigating creative methods to reduce emissions. One of the most promising options among them is carbon trading- a market-driven method that offers. </w:t>
      </w:r>
    </w:p>
    <w:p w14:paraId="36CA34A8" w14:textId="77777777" w:rsidR="000F0F95" w:rsidRPr="00683336" w:rsidRDefault="00683336" w:rsidP="00F66AA3">
      <w:pPr>
        <w:pStyle w:val="ListParagraph"/>
        <w:numPr>
          <w:ilvl w:val="0"/>
          <w:numId w:val="1"/>
        </w:numPr>
        <w:spacing w:before="100" w:beforeAutospacing="1" w:after="100" w:afterAutospacing="1" w:line="240" w:lineRule="auto"/>
        <w:ind w:left="360"/>
        <w:rPr>
          <w:rFonts w:ascii="Arial" w:hAnsi="Arial" w:cs="Arial"/>
          <w:b/>
          <w:szCs w:val="24"/>
        </w:rPr>
      </w:pPr>
      <w:r w:rsidRPr="00683336">
        <w:rPr>
          <w:rFonts w:ascii="Arial" w:hAnsi="Arial" w:cs="Arial"/>
          <w:b/>
          <w:szCs w:val="24"/>
        </w:rPr>
        <w:t>CARBON MARKETS: A SUMMARY</w:t>
      </w:r>
    </w:p>
    <w:p w14:paraId="0652DE83" w14:textId="77777777" w:rsidR="000F0F95" w:rsidRPr="00683336" w:rsidRDefault="000F0F95" w:rsidP="00683336">
      <w:pPr>
        <w:spacing w:before="100" w:beforeAutospacing="1" w:after="100" w:afterAutospacing="1" w:line="240" w:lineRule="auto"/>
        <w:jc w:val="both"/>
        <w:rPr>
          <w:rFonts w:ascii="Arial" w:eastAsia="Times New Roman" w:hAnsi="Arial" w:cs="Arial"/>
          <w:sz w:val="20"/>
          <w:szCs w:val="20"/>
        </w:rPr>
      </w:pPr>
      <w:r w:rsidRPr="00FE63ED">
        <w:rPr>
          <w:rFonts w:ascii="Arial" w:eastAsia="Times New Roman" w:hAnsi="Arial" w:cs="Arial"/>
          <w:sz w:val="24"/>
          <w:szCs w:val="24"/>
        </w:rPr>
        <w:tab/>
      </w:r>
      <w:r w:rsidRPr="00683336">
        <w:rPr>
          <w:rFonts w:ascii="Arial" w:eastAsia="Times New Roman" w:hAnsi="Arial" w:cs="Arial"/>
          <w:sz w:val="20"/>
          <w:szCs w:val="20"/>
        </w:rPr>
        <w:t>As climate change becomes more urgent, carbon markets are gaining attention as a practical, market-based way to cut greenhouse gas (GHG) emissions. These markets work by allow</w:t>
      </w:r>
      <w:r w:rsidR="005F67AA" w:rsidRPr="00683336">
        <w:rPr>
          <w:rFonts w:ascii="Arial" w:eastAsia="Times New Roman" w:hAnsi="Arial" w:cs="Arial"/>
          <w:sz w:val="20"/>
          <w:szCs w:val="20"/>
        </w:rPr>
        <w:t xml:space="preserve">ing the trade of carbon credits </w:t>
      </w:r>
      <w:r w:rsidRPr="00683336">
        <w:rPr>
          <w:rFonts w:ascii="Arial" w:eastAsia="Times New Roman" w:hAnsi="Arial" w:cs="Arial"/>
          <w:sz w:val="20"/>
          <w:szCs w:val="20"/>
        </w:rPr>
        <w:t>each representing one metric ton of carbon dioxide (or its equivalent) that’s been reduced or removed from the atmosphere. Built on systems like cap-and-trade and carbon offsetting, carbon markets let organizations that reduce more emissions than required sell their extra credits. Meanwhile, those that exceed their limits can buy credits to stay within regulations or meet voluntary climate goals (</w:t>
      </w:r>
      <w:proofErr w:type="spellStart"/>
      <w:r w:rsidRPr="00683336">
        <w:rPr>
          <w:rFonts w:ascii="Arial" w:eastAsia="Times New Roman" w:hAnsi="Arial" w:cs="Arial"/>
          <w:sz w:val="20"/>
          <w:szCs w:val="20"/>
        </w:rPr>
        <w:t>Kossoy</w:t>
      </w:r>
      <w:proofErr w:type="spellEnd"/>
      <w:r w:rsidRPr="00683336">
        <w:rPr>
          <w:rFonts w:ascii="Arial" w:eastAsia="Times New Roman" w:hAnsi="Arial" w:cs="Arial"/>
          <w:sz w:val="20"/>
          <w:szCs w:val="20"/>
        </w:rPr>
        <w:t xml:space="preserve"> et al., 2015; Mehling et al., 2018).</w:t>
      </w:r>
    </w:p>
    <w:p w14:paraId="342EF406" w14:textId="77777777" w:rsidR="00520B79" w:rsidRDefault="000F0F95"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t xml:space="preserve">This approach creates a financial incentive to cut emissions in the most cost-effective way possible. It also encourages innovation in clean technologies and low-carbon solutions (Stavins, 2008; </w:t>
      </w:r>
      <w:proofErr w:type="spellStart"/>
      <w:r w:rsidRPr="00683336">
        <w:rPr>
          <w:rFonts w:ascii="Arial" w:eastAsia="Times New Roman" w:hAnsi="Arial" w:cs="Arial"/>
          <w:sz w:val="20"/>
          <w:szCs w:val="20"/>
        </w:rPr>
        <w:t>Tietenberg</w:t>
      </w:r>
      <w:proofErr w:type="spellEnd"/>
      <w:r w:rsidRPr="00683336">
        <w:rPr>
          <w:rFonts w:ascii="Arial" w:eastAsia="Times New Roman" w:hAnsi="Arial" w:cs="Arial"/>
          <w:sz w:val="20"/>
          <w:szCs w:val="20"/>
        </w:rPr>
        <w:t>, 2010). By putting a price on carbon, these markets help make sure the true environmental costs of emissions are reflected</w:t>
      </w:r>
      <w:r w:rsidR="005F67AA" w:rsidRPr="00683336">
        <w:rPr>
          <w:rFonts w:ascii="Arial" w:eastAsia="Times New Roman" w:hAnsi="Arial" w:cs="Arial"/>
          <w:sz w:val="20"/>
          <w:szCs w:val="20"/>
        </w:rPr>
        <w:t xml:space="preserve"> in everyday economic decisions </w:t>
      </w:r>
      <w:r w:rsidRPr="00683336">
        <w:rPr>
          <w:rFonts w:ascii="Arial" w:eastAsia="Times New Roman" w:hAnsi="Arial" w:cs="Arial"/>
          <w:sz w:val="20"/>
          <w:szCs w:val="20"/>
        </w:rPr>
        <w:t>essentially aligning business goals with climate action (Newell et al., 2013; Stern, 2007).</w:t>
      </w:r>
    </w:p>
    <w:p w14:paraId="08545902" w14:textId="77777777" w:rsidR="00743072" w:rsidRPr="00683336" w:rsidRDefault="00743072" w:rsidP="00683336">
      <w:pPr>
        <w:spacing w:before="100" w:beforeAutospacing="1" w:after="100" w:afterAutospacing="1" w:line="240" w:lineRule="auto"/>
        <w:jc w:val="both"/>
        <w:rPr>
          <w:rFonts w:ascii="Arial" w:eastAsia="Times New Roman" w:hAnsi="Arial" w:cs="Arial"/>
          <w:sz w:val="20"/>
          <w:szCs w:val="20"/>
        </w:rPr>
      </w:pPr>
    </w:p>
    <w:p w14:paraId="26E75880" w14:textId="77777777" w:rsidR="00520B79" w:rsidRPr="00683336" w:rsidRDefault="00683336" w:rsidP="00683336">
      <w:pPr>
        <w:pStyle w:val="ListParagraph"/>
        <w:numPr>
          <w:ilvl w:val="1"/>
          <w:numId w:val="1"/>
        </w:numPr>
        <w:spacing w:before="100" w:beforeAutospacing="1" w:after="100" w:afterAutospacing="1" w:line="240" w:lineRule="auto"/>
        <w:ind w:left="450"/>
        <w:jc w:val="both"/>
        <w:rPr>
          <w:rStyle w:val="red"/>
          <w:rFonts w:ascii="Arial" w:eastAsia="Times New Roman" w:hAnsi="Arial" w:cs="Arial"/>
          <w:szCs w:val="20"/>
        </w:rPr>
      </w:pPr>
      <w:r w:rsidRPr="00683336">
        <w:rPr>
          <w:rStyle w:val="red"/>
          <w:rFonts w:ascii="Arial" w:hAnsi="Arial" w:cs="Arial"/>
          <w:b/>
          <w:szCs w:val="20"/>
        </w:rPr>
        <w:t xml:space="preserve">CARBON MARKETS ARE CLASSIFIED INTO TWO CATEGORIES: </w:t>
      </w:r>
    </w:p>
    <w:p w14:paraId="143AF7E0"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lastRenderedPageBreak/>
        <w:tab/>
      </w:r>
      <w:r w:rsidR="00520B79" w:rsidRPr="00683336">
        <w:rPr>
          <w:rFonts w:ascii="Arial" w:eastAsia="Times New Roman" w:hAnsi="Arial" w:cs="Arial"/>
          <w:sz w:val="20"/>
          <w:szCs w:val="20"/>
        </w:rPr>
        <w:t>Compliance markets are built around clear legal rules and regulations. Systems like the European Union Emissions Trading System (EU ETS), California’s Cap-and-Trade Program, and China’s National ETS require companies to stay within set emission limits (Ellerman et al., 2010; ICAP, 2023). These programs ensure that polluters are held accountable and are actively working toward cutting their emissions.</w:t>
      </w:r>
      <w:r w:rsidRPr="00683336">
        <w:rPr>
          <w:rFonts w:ascii="Arial" w:eastAsia="Times New Roman" w:hAnsi="Arial" w:cs="Arial"/>
          <w:sz w:val="20"/>
          <w:szCs w:val="20"/>
        </w:rPr>
        <w:t xml:space="preserve"> </w:t>
      </w:r>
      <w:r w:rsidR="00520B79" w:rsidRPr="00683336">
        <w:rPr>
          <w:rFonts w:ascii="Arial" w:eastAsia="Times New Roman" w:hAnsi="Arial" w:cs="Arial"/>
          <w:sz w:val="20"/>
          <w:szCs w:val="20"/>
        </w:rPr>
        <w:t>On the flip side, Voluntary Carbon Markets (VCMs) are driven by companies and organizations that want to go above and beyond what’s required. They may do this to meet internal sustainability targets, show leadership on climate action, or respond to growing pressure from customers and investors (Hamrick &amp; Gallant, 2017; Verra, 2022).</w:t>
      </w:r>
    </w:p>
    <w:p w14:paraId="354409E4"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Together, both types of carbon markets play a big role in the global fight against climate change. They help fund climate-friendly projects and create a bridge between environmental goals and economic growth (World Bank, 2022; UNFCCC, 2021).</w:t>
      </w:r>
    </w:p>
    <w:p w14:paraId="0E3C4E8A" w14:textId="77777777" w:rsidR="005F67AA" w:rsidRPr="00683336" w:rsidRDefault="00683336" w:rsidP="00683336">
      <w:pPr>
        <w:pStyle w:val="ListParagraph"/>
        <w:numPr>
          <w:ilvl w:val="0"/>
          <w:numId w:val="1"/>
        </w:numPr>
        <w:spacing w:before="100" w:beforeAutospacing="1" w:after="100" w:afterAutospacing="1" w:line="240" w:lineRule="auto"/>
        <w:ind w:left="360"/>
        <w:jc w:val="both"/>
        <w:rPr>
          <w:rFonts w:ascii="Arial" w:eastAsia="Times New Roman" w:hAnsi="Arial" w:cs="Arial"/>
          <w:b/>
          <w:bCs/>
          <w:szCs w:val="20"/>
        </w:rPr>
      </w:pPr>
      <w:r w:rsidRPr="00683336">
        <w:rPr>
          <w:rFonts w:ascii="Arial" w:eastAsia="Times New Roman" w:hAnsi="Arial" w:cs="Arial"/>
          <w:b/>
          <w:bCs/>
          <w:szCs w:val="20"/>
        </w:rPr>
        <w:t>COMPLIANCE CARBON MARKETS</w:t>
      </w:r>
    </w:p>
    <w:p w14:paraId="3A9DCE63"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These markets operate under strict national or international laws, requiring organizations to follow detailed emission limits. What makes them work well is a strong system of Monitoring, Reporting, and Verification (MRV), which keeps things transparent and trustworthy (OECD, 2020). Because participation is mandatory, these markets push companies to get creative, cut emissions, and become more engaged in climate solutions.</w:t>
      </w:r>
    </w:p>
    <w:p w14:paraId="53038607"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EMISSIONS TRADING SCHEMES (ETS)</w:t>
      </w:r>
    </w:p>
    <w:p w14:paraId="4939A11F" w14:textId="77777777" w:rsidR="00B722D5" w:rsidRPr="00683336" w:rsidRDefault="00AA48C5"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B722D5" w:rsidRPr="00683336">
        <w:rPr>
          <w:rFonts w:ascii="Arial" w:eastAsia="Times New Roman" w:hAnsi="Arial" w:cs="Arial"/>
          <w:sz w:val="20"/>
          <w:szCs w:val="20"/>
        </w:rPr>
        <w:t>At the heart of many compliance carbon markets is something called the</w:t>
      </w:r>
      <w:r w:rsidRPr="00683336">
        <w:rPr>
          <w:rFonts w:ascii="Arial" w:eastAsia="Times New Roman" w:hAnsi="Arial" w:cs="Arial"/>
          <w:sz w:val="20"/>
          <w:szCs w:val="20"/>
        </w:rPr>
        <w:t xml:space="preserve"> Emissions Trading System (ETS) </w:t>
      </w:r>
      <w:r w:rsidR="00B722D5" w:rsidRPr="00683336">
        <w:rPr>
          <w:rFonts w:ascii="Arial" w:eastAsia="Times New Roman" w:hAnsi="Arial" w:cs="Arial"/>
          <w:sz w:val="20"/>
          <w:szCs w:val="20"/>
        </w:rPr>
        <w:t xml:space="preserve">a "cap-and-trade" approach that puts a price on pollution and rewards efforts to cut emissions. Here’s how it works: governments set a cap on the total amount of </w:t>
      </w:r>
      <w:r w:rsidR="00832A1E" w:rsidRPr="00683336">
        <w:rPr>
          <w:rFonts w:ascii="Arial" w:eastAsia="Times New Roman" w:hAnsi="Arial" w:cs="Arial"/>
          <w:sz w:val="20"/>
          <w:szCs w:val="20"/>
        </w:rPr>
        <w:t>GHG</w:t>
      </w:r>
      <w:r w:rsidR="00B722D5" w:rsidRPr="00683336">
        <w:rPr>
          <w:rFonts w:ascii="Arial" w:eastAsia="Times New Roman" w:hAnsi="Arial" w:cs="Arial"/>
          <w:sz w:val="20"/>
          <w:szCs w:val="20"/>
        </w:rPr>
        <w:t xml:space="preserve"> that certain industries are allowed to emit. Companies within those industries are given or can buy a certain number of allowances, each representing the right to emit one ton of CO</w:t>
      </w:r>
      <w:r w:rsidR="00B722D5" w:rsidRPr="00683336">
        <w:rPr>
          <w:rFonts w:ascii="Cambria Math" w:eastAsia="Times New Roman" w:hAnsi="Cambria Math" w:cs="Arial"/>
          <w:sz w:val="20"/>
          <w:szCs w:val="20"/>
        </w:rPr>
        <w:t>₂</w:t>
      </w:r>
      <w:r w:rsidR="00B722D5" w:rsidRPr="00683336">
        <w:rPr>
          <w:rFonts w:ascii="Arial" w:eastAsia="Times New Roman" w:hAnsi="Arial" w:cs="Arial"/>
          <w:sz w:val="20"/>
          <w:szCs w:val="20"/>
        </w:rPr>
        <w:t xml:space="preserve"> or its equivalent. If a company emits less than its allowance, it can sell the extra</w:t>
      </w:r>
      <w:r w:rsidR="001F3A35" w:rsidRPr="00683336">
        <w:rPr>
          <w:rFonts w:ascii="Arial" w:eastAsia="Times New Roman" w:hAnsi="Arial" w:cs="Arial"/>
          <w:sz w:val="20"/>
          <w:szCs w:val="20"/>
        </w:rPr>
        <w:t xml:space="preserve"> into the carbon market</w:t>
      </w:r>
      <w:r w:rsidR="00B722D5" w:rsidRPr="00683336">
        <w:rPr>
          <w:rFonts w:ascii="Arial" w:eastAsia="Times New Roman" w:hAnsi="Arial" w:cs="Arial"/>
          <w:sz w:val="20"/>
          <w:szCs w:val="20"/>
        </w:rPr>
        <w:t>. If it emits more, it must buy more allowances</w:t>
      </w:r>
      <w:r w:rsidR="001F3A35" w:rsidRPr="00683336">
        <w:rPr>
          <w:rFonts w:ascii="Arial" w:eastAsia="Times New Roman" w:hAnsi="Arial" w:cs="Arial"/>
          <w:sz w:val="20"/>
          <w:szCs w:val="20"/>
        </w:rPr>
        <w:t xml:space="preserve"> from the carbon market</w:t>
      </w:r>
      <w:r w:rsidR="00B722D5" w:rsidRPr="00683336">
        <w:rPr>
          <w:rFonts w:ascii="Arial" w:eastAsia="Times New Roman" w:hAnsi="Arial" w:cs="Arial"/>
          <w:sz w:val="20"/>
          <w:szCs w:val="20"/>
        </w:rPr>
        <w:t>. This setup helps ensure that emissions are reduced where it’s cheapest to do so, all while motivating companies to innovate and improve efficiency (Ellerman &amp; Buchner, 2007).</w:t>
      </w:r>
    </w:p>
    <w:p w14:paraId="42E6EF4A"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One of the best-known examples is the European Union Emissions Trading System (EU ETS). Launched in 2005, it remains the largest and most influential carbon market in the world. The EU ETS covers major polluting sectors like power and heat generation, heavy industries (like cement, steel, oil refining, and paper), and even aviation within the EU (European Commission, 2022). Over the years, it has gone through several updates to make it more environmentally ef</w:t>
      </w:r>
      <w:r w:rsidR="00832A1E" w:rsidRPr="00683336">
        <w:rPr>
          <w:rFonts w:ascii="Arial" w:hAnsi="Arial" w:cs="Arial"/>
          <w:sz w:val="20"/>
          <w:szCs w:val="20"/>
        </w:rPr>
        <w:t xml:space="preserve">fective </w:t>
      </w:r>
      <w:r w:rsidR="00B722D5" w:rsidRPr="00683336">
        <w:rPr>
          <w:rFonts w:ascii="Arial" w:hAnsi="Arial" w:cs="Arial"/>
          <w:sz w:val="20"/>
          <w:szCs w:val="20"/>
        </w:rPr>
        <w:t>tightening emission limits, boosting market stability, and raising the cost of carbon to drive meaningful action (European Environment Agency, 2021).</w:t>
      </w:r>
    </w:p>
    <w:p w14:paraId="3076B93C"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Now in its fourth phase (2021–2030), the EU ETS is a key part of the European Green Deal and supports the EU’s ambitious goal of cutting net greenhou</w:t>
      </w:r>
      <w:r w:rsidR="00AA48C5" w:rsidRPr="00683336">
        <w:rPr>
          <w:rFonts w:ascii="Arial" w:hAnsi="Arial" w:cs="Arial"/>
          <w:sz w:val="20"/>
          <w:szCs w:val="20"/>
        </w:rPr>
        <w:t>se gas emissions by at least 55 per cent</w:t>
      </w:r>
      <w:r w:rsidR="00B722D5" w:rsidRPr="00683336">
        <w:rPr>
          <w:rFonts w:ascii="Arial" w:hAnsi="Arial" w:cs="Arial"/>
          <w:sz w:val="20"/>
          <w:szCs w:val="20"/>
        </w:rPr>
        <w:t xml:space="preserve"> by 2030. It has recently expanded to cover maritime transport and plans to include buildings and road transport under a new, separate system known as EU ETS II (European Commission, 2023).</w:t>
      </w:r>
    </w:p>
    <w:p w14:paraId="55ACF3FC"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Beyond Europe, emissions trading is spreading globally under the framework of the Paris Agreement. Through Article 6.2, countries can work together voluntarily by trading what's known as Internationally Transferred Mitigation Outcomes (ITMOs). This allows countries to team up in reaching their climate targets, building on the groundwork laid by the earlier Kyoto Protocol and moving toward a more flexible and cooperative approach to global emissions reduction (UNFCCC, 2022).</w:t>
      </w:r>
    </w:p>
    <w:p w14:paraId="6718E56F"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CLEAN DEVELOPMENT MECHANISM (CDM)</w:t>
      </w:r>
    </w:p>
    <w:p w14:paraId="4126B9D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One of the standout tools introduced under the Kyoto Protocol was the Clean Development Mechanism (CDM). This innovative system gave developed countries a way to meet part of their emission reduction targets by investing in climate-friendly projects in developing nations. In return, </w:t>
      </w:r>
      <w:r w:rsidR="00B722D5" w:rsidRPr="00683336">
        <w:rPr>
          <w:rFonts w:ascii="Arial" w:hAnsi="Arial" w:cs="Arial"/>
          <w:sz w:val="20"/>
          <w:szCs w:val="20"/>
        </w:rPr>
        <w:lastRenderedPageBreak/>
        <w:t>they received Certified Emission Reductions (CERs)</w:t>
      </w:r>
      <w:r w:rsidRPr="00683336">
        <w:rPr>
          <w:rFonts w:ascii="Arial" w:hAnsi="Arial" w:cs="Arial"/>
          <w:sz w:val="20"/>
          <w:szCs w:val="20"/>
        </w:rPr>
        <w:t xml:space="preserve"> </w:t>
      </w:r>
      <w:r w:rsidR="00B722D5" w:rsidRPr="00683336">
        <w:rPr>
          <w:rFonts w:ascii="Arial" w:hAnsi="Arial" w:cs="Arial"/>
          <w:sz w:val="20"/>
          <w:szCs w:val="20"/>
        </w:rPr>
        <w:t>carbon credits that could be traded and counted toward their Kyoto commitments (UNFCCC, 2020).</w:t>
      </w:r>
    </w:p>
    <w:p w14:paraId="05B3C01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 CDM supported a wide variety of projects, all aimed at cutting greenhouse gas emissions while also encouraging sustainable growth. These included renewable energy initiatives like wind, so</w:t>
      </w:r>
      <w:r w:rsidRPr="00683336">
        <w:rPr>
          <w:rFonts w:ascii="Arial" w:hAnsi="Arial" w:cs="Arial"/>
          <w:sz w:val="20"/>
          <w:szCs w:val="20"/>
        </w:rPr>
        <w:t xml:space="preserve">lar, and small-scale hydropower </w:t>
      </w:r>
      <w:r w:rsidR="00B722D5" w:rsidRPr="00683336">
        <w:rPr>
          <w:rFonts w:ascii="Arial" w:hAnsi="Arial" w:cs="Arial"/>
          <w:sz w:val="20"/>
          <w:szCs w:val="20"/>
        </w:rPr>
        <w:t>helping replace fossil fuels and cut carbon emissions. It also backed energy efficiency upgrades in buildings and industries, methane capture from landfills and livestock, and reforestation and afforestation efforts to restore natural carbon sinks. Even sustainable agriculture projects were included, reducing emissions from land use while improving the lives of local communities (UNFCCC, 2020; UNEP DTU, 2018).</w:t>
      </w:r>
    </w:p>
    <w:p w14:paraId="5BDC6C5F"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At its core, th</w:t>
      </w:r>
      <w:r w:rsidRPr="00683336">
        <w:rPr>
          <w:rFonts w:ascii="Arial" w:hAnsi="Arial" w:cs="Arial"/>
          <w:sz w:val="20"/>
          <w:szCs w:val="20"/>
        </w:rPr>
        <w:t xml:space="preserve">e CDM aimed to strike a balance </w:t>
      </w:r>
      <w:r w:rsidR="00B722D5" w:rsidRPr="00683336">
        <w:rPr>
          <w:rFonts w:ascii="Arial" w:hAnsi="Arial" w:cs="Arial"/>
          <w:sz w:val="20"/>
          <w:szCs w:val="20"/>
        </w:rPr>
        <w:t>delivering real environmental benefits while also contributing to development in lower-income countries. It attracted billions in investment, especially across Asia, Africa, and Latin America, and supported over 8,000 registered projects. For many developing countries, it was their first opportunity to engage with global carbon markets in an organized way (UNEP DTU, 2018).</w:t>
      </w:r>
    </w:p>
    <w:p w14:paraId="32365FB0"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However, the system wasn’t without </w:t>
      </w:r>
      <w:r w:rsidR="00832A1E" w:rsidRPr="00683336">
        <w:rPr>
          <w:rFonts w:ascii="Arial" w:hAnsi="Arial" w:cs="Arial"/>
          <w:sz w:val="20"/>
          <w:szCs w:val="20"/>
        </w:rPr>
        <w:t>its flaws. A major concern was additionality</w:t>
      </w:r>
      <w:r w:rsidRPr="00683336">
        <w:rPr>
          <w:rFonts w:ascii="Arial" w:hAnsi="Arial" w:cs="Arial"/>
          <w:sz w:val="20"/>
          <w:szCs w:val="20"/>
        </w:rPr>
        <w:t xml:space="preserve"> </w:t>
      </w:r>
      <w:r w:rsidR="00B722D5" w:rsidRPr="00683336">
        <w:rPr>
          <w:rFonts w:ascii="Arial" w:hAnsi="Arial" w:cs="Arial"/>
          <w:sz w:val="20"/>
          <w:szCs w:val="20"/>
        </w:rPr>
        <w:t>ensuring that the projects truly delivered emissions cuts beyond what would have happened anyway. Critics argued that some projects would’ve gone ahead even without CDM support, calling into question the real impact of the credits issued (Schneider, 2007; Cames et al., 2016). There were also concerns about whether local communities actually received the promised environmental or social benefits (Boyd et al., 2009).</w:t>
      </w:r>
    </w:p>
    <w:p w14:paraId="6B01C158"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 xml:space="preserve">Because of these challenges </w:t>
      </w:r>
      <w:r w:rsidR="00B722D5" w:rsidRPr="00683336">
        <w:rPr>
          <w:rFonts w:ascii="Arial" w:hAnsi="Arial" w:cs="Arial"/>
          <w:sz w:val="20"/>
          <w:szCs w:val="20"/>
        </w:rPr>
        <w:t xml:space="preserve">and the evolution of global </w:t>
      </w:r>
      <w:r w:rsidRPr="00683336">
        <w:rPr>
          <w:rFonts w:ascii="Arial" w:hAnsi="Arial" w:cs="Arial"/>
          <w:sz w:val="20"/>
          <w:szCs w:val="20"/>
        </w:rPr>
        <w:t xml:space="preserve">climate policy </w:t>
      </w:r>
      <w:r w:rsidR="00B722D5" w:rsidRPr="00683336">
        <w:rPr>
          <w:rFonts w:ascii="Arial" w:hAnsi="Arial" w:cs="Arial"/>
          <w:sz w:val="20"/>
          <w:szCs w:val="20"/>
        </w:rPr>
        <w:t>the CDM is now being phased out. It’s being replaced by a new framework under Article 6.4 of the Paris Agreement, commonly referred to as the Sustainable Development Mechanism (SDM). This new system builds on lessons learned from the CDM, but it’s designed to be more inclusive, aligning better with each country’s own climate plans (NDCs). Unlike Kyoto, which only put legal targets on developed nations, the Paris Agreement involves all countries, making this new approach broader and more flexible (UNFCCC, 2022).</w:t>
      </w:r>
    </w:p>
    <w:p w14:paraId="3D63481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Though the CDM’s era</w:t>
      </w:r>
      <w:r w:rsidRPr="00683336">
        <w:rPr>
          <w:rFonts w:ascii="Arial" w:hAnsi="Arial" w:cs="Arial"/>
          <w:sz w:val="20"/>
          <w:szCs w:val="20"/>
        </w:rPr>
        <w:t xml:space="preserve"> is ending, its legacy lives on </w:t>
      </w:r>
      <w:r w:rsidR="00B722D5" w:rsidRPr="00683336">
        <w:rPr>
          <w:rFonts w:ascii="Arial" w:hAnsi="Arial" w:cs="Arial"/>
          <w:sz w:val="20"/>
          <w:szCs w:val="20"/>
        </w:rPr>
        <w:t>shaping the future of global carbon markets and reminding us of the importance of transparency, good governance, and balancing efficiency with fairness.</w:t>
      </w:r>
    </w:p>
    <w:p w14:paraId="24D0EB87"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REGIONAL AND NATIONAL INITIATIVES</w:t>
      </w:r>
    </w:p>
    <w:p w14:paraId="7DE85FB9"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Outside the EU, many other countries and regions have developed their own compliance carbon markets, tailored to their specific economic and climate goals. These efforts reflect a growing global belief that market-based approaches can be powerful tools for reducing emissions.</w:t>
      </w:r>
    </w:p>
    <w:p w14:paraId="56AD3990"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In </w:t>
      </w:r>
      <w:r w:rsidR="00D1297E">
        <w:rPr>
          <w:rFonts w:ascii="Arial" w:hAnsi="Arial" w:cs="Arial"/>
          <w:sz w:val="20"/>
          <w:szCs w:val="20"/>
        </w:rPr>
        <w:t>china</w:t>
      </w:r>
      <w:r w:rsidR="00B722D5" w:rsidRPr="00683336">
        <w:rPr>
          <w:rFonts w:ascii="Arial" w:hAnsi="Arial" w:cs="Arial"/>
          <w:sz w:val="20"/>
          <w:szCs w:val="20"/>
        </w:rPr>
        <w:t xml:space="preserve">, it launched its national Emissions Trading </w:t>
      </w:r>
      <w:r w:rsidRPr="00683336">
        <w:rPr>
          <w:rFonts w:ascii="Arial" w:hAnsi="Arial" w:cs="Arial"/>
          <w:sz w:val="20"/>
          <w:szCs w:val="20"/>
        </w:rPr>
        <w:t>System (ETS);</w:t>
      </w:r>
      <w:r w:rsidR="00B722D5" w:rsidRPr="00683336">
        <w:rPr>
          <w:rFonts w:ascii="Arial" w:hAnsi="Arial" w:cs="Arial"/>
          <w:sz w:val="20"/>
          <w:szCs w:val="20"/>
        </w:rPr>
        <w:t xml:space="preserve"> now the world’s largest in terms of emissions covered</w:t>
      </w:r>
      <w:r w:rsidR="00D1297E">
        <w:rPr>
          <w:rFonts w:ascii="Arial" w:hAnsi="Arial" w:cs="Arial"/>
          <w:sz w:val="20"/>
          <w:szCs w:val="20"/>
        </w:rPr>
        <w:t xml:space="preserve"> in 2021</w:t>
      </w:r>
      <w:r w:rsidR="00B722D5" w:rsidRPr="00683336">
        <w:rPr>
          <w:rFonts w:ascii="Arial" w:hAnsi="Arial" w:cs="Arial"/>
          <w:sz w:val="20"/>
          <w:szCs w:val="20"/>
        </w:rPr>
        <w:t>. It began with the power sector, w</w:t>
      </w:r>
      <w:r w:rsidRPr="00683336">
        <w:rPr>
          <w:rFonts w:ascii="Arial" w:hAnsi="Arial" w:cs="Arial"/>
          <w:sz w:val="20"/>
          <w:szCs w:val="20"/>
        </w:rPr>
        <w:t>hich alone accounts for over 40 per cent</w:t>
      </w:r>
      <w:r w:rsidR="00B722D5" w:rsidRPr="00683336">
        <w:rPr>
          <w:rFonts w:ascii="Arial" w:hAnsi="Arial" w:cs="Arial"/>
          <w:sz w:val="20"/>
          <w:szCs w:val="20"/>
        </w:rPr>
        <w:t xml:space="preserve"> of China’s emissions, and plans are in motion to expand into industries like steel, cement, and aluminum. This system is central to China's goal of reaching carbon neutrality by 2060 (ICAP, 2023).</w:t>
      </w:r>
      <w:r w:rsidRPr="00683336">
        <w:rPr>
          <w:rFonts w:ascii="Arial" w:hAnsi="Arial" w:cs="Arial"/>
          <w:sz w:val="20"/>
          <w:szCs w:val="20"/>
        </w:rPr>
        <w:t xml:space="preserve"> </w:t>
      </w:r>
      <w:r w:rsidR="00B722D5" w:rsidRPr="00683336">
        <w:rPr>
          <w:rFonts w:ascii="Arial" w:hAnsi="Arial" w:cs="Arial"/>
          <w:sz w:val="20"/>
          <w:szCs w:val="20"/>
        </w:rPr>
        <w:t xml:space="preserve">In the United States, the California Cap-and-Trade Program has been in place since 2013. It covers energy, manufacturing, and transportation fuels and is linked </w:t>
      </w:r>
      <w:r w:rsidRPr="00683336">
        <w:rPr>
          <w:rFonts w:ascii="Arial" w:hAnsi="Arial" w:cs="Arial"/>
          <w:sz w:val="20"/>
          <w:szCs w:val="20"/>
        </w:rPr>
        <w:t xml:space="preserve">with Québec’s program in Canada </w:t>
      </w:r>
      <w:r w:rsidR="00B722D5" w:rsidRPr="00683336">
        <w:rPr>
          <w:rFonts w:ascii="Arial" w:hAnsi="Arial" w:cs="Arial"/>
          <w:sz w:val="20"/>
          <w:szCs w:val="20"/>
        </w:rPr>
        <w:t>showing how local-level partnerships can help advance climate goals (CARB, 2022).</w:t>
      </w:r>
      <w:r w:rsidRPr="00683336">
        <w:rPr>
          <w:rFonts w:ascii="Arial" w:hAnsi="Arial" w:cs="Arial"/>
          <w:sz w:val="20"/>
          <w:szCs w:val="20"/>
        </w:rPr>
        <w:t xml:space="preserve"> </w:t>
      </w:r>
      <w:r w:rsidR="00B722D5" w:rsidRPr="00683336">
        <w:rPr>
          <w:rFonts w:ascii="Arial" w:hAnsi="Arial" w:cs="Arial"/>
          <w:sz w:val="20"/>
          <w:szCs w:val="20"/>
        </w:rPr>
        <w:t>Meanwhile, South Korea launched Asia’s first economy-wide ETS in 2015, and New Zealand</w:t>
      </w:r>
      <w:r w:rsidRPr="00683336">
        <w:rPr>
          <w:rFonts w:ascii="Arial" w:hAnsi="Arial" w:cs="Arial"/>
          <w:sz w:val="20"/>
          <w:szCs w:val="20"/>
        </w:rPr>
        <w:t xml:space="preserve"> a pioneer in carbon trading </w:t>
      </w:r>
      <w:r w:rsidR="00B722D5" w:rsidRPr="00683336">
        <w:rPr>
          <w:rFonts w:ascii="Arial" w:hAnsi="Arial" w:cs="Arial"/>
          <w:sz w:val="20"/>
          <w:szCs w:val="20"/>
        </w:rPr>
        <w:t>has continuously adapted its system to include sectors like forestry and agriculture, which are vital to its emissions profile (Ranson &amp; Stavins, 2016).</w:t>
      </w:r>
    </w:p>
    <w:p w14:paraId="4E861ECE" w14:textId="77777777" w:rsidR="00B722D5"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These examples show that emissions trading systems are highly adaptable</w:t>
      </w:r>
      <w:r w:rsidRPr="00683336">
        <w:rPr>
          <w:rFonts w:ascii="Arial" w:hAnsi="Arial" w:cs="Arial"/>
          <w:sz w:val="20"/>
          <w:szCs w:val="20"/>
        </w:rPr>
        <w:t xml:space="preserve">. When designed well </w:t>
      </w:r>
      <w:r w:rsidR="00B722D5" w:rsidRPr="00683336">
        <w:rPr>
          <w:rFonts w:ascii="Arial" w:hAnsi="Arial" w:cs="Arial"/>
          <w:sz w:val="20"/>
          <w:szCs w:val="20"/>
        </w:rPr>
        <w:t>with transparency, solid rules</w:t>
      </w:r>
      <w:r w:rsidRPr="00683336">
        <w:rPr>
          <w:rFonts w:ascii="Arial" w:hAnsi="Arial" w:cs="Arial"/>
          <w:sz w:val="20"/>
          <w:szCs w:val="20"/>
        </w:rPr>
        <w:t xml:space="preserve">, and wide sector participation, </w:t>
      </w:r>
      <w:r w:rsidR="00B722D5" w:rsidRPr="00683336">
        <w:rPr>
          <w:rFonts w:ascii="Arial" w:hAnsi="Arial" w:cs="Arial"/>
          <w:sz w:val="20"/>
          <w:szCs w:val="20"/>
        </w:rPr>
        <w:t>they can be powerful tools not just for hitting national climate targets, but also for attracting green investment, sparking innovation, and ensuring a fair and inclusive transition to a low-carbon future.</w:t>
      </w:r>
    </w:p>
    <w:p w14:paraId="0A58A858" w14:textId="77777777" w:rsidR="00743072" w:rsidRPr="00683336" w:rsidRDefault="00743072" w:rsidP="00683336">
      <w:pPr>
        <w:spacing w:line="240" w:lineRule="auto"/>
        <w:jc w:val="both"/>
        <w:rPr>
          <w:rFonts w:ascii="Arial" w:hAnsi="Arial" w:cs="Arial"/>
          <w:sz w:val="20"/>
          <w:szCs w:val="20"/>
        </w:rPr>
      </w:pPr>
    </w:p>
    <w:p w14:paraId="063EF3D7" w14:textId="77777777" w:rsidR="00523AA2" w:rsidRPr="00683336" w:rsidRDefault="00683336" w:rsidP="00683336">
      <w:pPr>
        <w:pStyle w:val="ListParagraph"/>
        <w:numPr>
          <w:ilvl w:val="0"/>
          <w:numId w:val="1"/>
        </w:numPr>
        <w:spacing w:before="100" w:beforeAutospacing="1" w:after="100" w:afterAutospacing="1" w:line="240" w:lineRule="auto"/>
        <w:ind w:left="360"/>
        <w:jc w:val="both"/>
        <w:outlineLvl w:val="2"/>
        <w:rPr>
          <w:rFonts w:ascii="Arial" w:eastAsia="Times New Roman" w:hAnsi="Arial" w:cs="Arial"/>
          <w:b/>
          <w:bCs/>
          <w:szCs w:val="20"/>
        </w:rPr>
      </w:pPr>
      <w:r w:rsidRPr="00683336">
        <w:rPr>
          <w:rFonts w:ascii="Arial" w:eastAsia="Times New Roman" w:hAnsi="Arial" w:cs="Arial"/>
          <w:b/>
          <w:bCs/>
          <w:szCs w:val="20"/>
        </w:rPr>
        <w:lastRenderedPageBreak/>
        <w:t>VOLUNTARY CARBON MARKET</w:t>
      </w:r>
    </w:p>
    <w:p w14:paraId="381D379A"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Not all climate action comes from government rules or mandates. In fact, many companies, organizations, and individuals are choosing to take action on their own. That’s where voluntary carbon markets (VCMs) </w:t>
      </w:r>
      <w:r w:rsidR="00B413F7" w:rsidRPr="00683336">
        <w:rPr>
          <w:rFonts w:ascii="Arial" w:hAnsi="Arial" w:cs="Arial"/>
          <w:sz w:val="20"/>
          <w:szCs w:val="20"/>
        </w:rPr>
        <w:t>is emerged</w:t>
      </w:r>
      <w:r w:rsidR="00523AA2" w:rsidRPr="00683336">
        <w:rPr>
          <w:rFonts w:ascii="Arial" w:hAnsi="Arial" w:cs="Arial"/>
          <w:sz w:val="20"/>
          <w:szCs w:val="20"/>
        </w:rPr>
        <w:t>. They give people a chance to offset their carbon footprint by supporting certified projects that reduce or remove greenhouse gases from the atmosphere. In doing so, they help expand participation in climate solutions, even when it’s not legally required (Donofrio et al., 2020).</w:t>
      </w:r>
      <w:r w:rsidRPr="00683336">
        <w:rPr>
          <w:rFonts w:ascii="Arial" w:hAnsi="Arial" w:cs="Arial"/>
          <w:sz w:val="20"/>
          <w:szCs w:val="20"/>
        </w:rPr>
        <w:t xml:space="preserve"> </w:t>
      </w:r>
      <w:r w:rsidR="00523AA2" w:rsidRPr="00683336">
        <w:rPr>
          <w:rFonts w:ascii="Arial" w:hAnsi="Arial" w:cs="Arial"/>
          <w:sz w:val="20"/>
          <w:szCs w:val="20"/>
        </w:rPr>
        <w:t>These markets are especially important because they bring non-state actors</w:t>
      </w:r>
      <w:r w:rsidRPr="00683336">
        <w:rPr>
          <w:rFonts w:ascii="Arial" w:hAnsi="Arial" w:cs="Arial"/>
          <w:sz w:val="20"/>
          <w:szCs w:val="20"/>
        </w:rPr>
        <w:t xml:space="preserve"> </w:t>
      </w:r>
      <w:r w:rsidR="00523AA2" w:rsidRPr="00683336">
        <w:rPr>
          <w:rFonts w:ascii="Arial" w:hAnsi="Arial" w:cs="Arial"/>
          <w:sz w:val="20"/>
          <w:szCs w:val="20"/>
        </w:rPr>
        <w:t>like b</w:t>
      </w:r>
      <w:r w:rsidRPr="00683336">
        <w:rPr>
          <w:rFonts w:ascii="Arial" w:hAnsi="Arial" w:cs="Arial"/>
          <w:sz w:val="20"/>
          <w:szCs w:val="20"/>
        </w:rPr>
        <w:t xml:space="preserve">usinesses and local communities </w:t>
      </w:r>
      <w:r w:rsidR="00523AA2" w:rsidRPr="00683336">
        <w:rPr>
          <w:rFonts w:ascii="Arial" w:hAnsi="Arial" w:cs="Arial"/>
          <w:sz w:val="20"/>
          <w:szCs w:val="20"/>
        </w:rPr>
        <w:t>into the fight against climate change, including in places and sectors that aren’t yet covered by official regulations.</w:t>
      </w:r>
    </w:p>
    <w:p w14:paraId="53EAE723"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TYPES AND STANDARDS OF PROJECTS</w:t>
      </w:r>
    </w:p>
    <w:p w14:paraId="75B1FB89"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There’s a wide range of project types that contribute to the voluntary carbon market, each taking a different approach to cutting emissions:</w:t>
      </w:r>
      <w:r w:rsidRPr="00683336">
        <w:rPr>
          <w:rFonts w:ascii="Arial" w:hAnsi="Arial" w:cs="Arial"/>
          <w:sz w:val="20"/>
          <w:szCs w:val="20"/>
        </w:rPr>
        <w:t xml:space="preserve"> </w:t>
      </w:r>
      <w:r w:rsidR="00523AA2" w:rsidRPr="00683336">
        <w:rPr>
          <w:rFonts w:ascii="Arial" w:hAnsi="Arial" w:cs="Arial"/>
          <w:sz w:val="20"/>
          <w:szCs w:val="20"/>
        </w:rPr>
        <w:t>Nature-based solutions focus on using natural systems to absorb carbon. This includes planting trees (afforestation and reforestation) and improving forest management practices.</w:t>
      </w:r>
      <w:r w:rsidRPr="00683336">
        <w:rPr>
          <w:rFonts w:ascii="Arial" w:hAnsi="Arial" w:cs="Arial"/>
          <w:sz w:val="20"/>
          <w:szCs w:val="20"/>
        </w:rPr>
        <w:t xml:space="preserve"> </w:t>
      </w:r>
      <w:r w:rsidR="00523AA2" w:rsidRPr="00683336">
        <w:rPr>
          <w:rFonts w:ascii="Arial" w:hAnsi="Arial" w:cs="Arial"/>
          <w:sz w:val="20"/>
          <w:szCs w:val="20"/>
        </w:rPr>
        <w:t>Renewable energy projects like solar panels and wind farms help reduce reliance on fossil fuels and lower carbon emissions.</w:t>
      </w:r>
      <w:r w:rsidRPr="00683336">
        <w:rPr>
          <w:rFonts w:ascii="Arial" w:hAnsi="Arial" w:cs="Arial"/>
          <w:sz w:val="20"/>
          <w:szCs w:val="20"/>
        </w:rPr>
        <w:t xml:space="preserve"> </w:t>
      </w:r>
      <w:r w:rsidR="00AA48C5" w:rsidRPr="00683336">
        <w:rPr>
          <w:rFonts w:ascii="Arial" w:hAnsi="Arial" w:cs="Arial"/>
          <w:sz w:val="20"/>
          <w:szCs w:val="20"/>
        </w:rPr>
        <w:t xml:space="preserve">Community-level projects </w:t>
      </w:r>
      <w:r w:rsidR="00523AA2" w:rsidRPr="00683336">
        <w:rPr>
          <w:rFonts w:ascii="Arial" w:hAnsi="Arial" w:cs="Arial"/>
          <w:sz w:val="20"/>
          <w:szCs w:val="20"/>
        </w:rPr>
        <w:t>such as distributing clean cook</w:t>
      </w:r>
      <w:r w:rsidRPr="00683336">
        <w:rPr>
          <w:rFonts w:ascii="Arial" w:hAnsi="Arial" w:cs="Arial"/>
          <w:sz w:val="20"/>
          <w:szCs w:val="20"/>
        </w:rPr>
        <w:t xml:space="preserve"> </w:t>
      </w:r>
      <w:r w:rsidR="00523AA2" w:rsidRPr="00683336">
        <w:rPr>
          <w:rFonts w:ascii="Arial" w:hAnsi="Arial" w:cs="Arial"/>
          <w:sz w:val="20"/>
          <w:szCs w:val="20"/>
        </w:rPr>
        <w:t>stoves or</w:t>
      </w:r>
      <w:r w:rsidRPr="00683336">
        <w:rPr>
          <w:rFonts w:ascii="Arial" w:hAnsi="Arial" w:cs="Arial"/>
          <w:sz w:val="20"/>
          <w:szCs w:val="20"/>
        </w:rPr>
        <w:t xml:space="preserve"> supporting sustainable farming </w:t>
      </w:r>
      <w:r w:rsidR="00523AA2" w:rsidRPr="00683336">
        <w:rPr>
          <w:rFonts w:ascii="Arial" w:hAnsi="Arial" w:cs="Arial"/>
          <w:sz w:val="20"/>
          <w:szCs w:val="20"/>
        </w:rPr>
        <w:t>cut emissions and improve local livelihoods at the same time.</w:t>
      </w:r>
      <w:r w:rsidRPr="00683336">
        <w:rPr>
          <w:rFonts w:ascii="Arial" w:hAnsi="Arial" w:cs="Arial"/>
          <w:sz w:val="20"/>
          <w:szCs w:val="20"/>
        </w:rPr>
        <w:t xml:space="preserve"> </w:t>
      </w:r>
      <w:r w:rsidR="00523AA2" w:rsidRPr="00683336">
        <w:rPr>
          <w:rFonts w:ascii="Arial" w:hAnsi="Arial" w:cs="Arial"/>
          <w:sz w:val="20"/>
          <w:szCs w:val="20"/>
        </w:rPr>
        <w:t>Methane capture from landfills or livestock operations is another powerful solution, as methane is one of the most harmful greenhouse gases.</w:t>
      </w:r>
    </w:p>
    <w:p w14:paraId="480B9E18" w14:textId="77777777" w:rsidR="00832A1E"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To make sure these projects actually deliver meaningful climate benefits, they need to meet rigorous standards set by trusted certification bodies. The most widely recognized are the Verified Carbon Standard (VCS) from Verra, the Gold Standard, and the Climate Action Reserve (CAR) (Forest Trends, 2023; Verra, 2022; Gold Standard, 2021).</w:t>
      </w:r>
    </w:p>
    <w:p w14:paraId="00BCEB25" w14:textId="77777777" w:rsidR="00523AA2" w:rsidRPr="00683336" w:rsidRDefault="00683336" w:rsidP="00683336">
      <w:pPr>
        <w:pStyle w:val="ListParagraph"/>
        <w:numPr>
          <w:ilvl w:val="1"/>
          <w:numId w:val="1"/>
        </w:numPr>
        <w:spacing w:line="240" w:lineRule="auto"/>
        <w:ind w:left="450"/>
        <w:jc w:val="both"/>
        <w:rPr>
          <w:rFonts w:ascii="Arial" w:hAnsi="Arial" w:cs="Arial"/>
          <w:b/>
          <w:szCs w:val="24"/>
        </w:rPr>
      </w:pPr>
      <w:r w:rsidRPr="00683336">
        <w:rPr>
          <w:rFonts w:ascii="Arial" w:hAnsi="Arial" w:cs="Arial"/>
          <w:b/>
          <w:szCs w:val="24"/>
        </w:rPr>
        <w:t>MARKET DYNAMICS AND TRENDS</w:t>
      </w:r>
    </w:p>
    <w:p w14:paraId="6A95978C"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In recent years, voluntary carbon markets have taken off, fueled by the global push for net-zero emissions, growing pressure from investors, and increased public demand for corporate climate action. In 2021 alone, the market for voluntary carbon credits surpassed $2 billion, helping offset hundreds of millions of </w:t>
      </w:r>
      <w:proofErr w:type="spellStart"/>
      <w:r w:rsidR="00523AA2" w:rsidRPr="00683336">
        <w:rPr>
          <w:rFonts w:ascii="Arial" w:hAnsi="Arial" w:cs="Arial"/>
          <w:sz w:val="20"/>
          <w:szCs w:val="20"/>
        </w:rPr>
        <w:t>tonnes</w:t>
      </w:r>
      <w:proofErr w:type="spellEnd"/>
      <w:r w:rsidRPr="00683336">
        <w:rPr>
          <w:rFonts w:ascii="Arial" w:hAnsi="Arial" w:cs="Arial"/>
          <w:sz w:val="20"/>
          <w:szCs w:val="20"/>
        </w:rPr>
        <w:t xml:space="preserve"> of emissions around the world </w:t>
      </w:r>
      <w:r w:rsidR="00523AA2" w:rsidRPr="00683336">
        <w:rPr>
          <w:rFonts w:ascii="Arial" w:hAnsi="Arial" w:cs="Arial"/>
          <w:sz w:val="20"/>
          <w:szCs w:val="20"/>
        </w:rPr>
        <w:t>a clear sign that environmental responsibility is becoming a central part of how companies do business (Ecosystem Marketplace, 2021).</w:t>
      </w:r>
    </w:p>
    <w:p w14:paraId="07E3BD0A"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Across industries, businesses are now integrating carbon credits into their broader sustainability strategies. While fully decarbonizing operations and supply chains can take time, voluntary carbon credits offer a practical interim solution</w:t>
      </w:r>
      <w:r w:rsidRPr="00683336">
        <w:rPr>
          <w:rFonts w:ascii="Arial" w:hAnsi="Arial" w:cs="Arial"/>
          <w:sz w:val="20"/>
          <w:szCs w:val="20"/>
        </w:rPr>
        <w:t xml:space="preserve"> </w:t>
      </w:r>
      <w:r w:rsidR="00523AA2" w:rsidRPr="00683336">
        <w:rPr>
          <w:rFonts w:ascii="Arial" w:hAnsi="Arial" w:cs="Arial"/>
          <w:sz w:val="20"/>
          <w:szCs w:val="20"/>
        </w:rPr>
        <w:t>allowing companies to tackle emissions that are currently hard to eliminate, all while supporting impactful climate projects worldwide (</w:t>
      </w:r>
      <w:proofErr w:type="spellStart"/>
      <w:r w:rsidR="00523AA2" w:rsidRPr="00683336">
        <w:rPr>
          <w:rFonts w:ascii="Arial" w:hAnsi="Arial" w:cs="Arial"/>
          <w:sz w:val="20"/>
          <w:szCs w:val="20"/>
        </w:rPr>
        <w:t>Blaufelder</w:t>
      </w:r>
      <w:proofErr w:type="spellEnd"/>
      <w:r w:rsidR="00523AA2" w:rsidRPr="00683336">
        <w:rPr>
          <w:rFonts w:ascii="Arial" w:hAnsi="Arial" w:cs="Arial"/>
          <w:sz w:val="20"/>
          <w:szCs w:val="20"/>
        </w:rPr>
        <w:t xml:space="preserve"> et al., 2021).</w:t>
      </w:r>
    </w:p>
    <w:p w14:paraId="46D7EC25"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As the market expands rapidly, so do concerns about its credibility and consistency. That’s where initiatives like the Taskforce on Scaling Voluntary Carbon Markets (TSVCM) and the Integrity Council for the Voluntary Carbon Market (ICVCM) step in. These organizations are working to strengthen the foundation of VCMs</w:t>
      </w:r>
      <w:r w:rsidRPr="00683336">
        <w:rPr>
          <w:rFonts w:ascii="Arial" w:hAnsi="Arial" w:cs="Arial"/>
          <w:sz w:val="20"/>
          <w:szCs w:val="20"/>
        </w:rPr>
        <w:t xml:space="preserve"> </w:t>
      </w:r>
      <w:r w:rsidR="00523AA2" w:rsidRPr="00683336">
        <w:rPr>
          <w:rFonts w:ascii="Arial" w:hAnsi="Arial" w:cs="Arial"/>
          <w:sz w:val="20"/>
          <w:szCs w:val="20"/>
        </w:rPr>
        <w:t>by promoting greater transparency, standardizing procedures, and safeguarding the environmental integrity of the credits being bought and sold (TSVCM, 2021; ICVCM, 2023).</w:t>
      </w:r>
    </w:p>
    <w:p w14:paraId="648B142B"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OBSTACLES AND OPPOSITION</w:t>
      </w:r>
    </w:p>
    <w:p w14:paraId="46918F76"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While voluntary carbon markets (VCMs) are growing fast and attracting attention, they also face a </w:t>
      </w:r>
      <w:r w:rsidR="002D53D8" w:rsidRPr="00683336">
        <w:rPr>
          <w:rFonts w:ascii="Arial" w:hAnsi="Arial" w:cs="Arial"/>
          <w:sz w:val="20"/>
          <w:szCs w:val="20"/>
        </w:rPr>
        <w:t>number</w:t>
      </w:r>
      <w:r w:rsidR="00523AA2" w:rsidRPr="00683336">
        <w:rPr>
          <w:rFonts w:ascii="Arial" w:hAnsi="Arial" w:cs="Arial"/>
          <w:sz w:val="20"/>
          <w:szCs w:val="20"/>
        </w:rPr>
        <w:t xml:space="preserve"> of serious challenges</w:t>
      </w:r>
      <w:r w:rsidRPr="00683336">
        <w:rPr>
          <w:rFonts w:ascii="Arial" w:hAnsi="Arial" w:cs="Arial"/>
          <w:sz w:val="20"/>
          <w:szCs w:val="20"/>
        </w:rPr>
        <w:t xml:space="preserve"> </w:t>
      </w:r>
      <w:r w:rsidR="00523AA2" w:rsidRPr="00683336">
        <w:rPr>
          <w:rFonts w:ascii="Arial" w:hAnsi="Arial" w:cs="Arial"/>
          <w:sz w:val="20"/>
          <w:szCs w:val="20"/>
        </w:rPr>
        <w:t>especially when it comes to ensuring credibility and earning public trust.</w:t>
      </w:r>
      <w:r w:rsidRPr="00683336">
        <w:rPr>
          <w:rFonts w:ascii="Arial" w:hAnsi="Arial" w:cs="Arial"/>
          <w:sz w:val="20"/>
          <w:szCs w:val="20"/>
        </w:rPr>
        <w:t xml:space="preserve"> </w:t>
      </w:r>
      <w:r w:rsidR="00523AA2" w:rsidRPr="00683336">
        <w:rPr>
          <w:rFonts w:ascii="Arial" w:hAnsi="Arial" w:cs="Arial"/>
          <w:sz w:val="20"/>
          <w:szCs w:val="20"/>
        </w:rPr>
        <w:t>One of the biggest concerns is additionality. For a carbon credit to be meaningful, the emissions reduction it represents must be something that wouldn’t have happened without the incentive from the credit. If a project would have moved forward anyway, then it’s n</w:t>
      </w:r>
      <w:r w:rsidRPr="00683336">
        <w:rPr>
          <w:rFonts w:ascii="Arial" w:hAnsi="Arial" w:cs="Arial"/>
          <w:sz w:val="20"/>
          <w:szCs w:val="20"/>
        </w:rPr>
        <w:t xml:space="preserve">ot really “offsetting” anything </w:t>
      </w:r>
      <w:r w:rsidR="00523AA2" w:rsidRPr="00683336">
        <w:rPr>
          <w:rFonts w:ascii="Arial" w:hAnsi="Arial" w:cs="Arial"/>
          <w:sz w:val="20"/>
          <w:szCs w:val="20"/>
        </w:rPr>
        <w:t>and that casts doubt on its actual climate benefit (Gillenwater, 2012; Schneider, 2009).</w:t>
      </w:r>
      <w:r w:rsidRPr="00683336">
        <w:rPr>
          <w:rFonts w:ascii="Arial" w:hAnsi="Arial" w:cs="Arial"/>
          <w:sz w:val="20"/>
          <w:szCs w:val="20"/>
        </w:rPr>
        <w:t xml:space="preserve"> </w:t>
      </w:r>
      <w:r w:rsidR="00523AA2" w:rsidRPr="00683336">
        <w:rPr>
          <w:rFonts w:ascii="Arial" w:hAnsi="Arial" w:cs="Arial"/>
          <w:sz w:val="20"/>
          <w:szCs w:val="20"/>
        </w:rPr>
        <w:t>Permanence is another sticking point, especially for nature-based projects like forest conservation and reforestation. These carbon sin</w:t>
      </w:r>
      <w:r w:rsidRPr="00683336">
        <w:rPr>
          <w:rFonts w:ascii="Arial" w:hAnsi="Arial" w:cs="Arial"/>
          <w:sz w:val="20"/>
          <w:szCs w:val="20"/>
        </w:rPr>
        <w:t xml:space="preserve">ks can be unexpectedly reversed </w:t>
      </w:r>
      <w:r w:rsidR="00523AA2" w:rsidRPr="00683336">
        <w:rPr>
          <w:rFonts w:ascii="Arial" w:hAnsi="Arial" w:cs="Arial"/>
          <w:sz w:val="20"/>
          <w:szCs w:val="20"/>
        </w:rPr>
        <w:t xml:space="preserve">by wildfires, disease outbreaks, </w:t>
      </w:r>
      <w:r w:rsidRPr="00683336">
        <w:rPr>
          <w:rFonts w:ascii="Arial" w:hAnsi="Arial" w:cs="Arial"/>
          <w:sz w:val="20"/>
          <w:szCs w:val="20"/>
        </w:rPr>
        <w:lastRenderedPageBreak/>
        <w:t xml:space="preserve">or even future land development </w:t>
      </w:r>
      <w:r w:rsidR="00523AA2" w:rsidRPr="00683336">
        <w:rPr>
          <w:rFonts w:ascii="Arial" w:hAnsi="Arial" w:cs="Arial"/>
          <w:sz w:val="20"/>
          <w:szCs w:val="20"/>
        </w:rPr>
        <w:t>erasing years of hard-earned progress (Cames et al., 2016).</w:t>
      </w:r>
      <w:r w:rsidRPr="00683336">
        <w:rPr>
          <w:rFonts w:ascii="Arial" w:hAnsi="Arial" w:cs="Arial"/>
          <w:sz w:val="20"/>
          <w:szCs w:val="20"/>
        </w:rPr>
        <w:t xml:space="preserve"> </w:t>
      </w:r>
      <w:r w:rsidR="00523AA2" w:rsidRPr="00683336">
        <w:rPr>
          <w:rFonts w:ascii="Arial" w:hAnsi="Arial" w:cs="Arial"/>
          <w:sz w:val="20"/>
          <w:szCs w:val="20"/>
        </w:rPr>
        <w:t>There’s also the issue of double counting, where the same emissions reduction might be claimed by both a project developer and a government for national targets. This muddles the math and weakens the reliability of climate accounting, particularly in international climate agreements (Prag et al., 2012).</w:t>
      </w:r>
    </w:p>
    <w:p w14:paraId="5939738A" w14:textId="77777777" w:rsidR="00523AA2" w:rsidRPr="00683336" w:rsidRDefault="00EE534B"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Adding to the complexity is the lack of consistency across standards and methods. Without a single regulatory body to oversee the entire VCM ecosystem, the quality, transparency, and credibility of carbon projects can vary dramatically. For buyers, this makes it difficult to know</w:t>
      </w:r>
      <w:r w:rsidRPr="00683336">
        <w:rPr>
          <w:rFonts w:ascii="Arial" w:hAnsi="Arial" w:cs="Arial"/>
          <w:sz w:val="20"/>
          <w:szCs w:val="20"/>
        </w:rPr>
        <w:t xml:space="preserve"> what they’re really paying for </w:t>
      </w:r>
      <w:r w:rsidR="00523AA2" w:rsidRPr="00683336">
        <w:rPr>
          <w:rFonts w:ascii="Arial" w:hAnsi="Arial" w:cs="Arial"/>
          <w:sz w:val="20"/>
          <w:szCs w:val="20"/>
        </w:rPr>
        <w:t>and for the public, it can raise concerns about whether the market is truly delivering on its promises (Lazarus et al., 2016; Broekhoff et al., 2019).</w:t>
      </w:r>
      <w:r w:rsidRPr="00683336">
        <w:rPr>
          <w:rFonts w:ascii="Arial" w:hAnsi="Arial" w:cs="Arial"/>
          <w:sz w:val="20"/>
          <w:szCs w:val="20"/>
        </w:rPr>
        <w:t xml:space="preserve"> </w:t>
      </w:r>
      <w:r w:rsidR="00523AA2" w:rsidRPr="00683336">
        <w:rPr>
          <w:rFonts w:ascii="Arial" w:hAnsi="Arial" w:cs="Arial"/>
          <w:sz w:val="20"/>
          <w:szCs w:val="20"/>
        </w:rPr>
        <w:t>But it’s not all doom and gloom. Reform is underway. Organizations like the Integrity Council for the Voluntary Carbon Market (ICVCM) and the Voluntary Carbon Markets Integrity Initiative (VCMI) are stepping in to develop common principles, tougher verification standards, and greater transparency.</w:t>
      </w:r>
    </w:p>
    <w:p w14:paraId="0C124E87" w14:textId="77777777" w:rsidR="00E97343" w:rsidRPr="00683336" w:rsidRDefault="00683336" w:rsidP="00683336">
      <w:pPr>
        <w:pStyle w:val="ListParagraph"/>
        <w:numPr>
          <w:ilvl w:val="0"/>
          <w:numId w:val="1"/>
        </w:numPr>
        <w:spacing w:line="240" w:lineRule="auto"/>
        <w:ind w:left="360"/>
        <w:jc w:val="both"/>
        <w:rPr>
          <w:rStyle w:val="red"/>
          <w:rFonts w:ascii="Arial" w:hAnsi="Arial" w:cs="Arial"/>
          <w:b/>
          <w:szCs w:val="20"/>
        </w:rPr>
      </w:pPr>
      <w:r w:rsidRPr="00683336">
        <w:rPr>
          <w:rStyle w:val="red"/>
          <w:rFonts w:ascii="Arial" w:hAnsi="Arial" w:cs="Arial"/>
          <w:b/>
          <w:szCs w:val="20"/>
        </w:rPr>
        <w:t xml:space="preserve">CARBON TRADING IN INDIA </w:t>
      </w:r>
    </w:p>
    <w:p w14:paraId="355B38E8" w14:textId="77777777" w:rsidR="00AA48C5" w:rsidRPr="00683336" w:rsidRDefault="00683336" w:rsidP="00683336">
      <w:pPr>
        <w:pStyle w:val="ListParagraph"/>
        <w:numPr>
          <w:ilvl w:val="1"/>
          <w:numId w:val="1"/>
        </w:numPr>
        <w:tabs>
          <w:tab w:val="left" w:pos="0"/>
        </w:tabs>
        <w:spacing w:line="240" w:lineRule="auto"/>
        <w:ind w:left="450"/>
        <w:jc w:val="both"/>
        <w:rPr>
          <w:rStyle w:val="red"/>
          <w:rFonts w:ascii="Arial" w:hAnsi="Arial" w:cs="Arial"/>
          <w:b/>
          <w:szCs w:val="20"/>
        </w:rPr>
      </w:pPr>
      <w:r w:rsidRPr="00683336">
        <w:rPr>
          <w:rFonts w:ascii="Arial" w:hAnsi="Arial" w:cs="Arial"/>
          <w:b/>
          <w:szCs w:val="20"/>
        </w:rPr>
        <w:t>INDIA’S ROLE IN THE COMPLIANCE MARKET</w:t>
      </w:r>
    </w:p>
    <w:p w14:paraId="07A2E80A" w14:textId="77777777" w:rsidR="00C53EB9" w:rsidRPr="00683336" w:rsidRDefault="006D6823" w:rsidP="00683336">
      <w:pPr>
        <w:spacing w:line="240" w:lineRule="auto"/>
        <w:jc w:val="both"/>
        <w:rPr>
          <w:rFonts w:ascii="Arial" w:hAnsi="Arial" w:cs="Arial"/>
          <w:b/>
          <w:sz w:val="20"/>
          <w:szCs w:val="20"/>
          <w:highlight w:val="yellow"/>
        </w:rPr>
      </w:pPr>
      <w:r w:rsidRPr="00683336">
        <w:rPr>
          <w:rFonts w:ascii="Arial" w:eastAsia="Times New Roman" w:hAnsi="Arial" w:cs="Arial"/>
          <w:sz w:val="20"/>
          <w:szCs w:val="20"/>
        </w:rPr>
        <w:tab/>
        <w:t>India is one of the leading countries in carbon credit trading, participating in both compliance and voluntary markets. The country has earned carbon credits by reducing emissions across fifteen sectors, including energy industries, energy distribution, manufacturing, chemical industry, construction, transport, metal production, mining and mineral production, afforestation and reforestation, and agriculture, forestry, and other land use (AFOLU), among others. Under the compliance market, the Clean Development Mechanism (CDM) was adopted by developing countries like India. The first CDM project from India an HFC-23 abatement project in Gujarat was registered in 2005. India was the leading developer of CDM projects until 2008, after which it was overtaken by China. A total of 3,023 projects</w:t>
      </w:r>
      <w:r w:rsidR="00832A1E" w:rsidRPr="00683336">
        <w:rPr>
          <w:rFonts w:ascii="Arial" w:eastAsia="Times New Roman" w:hAnsi="Arial" w:cs="Arial"/>
          <w:sz w:val="20"/>
          <w:szCs w:val="20"/>
        </w:rPr>
        <w:t xml:space="preserve"> (figure 4)</w:t>
      </w:r>
      <w:r w:rsidRPr="00683336">
        <w:rPr>
          <w:rFonts w:ascii="Arial" w:eastAsia="Times New Roman" w:hAnsi="Arial" w:cs="Arial"/>
          <w:sz w:val="20"/>
          <w:szCs w:val="20"/>
        </w:rPr>
        <w:t xml:space="preserve"> have been approved by the National CDM Authority (NCDMA). Maharashtra leads with 398 approved projects, followed by Gujarat with 391, and Tamil Nadu with 379. Maharashtra alone accounts for approximately 13 per cent of the total approved projects. </w:t>
      </w:r>
      <w:r w:rsidRPr="00683336">
        <w:rPr>
          <w:rFonts w:ascii="Arial" w:hAnsi="Arial" w:cs="Arial"/>
          <w:sz w:val="20"/>
          <w:szCs w:val="20"/>
        </w:rPr>
        <w:t>Most of the carbon offset projects in India are focused on energy generation (Solar, wind, Hydro, biogas etc.).</w:t>
      </w:r>
      <w:r w:rsidRPr="00683336">
        <w:rPr>
          <w:rFonts w:ascii="Arial" w:eastAsia="Times New Roman" w:hAnsi="Arial" w:cs="Arial"/>
          <w:sz w:val="20"/>
          <w:szCs w:val="20"/>
        </w:rPr>
        <w:t xml:space="preserve">These efforts form a crucial part of India's broader strategy to reach net-zero emissions by 2070 </w:t>
      </w:r>
      <w:r w:rsidRPr="00683336">
        <w:rPr>
          <w:rStyle w:val="red"/>
          <w:rFonts w:ascii="Arial" w:hAnsi="Arial" w:cs="Arial"/>
          <w:sz w:val="20"/>
          <w:szCs w:val="20"/>
        </w:rPr>
        <w:t xml:space="preserve">(BEE, 2023; </w:t>
      </w:r>
      <w:proofErr w:type="spellStart"/>
      <w:r w:rsidRPr="00683336">
        <w:rPr>
          <w:rStyle w:val="red"/>
          <w:rFonts w:ascii="Arial" w:hAnsi="Arial" w:cs="Arial"/>
          <w:sz w:val="20"/>
          <w:szCs w:val="20"/>
        </w:rPr>
        <w:t>MoEFCC</w:t>
      </w:r>
      <w:proofErr w:type="spellEnd"/>
      <w:r w:rsidRPr="00683336">
        <w:rPr>
          <w:rStyle w:val="red"/>
          <w:rFonts w:ascii="Arial" w:hAnsi="Arial" w:cs="Arial"/>
          <w:sz w:val="20"/>
          <w:szCs w:val="20"/>
        </w:rPr>
        <w:t>, 2022)</w:t>
      </w:r>
      <w:r w:rsidRPr="00683336">
        <w:rPr>
          <w:rFonts w:ascii="Arial" w:eastAsia="Times New Roman" w:hAnsi="Arial" w:cs="Arial"/>
          <w:sz w:val="20"/>
          <w:szCs w:val="20"/>
        </w:rPr>
        <w:t>.</w:t>
      </w:r>
    </w:p>
    <w:p w14:paraId="0FAC6D40" w14:textId="77777777" w:rsidR="00832A1E" w:rsidRPr="00683336" w:rsidRDefault="000B30E9" w:rsidP="00683336">
      <w:pPr>
        <w:spacing w:line="240" w:lineRule="auto"/>
        <w:jc w:val="both"/>
        <w:rPr>
          <w:rFonts w:ascii="Arial" w:hAnsi="Arial" w:cs="Arial"/>
          <w:b/>
          <w:color w:val="FF0000"/>
          <w:sz w:val="20"/>
          <w:szCs w:val="20"/>
        </w:rPr>
      </w:pPr>
      <w:r w:rsidRPr="00683336">
        <w:rPr>
          <w:rFonts w:ascii="Arial" w:hAnsi="Arial" w:cs="Arial"/>
          <w:b/>
          <w:noProof/>
          <w:color w:val="FF0000"/>
          <w:sz w:val="20"/>
          <w:szCs w:val="20"/>
        </w:rPr>
        <w:drawing>
          <wp:inline distT="0" distB="0" distL="0" distR="0" wp14:anchorId="7C36545E" wp14:editId="4B4F9242">
            <wp:extent cx="5936831" cy="3968151"/>
            <wp:effectExtent l="19050" t="0" r="258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E7EAC4" w14:textId="77777777" w:rsidR="00AA48C5" w:rsidRPr="00743072" w:rsidRDefault="00743072" w:rsidP="00683336">
      <w:pPr>
        <w:pStyle w:val="ListParagraph"/>
        <w:numPr>
          <w:ilvl w:val="1"/>
          <w:numId w:val="1"/>
        </w:numPr>
        <w:spacing w:line="240" w:lineRule="auto"/>
        <w:ind w:left="450"/>
        <w:jc w:val="both"/>
        <w:rPr>
          <w:rFonts w:ascii="Arial" w:hAnsi="Arial" w:cs="Arial"/>
          <w:b/>
        </w:rPr>
      </w:pPr>
      <w:r w:rsidRPr="00743072">
        <w:rPr>
          <w:rFonts w:ascii="Arial" w:hAnsi="Arial" w:cs="Arial"/>
          <w:b/>
        </w:rPr>
        <w:lastRenderedPageBreak/>
        <w:t>INDIA’S ROLE IN THE VOLUNTARY MARKET</w:t>
      </w:r>
    </w:p>
    <w:p w14:paraId="30265C16" w14:textId="77777777" w:rsidR="00AA48C5" w:rsidRPr="00683336" w:rsidRDefault="00AA48C5" w:rsidP="00683336">
      <w:pPr>
        <w:spacing w:line="240" w:lineRule="auto"/>
        <w:jc w:val="both"/>
        <w:rPr>
          <w:rFonts w:ascii="Arial" w:hAnsi="Arial" w:cs="Arial"/>
          <w:sz w:val="20"/>
          <w:szCs w:val="20"/>
        </w:rPr>
      </w:pPr>
      <w:r w:rsidRPr="00683336">
        <w:rPr>
          <w:rFonts w:ascii="Arial" w:hAnsi="Arial" w:cs="Arial"/>
          <w:sz w:val="20"/>
          <w:szCs w:val="20"/>
        </w:rPr>
        <w:tab/>
        <w:t>India is also stepping into the spotlight. With a strong pipeline of project-based credits especially in renewable energy, energy efficiency, and afforestation many rooted in the earlier Clean Development Mechanism (CDM), India is fast becoming a major supplier of high-quality carbon credits. Nature-based and community-focused projects are gaining traction, appealing to international buyers looking for meaningful and sustainable climate investments.</w:t>
      </w:r>
    </w:p>
    <w:p w14:paraId="4AA78DA3" w14:textId="77777777" w:rsidR="00AA48C5" w:rsidRPr="00683336" w:rsidRDefault="00AA48C5" w:rsidP="00683336">
      <w:pPr>
        <w:spacing w:line="240" w:lineRule="auto"/>
        <w:jc w:val="both"/>
        <w:rPr>
          <w:rFonts w:ascii="Arial" w:hAnsi="Arial" w:cs="Arial"/>
          <w:sz w:val="20"/>
          <w:szCs w:val="20"/>
        </w:rPr>
      </w:pPr>
      <w:r w:rsidRPr="00683336">
        <w:rPr>
          <w:rFonts w:ascii="Arial" w:hAnsi="Arial" w:cs="Arial"/>
          <w:sz w:val="20"/>
          <w:szCs w:val="20"/>
        </w:rPr>
        <w:tab/>
        <w:t>At the same time, Indian companies, particularly those in IT, manufacturing, and infrastructure, are starting to explore voluntary offsets to meet ESG (Environmental, Social, and Governance) expectations and build resilient, sustainable operations (BEE, 2023). The upcoming Carbon Credit Trading Scheme (CCTS), which aims to bring together voluntary and compliance markets, could give India’s carbon credit ecosystem an even bigger boost in the coming years.</w:t>
      </w:r>
    </w:p>
    <w:p w14:paraId="18F1714C" w14:textId="77777777" w:rsidR="00AA48C5" w:rsidRPr="00683336" w:rsidRDefault="00AA48C5" w:rsidP="00683336">
      <w:pPr>
        <w:spacing w:line="240" w:lineRule="auto"/>
        <w:jc w:val="both"/>
        <w:rPr>
          <w:rStyle w:val="red"/>
          <w:rFonts w:ascii="Arial" w:hAnsi="Arial" w:cs="Arial"/>
          <w:sz w:val="20"/>
          <w:szCs w:val="20"/>
        </w:rPr>
      </w:pPr>
      <w:r w:rsidRPr="00683336">
        <w:rPr>
          <w:rFonts w:ascii="Arial" w:hAnsi="Arial" w:cs="Arial"/>
          <w:sz w:val="20"/>
          <w:szCs w:val="20"/>
        </w:rPr>
        <w:tab/>
        <w:t>Together, these developments highlight how voluntary markets are evolving from optional extras to strategic tools playing a key role in global decarbonization efforts while offering a bridge toward deeper and more permanent emission cuts.</w:t>
      </w:r>
    </w:p>
    <w:p w14:paraId="0194243D" w14:textId="77777777" w:rsidR="006D6823" w:rsidRPr="00743072" w:rsidRDefault="00743072" w:rsidP="00683336">
      <w:pPr>
        <w:pStyle w:val="ListParagraph"/>
        <w:numPr>
          <w:ilvl w:val="0"/>
          <w:numId w:val="1"/>
        </w:numPr>
        <w:spacing w:line="240" w:lineRule="auto"/>
        <w:ind w:left="360"/>
        <w:jc w:val="both"/>
        <w:rPr>
          <w:rStyle w:val="red"/>
          <w:rFonts w:ascii="Arial" w:hAnsi="Arial" w:cs="Arial"/>
          <w:szCs w:val="20"/>
        </w:rPr>
      </w:pPr>
      <w:r w:rsidRPr="00743072">
        <w:rPr>
          <w:rStyle w:val="red"/>
          <w:rFonts w:ascii="Arial" w:hAnsi="Arial" w:cs="Arial"/>
          <w:b/>
          <w:szCs w:val="20"/>
        </w:rPr>
        <w:t>CONCLUSION</w:t>
      </w:r>
    </w:p>
    <w:p w14:paraId="2B3EF168" w14:textId="77777777" w:rsidR="00E97343"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6D6823" w:rsidRPr="00683336">
        <w:rPr>
          <w:rFonts w:ascii="Arial" w:eastAsia="Times New Roman" w:hAnsi="Arial" w:cs="Arial"/>
          <w:sz w:val="20"/>
          <w:szCs w:val="20"/>
        </w:rPr>
        <w:t>Both compliance and voluntary carbon markets play vital roles in the global fight against climate change. Compliance markets are built on regulations and mandatory targets, while voluntary markets give companies, communities, and individuals the chance to go above and beyond, showing real climate leadership. Of course, neither system is perfect. Issues like additionality the question of whether carbon reductions would have happened anyway and market fragmentation continue to pose challenges. But both markets are learning, evolving, and adapting to the changing climate landscape. When backed by transparency, integrity, and fairness, these two approaches can work hand in hand, offering powerful pathways toward a low-carbon, more sustainable future.</w:t>
      </w:r>
    </w:p>
    <w:p w14:paraId="4317F6B9" w14:textId="77777777" w:rsidR="005B5DA5" w:rsidRDefault="005B5DA5" w:rsidP="00683336">
      <w:pPr>
        <w:spacing w:before="100" w:beforeAutospacing="1" w:after="100" w:afterAutospacing="1" w:line="240" w:lineRule="auto"/>
        <w:jc w:val="both"/>
        <w:rPr>
          <w:rFonts w:ascii="Arial" w:eastAsia="Times New Roman" w:hAnsi="Arial" w:cs="Arial"/>
          <w:sz w:val="20"/>
          <w:szCs w:val="20"/>
        </w:rPr>
      </w:pPr>
    </w:p>
    <w:p w14:paraId="28BFF3EE" w14:textId="77777777" w:rsidR="005F67AA" w:rsidRPr="00743072" w:rsidRDefault="00743072" w:rsidP="00683336">
      <w:pPr>
        <w:pStyle w:val="ListParagraph"/>
        <w:numPr>
          <w:ilvl w:val="0"/>
          <w:numId w:val="1"/>
        </w:numPr>
        <w:spacing w:line="240" w:lineRule="auto"/>
        <w:ind w:left="360"/>
        <w:jc w:val="both"/>
        <w:rPr>
          <w:rFonts w:ascii="Arial" w:hAnsi="Arial" w:cs="Arial"/>
          <w:b/>
          <w:szCs w:val="20"/>
        </w:rPr>
      </w:pPr>
      <w:r w:rsidRPr="00743072">
        <w:rPr>
          <w:rFonts w:ascii="Arial" w:hAnsi="Arial" w:cs="Arial"/>
          <w:b/>
          <w:szCs w:val="20"/>
        </w:rPr>
        <w:t>REFERENCE</w:t>
      </w:r>
    </w:p>
    <w:p w14:paraId="66FDCBEF"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BEE (2023). Carbon Credit Trading Scheme (CCTS). Bureau of Energy Efficiency, Ministry of Power, Government of India. </w:t>
      </w:r>
      <w:hyperlink r:id="rId15" w:tgtFrame="_new" w:history="1">
        <w:r w:rsidRPr="00683336">
          <w:rPr>
            <w:rStyle w:val="Hyperlink"/>
            <w:rFonts w:ascii="Arial" w:hAnsi="Arial" w:cs="Arial"/>
            <w:sz w:val="20"/>
            <w:szCs w:val="20"/>
          </w:rPr>
          <w:t>https://beeindia.gov.in</w:t>
        </w:r>
      </w:hyperlink>
    </w:p>
    <w:p w14:paraId="3185898C"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Blaufelder</w:t>
      </w:r>
      <w:proofErr w:type="spellEnd"/>
      <w:r w:rsidRPr="00683336">
        <w:rPr>
          <w:rFonts w:ascii="Arial" w:hAnsi="Arial" w:cs="Arial"/>
          <w:sz w:val="20"/>
          <w:szCs w:val="20"/>
        </w:rPr>
        <w:t xml:space="preserve">, C., Levy, C., Mannion, P., &amp; Pinner, D. (2021). A blueprint for scaling voluntary carbon markets to meet the climate challenge. McKinsey &amp; Company. </w:t>
      </w:r>
      <w:hyperlink r:id="rId16" w:tgtFrame="_new" w:history="1">
        <w:r w:rsidRPr="00683336">
          <w:rPr>
            <w:rStyle w:val="Hyperlink"/>
            <w:rFonts w:ascii="Arial" w:hAnsi="Arial" w:cs="Arial"/>
            <w:sz w:val="20"/>
            <w:szCs w:val="20"/>
          </w:rPr>
          <w:t>https://www.mckinsey.com</w:t>
        </w:r>
      </w:hyperlink>
    </w:p>
    <w:p w14:paraId="6AFA8970" w14:textId="77777777" w:rsidR="005F67AA" w:rsidRPr="00683336" w:rsidRDefault="005F67AA" w:rsidP="00683336">
      <w:pPr>
        <w:spacing w:after="0" w:line="240" w:lineRule="auto"/>
        <w:ind w:left="720" w:hanging="720"/>
        <w:jc w:val="both"/>
        <w:rPr>
          <w:rFonts w:ascii="Arial" w:hAnsi="Arial" w:cs="Arial"/>
          <w:sz w:val="20"/>
          <w:szCs w:val="20"/>
          <w:shd w:val="clear" w:color="auto" w:fill="FFFFFF"/>
        </w:rPr>
      </w:pPr>
      <w:r w:rsidRPr="00683336">
        <w:rPr>
          <w:rFonts w:ascii="Arial" w:hAnsi="Arial" w:cs="Arial"/>
          <w:sz w:val="20"/>
          <w:szCs w:val="20"/>
          <w:shd w:val="clear" w:color="auto" w:fill="FFFFFF"/>
        </w:rPr>
        <w:t xml:space="preserve">Boyd, E., Hultman, N., Roberts, J. T., Corbera, E., Cole, J., </w:t>
      </w:r>
      <w:proofErr w:type="spellStart"/>
      <w:r w:rsidRPr="00683336">
        <w:rPr>
          <w:rFonts w:ascii="Arial" w:hAnsi="Arial" w:cs="Arial"/>
          <w:sz w:val="20"/>
          <w:szCs w:val="20"/>
          <w:shd w:val="clear" w:color="auto" w:fill="FFFFFF"/>
        </w:rPr>
        <w:t>Bozmoski</w:t>
      </w:r>
      <w:proofErr w:type="spellEnd"/>
      <w:r w:rsidRPr="00683336">
        <w:rPr>
          <w:rFonts w:ascii="Arial" w:hAnsi="Arial" w:cs="Arial"/>
          <w:sz w:val="20"/>
          <w:szCs w:val="20"/>
          <w:shd w:val="clear" w:color="auto" w:fill="FFFFFF"/>
        </w:rPr>
        <w:t>, A., ... &amp; Liverman, D. M. (2009). Reforming the CDM for sustainable development: lessons learned and policy futures. </w:t>
      </w:r>
      <w:r w:rsidRPr="00683336">
        <w:rPr>
          <w:rFonts w:ascii="Arial" w:hAnsi="Arial" w:cs="Arial"/>
          <w:i/>
          <w:iCs/>
          <w:sz w:val="20"/>
          <w:szCs w:val="20"/>
          <w:shd w:val="clear" w:color="auto" w:fill="FFFFFF"/>
        </w:rPr>
        <w:t>Environmental science &amp; policy</w:t>
      </w:r>
      <w:r w:rsidRPr="00683336">
        <w:rPr>
          <w:rFonts w:ascii="Arial" w:hAnsi="Arial" w:cs="Arial"/>
          <w:sz w:val="20"/>
          <w:szCs w:val="20"/>
          <w:shd w:val="clear" w:color="auto" w:fill="FFFFFF"/>
        </w:rPr>
        <w:t>, </w:t>
      </w:r>
      <w:r w:rsidRPr="00683336">
        <w:rPr>
          <w:rFonts w:ascii="Arial" w:hAnsi="Arial" w:cs="Arial"/>
          <w:i/>
          <w:iCs/>
          <w:sz w:val="20"/>
          <w:szCs w:val="20"/>
          <w:shd w:val="clear" w:color="auto" w:fill="FFFFFF"/>
        </w:rPr>
        <w:t>12</w:t>
      </w:r>
      <w:r w:rsidRPr="00683336">
        <w:rPr>
          <w:rFonts w:ascii="Arial" w:hAnsi="Arial" w:cs="Arial"/>
          <w:sz w:val="20"/>
          <w:szCs w:val="20"/>
          <w:shd w:val="clear" w:color="auto" w:fill="FFFFFF"/>
        </w:rPr>
        <w:t>(7), 820-831.</w:t>
      </w:r>
    </w:p>
    <w:p w14:paraId="287775C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Broekhoff, D., Gillenwater, M., Colbert-Sangree, T., &amp; Cage, P. (2019). Securing Climate Benefit: A Guide to Using Carbon Offsets. Stockholm Environment Institute. </w:t>
      </w:r>
      <w:hyperlink r:id="rId17" w:tgtFrame="_new" w:history="1">
        <w:r w:rsidRPr="00683336">
          <w:rPr>
            <w:rStyle w:val="Hyperlink"/>
            <w:rFonts w:ascii="Arial" w:hAnsi="Arial" w:cs="Arial"/>
            <w:sz w:val="20"/>
            <w:szCs w:val="20"/>
          </w:rPr>
          <w:t>https://www.sei.org</w:t>
        </w:r>
      </w:hyperlink>
    </w:p>
    <w:p w14:paraId="09ED9F39"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Cames, M., Harthan, R. O., </w:t>
      </w:r>
      <w:proofErr w:type="spellStart"/>
      <w:r w:rsidRPr="00683336">
        <w:rPr>
          <w:rFonts w:ascii="Arial" w:hAnsi="Arial" w:cs="Arial"/>
          <w:sz w:val="20"/>
          <w:szCs w:val="20"/>
        </w:rPr>
        <w:t>Füssler</w:t>
      </w:r>
      <w:proofErr w:type="spellEnd"/>
      <w:r w:rsidRPr="00683336">
        <w:rPr>
          <w:rFonts w:ascii="Arial" w:hAnsi="Arial" w:cs="Arial"/>
          <w:sz w:val="20"/>
          <w:szCs w:val="20"/>
        </w:rPr>
        <w:t xml:space="preserve">, J., Lazarus, M., Lee, C. M., Erickson, P., &amp; Spalding-Fecher, R. (2016). How additional is the Clean Development Mechanism? </w:t>
      </w:r>
      <w:proofErr w:type="spellStart"/>
      <w:r w:rsidRPr="00683336">
        <w:rPr>
          <w:rFonts w:ascii="Arial" w:hAnsi="Arial" w:cs="Arial"/>
          <w:sz w:val="20"/>
          <w:szCs w:val="20"/>
        </w:rPr>
        <w:t>Öko-Institut</w:t>
      </w:r>
      <w:proofErr w:type="spellEnd"/>
      <w:r w:rsidRPr="00683336">
        <w:rPr>
          <w:rFonts w:ascii="Arial" w:hAnsi="Arial" w:cs="Arial"/>
          <w:sz w:val="20"/>
          <w:szCs w:val="20"/>
        </w:rPr>
        <w:t xml:space="preserve"> </w:t>
      </w:r>
      <w:proofErr w:type="spellStart"/>
      <w:r w:rsidRPr="00683336">
        <w:rPr>
          <w:rFonts w:ascii="Arial" w:hAnsi="Arial" w:cs="Arial"/>
          <w:sz w:val="20"/>
          <w:szCs w:val="20"/>
        </w:rPr>
        <w:t>e.V.</w:t>
      </w:r>
      <w:proofErr w:type="spellEnd"/>
      <w:r w:rsidRPr="00683336">
        <w:rPr>
          <w:rFonts w:ascii="Arial" w:hAnsi="Arial" w:cs="Arial"/>
          <w:sz w:val="20"/>
          <w:szCs w:val="20"/>
        </w:rPr>
        <w:t xml:space="preserve"> </w:t>
      </w:r>
      <w:hyperlink r:id="rId18" w:history="1">
        <w:r w:rsidRPr="00683336">
          <w:rPr>
            <w:rStyle w:val="Hyperlink"/>
            <w:rFonts w:ascii="Arial" w:hAnsi="Arial" w:cs="Arial"/>
            <w:sz w:val="20"/>
            <w:szCs w:val="20"/>
          </w:rPr>
          <w:t>https://ec.europa.eu/clima/sites/clima/files/ets/docs/clean_dev mechanism en.pdf</w:t>
        </w:r>
      </w:hyperlink>
    </w:p>
    <w:p w14:paraId="7C01F7F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CARB (2022). California Cap-and-Trade Program. California Air Resources Board. </w:t>
      </w:r>
      <w:hyperlink r:id="rId19" w:history="1">
        <w:r w:rsidRPr="00683336">
          <w:rPr>
            <w:rStyle w:val="Hyperlink"/>
            <w:rFonts w:ascii="Arial" w:hAnsi="Arial" w:cs="Arial"/>
            <w:sz w:val="20"/>
            <w:szCs w:val="20"/>
          </w:rPr>
          <w:t>https://ww2.arb.ca.gov/our-work/programs/cap-and-trade-program</w:t>
        </w:r>
      </w:hyperlink>
    </w:p>
    <w:p w14:paraId="7292A9A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Climate Watch (2023) – with major processing by Our World in Data. “Buildings” [dataset]. Climate Watch, “Greenhouse gas emissions by sector” [original data].</w:t>
      </w:r>
    </w:p>
    <w:p w14:paraId="7F834D4C"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Defra, (2023), "Overview of greenhouse gases - Defra, UK".  </w:t>
      </w:r>
    </w:p>
    <w:p w14:paraId="6B39508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Donofrio, S., Maguire, P., &amp; Zwick, S. (2020). Voluntary carbon and the post-pandemic recovery. Forest Trends’ Ecosystem Marketplace.</w:t>
      </w:r>
    </w:p>
    <w:p w14:paraId="10D2FE8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Ecosystem Marketplace (2021). Voluntary Carbon Markets Outlook 2021. Forest Trends. </w:t>
      </w:r>
      <w:hyperlink r:id="rId20" w:tgtFrame="_new" w:history="1">
        <w:r w:rsidRPr="00683336">
          <w:rPr>
            <w:rStyle w:val="Hyperlink"/>
            <w:rFonts w:ascii="Arial" w:hAnsi="Arial" w:cs="Arial"/>
            <w:sz w:val="20"/>
            <w:szCs w:val="20"/>
          </w:rPr>
          <w:t>https://www.ecosystemmarketplace.com</w:t>
        </w:r>
      </w:hyperlink>
    </w:p>
    <w:p w14:paraId="097B061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Ellerman, A. D., &amp; Buchner, B. K. (2007). The European Union Emissions Trading Scheme: Origins, allocation, and early results. Review of Environmental Economics and Policy, 1(1), 66–87. </w:t>
      </w:r>
      <w:hyperlink r:id="rId21" w:tgtFrame="_new" w:history="1">
        <w:r w:rsidRPr="00683336">
          <w:rPr>
            <w:rStyle w:val="Hyperlink"/>
            <w:rFonts w:ascii="Arial" w:hAnsi="Arial" w:cs="Arial"/>
            <w:sz w:val="20"/>
            <w:szCs w:val="20"/>
          </w:rPr>
          <w:t>https://doi.org/10.1093/reep/rem003</w:t>
        </w:r>
      </w:hyperlink>
    </w:p>
    <w:p w14:paraId="4FA4742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Ellerman, A. D., Convery, F. J., &amp; De </w:t>
      </w:r>
      <w:proofErr w:type="spellStart"/>
      <w:r w:rsidRPr="00683336">
        <w:rPr>
          <w:rFonts w:ascii="Arial" w:hAnsi="Arial" w:cs="Arial"/>
          <w:sz w:val="20"/>
          <w:szCs w:val="20"/>
        </w:rPr>
        <w:t>Perthuis</w:t>
      </w:r>
      <w:proofErr w:type="spellEnd"/>
      <w:r w:rsidRPr="00683336">
        <w:rPr>
          <w:rFonts w:ascii="Arial" w:hAnsi="Arial" w:cs="Arial"/>
          <w:sz w:val="20"/>
          <w:szCs w:val="20"/>
        </w:rPr>
        <w:t xml:space="preserve">, C. (2010). Pricing Carbon: The European Union Emissions Trading Scheme. Cambridge University Press. </w:t>
      </w:r>
      <w:hyperlink r:id="rId22" w:history="1">
        <w:r w:rsidRPr="00683336">
          <w:rPr>
            <w:rStyle w:val="Hyperlink"/>
            <w:rFonts w:ascii="Arial" w:hAnsi="Arial" w:cs="Arial"/>
            <w:sz w:val="20"/>
            <w:szCs w:val="20"/>
          </w:rPr>
          <w:t>https://doi.org/10.1017 /CBO9780511760803</w:t>
        </w:r>
      </w:hyperlink>
    </w:p>
    <w:p w14:paraId="7309861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lastRenderedPageBreak/>
        <w:t xml:space="preserve">European Commission. (2022). EU Emissions Trading System (EU ETS). </w:t>
      </w:r>
      <w:hyperlink w:history="1">
        <w:r w:rsidRPr="00683336">
          <w:rPr>
            <w:rStyle w:val="Hyperlink"/>
            <w:rFonts w:ascii="Arial" w:hAnsi="Arial" w:cs="Arial"/>
            <w:sz w:val="20"/>
            <w:szCs w:val="20"/>
          </w:rPr>
          <w:t>https://climate.ec. europa.eu/eu-action/eu-emissions-trading-system-eu-ets_en</w:t>
        </w:r>
      </w:hyperlink>
    </w:p>
    <w:p w14:paraId="4F69EC7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European Commission. (2023). EU carbon market continues to deliver emission reductions </w:t>
      </w:r>
      <w:hyperlink r:id="rId23" w:tgtFrame="_new" w:history="1">
        <w:r w:rsidRPr="00683336">
          <w:rPr>
            <w:rStyle w:val="Hyperlink"/>
            <w:rFonts w:ascii="Arial" w:hAnsi="Arial" w:cs="Arial"/>
            <w:sz w:val="20"/>
            <w:szCs w:val="20"/>
          </w:rPr>
          <w:t>https://climate.ec.europa.eu/eu-action/eu-emissions-trading-system-eu-ets_en</w:t>
        </w:r>
      </w:hyperlink>
    </w:p>
    <w:p w14:paraId="2DA2198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European Environment Agency. (2021). Trends and projections in the EU ETS. </w:t>
      </w:r>
      <w:hyperlink r:id="rId24" w:tgtFrame="_new" w:history="1">
        <w:r w:rsidRPr="00683336">
          <w:rPr>
            <w:rStyle w:val="Hyperlink"/>
            <w:rFonts w:ascii="Arial" w:hAnsi="Arial" w:cs="Arial"/>
            <w:sz w:val="20"/>
            <w:szCs w:val="20"/>
          </w:rPr>
          <w:t>https://www.eea.europa.eu</w:t>
        </w:r>
      </w:hyperlink>
    </w:p>
    <w:p w14:paraId="3EB9362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Forest Trends. (2023). Voluntary Carbon Market Insights. https://www.forest-trends.org/</w:t>
      </w:r>
    </w:p>
    <w:p w14:paraId="625ED978"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Gavin Schmidt (2010). "Taking the Measure of the Greenhouse Effect". NASA Goddard Institute for Space Studies – Science Briefs</w:t>
      </w:r>
    </w:p>
    <w:p w14:paraId="6BC9BAFD"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Gillenwater, M. (2012). What is additionality? Part 1: A long-standing problem. Greenhouse Gas Management Institute.</w:t>
      </w:r>
    </w:p>
    <w:p w14:paraId="3517796B" w14:textId="77777777" w:rsidR="005F67AA" w:rsidRPr="00683336" w:rsidRDefault="005F67AA" w:rsidP="00683336">
      <w:pPr>
        <w:pStyle w:val="HTMLPreformatted"/>
        <w:ind w:left="720" w:hanging="720"/>
        <w:jc w:val="both"/>
        <w:rPr>
          <w:rFonts w:ascii="Arial" w:hAnsi="Arial" w:cs="Arial"/>
        </w:rPr>
      </w:pPr>
      <w:r w:rsidRPr="00683336">
        <w:rPr>
          <w:rStyle w:val="HTMLCode"/>
          <w:rFonts w:ascii="Arial" w:hAnsi="Arial" w:cs="Arial"/>
        </w:rPr>
        <w:t>Global Carbon Budget (2023) – with major processing by Our World in Data. “Annual CO</w:t>
      </w:r>
      <w:r w:rsidRPr="00683336">
        <w:rPr>
          <w:rStyle w:val="HTMLCode"/>
          <w:rFonts w:ascii="Cambria Math" w:hAnsi="Cambria Math" w:cs="Arial"/>
        </w:rPr>
        <w:t>₂</w:t>
      </w:r>
      <w:r w:rsidRPr="00683336">
        <w:rPr>
          <w:rStyle w:val="HTMLCode"/>
          <w:rFonts w:ascii="Arial" w:hAnsi="Arial" w:cs="Arial"/>
        </w:rPr>
        <w:t xml:space="preserve"> emissions – GCB” [dataset]. Global Carbon Project, “Global Carbon Budget” [original data].</w:t>
      </w:r>
    </w:p>
    <w:p w14:paraId="6099BAF0"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Gold Standard. (2021). Gold Standard for the Global Goals. </w:t>
      </w:r>
      <w:hyperlink r:id="rId25" w:tgtFrame="_new" w:history="1">
        <w:r w:rsidRPr="00683336">
          <w:rPr>
            <w:rStyle w:val="Hyperlink"/>
            <w:rFonts w:ascii="Arial" w:hAnsi="Arial" w:cs="Arial"/>
            <w:sz w:val="20"/>
            <w:szCs w:val="20"/>
          </w:rPr>
          <w:t>https://www.goldstandard.org</w:t>
        </w:r>
      </w:hyperlink>
    </w:p>
    <w:p w14:paraId="04A5647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Hamrick, K., &amp; Gallant, M. (2017). Unlocking potential: State of the voluntary carbon markets 2017. Forest Trends’ Ecosystem Marketplace. </w:t>
      </w:r>
      <w:hyperlink w:history="1">
        <w:r w:rsidRPr="00683336">
          <w:rPr>
            <w:rStyle w:val="Hyperlink"/>
            <w:rFonts w:ascii="Arial" w:hAnsi="Arial" w:cs="Arial"/>
            <w:sz w:val="20"/>
            <w:szCs w:val="20"/>
          </w:rPr>
          <w:t>https://www.ecosystemmar ketplace.com</w:t>
        </w:r>
      </w:hyperlink>
    </w:p>
    <w:p w14:paraId="580B72C2"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ICAP (International Carbon Action Partnership). (2023). Emissions Trading Worldwide: Status Report 2023. </w:t>
      </w:r>
      <w:hyperlink r:id="rId26" w:history="1">
        <w:r w:rsidRPr="00683336">
          <w:rPr>
            <w:rStyle w:val="Hyperlink"/>
            <w:rFonts w:ascii="Arial" w:hAnsi="Arial" w:cs="Arial"/>
            <w:sz w:val="20"/>
            <w:szCs w:val="20"/>
          </w:rPr>
          <w:t>https://icapcarbonaction.com/en/status-report-2023</w:t>
        </w:r>
      </w:hyperlink>
    </w:p>
    <w:p w14:paraId="4A3E544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ICVCM (2023). Core Carbon Principles and Assessment Framework. Integrity Council for the Voluntary Carbon Market. </w:t>
      </w:r>
      <w:hyperlink r:id="rId27" w:tgtFrame="_new" w:history="1">
        <w:r w:rsidRPr="00683336">
          <w:rPr>
            <w:rStyle w:val="Hyperlink"/>
            <w:rFonts w:ascii="Arial" w:hAnsi="Arial" w:cs="Arial"/>
            <w:sz w:val="20"/>
            <w:szCs w:val="20"/>
          </w:rPr>
          <w:t>https://icvcm.org</w:t>
        </w:r>
      </w:hyperlink>
    </w:p>
    <w:p w14:paraId="5434969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IPCC, (2021) Climate Change 2021: The Physical Science Basis. Contribution of Working Group I to the Sixth Assessment Report of the Intergovernmental Panel on Climate Change. </w:t>
      </w:r>
      <w:hyperlink r:id="rId28" w:history="1">
        <w:r w:rsidRPr="00683336">
          <w:rPr>
            <w:rStyle w:val="Hyperlink"/>
            <w:rFonts w:ascii="Arial" w:hAnsi="Arial" w:cs="Arial"/>
            <w:sz w:val="20"/>
            <w:szCs w:val="20"/>
          </w:rPr>
          <w:t>https://www.ipcc.ch/report/ ar6/wg1/</w:t>
        </w:r>
      </w:hyperlink>
    </w:p>
    <w:p w14:paraId="0081F46E"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Kossoy</w:t>
      </w:r>
      <w:proofErr w:type="spellEnd"/>
      <w:r w:rsidRPr="00683336">
        <w:rPr>
          <w:rFonts w:ascii="Arial" w:hAnsi="Arial" w:cs="Arial"/>
          <w:sz w:val="20"/>
          <w:szCs w:val="20"/>
        </w:rPr>
        <w:t xml:space="preserve">, A., Peszko, G., Oppermann, K., Prytz, N., Klein, N., Blok, K., Lam, L., &amp; Wong, L. (2015). State and trends of carbon pricing 2015. World Bank Group. </w:t>
      </w:r>
      <w:hyperlink w:history="1">
        <w:r w:rsidRPr="00683336">
          <w:rPr>
            <w:rStyle w:val="Hyperlink"/>
            <w:rFonts w:ascii="Arial" w:hAnsi="Arial" w:cs="Arial"/>
            <w:sz w:val="20"/>
            <w:szCs w:val="20"/>
          </w:rPr>
          <w:t>https://open knowledge.worldbank.org</w:t>
        </w:r>
      </w:hyperlink>
    </w:p>
    <w:p w14:paraId="148ABDB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color w:val="222222"/>
          <w:sz w:val="20"/>
          <w:szCs w:val="20"/>
          <w:shd w:val="clear" w:color="auto" w:fill="FFFFFF"/>
        </w:rPr>
        <w:t>Lazarus, M., Schneider, L., &amp; Broekhoff, D. (2016). Robust Accounting of International Transfers under Article 6 of the Paris Agreement.</w:t>
      </w:r>
    </w:p>
    <w:p w14:paraId="299CA6D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Mehling, M., Metcalf, G. E., &amp; Stavins, R. N. (2018). Linking climate policies to advance global </w:t>
      </w:r>
      <w:proofErr w:type="gramStart"/>
      <w:r w:rsidRPr="00683336">
        <w:rPr>
          <w:rFonts w:ascii="Arial" w:hAnsi="Arial" w:cs="Arial"/>
          <w:sz w:val="20"/>
          <w:szCs w:val="20"/>
        </w:rPr>
        <w:t>mitigation :</w:t>
      </w:r>
      <w:proofErr w:type="gramEnd"/>
      <w:r w:rsidRPr="00683336">
        <w:rPr>
          <w:rFonts w:ascii="Arial" w:hAnsi="Arial" w:cs="Arial"/>
          <w:sz w:val="20"/>
          <w:szCs w:val="20"/>
        </w:rPr>
        <w:t xml:space="preserve"> Joining jurisdictions can increase efficiency of mitigation. Science, 359(6379), 997–998. </w:t>
      </w:r>
    </w:p>
    <w:p w14:paraId="79BA5704"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MoEFCC</w:t>
      </w:r>
      <w:proofErr w:type="spellEnd"/>
      <w:r w:rsidRPr="00683336">
        <w:rPr>
          <w:rFonts w:ascii="Arial" w:hAnsi="Arial" w:cs="Arial"/>
          <w:sz w:val="20"/>
          <w:szCs w:val="20"/>
        </w:rPr>
        <w:t>. (2022). India’s long-term low-carbon development strategy. Ministry of Environment, Forest and Climate Change, Government of India.</w:t>
      </w:r>
    </w:p>
    <w:p w14:paraId="7CA93E21" w14:textId="77777777" w:rsidR="005F67AA" w:rsidRPr="00683336" w:rsidRDefault="005F67AA" w:rsidP="00683336">
      <w:pPr>
        <w:spacing w:after="0" w:line="240" w:lineRule="auto"/>
        <w:ind w:left="720" w:hanging="720"/>
        <w:jc w:val="both"/>
        <w:rPr>
          <w:rFonts w:ascii="Arial" w:hAnsi="Arial" w:cs="Arial"/>
          <w:bCs/>
          <w:sz w:val="20"/>
          <w:szCs w:val="20"/>
        </w:rPr>
      </w:pPr>
      <w:r w:rsidRPr="00683336">
        <w:rPr>
          <w:rFonts w:ascii="Arial" w:hAnsi="Arial" w:cs="Arial"/>
          <w:bCs/>
          <w:sz w:val="20"/>
          <w:szCs w:val="20"/>
        </w:rPr>
        <w:t xml:space="preserve">NCDMA (2022), Approved projects in NCDMA </w:t>
      </w:r>
      <w:hyperlink r:id="rId29" w:history="1">
        <w:r w:rsidRPr="00683336">
          <w:rPr>
            <w:rStyle w:val="Hyperlink"/>
            <w:rFonts w:ascii="Arial" w:hAnsi="Arial" w:cs="Arial"/>
            <w:bCs/>
            <w:sz w:val="20"/>
            <w:szCs w:val="20"/>
          </w:rPr>
          <w:t>https://ncdmaindia.gov.in/2022</w:t>
        </w:r>
      </w:hyperlink>
    </w:p>
    <w:p w14:paraId="03C18263"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Newell, R. G., Pizer, W. A., &amp; Raimi, D. (2013). Carbon markets 15 years after Kyoto: Lessons learned, new challenges. Journal of Economic Perspectives, 27(1), 123–146. </w:t>
      </w:r>
      <w:hyperlink r:id="rId30" w:history="1">
        <w:r w:rsidRPr="00683336">
          <w:rPr>
            <w:rStyle w:val="Hyperlink"/>
            <w:rFonts w:ascii="Arial" w:hAnsi="Arial" w:cs="Arial"/>
            <w:sz w:val="20"/>
            <w:szCs w:val="20"/>
          </w:rPr>
          <w:t>https://doi.org/10.1257/jep.27.1.123</w:t>
        </w:r>
      </w:hyperlink>
    </w:p>
    <w:p w14:paraId="31B3AFF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OECD. (2020). Carbon Pricing in Times of COVID-19. </w:t>
      </w:r>
      <w:hyperlink r:id="rId31" w:history="1">
        <w:r w:rsidRPr="00683336">
          <w:rPr>
            <w:rStyle w:val="Hyperlink"/>
            <w:rFonts w:ascii="Arial" w:hAnsi="Arial" w:cs="Arial"/>
            <w:sz w:val="20"/>
            <w:szCs w:val="20"/>
          </w:rPr>
          <w:t>https://www.oecd.org/environment/</w:t>
        </w:r>
      </w:hyperlink>
    </w:p>
    <w:p w14:paraId="55723959"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Prag, A., Briner, G., &amp; Hood, C. (2012). Making Markets Work: Lessons for Building Effective Carbon Market Mechanisms.</w:t>
      </w:r>
    </w:p>
    <w:p w14:paraId="1A0EE20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R. Venkataraman</w:t>
      </w:r>
      <w:r w:rsidRPr="00683336">
        <w:rPr>
          <w:rFonts w:ascii="Arial" w:hAnsi="Arial" w:cs="Arial"/>
          <w:sz w:val="20"/>
          <w:szCs w:val="20"/>
          <w:vertAlign w:val="superscript"/>
        </w:rPr>
        <w:t xml:space="preserve"> </w:t>
      </w:r>
      <w:r w:rsidRPr="00683336">
        <w:rPr>
          <w:rFonts w:ascii="Arial" w:hAnsi="Arial" w:cs="Arial"/>
          <w:sz w:val="20"/>
          <w:szCs w:val="20"/>
        </w:rPr>
        <w:t xml:space="preserve">&amp; Nandhini. V (2023), Carbon Emission and Sequestration Tradeoff through Carbon Trading – Economic Insights, </w:t>
      </w:r>
      <w:r w:rsidRPr="00683336">
        <w:rPr>
          <w:rFonts w:ascii="Arial" w:hAnsi="Arial" w:cs="Arial"/>
          <w:bCs/>
          <w:sz w:val="20"/>
          <w:szCs w:val="20"/>
        </w:rPr>
        <w:t>2</w:t>
      </w:r>
      <w:r w:rsidRPr="00683336">
        <w:rPr>
          <w:rFonts w:ascii="Arial" w:hAnsi="Arial" w:cs="Arial"/>
          <w:bCs/>
          <w:sz w:val="20"/>
          <w:szCs w:val="20"/>
          <w:vertAlign w:val="superscript"/>
        </w:rPr>
        <w:t>nd</w:t>
      </w:r>
      <w:r w:rsidRPr="00683336">
        <w:rPr>
          <w:rFonts w:ascii="Arial" w:hAnsi="Arial" w:cs="Arial"/>
          <w:bCs/>
          <w:sz w:val="20"/>
          <w:szCs w:val="20"/>
        </w:rPr>
        <w:t xml:space="preserve"> National Conference on Vision – 2047  Technology Intervention for Prospects of Agriculture in India (TIPAI -2024)</w:t>
      </w:r>
      <w:r w:rsidRPr="00683336">
        <w:rPr>
          <w:rFonts w:ascii="Arial" w:hAnsi="Arial" w:cs="Arial"/>
          <w:sz w:val="20"/>
          <w:szCs w:val="20"/>
        </w:rPr>
        <w:t xml:space="preserve"> </w:t>
      </w:r>
      <w:r w:rsidRPr="00683336">
        <w:rPr>
          <w:rFonts w:ascii="Arial" w:hAnsi="Arial" w:cs="Arial"/>
          <w:bCs/>
          <w:sz w:val="20"/>
          <w:szCs w:val="20"/>
        </w:rPr>
        <w:t xml:space="preserve">Organized by JSA College of Agriculture and Technology. </w:t>
      </w:r>
    </w:p>
    <w:p w14:paraId="4801E01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Ranson, M., &amp; Stavins, R. N. (2016). Linkage of greenhouse gas emissions trading systems: Learning from experience. Climate Policy, 16(3), 284–300. </w:t>
      </w:r>
    </w:p>
    <w:p w14:paraId="0AFE990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Ritchie, Hannah; Roser, Max; Rosado, Pablo (2020-05-11). "CO2 and Greenhouse Gas Emissions". Our World in Data.</w:t>
      </w:r>
    </w:p>
    <w:p w14:paraId="6440ECF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Schneider, L. (2007). Is the CDM fulfilling its environmental and sustainable development objectives? Climatic Change, 84(1), 1–5.</w:t>
      </w:r>
    </w:p>
    <w:p w14:paraId="29CEC620"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Schneider, L. (2009). Assessing the additionality of CDM projects: Practical experiences and lessons learned. Climate Policy, 9(3), 242–254.</w:t>
      </w:r>
    </w:p>
    <w:p w14:paraId="7C9374AA"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Stavins, R. N. (2008). A meaningful U.S. cap-and-trade system to address climate change. Harvard Environmental Law Review, 32(2), 293–371.</w:t>
      </w:r>
    </w:p>
    <w:p w14:paraId="3FEFA30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Stern, N. (2007). The economics of climate change: The Stern review. Cambridge University Press.</w:t>
      </w:r>
    </w:p>
    <w:p w14:paraId="674F2F51"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shd w:val="clear" w:color="auto" w:fill="FFFFFF"/>
        </w:rPr>
        <w:t>Tietenberg</w:t>
      </w:r>
      <w:proofErr w:type="spellEnd"/>
      <w:r w:rsidRPr="00683336">
        <w:rPr>
          <w:rFonts w:ascii="Arial" w:hAnsi="Arial" w:cs="Arial"/>
          <w:sz w:val="20"/>
          <w:szCs w:val="20"/>
          <w:shd w:val="clear" w:color="auto" w:fill="FFFFFF"/>
        </w:rPr>
        <w:t>, T. (2010). </w:t>
      </w:r>
      <w:r w:rsidRPr="00683336">
        <w:rPr>
          <w:rFonts w:ascii="Arial" w:hAnsi="Arial" w:cs="Arial"/>
          <w:iCs/>
          <w:sz w:val="20"/>
          <w:szCs w:val="20"/>
          <w:shd w:val="clear" w:color="auto" w:fill="FFFFFF"/>
        </w:rPr>
        <w:t>Emissions trading: principles and practice</w:t>
      </w:r>
      <w:r w:rsidRPr="00683336">
        <w:rPr>
          <w:rFonts w:ascii="Arial" w:hAnsi="Arial" w:cs="Arial"/>
          <w:sz w:val="20"/>
          <w:szCs w:val="20"/>
          <w:shd w:val="clear" w:color="auto" w:fill="FFFFFF"/>
        </w:rPr>
        <w:t>. Routledge.</w:t>
      </w:r>
    </w:p>
    <w:p w14:paraId="63D7317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TSVCM (2021). Final Report. Taskforce on Scaling Voluntary Carbon Markets. </w:t>
      </w:r>
      <w:hyperlink r:id="rId32" w:history="1">
        <w:r w:rsidRPr="00683336">
          <w:rPr>
            <w:rStyle w:val="Hyperlink"/>
            <w:rFonts w:ascii="Arial" w:hAnsi="Arial" w:cs="Arial"/>
            <w:sz w:val="20"/>
            <w:szCs w:val="20"/>
          </w:rPr>
          <w:t>https://www.iif.com/tsvcm</w:t>
        </w:r>
      </w:hyperlink>
    </w:p>
    <w:p w14:paraId="5191391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UNEP DTU. (2018). CDM Pipeline Overview. UNEP DTU Partnership. </w:t>
      </w:r>
      <w:hyperlink r:id="rId33" w:tgtFrame="_new" w:history="1">
        <w:r w:rsidRPr="00683336">
          <w:rPr>
            <w:rStyle w:val="Hyperlink"/>
            <w:rFonts w:ascii="Arial" w:hAnsi="Arial" w:cs="Arial"/>
            <w:sz w:val="20"/>
            <w:szCs w:val="20"/>
          </w:rPr>
          <w:t>https://www.cdmpipeline.org</w:t>
        </w:r>
      </w:hyperlink>
    </w:p>
    <w:p w14:paraId="4B47C3D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UNEP. (2022). Emissions Gap Report 2022. United Nations Environment Programme.</w:t>
      </w:r>
    </w:p>
    <w:p w14:paraId="1B3076C2"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lastRenderedPageBreak/>
        <w:t xml:space="preserve">UNFCCC. (2020). What is the CDM? United Nations Framework Convention on Climate Change. </w:t>
      </w:r>
      <w:hyperlink r:id="rId34" w:tgtFrame="_new" w:history="1">
        <w:r w:rsidRPr="00683336">
          <w:rPr>
            <w:rStyle w:val="Hyperlink"/>
            <w:rFonts w:ascii="Arial" w:hAnsi="Arial" w:cs="Arial"/>
            <w:sz w:val="20"/>
            <w:szCs w:val="20"/>
          </w:rPr>
          <w:t>https://unfccc.int</w:t>
        </w:r>
      </w:hyperlink>
    </w:p>
    <w:p w14:paraId="2D48A2A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UNFCCC. (2021). Annual report 2021. United Nations Framework Convention on Climate Change. </w:t>
      </w:r>
      <w:hyperlink r:id="rId35" w:tgtFrame="_new" w:history="1">
        <w:r w:rsidRPr="00683336">
          <w:rPr>
            <w:rStyle w:val="Hyperlink"/>
            <w:rFonts w:ascii="Arial" w:hAnsi="Arial" w:cs="Arial"/>
            <w:sz w:val="20"/>
            <w:szCs w:val="20"/>
          </w:rPr>
          <w:t>https://unfccc.int</w:t>
        </w:r>
      </w:hyperlink>
    </w:p>
    <w:p w14:paraId="5695BB83"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UNFCCC. (2022). Article 6 of the Paris Agreement. </w:t>
      </w:r>
      <w:hyperlink r:id="rId36" w:history="1">
        <w:r w:rsidRPr="00683336">
          <w:rPr>
            <w:rStyle w:val="Hyperlink"/>
            <w:rFonts w:ascii="Arial" w:hAnsi="Arial" w:cs="Arial"/>
            <w:sz w:val="20"/>
            <w:szCs w:val="20"/>
          </w:rPr>
          <w:t>https://unfccc.int/process-and-meetings/the-paris-agreement/the-paris-agreement</w:t>
        </w:r>
      </w:hyperlink>
    </w:p>
    <w:p w14:paraId="4947634F"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Verra. (2022). Voluntary carbon market insights. </w:t>
      </w:r>
      <w:hyperlink r:id="rId37" w:tgtFrame="_new" w:history="1">
        <w:r w:rsidRPr="00683336">
          <w:rPr>
            <w:rStyle w:val="Hyperlink"/>
            <w:rFonts w:ascii="Arial" w:hAnsi="Arial" w:cs="Arial"/>
            <w:sz w:val="20"/>
            <w:szCs w:val="20"/>
          </w:rPr>
          <w:t>https://verra.org</w:t>
        </w:r>
      </w:hyperlink>
    </w:p>
    <w:p w14:paraId="52B9BBE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World Bank. (2022). State and trends of carbon pricing 2022. World Bank. </w:t>
      </w:r>
      <w:hyperlink r:id="rId38" w:tgtFrame="_new" w:history="1">
        <w:r w:rsidRPr="00683336">
          <w:rPr>
            <w:rStyle w:val="Hyperlink"/>
            <w:rFonts w:ascii="Arial" w:hAnsi="Arial" w:cs="Arial"/>
            <w:sz w:val="20"/>
            <w:szCs w:val="20"/>
          </w:rPr>
          <w:t>https://openknowledge.worldbank.org</w:t>
        </w:r>
      </w:hyperlink>
    </w:p>
    <w:p w14:paraId="3A6B07A1" w14:textId="77777777" w:rsidR="005F67AA" w:rsidRPr="00683336" w:rsidRDefault="005F67AA" w:rsidP="00683336">
      <w:pPr>
        <w:spacing w:after="0" w:line="240" w:lineRule="auto"/>
        <w:ind w:left="720" w:hanging="720"/>
        <w:jc w:val="both"/>
        <w:rPr>
          <w:rFonts w:ascii="Arial" w:hAnsi="Arial" w:cs="Arial"/>
          <w:b/>
          <w:bCs/>
          <w:sz w:val="20"/>
          <w:szCs w:val="20"/>
        </w:rPr>
      </w:pPr>
    </w:p>
    <w:p w14:paraId="37107C7D" w14:textId="77777777" w:rsidR="00AB6EFD" w:rsidRPr="00683336" w:rsidRDefault="00AF6DB6" w:rsidP="00683336">
      <w:pPr>
        <w:spacing w:after="0" w:line="240" w:lineRule="auto"/>
        <w:ind w:left="720" w:hanging="720"/>
        <w:jc w:val="both"/>
        <w:rPr>
          <w:rFonts w:ascii="Arial" w:hAnsi="Arial" w:cs="Arial"/>
          <w:sz w:val="20"/>
          <w:szCs w:val="20"/>
        </w:rPr>
      </w:pPr>
      <w:r w:rsidRPr="00683336">
        <w:rPr>
          <w:rFonts w:ascii="Arial" w:hAnsi="Arial" w:cs="Arial"/>
          <w:b/>
          <w:bCs/>
          <w:sz w:val="20"/>
          <w:szCs w:val="20"/>
        </w:rPr>
        <w:t xml:space="preserve"> </w:t>
      </w:r>
    </w:p>
    <w:sectPr w:rsidR="00AB6EFD" w:rsidRPr="00683336" w:rsidSect="00832A1E">
      <w:headerReference w:type="even" r:id="rId39"/>
      <w:headerReference w:type="default" r:id="rId40"/>
      <w:footerReference w:type="even" r:id="rId41"/>
      <w:footerReference w:type="default" r:id="rId42"/>
      <w:headerReference w:type="first" r:id="rId43"/>
      <w:footerReference w:type="first" r:id="rId4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esh Vaidya" w:date="2025-05-08T19:09:00Z" w:initials="RV">
    <w:p w14:paraId="1573A95E" w14:textId="77777777" w:rsidR="00AE4200" w:rsidRDefault="0098335C" w:rsidP="00AE4200">
      <w:pPr>
        <w:pStyle w:val="CommentText"/>
      </w:pPr>
      <w:r>
        <w:rPr>
          <w:rStyle w:val="CommentReference"/>
        </w:rPr>
        <w:annotationRef/>
      </w:r>
      <w:r w:rsidR="00AE4200">
        <w:t xml:space="preserve">Need to rewrite, the topic has covered very broader concept but paper has focused on carbon trading scenario of India, that is also limited to a year data. And the review paper does not need to data interpretation, while paper tries to highlight the carbon trading scenario of India. </w:t>
      </w:r>
    </w:p>
  </w:comment>
  <w:comment w:id="1" w:author="Rashesh Vaidya" w:date="2025-05-08T19:03:00Z" w:initials="RV">
    <w:p w14:paraId="18494042" w14:textId="229CB1D8" w:rsidR="0098335C" w:rsidRDefault="0098335C" w:rsidP="0098335C">
      <w:pPr>
        <w:pStyle w:val="CommentText"/>
      </w:pPr>
      <w:r>
        <w:rPr>
          <w:rStyle w:val="CommentReference"/>
        </w:rPr>
        <w:annotationRef/>
      </w:r>
      <w:r>
        <w:t xml:space="preserve">Need to rewrite completely.. Is it proper way to mention definition(s) rather than objective, methodology, major findings and implication of the study! </w:t>
      </w:r>
    </w:p>
  </w:comment>
  <w:comment w:id="2" w:author="Rashesh Vaidya" w:date="2025-05-08T18:58:00Z" w:initials="RV">
    <w:p w14:paraId="7853A99F" w14:textId="662ADD2B" w:rsidR="00C2483A" w:rsidRDefault="00C2483A" w:rsidP="00C2483A">
      <w:pPr>
        <w:pStyle w:val="CommentText"/>
      </w:pPr>
      <w:r>
        <w:rPr>
          <w:rStyle w:val="CommentReference"/>
        </w:rPr>
        <w:annotationRef/>
      </w:r>
      <w:r>
        <w:t>The figure displayed here represents the data of 2020?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3A95E" w15:done="0"/>
  <w15:commentEx w15:paraId="18494042" w15:done="0"/>
  <w15:commentEx w15:paraId="7853A9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F68177" w16cex:dateUtc="2025-05-08T13:24:00Z"/>
  <w16cex:commentExtensible w16cex:durableId="76C97560" w16cex:dateUtc="2025-05-08T13:18:00Z"/>
  <w16cex:commentExtensible w16cex:durableId="77A86974" w16cex:dateUtc="2025-05-08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3A95E" w16cid:durableId="36F68177"/>
  <w16cid:commentId w16cid:paraId="18494042" w16cid:durableId="76C97560"/>
  <w16cid:commentId w16cid:paraId="7853A99F" w16cid:durableId="77A86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7C9E" w14:textId="77777777" w:rsidR="00F54739" w:rsidRDefault="00F54739" w:rsidP="00C47702">
      <w:pPr>
        <w:spacing w:after="0" w:line="240" w:lineRule="auto"/>
      </w:pPr>
      <w:r>
        <w:separator/>
      </w:r>
    </w:p>
  </w:endnote>
  <w:endnote w:type="continuationSeparator" w:id="0">
    <w:p w14:paraId="2F995369" w14:textId="77777777" w:rsidR="00F54739" w:rsidRDefault="00F54739" w:rsidP="00C4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0E9D" w14:textId="77777777" w:rsidR="00C47702" w:rsidRDefault="00C4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BF7" w14:textId="77777777" w:rsidR="00C47702" w:rsidRDefault="00C47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B640" w14:textId="77777777" w:rsidR="00C47702" w:rsidRDefault="00C4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9A3D" w14:textId="77777777" w:rsidR="00F54739" w:rsidRDefault="00F54739" w:rsidP="00C47702">
      <w:pPr>
        <w:spacing w:after="0" w:line="240" w:lineRule="auto"/>
      </w:pPr>
      <w:r>
        <w:separator/>
      </w:r>
    </w:p>
  </w:footnote>
  <w:footnote w:type="continuationSeparator" w:id="0">
    <w:p w14:paraId="589F6106" w14:textId="77777777" w:rsidR="00F54739" w:rsidRDefault="00F54739" w:rsidP="00C4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C4D" w14:textId="2F080865" w:rsidR="00C47702" w:rsidRDefault="00000000">
    <w:pPr>
      <w:pStyle w:val="Header"/>
    </w:pPr>
    <w:r>
      <w:rPr>
        <w:noProof/>
      </w:rPr>
      <w:pict w14:anchorId="38F1C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CC4C" w14:textId="4AF907B1" w:rsidR="00C47702" w:rsidRDefault="00000000">
    <w:pPr>
      <w:pStyle w:val="Header"/>
    </w:pPr>
    <w:r>
      <w:rPr>
        <w:noProof/>
      </w:rPr>
      <w:pict w14:anchorId="6441C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1BA4" w14:textId="6472FC85" w:rsidR="00C47702" w:rsidRDefault="00000000">
    <w:pPr>
      <w:pStyle w:val="Header"/>
    </w:pPr>
    <w:r>
      <w:rPr>
        <w:noProof/>
      </w:rPr>
      <w:pict w14:anchorId="66EE7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4DC"/>
    <w:multiLevelType w:val="multilevel"/>
    <w:tmpl w:val="EBC6A1D8"/>
    <w:lvl w:ilvl="0">
      <w:start w:val="1"/>
      <w:numFmt w:val="decimal"/>
      <w:lvlText w:val="%1."/>
      <w:lvlJc w:val="left"/>
      <w:pPr>
        <w:ind w:left="720" w:hanging="360"/>
      </w:pPr>
      <w:rPr>
        <w:rFonts w:hint="default"/>
        <w:b/>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A311B"/>
    <w:multiLevelType w:val="multilevel"/>
    <w:tmpl w:val="200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4C4D"/>
    <w:multiLevelType w:val="multilevel"/>
    <w:tmpl w:val="7B04EF20"/>
    <w:lvl w:ilvl="0">
      <w:start w:val="1"/>
      <w:numFmt w:val="decimal"/>
      <w:lvlText w:val="%1."/>
      <w:lvlJc w:val="left"/>
      <w:pPr>
        <w:ind w:left="72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3C3405"/>
    <w:multiLevelType w:val="hybridMultilevel"/>
    <w:tmpl w:val="B10EE984"/>
    <w:lvl w:ilvl="0" w:tplc="2452D182">
      <w:start w:val="1"/>
      <w:numFmt w:val="bullet"/>
      <w:lvlText w:val="•"/>
      <w:lvlJc w:val="left"/>
      <w:pPr>
        <w:tabs>
          <w:tab w:val="num" w:pos="720"/>
        </w:tabs>
        <w:ind w:left="720" w:hanging="360"/>
      </w:pPr>
      <w:rPr>
        <w:rFonts w:ascii="Arial" w:hAnsi="Arial" w:hint="default"/>
      </w:rPr>
    </w:lvl>
    <w:lvl w:ilvl="1" w:tplc="13FE56DE" w:tentative="1">
      <w:start w:val="1"/>
      <w:numFmt w:val="bullet"/>
      <w:lvlText w:val="•"/>
      <w:lvlJc w:val="left"/>
      <w:pPr>
        <w:tabs>
          <w:tab w:val="num" w:pos="1440"/>
        </w:tabs>
        <w:ind w:left="1440" w:hanging="360"/>
      </w:pPr>
      <w:rPr>
        <w:rFonts w:ascii="Arial" w:hAnsi="Arial" w:hint="default"/>
      </w:rPr>
    </w:lvl>
    <w:lvl w:ilvl="2" w:tplc="E5EE64D2" w:tentative="1">
      <w:start w:val="1"/>
      <w:numFmt w:val="bullet"/>
      <w:lvlText w:val="•"/>
      <w:lvlJc w:val="left"/>
      <w:pPr>
        <w:tabs>
          <w:tab w:val="num" w:pos="2160"/>
        </w:tabs>
        <w:ind w:left="2160" w:hanging="360"/>
      </w:pPr>
      <w:rPr>
        <w:rFonts w:ascii="Arial" w:hAnsi="Arial" w:hint="default"/>
      </w:rPr>
    </w:lvl>
    <w:lvl w:ilvl="3" w:tplc="5D389460" w:tentative="1">
      <w:start w:val="1"/>
      <w:numFmt w:val="bullet"/>
      <w:lvlText w:val="•"/>
      <w:lvlJc w:val="left"/>
      <w:pPr>
        <w:tabs>
          <w:tab w:val="num" w:pos="2880"/>
        </w:tabs>
        <w:ind w:left="2880" w:hanging="360"/>
      </w:pPr>
      <w:rPr>
        <w:rFonts w:ascii="Arial" w:hAnsi="Arial" w:hint="default"/>
      </w:rPr>
    </w:lvl>
    <w:lvl w:ilvl="4" w:tplc="8A486066" w:tentative="1">
      <w:start w:val="1"/>
      <w:numFmt w:val="bullet"/>
      <w:lvlText w:val="•"/>
      <w:lvlJc w:val="left"/>
      <w:pPr>
        <w:tabs>
          <w:tab w:val="num" w:pos="3600"/>
        </w:tabs>
        <w:ind w:left="3600" w:hanging="360"/>
      </w:pPr>
      <w:rPr>
        <w:rFonts w:ascii="Arial" w:hAnsi="Arial" w:hint="default"/>
      </w:rPr>
    </w:lvl>
    <w:lvl w:ilvl="5" w:tplc="7F3A6632" w:tentative="1">
      <w:start w:val="1"/>
      <w:numFmt w:val="bullet"/>
      <w:lvlText w:val="•"/>
      <w:lvlJc w:val="left"/>
      <w:pPr>
        <w:tabs>
          <w:tab w:val="num" w:pos="4320"/>
        </w:tabs>
        <w:ind w:left="4320" w:hanging="360"/>
      </w:pPr>
      <w:rPr>
        <w:rFonts w:ascii="Arial" w:hAnsi="Arial" w:hint="default"/>
      </w:rPr>
    </w:lvl>
    <w:lvl w:ilvl="6" w:tplc="2872F54C" w:tentative="1">
      <w:start w:val="1"/>
      <w:numFmt w:val="bullet"/>
      <w:lvlText w:val="•"/>
      <w:lvlJc w:val="left"/>
      <w:pPr>
        <w:tabs>
          <w:tab w:val="num" w:pos="5040"/>
        </w:tabs>
        <w:ind w:left="5040" w:hanging="360"/>
      </w:pPr>
      <w:rPr>
        <w:rFonts w:ascii="Arial" w:hAnsi="Arial" w:hint="default"/>
      </w:rPr>
    </w:lvl>
    <w:lvl w:ilvl="7" w:tplc="FF366592" w:tentative="1">
      <w:start w:val="1"/>
      <w:numFmt w:val="bullet"/>
      <w:lvlText w:val="•"/>
      <w:lvlJc w:val="left"/>
      <w:pPr>
        <w:tabs>
          <w:tab w:val="num" w:pos="5760"/>
        </w:tabs>
        <w:ind w:left="5760" w:hanging="360"/>
      </w:pPr>
      <w:rPr>
        <w:rFonts w:ascii="Arial" w:hAnsi="Arial" w:hint="default"/>
      </w:rPr>
    </w:lvl>
    <w:lvl w:ilvl="8" w:tplc="2A64A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C27ACD"/>
    <w:multiLevelType w:val="hybridMultilevel"/>
    <w:tmpl w:val="C78CFE52"/>
    <w:lvl w:ilvl="0" w:tplc="5CF6A654">
      <w:start w:val="1"/>
      <w:numFmt w:val="bullet"/>
      <w:lvlText w:val="•"/>
      <w:lvlJc w:val="left"/>
      <w:pPr>
        <w:tabs>
          <w:tab w:val="num" w:pos="720"/>
        </w:tabs>
        <w:ind w:left="720" w:hanging="360"/>
      </w:pPr>
      <w:rPr>
        <w:rFonts w:ascii="Arial" w:hAnsi="Arial" w:hint="default"/>
      </w:rPr>
    </w:lvl>
    <w:lvl w:ilvl="1" w:tplc="6A92CFE0" w:tentative="1">
      <w:start w:val="1"/>
      <w:numFmt w:val="bullet"/>
      <w:lvlText w:val="•"/>
      <w:lvlJc w:val="left"/>
      <w:pPr>
        <w:tabs>
          <w:tab w:val="num" w:pos="1440"/>
        </w:tabs>
        <w:ind w:left="1440" w:hanging="360"/>
      </w:pPr>
      <w:rPr>
        <w:rFonts w:ascii="Arial" w:hAnsi="Arial" w:hint="default"/>
      </w:rPr>
    </w:lvl>
    <w:lvl w:ilvl="2" w:tplc="5444390A" w:tentative="1">
      <w:start w:val="1"/>
      <w:numFmt w:val="bullet"/>
      <w:lvlText w:val="•"/>
      <w:lvlJc w:val="left"/>
      <w:pPr>
        <w:tabs>
          <w:tab w:val="num" w:pos="2160"/>
        </w:tabs>
        <w:ind w:left="2160" w:hanging="360"/>
      </w:pPr>
      <w:rPr>
        <w:rFonts w:ascii="Arial" w:hAnsi="Arial" w:hint="default"/>
      </w:rPr>
    </w:lvl>
    <w:lvl w:ilvl="3" w:tplc="86A293E8" w:tentative="1">
      <w:start w:val="1"/>
      <w:numFmt w:val="bullet"/>
      <w:lvlText w:val="•"/>
      <w:lvlJc w:val="left"/>
      <w:pPr>
        <w:tabs>
          <w:tab w:val="num" w:pos="2880"/>
        </w:tabs>
        <w:ind w:left="2880" w:hanging="360"/>
      </w:pPr>
      <w:rPr>
        <w:rFonts w:ascii="Arial" w:hAnsi="Arial" w:hint="default"/>
      </w:rPr>
    </w:lvl>
    <w:lvl w:ilvl="4" w:tplc="A266C2F4" w:tentative="1">
      <w:start w:val="1"/>
      <w:numFmt w:val="bullet"/>
      <w:lvlText w:val="•"/>
      <w:lvlJc w:val="left"/>
      <w:pPr>
        <w:tabs>
          <w:tab w:val="num" w:pos="3600"/>
        </w:tabs>
        <w:ind w:left="3600" w:hanging="360"/>
      </w:pPr>
      <w:rPr>
        <w:rFonts w:ascii="Arial" w:hAnsi="Arial" w:hint="default"/>
      </w:rPr>
    </w:lvl>
    <w:lvl w:ilvl="5" w:tplc="AA364DFC" w:tentative="1">
      <w:start w:val="1"/>
      <w:numFmt w:val="bullet"/>
      <w:lvlText w:val="•"/>
      <w:lvlJc w:val="left"/>
      <w:pPr>
        <w:tabs>
          <w:tab w:val="num" w:pos="4320"/>
        </w:tabs>
        <w:ind w:left="4320" w:hanging="360"/>
      </w:pPr>
      <w:rPr>
        <w:rFonts w:ascii="Arial" w:hAnsi="Arial" w:hint="default"/>
      </w:rPr>
    </w:lvl>
    <w:lvl w:ilvl="6" w:tplc="37B8F3FE" w:tentative="1">
      <w:start w:val="1"/>
      <w:numFmt w:val="bullet"/>
      <w:lvlText w:val="•"/>
      <w:lvlJc w:val="left"/>
      <w:pPr>
        <w:tabs>
          <w:tab w:val="num" w:pos="5040"/>
        </w:tabs>
        <w:ind w:left="5040" w:hanging="360"/>
      </w:pPr>
      <w:rPr>
        <w:rFonts w:ascii="Arial" w:hAnsi="Arial" w:hint="default"/>
      </w:rPr>
    </w:lvl>
    <w:lvl w:ilvl="7" w:tplc="F76A6202" w:tentative="1">
      <w:start w:val="1"/>
      <w:numFmt w:val="bullet"/>
      <w:lvlText w:val="•"/>
      <w:lvlJc w:val="left"/>
      <w:pPr>
        <w:tabs>
          <w:tab w:val="num" w:pos="5760"/>
        </w:tabs>
        <w:ind w:left="5760" w:hanging="360"/>
      </w:pPr>
      <w:rPr>
        <w:rFonts w:ascii="Arial" w:hAnsi="Arial" w:hint="default"/>
      </w:rPr>
    </w:lvl>
    <w:lvl w:ilvl="8" w:tplc="4AE81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647D9F"/>
    <w:multiLevelType w:val="hybridMultilevel"/>
    <w:tmpl w:val="2CBA4046"/>
    <w:lvl w:ilvl="0" w:tplc="1630B3E0">
      <w:start w:val="1"/>
      <w:numFmt w:val="bullet"/>
      <w:lvlText w:val="•"/>
      <w:lvlJc w:val="left"/>
      <w:pPr>
        <w:tabs>
          <w:tab w:val="num" w:pos="720"/>
        </w:tabs>
        <w:ind w:left="720" w:hanging="360"/>
      </w:pPr>
      <w:rPr>
        <w:rFonts w:ascii="Arial" w:hAnsi="Arial" w:hint="default"/>
      </w:rPr>
    </w:lvl>
    <w:lvl w:ilvl="1" w:tplc="04FA3A60" w:tentative="1">
      <w:start w:val="1"/>
      <w:numFmt w:val="bullet"/>
      <w:lvlText w:val="•"/>
      <w:lvlJc w:val="left"/>
      <w:pPr>
        <w:tabs>
          <w:tab w:val="num" w:pos="1440"/>
        </w:tabs>
        <w:ind w:left="1440" w:hanging="360"/>
      </w:pPr>
      <w:rPr>
        <w:rFonts w:ascii="Arial" w:hAnsi="Arial" w:hint="default"/>
      </w:rPr>
    </w:lvl>
    <w:lvl w:ilvl="2" w:tplc="DAAEEE26" w:tentative="1">
      <w:start w:val="1"/>
      <w:numFmt w:val="bullet"/>
      <w:lvlText w:val="•"/>
      <w:lvlJc w:val="left"/>
      <w:pPr>
        <w:tabs>
          <w:tab w:val="num" w:pos="2160"/>
        </w:tabs>
        <w:ind w:left="2160" w:hanging="360"/>
      </w:pPr>
      <w:rPr>
        <w:rFonts w:ascii="Arial" w:hAnsi="Arial" w:hint="default"/>
      </w:rPr>
    </w:lvl>
    <w:lvl w:ilvl="3" w:tplc="AFC227AC" w:tentative="1">
      <w:start w:val="1"/>
      <w:numFmt w:val="bullet"/>
      <w:lvlText w:val="•"/>
      <w:lvlJc w:val="left"/>
      <w:pPr>
        <w:tabs>
          <w:tab w:val="num" w:pos="2880"/>
        </w:tabs>
        <w:ind w:left="2880" w:hanging="360"/>
      </w:pPr>
      <w:rPr>
        <w:rFonts w:ascii="Arial" w:hAnsi="Arial" w:hint="default"/>
      </w:rPr>
    </w:lvl>
    <w:lvl w:ilvl="4" w:tplc="7FAEDA86" w:tentative="1">
      <w:start w:val="1"/>
      <w:numFmt w:val="bullet"/>
      <w:lvlText w:val="•"/>
      <w:lvlJc w:val="left"/>
      <w:pPr>
        <w:tabs>
          <w:tab w:val="num" w:pos="3600"/>
        </w:tabs>
        <w:ind w:left="3600" w:hanging="360"/>
      </w:pPr>
      <w:rPr>
        <w:rFonts w:ascii="Arial" w:hAnsi="Arial" w:hint="default"/>
      </w:rPr>
    </w:lvl>
    <w:lvl w:ilvl="5" w:tplc="EAE4C458" w:tentative="1">
      <w:start w:val="1"/>
      <w:numFmt w:val="bullet"/>
      <w:lvlText w:val="•"/>
      <w:lvlJc w:val="left"/>
      <w:pPr>
        <w:tabs>
          <w:tab w:val="num" w:pos="4320"/>
        </w:tabs>
        <w:ind w:left="4320" w:hanging="360"/>
      </w:pPr>
      <w:rPr>
        <w:rFonts w:ascii="Arial" w:hAnsi="Arial" w:hint="default"/>
      </w:rPr>
    </w:lvl>
    <w:lvl w:ilvl="6" w:tplc="163A2908" w:tentative="1">
      <w:start w:val="1"/>
      <w:numFmt w:val="bullet"/>
      <w:lvlText w:val="•"/>
      <w:lvlJc w:val="left"/>
      <w:pPr>
        <w:tabs>
          <w:tab w:val="num" w:pos="5040"/>
        </w:tabs>
        <w:ind w:left="5040" w:hanging="360"/>
      </w:pPr>
      <w:rPr>
        <w:rFonts w:ascii="Arial" w:hAnsi="Arial" w:hint="default"/>
      </w:rPr>
    </w:lvl>
    <w:lvl w:ilvl="7" w:tplc="79A2D2B2" w:tentative="1">
      <w:start w:val="1"/>
      <w:numFmt w:val="bullet"/>
      <w:lvlText w:val="•"/>
      <w:lvlJc w:val="left"/>
      <w:pPr>
        <w:tabs>
          <w:tab w:val="num" w:pos="5760"/>
        </w:tabs>
        <w:ind w:left="5760" w:hanging="360"/>
      </w:pPr>
      <w:rPr>
        <w:rFonts w:ascii="Arial" w:hAnsi="Arial" w:hint="default"/>
      </w:rPr>
    </w:lvl>
    <w:lvl w:ilvl="8" w:tplc="8B06DD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801BA8"/>
    <w:multiLevelType w:val="hybridMultilevel"/>
    <w:tmpl w:val="4872D070"/>
    <w:lvl w:ilvl="0" w:tplc="D3C4C824">
      <w:start w:val="1"/>
      <w:numFmt w:val="bullet"/>
      <w:lvlText w:val="•"/>
      <w:lvlJc w:val="left"/>
      <w:pPr>
        <w:tabs>
          <w:tab w:val="num" w:pos="720"/>
        </w:tabs>
        <w:ind w:left="720" w:hanging="360"/>
      </w:pPr>
      <w:rPr>
        <w:rFonts w:ascii="Arial" w:hAnsi="Arial" w:hint="default"/>
      </w:rPr>
    </w:lvl>
    <w:lvl w:ilvl="1" w:tplc="922877DC" w:tentative="1">
      <w:start w:val="1"/>
      <w:numFmt w:val="bullet"/>
      <w:lvlText w:val="•"/>
      <w:lvlJc w:val="left"/>
      <w:pPr>
        <w:tabs>
          <w:tab w:val="num" w:pos="1440"/>
        </w:tabs>
        <w:ind w:left="1440" w:hanging="360"/>
      </w:pPr>
      <w:rPr>
        <w:rFonts w:ascii="Arial" w:hAnsi="Arial" w:hint="default"/>
      </w:rPr>
    </w:lvl>
    <w:lvl w:ilvl="2" w:tplc="D1A430F0" w:tentative="1">
      <w:start w:val="1"/>
      <w:numFmt w:val="bullet"/>
      <w:lvlText w:val="•"/>
      <w:lvlJc w:val="left"/>
      <w:pPr>
        <w:tabs>
          <w:tab w:val="num" w:pos="2160"/>
        </w:tabs>
        <w:ind w:left="2160" w:hanging="360"/>
      </w:pPr>
      <w:rPr>
        <w:rFonts w:ascii="Arial" w:hAnsi="Arial" w:hint="default"/>
      </w:rPr>
    </w:lvl>
    <w:lvl w:ilvl="3" w:tplc="E4F62C80" w:tentative="1">
      <w:start w:val="1"/>
      <w:numFmt w:val="bullet"/>
      <w:lvlText w:val="•"/>
      <w:lvlJc w:val="left"/>
      <w:pPr>
        <w:tabs>
          <w:tab w:val="num" w:pos="2880"/>
        </w:tabs>
        <w:ind w:left="2880" w:hanging="360"/>
      </w:pPr>
      <w:rPr>
        <w:rFonts w:ascii="Arial" w:hAnsi="Arial" w:hint="default"/>
      </w:rPr>
    </w:lvl>
    <w:lvl w:ilvl="4" w:tplc="7F960EC8" w:tentative="1">
      <w:start w:val="1"/>
      <w:numFmt w:val="bullet"/>
      <w:lvlText w:val="•"/>
      <w:lvlJc w:val="left"/>
      <w:pPr>
        <w:tabs>
          <w:tab w:val="num" w:pos="3600"/>
        </w:tabs>
        <w:ind w:left="3600" w:hanging="360"/>
      </w:pPr>
      <w:rPr>
        <w:rFonts w:ascii="Arial" w:hAnsi="Arial" w:hint="default"/>
      </w:rPr>
    </w:lvl>
    <w:lvl w:ilvl="5" w:tplc="56B4B5E0" w:tentative="1">
      <w:start w:val="1"/>
      <w:numFmt w:val="bullet"/>
      <w:lvlText w:val="•"/>
      <w:lvlJc w:val="left"/>
      <w:pPr>
        <w:tabs>
          <w:tab w:val="num" w:pos="4320"/>
        </w:tabs>
        <w:ind w:left="4320" w:hanging="360"/>
      </w:pPr>
      <w:rPr>
        <w:rFonts w:ascii="Arial" w:hAnsi="Arial" w:hint="default"/>
      </w:rPr>
    </w:lvl>
    <w:lvl w:ilvl="6" w:tplc="F1D2B01A" w:tentative="1">
      <w:start w:val="1"/>
      <w:numFmt w:val="bullet"/>
      <w:lvlText w:val="•"/>
      <w:lvlJc w:val="left"/>
      <w:pPr>
        <w:tabs>
          <w:tab w:val="num" w:pos="5040"/>
        </w:tabs>
        <w:ind w:left="5040" w:hanging="360"/>
      </w:pPr>
      <w:rPr>
        <w:rFonts w:ascii="Arial" w:hAnsi="Arial" w:hint="default"/>
      </w:rPr>
    </w:lvl>
    <w:lvl w:ilvl="7" w:tplc="78362AB6" w:tentative="1">
      <w:start w:val="1"/>
      <w:numFmt w:val="bullet"/>
      <w:lvlText w:val="•"/>
      <w:lvlJc w:val="left"/>
      <w:pPr>
        <w:tabs>
          <w:tab w:val="num" w:pos="5760"/>
        </w:tabs>
        <w:ind w:left="5760" w:hanging="360"/>
      </w:pPr>
      <w:rPr>
        <w:rFonts w:ascii="Arial" w:hAnsi="Arial" w:hint="default"/>
      </w:rPr>
    </w:lvl>
    <w:lvl w:ilvl="8" w:tplc="F34C42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7495C"/>
    <w:multiLevelType w:val="hybridMultilevel"/>
    <w:tmpl w:val="FEF480E2"/>
    <w:lvl w:ilvl="0" w:tplc="C1BCDAE0">
      <w:start w:val="1"/>
      <w:numFmt w:val="bullet"/>
      <w:lvlText w:val="•"/>
      <w:lvlJc w:val="left"/>
      <w:pPr>
        <w:tabs>
          <w:tab w:val="num" w:pos="720"/>
        </w:tabs>
        <w:ind w:left="720" w:hanging="360"/>
      </w:pPr>
      <w:rPr>
        <w:rFonts w:ascii="Arial" w:hAnsi="Arial" w:hint="default"/>
      </w:rPr>
    </w:lvl>
    <w:lvl w:ilvl="1" w:tplc="55DC6D6A" w:tentative="1">
      <w:start w:val="1"/>
      <w:numFmt w:val="bullet"/>
      <w:lvlText w:val="•"/>
      <w:lvlJc w:val="left"/>
      <w:pPr>
        <w:tabs>
          <w:tab w:val="num" w:pos="1440"/>
        </w:tabs>
        <w:ind w:left="1440" w:hanging="360"/>
      </w:pPr>
      <w:rPr>
        <w:rFonts w:ascii="Arial" w:hAnsi="Arial" w:hint="default"/>
      </w:rPr>
    </w:lvl>
    <w:lvl w:ilvl="2" w:tplc="05A01436" w:tentative="1">
      <w:start w:val="1"/>
      <w:numFmt w:val="bullet"/>
      <w:lvlText w:val="•"/>
      <w:lvlJc w:val="left"/>
      <w:pPr>
        <w:tabs>
          <w:tab w:val="num" w:pos="2160"/>
        </w:tabs>
        <w:ind w:left="2160" w:hanging="360"/>
      </w:pPr>
      <w:rPr>
        <w:rFonts w:ascii="Arial" w:hAnsi="Arial" w:hint="default"/>
      </w:rPr>
    </w:lvl>
    <w:lvl w:ilvl="3" w:tplc="B4C8FE92" w:tentative="1">
      <w:start w:val="1"/>
      <w:numFmt w:val="bullet"/>
      <w:lvlText w:val="•"/>
      <w:lvlJc w:val="left"/>
      <w:pPr>
        <w:tabs>
          <w:tab w:val="num" w:pos="2880"/>
        </w:tabs>
        <w:ind w:left="2880" w:hanging="360"/>
      </w:pPr>
      <w:rPr>
        <w:rFonts w:ascii="Arial" w:hAnsi="Arial" w:hint="default"/>
      </w:rPr>
    </w:lvl>
    <w:lvl w:ilvl="4" w:tplc="C76AC3AC" w:tentative="1">
      <w:start w:val="1"/>
      <w:numFmt w:val="bullet"/>
      <w:lvlText w:val="•"/>
      <w:lvlJc w:val="left"/>
      <w:pPr>
        <w:tabs>
          <w:tab w:val="num" w:pos="3600"/>
        </w:tabs>
        <w:ind w:left="3600" w:hanging="360"/>
      </w:pPr>
      <w:rPr>
        <w:rFonts w:ascii="Arial" w:hAnsi="Arial" w:hint="default"/>
      </w:rPr>
    </w:lvl>
    <w:lvl w:ilvl="5" w:tplc="45BA49B6" w:tentative="1">
      <w:start w:val="1"/>
      <w:numFmt w:val="bullet"/>
      <w:lvlText w:val="•"/>
      <w:lvlJc w:val="left"/>
      <w:pPr>
        <w:tabs>
          <w:tab w:val="num" w:pos="4320"/>
        </w:tabs>
        <w:ind w:left="4320" w:hanging="360"/>
      </w:pPr>
      <w:rPr>
        <w:rFonts w:ascii="Arial" w:hAnsi="Arial" w:hint="default"/>
      </w:rPr>
    </w:lvl>
    <w:lvl w:ilvl="6" w:tplc="46E07EE2" w:tentative="1">
      <w:start w:val="1"/>
      <w:numFmt w:val="bullet"/>
      <w:lvlText w:val="•"/>
      <w:lvlJc w:val="left"/>
      <w:pPr>
        <w:tabs>
          <w:tab w:val="num" w:pos="5040"/>
        </w:tabs>
        <w:ind w:left="5040" w:hanging="360"/>
      </w:pPr>
      <w:rPr>
        <w:rFonts w:ascii="Arial" w:hAnsi="Arial" w:hint="default"/>
      </w:rPr>
    </w:lvl>
    <w:lvl w:ilvl="7" w:tplc="092C549E" w:tentative="1">
      <w:start w:val="1"/>
      <w:numFmt w:val="bullet"/>
      <w:lvlText w:val="•"/>
      <w:lvlJc w:val="left"/>
      <w:pPr>
        <w:tabs>
          <w:tab w:val="num" w:pos="5760"/>
        </w:tabs>
        <w:ind w:left="5760" w:hanging="360"/>
      </w:pPr>
      <w:rPr>
        <w:rFonts w:ascii="Arial" w:hAnsi="Arial" w:hint="default"/>
      </w:rPr>
    </w:lvl>
    <w:lvl w:ilvl="8" w:tplc="A7282E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F61E46"/>
    <w:multiLevelType w:val="multilevel"/>
    <w:tmpl w:val="2992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83100">
    <w:abstractNumId w:val="0"/>
  </w:num>
  <w:num w:numId="2" w16cid:durableId="1908572129">
    <w:abstractNumId w:val="1"/>
  </w:num>
  <w:num w:numId="3" w16cid:durableId="532814658">
    <w:abstractNumId w:val="8"/>
  </w:num>
  <w:num w:numId="4" w16cid:durableId="49617252">
    <w:abstractNumId w:val="3"/>
  </w:num>
  <w:num w:numId="5" w16cid:durableId="1178737199">
    <w:abstractNumId w:val="4"/>
  </w:num>
  <w:num w:numId="6" w16cid:durableId="1152912862">
    <w:abstractNumId w:val="5"/>
  </w:num>
  <w:num w:numId="7" w16cid:durableId="1930193230">
    <w:abstractNumId w:val="7"/>
  </w:num>
  <w:num w:numId="8" w16cid:durableId="1865636410">
    <w:abstractNumId w:val="6"/>
  </w:num>
  <w:num w:numId="9" w16cid:durableId="9501648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esh Vaidya">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C4C"/>
    <w:rsid w:val="00071749"/>
    <w:rsid w:val="000B30E9"/>
    <w:rsid w:val="000F0F95"/>
    <w:rsid w:val="00147CCE"/>
    <w:rsid w:val="00171D18"/>
    <w:rsid w:val="001F3A35"/>
    <w:rsid w:val="00251238"/>
    <w:rsid w:val="00263DDC"/>
    <w:rsid w:val="002D53D8"/>
    <w:rsid w:val="003C161E"/>
    <w:rsid w:val="00443C4C"/>
    <w:rsid w:val="00470968"/>
    <w:rsid w:val="00472CFB"/>
    <w:rsid w:val="00486A76"/>
    <w:rsid w:val="00520B79"/>
    <w:rsid w:val="00523AA2"/>
    <w:rsid w:val="005B5DA5"/>
    <w:rsid w:val="005D15B1"/>
    <w:rsid w:val="005F67AA"/>
    <w:rsid w:val="006054BA"/>
    <w:rsid w:val="00626096"/>
    <w:rsid w:val="00683336"/>
    <w:rsid w:val="006A782D"/>
    <w:rsid w:val="006D5E43"/>
    <w:rsid w:val="006D6823"/>
    <w:rsid w:val="00743072"/>
    <w:rsid w:val="007A481D"/>
    <w:rsid w:val="00832A1E"/>
    <w:rsid w:val="00895B2E"/>
    <w:rsid w:val="0098335C"/>
    <w:rsid w:val="009E670C"/>
    <w:rsid w:val="00A75799"/>
    <w:rsid w:val="00AA48C5"/>
    <w:rsid w:val="00AB6EFD"/>
    <w:rsid w:val="00AE4200"/>
    <w:rsid w:val="00AF6DB6"/>
    <w:rsid w:val="00B413F7"/>
    <w:rsid w:val="00B64CE9"/>
    <w:rsid w:val="00B722D5"/>
    <w:rsid w:val="00B766D0"/>
    <w:rsid w:val="00C2483A"/>
    <w:rsid w:val="00C47702"/>
    <w:rsid w:val="00C53EB9"/>
    <w:rsid w:val="00D1297E"/>
    <w:rsid w:val="00D831F5"/>
    <w:rsid w:val="00DC153F"/>
    <w:rsid w:val="00E97343"/>
    <w:rsid w:val="00EE534B"/>
    <w:rsid w:val="00F54739"/>
    <w:rsid w:val="00F56FF7"/>
    <w:rsid w:val="00F66AA3"/>
    <w:rsid w:val="00FE63E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25E59"/>
  <w15:docId w15:val="{38F53A37-B088-49A5-AB50-47F58348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FD"/>
  </w:style>
  <w:style w:type="paragraph" w:styleId="Heading3">
    <w:name w:val="heading 3"/>
    <w:basedOn w:val="Normal"/>
    <w:link w:val="Heading3Char"/>
    <w:uiPriority w:val="9"/>
    <w:qFormat/>
    <w:rsid w:val="00B72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3A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C4C"/>
    <w:rPr>
      <w:b/>
      <w:bCs/>
    </w:rPr>
  </w:style>
  <w:style w:type="character" w:styleId="Hyperlink">
    <w:name w:val="Hyperlink"/>
    <w:basedOn w:val="DefaultParagraphFont"/>
    <w:uiPriority w:val="99"/>
    <w:unhideWhenUsed/>
    <w:rsid w:val="000F0F95"/>
    <w:rPr>
      <w:color w:val="0000FF" w:themeColor="hyperlink"/>
      <w:u w:val="single"/>
    </w:rPr>
  </w:style>
  <w:style w:type="paragraph" w:styleId="ListParagraph">
    <w:name w:val="List Paragraph"/>
    <w:basedOn w:val="Normal"/>
    <w:uiPriority w:val="34"/>
    <w:qFormat/>
    <w:rsid w:val="000F0F95"/>
    <w:pPr>
      <w:ind w:left="720"/>
      <w:contextualSpacing/>
    </w:pPr>
  </w:style>
  <w:style w:type="character" w:customStyle="1" w:styleId="red">
    <w:name w:val="red"/>
    <w:basedOn w:val="DefaultParagraphFont"/>
    <w:rsid w:val="00520B79"/>
  </w:style>
  <w:style w:type="character" w:customStyle="1" w:styleId="Heading3Char">
    <w:name w:val="Heading 3 Char"/>
    <w:basedOn w:val="DefaultParagraphFont"/>
    <w:link w:val="Heading3"/>
    <w:uiPriority w:val="9"/>
    <w:rsid w:val="00B722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23AA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A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1D"/>
    <w:rPr>
      <w:rFonts w:ascii="Tahoma" w:hAnsi="Tahoma" w:cs="Tahoma"/>
      <w:sz w:val="16"/>
      <w:szCs w:val="16"/>
    </w:rPr>
  </w:style>
  <w:style w:type="paragraph" w:styleId="NormalWeb">
    <w:name w:val="Normal (Web)"/>
    <w:basedOn w:val="Normal"/>
    <w:uiPriority w:val="99"/>
    <w:semiHidden/>
    <w:unhideWhenUsed/>
    <w:rsid w:val="000B30E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F67AA"/>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F6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67AA"/>
    <w:rPr>
      <w:rFonts w:ascii="Courier New" w:eastAsia="Times New Roman" w:hAnsi="Courier New" w:cs="Courier New"/>
      <w:sz w:val="20"/>
      <w:szCs w:val="20"/>
    </w:rPr>
  </w:style>
  <w:style w:type="table" w:styleId="TableGrid">
    <w:name w:val="Table Grid"/>
    <w:basedOn w:val="TableNormal"/>
    <w:uiPriority w:val="59"/>
    <w:rsid w:val="00FE6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D5E43"/>
    <w:rPr>
      <w:color w:val="605E5C"/>
      <w:shd w:val="clear" w:color="auto" w:fill="E1DFDD"/>
    </w:rPr>
  </w:style>
  <w:style w:type="paragraph" w:styleId="Header">
    <w:name w:val="header"/>
    <w:basedOn w:val="Normal"/>
    <w:link w:val="HeaderChar"/>
    <w:uiPriority w:val="99"/>
    <w:unhideWhenUsed/>
    <w:rsid w:val="00C47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02"/>
  </w:style>
  <w:style w:type="paragraph" w:styleId="Footer">
    <w:name w:val="footer"/>
    <w:basedOn w:val="Normal"/>
    <w:link w:val="FooterChar"/>
    <w:uiPriority w:val="99"/>
    <w:unhideWhenUsed/>
    <w:rsid w:val="00C47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02"/>
  </w:style>
  <w:style w:type="character" w:styleId="CommentReference">
    <w:name w:val="annotation reference"/>
    <w:basedOn w:val="DefaultParagraphFont"/>
    <w:uiPriority w:val="99"/>
    <w:semiHidden/>
    <w:unhideWhenUsed/>
    <w:rsid w:val="00C2483A"/>
    <w:rPr>
      <w:sz w:val="16"/>
      <w:szCs w:val="16"/>
    </w:rPr>
  </w:style>
  <w:style w:type="paragraph" w:styleId="CommentText">
    <w:name w:val="annotation text"/>
    <w:basedOn w:val="Normal"/>
    <w:link w:val="CommentTextChar"/>
    <w:uiPriority w:val="99"/>
    <w:unhideWhenUsed/>
    <w:rsid w:val="00C2483A"/>
    <w:pPr>
      <w:spacing w:line="240" w:lineRule="auto"/>
    </w:pPr>
    <w:rPr>
      <w:sz w:val="20"/>
      <w:szCs w:val="20"/>
    </w:rPr>
  </w:style>
  <w:style w:type="character" w:customStyle="1" w:styleId="CommentTextChar">
    <w:name w:val="Comment Text Char"/>
    <w:basedOn w:val="DefaultParagraphFont"/>
    <w:link w:val="CommentText"/>
    <w:uiPriority w:val="99"/>
    <w:rsid w:val="00C2483A"/>
    <w:rPr>
      <w:sz w:val="20"/>
      <w:szCs w:val="20"/>
    </w:rPr>
  </w:style>
  <w:style w:type="paragraph" w:styleId="CommentSubject">
    <w:name w:val="annotation subject"/>
    <w:basedOn w:val="CommentText"/>
    <w:next w:val="CommentText"/>
    <w:link w:val="CommentSubjectChar"/>
    <w:uiPriority w:val="99"/>
    <w:semiHidden/>
    <w:unhideWhenUsed/>
    <w:rsid w:val="00C2483A"/>
    <w:rPr>
      <w:b/>
      <w:bCs/>
    </w:rPr>
  </w:style>
  <w:style w:type="character" w:customStyle="1" w:styleId="CommentSubjectChar">
    <w:name w:val="Comment Subject Char"/>
    <w:basedOn w:val="CommentTextChar"/>
    <w:link w:val="CommentSubject"/>
    <w:uiPriority w:val="99"/>
    <w:semiHidden/>
    <w:rsid w:val="00C248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7758">
      <w:bodyDiv w:val="1"/>
      <w:marLeft w:val="0"/>
      <w:marRight w:val="0"/>
      <w:marTop w:val="0"/>
      <w:marBottom w:val="0"/>
      <w:divBdr>
        <w:top w:val="none" w:sz="0" w:space="0" w:color="auto"/>
        <w:left w:val="none" w:sz="0" w:space="0" w:color="auto"/>
        <w:bottom w:val="none" w:sz="0" w:space="0" w:color="auto"/>
        <w:right w:val="none" w:sz="0" w:space="0" w:color="auto"/>
      </w:divBdr>
    </w:div>
    <w:div w:id="325520107">
      <w:bodyDiv w:val="1"/>
      <w:marLeft w:val="0"/>
      <w:marRight w:val="0"/>
      <w:marTop w:val="0"/>
      <w:marBottom w:val="0"/>
      <w:divBdr>
        <w:top w:val="none" w:sz="0" w:space="0" w:color="auto"/>
        <w:left w:val="none" w:sz="0" w:space="0" w:color="auto"/>
        <w:bottom w:val="none" w:sz="0" w:space="0" w:color="auto"/>
        <w:right w:val="none" w:sz="0" w:space="0" w:color="auto"/>
      </w:divBdr>
    </w:div>
    <w:div w:id="415520545">
      <w:bodyDiv w:val="1"/>
      <w:marLeft w:val="0"/>
      <w:marRight w:val="0"/>
      <w:marTop w:val="0"/>
      <w:marBottom w:val="0"/>
      <w:divBdr>
        <w:top w:val="none" w:sz="0" w:space="0" w:color="auto"/>
        <w:left w:val="none" w:sz="0" w:space="0" w:color="auto"/>
        <w:bottom w:val="none" w:sz="0" w:space="0" w:color="auto"/>
        <w:right w:val="none" w:sz="0" w:space="0" w:color="auto"/>
      </w:divBdr>
    </w:div>
    <w:div w:id="441386982">
      <w:bodyDiv w:val="1"/>
      <w:marLeft w:val="0"/>
      <w:marRight w:val="0"/>
      <w:marTop w:val="0"/>
      <w:marBottom w:val="0"/>
      <w:divBdr>
        <w:top w:val="none" w:sz="0" w:space="0" w:color="auto"/>
        <w:left w:val="none" w:sz="0" w:space="0" w:color="auto"/>
        <w:bottom w:val="none" w:sz="0" w:space="0" w:color="auto"/>
        <w:right w:val="none" w:sz="0" w:space="0" w:color="auto"/>
      </w:divBdr>
      <w:divsChild>
        <w:div w:id="550387350">
          <w:marLeft w:val="446"/>
          <w:marRight w:val="0"/>
          <w:marTop w:val="67"/>
          <w:marBottom w:val="120"/>
          <w:divBdr>
            <w:top w:val="none" w:sz="0" w:space="0" w:color="auto"/>
            <w:left w:val="none" w:sz="0" w:space="0" w:color="auto"/>
            <w:bottom w:val="none" w:sz="0" w:space="0" w:color="auto"/>
            <w:right w:val="none" w:sz="0" w:space="0" w:color="auto"/>
          </w:divBdr>
        </w:div>
      </w:divsChild>
    </w:div>
    <w:div w:id="738676696">
      <w:bodyDiv w:val="1"/>
      <w:marLeft w:val="0"/>
      <w:marRight w:val="0"/>
      <w:marTop w:val="0"/>
      <w:marBottom w:val="0"/>
      <w:divBdr>
        <w:top w:val="none" w:sz="0" w:space="0" w:color="auto"/>
        <w:left w:val="none" w:sz="0" w:space="0" w:color="auto"/>
        <w:bottom w:val="none" w:sz="0" w:space="0" w:color="auto"/>
        <w:right w:val="none" w:sz="0" w:space="0" w:color="auto"/>
      </w:divBdr>
      <w:divsChild>
        <w:div w:id="1352412157">
          <w:marLeft w:val="446"/>
          <w:marRight w:val="0"/>
          <w:marTop w:val="96"/>
          <w:marBottom w:val="120"/>
          <w:divBdr>
            <w:top w:val="none" w:sz="0" w:space="0" w:color="auto"/>
            <w:left w:val="none" w:sz="0" w:space="0" w:color="auto"/>
            <w:bottom w:val="none" w:sz="0" w:space="0" w:color="auto"/>
            <w:right w:val="none" w:sz="0" w:space="0" w:color="auto"/>
          </w:divBdr>
        </w:div>
      </w:divsChild>
    </w:div>
    <w:div w:id="847057575">
      <w:bodyDiv w:val="1"/>
      <w:marLeft w:val="0"/>
      <w:marRight w:val="0"/>
      <w:marTop w:val="0"/>
      <w:marBottom w:val="0"/>
      <w:divBdr>
        <w:top w:val="none" w:sz="0" w:space="0" w:color="auto"/>
        <w:left w:val="none" w:sz="0" w:space="0" w:color="auto"/>
        <w:bottom w:val="none" w:sz="0" w:space="0" w:color="auto"/>
        <w:right w:val="none" w:sz="0" w:space="0" w:color="auto"/>
      </w:divBdr>
    </w:div>
    <w:div w:id="861437161">
      <w:bodyDiv w:val="1"/>
      <w:marLeft w:val="0"/>
      <w:marRight w:val="0"/>
      <w:marTop w:val="0"/>
      <w:marBottom w:val="0"/>
      <w:divBdr>
        <w:top w:val="none" w:sz="0" w:space="0" w:color="auto"/>
        <w:left w:val="none" w:sz="0" w:space="0" w:color="auto"/>
        <w:bottom w:val="none" w:sz="0" w:space="0" w:color="auto"/>
        <w:right w:val="none" w:sz="0" w:space="0" w:color="auto"/>
      </w:divBdr>
    </w:div>
    <w:div w:id="999817704">
      <w:bodyDiv w:val="1"/>
      <w:marLeft w:val="0"/>
      <w:marRight w:val="0"/>
      <w:marTop w:val="0"/>
      <w:marBottom w:val="0"/>
      <w:divBdr>
        <w:top w:val="none" w:sz="0" w:space="0" w:color="auto"/>
        <w:left w:val="none" w:sz="0" w:space="0" w:color="auto"/>
        <w:bottom w:val="none" w:sz="0" w:space="0" w:color="auto"/>
        <w:right w:val="none" w:sz="0" w:space="0" w:color="auto"/>
      </w:divBdr>
    </w:div>
    <w:div w:id="1255164944">
      <w:bodyDiv w:val="1"/>
      <w:marLeft w:val="0"/>
      <w:marRight w:val="0"/>
      <w:marTop w:val="0"/>
      <w:marBottom w:val="0"/>
      <w:divBdr>
        <w:top w:val="none" w:sz="0" w:space="0" w:color="auto"/>
        <w:left w:val="none" w:sz="0" w:space="0" w:color="auto"/>
        <w:bottom w:val="none" w:sz="0" w:space="0" w:color="auto"/>
        <w:right w:val="none" w:sz="0" w:space="0" w:color="auto"/>
      </w:divBdr>
    </w:div>
    <w:div w:id="1342703122">
      <w:bodyDiv w:val="1"/>
      <w:marLeft w:val="0"/>
      <w:marRight w:val="0"/>
      <w:marTop w:val="0"/>
      <w:marBottom w:val="0"/>
      <w:divBdr>
        <w:top w:val="none" w:sz="0" w:space="0" w:color="auto"/>
        <w:left w:val="none" w:sz="0" w:space="0" w:color="auto"/>
        <w:bottom w:val="none" w:sz="0" w:space="0" w:color="auto"/>
        <w:right w:val="none" w:sz="0" w:space="0" w:color="auto"/>
      </w:divBdr>
    </w:div>
    <w:div w:id="1356880626">
      <w:bodyDiv w:val="1"/>
      <w:marLeft w:val="0"/>
      <w:marRight w:val="0"/>
      <w:marTop w:val="0"/>
      <w:marBottom w:val="0"/>
      <w:divBdr>
        <w:top w:val="none" w:sz="0" w:space="0" w:color="auto"/>
        <w:left w:val="none" w:sz="0" w:space="0" w:color="auto"/>
        <w:bottom w:val="none" w:sz="0" w:space="0" w:color="auto"/>
        <w:right w:val="none" w:sz="0" w:space="0" w:color="auto"/>
      </w:divBdr>
    </w:div>
    <w:div w:id="1362432634">
      <w:bodyDiv w:val="1"/>
      <w:marLeft w:val="0"/>
      <w:marRight w:val="0"/>
      <w:marTop w:val="0"/>
      <w:marBottom w:val="0"/>
      <w:divBdr>
        <w:top w:val="none" w:sz="0" w:space="0" w:color="auto"/>
        <w:left w:val="none" w:sz="0" w:space="0" w:color="auto"/>
        <w:bottom w:val="none" w:sz="0" w:space="0" w:color="auto"/>
        <w:right w:val="none" w:sz="0" w:space="0" w:color="auto"/>
      </w:divBdr>
      <w:divsChild>
        <w:div w:id="881790632">
          <w:marLeft w:val="446"/>
          <w:marRight w:val="0"/>
          <w:marTop w:val="106"/>
          <w:marBottom w:val="120"/>
          <w:divBdr>
            <w:top w:val="none" w:sz="0" w:space="0" w:color="auto"/>
            <w:left w:val="none" w:sz="0" w:space="0" w:color="auto"/>
            <w:bottom w:val="none" w:sz="0" w:space="0" w:color="auto"/>
            <w:right w:val="none" w:sz="0" w:space="0" w:color="auto"/>
          </w:divBdr>
        </w:div>
        <w:div w:id="1600986847">
          <w:marLeft w:val="446"/>
          <w:marRight w:val="0"/>
          <w:marTop w:val="106"/>
          <w:marBottom w:val="120"/>
          <w:divBdr>
            <w:top w:val="none" w:sz="0" w:space="0" w:color="auto"/>
            <w:left w:val="none" w:sz="0" w:space="0" w:color="auto"/>
            <w:bottom w:val="none" w:sz="0" w:space="0" w:color="auto"/>
            <w:right w:val="none" w:sz="0" w:space="0" w:color="auto"/>
          </w:divBdr>
        </w:div>
        <w:div w:id="1363050467">
          <w:marLeft w:val="446"/>
          <w:marRight w:val="0"/>
          <w:marTop w:val="106"/>
          <w:marBottom w:val="120"/>
          <w:divBdr>
            <w:top w:val="none" w:sz="0" w:space="0" w:color="auto"/>
            <w:left w:val="none" w:sz="0" w:space="0" w:color="auto"/>
            <w:bottom w:val="none" w:sz="0" w:space="0" w:color="auto"/>
            <w:right w:val="none" w:sz="0" w:space="0" w:color="auto"/>
          </w:divBdr>
        </w:div>
      </w:divsChild>
    </w:div>
    <w:div w:id="1466971934">
      <w:bodyDiv w:val="1"/>
      <w:marLeft w:val="0"/>
      <w:marRight w:val="0"/>
      <w:marTop w:val="0"/>
      <w:marBottom w:val="0"/>
      <w:divBdr>
        <w:top w:val="none" w:sz="0" w:space="0" w:color="auto"/>
        <w:left w:val="none" w:sz="0" w:space="0" w:color="auto"/>
        <w:bottom w:val="none" w:sz="0" w:space="0" w:color="auto"/>
        <w:right w:val="none" w:sz="0" w:space="0" w:color="auto"/>
      </w:divBdr>
    </w:div>
    <w:div w:id="1620333410">
      <w:bodyDiv w:val="1"/>
      <w:marLeft w:val="0"/>
      <w:marRight w:val="0"/>
      <w:marTop w:val="0"/>
      <w:marBottom w:val="0"/>
      <w:divBdr>
        <w:top w:val="none" w:sz="0" w:space="0" w:color="auto"/>
        <w:left w:val="none" w:sz="0" w:space="0" w:color="auto"/>
        <w:bottom w:val="none" w:sz="0" w:space="0" w:color="auto"/>
        <w:right w:val="none" w:sz="0" w:space="0" w:color="auto"/>
      </w:divBdr>
      <w:divsChild>
        <w:div w:id="1737627018">
          <w:marLeft w:val="446"/>
          <w:marRight w:val="0"/>
          <w:marTop w:val="72"/>
          <w:marBottom w:val="120"/>
          <w:divBdr>
            <w:top w:val="none" w:sz="0" w:space="0" w:color="auto"/>
            <w:left w:val="none" w:sz="0" w:space="0" w:color="auto"/>
            <w:bottom w:val="none" w:sz="0" w:space="0" w:color="auto"/>
            <w:right w:val="none" w:sz="0" w:space="0" w:color="auto"/>
          </w:divBdr>
        </w:div>
      </w:divsChild>
    </w:div>
    <w:div w:id="1620794166">
      <w:bodyDiv w:val="1"/>
      <w:marLeft w:val="0"/>
      <w:marRight w:val="0"/>
      <w:marTop w:val="0"/>
      <w:marBottom w:val="0"/>
      <w:divBdr>
        <w:top w:val="none" w:sz="0" w:space="0" w:color="auto"/>
        <w:left w:val="none" w:sz="0" w:space="0" w:color="auto"/>
        <w:bottom w:val="none" w:sz="0" w:space="0" w:color="auto"/>
        <w:right w:val="none" w:sz="0" w:space="0" w:color="auto"/>
      </w:divBdr>
    </w:div>
    <w:div w:id="1792244715">
      <w:bodyDiv w:val="1"/>
      <w:marLeft w:val="0"/>
      <w:marRight w:val="0"/>
      <w:marTop w:val="0"/>
      <w:marBottom w:val="0"/>
      <w:divBdr>
        <w:top w:val="none" w:sz="0" w:space="0" w:color="auto"/>
        <w:left w:val="none" w:sz="0" w:space="0" w:color="auto"/>
        <w:bottom w:val="none" w:sz="0" w:space="0" w:color="auto"/>
        <w:right w:val="none" w:sz="0" w:space="0" w:color="auto"/>
      </w:divBdr>
    </w:div>
    <w:div w:id="1820151706">
      <w:bodyDiv w:val="1"/>
      <w:marLeft w:val="0"/>
      <w:marRight w:val="0"/>
      <w:marTop w:val="0"/>
      <w:marBottom w:val="0"/>
      <w:divBdr>
        <w:top w:val="none" w:sz="0" w:space="0" w:color="auto"/>
        <w:left w:val="none" w:sz="0" w:space="0" w:color="auto"/>
        <w:bottom w:val="none" w:sz="0" w:space="0" w:color="auto"/>
        <w:right w:val="none" w:sz="0" w:space="0" w:color="auto"/>
      </w:divBdr>
    </w:div>
    <w:div w:id="1938828111">
      <w:bodyDiv w:val="1"/>
      <w:marLeft w:val="0"/>
      <w:marRight w:val="0"/>
      <w:marTop w:val="0"/>
      <w:marBottom w:val="0"/>
      <w:divBdr>
        <w:top w:val="none" w:sz="0" w:space="0" w:color="auto"/>
        <w:left w:val="none" w:sz="0" w:space="0" w:color="auto"/>
        <w:bottom w:val="none" w:sz="0" w:space="0" w:color="auto"/>
        <w:right w:val="none" w:sz="0" w:space="0" w:color="auto"/>
      </w:divBdr>
      <w:divsChild>
        <w:div w:id="1353997558">
          <w:marLeft w:val="446"/>
          <w:marRight w:val="0"/>
          <w:marTop w:val="72"/>
          <w:marBottom w:val="120"/>
          <w:divBdr>
            <w:top w:val="none" w:sz="0" w:space="0" w:color="auto"/>
            <w:left w:val="none" w:sz="0" w:space="0" w:color="auto"/>
            <w:bottom w:val="none" w:sz="0" w:space="0" w:color="auto"/>
            <w:right w:val="none" w:sz="0" w:space="0" w:color="auto"/>
          </w:divBdr>
        </w:div>
      </w:divsChild>
    </w:div>
    <w:div w:id="19816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ec.europa.eu/clima/sites/clima/files/ets/docs/clean_dev%20mechanism%20en.pdf" TargetMode="External"/><Relationship Id="rId26" Type="http://schemas.openxmlformats.org/officeDocument/2006/relationships/hyperlink" Target="https://icapcarbonaction.com/en/status-report-2023" TargetMode="External"/><Relationship Id="rId39" Type="http://schemas.openxmlformats.org/officeDocument/2006/relationships/header" Target="header1.xml"/><Relationship Id="rId21" Type="http://schemas.openxmlformats.org/officeDocument/2006/relationships/hyperlink" Target="https://doi.org/10.1093/reep/rem003" TargetMode="External"/><Relationship Id="rId34" Type="http://schemas.openxmlformats.org/officeDocument/2006/relationships/hyperlink" Target="https://unfccc.int"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mckinsey.com" TargetMode="External"/><Relationship Id="rId29" Type="http://schemas.openxmlformats.org/officeDocument/2006/relationships/hyperlink" Target="https://ncdmaindia.gov.in/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eea.europa.eu" TargetMode="External"/><Relationship Id="rId32" Type="http://schemas.openxmlformats.org/officeDocument/2006/relationships/hyperlink" Target="https://www.iif.com/tsvcm" TargetMode="External"/><Relationship Id="rId37" Type="http://schemas.openxmlformats.org/officeDocument/2006/relationships/hyperlink" Target="https://verra.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eeindia.gov.in" TargetMode="External"/><Relationship Id="rId23" Type="http://schemas.openxmlformats.org/officeDocument/2006/relationships/hyperlink" Target="https://climate.ec.europa.eu/eu-action/eu-emissions-trading-system-eu-ets_en" TargetMode="External"/><Relationship Id="rId28" Type="http://schemas.openxmlformats.org/officeDocument/2006/relationships/hyperlink" Target="https://www.ipcc.ch/report/%20ar6/wg1/" TargetMode="External"/><Relationship Id="rId36" Type="http://schemas.openxmlformats.org/officeDocument/2006/relationships/hyperlink" Target="https://unfccc.int/process-and-meetings/the-paris-agreement/the-paris-agreement" TargetMode="External"/><Relationship Id="rId10" Type="http://schemas.microsoft.com/office/2018/08/relationships/commentsExtensible" Target="commentsExtensible.xml"/><Relationship Id="rId19" Type="http://schemas.openxmlformats.org/officeDocument/2006/relationships/hyperlink" Target="https://ww2.arb.ca.gov/our-work/programs/cap-and-trade-program" TargetMode="External"/><Relationship Id="rId31" Type="http://schemas.openxmlformats.org/officeDocument/2006/relationships/hyperlink" Target="https://www.oecd.org/environment/" TargetMode="External"/><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1017%20/CBO9780511760803" TargetMode="External"/><Relationship Id="rId27" Type="http://schemas.openxmlformats.org/officeDocument/2006/relationships/hyperlink" Target="https://icvcm.org" TargetMode="External"/><Relationship Id="rId30" Type="http://schemas.openxmlformats.org/officeDocument/2006/relationships/hyperlink" Target="https://doi.org/10.1257/jep.27.1.123" TargetMode="External"/><Relationship Id="rId35" Type="http://schemas.openxmlformats.org/officeDocument/2006/relationships/hyperlink" Target="https://unfccc.int" TargetMode="External"/><Relationship Id="rId43"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sei.org" TargetMode="External"/><Relationship Id="rId25" Type="http://schemas.openxmlformats.org/officeDocument/2006/relationships/hyperlink" Target="https://www.goldstandard.org" TargetMode="External"/><Relationship Id="rId33" Type="http://schemas.openxmlformats.org/officeDocument/2006/relationships/hyperlink" Target="https://www.cdmpipeline.org" TargetMode="External"/><Relationship Id="rId38" Type="http://schemas.openxmlformats.org/officeDocument/2006/relationships/hyperlink" Target="https://openknowledge.worldbank.org" TargetMode="External"/><Relationship Id="rId46" Type="http://schemas.microsoft.com/office/2011/relationships/people" Target="people.xml"/><Relationship Id="rId20" Type="http://schemas.openxmlformats.org/officeDocument/2006/relationships/hyperlink" Target="https://www.ecosystemmarketplace.com"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FROM%20C%20DRIVE\Ph.%20D\RV%20sir\Carbon\ghg-emissions-by-sector%20(1).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ROM%20C%20DRIVE\Ph.%20D\RV%20sir\Carbon\ghg-emissions-by-sector%20(1).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nju\Downloads\FAOSTAT_data_en_2-14-2024%20(4).csv"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sz="1100"/>
              <a:t>Figure -1, Sectoral  Contribution of GHG Emission in the World</a:t>
            </a:r>
          </a:p>
        </c:rich>
      </c:tx>
      <c:overlay val="0"/>
    </c:title>
    <c:autoTitleDeleted val="0"/>
    <c:plotArea>
      <c:layout>
        <c:manualLayout>
          <c:layoutTarget val="inner"/>
          <c:xMode val="edge"/>
          <c:yMode val="edge"/>
          <c:x val="0.3041192162052383"/>
          <c:y val="0.10964541889034241"/>
          <c:w val="0.70467410581340462"/>
          <c:h val="0.7316917623994712"/>
        </c:manualLayout>
      </c:layout>
      <c:barChart>
        <c:barDir val="bar"/>
        <c:grouping val="clustered"/>
        <c:varyColors val="0"/>
        <c:ser>
          <c:idx val="0"/>
          <c:order val="0"/>
          <c:tx>
            <c:strRef>
              <c:f>Sheet1!$F$25</c:f>
              <c:strCache>
                <c:ptCount val="1"/>
                <c:pt idx="0">
                  <c:v>Percentage of GHG</c:v>
                </c:pt>
              </c:strCache>
            </c:strRef>
          </c:tx>
          <c:spPr>
            <a:solidFill>
              <a:schemeClr val="accent3">
                <a:lumMod val="75000"/>
              </a:schemeClr>
            </a:solidFill>
          </c:spPr>
          <c:invertIfNegative val="0"/>
          <c:dLbls>
            <c:dLbl>
              <c:idx val="0"/>
              <c:tx>
                <c:rich>
                  <a:bodyPr/>
                  <a:lstStyle/>
                  <a:p>
                    <a:pPr>
                      <a:defRPr/>
                    </a:pPr>
                    <a:r>
                      <a:rPr lang="en-US"/>
                      <a:t>12.106</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718-4FD0-8635-C07CA6E8CE7E}"/>
                </c:ext>
              </c:extLst>
            </c:dLbl>
            <c:dLbl>
              <c:idx val="2"/>
              <c:layout>
                <c:manualLayout>
                  <c:x val="7.9323055792683422E-3"/>
                  <c:y val="4.61511738024142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18-4FD0-8635-C07CA6E8CE7E}"/>
                </c:ext>
              </c:extLst>
            </c:dLbl>
            <c:dLbl>
              <c:idx val="3"/>
              <c:layout>
                <c:manualLayout>
                  <c:x val="1.3881534763719743E-2"/>
                  <c:y val="9.2302347604826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18-4FD0-8635-C07CA6E8CE7E}"/>
                </c:ext>
              </c:extLst>
            </c:dLbl>
            <c:dLbl>
              <c:idx val="4"/>
              <c:layout>
                <c:manualLayout>
                  <c:x val="7.93214943152077E-3"/>
                  <c:y val="4.6147539851720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18-4FD0-8635-C07CA6E8CE7E}"/>
                </c:ext>
              </c:extLst>
            </c:dLbl>
            <c:dLbl>
              <c:idx val="5"/>
              <c:layout>
                <c:manualLayout>
                  <c:x val="1.9830763948170821E-2"/>
                  <c:y val="9.2302347604826755E-3"/>
                </c:manualLayout>
              </c:layout>
              <c:tx>
                <c:rich>
                  <a:bodyPr/>
                  <a:lstStyle/>
                  <a:p>
                    <a:r>
                      <a:rPr lang="en-US" b="0">
                        <a:latin typeface="Times New Roman" pitchFamily="18" charset="0"/>
                        <a:cs typeface="Times New Roman" pitchFamily="18" charset="0"/>
                      </a:rPr>
                      <a:t>12.844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718-4FD0-8635-C07CA6E8CE7E}"/>
                </c:ext>
              </c:extLst>
            </c:dLbl>
            <c:dLbl>
              <c:idx val="6"/>
              <c:layout>
                <c:manualLayout>
                  <c:x val="5.9492291844514518E-3"/>
                  <c:y val="9.2302347604826755E-3"/>
                </c:manualLayout>
              </c:layout>
              <c:tx>
                <c:rich>
                  <a:bodyPr/>
                  <a:lstStyle/>
                  <a:p>
                    <a:r>
                      <a:rPr lang="en-US" b="0">
                        <a:latin typeface="Times New Roman" pitchFamily="18" charset="0"/>
                        <a:cs typeface="Times New Roman" pitchFamily="18" charset="0"/>
                      </a:rPr>
                      <a:t>15.042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718-4FD0-8635-C07CA6E8CE7E}"/>
                </c:ext>
              </c:extLst>
            </c:dLbl>
            <c:dLbl>
              <c:idx val="7"/>
              <c:layout>
                <c:manualLayout>
                  <c:x val="3.9661527896341633E-3"/>
                  <c:y val="4.6151173802413403E-3"/>
                </c:manualLayout>
              </c:layout>
              <c:tx>
                <c:rich>
                  <a:bodyPr/>
                  <a:lstStyle/>
                  <a:p>
                    <a:pPr>
                      <a:defRPr/>
                    </a:pPr>
                    <a:r>
                      <a:rPr lang="en-US"/>
                      <a:t>31.333</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718-4FD0-8635-C07CA6E8CE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Sheet1!$E$26:$E$36</c:f>
              <c:strCache>
                <c:ptCount val="11"/>
                <c:pt idx="0">
                  <c:v>Agriculture</c:v>
                </c:pt>
                <c:pt idx="1">
                  <c:v>LUC &amp; Forestry</c:v>
                </c:pt>
                <c:pt idx="2">
                  <c:v>Waste</c:v>
                </c:pt>
                <c:pt idx="3">
                  <c:v>Buildings</c:v>
                </c:pt>
                <c:pt idx="4">
                  <c:v>Industry</c:v>
                </c:pt>
                <c:pt idx="5">
                  <c:v>Manu &amp; constr</c:v>
                </c:pt>
                <c:pt idx="6">
                  <c:v>Transport</c:v>
                </c:pt>
                <c:pt idx="7">
                  <c:v>Elec. &amp; Heat</c:v>
                </c:pt>
                <c:pt idx="8">
                  <c:v>Fugitive emissions  (energy)</c:v>
                </c:pt>
                <c:pt idx="9">
                  <c:v>Other fuel combustion</c:v>
                </c:pt>
                <c:pt idx="10">
                  <c:v> Bunker fuels</c:v>
                </c:pt>
              </c:strCache>
            </c:strRef>
          </c:cat>
          <c:val>
            <c:numRef>
              <c:f>Sheet1!$F$26:$F$36</c:f>
              <c:numCache>
                <c:formatCode>0.000</c:formatCode>
                <c:ptCount val="11"/>
                <c:pt idx="0">
                  <c:v>12.105914386138346</c:v>
                </c:pt>
                <c:pt idx="1">
                  <c:v>2.8734638058129192</c:v>
                </c:pt>
                <c:pt idx="2">
                  <c:v>3.4114062480437823</c:v>
                </c:pt>
                <c:pt idx="3">
                  <c:v>6.1515815220915355</c:v>
                </c:pt>
                <c:pt idx="4">
                  <c:v>6.4537613600558714</c:v>
                </c:pt>
                <c:pt idx="5">
                  <c:v>12.843871151210402</c:v>
                </c:pt>
                <c:pt idx="6">
                  <c:v>15.041934227364354</c:v>
                </c:pt>
                <c:pt idx="7">
                  <c:v>31.333227806021789</c:v>
                </c:pt>
                <c:pt idx="8">
                  <c:v>6.6534671255188034</c:v>
                </c:pt>
                <c:pt idx="9">
                  <c:v>1.1951180600590201</c:v>
                </c:pt>
                <c:pt idx="10">
                  <c:v>1.9362543076828751</c:v>
                </c:pt>
              </c:numCache>
            </c:numRef>
          </c:val>
          <c:extLst>
            <c:ext xmlns:c16="http://schemas.microsoft.com/office/drawing/2014/chart" uri="{C3380CC4-5D6E-409C-BE32-E72D297353CC}">
              <c16:uniqueId val="{00000004-F614-4FFB-98C9-BDFC6565CC2F}"/>
            </c:ext>
          </c:extLst>
        </c:ser>
        <c:dLbls>
          <c:showLegendKey val="0"/>
          <c:showVal val="1"/>
          <c:showCatName val="0"/>
          <c:showSerName val="0"/>
          <c:showPercent val="0"/>
          <c:showBubbleSize val="0"/>
        </c:dLbls>
        <c:gapWidth val="75"/>
        <c:axId val="59340672"/>
        <c:axId val="59695488"/>
      </c:barChart>
      <c:catAx>
        <c:axId val="59340672"/>
        <c:scaling>
          <c:orientation val="minMax"/>
        </c:scaling>
        <c:delete val="0"/>
        <c:axPos val="l"/>
        <c:majorGridlines/>
        <c:title>
          <c:tx>
            <c:rich>
              <a:bodyPr/>
              <a:lstStyle/>
              <a:p>
                <a:pPr>
                  <a:defRPr/>
                </a:pPr>
                <a:r>
                  <a:rPr lang="en-US"/>
                  <a:t>Different Sectors </a:t>
                </a:r>
              </a:p>
            </c:rich>
          </c:tx>
          <c:layout>
            <c:manualLayout>
              <c:xMode val="edge"/>
              <c:yMode val="edge"/>
              <c:x val="4.1644604291158696E-2"/>
              <c:y val="0.34958060575051175"/>
            </c:manualLayout>
          </c:layout>
          <c:overlay val="0"/>
        </c:title>
        <c:numFmt formatCode="General" sourceLinked="0"/>
        <c:majorTickMark val="none"/>
        <c:minorTickMark val="none"/>
        <c:tickLblPos val="nextTo"/>
        <c:crossAx val="59695488"/>
        <c:crosses val="autoZero"/>
        <c:auto val="1"/>
        <c:lblAlgn val="ctr"/>
        <c:lblOffset val="100"/>
        <c:noMultiLvlLbl val="0"/>
      </c:catAx>
      <c:valAx>
        <c:axId val="59695488"/>
        <c:scaling>
          <c:orientation val="minMax"/>
        </c:scaling>
        <c:delete val="0"/>
        <c:axPos val="b"/>
        <c:title>
          <c:tx>
            <c:rich>
              <a:bodyPr/>
              <a:lstStyle/>
              <a:p>
                <a:pPr>
                  <a:defRPr/>
                </a:pPr>
                <a:r>
                  <a:rPr lang="en-US"/>
                  <a:t>Percentage</a:t>
                </a:r>
              </a:p>
            </c:rich>
          </c:tx>
          <c:layout>
            <c:manualLayout>
              <c:xMode val="edge"/>
              <c:yMode val="edge"/>
              <c:x val="0.55562228735621921"/>
              <c:y val="0.92322841884110662"/>
            </c:manualLayout>
          </c:layout>
          <c:overlay val="0"/>
        </c:title>
        <c:numFmt formatCode="0.000" sourceLinked="1"/>
        <c:majorTickMark val="none"/>
        <c:minorTickMark val="none"/>
        <c:tickLblPos val="nextTo"/>
        <c:crossAx val="59340672"/>
        <c:crosses val="autoZero"/>
        <c:crossBetween val="between"/>
      </c:valAx>
      <c:spPr>
        <a:solidFill>
          <a:schemeClr val="lt1"/>
        </a:solidFill>
        <a:ln w="25400" cap="flat" cmpd="sng" algn="ctr">
          <a:noFill/>
          <a:prstDash val="solid"/>
        </a:ln>
        <a:effectLst/>
      </c:spPr>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US" sz="1100"/>
              <a:t>Figure 2, Share of GHG Emission from Different Sectors in India</a:t>
            </a:r>
          </a:p>
        </c:rich>
      </c:tx>
      <c:layout>
        <c:manualLayout>
          <c:xMode val="edge"/>
          <c:yMode val="edge"/>
          <c:x val="0.16700203725077589"/>
          <c:y val="2.3148148148148147E-2"/>
        </c:manualLayout>
      </c:layout>
      <c:overlay val="0"/>
    </c:title>
    <c:autoTitleDeleted val="0"/>
    <c:plotArea>
      <c:layout>
        <c:manualLayout>
          <c:layoutTarget val="inner"/>
          <c:xMode val="edge"/>
          <c:yMode val="edge"/>
          <c:x val="0.13507044400491172"/>
          <c:y val="0.11823610659128803"/>
          <c:w val="0.82567444606200302"/>
          <c:h val="0.74565161533123192"/>
        </c:manualLayout>
      </c:layout>
      <c:barChart>
        <c:barDir val="bar"/>
        <c:grouping val="clustered"/>
        <c:varyColors val="0"/>
        <c:ser>
          <c:idx val="0"/>
          <c:order val="0"/>
          <c:tx>
            <c:v>Percentage of GHG</c:v>
          </c:tx>
          <c:spPr>
            <a:solidFill>
              <a:schemeClr val="tx2">
                <a:lumMod val="75000"/>
              </a:schemeClr>
            </a:solidFill>
          </c:spPr>
          <c:invertIfNegative val="0"/>
          <c:dLbls>
            <c:dLbl>
              <c:idx val="0"/>
              <c:spPr>
                <a:solidFill>
                  <a:schemeClr val="lt1"/>
                </a:solidFill>
                <a:ln w="25400" cap="flat" cmpd="sng" algn="ctr">
                  <a:solidFill>
                    <a:schemeClr val="accent3"/>
                  </a:solidFill>
                  <a:prstDash val="solid"/>
                </a:ln>
                <a:effectLst/>
              </c:spPr>
              <c:txPr>
                <a:bodyPr/>
                <a:lstStyle/>
                <a:p>
                  <a:pPr>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342A-4E83-85B4-E3FEC2C56CE3}"/>
                </c:ext>
              </c:extLst>
            </c:dLbl>
            <c:dLbl>
              <c:idx val="1"/>
              <c:layout>
                <c:manualLayout>
                  <c:x val="-0.11130562816470595"/>
                  <c:y val="0"/>
                </c:manualLayout>
              </c:layout>
              <c:spPr>
                <a:solidFill>
                  <a:schemeClr val="lt1"/>
                </a:solidFill>
                <a:ln w="25400" cap="flat" cmpd="sng" algn="ctr">
                  <a:solidFill>
                    <a:schemeClr val="accent5"/>
                  </a:solidFill>
                  <a:prstDash val="solid"/>
                </a:ln>
                <a:effectLs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2A-4E83-85B4-E3FEC2C56CE3}"/>
                </c:ext>
              </c:extLst>
            </c:dLbl>
            <c:dLbl>
              <c:idx val="7"/>
              <c:spPr>
                <a:solidFill>
                  <a:schemeClr val="lt1"/>
                </a:solidFill>
                <a:ln w="25400" cap="flat" cmpd="sng" algn="ctr">
                  <a:solidFill>
                    <a:schemeClr val="accent3"/>
                  </a:solidFill>
                  <a:prstDash val="solid"/>
                </a:ln>
                <a:effectLst/>
              </c:spPr>
              <c:txPr>
                <a:bodyPr/>
                <a:lstStyle/>
                <a:p>
                  <a:pPr>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2-342A-4E83-85B4-E3FEC2C56CE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Sheet1!$E$9:$E$19</c:f>
              <c:strCache>
                <c:ptCount val="11"/>
                <c:pt idx="0">
                  <c:v>Agriculture</c:v>
                </c:pt>
                <c:pt idx="1">
                  <c:v>LUC &amp; Forestry</c:v>
                </c:pt>
                <c:pt idx="2">
                  <c:v>Waste</c:v>
                </c:pt>
                <c:pt idx="3">
                  <c:v>Buildings</c:v>
                </c:pt>
                <c:pt idx="4">
                  <c:v>Industry</c:v>
                </c:pt>
                <c:pt idx="5">
                  <c:v>Manu &amp; constr</c:v>
                </c:pt>
                <c:pt idx="6">
                  <c:v>Transport</c:v>
                </c:pt>
                <c:pt idx="7">
                  <c:v>Elec. &amp; Heat</c:v>
                </c:pt>
                <c:pt idx="8">
                  <c:v>Fugitive emissions  (energy)</c:v>
                </c:pt>
                <c:pt idx="9">
                  <c:v>Other fuel combustion</c:v>
                </c:pt>
                <c:pt idx="10">
                  <c:v> Bunker fuels</c:v>
                </c:pt>
              </c:strCache>
            </c:strRef>
          </c:cat>
          <c:val>
            <c:numRef>
              <c:f>Sheet1!$F$9:$F$19</c:f>
              <c:numCache>
                <c:formatCode>0.000</c:formatCode>
                <c:ptCount val="11"/>
                <c:pt idx="0">
                  <c:v>23.361157582891252</c:v>
                </c:pt>
                <c:pt idx="1">
                  <c:v>-1.0664794146707561</c:v>
                </c:pt>
                <c:pt idx="2">
                  <c:v>2.6874525551269492</c:v>
                </c:pt>
                <c:pt idx="3">
                  <c:v>5.1163932710319155</c:v>
                </c:pt>
                <c:pt idx="4">
                  <c:v>4.7032781272327124</c:v>
                </c:pt>
                <c:pt idx="5">
                  <c:v>16.041274258447139</c:v>
                </c:pt>
                <c:pt idx="6">
                  <c:v>8.7043864597456047</c:v>
                </c:pt>
                <c:pt idx="7">
                  <c:v>35.328272030478701</c:v>
                </c:pt>
                <c:pt idx="8">
                  <c:v>2.8020668175834187</c:v>
                </c:pt>
                <c:pt idx="9">
                  <c:v>2.0413303942457945</c:v>
                </c:pt>
                <c:pt idx="10">
                  <c:v>0.28086791788790577</c:v>
                </c:pt>
              </c:numCache>
            </c:numRef>
          </c:val>
          <c:extLst>
            <c:ext xmlns:c16="http://schemas.microsoft.com/office/drawing/2014/chart" uri="{C3380CC4-5D6E-409C-BE32-E72D297353CC}">
              <c16:uniqueId val="{00000004-3D95-4DC3-8875-9300039A6BB1}"/>
            </c:ext>
          </c:extLst>
        </c:ser>
        <c:dLbls>
          <c:showLegendKey val="0"/>
          <c:showVal val="1"/>
          <c:showCatName val="0"/>
          <c:showSerName val="0"/>
          <c:showPercent val="0"/>
          <c:showBubbleSize val="0"/>
        </c:dLbls>
        <c:gapWidth val="150"/>
        <c:axId val="61645952"/>
        <c:axId val="61647872"/>
      </c:barChart>
      <c:catAx>
        <c:axId val="61645952"/>
        <c:scaling>
          <c:orientation val="minMax"/>
        </c:scaling>
        <c:delete val="0"/>
        <c:axPos val="l"/>
        <c:majorGridlines/>
        <c:title>
          <c:tx>
            <c:rich>
              <a:bodyPr rot="-5400000" vert="horz"/>
              <a:lstStyle/>
              <a:p>
                <a:pPr>
                  <a:defRPr/>
                </a:pPr>
                <a:r>
                  <a:rPr lang="en-US"/>
                  <a:t>Differenr Sector</a:t>
                </a:r>
              </a:p>
            </c:rich>
          </c:tx>
          <c:layout>
            <c:manualLayout>
              <c:xMode val="edge"/>
              <c:yMode val="edge"/>
              <c:x val="4.7706867683503504E-2"/>
              <c:y val="0.34443894367976596"/>
            </c:manualLayout>
          </c:layout>
          <c:overlay val="0"/>
        </c:title>
        <c:numFmt formatCode="General" sourceLinked="0"/>
        <c:majorTickMark val="none"/>
        <c:minorTickMark val="none"/>
        <c:tickLblPos val="nextTo"/>
        <c:crossAx val="61647872"/>
        <c:crosses val="autoZero"/>
        <c:auto val="1"/>
        <c:lblAlgn val="ctr"/>
        <c:lblOffset val="100"/>
        <c:noMultiLvlLbl val="0"/>
      </c:catAx>
      <c:valAx>
        <c:axId val="61647872"/>
        <c:scaling>
          <c:orientation val="minMax"/>
        </c:scaling>
        <c:delete val="0"/>
        <c:axPos val="b"/>
        <c:title>
          <c:tx>
            <c:rich>
              <a:bodyPr/>
              <a:lstStyle/>
              <a:p>
                <a:pPr>
                  <a:defRPr/>
                </a:pPr>
                <a:r>
                  <a:rPr lang="en-US"/>
                  <a:t>Percentage</a:t>
                </a:r>
              </a:p>
            </c:rich>
          </c:tx>
          <c:layout>
            <c:manualLayout>
              <c:xMode val="edge"/>
              <c:yMode val="edge"/>
              <c:x val="0.46134733158355207"/>
              <c:y val="0.93479190775188514"/>
            </c:manualLayout>
          </c:layout>
          <c:overlay val="0"/>
        </c:title>
        <c:numFmt formatCode="0.000" sourceLinked="1"/>
        <c:majorTickMark val="none"/>
        <c:minorTickMark val="none"/>
        <c:tickLblPos val="nextTo"/>
        <c:crossAx val="61645952"/>
        <c:crosses val="autoZero"/>
        <c:crossBetween val="between"/>
      </c:valAx>
      <c:spPr>
        <a:noFill/>
        <a:ln w="25400" cap="flat" cmpd="sng" algn="ctr">
          <a:noFill/>
          <a:prstDash val="solid"/>
        </a:ln>
        <a:effectLst/>
      </c:spPr>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050"/>
              <a:t>Figure, 3-Percentage Share of GHG in Agriculture</a:t>
            </a:r>
          </a:p>
        </c:rich>
      </c:tx>
      <c:layout>
        <c:manualLayout>
          <c:xMode val="edge"/>
          <c:yMode val="edge"/>
          <c:x val="0.11723858407037696"/>
          <c:y val="0"/>
        </c:manualLayout>
      </c:layout>
      <c:overlay val="0"/>
    </c:title>
    <c:autoTitleDeleted val="0"/>
    <c:plotArea>
      <c:layout>
        <c:manualLayout>
          <c:layoutTarget val="inner"/>
          <c:xMode val="edge"/>
          <c:yMode val="edge"/>
          <c:x val="0.21293783541392694"/>
          <c:y val="8.9508848238274027E-2"/>
          <c:w val="0.54613029880338804"/>
          <c:h val="0.8621265026358379"/>
        </c:manualLayout>
      </c:layout>
      <c:doughnutChart>
        <c:varyColors val="1"/>
        <c:ser>
          <c:idx val="0"/>
          <c:order val="0"/>
          <c:dPt>
            <c:idx val="0"/>
            <c:bubble3D val="0"/>
            <c:spPr>
              <a:solidFill>
                <a:schemeClr val="accent4">
                  <a:lumMod val="75000"/>
                </a:schemeClr>
              </a:solidFill>
              <a:ln>
                <a:solidFill>
                  <a:srgbClr val="00B050"/>
                </a:solidFill>
              </a:ln>
            </c:spPr>
            <c:extLst>
              <c:ext xmlns:c16="http://schemas.microsoft.com/office/drawing/2014/chart" uri="{C3380CC4-5D6E-409C-BE32-E72D297353CC}">
                <c16:uniqueId val="{00000000-0859-4F99-89FF-2A9EF589AAEB}"/>
              </c:ext>
            </c:extLst>
          </c:dPt>
          <c:dPt>
            <c:idx val="1"/>
            <c:bubble3D val="0"/>
            <c:spPr>
              <a:solidFill>
                <a:schemeClr val="accent3">
                  <a:lumMod val="75000"/>
                </a:schemeClr>
              </a:solidFill>
              <a:ln>
                <a:solidFill>
                  <a:srgbClr val="002060"/>
                </a:solidFill>
              </a:ln>
            </c:spPr>
            <c:extLst>
              <c:ext xmlns:c16="http://schemas.microsoft.com/office/drawing/2014/chart" uri="{C3380CC4-5D6E-409C-BE32-E72D297353CC}">
                <c16:uniqueId val="{00000001-0859-4F99-89FF-2A9EF589AAEB}"/>
              </c:ext>
            </c:extLst>
          </c:dPt>
          <c:dPt>
            <c:idx val="2"/>
            <c:bubble3D val="0"/>
            <c:spPr>
              <a:solidFill>
                <a:schemeClr val="accent6">
                  <a:lumMod val="75000"/>
                </a:schemeClr>
              </a:solidFill>
              <a:ln>
                <a:solidFill>
                  <a:srgbClr val="FF0000"/>
                </a:solidFill>
              </a:ln>
            </c:spPr>
            <c:extLst>
              <c:ext xmlns:c16="http://schemas.microsoft.com/office/drawing/2014/chart" uri="{C3380CC4-5D6E-409C-BE32-E72D297353CC}">
                <c16:uniqueId val="{00000002-0859-4F99-89FF-2A9EF589AAEB}"/>
              </c:ext>
            </c:extLst>
          </c:dPt>
          <c:dLbls>
            <c:dLbl>
              <c:idx val="0"/>
              <c:layout>
                <c:manualLayout>
                  <c:x val="5.4183520008912134E-2"/>
                  <c:y val="-4.4367277211639536E-2"/>
                </c:manualLayout>
              </c:layout>
              <c:tx>
                <c:rich>
                  <a:bodyPr/>
                  <a:lstStyle/>
                  <a:p>
                    <a:pPr>
                      <a:defRPr/>
                    </a:pPr>
                    <a:r>
                      <a:rPr lang="en-US"/>
                      <a:t>17.73%</a:t>
                    </a:r>
                  </a:p>
                </c:rich>
              </c:tx>
              <c:spPr>
                <a:solidFill>
                  <a:schemeClr val="lt1"/>
                </a:solidFill>
                <a:ln w="25400" cap="flat" cmpd="sng" algn="ctr">
                  <a:solidFill>
                    <a:schemeClr val="accent1"/>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59-4F99-89FF-2A9EF589AAEB}"/>
                </c:ext>
              </c:extLst>
            </c:dLbl>
            <c:dLbl>
              <c:idx val="1"/>
              <c:layout>
                <c:manualLayout>
                  <c:x val="-4.2142737784709394E-2"/>
                  <c:y val="9.9826373726188702E-2"/>
                </c:manualLayout>
              </c:layout>
              <c:tx>
                <c:rich>
                  <a:bodyPr/>
                  <a:lstStyle/>
                  <a:p>
                    <a:pPr>
                      <a:defRPr/>
                    </a:pPr>
                    <a:r>
                      <a:rPr lang="en-US"/>
                      <a:t>56.38%</a:t>
                    </a:r>
                  </a:p>
                </c:rich>
              </c:tx>
              <c:spPr>
                <a:solidFill>
                  <a:schemeClr val="lt1"/>
                </a:solidFill>
                <a:ln w="25400" cap="flat" cmpd="sng" algn="ctr">
                  <a:solidFill>
                    <a:schemeClr val="accent2"/>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59-4F99-89FF-2A9EF589AAEB}"/>
                </c:ext>
              </c:extLst>
            </c:dLbl>
            <c:dLbl>
              <c:idx val="2"/>
              <c:layout>
                <c:manualLayout>
                  <c:x val="-8.428547556941976E-2"/>
                  <c:y val="-2.7729548257274451E-2"/>
                </c:manualLayout>
              </c:layout>
              <c:tx>
                <c:rich>
                  <a:bodyPr/>
                  <a:lstStyle/>
                  <a:p>
                    <a:pPr>
                      <a:defRPr/>
                    </a:pPr>
                    <a:r>
                      <a:rPr lang="en-US"/>
                      <a:t>25.87%</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59-4F99-89FF-2A9EF589AAE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'CH4,CO2,N2O'!$D$3:$D$5</c:f>
              <c:strCache>
                <c:ptCount val="3"/>
                <c:pt idx="0">
                  <c:v>CO2</c:v>
                </c:pt>
                <c:pt idx="1">
                  <c:v>CH4</c:v>
                </c:pt>
                <c:pt idx="2">
                  <c:v>N2O</c:v>
                </c:pt>
              </c:strCache>
            </c:strRef>
          </c:cat>
          <c:val>
            <c:numRef>
              <c:f>'CH4,CO2,N2O'!$E$3:$E$5</c:f>
              <c:numCache>
                <c:formatCode>General</c:formatCode>
                <c:ptCount val="3"/>
                <c:pt idx="0">
                  <c:v>17.739719707992432</c:v>
                </c:pt>
                <c:pt idx="1">
                  <c:v>56.382457447518313</c:v>
                </c:pt>
                <c:pt idx="2">
                  <c:v>25.877822844488858</c:v>
                </c:pt>
              </c:numCache>
            </c:numRef>
          </c:val>
          <c:extLst>
            <c:ext xmlns:c16="http://schemas.microsoft.com/office/drawing/2014/chart" uri="{C3380CC4-5D6E-409C-BE32-E72D297353CC}">
              <c16:uniqueId val="{00000003-0859-4F99-89FF-2A9EF589AAEB}"/>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9190660334985064"/>
          <c:y val="0.33515111075399917"/>
          <c:w val="0.11544692515634647"/>
          <c:h val="0.30044594353827286"/>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a:pPr>
            <a:r>
              <a:rPr lang="en-US" sz="1100"/>
              <a:t>Figure 4, Approved Projects in NCDMA upto 2020</a:t>
            </a:r>
          </a:p>
        </c:rich>
      </c:tx>
      <c:layout>
        <c:manualLayout>
          <c:xMode val="edge"/>
          <c:yMode val="edge"/>
          <c:x val="0.24314640958341777"/>
          <c:y val="1.1209812381281908E-2"/>
        </c:manualLayout>
      </c:layout>
      <c:overlay val="0"/>
    </c:title>
    <c:autoTitleDeleted val="0"/>
    <c:plotArea>
      <c:layout>
        <c:manualLayout>
          <c:layoutTarget val="inner"/>
          <c:xMode val="edge"/>
          <c:yMode val="edge"/>
          <c:x val="8.9437209771855444E-2"/>
          <c:y val="7.967381505516051E-2"/>
          <c:w val="0.89774227740763168"/>
          <c:h val="0.59731471912233058"/>
        </c:manualLayout>
      </c:layout>
      <c:barChart>
        <c:barDir val="col"/>
        <c:grouping val="clustered"/>
        <c:varyColors val="0"/>
        <c:ser>
          <c:idx val="0"/>
          <c:order val="0"/>
          <c:tx>
            <c:strRef>
              <c:f>Sheet1!$B$2</c:f>
              <c:strCache>
                <c:ptCount val="1"/>
                <c:pt idx="0">
                  <c:v>Project</c:v>
                </c:pt>
              </c:strCache>
            </c:strRef>
          </c:tx>
          <c:invertIfNegative val="0"/>
          <c:dLbls>
            <c:dLbl>
              <c:idx val="4"/>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0-4367-4D1F-A519-6AEAF90AA73C}"/>
                </c:ext>
              </c:extLst>
            </c:dLbl>
            <c:dLbl>
              <c:idx val="11"/>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1-4367-4D1F-A519-6AEAF90AA73C}"/>
                </c:ext>
              </c:extLst>
            </c:dLbl>
            <c:dLbl>
              <c:idx val="20"/>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2-4367-4D1F-A519-6AEAF90AA73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Sheet1!$A$3:$A$32</c:f>
              <c:strCache>
                <c:ptCount val="30"/>
                <c:pt idx="0">
                  <c:v>Andhra Pradesh </c:v>
                </c:pt>
                <c:pt idx="1">
                  <c:v>Chattisgarh </c:v>
                </c:pt>
                <c:pt idx="2">
                  <c:v>Uttarakhand </c:v>
                </c:pt>
                <c:pt idx="3">
                  <c:v>Meghalaya</c:v>
                </c:pt>
                <c:pt idx="4">
                  <c:v>Gujarat </c:v>
                </c:pt>
                <c:pt idx="5">
                  <c:v>Assam</c:v>
                </c:pt>
                <c:pt idx="6">
                  <c:v> Sikkim </c:v>
                </c:pt>
                <c:pt idx="7">
                  <c:v>Tripura </c:v>
                </c:pt>
                <c:pt idx="8">
                  <c:v>Orissa</c:v>
                </c:pt>
                <c:pt idx="9">
                  <c:v> Punjab</c:v>
                </c:pt>
                <c:pt idx="10">
                  <c:v>Uttar Pradesh</c:v>
                </c:pt>
                <c:pt idx="11">
                  <c:v> Maharashtra</c:v>
                </c:pt>
                <c:pt idx="12">
                  <c:v>Haryana</c:v>
                </c:pt>
                <c:pt idx="13">
                  <c:v>Himachal Pradesh </c:v>
                </c:pt>
                <c:pt idx="14">
                  <c:v> Jammu &amp; Kashmir</c:v>
                </c:pt>
                <c:pt idx="15">
                  <c:v>Jharkhand </c:v>
                </c:pt>
                <c:pt idx="16">
                  <c:v>Karnataka</c:v>
                </c:pt>
                <c:pt idx="17">
                  <c:v>Kerala</c:v>
                </c:pt>
                <c:pt idx="18">
                  <c:v> Madhya Pradesh</c:v>
                </c:pt>
                <c:pt idx="19">
                  <c:v>Multi State</c:v>
                </c:pt>
                <c:pt idx="20">
                  <c:v>Tamil Nadu</c:v>
                </c:pt>
                <c:pt idx="21">
                  <c:v>  West Bengal </c:v>
                </c:pt>
                <c:pt idx="22">
                  <c:v>  Rajasthan</c:v>
                </c:pt>
                <c:pt idx="23">
                  <c:v> Chandigarh</c:v>
                </c:pt>
                <c:pt idx="24">
                  <c:v>Delhi </c:v>
                </c:pt>
                <c:pt idx="25">
                  <c:v>Puducherry</c:v>
                </c:pt>
                <c:pt idx="26">
                  <c:v>Bihar </c:v>
                </c:pt>
                <c:pt idx="27">
                  <c:v>Goa</c:v>
                </c:pt>
                <c:pt idx="28">
                  <c:v>Arunachal Pradesh</c:v>
                </c:pt>
                <c:pt idx="29">
                  <c:v>Telangana </c:v>
                </c:pt>
              </c:strCache>
            </c:strRef>
          </c:cat>
          <c:val>
            <c:numRef>
              <c:f>Sheet1!$B$3:$B$32</c:f>
              <c:numCache>
                <c:formatCode>General</c:formatCode>
                <c:ptCount val="30"/>
                <c:pt idx="0">
                  <c:v>227</c:v>
                </c:pt>
                <c:pt idx="1">
                  <c:v>107</c:v>
                </c:pt>
                <c:pt idx="2">
                  <c:v>51</c:v>
                </c:pt>
                <c:pt idx="3">
                  <c:v>4</c:v>
                </c:pt>
                <c:pt idx="4">
                  <c:v>389</c:v>
                </c:pt>
                <c:pt idx="5">
                  <c:v>16</c:v>
                </c:pt>
                <c:pt idx="6">
                  <c:v>10</c:v>
                </c:pt>
                <c:pt idx="7">
                  <c:v>1</c:v>
                </c:pt>
                <c:pt idx="8">
                  <c:v>83</c:v>
                </c:pt>
                <c:pt idx="9">
                  <c:v>76</c:v>
                </c:pt>
                <c:pt idx="10">
                  <c:v>175</c:v>
                </c:pt>
                <c:pt idx="11">
                  <c:v>393</c:v>
                </c:pt>
                <c:pt idx="12">
                  <c:v>37</c:v>
                </c:pt>
                <c:pt idx="13">
                  <c:v>101</c:v>
                </c:pt>
                <c:pt idx="14">
                  <c:v>6</c:v>
                </c:pt>
                <c:pt idx="15">
                  <c:v>32</c:v>
                </c:pt>
                <c:pt idx="16">
                  <c:v>261</c:v>
                </c:pt>
                <c:pt idx="17">
                  <c:v>19</c:v>
                </c:pt>
                <c:pt idx="18">
                  <c:v>84</c:v>
                </c:pt>
                <c:pt idx="19">
                  <c:v>202</c:v>
                </c:pt>
                <c:pt idx="20">
                  <c:v>378</c:v>
                </c:pt>
                <c:pt idx="21">
                  <c:v>82</c:v>
                </c:pt>
                <c:pt idx="22">
                  <c:v>247</c:v>
                </c:pt>
                <c:pt idx="23">
                  <c:v>1</c:v>
                </c:pt>
                <c:pt idx="24">
                  <c:v>17</c:v>
                </c:pt>
                <c:pt idx="25">
                  <c:v>3</c:v>
                </c:pt>
                <c:pt idx="26">
                  <c:v>10</c:v>
                </c:pt>
                <c:pt idx="27">
                  <c:v>5</c:v>
                </c:pt>
                <c:pt idx="28">
                  <c:v>2</c:v>
                </c:pt>
                <c:pt idx="29">
                  <c:v>3</c:v>
                </c:pt>
              </c:numCache>
            </c:numRef>
          </c:val>
          <c:extLst>
            <c:ext xmlns:c16="http://schemas.microsoft.com/office/drawing/2014/chart" uri="{C3380CC4-5D6E-409C-BE32-E72D297353CC}">
              <c16:uniqueId val="{00000003-4367-4D1F-A519-6AEAF90AA73C}"/>
            </c:ext>
          </c:extLst>
        </c:ser>
        <c:dLbls>
          <c:showLegendKey val="0"/>
          <c:showVal val="1"/>
          <c:showCatName val="0"/>
          <c:showSerName val="0"/>
          <c:showPercent val="0"/>
          <c:showBubbleSize val="0"/>
        </c:dLbls>
        <c:gapWidth val="75"/>
        <c:axId val="69823488"/>
        <c:axId val="75605120"/>
      </c:barChart>
      <c:catAx>
        <c:axId val="69823488"/>
        <c:scaling>
          <c:orientation val="minMax"/>
        </c:scaling>
        <c:delete val="0"/>
        <c:axPos val="b"/>
        <c:title>
          <c:tx>
            <c:rich>
              <a:bodyPr/>
              <a:lstStyle/>
              <a:p>
                <a:pPr>
                  <a:defRPr/>
                </a:pPr>
                <a:r>
                  <a:rPr lang="en-US"/>
                  <a:t>States and UTs of India</a:t>
                </a:r>
              </a:p>
            </c:rich>
          </c:tx>
          <c:layout>
            <c:manualLayout>
              <c:xMode val="edge"/>
              <c:yMode val="edge"/>
              <c:x val="0.17189743147480563"/>
              <c:y val="0.93168304331160778"/>
            </c:manualLayout>
          </c:layout>
          <c:overlay val="0"/>
          <c:spPr>
            <a:solidFill>
              <a:schemeClr val="lt1"/>
            </a:solidFill>
            <a:ln w="25400" cap="flat" cmpd="sng" algn="ctr">
              <a:solidFill>
                <a:schemeClr val="accent4"/>
              </a:solidFill>
              <a:prstDash val="solid"/>
            </a:ln>
            <a:effectLst/>
          </c:spPr>
        </c:title>
        <c:numFmt formatCode="General" sourceLinked="0"/>
        <c:majorTickMark val="none"/>
        <c:minorTickMark val="none"/>
        <c:tickLblPos val="nextTo"/>
        <c:crossAx val="75605120"/>
        <c:crosses val="autoZero"/>
        <c:auto val="1"/>
        <c:lblAlgn val="ctr"/>
        <c:lblOffset val="100"/>
        <c:noMultiLvlLbl val="0"/>
      </c:catAx>
      <c:valAx>
        <c:axId val="75605120"/>
        <c:scaling>
          <c:orientation val="minMax"/>
        </c:scaling>
        <c:delete val="0"/>
        <c:axPos val="l"/>
        <c:numFmt formatCode="General" sourceLinked="1"/>
        <c:majorTickMark val="none"/>
        <c:minorTickMark val="none"/>
        <c:tickLblPos val="nextTo"/>
        <c:crossAx val="69823488"/>
        <c:crosses val="autoZero"/>
        <c:crossBetween val="between"/>
      </c:valAx>
    </c:plotArea>
    <c:legend>
      <c:legendPos val="b"/>
      <c:layout>
        <c:manualLayout>
          <c:xMode val="edge"/>
          <c:yMode val="edge"/>
          <c:x val="0.79999043260621805"/>
          <c:y val="0.10556957131923662"/>
          <c:w val="0.19622097718554413"/>
          <c:h val="6.7568688787363093E-2"/>
        </c:manualLayout>
      </c:layout>
      <c:overlay val="0"/>
    </c:legend>
    <c:plotVisOnly val="1"/>
    <c:dispBlanksAs val="gap"/>
    <c:showDLblsOverMax val="0"/>
  </c:chart>
  <c:txPr>
    <a:bodyPr/>
    <a:lstStyle/>
    <a:p>
      <a:pPr>
        <a:defRPr sz="1000">
          <a:latin typeface="Arial" pitchFamily="34" charset="0"/>
          <a:cs typeface="Arial"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0.58603</cdr:x>
      <cdr:y>0.94348</cdr:y>
    </cdr:from>
    <cdr:to>
      <cdr:x>0.91801</cdr:x>
      <cdr:y>1</cdr:y>
    </cdr:to>
    <cdr:sp macro="" textlink="">
      <cdr:nvSpPr>
        <cdr:cNvPr id="2" name="TextBox 1"/>
        <cdr:cNvSpPr txBox="1"/>
      </cdr:nvSpPr>
      <cdr:spPr>
        <a:xfrm xmlns:a="http://schemas.openxmlformats.org/drawingml/2006/main">
          <a:off x="3479188" y="3743864"/>
          <a:ext cx="1970909" cy="2242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100" b="0" dirty="0">
              <a:latin typeface="Arial" pitchFamily="34" charset="0"/>
              <a:cs typeface="Arial" pitchFamily="34" charset="0"/>
            </a:rPr>
            <a:t>Source:</a:t>
          </a:r>
          <a:r>
            <a:rPr lang="en-US" sz="1100" b="0" baseline="0" dirty="0">
              <a:latin typeface="Arial" pitchFamily="34" charset="0"/>
              <a:cs typeface="Arial" pitchFamily="34" charset="0"/>
            </a:rPr>
            <a:t> </a:t>
          </a:r>
          <a:r>
            <a:rPr lang="en-US" sz="1100" b="0" dirty="0">
              <a:latin typeface="Arial" pitchFamily="34" charset="0"/>
              <a:cs typeface="Arial" pitchFamily="34" charset="0"/>
            </a:rPr>
            <a:t>ncdmaindia,</a:t>
          </a:r>
          <a:r>
            <a:rPr lang="en-US" sz="1100" b="0" baseline="0" dirty="0">
              <a:latin typeface="Arial" pitchFamily="34" charset="0"/>
              <a:cs typeface="Arial" pitchFamily="34" charset="0"/>
            </a:rPr>
            <a:t> </a:t>
          </a:r>
          <a:r>
            <a:rPr lang="en-US" sz="1100" b="0" dirty="0">
              <a:latin typeface="Arial" pitchFamily="34" charset="0"/>
              <a:cs typeface="Arial" pitchFamily="34" charset="0"/>
            </a:rPr>
            <a:t>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Rashesh Vaidya</cp:lastModifiedBy>
  <cp:revision>16</cp:revision>
  <dcterms:created xsi:type="dcterms:W3CDTF">2025-05-06T09:29:00Z</dcterms:created>
  <dcterms:modified xsi:type="dcterms:W3CDTF">2025-05-08T13:25:00Z</dcterms:modified>
</cp:coreProperties>
</file>