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62755">
      <w:pPr>
        <w:ind w:firstLine="360" w:firstLineChars="100"/>
        <w:jc w:val="right"/>
        <w:rPr>
          <w:rFonts w:ascii="Arial" w:hAnsi="Arial" w:eastAsia="Times New Roman" w:cs="Arial"/>
          <w:b/>
          <w:bCs/>
          <w:color w:val="000000"/>
          <w:sz w:val="36"/>
          <w:szCs w:val="36"/>
        </w:rPr>
      </w:pPr>
      <w:r>
        <w:rPr>
          <w:rFonts w:ascii="Arial" w:hAnsi="Arial" w:eastAsia="Times New Roman" w:cs="Arial"/>
          <w:b/>
          <w:bCs/>
          <w:color w:val="000000"/>
          <w:sz w:val="36"/>
          <w:szCs w:val="36"/>
        </w:rPr>
        <w:t>Effect of Balanced Fertilization and Mulching on Growth, Yield and Economics of Chilli (</w:t>
      </w:r>
      <w:r>
        <w:rPr>
          <w:rFonts w:ascii="Arial" w:hAnsi="Arial" w:eastAsia="Times New Roman" w:cs="Arial"/>
          <w:b/>
          <w:bCs/>
          <w:i/>
          <w:iCs/>
          <w:color w:val="000000"/>
          <w:sz w:val="36"/>
          <w:szCs w:val="36"/>
        </w:rPr>
        <w:t>Capsicum annum</w:t>
      </w:r>
      <w:r>
        <w:rPr>
          <w:rFonts w:ascii="Arial" w:hAnsi="Arial" w:eastAsia="Times New Roman" w:cs="Arial"/>
          <w:b/>
          <w:bCs/>
          <w:color w:val="000000"/>
          <w:sz w:val="36"/>
          <w:szCs w:val="36"/>
        </w:rPr>
        <w:t xml:space="preserve"> L.) </w:t>
      </w:r>
    </w:p>
    <w:p w14:paraId="35B6AE1A">
      <w:pPr>
        <w:ind w:firstLine="260" w:firstLineChars="100"/>
        <w:jc w:val="right"/>
        <w:rPr>
          <w:rFonts w:ascii="Arial" w:hAnsi="Arial" w:eastAsia="Times New Roman" w:cs="Arial"/>
          <w:b/>
          <w:bCs/>
          <w:color w:val="000000"/>
          <w:sz w:val="26"/>
          <w:szCs w:val="26"/>
        </w:rPr>
      </w:pPr>
    </w:p>
    <w:p w14:paraId="41E3DA3F">
      <w:pPr>
        <w:pStyle w:val="12"/>
        <w:ind w:left="806"/>
        <w:jc w:val="center"/>
        <w:rPr>
          <w:rFonts w:ascii="Arial" w:hAnsi="Arial" w:eastAsia="Times New Roman" w:cs="Arial"/>
          <w:b/>
          <w:bCs/>
          <w:i/>
          <w:iCs/>
          <w:color w:val="000000"/>
          <w:sz w:val="16"/>
          <w:szCs w:val="16"/>
        </w:rPr>
      </w:pPr>
    </w:p>
    <w:p w14:paraId="37E6ED24">
      <w:pPr>
        <w:spacing w:line="360" w:lineRule="auto"/>
        <w:ind w:firstLine="260" w:firstLineChars="100"/>
        <w:jc w:val="right"/>
        <w:rPr>
          <w:rFonts w:ascii="Arial" w:hAnsi="Arial" w:eastAsia="Times New Roman" w:cs="Arial"/>
          <w:b/>
          <w:bCs/>
          <w:color w:val="000000"/>
          <w:sz w:val="26"/>
          <w:szCs w:val="26"/>
        </w:rPr>
      </w:pPr>
    </w:p>
    <w:p w14:paraId="280FB8BA">
      <w:pPr>
        <w:spacing w:line="360" w:lineRule="auto"/>
        <w:ind w:firstLine="280" w:firstLineChars="100"/>
        <w:jc w:val="center"/>
        <w:rPr>
          <w:rFonts w:ascii="Arial" w:hAnsi="Arial" w:eastAsia="Times New Roman" w:cs="Arial"/>
          <w:b/>
          <w:bCs/>
          <w:color w:val="000000"/>
          <w:sz w:val="28"/>
          <w:szCs w:val="28"/>
        </w:rPr>
      </w:pPr>
    </w:p>
    <w:p w14:paraId="7E2E9108">
      <w:pPr>
        <w:spacing w:line="360" w:lineRule="auto"/>
        <w:rPr>
          <w:rFonts w:ascii="Arial" w:hAnsi="Arial" w:eastAsia="Times New Roman" w:cs="Arial"/>
          <w:b/>
          <w:bCs/>
          <w:color w:val="000000"/>
          <w:sz w:val="22"/>
          <w:szCs w:val="22"/>
        </w:rPr>
      </w:pPr>
      <w:r>
        <w:rPr>
          <w:rFonts w:ascii="Arial" w:hAnsi="Arial" w:eastAsia="Times New Roman" w:cs="Arial"/>
          <w:b/>
          <w:bCs/>
          <w:color w:val="000000"/>
          <w:sz w:val="22"/>
          <w:szCs w:val="22"/>
        </w:rPr>
        <w:t>ABSTRACT</w:t>
      </w:r>
    </w:p>
    <w:p w14:paraId="5B7EDB76">
      <w:pPr>
        <w:jc w:val="both"/>
        <w:rPr>
          <w:rFonts w:ascii="Arial" w:hAnsi="Arial" w:eastAsia="Garamond" w:cs="Arial"/>
        </w:rPr>
      </w:pPr>
      <w:r>
        <w:rPr>
          <w:rFonts w:ascii="Arial" w:hAnsi="Arial" w:eastAsia="Times New Roman" w:cs="Arial"/>
          <w:color w:val="000000"/>
        </w:rPr>
        <w:t>A front-line demonstration was carried out at different farmers’ field of Kandhamal district of Odisha to determine the effect of balanced fertilization and mulching on growth, yield and economics of chilli during 2022-23 under the international collaborative project on Resilience, Krishi Vigyan Kendra, Kandhamal, OUAT, Bhubaneswar. The demonstration was conducted at ten farmers’ field with three treatments</w:t>
      </w:r>
      <w:r>
        <w:rPr>
          <w:rFonts w:ascii="Arial" w:hAnsi="Arial" w:eastAsia="Times New Roman" w:cs="Arial"/>
          <w:i/>
          <w:iCs/>
          <w:color w:val="000000"/>
        </w:rPr>
        <w:t xml:space="preserve"> viz.,</w:t>
      </w:r>
      <w:r>
        <w:rPr>
          <w:rFonts w:ascii="Arial" w:hAnsi="Arial" w:eastAsia="Times New Roman" w:cs="Arial"/>
          <w:color w:val="000000"/>
        </w:rPr>
        <w:t xml:space="preserve"> T</w:t>
      </w:r>
      <w:r>
        <w:rPr>
          <w:rFonts w:ascii="Arial" w:hAnsi="Arial" w:eastAsia="Times New Roman" w:cs="Arial"/>
          <w:color w:val="000000"/>
          <w:vertAlign w:val="subscript"/>
        </w:rPr>
        <w:t>1</w:t>
      </w:r>
      <w:r>
        <w:rPr>
          <w:rFonts w:ascii="Arial" w:hAnsi="Arial" w:eastAsia="Times New Roman" w:cs="Arial"/>
          <w:color w:val="000000"/>
        </w:rPr>
        <w:t xml:space="preserve"> : </w:t>
      </w:r>
      <w:r>
        <w:rPr>
          <w:rFonts w:ascii="Arial" w:hAnsi="Arial" w:eastAsia="Garamond" w:cs="Arial"/>
        </w:rPr>
        <w:t>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 T</w:t>
      </w:r>
      <w:r>
        <w:rPr>
          <w:rFonts w:ascii="Arial" w:hAnsi="Arial" w:eastAsia="Garamond" w:cs="Arial"/>
          <w:vertAlign w:val="subscript"/>
        </w:rPr>
        <w:t>2</w:t>
      </w:r>
      <w:r>
        <w:rPr>
          <w:rFonts w:ascii="Arial" w:hAnsi="Arial" w:eastAsia="Garamond" w:cs="Arial"/>
        </w:rPr>
        <w:t xml:space="preserve"> : 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 xml:space="preserve">-1 </w:t>
      </w:r>
      <w:r>
        <w:rPr>
          <w:rFonts w:ascii="Arial" w:hAnsi="Arial" w:eastAsia="Garamond" w:cs="Arial"/>
        </w:rPr>
        <w:t>, foliar application of water soluble fertilizer (19-19-19) and mulching with paddy straw @ 6 t ha</w:t>
      </w:r>
      <w:r>
        <w:rPr>
          <w:rFonts w:ascii="Arial" w:hAnsi="Arial" w:eastAsia="Garamond" w:cs="Arial"/>
          <w:vertAlign w:val="superscript"/>
        </w:rPr>
        <w:t>-1</w:t>
      </w:r>
      <w:r>
        <w:rPr>
          <w:rFonts w:ascii="Arial" w:hAnsi="Arial" w:eastAsia="Garamond" w:cs="Arial"/>
        </w:rPr>
        <w:t xml:space="preserve"> and T</w:t>
      </w:r>
      <w:r>
        <w:rPr>
          <w:rFonts w:ascii="Arial" w:hAnsi="Arial" w:eastAsia="Garamond" w:cs="Arial"/>
          <w:vertAlign w:val="subscript"/>
        </w:rPr>
        <w:t>3</w:t>
      </w:r>
      <w:r>
        <w:rPr>
          <w:rFonts w:ascii="Arial" w:hAnsi="Arial" w:eastAsia="Garamond" w:cs="Arial"/>
        </w:rPr>
        <w:t>:  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 xml:space="preserve">-1 </w:t>
      </w:r>
      <w:r>
        <w:rPr>
          <w:rFonts w:ascii="Arial" w:hAnsi="Arial" w:eastAsia="Garamond" w:cs="Arial"/>
        </w:rPr>
        <w:t xml:space="preserve">, foliar application of water soluble fertilizer (19-19-19) and double coated (black on silver) polythene mulching. </w:t>
      </w:r>
      <w:r>
        <w:rPr>
          <w:rFonts w:ascii="Arial" w:hAnsi="Arial" w:eastAsia="Times New Roman" w:cs="Arial"/>
          <w:color w:val="000000"/>
        </w:rPr>
        <w:t xml:space="preserve">The results revealed that significantly higher growth parameters viz., </w:t>
      </w:r>
      <w:r>
        <w:rPr>
          <w:rFonts w:ascii="Arial" w:hAnsi="Arial" w:cs="Arial"/>
        </w:rPr>
        <w:t xml:space="preserve">plant height (89.6 cm), number of primary branches per plant (10.4) and plant spread (69.4 cm); </w:t>
      </w:r>
      <w:r>
        <w:rPr>
          <w:rFonts w:ascii="Arial" w:hAnsi="Arial" w:eastAsia="Times New Roman" w:cs="Arial"/>
          <w:color w:val="000000"/>
        </w:rPr>
        <w:t>yield attributes viz., n</w:t>
      </w:r>
      <w:r>
        <w:rPr>
          <w:rFonts w:ascii="Arial" w:hAnsi="Arial" w:cs="Arial"/>
        </w:rPr>
        <w:t>umber of fruits per plant (142.3), fruit length (6.41cm), fresh fruit weight (1.80 g),</w:t>
      </w:r>
      <w:r>
        <w:rPr>
          <w:rFonts w:ascii="Arial" w:hAnsi="Arial" w:cs="Arial"/>
          <w:highlight w:val="yellow"/>
        </w:rPr>
        <w:t xml:space="preserve"> </w:t>
      </w:r>
      <w:commentRangeStart w:id="0"/>
      <w:r>
        <w:rPr>
          <w:rFonts w:ascii="Arial" w:hAnsi="Arial" w:cs="Arial"/>
          <w:highlight w:val="none"/>
        </w:rPr>
        <w:t>fruit dry weigh</w:t>
      </w:r>
      <w:commentRangeEnd w:id="0"/>
      <w:r>
        <w:rPr>
          <w:highlight w:val="none"/>
        </w:rPr>
        <w:commentReference w:id="0"/>
      </w:r>
      <w:r>
        <w:rPr>
          <w:rFonts w:ascii="Arial" w:hAnsi="Arial" w:cs="Arial"/>
        </w:rPr>
        <w:t xml:space="preserve"> (0.69</w:t>
      </w:r>
      <w:r>
        <w:rPr>
          <w:rFonts w:hint="default" w:ascii="Arial" w:hAnsi="Arial" w:cs="Arial"/>
          <w:lang w:val="en-US"/>
        </w:rPr>
        <w:t xml:space="preserve"> </w:t>
      </w:r>
      <w:r>
        <w:commentReference w:id="1"/>
      </w:r>
      <w:r>
        <w:rPr>
          <w:rFonts w:ascii="Arial" w:hAnsi="Arial" w:cs="Arial"/>
        </w:rPr>
        <w:t>), fruit girth (2.73 cm) and fresh fruit yield (178.3 q ha</w:t>
      </w:r>
      <w:r>
        <w:rPr>
          <w:rFonts w:ascii="Arial" w:hAnsi="Arial" w:cs="Arial"/>
          <w:vertAlign w:val="superscript"/>
        </w:rPr>
        <w:t>-1</w:t>
      </w:r>
      <w:r>
        <w:rPr>
          <w:rFonts w:ascii="Arial" w:hAnsi="Arial" w:cs="Arial"/>
        </w:rPr>
        <w:t>) were observed with the treatment T</w:t>
      </w:r>
      <w:r>
        <w:rPr>
          <w:rFonts w:ascii="Arial" w:hAnsi="Arial" w:cs="Arial"/>
          <w:vertAlign w:val="subscript"/>
        </w:rPr>
        <w:t xml:space="preserve">3 </w:t>
      </w:r>
      <w:r>
        <w:rPr>
          <w:rFonts w:ascii="Arial" w:hAnsi="Arial" w:cs="Arial"/>
        </w:rPr>
        <w:t>(FYM 10 t ha</w:t>
      </w:r>
      <w:r>
        <w:rPr>
          <w:rFonts w:ascii="Arial" w:hAnsi="Arial" w:cs="Arial"/>
          <w:vertAlign w:val="superscript"/>
        </w:rPr>
        <w:t>-1</w:t>
      </w:r>
      <w:r>
        <w:rPr>
          <w:rFonts w:ascii="Arial" w:hAnsi="Arial" w:cs="Arial"/>
        </w:rPr>
        <w:t>,100% RDF, foliar application of water soluble fertilizer and polythene mulching) followed by T</w:t>
      </w:r>
      <w:r>
        <w:rPr>
          <w:rFonts w:ascii="Arial" w:hAnsi="Arial" w:cs="Arial"/>
          <w:vertAlign w:val="subscript"/>
        </w:rPr>
        <w:t xml:space="preserve">2 </w:t>
      </w:r>
      <w:r>
        <w:rPr>
          <w:rFonts w:ascii="Arial" w:hAnsi="Arial" w:cs="Arial"/>
        </w:rPr>
        <w:t>(FYM 10 t ha</w:t>
      </w:r>
      <w:r>
        <w:rPr>
          <w:rFonts w:ascii="Arial" w:hAnsi="Arial" w:cs="Arial"/>
          <w:vertAlign w:val="superscript"/>
        </w:rPr>
        <w:t>-1</w:t>
      </w:r>
      <w:r>
        <w:rPr>
          <w:rFonts w:ascii="Arial" w:hAnsi="Arial" w:cs="Arial"/>
        </w:rPr>
        <w:t>, 100% RDF, foliar application of water soluble fertilizer with paddy straw mulching @ 6 t ha</w:t>
      </w:r>
      <w:r>
        <w:rPr>
          <w:rFonts w:ascii="Arial" w:hAnsi="Arial" w:cs="Arial"/>
          <w:vertAlign w:val="superscript"/>
        </w:rPr>
        <w:t>-1</w:t>
      </w:r>
      <w:r>
        <w:rPr>
          <w:rFonts w:ascii="Arial" w:hAnsi="Arial" w:cs="Arial"/>
        </w:rPr>
        <w:t>). The highest number of weeds including grasses and broad leaf weeds (342.6 number of weeds m</w:t>
      </w:r>
      <w:r>
        <w:rPr>
          <w:rFonts w:ascii="Arial" w:hAnsi="Arial" w:cs="Arial"/>
          <w:vertAlign w:val="superscript"/>
        </w:rPr>
        <w:t>-2</w:t>
      </w:r>
      <w:r>
        <w:rPr>
          <w:rFonts w:ascii="Arial" w:hAnsi="Arial" w:cs="Arial"/>
        </w:rPr>
        <w:t>) was recorded in T</w:t>
      </w:r>
      <w:r>
        <w:rPr>
          <w:rFonts w:ascii="Arial" w:hAnsi="Arial" w:cs="Arial"/>
          <w:vertAlign w:val="subscript"/>
        </w:rPr>
        <w:t>1</w:t>
      </w:r>
      <w:r>
        <w:rPr>
          <w:rFonts w:ascii="Arial" w:hAnsi="Arial" w:cs="Arial"/>
        </w:rPr>
        <w:t xml:space="preserve"> (Farmer’s practice</w:t>
      </w:r>
      <w:r>
        <w:rPr>
          <w:rFonts w:ascii="Arial" w:hAnsi="Arial" w:eastAsia="Garamond" w:cs="Arial"/>
          <w:vertAlign w:val="superscript"/>
        </w:rPr>
        <w:t xml:space="preserve"> </w:t>
      </w:r>
      <w:r>
        <w:rPr>
          <w:rFonts w:ascii="Arial" w:hAnsi="Arial" w:eastAsia="Garamond" w:cs="Arial"/>
        </w:rPr>
        <w:t xml:space="preserve">without mulching) </w:t>
      </w:r>
      <w:r>
        <w:rPr>
          <w:rFonts w:ascii="Arial" w:hAnsi="Arial" w:cs="Arial"/>
        </w:rPr>
        <w:t>plot followed by T</w:t>
      </w:r>
      <w:r>
        <w:rPr>
          <w:rFonts w:ascii="Arial" w:hAnsi="Arial" w:cs="Arial"/>
          <w:vertAlign w:val="subscript"/>
        </w:rPr>
        <w:t xml:space="preserve">2 </w:t>
      </w:r>
      <w:r>
        <w:rPr>
          <w:rFonts w:ascii="Arial" w:hAnsi="Arial" w:cs="Arial"/>
        </w:rPr>
        <w:t xml:space="preserve">(67.5 </w:t>
      </w:r>
      <w:commentRangeStart w:id="2"/>
      <w:r>
        <w:rPr>
          <w:rFonts w:ascii="Arial" w:hAnsi="Arial" w:cs="Arial"/>
          <w:highlight w:val="none"/>
        </w:rPr>
        <w:t>umber of weeds</w:t>
      </w:r>
      <w:commentRangeEnd w:id="2"/>
      <w:r>
        <w:rPr>
          <w:highlight w:val="none"/>
        </w:rPr>
        <w:commentReference w:id="2"/>
      </w:r>
      <w:r>
        <w:rPr>
          <w:rFonts w:ascii="Arial" w:hAnsi="Arial" w:cs="Arial"/>
        </w:rPr>
        <w:t xml:space="preserve"> m</w:t>
      </w:r>
      <w:r>
        <w:rPr>
          <w:rFonts w:ascii="Arial" w:hAnsi="Arial" w:cs="Arial"/>
          <w:vertAlign w:val="superscript"/>
        </w:rPr>
        <w:t>-2</w:t>
      </w:r>
      <w:r>
        <w:rPr>
          <w:rFonts w:ascii="Arial" w:hAnsi="Arial" w:cs="Arial"/>
        </w:rPr>
        <w:t>) and the lowest was in T</w:t>
      </w:r>
      <w:r>
        <w:rPr>
          <w:rFonts w:ascii="Arial" w:hAnsi="Arial" w:cs="Arial"/>
          <w:vertAlign w:val="subscript"/>
        </w:rPr>
        <w:t>3</w:t>
      </w:r>
      <w:r>
        <w:rPr>
          <w:rFonts w:ascii="Arial" w:hAnsi="Arial" w:cs="Arial"/>
        </w:rPr>
        <w:t xml:space="preserve"> (10.8 number of weeds m</w:t>
      </w:r>
      <w:r>
        <w:rPr>
          <w:rFonts w:ascii="Arial" w:hAnsi="Arial" w:cs="Arial"/>
          <w:vertAlign w:val="superscript"/>
        </w:rPr>
        <w:t>-2</w:t>
      </w:r>
      <w:r>
        <w:rPr>
          <w:rFonts w:ascii="Arial" w:hAnsi="Arial" w:cs="Arial"/>
        </w:rPr>
        <w:t>) indicating black polythene mulching was more effective than paddy straw mulching in suppressing weed growth. The treatments, received FYM 10 t ha</w:t>
      </w:r>
      <w:r>
        <w:rPr>
          <w:rFonts w:ascii="Arial" w:hAnsi="Arial" w:cs="Arial"/>
          <w:vertAlign w:val="superscript"/>
        </w:rPr>
        <w:t>-1</w:t>
      </w:r>
      <w:r>
        <w:rPr>
          <w:rFonts w:ascii="Arial" w:hAnsi="Arial" w:cs="Arial"/>
        </w:rPr>
        <w:t>,100% RDF, foliar spray with water soluble fertilizer and polythene mulching (T</w:t>
      </w:r>
      <w:r>
        <w:rPr>
          <w:rFonts w:ascii="Arial" w:hAnsi="Arial" w:cs="Arial"/>
          <w:vertAlign w:val="subscript"/>
        </w:rPr>
        <w:t>3</w:t>
      </w:r>
      <w:r>
        <w:rPr>
          <w:rFonts w:ascii="Arial" w:hAnsi="Arial" w:cs="Arial"/>
        </w:rPr>
        <w:t xml:space="preserve">) resulted in higher gross return of Rs. </w:t>
      </w:r>
      <w:r>
        <w:rPr>
          <w:rFonts w:ascii="Arial" w:hAnsi="Arial" w:eastAsia="Garamond" w:cs="Arial"/>
        </w:rPr>
        <w:t>4,45,750 ha</w:t>
      </w:r>
      <w:r>
        <w:rPr>
          <w:rFonts w:ascii="Arial" w:hAnsi="Arial" w:eastAsia="Garamond" w:cs="Arial"/>
          <w:vertAlign w:val="superscript"/>
        </w:rPr>
        <w:t>-1</w:t>
      </w:r>
      <w:r>
        <w:rPr>
          <w:rFonts w:ascii="Arial" w:hAnsi="Arial" w:eastAsia="Garamond" w:cs="Arial"/>
        </w:rPr>
        <w:t>, net return of Rs. 3,47,050 ha</w:t>
      </w:r>
      <w:r>
        <w:rPr>
          <w:rFonts w:ascii="Arial" w:hAnsi="Arial" w:eastAsia="Garamond" w:cs="Arial"/>
          <w:vertAlign w:val="superscript"/>
        </w:rPr>
        <w:t xml:space="preserve">-1 </w:t>
      </w:r>
      <w:r>
        <w:rPr>
          <w:rFonts w:ascii="Arial" w:hAnsi="Arial" w:eastAsia="Garamond" w:cs="Arial"/>
        </w:rPr>
        <w:t>and benefit: cost ratio of 4.5 as compared to T</w:t>
      </w:r>
      <w:r>
        <w:rPr>
          <w:rFonts w:ascii="Arial" w:hAnsi="Arial" w:eastAsia="Garamond" w:cs="Arial"/>
          <w:vertAlign w:val="subscript"/>
        </w:rPr>
        <w:t>2</w:t>
      </w:r>
      <w:r>
        <w:rPr>
          <w:rFonts w:ascii="Arial" w:hAnsi="Arial" w:eastAsia="Garamond" w:cs="Arial"/>
        </w:rPr>
        <w:t xml:space="preserve"> and T</w:t>
      </w:r>
      <w:r>
        <w:rPr>
          <w:rFonts w:ascii="Arial" w:hAnsi="Arial" w:eastAsia="Garamond" w:cs="Arial"/>
          <w:vertAlign w:val="subscript"/>
        </w:rPr>
        <w:t>1</w:t>
      </w:r>
      <w:r>
        <w:rPr>
          <w:rFonts w:ascii="Arial" w:hAnsi="Arial" w:eastAsia="Garamond" w:cs="Arial"/>
        </w:rPr>
        <w:t xml:space="preserve">. </w:t>
      </w:r>
    </w:p>
    <w:p w14:paraId="498B61C5">
      <w:pPr>
        <w:jc w:val="both"/>
        <w:rPr>
          <w:rFonts w:ascii="Arial" w:hAnsi="Arial" w:eastAsia="Times New Roman" w:cs="Arial"/>
          <w:i/>
          <w:iCs/>
          <w:color w:val="000000"/>
        </w:rPr>
      </w:pPr>
    </w:p>
    <w:p w14:paraId="63C06982">
      <w:pPr>
        <w:jc w:val="both"/>
        <w:rPr>
          <w:rFonts w:ascii="Arial" w:hAnsi="Arial" w:eastAsia="Times New Roman" w:cs="Arial"/>
          <w:i/>
          <w:iCs/>
          <w:color w:val="000000"/>
        </w:rPr>
      </w:pPr>
      <w:r>
        <w:rPr>
          <w:rFonts w:ascii="Arial" w:hAnsi="Arial" w:eastAsia="Times New Roman" w:cs="Arial"/>
          <w:i/>
          <w:iCs/>
          <w:color w:val="000000"/>
        </w:rPr>
        <w:t>Key words: Chilli, mulching, balanced fertilization, economics, water soluble fertilizer, weed population, yield</w:t>
      </w:r>
    </w:p>
    <w:p w14:paraId="584BB3EF">
      <w:pPr>
        <w:jc w:val="both"/>
        <w:rPr>
          <w:rFonts w:ascii="Arial" w:hAnsi="Arial" w:eastAsia="Times New Roman" w:cs="Arial"/>
          <w:i/>
          <w:iCs/>
          <w:color w:val="000000"/>
        </w:rPr>
      </w:pPr>
    </w:p>
    <w:p w14:paraId="0EC412E0">
      <w:pPr>
        <w:pStyle w:val="12"/>
        <w:numPr>
          <w:ilvl w:val="0"/>
          <w:numId w:val="1"/>
        </w:numPr>
        <w:spacing w:line="360" w:lineRule="auto"/>
        <w:jc w:val="both"/>
        <w:rPr>
          <w:rFonts w:ascii="Arial" w:hAnsi="Arial" w:eastAsia="Times New Roman" w:cs="Arial"/>
          <w:b/>
          <w:bCs/>
          <w:color w:val="000000"/>
          <w:sz w:val="22"/>
          <w:szCs w:val="22"/>
        </w:rPr>
      </w:pPr>
      <w:r>
        <w:rPr>
          <w:rFonts w:ascii="Arial" w:hAnsi="Arial" w:eastAsia="Times New Roman" w:cs="Arial"/>
          <w:b/>
          <w:bCs/>
          <w:color w:val="000000"/>
          <w:sz w:val="22"/>
          <w:szCs w:val="22"/>
        </w:rPr>
        <w:t>INTRODUCTION</w:t>
      </w:r>
    </w:p>
    <w:p w14:paraId="1314DFCA">
      <w:pPr>
        <w:ind w:firstLine="720"/>
        <w:jc w:val="both"/>
        <w:rPr>
          <w:rFonts w:ascii="Arial" w:hAnsi="Arial" w:eastAsia="Times New Roman" w:cs="Arial"/>
          <w:color w:val="000000"/>
        </w:rPr>
      </w:pPr>
      <w:r>
        <w:rPr>
          <w:rFonts w:ascii="Arial" w:hAnsi="Arial" w:eastAsia="TimesNewRomanPSMT" w:cs="Arial"/>
        </w:rPr>
        <w:t xml:space="preserve"> Chilli (</w:t>
      </w:r>
      <w:r>
        <w:rPr>
          <w:rFonts w:ascii="Arial" w:hAnsi="Arial" w:eastAsia="TimesNewRomanPSMT" w:cs="Arial"/>
          <w:i/>
          <w:iCs/>
        </w:rPr>
        <w:t>Capsicum annuum</w:t>
      </w:r>
      <w:r>
        <w:rPr>
          <w:rFonts w:ascii="Arial" w:hAnsi="Arial" w:eastAsia="TimesNewRomanPSMT" w:cs="Arial"/>
        </w:rPr>
        <w:t xml:space="preserve"> L.) is an important spice essentially used in every Indian cuisine for its pungency, taste, colour and aroma. It is rich in proteins, lipids, carbohydrates, fibres, mineral salts (Ca, P, Fe) and vitamins like A, D, E, C, K, P, B2 and B12 with good medicinal properties. It can be used as medicine to treat asthma, cough and sore throats (Kanthaswamy and Venkadeswaran, 2020). In India, chilli is grown in almost all the states across the length and breadth of the country. The major chilli growing states are Andhra Pradesh, Karnataka, Maharashtra, Odisha, Tamil Nadu, Madhya Pradesh and Rajasthan. Chilli is sensitive to water stress and </w:t>
      </w:r>
      <w:r>
        <w:rPr>
          <w:rFonts w:ascii="Arial" w:hAnsi="Arial" w:eastAsia="Times New Roman" w:cs="Arial"/>
          <w:color w:val="000000"/>
        </w:rPr>
        <w:t xml:space="preserve">being a long duration and energy rich crop require proper manuring and balanced fertilizers along with sufficient moisture level for higher yield and quality produce (Tyagi and Kulmi, 2019). </w:t>
      </w:r>
    </w:p>
    <w:p w14:paraId="22D9F5A4">
      <w:pPr>
        <w:ind w:firstLine="720"/>
        <w:jc w:val="both"/>
        <w:rPr>
          <w:rFonts w:ascii="Arial" w:hAnsi="Arial" w:eastAsia="TimesNewRomanPSMT" w:cs="Arial"/>
        </w:rPr>
      </w:pPr>
      <w:r>
        <w:rPr>
          <w:rFonts w:ascii="Arial" w:hAnsi="Arial" w:eastAsia="TimesNewRomanPSMT" w:cs="Arial"/>
        </w:rPr>
        <w:t>Weed infestation is one of the limiting factors for chilli production. The presence of weeds in the crop reduces the availability of nutrient and water and thereby photosynthetic efficiency, dry matter production and its distribution to economical parts, reduces sink capacity of crop resulting in poor fruit yield (Kumari and Jat, 2021)</w:t>
      </w:r>
    </w:p>
    <w:p w14:paraId="1EB16355">
      <w:pPr>
        <w:ind w:firstLine="720"/>
        <w:jc w:val="both"/>
        <w:rPr>
          <w:rFonts w:ascii="Arial" w:hAnsi="Arial" w:eastAsia="Times New Roman" w:cs="Arial"/>
          <w:color w:val="000000"/>
        </w:rPr>
      </w:pPr>
      <w:r>
        <w:rPr>
          <w:rFonts w:ascii="Arial" w:hAnsi="Arial" w:eastAsia="Times New Roman" w:cs="Arial"/>
          <w:color w:val="000000"/>
        </w:rPr>
        <w:t xml:space="preserve">Mulching is referred as spreading various covering materials on the surface of soil to minimize moisture losses and weed population and to enhance crop yield (Kader </w:t>
      </w:r>
      <w:r>
        <w:rPr>
          <w:rFonts w:ascii="Arial" w:hAnsi="Arial" w:eastAsia="Times New Roman" w:cs="Arial"/>
          <w:i/>
          <w:iCs/>
          <w:color w:val="000000"/>
        </w:rPr>
        <w:t>et al.</w:t>
      </w:r>
      <w:r>
        <w:rPr>
          <w:rFonts w:ascii="Arial" w:hAnsi="Arial" w:eastAsia="Times New Roman" w:cs="Arial"/>
          <w:color w:val="000000"/>
        </w:rPr>
        <w:t>, 2019).</w:t>
      </w:r>
    </w:p>
    <w:p w14:paraId="163C63B0">
      <w:pPr>
        <w:jc w:val="both"/>
        <w:rPr>
          <w:rFonts w:ascii="Arial" w:hAnsi="Arial" w:eastAsia="Times New Roman" w:cs="Arial"/>
          <w:color w:val="000000"/>
        </w:rPr>
      </w:pPr>
      <w:r>
        <w:rPr>
          <w:rFonts w:ascii="Arial" w:hAnsi="Arial" w:eastAsia="Times New Roman" w:cs="Arial"/>
          <w:color w:val="000000"/>
        </w:rPr>
        <w:t xml:space="preserve">Mulching stimulates the microbial activity in soil through improvement of soil </w:t>
      </w:r>
      <w:r>
        <w:rPr>
          <w:rFonts w:ascii="Arial" w:hAnsi="Arial" w:eastAsia="Times New Roman" w:cs="Arial"/>
          <w:color w:val="000000"/>
          <w:highlight w:val="yellow"/>
        </w:rPr>
        <w:t>ag</w:t>
      </w:r>
      <w:r>
        <w:rPr>
          <w:highlight w:val="yellow"/>
        </w:rPr>
        <w:commentReference w:id="3"/>
      </w:r>
      <w:r>
        <w:rPr>
          <w:rFonts w:ascii="Arial" w:hAnsi="Arial" w:eastAsia="Times New Roman" w:cs="Arial"/>
          <w:color w:val="000000"/>
          <w:highlight w:val="yellow"/>
        </w:rPr>
        <w:t>o-physica</w:t>
      </w:r>
      <w:r>
        <w:rPr>
          <w:rFonts w:ascii="Arial" w:hAnsi="Arial" w:eastAsia="Times New Roman" w:cs="Arial"/>
          <w:color w:val="000000"/>
        </w:rPr>
        <w:t xml:space="preserve">l properties. It also minimizes the use of N fertilizer, warms the soil, improves the soil physical condition and suppresses weed growth and could account for increased yield (Nagalakshmi </w:t>
      </w:r>
      <w:r>
        <w:rPr>
          <w:rFonts w:ascii="Arial" w:hAnsi="Arial" w:eastAsia="Times New Roman" w:cs="Arial"/>
          <w:i/>
          <w:iCs/>
          <w:color w:val="000000"/>
        </w:rPr>
        <w:t>et al.,</w:t>
      </w:r>
      <w:r>
        <w:rPr>
          <w:rFonts w:ascii="Arial" w:hAnsi="Arial" w:eastAsia="Times New Roman" w:cs="Arial"/>
          <w:color w:val="000000"/>
        </w:rPr>
        <w:t xml:space="preserve"> 2002). Black polythene mulch is the standard plastic mulch used in vegetable production (Gordon </w:t>
      </w:r>
      <w:r>
        <w:rPr>
          <w:rFonts w:ascii="Arial" w:hAnsi="Arial" w:eastAsia="Times New Roman" w:cs="Arial"/>
          <w:i/>
          <w:iCs/>
          <w:color w:val="000000"/>
        </w:rPr>
        <w:t xml:space="preserve">et al., </w:t>
      </w:r>
      <w:r>
        <w:rPr>
          <w:rFonts w:ascii="Arial" w:hAnsi="Arial" w:eastAsia="Times New Roman" w:cs="Arial"/>
          <w:color w:val="000000"/>
        </w:rPr>
        <w:t>2010). Plastic mulch on the surface of the soil causes change in the microclimate on its vicinity. This results in moisture conservation, reduction in frequency of irrigation, less soil compaction and higher CO</w:t>
      </w:r>
      <w:r>
        <w:rPr>
          <w:rFonts w:ascii="Arial" w:hAnsi="Arial" w:eastAsia="Times New Roman" w:cs="Arial"/>
          <w:color w:val="000000"/>
          <w:vertAlign w:val="subscript"/>
        </w:rPr>
        <w:t>2</w:t>
      </w:r>
      <w:r>
        <w:rPr>
          <w:rFonts w:ascii="Arial" w:hAnsi="Arial" w:eastAsia="Times New Roman" w:cs="Arial"/>
          <w:color w:val="000000"/>
        </w:rPr>
        <w:t xml:space="preserve"> levels around plants (Reddy </w:t>
      </w:r>
      <w:r>
        <w:rPr>
          <w:rFonts w:ascii="Arial" w:hAnsi="Arial" w:eastAsia="Times New Roman" w:cs="Arial"/>
          <w:i/>
          <w:iCs/>
          <w:color w:val="000000"/>
        </w:rPr>
        <w:t>et al.</w:t>
      </w:r>
      <w:r>
        <w:rPr>
          <w:rFonts w:ascii="Arial" w:hAnsi="Arial" w:eastAsia="Times New Roman" w:cs="Arial"/>
          <w:color w:val="000000"/>
        </w:rPr>
        <w:t>, 2016). It also suppresses weed-flora and reduces weed competition with crop for water and nutrients making them available in greater quantities for crop plants. Plastic mulches also reduce attack of few diseases and pests to the crops. Mulching has some role for preventing soil erosion and increasing quality of the produces (Ansary</w:t>
      </w:r>
      <w:r>
        <w:rPr>
          <w:rFonts w:ascii="Arial" w:hAnsi="Arial" w:eastAsia="Times New Roman" w:cs="Arial"/>
          <w:i/>
          <w:iCs/>
          <w:color w:val="000000"/>
        </w:rPr>
        <w:t xml:space="preserve"> et al.,</w:t>
      </w:r>
      <w:r>
        <w:rPr>
          <w:rFonts w:ascii="Arial" w:hAnsi="Arial" w:eastAsia="Times New Roman" w:cs="Arial"/>
          <w:color w:val="000000"/>
        </w:rPr>
        <w:t xml:space="preserve"> 2017). The cost of using mulch is compensated by savings in weed removal and reduced irrigation. Therefore, the present study was carried to ascertain the effect of balanced fertilization and mulching on growth, yield and economics of chilli.</w:t>
      </w:r>
    </w:p>
    <w:p w14:paraId="63CDC5AA">
      <w:pPr>
        <w:spacing w:line="360" w:lineRule="auto"/>
        <w:jc w:val="both"/>
        <w:rPr>
          <w:rFonts w:ascii="Arial" w:hAnsi="Arial" w:eastAsia="Times New Roman" w:cs="Arial"/>
          <w:b/>
          <w:bCs/>
          <w:color w:val="000000"/>
          <w:sz w:val="22"/>
          <w:szCs w:val="22"/>
        </w:rPr>
      </w:pPr>
    </w:p>
    <w:p w14:paraId="25C90612">
      <w:pPr>
        <w:pStyle w:val="12"/>
        <w:numPr>
          <w:ilvl w:val="0"/>
          <w:numId w:val="1"/>
        </w:numPr>
        <w:spacing w:line="360" w:lineRule="auto"/>
        <w:jc w:val="both"/>
        <w:rPr>
          <w:rFonts w:ascii="Arial" w:hAnsi="Arial" w:eastAsia="Times New Roman" w:cs="Arial"/>
          <w:b/>
          <w:bCs/>
          <w:color w:val="000000"/>
          <w:sz w:val="22"/>
          <w:szCs w:val="22"/>
        </w:rPr>
      </w:pPr>
      <w:r>
        <w:rPr>
          <w:rFonts w:ascii="Arial" w:hAnsi="Arial" w:eastAsia="Times New Roman" w:cs="Arial"/>
          <w:b/>
          <w:bCs/>
          <w:color w:val="000000"/>
          <w:sz w:val="22"/>
          <w:szCs w:val="22"/>
        </w:rPr>
        <w:t>MATERIALS AND METHODS</w:t>
      </w:r>
    </w:p>
    <w:p w14:paraId="2BFA9DAF">
      <w:pPr>
        <w:ind w:firstLine="720"/>
        <w:jc w:val="both"/>
        <w:rPr>
          <w:rFonts w:ascii="Arial" w:hAnsi="Arial" w:eastAsia="SimSun" w:cs="Arial"/>
        </w:rPr>
      </w:pPr>
      <w:r>
        <w:rPr>
          <w:rFonts w:ascii="Arial" w:hAnsi="Arial" w:eastAsia="SimSun" w:cs="Arial"/>
        </w:rPr>
        <w:t>The Kandhamal district is situated within the longitudes of 83</w:t>
      </w:r>
      <w:r>
        <w:rPr>
          <w:rFonts w:ascii="Arial" w:hAnsi="Arial" w:eastAsia="SimSun" w:cs="Arial"/>
          <w:vertAlign w:val="superscript"/>
        </w:rPr>
        <w:t>0</w:t>
      </w:r>
      <w:r>
        <w:rPr>
          <w:rFonts w:ascii="Arial" w:hAnsi="Arial" w:eastAsia="SimSun" w:cs="Arial"/>
        </w:rPr>
        <w:t xml:space="preserve"> 30’to 84</w:t>
      </w:r>
      <w:r>
        <w:rPr>
          <w:rFonts w:ascii="Arial" w:hAnsi="Arial" w:eastAsia="SimSun" w:cs="Arial"/>
          <w:vertAlign w:val="superscript"/>
        </w:rPr>
        <w:t>0</w:t>
      </w:r>
      <w:r>
        <w:rPr>
          <w:rFonts w:ascii="Arial" w:hAnsi="Arial" w:eastAsia="SimSun" w:cs="Arial"/>
        </w:rPr>
        <w:t xml:space="preserve"> 35’ East and latitudes of 19</w:t>
      </w:r>
      <w:r>
        <w:rPr>
          <w:rFonts w:ascii="Arial" w:hAnsi="Arial" w:eastAsia="SimSun" w:cs="Arial"/>
          <w:vertAlign w:val="superscript"/>
        </w:rPr>
        <w:t>0</w:t>
      </w:r>
      <w:r>
        <w:rPr>
          <w:rFonts w:ascii="Arial" w:hAnsi="Arial" w:eastAsia="SimSun" w:cs="Arial"/>
        </w:rPr>
        <w:t xml:space="preserve"> 34’ to 20</w:t>
      </w:r>
      <w:r>
        <w:rPr>
          <w:rFonts w:ascii="Arial" w:hAnsi="Arial" w:eastAsia="SimSun" w:cs="Arial"/>
          <w:vertAlign w:val="superscript"/>
        </w:rPr>
        <w:t>0</w:t>
      </w:r>
      <w:r>
        <w:rPr>
          <w:rFonts w:ascii="Arial" w:hAnsi="Arial" w:eastAsia="SimSun" w:cs="Arial"/>
        </w:rPr>
        <w:t xml:space="preserve"> 34’ North and comes under North Eastern Ghat Zone of Odisha. The district is located in central Odisha and adjoining districts are Boudh in north, Rayagada in south, Ganjam and Nayagarh in east and Kalahandi district in west. The district has a geographical area of 8021 square kilometers.</w:t>
      </w:r>
    </w:p>
    <w:p w14:paraId="487FFE71">
      <w:pPr>
        <w:jc w:val="both"/>
        <w:rPr>
          <w:rFonts w:ascii="Arial" w:hAnsi="Arial" w:eastAsia="Garamond" w:cs="Arial"/>
        </w:rPr>
      </w:pPr>
      <w:r>
        <w:rPr>
          <w:rFonts w:ascii="Arial" w:hAnsi="Arial" w:eastAsia="SimSun" w:cs="Arial"/>
        </w:rPr>
        <w:tab/>
      </w:r>
      <w:r>
        <w:rPr>
          <w:rFonts w:ascii="Arial" w:hAnsi="Arial" w:eastAsia="SimSun" w:cs="Arial"/>
        </w:rPr>
        <w:t xml:space="preserve">A front-line demonstration was conducted on ten farmers’ field of two villages of the Kandhamal district in Randomized Block Design (RBD) under Resilience project operated at Krishi Vigyan Kendra, Kandhamal, Odisha University of Agriculture and Technology (OUAT), Bhubaneswar. The demonstration was conducted during </w:t>
      </w:r>
      <w:r>
        <w:rPr>
          <w:rFonts w:ascii="Arial" w:hAnsi="Arial" w:eastAsia="SimSun" w:cs="Arial"/>
          <w:i/>
          <w:iCs/>
        </w:rPr>
        <w:t>Kharif</w:t>
      </w:r>
      <w:r>
        <w:rPr>
          <w:rFonts w:ascii="Arial" w:hAnsi="Arial" w:eastAsia="SimSun" w:cs="Arial"/>
        </w:rPr>
        <w:t xml:space="preserve"> 2022. The demonstration consisted of three treatments of same chilli variety (Daiya</w:t>
      </w:r>
      <w:r>
        <w:rPr>
          <w:rFonts w:ascii="Arial" w:hAnsi="Arial" w:eastAsia="SimSun" w:cs="Arial"/>
          <w:color w:val="C00000"/>
        </w:rPr>
        <w:t xml:space="preserve">) </w:t>
      </w:r>
      <w:r>
        <w:rPr>
          <w:rFonts w:ascii="Arial" w:hAnsi="Arial" w:eastAsia="SimSun" w:cs="Arial"/>
        </w:rPr>
        <w:t xml:space="preserve">which was replicated at ten farmers’ field. The area of the demonstrated plot was 0.25 ha of each farmer. Twenty-five days old seedlings of chilli hybrid were transplanted on raised bed with a spacing of 0.60 m between row to row and 0.45 m plant to plant. </w:t>
      </w:r>
      <w:r>
        <w:rPr>
          <w:rFonts w:ascii="Arial" w:hAnsi="Arial" w:eastAsia="Garamond" w:cs="Arial"/>
        </w:rPr>
        <w:t>The treatments of the experiment consisted of T</w:t>
      </w:r>
      <w:r>
        <w:rPr>
          <w:rFonts w:ascii="Arial" w:hAnsi="Arial" w:eastAsia="Garamond" w:cs="Arial"/>
          <w:vertAlign w:val="subscript"/>
        </w:rPr>
        <w:t>1</w:t>
      </w:r>
      <w:r>
        <w:rPr>
          <w:rFonts w:ascii="Arial" w:hAnsi="Arial" w:eastAsia="Garamond" w:cs="Arial"/>
        </w:rPr>
        <w:t xml:space="preserve"> : 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 T</w:t>
      </w:r>
      <w:r>
        <w:rPr>
          <w:rFonts w:ascii="Arial" w:hAnsi="Arial" w:eastAsia="Garamond" w:cs="Arial"/>
          <w:vertAlign w:val="subscript"/>
        </w:rPr>
        <w:t>2</w:t>
      </w:r>
      <w:r>
        <w:rPr>
          <w:rFonts w:ascii="Arial" w:hAnsi="Arial" w:eastAsia="Garamond" w:cs="Arial"/>
        </w:rPr>
        <w:t xml:space="preserve"> : 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-1</w:t>
      </w:r>
      <w:r>
        <w:rPr>
          <w:rFonts w:ascii="Arial" w:hAnsi="Arial" w:eastAsia="Garamond" w:cs="Arial"/>
        </w:rPr>
        <w:t>, foliar spray of water soluble fertilizer and mulching with paddy straw @ 6 t ha</w:t>
      </w:r>
      <w:r>
        <w:rPr>
          <w:rFonts w:ascii="Arial" w:hAnsi="Arial" w:eastAsia="Garamond" w:cs="Arial"/>
          <w:vertAlign w:val="superscript"/>
        </w:rPr>
        <w:t>-1</w:t>
      </w:r>
      <w:r>
        <w:rPr>
          <w:rFonts w:ascii="Arial" w:hAnsi="Arial" w:eastAsia="Garamond" w:cs="Arial"/>
        </w:rPr>
        <w:t xml:space="preserve"> and T</w:t>
      </w:r>
      <w:r>
        <w:rPr>
          <w:rFonts w:ascii="Arial" w:hAnsi="Arial" w:eastAsia="Garamond" w:cs="Arial"/>
          <w:vertAlign w:val="subscript"/>
        </w:rPr>
        <w:t>3</w:t>
      </w:r>
      <w:r>
        <w:rPr>
          <w:rFonts w:ascii="Arial" w:hAnsi="Arial" w:eastAsia="Garamond" w:cs="Arial"/>
        </w:rPr>
        <w:t xml:space="preserve"> : 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 xml:space="preserve">-1 </w:t>
      </w:r>
      <w:r>
        <w:rPr>
          <w:rFonts w:ascii="Arial" w:hAnsi="Arial" w:eastAsia="Garamond" w:cs="Arial"/>
        </w:rPr>
        <w:t>, foliar spray of water soluble fertilizer and double coated (black on silver) polythene mulching. The plastic mulch of 25-micron thickness and 120 cm width were used for this study. The land was prepared by ploughing, weed and crop stubbles removed. The well decomposed farm yard manure (10 tha</w:t>
      </w:r>
      <w:r>
        <w:rPr>
          <w:rFonts w:ascii="Arial" w:hAnsi="Arial" w:eastAsia="Garamond" w:cs="Arial"/>
          <w:vertAlign w:val="superscript"/>
        </w:rPr>
        <w:t>-1</w:t>
      </w:r>
      <w:r>
        <w:rPr>
          <w:rFonts w:ascii="Arial" w:hAnsi="Arial" w:eastAsia="Garamond" w:cs="Arial"/>
        </w:rPr>
        <w:t>) and the nutrients NPK as per the treatments (RDF @100-75-75 kg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ha</w:t>
      </w:r>
      <w:r>
        <w:rPr>
          <w:rFonts w:ascii="Arial" w:hAnsi="Arial" w:eastAsia="Garamond" w:cs="Arial"/>
          <w:vertAlign w:val="superscript"/>
        </w:rPr>
        <w:t>-1</w:t>
      </w:r>
      <w:r>
        <w:rPr>
          <w:rFonts w:ascii="Arial" w:hAnsi="Arial" w:eastAsia="Garamond" w:cs="Arial"/>
        </w:rPr>
        <w:t>) were applied in the bed at the time of preparation of raised bed. Later foliar spray of water-soluble fertilizer 19:19:19 (N:P: K) was done @ 5g/L at 15 days interval starting from 30 days after planting to T</w:t>
      </w:r>
      <w:r>
        <w:rPr>
          <w:rFonts w:ascii="Arial" w:hAnsi="Arial" w:eastAsia="Garamond" w:cs="Arial"/>
          <w:vertAlign w:val="subscript"/>
        </w:rPr>
        <w:t>2</w:t>
      </w:r>
      <w:r>
        <w:rPr>
          <w:rFonts w:ascii="Arial" w:hAnsi="Arial" w:eastAsia="Garamond" w:cs="Arial"/>
        </w:rPr>
        <w:t xml:space="preserve"> &amp; T</w:t>
      </w:r>
      <w:r>
        <w:rPr>
          <w:rFonts w:ascii="Arial" w:hAnsi="Arial" w:eastAsia="Garamond" w:cs="Arial"/>
          <w:vertAlign w:val="subscript"/>
        </w:rPr>
        <w:t>3</w:t>
      </w:r>
      <w:r>
        <w:rPr>
          <w:rFonts w:ascii="Arial" w:hAnsi="Arial" w:eastAsia="Garamond" w:cs="Arial"/>
        </w:rPr>
        <w:t xml:space="preserve"> plots only. Micronutrient boron as borax was sprayed twice @ 2g/L at 40 DAT (days after transplanting) and 60 DAT to all treated plots. The paddy straw mulch spread on raised bed after transplanting of chilli seedling at a spacing of 0.60 m ×0.45 m in treatment T</w:t>
      </w:r>
      <w:r>
        <w:rPr>
          <w:rFonts w:ascii="Arial" w:hAnsi="Arial" w:eastAsia="Garamond" w:cs="Arial"/>
          <w:vertAlign w:val="subscript"/>
        </w:rPr>
        <w:t>2</w:t>
      </w:r>
      <w:r>
        <w:rPr>
          <w:rFonts w:ascii="Arial" w:hAnsi="Arial" w:eastAsia="Garamond" w:cs="Arial"/>
        </w:rPr>
        <w:t>. The polythene mulch was fixed tightly on the raised bed (15 cm high) with both ends and sides are buried properly in the soil up to the depth of 10 cm. The silver side of the double face of the polythene film was above the soil surface while the black side was below. After that the holes were punched with 4 inches PVC pipe and razor blade where seedlings were to be established. Irrigation channels of 0.60 m wide are laid out in between two crop rows.  Manual weeding was done in T</w:t>
      </w:r>
      <w:r>
        <w:rPr>
          <w:rFonts w:ascii="Arial" w:hAnsi="Arial" w:eastAsia="Garamond" w:cs="Arial"/>
          <w:vertAlign w:val="subscript"/>
        </w:rPr>
        <w:t xml:space="preserve">1 </w:t>
      </w:r>
      <w:r>
        <w:rPr>
          <w:rFonts w:ascii="Arial" w:hAnsi="Arial" w:eastAsia="Garamond" w:cs="Arial"/>
        </w:rPr>
        <w:t>while, no weeding operation was carried out in case of T</w:t>
      </w:r>
      <w:r>
        <w:rPr>
          <w:rFonts w:ascii="Arial" w:hAnsi="Arial" w:eastAsia="Garamond" w:cs="Arial"/>
          <w:vertAlign w:val="subscript"/>
        </w:rPr>
        <w:t>2</w:t>
      </w:r>
      <w:r>
        <w:rPr>
          <w:rFonts w:ascii="Arial" w:hAnsi="Arial" w:eastAsia="Garamond" w:cs="Arial"/>
        </w:rPr>
        <w:t xml:space="preserve"> and T</w:t>
      </w:r>
      <w:r>
        <w:rPr>
          <w:rFonts w:ascii="Arial" w:hAnsi="Arial" w:eastAsia="Garamond" w:cs="Arial"/>
          <w:vertAlign w:val="subscript"/>
        </w:rPr>
        <w:t xml:space="preserve">3 </w:t>
      </w:r>
      <w:r>
        <w:rPr>
          <w:rFonts w:ascii="Arial" w:hAnsi="Arial" w:eastAsia="Garamond" w:cs="Arial"/>
        </w:rPr>
        <w:t xml:space="preserve">plots. </w:t>
      </w:r>
      <w:commentRangeStart w:id="4"/>
      <w:r>
        <w:rPr>
          <w:rFonts w:ascii="Arial" w:hAnsi="Arial" w:eastAsia="Garamond" w:cs="Arial"/>
          <w:highlight w:val="yellow"/>
        </w:rPr>
        <w:t>the</w:t>
      </w:r>
      <w:commentRangeEnd w:id="4"/>
      <w:r>
        <w:commentReference w:id="4"/>
      </w:r>
      <w:r>
        <w:rPr>
          <w:rFonts w:ascii="Arial" w:hAnsi="Arial" w:eastAsia="Garamond" w:cs="Arial"/>
        </w:rPr>
        <w:t xml:space="preserve"> observations on weed density, plant height, number of primary branches per plant, average number of fruits per plant, average fresh and dry fruit weight, fresh fruit yield, </w:t>
      </w:r>
      <w:commentRangeStart w:id="5"/>
      <w:r>
        <w:rPr>
          <w:rFonts w:ascii="Arial" w:hAnsi="Arial" w:eastAsia="Garamond" w:cs="Arial"/>
          <w:highlight w:val="yellow"/>
        </w:rPr>
        <w:t>weed density</w:t>
      </w:r>
      <w:commentRangeEnd w:id="5"/>
      <w:r>
        <w:commentReference w:id="5"/>
      </w:r>
      <w:r>
        <w:rPr>
          <w:rFonts w:ascii="Arial" w:hAnsi="Arial" w:eastAsia="Garamond" w:cs="Arial"/>
        </w:rPr>
        <w:t xml:space="preserve"> and economic components were recorded. The height of the plant was measured from the base of the plant to the tip of the plant in centimeter. The spreads of plants were recorded at </w:t>
      </w:r>
      <w:r>
        <w:commentReference w:id="6"/>
      </w:r>
      <w:r>
        <w:rPr>
          <w:rFonts w:ascii="Arial" w:hAnsi="Arial" w:eastAsia="Garamond" w:cs="Arial"/>
        </w:rPr>
        <w:t>first harvesting with the help of measuring scale. The maximum distance in between two outer leaves were measured in centimeter crosswise and averages was calculated which was considered as diameter. Weight of ten randomly selected fresh fruits from each treatment were collected and measured in an electronic balance and the mean was worked out to estimate average fresh fruit weight and was expressed in grams (g). the initial soil samples were collected before planting and the physico-chemical properties were analyzed by following the proper procedure. The initial soil properties of farmers plot were found as soil reaction of 5.02 to 5.38, electrical conductivity (EC) of soil was 0.104 to 0.217 dSm</w:t>
      </w:r>
      <w:r>
        <w:rPr>
          <w:rFonts w:ascii="Arial" w:hAnsi="Arial" w:eastAsia="Garamond" w:cs="Arial"/>
          <w:vertAlign w:val="superscript"/>
        </w:rPr>
        <w:t>-1</w:t>
      </w:r>
      <w:r>
        <w:rPr>
          <w:rFonts w:ascii="Arial" w:hAnsi="Arial" w:eastAsia="Garamond" w:cs="Arial"/>
        </w:rPr>
        <w:t>, soil organic carbon was 0.32 to 0.45 per cent, available N was 209.3 to 257.8 Kg ha</w:t>
      </w:r>
      <w:r>
        <w:rPr>
          <w:rFonts w:ascii="Arial" w:hAnsi="Arial" w:eastAsia="Garamond" w:cs="Arial"/>
          <w:vertAlign w:val="superscript"/>
        </w:rPr>
        <w:t>-1</w:t>
      </w:r>
      <w:r>
        <w:rPr>
          <w:rFonts w:ascii="Arial" w:hAnsi="Arial" w:eastAsia="Garamond" w:cs="Arial"/>
        </w:rPr>
        <w:t>, available Bray’s P was 11.7 to 17.2 Kg ha</w:t>
      </w:r>
      <w:r>
        <w:rPr>
          <w:rFonts w:ascii="Arial" w:hAnsi="Arial" w:eastAsia="Garamond" w:cs="Arial"/>
          <w:vertAlign w:val="superscript"/>
        </w:rPr>
        <w:t xml:space="preserve">-1 </w:t>
      </w:r>
      <w:r>
        <w:rPr>
          <w:rFonts w:ascii="Arial" w:hAnsi="Arial" w:eastAsia="Garamond" w:cs="Arial"/>
        </w:rPr>
        <w:t>and available K was 198.3 to 291.6 Kg ha</w:t>
      </w:r>
      <w:r>
        <w:rPr>
          <w:rFonts w:ascii="Arial" w:hAnsi="Arial" w:eastAsia="Garamond" w:cs="Arial"/>
          <w:vertAlign w:val="superscript"/>
        </w:rPr>
        <w:t>-1</w:t>
      </w:r>
      <w:r>
        <w:rPr>
          <w:rFonts w:ascii="Arial" w:hAnsi="Arial" w:eastAsia="Garamond" w:cs="Arial"/>
        </w:rPr>
        <w:t>.</w:t>
      </w:r>
      <w:r>
        <w:commentReference w:id="7"/>
      </w:r>
      <w:r>
        <w:rPr>
          <w:rFonts w:ascii="Arial" w:hAnsi="Arial" w:eastAsia="Garamond" w:cs="Arial"/>
        </w:rPr>
        <w:t xml:space="preserve"> The data obtained on various attributes were statistically analyzed for critical differences using standard procedure. Cost of cultivation was calculated considering the prevailing charges of agricultural operations and local market price of inputs involved. Gross returns were obtained by converting the harvest into monetary terms at the prevailing local market rate during the course of study. The economic parameters were worked out by using the following formulae</w:t>
      </w:r>
    </w:p>
    <w:p w14:paraId="468A8042">
      <w:pPr>
        <w:jc w:val="both"/>
        <w:rPr>
          <w:rFonts w:ascii="Arial" w:hAnsi="Arial" w:eastAsia="Garamond" w:cs="Arial"/>
        </w:rPr>
      </w:pPr>
      <m:oMath>
        <m:r>
          <m:rPr>
            <m:sty m:val="p"/>
          </m:rPr>
          <w:rPr>
            <w:rFonts w:ascii="Cambria Math" w:hAnsi="Cambria Math" w:eastAsia="Garamond" w:cs="Arial"/>
          </w:rPr>
          <m:t>Gross return (Rs/ha)=Fresh fruit yield (q/ha)×Price of the produce (Rs/q)</m:t>
        </m:r>
      </m:oMath>
      <w:r>
        <w:rPr>
          <w:rFonts w:ascii="Arial" w:hAnsi="Arial" w:eastAsia="Garamond" w:cs="Arial"/>
        </w:rPr>
        <w:t>,</w:t>
      </w:r>
    </w:p>
    <w:p w14:paraId="715113E8">
      <w:pPr>
        <w:jc w:val="both"/>
        <w:rPr>
          <w:rFonts w:ascii="Arial" w:hAnsi="Arial" w:eastAsia="Garamond" w:cs="Arial"/>
        </w:rPr>
      </w:pPr>
      <m:oMath>
        <m:r>
          <m:rPr>
            <m:sty m:val="p"/>
          </m:rPr>
          <w:rPr>
            <w:rFonts w:ascii="Cambria Math" w:hAnsi="Cambria Math" w:eastAsia="Garamond" w:cs="Arial"/>
          </w:rPr>
          <m:t>Net return (Rs/ha)=Gross return (Rs/ha)−Cost of cultivation (Rs/ha)</m:t>
        </m:r>
      </m:oMath>
      <w:r>
        <w:rPr>
          <w:rFonts w:ascii="Arial" w:hAnsi="Arial" w:eastAsia="Garamond" w:cs="Arial"/>
        </w:rPr>
        <w:t xml:space="preserve"> and </w:t>
      </w:r>
      <w:r>
        <w:rPr>
          <w:rFonts w:ascii="Arial" w:hAnsi="Arial" w:eastAsia="Garamond" w:cs="Arial"/>
        </w:rPr>
        <w:br w:type="textWrapping"/>
      </w:r>
      <m:oMathPara>
        <m:oMathParaPr>
          <m:jc m:val="left"/>
        </m:oMathParaPr>
        <m:oMath>
          <m:r>
            <m:rPr>
              <m:sty m:val="p"/>
            </m:rPr>
            <w:rPr>
              <w:rFonts w:ascii="Cambria Math" w:hAnsi="Cambria Math" w:eastAsia="Garamond" w:cs="Arial"/>
            </w:rPr>
            <m:t>Benefit : cost ratio=</m:t>
          </m:r>
          <m:f>
            <m:fPr>
              <m:ctrlPr>
                <w:rPr>
                  <w:rFonts w:ascii="Cambria Math" w:hAnsi="Cambria Math" w:eastAsia="Garamond" w:cs="Arial"/>
                </w:rPr>
              </m:ctrlPr>
            </m:fPr>
            <m:num>
              <m:r>
                <m:rPr>
                  <m:sty m:val="p"/>
                </m:rPr>
                <w:rPr>
                  <w:rFonts w:ascii="Cambria Math" w:hAnsi="Cambria Math" w:eastAsia="Garamond" w:cs="Arial"/>
                </w:rPr>
                <m:t>Gross return (Rs/ha)</m:t>
              </m:r>
              <m:ctrlPr>
                <w:rPr>
                  <w:rFonts w:ascii="Cambria Math" w:hAnsi="Cambria Math" w:eastAsia="Garamond" w:cs="Arial"/>
                </w:rPr>
              </m:ctrlPr>
            </m:num>
            <m:den>
              <m:r>
                <m:rPr>
                  <m:sty m:val="p"/>
                </m:rPr>
                <w:rPr>
                  <w:rFonts w:ascii="Cambria Math" w:hAnsi="Cambria Math" w:eastAsia="Garamond" w:cs="Arial"/>
                </w:rPr>
                <m:t>Cost of cultivation (Rs/ha)</m:t>
              </m:r>
              <m:ctrlPr>
                <w:rPr>
                  <w:rFonts w:ascii="Cambria Math" w:hAnsi="Cambria Math" w:eastAsia="Garamond" w:cs="Arial"/>
                </w:rPr>
              </m:ctrlPr>
            </m:den>
          </m:f>
        </m:oMath>
      </m:oMathPara>
    </w:p>
    <w:p w14:paraId="4E75A9D6">
      <w:pPr>
        <w:pStyle w:val="12"/>
        <w:numPr>
          <w:ilvl w:val="1"/>
          <w:numId w:val="2"/>
        </w:numPr>
        <w:spacing w:line="360" w:lineRule="auto"/>
        <w:jc w:val="both"/>
        <w:rPr>
          <w:rFonts w:ascii="Arial" w:hAnsi="Arial" w:eastAsia="Times New Roman" w:cs="Arial"/>
          <w:b/>
          <w:bCs/>
          <w:color w:val="000000"/>
          <w:sz w:val="22"/>
          <w:szCs w:val="22"/>
        </w:rPr>
      </w:pPr>
      <w:r>
        <w:rPr>
          <w:rFonts w:ascii="Arial" w:hAnsi="Arial" w:eastAsia="Times New Roman" w:cs="Arial"/>
          <w:b/>
          <w:bCs/>
          <w:color w:val="000000"/>
          <w:sz w:val="22"/>
          <w:szCs w:val="22"/>
        </w:rPr>
        <w:t>RESULTS AND DISCUSSIONS</w:t>
      </w:r>
    </w:p>
    <w:p w14:paraId="130148A4">
      <w:pPr>
        <w:rPr>
          <w:rFonts w:ascii="Arial" w:hAnsi="Arial" w:cs="Arial"/>
          <w:b/>
          <w:bCs/>
          <w:sz w:val="22"/>
          <w:szCs w:val="22"/>
        </w:rPr>
      </w:pPr>
      <w:r>
        <w:rPr>
          <w:rFonts w:ascii="Arial" w:hAnsi="Arial" w:cs="Arial"/>
          <w:b/>
          <w:bCs/>
          <w:sz w:val="22"/>
          <w:szCs w:val="22"/>
        </w:rPr>
        <w:t>3.1 Effect on plant growth of chilli</w:t>
      </w:r>
    </w:p>
    <w:p w14:paraId="0DD30660">
      <w:pPr>
        <w:ind w:firstLine="720"/>
        <w:jc w:val="both"/>
        <w:rPr>
          <w:rFonts w:ascii="Arial" w:hAnsi="Arial" w:eastAsia="Garamond" w:cs="Arial"/>
        </w:rPr>
      </w:pPr>
      <w:r>
        <w:rPr>
          <w:rFonts w:ascii="Arial" w:hAnsi="Arial" w:cs="Arial"/>
        </w:rPr>
        <w:t>Among the treatments T</w:t>
      </w:r>
      <w:r>
        <w:rPr>
          <w:rFonts w:ascii="Arial" w:hAnsi="Arial" w:cs="Arial"/>
          <w:vertAlign w:val="subscript"/>
        </w:rPr>
        <w:t xml:space="preserve">3 </w:t>
      </w:r>
      <w:r>
        <w:rPr>
          <w:rFonts w:ascii="Arial" w:hAnsi="Arial" w:cs="Arial"/>
        </w:rPr>
        <w:t>(FYM 10 t ha</w:t>
      </w:r>
      <w:r>
        <w:rPr>
          <w:rFonts w:ascii="Arial" w:hAnsi="Arial" w:cs="Arial"/>
          <w:vertAlign w:val="superscript"/>
        </w:rPr>
        <w:t>-1</w:t>
      </w:r>
      <w:r>
        <w:rPr>
          <w:rFonts w:ascii="Arial" w:hAnsi="Arial" w:cs="Arial"/>
        </w:rPr>
        <w:t xml:space="preserve">,100% </w:t>
      </w:r>
      <w:commentRangeStart w:id="8"/>
      <w:r>
        <w:rPr>
          <w:rFonts w:ascii="Arial" w:hAnsi="Arial" w:cs="Arial"/>
          <w:highlight w:val="yellow"/>
        </w:rPr>
        <w:t>RDF</w:t>
      </w:r>
      <w:commentRangeEnd w:id="8"/>
      <w:r>
        <w:commentReference w:id="8"/>
      </w:r>
      <w:r>
        <w:rPr>
          <w:rFonts w:ascii="Arial" w:hAnsi="Arial" w:cs="Arial"/>
        </w:rPr>
        <w:t xml:space="preserve">, foliar spray </w:t>
      </w:r>
      <w:commentRangeStart w:id="9"/>
      <w:r>
        <w:rPr>
          <w:rFonts w:ascii="Arial" w:hAnsi="Arial" w:cs="Arial"/>
          <w:highlight w:val="yellow"/>
        </w:rPr>
        <w:t>with</w:t>
      </w:r>
      <w:commentRangeEnd w:id="9"/>
      <w:r>
        <w:commentReference w:id="9"/>
      </w:r>
      <w:r>
        <w:rPr>
          <w:rFonts w:ascii="Arial" w:hAnsi="Arial" w:cs="Arial"/>
        </w:rPr>
        <w:t xml:space="preserve"> water soluble fertilizer and polythene mulching) produced the maximum plant height (89.6 cm), number of primary branches per plant (10.4) and plant spread (69.4 cm) followed by T</w:t>
      </w:r>
      <w:r>
        <w:rPr>
          <w:rFonts w:ascii="Arial" w:hAnsi="Arial" w:cs="Arial"/>
          <w:vertAlign w:val="subscript"/>
        </w:rPr>
        <w:t xml:space="preserve">2 </w:t>
      </w:r>
      <w:r>
        <w:rPr>
          <w:rFonts w:ascii="Arial" w:hAnsi="Arial" w:cs="Arial"/>
        </w:rPr>
        <w:t>(FYM 10 t ha</w:t>
      </w:r>
      <w:r>
        <w:rPr>
          <w:rFonts w:ascii="Arial" w:hAnsi="Arial" w:cs="Arial"/>
          <w:vertAlign w:val="superscript"/>
        </w:rPr>
        <w:t>-1</w:t>
      </w:r>
      <w:r>
        <w:rPr>
          <w:rFonts w:ascii="Arial" w:hAnsi="Arial" w:cs="Arial"/>
        </w:rPr>
        <w:t xml:space="preserve">, 100% RDF, foliar spray </w:t>
      </w:r>
      <w:commentRangeStart w:id="10"/>
      <w:r>
        <w:rPr>
          <w:rFonts w:ascii="Arial" w:hAnsi="Arial" w:cs="Arial"/>
          <w:highlight w:val="yellow"/>
        </w:rPr>
        <w:t>with</w:t>
      </w:r>
      <w:commentRangeEnd w:id="10"/>
      <w:r>
        <w:commentReference w:id="10"/>
      </w:r>
      <w:r>
        <w:rPr>
          <w:rFonts w:ascii="Arial" w:hAnsi="Arial" w:cs="Arial"/>
        </w:rPr>
        <w:t xml:space="preserve"> water soluble fertilizer and paddy straw mulching @ 6 t ha</w:t>
      </w:r>
      <w:r>
        <w:rPr>
          <w:rFonts w:ascii="Arial" w:hAnsi="Arial" w:cs="Arial"/>
          <w:vertAlign w:val="superscript"/>
        </w:rPr>
        <w:t>-1</w:t>
      </w:r>
      <w:r>
        <w:rPr>
          <w:rFonts w:ascii="Arial" w:hAnsi="Arial" w:cs="Arial"/>
        </w:rPr>
        <w:t>) where 77.1 cm plant height, 8.8 primary branches per plant and 65.8 cm plant spread were recorded. The minimum plant height (63.3 cm), number of primary branches per plant (7.6) and plant spread (58.2 cm) were recorded (Table-1) in the treatment T</w:t>
      </w:r>
      <w:r>
        <w:rPr>
          <w:rFonts w:ascii="Arial" w:hAnsi="Arial" w:cs="Arial"/>
          <w:vertAlign w:val="subscript"/>
        </w:rPr>
        <w:t xml:space="preserve">1 </w:t>
      </w:r>
      <w:r>
        <w:rPr>
          <w:rFonts w:ascii="Arial" w:hAnsi="Arial" w:cs="Arial"/>
        </w:rPr>
        <w:t>(</w:t>
      </w:r>
      <w:r>
        <w:rPr>
          <w:rFonts w:ascii="Arial" w:hAnsi="Arial" w:eastAsia="Garamond" w:cs="Arial"/>
        </w:rPr>
        <w:t>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 xml:space="preserve">-1 </w:t>
      </w:r>
      <w:r>
        <w:rPr>
          <w:rFonts w:ascii="Arial" w:hAnsi="Arial" w:eastAsia="Garamond" w:cs="Arial"/>
        </w:rPr>
        <w:t xml:space="preserve">without mulching). </w:t>
      </w:r>
    </w:p>
    <w:p w14:paraId="48CF277C">
      <w:pPr>
        <w:rPr>
          <w:rFonts w:ascii="Arial" w:hAnsi="Arial" w:cs="Arial"/>
        </w:rPr>
      </w:pPr>
    </w:p>
    <w:p w14:paraId="15EDDA46">
      <w:pPr>
        <w:rPr>
          <w:rFonts w:ascii="Arial" w:hAnsi="Arial" w:cs="Arial"/>
          <w:b/>
          <w:bCs/>
        </w:rPr>
      </w:pPr>
      <w:r>
        <w:rPr>
          <w:rFonts w:ascii="Arial" w:hAnsi="Arial" w:cs="Arial"/>
          <w:b/>
          <w:bCs/>
        </w:rPr>
        <w:t xml:space="preserve">Table 1 Effect of balanced fertilization and mulching on </w:t>
      </w:r>
      <w:commentRangeStart w:id="11"/>
      <w:r>
        <w:rPr>
          <w:rFonts w:ascii="Arial" w:hAnsi="Arial" w:cs="Arial"/>
          <w:b/>
          <w:bCs/>
          <w:highlight w:val="yellow"/>
        </w:rPr>
        <w:t>weed infestation and</w:t>
      </w:r>
      <w:commentRangeEnd w:id="11"/>
      <w:r>
        <w:commentReference w:id="11"/>
      </w:r>
      <w:r>
        <w:rPr>
          <w:rFonts w:ascii="Arial" w:hAnsi="Arial" w:cs="Arial"/>
          <w:b/>
          <w:bCs/>
        </w:rPr>
        <w:t xml:space="preserve"> growth parameters of chilli </w:t>
      </w:r>
    </w:p>
    <w:p w14:paraId="18618D3C">
      <w:pPr>
        <w:jc w:val="both"/>
        <w:rPr>
          <w:rFonts w:ascii="Arial" w:hAnsi="Arial" w:eastAsia="Garamond" w:cs="Arial"/>
        </w:rPr>
      </w:pPr>
    </w:p>
    <w:tbl>
      <w:tblPr>
        <w:tblStyle w:val="9"/>
        <w:tblpPr w:leftFromText="180" w:rightFromText="180" w:vertAnchor="text" w:horzAnchor="page" w:tblpX="1990" w:tblpY="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480"/>
        <w:gridCol w:w="1105"/>
        <w:gridCol w:w="1105"/>
        <w:gridCol w:w="1104"/>
      </w:tblGrid>
      <w:tr w14:paraId="237D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pct"/>
            <w:gridSpan w:val="2"/>
            <w:vAlign w:val="center"/>
          </w:tcPr>
          <w:p w14:paraId="674DF470">
            <w:pPr>
              <w:widowControl w:val="0"/>
              <w:jc w:val="center"/>
              <w:rPr>
                <w:rFonts w:ascii="Arial" w:hAnsi="Arial" w:cs="Arial"/>
              </w:rPr>
            </w:pPr>
            <w:r>
              <w:rPr>
                <w:rFonts w:ascii="Arial" w:hAnsi="Arial" w:cs="Arial"/>
              </w:rPr>
              <w:t>Treatments</w:t>
            </w:r>
          </w:p>
        </w:tc>
        <w:tc>
          <w:tcPr>
            <w:tcW w:w="648" w:type="pct"/>
            <w:vAlign w:val="center"/>
          </w:tcPr>
          <w:p w14:paraId="636B243C">
            <w:pPr>
              <w:widowControl w:val="0"/>
              <w:jc w:val="center"/>
              <w:rPr>
                <w:rFonts w:ascii="Arial" w:hAnsi="Arial" w:cs="Arial"/>
              </w:rPr>
            </w:pPr>
            <w:r>
              <w:rPr>
                <w:rFonts w:ascii="Arial" w:hAnsi="Arial" w:cs="Arial"/>
              </w:rPr>
              <w:t>Plant height (cm)</w:t>
            </w:r>
          </w:p>
        </w:tc>
        <w:tc>
          <w:tcPr>
            <w:tcW w:w="648" w:type="pct"/>
            <w:vAlign w:val="center"/>
          </w:tcPr>
          <w:p w14:paraId="5EB65CCB">
            <w:pPr>
              <w:widowControl w:val="0"/>
              <w:jc w:val="center"/>
              <w:rPr>
                <w:rFonts w:ascii="Arial" w:hAnsi="Arial" w:cs="Arial"/>
              </w:rPr>
            </w:pPr>
            <w:commentRangeStart w:id="12"/>
            <w:r>
              <w:rPr>
                <w:rFonts w:ascii="Arial" w:hAnsi="Arial" w:cs="Arial"/>
                <w:highlight w:val="yellow"/>
              </w:rPr>
              <w:t xml:space="preserve">No. </w:t>
            </w:r>
            <w:commentRangeEnd w:id="12"/>
            <w:r>
              <w:rPr>
                <w:highlight w:val="yellow"/>
              </w:rPr>
              <w:commentReference w:id="12"/>
            </w:r>
            <w:r>
              <w:rPr>
                <w:rFonts w:ascii="Arial" w:hAnsi="Arial" w:cs="Arial"/>
              </w:rPr>
              <w:t>of primary branches plant</w:t>
            </w:r>
            <w:r>
              <w:rPr>
                <w:rFonts w:ascii="Arial" w:hAnsi="Arial" w:cs="Arial"/>
                <w:vertAlign w:val="superscript"/>
              </w:rPr>
              <w:t>-1</w:t>
            </w:r>
          </w:p>
        </w:tc>
        <w:tc>
          <w:tcPr>
            <w:tcW w:w="647" w:type="pct"/>
            <w:vAlign w:val="center"/>
          </w:tcPr>
          <w:p w14:paraId="130501DD">
            <w:pPr>
              <w:widowControl w:val="0"/>
              <w:jc w:val="center"/>
              <w:rPr>
                <w:rFonts w:ascii="Arial" w:hAnsi="Arial" w:cs="Arial"/>
              </w:rPr>
            </w:pPr>
            <w:r>
              <w:rPr>
                <w:rFonts w:ascii="Arial" w:hAnsi="Arial" w:cs="Arial"/>
              </w:rPr>
              <w:t>Plant spread (cm)</w:t>
            </w:r>
          </w:p>
        </w:tc>
      </w:tr>
      <w:tr w14:paraId="3C37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14:paraId="47B5B6E8">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1</w:t>
            </w:r>
          </w:p>
        </w:tc>
        <w:tc>
          <w:tcPr>
            <w:tcW w:w="2626" w:type="pct"/>
          </w:tcPr>
          <w:p w14:paraId="5C27E223">
            <w:pPr>
              <w:widowControl w:val="0"/>
              <w:jc w:val="both"/>
              <w:rPr>
                <w:rFonts w:ascii="Arial" w:hAnsi="Arial" w:cs="Arial"/>
              </w:rPr>
            </w:pPr>
            <w:r>
              <w:rPr>
                <w:rFonts w:ascii="Arial" w:hAnsi="Arial" w:eastAsia="Garamond" w:cs="Arial"/>
              </w:rPr>
              <w:t>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w:t>
            </w:r>
          </w:p>
        </w:tc>
        <w:tc>
          <w:tcPr>
            <w:tcW w:w="648" w:type="pct"/>
          </w:tcPr>
          <w:p w14:paraId="0869DDCF">
            <w:pPr>
              <w:widowControl w:val="0"/>
              <w:jc w:val="center"/>
              <w:rPr>
                <w:rFonts w:ascii="Arial" w:hAnsi="Arial" w:cs="Arial"/>
              </w:rPr>
            </w:pPr>
            <w:r>
              <w:rPr>
                <w:rFonts w:ascii="Arial" w:hAnsi="Arial" w:cs="Arial"/>
              </w:rPr>
              <w:t>63.3</w:t>
            </w:r>
          </w:p>
        </w:tc>
        <w:tc>
          <w:tcPr>
            <w:tcW w:w="648" w:type="pct"/>
          </w:tcPr>
          <w:p w14:paraId="581FE4F4">
            <w:pPr>
              <w:widowControl w:val="0"/>
              <w:jc w:val="center"/>
              <w:rPr>
                <w:rFonts w:ascii="Arial" w:hAnsi="Arial" w:cs="Arial"/>
              </w:rPr>
            </w:pPr>
            <w:r>
              <w:rPr>
                <w:rFonts w:ascii="Arial" w:hAnsi="Arial" w:cs="Arial"/>
              </w:rPr>
              <w:t>7.6</w:t>
            </w:r>
          </w:p>
        </w:tc>
        <w:tc>
          <w:tcPr>
            <w:tcW w:w="647" w:type="pct"/>
          </w:tcPr>
          <w:p w14:paraId="3B067E62">
            <w:pPr>
              <w:widowControl w:val="0"/>
              <w:jc w:val="center"/>
              <w:rPr>
                <w:rFonts w:ascii="Arial" w:hAnsi="Arial" w:cs="Arial"/>
              </w:rPr>
            </w:pPr>
            <w:r>
              <w:rPr>
                <w:rFonts w:ascii="Arial" w:hAnsi="Arial" w:cs="Arial"/>
              </w:rPr>
              <w:t>58.2</w:t>
            </w:r>
          </w:p>
        </w:tc>
      </w:tr>
      <w:tr w14:paraId="4847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14:paraId="4509679E">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2</w:t>
            </w:r>
          </w:p>
        </w:tc>
        <w:tc>
          <w:tcPr>
            <w:tcW w:w="2626" w:type="pct"/>
          </w:tcPr>
          <w:p w14:paraId="7F8B77C2">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-1,</w:t>
            </w:r>
            <w:r>
              <w:rPr>
                <w:rFonts w:ascii="Arial" w:hAnsi="Arial" w:eastAsia="Garamond" w:cs="Arial"/>
              </w:rPr>
              <w:t xml:space="preserve"> foliar spray of water-soluble fertilizer and mulching with paddy straw @ 6 t ha</w:t>
            </w:r>
            <w:r>
              <w:rPr>
                <w:rFonts w:ascii="Arial" w:hAnsi="Arial" w:eastAsia="Garamond" w:cs="Arial"/>
                <w:vertAlign w:val="superscript"/>
              </w:rPr>
              <w:t>-1</w:t>
            </w:r>
          </w:p>
        </w:tc>
        <w:tc>
          <w:tcPr>
            <w:tcW w:w="648" w:type="pct"/>
          </w:tcPr>
          <w:p w14:paraId="025BDDD1">
            <w:pPr>
              <w:widowControl w:val="0"/>
              <w:jc w:val="center"/>
              <w:rPr>
                <w:rFonts w:ascii="Arial" w:hAnsi="Arial" w:cs="Arial"/>
              </w:rPr>
            </w:pPr>
            <w:r>
              <w:rPr>
                <w:rFonts w:ascii="Arial" w:hAnsi="Arial" w:cs="Arial"/>
              </w:rPr>
              <w:t>77.1</w:t>
            </w:r>
          </w:p>
        </w:tc>
        <w:tc>
          <w:tcPr>
            <w:tcW w:w="648" w:type="pct"/>
          </w:tcPr>
          <w:p w14:paraId="0644DA14">
            <w:pPr>
              <w:widowControl w:val="0"/>
              <w:jc w:val="center"/>
              <w:rPr>
                <w:rFonts w:ascii="Arial" w:hAnsi="Arial" w:cs="Arial"/>
              </w:rPr>
            </w:pPr>
            <w:r>
              <w:rPr>
                <w:rFonts w:ascii="Arial" w:hAnsi="Arial" w:cs="Arial"/>
              </w:rPr>
              <w:t>8.8</w:t>
            </w:r>
          </w:p>
        </w:tc>
        <w:tc>
          <w:tcPr>
            <w:tcW w:w="647" w:type="pct"/>
          </w:tcPr>
          <w:p w14:paraId="323370AE">
            <w:pPr>
              <w:widowControl w:val="0"/>
              <w:jc w:val="center"/>
              <w:rPr>
                <w:rFonts w:ascii="Arial" w:hAnsi="Arial" w:cs="Arial"/>
              </w:rPr>
            </w:pPr>
            <w:r>
              <w:rPr>
                <w:rFonts w:ascii="Arial" w:hAnsi="Arial" w:cs="Arial"/>
              </w:rPr>
              <w:t>65.8</w:t>
            </w:r>
          </w:p>
        </w:tc>
      </w:tr>
      <w:tr w14:paraId="6629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14:paraId="3EC35F33">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3</w:t>
            </w:r>
          </w:p>
        </w:tc>
        <w:tc>
          <w:tcPr>
            <w:tcW w:w="2626" w:type="pct"/>
          </w:tcPr>
          <w:p w14:paraId="024086C3">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-1,</w:t>
            </w:r>
            <w:r>
              <w:rPr>
                <w:rFonts w:ascii="Arial" w:hAnsi="Arial" w:eastAsia="Garamond" w:cs="Arial"/>
              </w:rPr>
              <w:t xml:space="preserve"> foliar spray of water-soluble fertilizer and double coated (black on silver) polythene mulching</w:t>
            </w:r>
          </w:p>
        </w:tc>
        <w:tc>
          <w:tcPr>
            <w:tcW w:w="648" w:type="pct"/>
          </w:tcPr>
          <w:p w14:paraId="1A030923">
            <w:pPr>
              <w:widowControl w:val="0"/>
              <w:jc w:val="center"/>
              <w:rPr>
                <w:rFonts w:ascii="Arial" w:hAnsi="Arial" w:cs="Arial"/>
              </w:rPr>
            </w:pPr>
            <w:r>
              <w:rPr>
                <w:rFonts w:ascii="Arial" w:hAnsi="Arial" w:cs="Arial"/>
              </w:rPr>
              <w:t>89.6</w:t>
            </w:r>
          </w:p>
        </w:tc>
        <w:tc>
          <w:tcPr>
            <w:tcW w:w="648" w:type="pct"/>
          </w:tcPr>
          <w:p w14:paraId="08D07D0F">
            <w:pPr>
              <w:widowControl w:val="0"/>
              <w:jc w:val="center"/>
              <w:rPr>
                <w:rFonts w:ascii="Arial" w:hAnsi="Arial" w:cs="Arial"/>
              </w:rPr>
            </w:pPr>
            <w:r>
              <w:rPr>
                <w:rFonts w:ascii="Arial" w:hAnsi="Arial" w:cs="Arial"/>
              </w:rPr>
              <w:t>10.4</w:t>
            </w:r>
          </w:p>
        </w:tc>
        <w:tc>
          <w:tcPr>
            <w:tcW w:w="647" w:type="pct"/>
          </w:tcPr>
          <w:p w14:paraId="55AA084B">
            <w:pPr>
              <w:widowControl w:val="0"/>
              <w:jc w:val="center"/>
              <w:rPr>
                <w:rFonts w:ascii="Arial" w:hAnsi="Arial" w:cs="Arial"/>
              </w:rPr>
            </w:pPr>
            <w:r>
              <w:rPr>
                <w:rFonts w:ascii="Arial" w:hAnsi="Arial" w:cs="Arial"/>
              </w:rPr>
              <w:t>69.4</w:t>
            </w:r>
          </w:p>
        </w:tc>
      </w:tr>
      <w:tr w14:paraId="523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pct"/>
            <w:gridSpan w:val="2"/>
          </w:tcPr>
          <w:p w14:paraId="295C5F2C">
            <w:pPr>
              <w:widowControl w:val="0"/>
              <w:jc w:val="both"/>
              <w:rPr>
                <w:rFonts w:ascii="Arial" w:hAnsi="Arial" w:cs="Arial"/>
              </w:rPr>
            </w:pPr>
            <w:r>
              <w:rPr>
                <w:rFonts w:ascii="Arial" w:hAnsi="Arial" w:cs="Arial"/>
              </w:rPr>
              <w:t>SEm±</w:t>
            </w:r>
          </w:p>
        </w:tc>
        <w:tc>
          <w:tcPr>
            <w:tcW w:w="648" w:type="pct"/>
          </w:tcPr>
          <w:p w14:paraId="3973B256">
            <w:pPr>
              <w:widowControl w:val="0"/>
              <w:jc w:val="center"/>
              <w:rPr>
                <w:rFonts w:ascii="Arial" w:hAnsi="Arial" w:cs="Arial"/>
              </w:rPr>
            </w:pPr>
            <w:r>
              <w:rPr>
                <w:rFonts w:ascii="Arial" w:hAnsi="Arial" w:cs="Arial"/>
              </w:rPr>
              <w:t>0.32</w:t>
            </w:r>
          </w:p>
        </w:tc>
        <w:tc>
          <w:tcPr>
            <w:tcW w:w="648" w:type="pct"/>
          </w:tcPr>
          <w:p w14:paraId="7B38990F">
            <w:pPr>
              <w:widowControl w:val="0"/>
              <w:jc w:val="center"/>
              <w:rPr>
                <w:rFonts w:ascii="Arial" w:hAnsi="Arial" w:cs="Arial"/>
              </w:rPr>
            </w:pPr>
            <w:r>
              <w:rPr>
                <w:rFonts w:ascii="Arial" w:hAnsi="Arial" w:cs="Arial"/>
              </w:rPr>
              <w:t>0.15</w:t>
            </w:r>
          </w:p>
        </w:tc>
        <w:tc>
          <w:tcPr>
            <w:tcW w:w="647" w:type="pct"/>
          </w:tcPr>
          <w:p w14:paraId="336004E9">
            <w:pPr>
              <w:widowControl w:val="0"/>
              <w:jc w:val="center"/>
              <w:rPr>
                <w:rFonts w:ascii="Arial" w:hAnsi="Arial" w:cs="Arial"/>
              </w:rPr>
            </w:pPr>
            <w:r>
              <w:rPr>
                <w:rFonts w:ascii="Arial" w:hAnsi="Arial" w:cs="Arial"/>
              </w:rPr>
              <w:t>0.24</w:t>
            </w:r>
          </w:p>
        </w:tc>
      </w:tr>
      <w:tr w14:paraId="60F1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pct"/>
            <w:gridSpan w:val="2"/>
          </w:tcPr>
          <w:p w14:paraId="03771638">
            <w:pPr>
              <w:widowControl w:val="0"/>
              <w:jc w:val="both"/>
              <w:rPr>
                <w:rFonts w:ascii="Arial" w:hAnsi="Arial" w:cs="Arial"/>
              </w:rPr>
            </w:pPr>
            <w:r>
              <w:rPr>
                <w:rFonts w:ascii="Arial" w:hAnsi="Arial" w:cs="Arial"/>
              </w:rPr>
              <w:t>CD</w:t>
            </w:r>
            <w:r>
              <w:rPr>
                <w:rFonts w:ascii="Arial" w:hAnsi="Arial" w:cs="Arial"/>
                <w:vertAlign w:val="subscript"/>
              </w:rPr>
              <w:t xml:space="preserve"> (0.05)</w:t>
            </w:r>
          </w:p>
        </w:tc>
        <w:tc>
          <w:tcPr>
            <w:tcW w:w="648" w:type="pct"/>
          </w:tcPr>
          <w:p w14:paraId="52F0C5F8">
            <w:pPr>
              <w:widowControl w:val="0"/>
              <w:jc w:val="center"/>
              <w:rPr>
                <w:rFonts w:ascii="Arial" w:hAnsi="Arial" w:cs="Arial"/>
              </w:rPr>
            </w:pPr>
            <w:r>
              <w:rPr>
                <w:rFonts w:ascii="Arial" w:hAnsi="Arial" w:cs="Arial"/>
              </w:rPr>
              <w:t>0.96</w:t>
            </w:r>
          </w:p>
        </w:tc>
        <w:tc>
          <w:tcPr>
            <w:tcW w:w="648" w:type="pct"/>
          </w:tcPr>
          <w:p w14:paraId="4F6AFC5D">
            <w:pPr>
              <w:widowControl w:val="0"/>
              <w:jc w:val="center"/>
              <w:rPr>
                <w:rFonts w:ascii="Arial" w:hAnsi="Arial" w:cs="Arial"/>
              </w:rPr>
            </w:pPr>
            <w:r>
              <w:rPr>
                <w:rFonts w:ascii="Arial" w:hAnsi="Arial" w:cs="Arial"/>
              </w:rPr>
              <w:t>0.46</w:t>
            </w:r>
          </w:p>
        </w:tc>
        <w:tc>
          <w:tcPr>
            <w:tcW w:w="647" w:type="pct"/>
          </w:tcPr>
          <w:p w14:paraId="254F2D72">
            <w:pPr>
              <w:widowControl w:val="0"/>
              <w:jc w:val="center"/>
              <w:rPr>
                <w:rFonts w:ascii="Arial" w:hAnsi="Arial" w:cs="Arial"/>
              </w:rPr>
            </w:pPr>
            <w:r>
              <w:rPr>
                <w:rFonts w:ascii="Arial" w:hAnsi="Arial" w:cs="Arial"/>
              </w:rPr>
              <w:t>0.72</w:t>
            </w:r>
          </w:p>
        </w:tc>
      </w:tr>
    </w:tbl>
    <w:p w14:paraId="48BFF82B">
      <w:pPr>
        <w:ind w:firstLine="720"/>
        <w:jc w:val="both"/>
        <w:rPr>
          <w:rFonts w:ascii="Arial" w:hAnsi="Arial" w:cs="Arial"/>
        </w:rPr>
      </w:pPr>
      <w:r>
        <w:rPr>
          <w:rFonts w:ascii="Arial" w:hAnsi="Arial" w:eastAsia="Garamond" w:cs="Arial"/>
        </w:rPr>
        <w:t xml:space="preserve">The increase in plant height, number of primary branches and plant spread might be due to application of balanced nutrition to the crop enhances the better availability of sufficient quantity of nutrients. The applied higher dose of NPK responsible for cell division and cell elongation during the vegetative growth and are very essential for the plant growth as they directly or indirectly control the different physiological processes (Reddy </w:t>
      </w:r>
      <w:r>
        <w:rPr>
          <w:rFonts w:ascii="Arial" w:hAnsi="Arial" w:eastAsia="Garamond" w:cs="Arial"/>
          <w:i/>
          <w:iCs/>
        </w:rPr>
        <w:t>et al.,</w:t>
      </w:r>
      <w:r>
        <w:rPr>
          <w:rFonts w:ascii="Arial" w:hAnsi="Arial" w:eastAsia="Garamond" w:cs="Arial"/>
        </w:rPr>
        <w:t xml:space="preserve"> 2016). Further, mulching might have helped in attaining optimum growth through controlling of weeds, conserving soil moisture, reducing infiltration rate, maintaining soil temperature, stimulating soil micro-flora, reducing nutrient leaching and reducing pest infestation. </w:t>
      </w:r>
      <w:r>
        <w:rPr>
          <w:rFonts w:ascii="Arial" w:hAnsi="Arial" w:cs="Arial"/>
        </w:rPr>
        <w:t xml:space="preserve">Compared to the plastic mulch organic mulch was probably less effective in checking evaporation loss ultimately maintained less soil moisture content, thus found less vegetative growth of the plants. Das </w:t>
      </w:r>
      <w:r>
        <w:rPr>
          <w:rFonts w:ascii="Arial" w:hAnsi="Arial" w:cs="Arial"/>
          <w:i/>
          <w:iCs/>
        </w:rPr>
        <w:t xml:space="preserve">et al., </w:t>
      </w:r>
      <w:r>
        <w:rPr>
          <w:rFonts w:ascii="Arial" w:hAnsi="Arial" w:cs="Arial"/>
        </w:rPr>
        <w:t>2022 reported that mulching enhanced the plant height and number of primary branches in chilli due to sufficient soil moisture near the root zone and minimum evaporation loss. High moisture content may lead to more nutrient and water uptake, which ultimately enhances the proper plant growth and development of plants.</w:t>
      </w:r>
    </w:p>
    <w:p w14:paraId="463B97EA">
      <w:pPr>
        <w:ind w:firstLine="720"/>
        <w:jc w:val="both"/>
        <w:rPr>
          <w:rFonts w:ascii="Arial" w:hAnsi="Arial" w:cs="Arial"/>
        </w:rPr>
      </w:pPr>
      <w:r>
        <w:rPr>
          <w:rFonts w:ascii="Arial" w:hAnsi="Arial" w:cs="Arial"/>
        </w:rPr>
        <w:t xml:space="preserve">Rani </w:t>
      </w:r>
      <w:r>
        <w:rPr>
          <w:rFonts w:ascii="Arial" w:hAnsi="Arial" w:cs="Arial"/>
          <w:i/>
          <w:iCs/>
        </w:rPr>
        <w:t>et al.</w:t>
      </w:r>
      <w:r>
        <w:rPr>
          <w:rFonts w:ascii="Arial" w:hAnsi="Arial" w:cs="Arial"/>
        </w:rPr>
        <w:t xml:space="preserve"> (2020) observed in their study that use of mulch improved the micro climatic condition near the root zone which </w:t>
      </w:r>
      <w:commentRangeStart w:id="13"/>
      <w:r>
        <w:rPr>
          <w:rFonts w:ascii="Arial" w:hAnsi="Arial" w:cs="Arial"/>
        </w:rPr>
        <w:t>created</w:t>
      </w:r>
      <w:commentRangeEnd w:id="13"/>
      <w:r>
        <w:commentReference w:id="13"/>
      </w:r>
      <w:r>
        <w:rPr>
          <w:rFonts w:ascii="Arial" w:hAnsi="Arial" w:cs="Arial"/>
        </w:rPr>
        <w:t xml:space="preserve"> higher plant height and primary branches of chilli. The similar findings were also observed by Ashrafuzzaman </w:t>
      </w:r>
      <w:r>
        <w:rPr>
          <w:rFonts w:ascii="Arial" w:hAnsi="Arial" w:cs="Arial"/>
          <w:i/>
          <w:iCs/>
        </w:rPr>
        <w:t>et al.</w:t>
      </w:r>
      <w:r>
        <w:rPr>
          <w:rFonts w:ascii="Arial" w:hAnsi="Arial" w:cs="Arial"/>
        </w:rPr>
        <w:t xml:space="preserve"> (2011), Prajapati</w:t>
      </w:r>
      <w:r>
        <w:rPr>
          <w:rFonts w:ascii="Arial" w:hAnsi="Arial" w:cs="Arial"/>
          <w:i/>
          <w:iCs/>
        </w:rPr>
        <w:t xml:space="preserve"> et al</w:t>
      </w:r>
      <w:r>
        <w:rPr>
          <w:rFonts w:ascii="Arial" w:hAnsi="Arial" w:cs="Arial"/>
        </w:rPr>
        <w:t xml:space="preserve">. (2017), Tumbare and Nikam (2004), Gulshan </w:t>
      </w:r>
      <w:r>
        <w:rPr>
          <w:rFonts w:ascii="Arial" w:hAnsi="Arial" w:cs="Arial"/>
          <w:i/>
          <w:iCs/>
        </w:rPr>
        <w:t xml:space="preserve">et al. </w:t>
      </w:r>
      <w:r>
        <w:rPr>
          <w:rFonts w:ascii="Arial" w:hAnsi="Arial" w:cs="Arial"/>
        </w:rPr>
        <w:t xml:space="preserve">(2007), Pravakar </w:t>
      </w:r>
      <w:r>
        <w:rPr>
          <w:rFonts w:ascii="Arial" w:hAnsi="Arial" w:cs="Arial"/>
          <w:i/>
          <w:iCs/>
        </w:rPr>
        <w:t>et al.</w:t>
      </w:r>
      <w:r>
        <w:rPr>
          <w:rFonts w:ascii="Arial" w:hAnsi="Arial" w:cs="Arial"/>
        </w:rPr>
        <w:t xml:space="preserve"> (2010), Pandey </w:t>
      </w:r>
      <w:r>
        <w:rPr>
          <w:rFonts w:ascii="Arial" w:hAnsi="Arial" w:cs="Arial"/>
          <w:i/>
          <w:iCs/>
        </w:rPr>
        <w:t>et al.</w:t>
      </w:r>
      <w:r>
        <w:rPr>
          <w:rFonts w:ascii="Arial" w:hAnsi="Arial" w:cs="Arial"/>
        </w:rPr>
        <w:t xml:space="preserve"> (2013) in green chilli, Gordon </w:t>
      </w:r>
      <w:r>
        <w:rPr>
          <w:rFonts w:ascii="Arial" w:hAnsi="Arial" w:cs="Arial"/>
          <w:i/>
          <w:iCs/>
        </w:rPr>
        <w:t>et al.</w:t>
      </w:r>
      <w:r>
        <w:rPr>
          <w:rFonts w:ascii="Arial" w:hAnsi="Arial" w:cs="Arial"/>
        </w:rPr>
        <w:t xml:space="preserve"> (2010) in okra and Ranjan </w:t>
      </w:r>
      <w:r>
        <w:rPr>
          <w:rFonts w:ascii="Arial" w:hAnsi="Arial" w:cs="Arial"/>
          <w:i/>
          <w:iCs/>
        </w:rPr>
        <w:t>et al.</w:t>
      </w:r>
      <w:r>
        <w:rPr>
          <w:rFonts w:ascii="Arial" w:hAnsi="Arial" w:cs="Arial"/>
        </w:rPr>
        <w:t xml:space="preserve"> (2014) &amp; Christopher </w:t>
      </w:r>
      <w:r>
        <w:rPr>
          <w:rFonts w:ascii="Arial" w:hAnsi="Arial" w:cs="Arial"/>
          <w:i/>
          <w:iCs/>
        </w:rPr>
        <w:t>et al.</w:t>
      </w:r>
      <w:r>
        <w:rPr>
          <w:rFonts w:ascii="Arial" w:hAnsi="Arial" w:cs="Arial"/>
        </w:rPr>
        <w:t xml:space="preserve"> (1996) in tomato.  </w:t>
      </w:r>
    </w:p>
    <w:p w14:paraId="773FC88B">
      <w:pPr>
        <w:spacing w:line="360" w:lineRule="auto"/>
        <w:jc w:val="both"/>
        <w:rPr>
          <w:rFonts w:ascii="Arial" w:hAnsi="Arial" w:cs="Arial"/>
          <w:b/>
          <w:bCs/>
          <w:sz w:val="22"/>
          <w:szCs w:val="22"/>
        </w:rPr>
      </w:pPr>
      <w:r>
        <w:rPr>
          <w:rFonts w:ascii="Arial" w:hAnsi="Arial" w:cs="Arial"/>
          <w:b/>
          <w:bCs/>
          <w:sz w:val="22"/>
          <w:szCs w:val="22"/>
        </w:rPr>
        <w:t>3.2 Yield and yield parameters</w:t>
      </w:r>
    </w:p>
    <w:p w14:paraId="29440423">
      <w:pPr>
        <w:jc w:val="both"/>
        <w:rPr>
          <w:rFonts w:ascii="Arial" w:hAnsi="Arial" w:cs="Arial"/>
        </w:rPr>
      </w:pPr>
      <w:r>
        <w:rPr>
          <w:rFonts w:ascii="Arial" w:hAnsi="Arial" w:cs="Arial"/>
          <w:b/>
          <w:bCs/>
          <w:sz w:val="24"/>
          <w:szCs w:val="24"/>
        </w:rPr>
        <w:tab/>
      </w:r>
      <w:r>
        <w:rPr>
          <w:rFonts w:ascii="Arial" w:hAnsi="Arial" w:cs="Arial"/>
        </w:rPr>
        <w:t>The fruit characteristics and yield recorded after every picking</w:t>
      </w:r>
      <w:r>
        <w:commentReference w:id="14"/>
      </w:r>
      <w:r>
        <w:rPr>
          <w:rFonts w:ascii="Arial" w:hAnsi="Arial" w:cs="Arial"/>
        </w:rPr>
        <w:t xml:space="preserve"> and the average values are expressed under different treatments are shown Table 2. </w:t>
      </w:r>
    </w:p>
    <w:p w14:paraId="511F8500">
      <w:pPr>
        <w:jc w:val="both"/>
        <w:rPr>
          <w:rFonts w:ascii="Arial" w:hAnsi="Arial" w:cs="Arial"/>
        </w:rPr>
      </w:pPr>
    </w:p>
    <w:p w14:paraId="2078E6E5">
      <w:pPr>
        <w:rPr>
          <w:rFonts w:ascii="Arial" w:hAnsi="Arial" w:cs="Arial"/>
          <w:b/>
          <w:bCs/>
        </w:rPr>
      </w:pPr>
      <w:r>
        <w:rPr>
          <w:rFonts w:ascii="Arial" w:hAnsi="Arial" w:cs="Arial"/>
          <w:b/>
          <w:bCs/>
        </w:rPr>
        <w:t xml:space="preserve">Table 2 Effect of balanced fertilization and mulching on yield attributes and yield of chilli </w:t>
      </w:r>
    </w:p>
    <w:tbl>
      <w:tblPr>
        <w:tblStyle w:val="9"/>
        <w:tblpPr w:leftFromText="180" w:rightFromText="180" w:vertAnchor="text" w:horzAnchor="page" w:tblpXSpec="center"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2956"/>
        <w:gridCol w:w="1042"/>
        <w:gridCol w:w="828"/>
        <w:gridCol w:w="887"/>
        <w:gridCol w:w="875"/>
        <w:gridCol w:w="682"/>
        <w:gridCol w:w="842"/>
      </w:tblGrid>
      <w:tr w14:paraId="402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93E9045">
            <w:pPr>
              <w:widowControl w:val="0"/>
              <w:jc w:val="center"/>
              <w:rPr>
                <w:rFonts w:ascii="Arial" w:hAnsi="Arial" w:cs="Arial"/>
              </w:rPr>
            </w:pPr>
            <w:r>
              <w:rPr>
                <w:rFonts w:ascii="Arial" w:hAnsi="Arial" w:cs="Arial"/>
              </w:rPr>
              <w:t>Treatments</w:t>
            </w:r>
          </w:p>
        </w:tc>
        <w:tc>
          <w:tcPr>
            <w:tcW w:w="0" w:type="auto"/>
            <w:vAlign w:val="center"/>
          </w:tcPr>
          <w:p w14:paraId="50317FEE">
            <w:pPr>
              <w:widowControl w:val="0"/>
              <w:jc w:val="center"/>
              <w:rPr>
                <w:rFonts w:ascii="Arial" w:hAnsi="Arial" w:cs="Arial"/>
              </w:rPr>
            </w:pPr>
            <w:r>
              <w:rPr>
                <w:rFonts w:ascii="Arial" w:hAnsi="Arial" w:cs="Arial"/>
              </w:rPr>
              <w:t>Number of fruits per plant</w:t>
            </w:r>
          </w:p>
        </w:tc>
        <w:tc>
          <w:tcPr>
            <w:tcW w:w="0" w:type="auto"/>
            <w:vAlign w:val="center"/>
          </w:tcPr>
          <w:p w14:paraId="1605B7A3">
            <w:pPr>
              <w:widowControl w:val="0"/>
              <w:jc w:val="center"/>
              <w:rPr>
                <w:rFonts w:ascii="Arial" w:hAnsi="Arial" w:cs="Arial"/>
              </w:rPr>
            </w:pPr>
            <w:r>
              <w:rPr>
                <w:rFonts w:ascii="Arial" w:hAnsi="Arial" w:cs="Arial"/>
              </w:rPr>
              <w:t>Fruit length (cm)</w:t>
            </w:r>
          </w:p>
        </w:tc>
        <w:tc>
          <w:tcPr>
            <w:tcW w:w="0" w:type="auto"/>
            <w:vAlign w:val="center"/>
          </w:tcPr>
          <w:p w14:paraId="7462AA73">
            <w:pPr>
              <w:widowControl w:val="0"/>
              <w:jc w:val="center"/>
              <w:rPr>
                <w:rFonts w:ascii="Arial" w:hAnsi="Arial" w:cs="Arial"/>
              </w:rPr>
            </w:pPr>
            <w:r>
              <w:rPr>
                <w:rFonts w:ascii="Arial" w:hAnsi="Arial" w:cs="Arial"/>
              </w:rPr>
              <w:t>Fresh fruit weight (g)</w:t>
            </w:r>
          </w:p>
        </w:tc>
        <w:tc>
          <w:tcPr>
            <w:tcW w:w="0" w:type="auto"/>
            <w:vAlign w:val="center"/>
          </w:tcPr>
          <w:p w14:paraId="0831ED80">
            <w:pPr>
              <w:widowControl w:val="0"/>
              <w:jc w:val="center"/>
              <w:rPr>
                <w:rFonts w:ascii="Arial" w:hAnsi="Arial" w:cs="Arial"/>
              </w:rPr>
            </w:pPr>
            <w:r>
              <w:rPr>
                <w:rFonts w:ascii="Arial" w:hAnsi="Arial" w:cs="Arial"/>
              </w:rPr>
              <w:t>Fruit dry weight (g)</w:t>
            </w:r>
          </w:p>
        </w:tc>
        <w:tc>
          <w:tcPr>
            <w:tcW w:w="0" w:type="auto"/>
            <w:vAlign w:val="center"/>
          </w:tcPr>
          <w:p w14:paraId="7E70F461">
            <w:pPr>
              <w:widowControl w:val="0"/>
              <w:jc w:val="center"/>
              <w:rPr>
                <w:rFonts w:ascii="Arial" w:hAnsi="Arial" w:cs="Arial"/>
              </w:rPr>
            </w:pPr>
            <w:r>
              <w:rPr>
                <w:rFonts w:ascii="Arial" w:hAnsi="Arial" w:cs="Arial"/>
              </w:rPr>
              <w:t>Fruit girth (cm)</w:t>
            </w:r>
          </w:p>
        </w:tc>
        <w:tc>
          <w:tcPr>
            <w:tcW w:w="0" w:type="auto"/>
            <w:vAlign w:val="center"/>
          </w:tcPr>
          <w:p w14:paraId="4E5C25DF">
            <w:pPr>
              <w:widowControl w:val="0"/>
              <w:jc w:val="center"/>
              <w:rPr>
                <w:rFonts w:ascii="Arial" w:hAnsi="Arial" w:cs="Arial"/>
              </w:rPr>
            </w:pPr>
            <w:r>
              <w:rPr>
                <w:rFonts w:ascii="Arial" w:hAnsi="Arial" w:cs="Arial"/>
              </w:rPr>
              <w:t>Fresh fruit yield (q ha</w:t>
            </w:r>
            <w:r>
              <w:rPr>
                <w:rFonts w:ascii="Arial" w:hAnsi="Arial" w:cs="Arial"/>
                <w:vertAlign w:val="superscript"/>
              </w:rPr>
              <w:t>-1</w:t>
            </w:r>
            <w:r>
              <w:rPr>
                <w:rFonts w:ascii="Arial" w:hAnsi="Arial" w:cs="Arial"/>
              </w:rPr>
              <w:t>)</w:t>
            </w:r>
          </w:p>
        </w:tc>
      </w:tr>
      <w:tr w14:paraId="1221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4DA063">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1</w:t>
            </w:r>
          </w:p>
        </w:tc>
        <w:tc>
          <w:tcPr>
            <w:tcW w:w="0" w:type="auto"/>
          </w:tcPr>
          <w:p w14:paraId="310E961C">
            <w:pPr>
              <w:widowControl w:val="0"/>
              <w:jc w:val="both"/>
              <w:rPr>
                <w:rFonts w:ascii="Arial" w:hAnsi="Arial" w:cs="Arial"/>
              </w:rPr>
            </w:pPr>
            <w:r>
              <w:rPr>
                <w:rFonts w:ascii="Arial" w:hAnsi="Arial" w:eastAsia="Garamond" w:cs="Arial"/>
              </w:rPr>
              <w:t>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w:t>
            </w:r>
          </w:p>
        </w:tc>
        <w:tc>
          <w:tcPr>
            <w:tcW w:w="0" w:type="auto"/>
            <w:vAlign w:val="center"/>
          </w:tcPr>
          <w:p w14:paraId="17A18717">
            <w:pPr>
              <w:widowControl w:val="0"/>
              <w:jc w:val="left"/>
              <w:rPr>
                <w:rFonts w:ascii="Arial" w:hAnsi="Arial" w:cs="Arial"/>
              </w:rPr>
            </w:pPr>
            <w:r>
              <w:rPr>
                <w:rFonts w:ascii="Arial" w:hAnsi="Arial" w:cs="Arial"/>
              </w:rPr>
              <w:t>107.6</w:t>
            </w:r>
          </w:p>
        </w:tc>
        <w:tc>
          <w:tcPr>
            <w:tcW w:w="0" w:type="auto"/>
            <w:vAlign w:val="center"/>
          </w:tcPr>
          <w:p w14:paraId="2AC84BCF">
            <w:pPr>
              <w:widowControl w:val="0"/>
              <w:jc w:val="left"/>
              <w:rPr>
                <w:rFonts w:ascii="Arial" w:hAnsi="Arial" w:cs="Arial"/>
              </w:rPr>
            </w:pPr>
            <w:r>
              <w:rPr>
                <w:rFonts w:ascii="Arial" w:hAnsi="Arial" w:cs="Arial"/>
              </w:rPr>
              <w:t>4.38</w:t>
            </w:r>
          </w:p>
        </w:tc>
        <w:tc>
          <w:tcPr>
            <w:tcW w:w="0" w:type="auto"/>
            <w:vAlign w:val="center"/>
          </w:tcPr>
          <w:p w14:paraId="6110FE7E">
            <w:pPr>
              <w:widowControl w:val="0"/>
              <w:jc w:val="left"/>
              <w:rPr>
                <w:rFonts w:ascii="Arial" w:hAnsi="Arial" w:cs="Arial"/>
              </w:rPr>
            </w:pPr>
            <w:r>
              <w:rPr>
                <w:rFonts w:ascii="Arial" w:hAnsi="Arial" w:cs="Arial"/>
              </w:rPr>
              <w:t>1.30</w:t>
            </w:r>
          </w:p>
        </w:tc>
        <w:tc>
          <w:tcPr>
            <w:tcW w:w="0" w:type="auto"/>
            <w:vAlign w:val="center"/>
          </w:tcPr>
          <w:p w14:paraId="64000DC0">
            <w:pPr>
              <w:widowControl w:val="0"/>
              <w:jc w:val="left"/>
              <w:rPr>
                <w:rFonts w:ascii="Arial" w:hAnsi="Arial" w:cs="Arial"/>
              </w:rPr>
            </w:pPr>
            <w:r>
              <w:rPr>
                <w:rFonts w:ascii="Arial" w:hAnsi="Arial" w:cs="Arial"/>
              </w:rPr>
              <w:t>0.43</w:t>
            </w:r>
          </w:p>
        </w:tc>
        <w:tc>
          <w:tcPr>
            <w:tcW w:w="0" w:type="auto"/>
            <w:vAlign w:val="center"/>
          </w:tcPr>
          <w:p w14:paraId="711C60C1">
            <w:pPr>
              <w:widowControl w:val="0"/>
              <w:jc w:val="left"/>
              <w:rPr>
                <w:rFonts w:ascii="Arial" w:hAnsi="Arial" w:cs="Arial"/>
              </w:rPr>
            </w:pPr>
            <w:r>
              <w:rPr>
                <w:rFonts w:ascii="Arial" w:hAnsi="Arial" w:cs="Arial"/>
              </w:rPr>
              <w:t>2.51</w:t>
            </w:r>
          </w:p>
        </w:tc>
        <w:tc>
          <w:tcPr>
            <w:tcW w:w="0" w:type="auto"/>
            <w:vAlign w:val="center"/>
          </w:tcPr>
          <w:p w14:paraId="68B8BC6E">
            <w:pPr>
              <w:widowControl/>
              <w:jc w:val="left"/>
              <w:textAlignment w:val="center"/>
              <w:rPr>
                <w:rFonts w:ascii="Arial" w:hAnsi="Arial" w:cs="Arial"/>
              </w:rPr>
            </w:pPr>
            <w:r>
              <w:rPr>
                <w:rFonts w:ascii="Arial" w:hAnsi="Arial" w:cs="Arial"/>
              </w:rPr>
              <w:t>131.6</w:t>
            </w:r>
          </w:p>
        </w:tc>
      </w:tr>
      <w:tr w14:paraId="1ECE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0E6F486">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2</w:t>
            </w:r>
          </w:p>
        </w:tc>
        <w:tc>
          <w:tcPr>
            <w:tcW w:w="0" w:type="auto"/>
          </w:tcPr>
          <w:p w14:paraId="273F8017">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-1,</w:t>
            </w:r>
            <w:r>
              <w:rPr>
                <w:rFonts w:ascii="Arial" w:hAnsi="Arial" w:eastAsia="Garamond" w:cs="Arial"/>
              </w:rPr>
              <w:t xml:space="preserve"> foliar spray of water-soluble fertilizer and mulching with paddy straw @ 6 t ha</w:t>
            </w:r>
            <w:r>
              <w:rPr>
                <w:rFonts w:ascii="Arial" w:hAnsi="Arial" w:eastAsia="Garamond" w:cs="Arial"/>
                <w:vertAlign w:val="superscript"/>
              </w:rPr>
              <w:t>-1</w:t>
            </w:r>
          </w:p>
        </w:tc>
        <w:tc>
          <w:tcPr>
            <w:tcW w:w="0" w:type="auto"/>
            <w:vAlign w:val="center"/>
          </w:tcPr>
          <w:p w14:paraId="4A21A9CD">
            <w:pPr>
              <w:widowControl w:val="0"/>
              <w:jc w:val="left"/>
              <w:rPr>
                <w:rFonts w:ascii="Arial" w:hAnsi="Arial" w:cs="Arial"/>
              </w:rPr>
            </w:pPr>
            <w:r>
              <w:rPr>
                <w:rFonts w:ascii="Arial" w:hAnsi="Arial" w:cs="Arial"/>
              </w:rPr>
              <w:t>126.9</w:t>
            </w:r>
          </w:p>
        </w:tc>
        <w:tc>
          <w:tcPr>
            <w:tcW w:w="0" w:type="auto"/>
            <w:vAlign w:val="center"/>
          </w:tcPr>
          <w:p w14:paraId="087C0733">
            <w:pPr>
              <w:widowControl w:val="0"/>
              <w:jc w:val="left"/>
              <w:rPr>
                <w:rFonts w:ascii="Arial" w:hAnsi="Arial" w:cs="Arial"/>
              </w:rPr>
            </w:pPr>
            <w:r>
              <w:rPr>
                <w:rFonts w:ascii="Arial" w:hAnsi="Arial" w:cs="Arial"/>
              </w:rPr>
              <w:t>5.27</w:t>
            </w:r>
          </w:p>
        </w:tc>
        <w:tc>
          <w:tcPr>
            <w:tcW w:w="0" w:type="auto"/>
            <w:vAlign w:val="center"/>
          </w:tcPr>
          <w:p w14:paraId="192CEE52">
            <w:pPr>
              <w:widowControl w:val="0"/>
              <w:jc w:val="left"/>
              <w:rPr>
                <w:rFonts w:ascii="Arial" w:hAnsi="Arial" w:cs="Arial"/>
              </w:rPr>
            </w:pPr>
            <w:r>
              <w:rPr>
                <w:rFonts w:ascii="Arial" w:hAnsi="Arial" w:cs="Arial"/>
              </w:rPr>
              <w:t>1.55</w:t>
            </w:r>
          </w:p>
        </w:tc>
        <w:tc>
          <w:tcPr>
            <w:tcW w:w="0" w:type="auto"/>
            <w:vAlign w:val="center"/>
          </w:tcPr>
          <w:p w14:paraId="6BBF7B81">
            <w:pPr>
              <w:widowControl w:val="0"/>
              <w:jc w:val="left"/>
              <w:rPr>
                <w:rFonts w:ascii="Arial" w:hAnsi="Arial" w:cs="Arial"/>
              </w:rPr>
            </w:pPr>
            <w:r>
              <w:rPr>
                <w:rFonts w:ascii="Arial" w:hAnsi="Arial" w:cs="Arial"/>
              </w:rPr>
              <w:t>0.57</w:t>
            </w:r>
          </w:p>
        </w:tc>
        <w:tc>
          <w:tcPr>
            <w:tcW w:w="0" w:type="auto"/>
            <w:vAlign w:val="center"/>
          </w:tcPr>
          <w:p w14:paraId="2BF1FB27">
            <w:pPr>
              <w:widowControl w:val="0"/>
              <w:jc w:val="left"/>
              <w:rPr>
                <w:rFonts w:ascii="Arial" w:hAnsi="Arial" w:cs="Arial"/>
              </w:rPr>
            </w:pPr>
            <w:r>
              <w:rPr>
                <w:rFonts w:ascii="Arial" w:hAnsi="Arial" w:cs="Arial"/>
              </w:rPr>
              <w:t>2.62</w:t>
            </w:r>
          </w:p>
        </w:tc>
        <w:tc>
          <w:tcPr>
            <w:tcW w:w="0" w:type="auto"/>
            <w:vAlign w:val="center"/>
          </w:tcPr>
          <w:p w14:paraId="7D3CC13C">
            <w:pPr>
              <w:widowControl/>
              <w:jc w:val="left"/>
              <w:textAlignment w:val="center"/>
              <w:rPr>
                <w:rFonts w:ascii="Arial" w:hAnsi="Arial" w:cs="Arial"/>
              </w:rPr>
            </w:pPr>
            <w:r>
              <w:rPr>
                <w:rFonts w:ascii="Arial" w:hAnsi="Arial" w:cs="Arial"/>
              </w:rPr>
              <w:t>156.8</w:t>
            </w:r>
          </w:p>
        </w:tc>
      </w:tr>
      <w:tr w14:paraId="1775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9E4FF3">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3</w:t>
            </w:r>
          </w:p>
        </w:tc>
        <w:tc>
          <w:tcPr>
            <w:tcW w:w="0" w:type="auto"/>
          </w:tcPr>
          <w:p w14:paraId="6E6E1A68">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-1,</w:t>
            </w:r>
            <w:r>
              <w:rPr>
                <w:rFonts w:ascii="Arial" w:hAnsi="Arial" w:eastAsia="Garamond" w:cs="Arial"/>
              </w:rPr>
              <w:t xml:space="preserve"> foliar spray of water-soluble fertilizer and double coated (black on silver) polythene mulching</w:t>
            </w:r>
          </w:p>
        </w:tc>
        <w:tc>
          <w:tcPr>
            <w:tcW w:w="0" w:type="auto"/>
            <w:vAlign w:val="center"/>
          </w:tcPr>
          <w:p w14:paraId="10F7EEA9">
            <w:pPr>
              <w:widowControl w:val="0"/>
              <w:jc w:val="left"/>
              <w:rPr>
                <w:rFonts w:ascii="Arial" w:hAnsi="Arial" w:cs="Arial"/>
              </w:rPr>
            </w:pPr>
            <w:r>
              <w:rPr>
                <w:rFonts w:ascii="Arial" w:hAnsi="Arial" w:cs="Arial"/>
              </w:rPr>
              <w:t>142.3</w:t>
            </w:r>
          </w:p>
        </w:tc>
        <w:tc>
          <w:tcPr>
            <w:tcW w:w="0" w:type="auto"/>
            <w:vAlign w:val="center"/>
          </w:tcPr>
          <w:p w14:paraId="128B8C02">
            <w:pPr>
              <w:widowControl w:val="0"/>
              <w:jc w:val="left"/>
              <w:rPr>
                <w:rFonts w:ascii="Arial" w:hAnsi="Arial" w:cs="Arial"/>
              </w:rPr>
            </w:pPr>
            <w:r>
              <w:rPr>
                <w:rFonts w:ascii="Arial" w:hAnsi="Arial" w:cs="Arial"/>
              </w:rPr>
              <w:t>6.41</w:t>
            </w:r>
          </w:p>
        </w:tc>
        <w:tc>
          <w:tcPr>
            <w:tcW w:w="0" w:type="auto"/>
            <w:vAlign w:val="center"/>
          </w:tcPr>
          <w:p w14:paraId="0E86EE90">
            <w:pPr>
              <w:widowControl w:val="0"/>
              <w:jc w:val="left"/>
              <w:rPr>
                <w:rFonts w:ascii="Arial" w:hAnsi="Arial" w:cs="Arial"/>
              </w:rPr>
            </w:pPr>
            <w:r>
              <w:rPr>
                <w:rFonts w:ascii="Arial" w:hAnsi="Arial" w:cs="Arial"/>
              </w:rPr>
              <w:t>1.80</w:t>
            </w:r>
          </w:p>
        </w:tc>
        <w:tc>
          <w:tcPr>
            <w:tcW w:w="0" w:type="auto"/>
            <w:vAlign w:val="center"/>
          </w:tcPr>
          <w:p w14:paraId="697AC8E0">
            <w:pPr>
              <w:widowControl w:val="0"/>
              <w:jc w:val="left"/>
              <w:rPr>
                <w:rFonts w:ascii="Arial" w:hAnsi="Arial" w:cs="Arial"/>
              </w:rPr>
            </w:pPr>
            <w:r>
              <w:rPr>
                <w:rFonts w:ascii="Arial" w:hAnsi="Arial" w:cs="Arial"/>
              </w:rPr>
              <w:t>0.69</w:t>
            </w:r>
          </w:p>
        </w:tc>
        <w:tc>
          <w:tcPr>
            <w:tcW w:w="0" w:type="auto"/>
            <w:vAlign w:val="center"/>
          </w:tcPr>
          <w:p w14:paraId="26792CEB">
            <w:pPr>
              <w:widowControl w:val="0"/>
              <w:jc w:val="left"/>
              <w:rPr>
                <w:rFonts w:ascii="Arial" w:hAnsi="Arial" w:cs="Arial"/>
              </w:rPr>
            </w:pPr>
            <w:r>
              <w:rPr>
                <w:rFonts w:ascii="Arial" w:hAnsi="Arial" w:cs="Arial"/>
              </w:rPr>
              <w:t>2.73</w:t>
            </w:r>
          </w:p>
        </w:tc>
        <w:tc>
          <w:tcPr>
            <w:tcW w:w="0" w:type="auto"/>
            <w:vAlign w:val="center"/>
          </w:tcPr>
          <w:p w14:paraId="11BCEA4C">
            <w:pPr>
              <w:widowControl/>
              <w:jc w:val="left"/>
              <w:textAlignment w:val="center"/>
              <w:rPr>
                <w:rFonts w:ascii="Arial" w:hAnsi="Arial" w:cs="Arial"/>
              </w:rPr>
            </w:pPr>
            <w:r>
              <w:rPr>
                <w:rFonts w:ascii="Arial" w:hAnsi="Arial" w:cs="Arial"/>
              </w:rPr>
              <w:t>178.3</w:t>
            </w:r>
          </w:p>
        </w:tc>
      </w:tr>
      <w:tr w14:paraId="472C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14:paraId="0322093A">
            <w:pPr>
              <w:widowControl w:val="0"/>
              <w:jc w:val="both"/>
              <w:rPr>
                <w:rFonts w:ascii="Arial" w:hAnsi="Arial" w:cs="Arial"/>
              </w:rPr>
            </w:pPr>
            <w:r>
              <w:rPr>
                <w:rFonts w:ascii="Arial" w:hAnsi="Arial" w:cs="Arial"/>
              </w:rPr>
              <w:t>S Em±</w:t>
            </w:r>
          </w:p>
        </w:tc>
        <w:tc>
          <w:tcPr>
            <w:tcW w:w="0" w:type="auto"/>
          </w:tcPr>
          <w:p w14:paraId="4BC8AF2A">
            <w:pPr>
              <w:widowControl w:val="0"/>
              <w:jc w:val="both"/>
              <w:rPr>
                <w:rFonts w:ascii="Arial" w:hAnsi="Arial" w:cs="Arial"/>
              </w:rPr>
            </w:pPr>
            <w:r>
              <w:rPr>
                <w:rFonts w:ascii="Arial" w:hAnsi="Arial" w:cs="Arial"/>
              </w:rPr>
              <w:t>1.43</w:t>
            </w:r>
          </w:p>
        </w:tc>
        <w:tc>
          <w:tcPr>
            <w:tcW w:w="0" w:type="auto"/>
          </w:tcPr>
          <w:p w14:paraId="6CF4C7D5">
            <w:pPr>
              <w:widowControl w:val="0"/>
              <w:jc w:val="both"/>
              <w:rPr>
                <w:rFonts w:ascii="Arial" w:hAnsi="Arial" w:cs="Arial"/>
              </w:rPr>
            </w:pPr>
            <w:r>
              <w:rPr>
                <w:rFonts w:ascii="Arial" w:hAnsi="Arial" w:cs="Arial"/>
              </w:rPr>
              <w:t>0.06</w:t>
            </w:r>
          </w:p>
        </w:tc>
        <w:tc>
          <w:tcPr>
            <w:tcW w:w="0" w:type="auto"/>
          </w:tcPr>
          <w:p w14:paraId="05A3249A">
            <w:pPr>
              <w:widowControl w:val="0"/>
              <w:jc w:val="both"/>
              <w:rPr>
                <w:rFonts w:ascii="Arial" w:hAnsi="Arial" w:cs="Arial"/>
              </w:rPr>
            </w:pPr>
            <w:r>
              <w:rPr>
                <w:rFonts w:ascii="Arial" w:hAnsi="Arial" w:cs="Arial"/>
              </w:rPr>
              <w:t>0.04</w:t>
            </w:r>
          </w:p>
        </w:tc>
        <w:tc>
          <w:tcPr>
            <w:tcW w:w="0" w:type="auto"/>
          </w:tcPr>
          <w:p w14:paraId="5EBFE2EA">
            <w:pPr>
              <w:widowControl w:val="0"/>
              <w:jc w:val="both"/>
              <w:rPr>
                <w:rFonts w:ascii="Arial" w:hAnsi="Arial" w:cs="Arial"/>
              </w:rPr>
            </w:pPr>
            <w:r>
              <w:rPr>
                <w:rFonts w:ascii="Arial" w:hAnsi="Arial" w:cs="Arial"/>
              </w:rPr>
              <w:t>0.03</w:t>
            </w:r>
          </w:p>
        </w:tc>
        <w:tc>
          <w:tcPr>
            <w:tcW w:w="0" w:type="auto"/>
          </w:tcPr>
          <w:p w14:paraId="027102FA">
            <w:pPr>
              <w:widowControl w:val="0"/>
              <w:jc w:val="both"/>
              <w:rPr>
                <w:rFonts w:ascii="Arial" w:hAnsi="Arial" w:cs="Arial"/>
              </w:rPr>
            </w:pPr>
            <w:r>
              <w:rPr>
                <w:rFonts w:ascii="Arial" w:hAnsi="Arial" w:cs="Arial"/>
              </w:rPr>
              <w:t>0.03</w:t>
            </w:r>
          </w:p>
        </w:tc>
        <w:tc>
          <w:tcPr>
            <w:tcW w:w="0" w:type="auto"/>
          </w:tcPr>
          <w:p w14:paraId="448BEDBD">
            <w:pPr>
              <w:widowControl w:val="0"/>
              <w:jc w:val="both"/>
              <w:rPr>
                <w:rFonts w:ascii="Arial" w:hAnsi="Arial" w:cs="Arial"/>
              </w:rPr>
            </w:pPr>
            <w:r>
              <w:rPr>
                <w:rFonts w:ascii="Arial" w:hAnsi="Arial" w:cs="Arial"/>
              </w:rPr>
              <w:t>1.64</w:t>
            </w:r>
          </w:p>
        </w:tc>
      </w:tr>
      <w:tr w14:paraId="5438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14:paraId="06931DC7">
            <w:pPr>
              <w:widowControl w:val="0"/>
              <w:jc w:val="both"/>
              <w:rPr>
                <w:rFonts w:ascii="Arial" w:hAnsi="Arial" w:cs="Arial"/>
              </w:rPr>
            </w:pPr>
            <w:r>
              <w:rPr>
                <w:rFonts w:ascii="Arial" w:hAnsi="Arial" w:cs="Arial"/>
              </w:rPr>
              <w:t>CD</w:t>
            </w:r>
            <w:r>
              <w:rPr>
                <w:rFonts w:ascii="Arial" w:hAnsi="Arial" w:cs="Arial"/>
                <w:vertAlign w:val="subscript"/>
              </w:rPr>
              <w:t xml:space="preserve"> (0.05)</w:t>
            </w:r>
          </w:p>
        </w:tc>
        <w:tc>
          <w:tcPr>
            <w:tcW w:w="0" w:type="auto"/>
          </w:tcPr>
          <w:p w14:paraId="54EA02EE">
            <w:pPr>
              <w:widowControl w:val="0"/>
              <w:jc w:val="both"/>
              <w:rPr>
                <w:rFonts w:ascii="Arial" w:hAnsi="Arial" w:cs="Arial"/>
              </w:rPr>
            </w:pPr>
            <w:r>
              <w:rPr>
                <w:rFonts w:ascii="Arial" w:hAnsi="Arial" w:cs="Arial"/>
              </w:rPr>
              <w:t>4.26</w:t>
            </w:r>
          </w:p>
        </w:tc>
        <w:tc>
          <w:tcPr>
            <w:tcW w:w="0" w:type="auto"/>
          </w:tcPr>
          <w:p w14:paraId="307F41AC">
            <w:pPr>
              <w:widowControl w:val="0"/>
              <w:jc w:val="both"/>
              <w:rPr>
                <w:rFonts w:ascii="Arial" w:hAnsi="Arial" w:cs="Arial"/>
              </w:rPr>
            </w:pPr>
            <w:r>
              <w:rPr>
                <w:rFonts w:ascii="Arial" w:hAnsi="Arial" w:cs="Arial"/>
              </w:rPr>
              <w:t>0.17</w:t>
            </w:r>
          </w:p>
        </w:tc>
        <w:tc>
          <w:tcPr>
            <w:tcW w:w="0" w:type="auto"/>
          </w:tcPr>
          <w:p w14:paraId="1D073BD4">
            <w:pPr>
              <w:widowControl w:val="0"/>
              <w:jc w:val="both"/>
              <w:rPr>
                <w:rFonts w:ascii="Arial" w:hAnsi="Arial" w:cs="Arial"/>
              </w:rPr>
            </w:pPr>
            <w:r>
              <w:rPr>
                <w:rFonts w:ascii="Arial" w:hAnsi="Arial" w:cs="Arial"/>
              </w:rPr>
              <w:t>0.08</w:t>
            </w:r>
          </w:p>
        </w:tc>
        <w:tc>
          <w:tcPr>
            <w:tcW w:w="0" w:type="auto"/>
          </w:tcPr>
          <w:p w14:paraId="398EED69">
            <w:pPr>
              <w:widowControl w:val="0"/>
              <w:jc w:val="both"/>
              <w:rPr>
                <w:rFonts w:ascii="Arial" w:hAnsi="Arial" w:cs="Arial"/>
              </w:rPr>
            </w:pPr>
            <w:r>
              <w:rPr>
                <w:rFonts w:ascii="Arial" w:hAnsi="Arial" w:cs="Arial"/>
              </w:rPr>
              <w:t>0.05</w:t>
            </w:r>
          </w:p>
        </w:tc>
        <w:tc>
          <w:tcPr>
            <w:tcW w:w="0" w:type="auto"/>
          </w:tcPr>
          <w:p w14:paraId="3B36B43B">
            <w:pPr>
              <w:widowControl w:val="0"/>
              <w:jc w:val="both"/>
              <w:rPr>
                <w:rFonts w:ascii="Arial" w:hAnsi="Arial" w:cs="Arial"/>
              </w:rPr>
            </w:pPr>
            <w:r>
              <w:rPr>
                <w:rFonts w:ascii="Arial" w:hAnsi="Arial" w:cs="Arial"/>
              </w:rPr>
              <w:t>0.10</w:t>
            </w:r>
          </w:p>
        </w:tc>
        <w:tc>
          <w:tcPr>
            <w:tcW w:w="0" w:type="auto"/>
          </w:tcPr>
          <w:p w14:paraId="3CAD022B">
            <w:pPr>
              <w:widowControl w:val="0"/>
              <w:jc w:val="both"/>
              <w:rPr>
                <w:rFonts w:ascii="Arial" w:hAnsi="Arial" w:cs="Arial"/>
              </w:rPr>
            </w:pPr>
            <w:r>
              <w:rPr>
                <w:rFonts w:ascii="Arial" w:hAnsi="Arial" w:cs="Arial"/>
              </w:rPr>
              <w:t>4.88</w:t>
            </w:r>
          </w:p>
        </w:tc>
      </w:tr>
    </w:tbl>
    <w:p w14:paraId="35C321BF">
      <w:pPr>
        <w:jc w:val="both"/>
        <w:rPr>
          <w:rFonts w:ascii="Arial" w:hAnsi="Arial" w:cs="Arial"/>
        </w:rPr>
      </w:pPr>
    </w:p>
    <w:p w14:paraId="2CFA1780">
      <w:pPr>
        <w:jc w:val="both"/>
        <w:rPr>
          <w:rFonts w:ascii="Arial" w:hAnsi="Arial" w:cs="Arial"/>
        </w:rPr>
      </w:pPr>
    </w:p>
    <w:p w14:paraId="4BE1A120">
      <w:pPr>
        <w:jc w:val="both"/>
        <w:rPr>
          <w:rFonts w:ascii="Arial" w:hAnsi="Arial" w:cs="Arial"/>
        </w:rPr>
      </w:pPr>
      <w:r>
        <w:rPr>
          <w:rFonts w:ascii="Arial" w:hAnsi="Arial" w:cs="Arial"/>
        </w:rPr>
        <w:t>The yield attributes like Number of fruits per plant (142.3), fruit length (6.41cm), fresh fruit weight (1.80 g), fruit dry weigh (0.69</w:t>
      </w:r>
      <w:r>
        <w:commentReference w:id="15"/>
      </w:r>
      <w:r>
        <w:rPr>
          <w:rFonts w:ascii="Arial" w:hAnsi="Arial" w:cs="Arial"/>
        </w:rPr>
        <w:t>), fruit girth (2.73 cm) and fresh fruit yield (178.3 q ha</w:t>
      </w:r>
      <w:r>
        <w:rPr>
          <w:rFonts w:ascii="Arial" w:hAnsi="Arial" w:cs="Arial"/>
          <w:vertAlign w:val="superscript"/>
        </w:rPr>
        <w:t>-1</w:t>
      </w:r>
      <w:r>
        <w:rPr>
          <w:rFonts w:ascii="Arial" w:hAnsi="Arial" w:cs="Arial"/>
        </w:rPr>
        <w:t>) were higher in T</w:t>
      </w:r>
      <w:r>
        <w:rPr>
          <w:rFonts w:ascii="Arial" w:hAnsi="Arial" w:cs="Arial"/>
          <w:vertAlign w:val="subscript"/>
        </w:rPr>
        <w:t>3</w:t>
      </w:r>
      <w:r>
        <w:rPr>
          <w:rFonts w:ascii="Arial" w:hAnsi="Arial" w:cs="Arial"/>
        </w:rPr>
        <w:t xml:space="preserve"> (FYM 10 t ha</w:t>
      </w:r>
      <w:r>
        <w:rPr>
          <w:rFonts w:ascii="Arial" w:hAnsi="Arial" w:cs="Arial"/>
          <w:vertAlign w:val="superscript"/>
        </w:rPr>
        <w:t>-1</w:t>
      </w:r>
      <w:r>
        <w:rPr>
          <w:rFonts w:ascii="Arial" w:hAnsi="Arial" w:cs="Arial"/>
        </w:rPr>
        <w:t xml:space="preserve">,100% RDF, foliar spray with water soluble fertilizer and polythene mulching) </w:t>
      </w:r>
      <w:commentRangeStart w:id="16"/>
      <w:r>
        <w:rPr>
          <w:rFonts w:ascii="Arial" w:hAnsi="Arial" w:cs="Arial"/>
        </w:rPr>
        <w:t>which was</w:t>
      </w:r>
      <w:commentRangeEnd w:id="16"/>
      <w:r>
        <w:commentReference w:id="16"/>
      </w:r>
      <w:r>
        <w:rPr>
          <w:rFonts w:ascii="Arial" w:hAnsi="Arial" w:cs="Arial"/>
        </w:rPr>
        <w:t xml:space="preserve"> followed by T</w:t>
      </w:r>
      <w:r>
        <w:rPr>
          <w:rFonts w:ascii="Arial" w:hAnsi="Arial" w:cs="Arial"/>
          <w:vertAlign w:val="subscript"/>
        </w:rPr>
        <w:t>2</w:t>
      </w:r>
      <w:r>
        <w:rPr>
          <w:rFonts w:ascii="Arial" w:hAnsi="Arial" w:cs="Arial"/>
        </w:rPr>
        <w:t xml:space="preserve"> where the number of fruits per plant (126.9), fruit length (5.27 cm), fresh fruit weight (1.55 g),</w:t>
      </w:r>
      <w:commentRangeStart w:id="17"/>
      <w:r>
        <w:rPr>
          <w:rFonts w:ascii="Arial" w:hAnsi="Arial" w:cs="Arial"/>
        </w:rPr>
        <w:t xml:space="preserve"> fruit dry weigh </w:t>
      </w:r>
      <w:commentRangeEnd w:id="17"/>
      <w:r>
        <w:commentReference w:id="17"/>
      </w:r>
      <w:r>
        <w:rPr>
          <w:rFonts w:ascii="Arial" w:hAnsi="Arial" w:cs="Arial"/>
        </w:rPr>
        <w:t>(0.57), fruit girth (2.62 cm) and fresh fruit yield (156.8 q ha</w:t>
      </w:r>
      <w:r>
        <w:rPr>
          <w:rFonts w:ascii="Arial" w:hAnsi="Arial" w:cs="Arial"/>
          <w:vertAlign w:val="superscript"/>
        </w:rPr>
        <w:t>-1</w:t>
      </w:r>
      <w:r>
        <w:rPr>
          <w:rFonts w:ascii="Arial" w:hAnsi="Arial" w:cs="Arial"/>
        </w:rPr>
        <w:t xml:space="preserve">) were observed. The minimum number of fruits per plant (107.6), fruit length (4.38 cm), fresh fruit weight (1.30 g), fruit dry </w:t>
      </w:r>
      <w:commentRangeStart w:id="18"/>
      <w:r>
        <w:rPr>
          <w:rFonts w:ascii="Arial" w:hAnsi="Arial" w:cs="Arial"/>
        </w:rPr>
        <w:t xml:space="preserve">weigh </w:t>
      </w:r>
      <w:commentRangeEnd w:id="18"/>
      <w:r>
        <w:commentReference w:id="18"/>
      </w:r>
      <w:r>
        <w:rPr>
          <w:rFonts w:ascii="Arial" w:hAnsi="Arial" w:cs="Arial"/>
        </w:rPr>
        <w:t>(0.43), fruit girth (2.51 cm) and fresh fruit yield (131.6 q ha</w:t>
      </w:r>
      <w:r>
        <w:rPr>
          <w:rFonts w:ascii="Arial" w:hAnsi="Arial" w:cs="Arial"/>
          <w:vertAlign w:val="superscript"/>
        </w:rPr>
        <w:t>-1</w:t>
      </w:r>
      <w:r>
        <w:rPr>
          <w:rFonts w:ascii="Arial" w:hAnsi="Arial" w:cs="Arial"/>
        </w:rPr>
        <w:t>) were found in T</w:t>
      </w:r>
      <w:r>
        <w:rPr>
          <w:rFonts w:ascii="Arial" w:hAnsi="Arial" w:cs="Arial"/>
          <w:vertAlign w:val="subscript"/>
        </w:rPr>
        <w:t xml:space="preserve">1 </w:t>
      </w:r>
      <w:r>
        <w:rPr>
          <w:rFonts w:ascii="Arial" w:hAnsi="Arial" w:cs="Arial"/>
        </w:rPr>
        <w:t>(Farmers’ practice, without mulch). These improvement in yield attributes and yield might be due to high availability of soil moisture, balanced nutrition through soil and foliar application with mulching which helped in establishing the roots, initiating more fruiting points, their subsequent retention and development in the plant leading to the higher number of fruits per plant, yield and other parameters. Debbarma</w:t>
      </w:r>
      <w:r>
        <w:rPr>
          <w:rFonts w:ascii="Arial" w:hAnsi="Arial" w:cs="Arial"/>
          <w:i/>
          <w:iCs/>
        </w:rPr>
        <w:t xml:space="preserve"> et al.</w:t>
      </w:r>
      <w:r>
        <w:rPr>
          <w:rFonts w:ascii="Arial" w:hAnsi="Arial" w:cs="Arial"/>
        </w:rPr>
        <w:t xml:space="preserve"> (2015) and Marichamy </w:t>
      </w:r>
      <w:r>
        <w:rPr>
          <w:rFonts w:ascii="Arial" w:hAnsi="Arial" w:cs="Arial"/>
          <w:i/>
          <w:iCs/>
        </w:rPr>
        <w:t>et al.</w:t>
      </w:r>
      <w:r>
        <w:rPr>
          <w:rFonts w:ascii="Arial" w:hAnsi="Arial" w:cs="Arial"/>
        </w:rPr>
        <w:t xml:space="preserve"> (2016) reported that the higher yield and yield attributes of crops under mulching achieved due to less weed population, increased photosynthesis and metabolic activities, higher uptake of water and nutrients which facilitated growth and yield of plants. Similar trends of yield and yield attributes were reported by Sajjan (2000), Prabhakar</w:t>
      </w:r>
      <w:r>
        <w:rPr>
          <w:rFonts w:ascii="Arial" w:hAnsi="Arial" w:cs="Arial"/>
          <w:i/>
          <w:iCs/>
        </w:rPr>
        <w:t xml:space="preserve"> et al.</w:t>
      </w:r>
      <w:r>
        <w:rPr>
          <w:rFonts w:ascii="Arial" w:hAnsi="Arial" w:cs="Arial"/>
        </w:rPr>
        <w:t xml:space="preserve"> (2010) and Ramachandrappa</w:t>
      </w:r>
      <w:r>
        <w:rPr>
          <w:rFonts w:ascii="Arial" w:hAnsi="Arial" w:cs="Arial"/>
          <w:i/>
          <w:iCs/>
        </w:rPr>
        <w:t xml:space="preserve"> et al.</w:t>
      </w:r>
      <w:r>
        <w:rPr>
          <w:rFonts w:ascii="Arial" w:hAnsi="Arial" w:cs="Arial"/>
        </w:rPr>
        <w:t xml:space="preserve"> (2010) in green chilli. Manohar (2002) in capsicum, Krishnamoorthy and Noorjeh</w:t>
      </w:r>
      <w:r>
        <w:rPr>
          <w:rFonts w:ascii="Arial" w:hAnsi="Arial" w:eastAsia="TimesNewRomanPSMT" w:cs="Arial"/>
        </w:rPr>
        <w:t xml:space="preserve">an (2014), Reddy </w:t>
      </w:r>
      <w:r>
        <w:rPr>
          <w:rFonts w:ascii="Arial" w:hAnsi="Arial" w:eastAsia="TimesNewRomanPSMT" w:cs="Arial"/>
          <w:i/>
          <w:iCs/>
        </w:rPr>
        <w:t xml:space="preserve">et al. </w:t>
      </w:r>
      <w:r>
        <w:rPr>
          <w:rFonts w:ascii="Arial" w:hAnsi="Arial" w:eastAsia="TimesNewRomanPSMT" w:cs="Arial"/>
        </w:rPr>
        <w:t>(2016) and</w:t>
      </w:r>
      <w:r>
        <w:rPr>
          <w:rFonts w:ascii="Arial" w:hAnsi="Arial" w:eastAsia="TimesNewRomanPSMT" w:cs="Arial"/>
          <w:i/>
          <w:iCs/>
        </w:rPr>
        <w:t xml:space="preserve"> </w:t>
      </w:r>
      <w:r>
        <w:rPr>
          <w:rFonts w:ascii="Arial" w:hAnsi="Arial" w:eastAsia="TimesNewRomanPSMT" w:cs="Arial"/>
        </w:rPr>
        <w:t>Rani</w:t>
      </w:r>
      <w:r>
        <w:rPr>
          <w:rFonts w:ascii="Arial" w:hAnsi="Arial" w:eastAsia="TimesNewRomanPSMT" w:cs="Arial"/>
          <w:i/>
          <w:iCs/>
        </w:rPr>
        <w:t xml:space="preserve"> et al.</w:t>
      </w:r>
      <w:r>
        <w:rPr>
          <w:rFonts w:ascii="Arial" w:hAnsi="Arial" w:eastAsia="TimesNewRomanPSMT" w:cs="Arial"/>
        </w:rPr>
        <w:t xml:space="preserve"> (2020) &amp; Das </w:t>
      </w:r>
      <w:r>
        <w:rPr>
          <w:rFonts w:ascii="Arial" w:hAnsi="Arial" w:eastAsia="TimesNewRomanPSMT" w:cs="Arial"/>
          <w:i/>
          <w:iCs/>
        </w:rPr>
        <w:t>et al.</w:t>
      </w:r>
      <w:r>
        <w:rPr>
          <w:rFonts w:ascii="Arial" w:hAnsi="Arial" w:eastAsia="TimesNewRomanPSMT" w:cs="Arial"/>
        </w:rPr>
        <w:t xml:space="preserve"> (2022) in chilli and Ansary </w:t>
      </w:r>
      <w:r>
        <w:rPr>
          <w:rFonts w:ascii="Arial" w:hAnsi="Arial" w:eastAsia="TimesNewRomanPSMT" w:cs="Arial"/>
          <w:i/>
          <w:iCs/>
        </w:rPr>
        <w:t>et al.</w:t>
      </w:r>
      <w:r>
        <w:rPr>
          <w:rFonts w:ascii="Arial" w:hAnsi="Arial" w:eastAsia="TimesNewRomanPSMT" w:cs="Arial"/>
        </w:rPr>
        <w:t xml:space="preserve"> (2017) in tomato.</w:t>
      </w:r>
    </w:p>
    <w:p w14:paraId="29EF1607">
      <w:pPr>
        <w:spacing w:line="360" w:lineRule="auto"/>
        <w:jc w:val="both"/>
        <w:rPr>
          <w:rFonts w:ascii="Arial" w:hAnsi="Arial" w:eastAsia="TimesNewRomanPSMT" w:cs="Arial"/>
          <w:b/>
          <w:bCs/>
          <w:sz w:val="22"/>
          <w:szCs w:val="22"/>
        </w:rPr>
      </w:pPr>
      <w:r>
        <w:rPr>
          <w:rFonts w:ascii="Arial" w:hAnsi="Arial" w:eastAsia="TimesNewRomanPSMT" w:cs="Arial"/>
          <w:b/>
          <w:bCs/>
          <w:sz w:val="22"/>
          <w:szCs w:val="22"/>
        </w:rPr>
        <w:t>3.3 Weed Population</w:t>
      </w:r>
    </w:p>
    <w:p w14:paraId="542CD65F">
      <w:pPr>
        <w:jc w:val="both"/>
        <w:rPr>
          <w:rFonts w:ascii="Arial" w:hAnsi="Arial" w:cs="Arial"/>
        </w:rPr>
      </w:pPr>
      <w:r>
        <w:rPr>
          <w:rFonts w:ascii="Arial" w:hAnsi="Arial" w:cs="Arial"/>
        </w:rPr>
        <w:t xml:space="preserve">Mulching provides a physical barrier, thus reduces the germination and nourishment of many weeds (Shilpa </w:t>
      </w:r>
      <w:r>
        <w:rPr>
          <w:rFonts w:ascii="Arial" w:hAnsi="Arial" w:cs="Arial"/>
          <w:i/>
          <w:iCs/>
        </w:rPr>
        <w:t>et al.</w:t>
      </w:r>
      <w:r>
        <w:rPr>
          <w:rFonts w:ascii="Arial" w:hAnsi="Arial" w:cs="Arial"/>
        </w:rPr>
        <w:t xml:space="preserve">, 2022). In this study weed population were counted at 40 days after transplanting (DAT). </w:t>
      </w:r>
    </w:p>
    <w:p w14:paraId="37165560">
      <w:pPr>
        <w:rPr>
          <w:rFonts w:ascii="Arial" w:hAnsi="Arial" w:cs="Arial"/>
        </w:rPr>
      </w:pPr>
    </w:p>
    <w:p w14:paraId="5728CD75">
      <w:pPr>
        <w:rPr>
          <w:rFonts w:ascii="Arial" w:hAnsi="Arial" w:cs="Arial"/>
          <w:b/>
          <w:bCs/>
        </w:rPr>
      </w:pPr>
      <w:r>
        <w:rPr>
          <w:rFonts w:ascii="Arial" w:hAnsi="Arial" w:cs="Arial"/>
          <w:b/>
          <w:bCs/>
        </w:rPr>
        <w:t xml:space="preserve">Table 3 Effect of balanced fertilization and mulching on weed infestation of chilli </w:t>
      </w:r>
    </w:p>
    <w:tbl>
      <w:tblPr>
        <w:tblStyle w:val="9"/>
        <w:tblpPr w:leftFromText="180" w:rightFromText="180" w:vertAnchor="text" w:horzAnchor="page" w:tblpXSpec="center"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5606"/>
        <w:gridCol w:w="750"/>
        <w:gridCol w:w="1039"/>
        <w:gridCol w:w="717"/>
      </w:tblGrid>
      <w:tr w14:paraId="3486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35EDE44">
            <w:pPr>
              <w:widowControl w:val="0"/>
              <w:jc w:val="center"/>
              <w:rPr>
                <w:rFonts w:ascii="Arial" w:hAnsi="Arial" w:cs="Arial"/>
              </w:rPr>
            </w:pPr>
            <w:bookmarkStart w:id="0" w:name="_GoBack"/>
            <w:r>
              <w:rPr>
                <w:rFonts w:ascii="Arial" w:hAnsi="Arial" w:cs="Arial"/>
              </w:rPr>
              <w:t>Treatments</w:t>
            </w:r>
          </w:p>
        </w:tc>
        <w:tc>
          <w:tcPr>
            <w:tcW w:w="0" w:type="auto"/>
            <w:gridSpan w:val="3"/>
            <w:vAlign w:val="center"/>
          </w:tcPr>
          <w:p w14:paraId="7981AB98">
            <w:pPr>
              <w:widowControl w:val="0"/>
              <w:jc w:val="center"/>
              <w:rPr>
                <w:rFonts w:ascii="Arial" w:hAnsi="Arial" w:cs="Arial"/>
              </w:rPr>
            </w:pPr>
            <w:r>
              <w:rPr>
                <w:rFonts w:ascii="Arial" w:hAnsi="Arial" w:cs="Arial"/>
              </w:rPr>
              <w:t>Weed population</w:t>
            </w:r>
          </w:p>
          <w:p w14:paraId="7EA0DEB3">
            <w:pPr>
              <w:widowControl w:val="0"/>
              <w:jc w:val="center"/>
              <w:rPr>
                <w:rFonts w:ascii="Arial" w:hAnsi="Arial" w:cs="Arial"/>
              </w:rPr>
            </w:pPr>
            <w:r>
              <w:rPr>
                <w:rFonts w:ascii="Arial" w:hAnsi="Arial" w:cs="Arial"/>
              </w:rPr>
              <w:t>(Number of weeds m</w:t>
            </w:r>
            <w:r>
              <w:rPr>
                <w:rFonts w:ascii="Arial" w:hAnsi="Arial" w:cs="Arial"/>
                <w:vertAlign w:val="superscript"/>
              </w:rPr>
              <w:t>-2</w:t>
            </w:r>
            <w:r>
              <w:rPr>
                <w:rFonts w:ascii="Arial" w:hAnsi="Arial" w:cs="Arial"/>
              </w:rPr>
              <w:t xml:space="preserve">) </w:t>
            </w:r>
          </w:p>
          <w:p w14:paraId="7C8C7C39">
            <w:pPr>
              <w:widowControl w:val="0"/>
              <w:jc w:val="center"/>
              <w:rPr>
                <w:rFonts w:ascii="Arial" w:hAnsi="Arial" w:cs="Arial"/>
              </w:rPr>
            </w:pPr>
            <w:r>
              <w:rPr>
                <w:rFonts w:ascii="Arial" w:hAnsi="Arial" w:cs="Arial"/>
              </w:rPr>
              <w:t>at 40 DAT</w:t>
            </w:r>
          </w:p>
        </w:tc>
      </w:tr>
      <w:tr w14:paraId="01F6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AA8B6C6">
            <w:pPr>
              <w:widowControl w:val="0"/>
              <w:jc w:val="center"/>
              <w:rPr>
                <w:rFonts w:ascii="Arial" w:hAnsi="Arial" w:cs="Arial"/>
              </w:rPr>
            </w:pPr>
          </w:p>
        </w:tc>
        <w:tc>
          <w:tcPr>
            <w:tcW w:w="0" w:type="auto"/>
            <w:vAlign w:val="center"/>
          </w:tcPr>
          <w:p w14:paraId="257883A0">
            <w:pPr>
              <w:widowControl w:val="0"/>
              <w:jc w:val="center"/>
              <w:rPr>
                <w:rFonts w:ascii="Arial" w:hAnsi="Arial" w:cs="Arial"/>
              </w:rPr>
            </w:pPr>
            <w:r>
              <w:rPr>
                <w:rFonts w:ascii="Arial" w:hAnsi="Arial" w:cs="Arial"/>
              </w:rPr>
              <w:t>Grass</w:t>
            </w:r>
          </w:p>
        </w:tc>
        <w:tc>
          <w:tcPr>
            <w:tcW w:w="0" w:type="auto"/>
            <w:vAlign w:val="center"/>
          </w:tcPr>
          <w:p w14:paraId="1B5E65B9">
            <w:pPr>
              <w:widowControl w:val="0"/>
              <w:jc w:val="center"/>
              <w:rPr>
                <w:rFonts w:ascii="Arial" w:hAnsi="Arial" w:cs="Arial"/>
              </w:rPr>
            </w:pPr>
            <w:r>
              <w:rPr>
                <w:rFonts w:ascii="Arial" w:hAnsi="Arial" w:cs="Arial"/>
              </w:rPr>
              <w:t>Broad leaf weed</w:t>
            </w:r>
          </w:p>
        </w:tc>
        <w:tc>
          <w:tcPr>
            <w:tcW w:w="0" w:type="auto"/>
            <w:vAlign w:val="center"/>
          </w:tcPr>
          <w:p w14:paraId="0F712075">
            <w:pPr>
              <w:widowControl w:val="0"/>
              <w:jc w:val="center"/>
              <w:rPr>
                <w:rFonts w:ascii="Arial" w:hAnsi="Arial" w:cs="Arial"/>
              </w:rPr>
            </w:pPr>
            <w:r>
              <w:rPr>
                <w:rFonts w:ascii="Arial" w:hAnsi="Arial" w:cs="Arial"/>
              </w:rPr>
              <w:t>Total</w:t>
            </w:r>
          </w:p>
        </w:tc>
      </w:tr>
      <w:tr w14:paraId="32A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4D5C3A">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1</w:t>
            </w:r>
          </w:p>
        </w:tc>
        <w:tc>
          <w:tcPr>
            <w:tcW w:w="0" w:type="auto"/>
          </w:tcPr>
          <w:p w14:paraId="27D81F86">
            <w:pPr>
              <w:widowControl w:val="0"/>
              <w:jc w:val="both"/>
              <w:rPr>
                <w:rFonts w:ascii="Arial" w:hAnsi="Arial" w:cs="Arial"/>
              </w:rPr>
            </w:pPr>
            <w:r>
              <w:rPr>
                <w:rFonts w:ascii="Arial" w:hAnsi="Arial" w:eastAsia="Garamond" w:cs="Arial"/>
              </w:rPr>
              <w:t>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w:t>
            </w:r>
          </w:p>
        </w:tc>
        <w:tc>
          <w:tcPr>
            <w:tcW w:w="0" w:type="auto"/>
          </w:tcPr>
          <w:p w14:paraId="293E2B3A">
            <w:pPr>
              <w:widowControl w:val="0"/>
              <w:jc w:val="center"/>
              <w:rPr>
                <w:rFonts w:ascii="Arial" w:hAnsi="Arial" w:eastAsia="DengXian" w:cs="Arial"/>
              </w:rPr>
            </w:pPr>
            <w:r>
              <w:rPr>
                <w:rFonts w:ascii="Arial" w:hAnsi="Arial" w:cs="Arial"/>
              </w:rPr>
              <w:t>222.1</w:t>
            </w:r>
          </w:p>
        </w:tc>
        <w:tc>
          <w:tcPr>
            <w:tcW w:w="0" w:type="auto"/>
          </w:tcPr>
          <w:p w14:paraId="510D17DA">
            <w:pPr>
              <w:widowControl w:val="0"/>
              <w:jc w:val="center"/>
              <w:rPr>
                <w:rFonts w:ascii="Arial" w:hAnsi="Arial" w:eastAsia="DengXian" w:cs="Arial"/>
              </w:rPr>
            </w:pPr>
            <w:r>
              <w:rPr>
                <w:rFonts w:ascii="Arial" w:hAnsi="Arial" w:cs="Arial"/>
              </w:rPr>
              <w:t>120.5</w:t>
            </w:r>
          </w:p>
        </w:tc>
        <w:tc>
          <w:tcPr>
            <w:tcW w:w="0" w:type="auto"/>
          </w:tcPr>
          <w:p w14:paraId="7E58E07B">
            <w:pPr>
              <w:widowControl w:val="0"/>
              <w:jc w:val="center"/>
              <w:rPr>
                <w:rFonts w:ascii="Arial" w:hAnsi="Arial" w:eastAsia="DengXian" w:cs="Arial"/>
              </w:rPr>
            </w:pPr>
            <w:r>
              <w:rPr>
                <w:rFonts w:ascii="Arial" w:hAnsi="Arial" w:cs="Arial"/>
              </w:rPr>
              <w:t>342.6</w:t>
            </w:r>
          </w:p>
        </w:tc>
      </w:tr>
      <w:tr w14:paraId="5C3B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60944A">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2</w:t>
            </w:r>
          </w:p>
        </w:tc>
        <w:tc>
          <w:tcPr>
            <w:tcW w:w="0" w:type="auto"/>
          </w:tcPr>
          <w:p w14:paraId="642584FE">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-1,</w:t>
            </w:r>
            <w:r>
              <w:rPr>
                <w:rFonts w:ascii="Arial" w:hAnsi="Arial" w:eastAsia="Garamond" w:cs="Arial"/>
              </w:rPr>
              <w:t xml:space="preserve"> foliar spray of water-soluble fertilizer and mulching with paddy straw @ 6 t ha</w:t>
            </w:r>
            <w:r>
              <w:rPr>
                <w:rFonts w:ascii="Arial" w:hAnsi="Arial" w:eastAsia="Garamond" w:cs="Arial"/>
                <w:vertAlign w:val="superscript"/>
              </w:rPr>
              <w:t>-1</w:t>
            </w:r>
          </w:p>
        </w:tc>
        <w:tc>
          <w:tcPr>
            <w:tcW w:w="0" w:type="auto"/>
          </w:tcPr>
          <w:p w14:paraId="0E6BE143">
            <w:pPr>
              <w:widowControl w:val="0"/>
              <w:jc w:val="center"/>
              <w:rPr>
                <w:rFonts w:ascii="Arial" w:hAnsi="Arial" w:cs="Arial"/>
              </w:rPr>
            </w:pPr>
            <w:r>
              <w:rPr>
                <w:rFonts w:ascii="Arial" w:hAnsi="Arial" w:cs="Arial"/>
              </w:rPr>
              <w:t>24.7</w:t>
            </w:r>
          </w:p>
        </w:tc>
        <w:tc>
          <w:tcPr>
            <w:tcW w:w="0" w:type="auto"/>
          </w:tcPr>
          <w:p w14:paraId="5BAD8AC6">
            <w:pPr>
              <w:widowControl w:val="0"/>
              <w:jc w:val="center"/>
              <w:rPr>
                <w:rFonts w:ascii="Arial" w:hAnsi="Arial" w:cs="Arial"/>
              </w:rPr>
            </w:pPr>
            <w:r>
              <w:rPr>
                <w:rFonts w:ascii="Arial" w:hAnsi="Arial" w:cs="Arial"/>
              </w:rPr>
              <w:t>42.8</w:t>
            </w:r>
          </w:p>
        </w:tc>
        <w:tc>
          <w:tcPr>
            <w:tcW w:w="0" w:type="auto"/>
          </w:tcPr>
          <w:p w14:paraId="2BB1BA0E">
            <w:pPr>
              <w:widowControl w:val="0"/>
              <w:jc w:val="center"/>
              <w:rPr>
                <w:rFonts w:ascii="Arial" w:hAnsi="Arial" w:eastAsia="DengXian" w:cs="Arial"/>
              </w:rPr>
            </w:pPr>
            <w:r>
              <w:rPr>
                <w:rFonts w:ascii="Arial" w:hAnsi="Arial" w:cs="Arial"/>
              </w:rPr>
              <w:t>67.5</w:t>
            </w:r>
          </w:p>
        </w:tc>
      </w:tr>
      <w:tr w14:paraId="3CBF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45A4DE">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3</w:t>
            </w:r>
          </w:p>
        </w:tc>
        <w:tc>
          <w:tcPr>
            <w:tcW w:w="0" w:type="auto"/>
          </w:tcPr>
          <w:p w14:paraId="23D2DBED">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-1,</w:t>
            </w:r>
            <w:r>
              <w:rPr>
                <w:rFonts w:ascii="Arial" w:hAnsi="Arial" w:eastAsia="Garamond" w:cs="Arial"/>
              </w:rPr>
              <w:t xml:space="preserve"> foliar spray of water-soluble fertilizer and double coated (black on silver) polythene mulching</w:t>
            </w:r>
          </w:p>
        </w:tc>
        <w:tc>
          <w:tcPr>
            <w:tcW w:w="0" w:type="auto"/>
          </w:tcPr>
          <w:p w14:paraId="6B4BCF90">
            <w:pPr>
              <w:widowControl w:val="0"/>
              <w:jc w:val="center"/>
              <w:rPr>
                <w:rFonts w:ascii="Arial" w:hAnsi="Arial" w:cs="Arial"/>
              </w:rPr>
            </w:pPr>
            <w:r>
              <w:rPr>
                <w:rFonts w:ascii="Arial" w:hAnsi="Arial" w:cs="Arial"/>
              </w:rPr>
              <w:t>4.7</w:t>
            </w:r>
          </w:p>
        </w:tc>
        <w:tc>
          <w:tcPr>
            <w:tcW w:w="0" w:type="auto"/>
          </w:tcPr>
          <w:p w14:paraId="5666B78E">
            <w:pPr>
              <w:widowControl w:val="0"/>
              <w:jc w:val="center"/>
              <w:rPr>
                <w:rFonts w:ascii="Arial" w:hAnsi="Arial" w:cs="Arial"/>
              </w:rPr>
            </w:pPr>
            <w:r>
              <w:rPr>
                <w:rFonts w:ascii="Arial" w:hAnsi="Arial" w:cs="Arial"/>
              </w:rPr>
              <w:t>6.1</w:t>
            </w:r>
          </w:p>
        </w:tc>
        <w:tc>
          <w:tcPr>
            <w:tcW w:w="0" w:type="auto"/>
          </w:tcPr>
          <w:p w14:paraId="3D9CA052">
            <w:pPr>
              <w:widowControl w:val="0"/>
              <w:jc w:val="center"/>
              <w:rPr>
                <w:rFonts w:ascii="Arial" w:hAnsi="Arial" w:eastAsia="DengXian" w:cs="Arial"/>
              </w:rPr>
            </w:pPr>
            <w:r>
              <w:rPr>
                <w:rFonts w:ascii="Arial" w:hAnsi="Arial" w:cs="Arial"/>
              </w:rPr>
              <w:t>10.8</w:t>
            </w:r>
          </w:p>
        </w:tc>
      </w:tr>
      <w:bookmarkEnd w:id="0"/>
    </w:tbl>
    <w:p w14:paraId="11E859C6">
      <w:pPr>
        <w:ind w:firstLine="720"/>
        <w:jc w:val="both"/>
        <w:rPr>
          <w:rFonts w:ascii="Arial" w:hAnsi="Arial" w:cs="Arial"/>
        </w:rPr>
      </w:pPr>
      <w:r>
        <w:rPr>
          <w:rFonts w:ascii="Arial" w:hAnsi="Arial" w:cs="Arial"/>
        </w:rPr>
        <w:t xml:space="preserve">                                                                                                                                    The growth of different weeds under different treatments was presented in Table 3. The highest number of weeds including grasses and broad leaf weeds per square meter (342.6) was recorded in T</w:t>
      </w:r>
      <w:r>
        <w:rPr>
          <w:rFonts w:ascii="Arial" w:hAnsi="Arial" w:cs="Arial"/>
          <w:vertAlign w:val="subscript"/>
        </w:rPr>
        <w:t>1</w:t>
      </w:r>
      <w:r>
        <w:rPr>
          <w:rFonts w:ascii="Arial" w:hAnsi="Arial" w:cs="Arial"/>
        </w:rPr>
        <w:t xml:space="preserve"> plot followed by straw mulching (67.5) and the lowest was in black/silver polythene mulch (10.8) indicating black polythene mulching was more effective than paddy straw mulching in suppressing weed growth. In fact, Black/silver polythene mulching produced weeds only through the punch hole and no weed was found above the polythene, which might be due to lack of penetration of light passed through black polythene. A portion of photosynthetic radiation was blocked by the black polythene which suppressed weed growth. About 99 per cent weed control was found under black/silver plastic mulch as reported by Rajablariani </w:t>
      </w:r>
      <w:r>
        <w:rPr>
          <w:rFonts w:ascii="Arial" w:hAnsi="Arial" w:cs="Arial"/>
          <w:i/>
          <w:iCs/>
        </w:rPr>
        <w:t>et al.</w:t>
      </w:r>
      <w:r>
        <w:rPr>
          <w:rFonts w:ascii="Arial" w:hAnsi="Arial" w:cs="Arial"/>
        </w:rPr>
        <w:t xml:space="preserve"> (2012) that supported the present findings. Ashrafuzzaman </w:t>
      </w:r>
      <w:r>
        <w:rPr>
          <w:rFonts w:ascii="Arial" w:hAnsi="Arial" w:cs="Arial"/>
          <w:i/>
          <w:iCs/>
        </w:rPr>
        <w:t>et al.</w:t>
      </w:r>
      <w:r>
        <w:rPr>
          <w:rFonts w:ascii="Arial" w:hAnsi="Arial" w:cs="Arial"/>
        </w:rPr>
        <w:t xml:space="preserve"> (2011) also recorded lowest number of weeds in black polythene mulch as compared to other mulch. Polythene mulch application is effective for conserving soil moisture and weed control as reported by Zhang</w:t>
      </w:r>
      <w:r>
        <w:rPr>
          <w:rFonts w:ascii="Arial" w:hAnsi="Arial" w:cs="Arial"/>
          <w:i/>
          <w:iCs/>
        </w:rPr>
        <w:t xml:space="preserve"> et al.</w:t>
      </w:r>
      <w:r>
        <w:rPr>
          <w:rFonts w:ascii="Arial" w:hAnsi="Arial" w:cs="Arial"/>
        </w:rPr>
        <w:t xml:space="preserve"> (2007). Similar findings were reported by Kumari and Jat (2021), Narayan </w:t>
      </w:r>
      <w:r>
        <w:rPr>
          <w:rFonts w:ascii="Arial" w:hAnsi="Arial" w:cs="Arial"/>
          <w:i/>
          <w:iCs/>
        </w:rPr>
        <w:t>et al.</w:t>
      </w:r>
      <w:r>
        <w:rPr>
          <w:rFonts w:ascii="Arial" w:hAnsi="Arial" w:cs="Arial"/>
        </w:rPr>
        <w:t xml:space="preserve"> (2017) and Sathiyamurthy </w:t>
      </w:r>
      <w:r>
        <w:rPr>
          <w:rFonts w:ascii="Arial" w:hAnsi="Arial" w:cs="Arial"/>
          <w:i/>
          <w:iCs/>
        </w:rPr>
        <w:t xml:space="preserve">et al. </w:t>
      </w:r>
      <w:r>
        <w:rPr>
          <w:rFonts w:ascii="Arial" w:hAnsi="Arial" w:cs="Arial"/>
        </w:rPr>
        <w:t>(2017) in chilli.</w:t>
      </w:r>
    </w:p>
    <w:p w14:paraId="19C8BC47">
      <w:pPr>
        <w:jc w:val="both"/>
        <w:rPr>
          <w:rFonts w:ascii="Arial" w:hAnsi="Arial" w:cs="Arial"/>
          <w:b/>
          <w:bCs/>
          <w:sz w:val="22"/>
          <w:szCs w:val="22"/>
        </w:rPr>
      </w:pPr>
      <w:r>
        <w:rPr>
          <w:rFonts w:ascii="Arial" w:hAnsi="Arial" w:cs="Arial"/>
          <w:b/>
          <w:bCs/>
          <w:sz w:val="22"/>
          <w:szCs w:val="22"/>
        </w:rPr>
        <w:t>3.4 Economics</w:t>
      </w:r>
    </w:p>
    <w:p w14:paraId="44EB9DE0">
      <w:pPr>
        <w:ind w:firstLine="720"/>
        <w:jc w:val="both"/>
        <w:rPr>
          <w:rFonts w:ascii="Arial" w:hAnsi="Arial" w:cs="Arial"/>
        </w:rPr>
      </w:pPr>
      <w:r>
        <w:rPr>
          <w:rFonts w:ascii="Arial" w:hAnsi="Arial" w:cs="Arial"/>
        </w:rPr>
        <w:t>The economics of cultivation of chilli (Table 4) revealed that among the treatments, which received FYM 10 t ha</w:t>
      </w:r>
      <w:r>
        <w:rPr>
          <w:rFonts w:ascii="Arial" w:hAnsi="Arial" w:cs="Arial"/>
          <w:vertAlign w:val="superscript"/>
        </w:rPr>
        <w:t>-1</w:t>
      </w:r>
      <w:r>
        <w:rPr>
          <w:rFonts w:ascii="Arial" w:hAnsi="Arial" w:cs="Arial"/>
        </w:rPr>
        <w:t>,100% RDF, foliar spray with water soluble fertilizer and polythene mulching (T</w:t>
      </w:r>
      <w:r>
        <w:rPr>
          <w:rFonts w:ascii="Arial" w:hAnsi="Arial" w:cs="Arial"/>
          <w:vertAlign w:val="subscript"/>
        </w:rPr>
        <w:t>3</w:t>
      </w:r>
      <w:r>
        <w:rPr>
          <w:rFonts w:ascii="Arial" w:hAnsi="Arial" w:cs="Arial"/>
        </w:rPr>
        <w:t xml:space="preserve">) resulted in higher gross return of Rs. </w:t>
      </w:r>
      <w:r>
        <w:rPr>
          <w:rFonts w:ascii="Arial" w:hAnsi="Arial" w:eastAsia="Garamond" w:cs="Arial"/>
        </w:rPr>
        <w:t>4,45,750 ha</w:t>
      </w:r>
      <w:r>
        <w:rPr>
          <w:rFonts w:ascii="Arial" w:hAnsi="Arial" w:eastAsia="Garamond" w:cs="Arial"/>
          <w:vertAlign w:val="superscript"/>
        </w:rPr>
        <w:t>-1</w:t>
      </w:r>
      <w:r>
        <w:rPr>
          <w:rFonts w:ascii="Arial" w:hAnsi="Arial" w:eastAsia="Garamond" w:cs="Arial"/>
        </w:rPr>
        <w:t>, net return of Rs. 3,47,050 ha</w:t>
      </w:r>
      <w:r>
        <w:rPr>
          <w:rFonts w:ascii="Arial" w:hAnsi="Arial" w:eastAsia="Garamond" w:cs="Arial"/>
          <w:vertAlign w:val="superscript"/>
        </w:rPr>
        <w:t xml:space="preserve">-1 </w:t>
      </w:r>
      <w:r>
        <w:rPr>
          <w:rFonts w:ascii="Arial" w:hAnsi="Arial" w:eastAsia="Garamond" w:cs="Arial"/>
        </w:rPr>
        <w:t>and benefit: cost ratio of 4.5 as compared to T</w:t>
      </w:r>
      <w:r>
        <w:rPr>
          <w:rFonts w:ascii="Arial" w:hAnsi="Arial" w:eastAsia="Garamond" w:cs="Arial"/>
          <w:vertAlign w:val="subscript"/>
        </w:rPr>
        <w:t>2</w:t>
      </w:r>
      <w:r>
        <w:rPr>
          <w:rFonts w:ascii="Arial" w:hAnsi="Arial" w:eastAsia="Garamond" w:cs="Arial"/>
        </w:rPr>
        <w:t xml:space="preserve"> and T</w:t>
      </w:r>
      <w:r>
        <w:rPr>
          <w:rFonts w:ascii="Arial" w:hAnsi="Arial" w:eastAsia="Garamond" w:cs="Arial"/>
          <w:vertAlign w:val="subscript"/>
        </w:rPr>
        <w:t>1</w:t>
      </w:r>
      <w:r>
        <w:rPr>
          <w:rFonts w:ascii="Arial" w:hAnsi="Arial" w:eastAsia="Garamond" w:cs="Arial"/>
        </w:rPr>
        <w:t>.</w:t>
      </w:r>
    </w:p>
    <w:p w14:paraId="5B9B7A1B">
      <w:pPr>
        <w:rPr>
          <w:rFonts w:ascii="Arial" w:hAnsi="Arial" w:cs="Arial"/>
        </w:rPr>
      </w:pPr>
    </w:p>
    <w:p w14:paraId="1E14690D">
      <w:pPr>
        <w:rPr>
          <w:rFonts w:ascii="Arial" w:hAnsi="Arial" w:cs="Arial"/>
          <w:b/>
          <w:bCs/>
        </w:rPr>
      </w:pPr>
      <w:r>
        <w:rPr>
          <w:rFonts w:ascii="Arial" w:hAnsi="Arial" w:cs="Arial"/>
          <w:b/>
          <w:bCs/>
        </w:rPr>
        <w:t xml:space="preserve">Table 4 Effect of balanced fertilization and mulching on economics of chilli </w:t>
      </w:r>
    </w:p>
    <w:tbl>
      <w:tblPr>
        <w:tblStyle w:val="9"/>
        <w:tblpPr w:leftFromText="180" w:rightFromText="180" w:vertAnchor="text" w:horzAnchor="page" w:tblpXSpec="center"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3807"/>
        <w:gridCol w:w="1423"/>
        <w:gridCol w:w="1174"/>
        <w:gridCol w:w="1043"/>
        <w:gridCol w:w="665"/>
      </w:tblGrid>
      <w:tr w14:paraId="5BDB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100EE6ED">
            <w:pPr>
              <w:widowControl w:val="0"/>
              <w:jc w:val="center"/>
              <w:rPr>
                <w:rFonts w:ascii="Arial" w:hAnsi="Arial" w:cs="Arial"/>
              </w:rPr>
            </w:pPr>
            <w:r>
              <w:rPr>
                <w:rFonts w:ascii="Arial" w:hAnsi="Arial" w:cs="Arial"/>
              </w:rPr>
              <w:t>Treatments</w:t>
            </w:r>
          </w:p>
        </w:tc>
        <w:tc>
          <w:tcPr>
            <w:tcW w:w="1423" w:type="dxa"/>
            <w:vAlign w:val="center"/>
          </w:tcPr>
          <w:p w14:paraId="26BDC55A">
            <w:pPr>
              <w:widowControl w:val="0"/>
              <w:jc w:val="center"/>
              <w:rPr>
                <w:rFonts w:ascii="Arial" w:hAnsi="Arial" w:cs="Arial"/>
              </w:rPr>
            </w:pPr>
            <w:r>
              <w:rPr>
                <w:rFonts w:ascii="Arial" w:hAnsi="Arial" w:cs="Arial"/>
              </w:rPr>
              <w:t>Cost of cultivation (Rs ha</w:t>
            </w:r>
            <w:r>
              <w:rPr>
                <w:rFonts w:ascii="Arial" w:hAnsi="Arial" w:cs="Arial"/>
                <w:vertAlign w:val="superscript"/>
              </w:rPr>
              <w:t>-1</w:t>
            </w:r>
            <w:r>
              <w:rPr>
                <w:rFonts w:ascii="Arial" w:hAnsi="Arial" w:cs="Arial"/>
              </w:rPr>
              <w:t>)</w:t>
            </w:r>
          </w:p>
        </w:tc>
        <w:tc>
          <w:tcPr>
            <w:tcW w:w="1174" w:type="dxa"/>
            <w:vAlign w:val="center"/>
          </w:tcPr>
          <w:p w14:paraId="5948CA76">
            <w:pPr>
              <w:widowControl w:val="0"/>
              <w:jc w:val="center"/>
              <w:rPr>
                <w:rFonts w:ascii="Arial" w:hAnsi="Arial" w:cs="Arial"/>
              </w:rPr>
            </w:pPr>
            <w:r>
              <w:rPr>
                <w:rFonts w:ascii="Arial" w:hAnsi="Arial" w:cs="Arial"/>
              </w:rPr>
              <w:t xml:space="preserve">Gross return </w:t>
            </w:r>
          </w:p>
          <w:p w14:paraId="588BF69E">
            <w:pPr>
              <w:widowControl w:val="0"/>
              <w:jc w:val="center"/>
              <w:rPr>
                <w:rFonts w:ascii="Arial" w:hAnsi="Arial" w:cs="Arial"/>
              </w:rPr>
            </w:pPr>
            <w:r>
              <w:rPr>
                <w:rFonts w:ascii="Arial" w:hAnsi="Arial" w:cs="Arial"/>
              </w:rPr>
              <w:t>(Rs ha</w:t>
            </w:r>
            <w:r>
              <w:rPr>
                <w:rFonts w:ascii="Arial" w:hAnsi="Arial" w:cs="Arial"/>
                <w:vertAlign w:val="superscript"/>
              </w:rPr>
              <w:t>-1</w:t>
            </w:r>
            <w:r>
              <w:rPr>
                <w:rFonts w:ascii="Arial" w:hAnsi="Arial" w:cs="Arial"/>
              </w:rPr>
              <w:t>)</w:t>
            </w:r>
          </w:p>
        </w:tc>
        <w:tc>
          <w:tcPr>
            <w:tcW w:w="0" w:type="auto"/>
            <w:vAlign w:val="center"/>
          </w:tcPr>
          <w:p w14:paraId="0C80FEDE">
            <w:pPr>
              <w:widowControl w:val="0"/>
              <w:jc w:val="center"/>
              <w:rPr>
                <w:rFonts w:ascii="Arial" w:hAnsi="Arial" w:cs="Arial"/>
              </w:rPr>
            </w:pPr>
            <w:r>
              <w:rPr>
                <w:rFonts w:ascii="Arial" w:hAnsi="Arial" w:cs="Arial"/>
              </w:rPr>
              <w:t>Net return (Rs ha</w:t>
            </w:r>
            <w:r>
              <w:rPr>
                <w:rFonts w:ascii="Arial" w:hAnsi="Arial" w:cs="Arial"/>
                <w:vertAlign w:val="superscript"/>
              </w:rPr>
              <w:t>-1</w:t>
            </w:r>
            <w:r>
              <w:rPr>
                <w:rFonts w:ascii="Arial" w:hAnsi="Arial" w:cs="Arial"/>
              </w:rPr>
              <w:t>)</w:t>
            </w:r>
          </w:p>
        </w:tc>
        <w:tc>
          <w:tcPr>
            <w:tcW w:w="0" w:type="auto"/>
            <w:vAlign w:val="center"/>
          </w:tcPr>
          <w:p w14:paraId="4BBE3A9A">
            <w:pPr>
              <w:widowControl w:val="0"/>
              <w:jc w:val="center"/>
              <w:rPr>
                <w:rFonts w:ascii="Arial" w:hAnsi="Arial" w:cs="Arial"/>
              </w:rPr>
            </w:pPr>
            <w:r>
              <w:rPr>
                <w:rFonts w:ascii="Arial" w:hAnsi="Arial" w:cs="Arial"/>
              </w:rPr>
              <w:t>B:C ratio</w:t>
            </w:r>
          </w:p>
        </w:tc>
      </w:tr>
      <w:tr w14:paraId="1BCD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038322">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1</w:t>
            </w:r>
          </w:p>
        </w:tc>
        <w:tc>
          <w:tcPr>
            <w:tcW w:w="0" w:type="auto"/>
          </w:tcPr>
          <w:p w14:paraId="0ACAB8B3">
            <w:pPr>
              <w:widowControl w:val="0"/>
              <w:jc w:val="both"/>
              <w:rPr>
                <w:rFonts w:ascii="Arial" w:hAnsi="Arial" w:cs="Arial"/>
              </w:rPr>
            </w:pPr>
            <w:r>
              <w:rPr>
                <w:rFonts w:ascii="Arial" w:hAnsi="Arial" w:eastAsia="Garamond" w:cs="Arial"/>
              </w:rPr>
              <w:t>Farmers Practice (FYM @ 2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O::50:30:30 kg ha</w:t>
            </w:r>
            <w:r>
              <w:rPr>
                <w:rFonts w:ascii="Arial" w:hAnsi="Arial" w:eastAsia="Garamond" w:cs="Arial"/>
                <w:vertAlign w:val="superscript"/>
              </w:rPr>
              <w:t>-1</w:t>
            </w:r>
            <w:r>
              <w:rPr>
                <w:rFonts w:ascii="Arial" w:hAnsi="Arial" w:eastAsia="Garamond" w:cs="Arial"/>
              </w:rPr>
              <w:t>), without mulching</w:t>
            </w:r>
          </w:p>
        </w:tc>
        <w:tc>
          <w:tcPr>
            <w:tcW w:w="1423" w:type="dxa"/>
            <w:vAlign w:val="center"/>
          </w:tcPr>
          <w:p w14:paraId="1E1C5C8F">
            <w:pPr>
              <w:widowControl/>
              <w:jc w:val="center"/>
              <w:textAlignment w:val="center"/>
              <w:rPr>
                <w:rFonts w:ascii="Arial" w:hAnsi="Arial" w:eastAsia="Garamond" w:cs="Arial"/>
              </w:rPr>
            </w:pPr>
            <w:r>
              <w:rPr>
                <w:rFonts w:ascii="Arial" w:hAnsi="Arial" w:eastAsia="Garamond" w:cs="Arial"/>
              </w:rPr>
              <w:t>85900</w:t>
            </w:r>
          </w:p>
        </w:tc>
        <w:tc>
          <w:tcPr>
            <w:tcW w:w="1174" w:type="dxa"/>
            <w:vAlign w:val="center"/>
          </w:tcPr>
          <w:p w14:paraId="41178FE6">
            <w:pPr>
              <w:widowControl/>
              <w:jc w:val="center"/>
              <w:textAlignment w:val="center"/>
              <w:rPr>
                <w:rFonts w:ascii="Arial" w:hAnsi="Arial" w:eastAsia="Garamond" w:cs="Arial"/>
              </w:rPr>
            </w:pPr>
            <w:r>
              <w:rPr>
                <w:rFonts w:ascii="Arial" w:hAnsi="Arial" w:eastAsia="Garamond" w:cs="Arial"/>
              </w:rPr>
              <w:t>329000</w:t>
            </w:r>
          </w:p>
        </w:tc>
        <w:tc>
          <w:tcPr>
            <w:tcW w:w="0" w:type="auto"/>
            <w:vAlign w:val="center"/>
          </w:tcPr>
          <w:p w14:paraId="3FF83C01">
            <w:pPr>
              <w:widowControl/>
              <w:jc w:val="center"/>
              <w:textAlignment w:val="center"/>
              <w:rPr>
                <w:rFonts w:ascii="Arial" w:hAnsi="Arial" w:eastAsia="Garamond" w:cs="Arial"/>
              </w:rPr>
            </w:pPr>
            <w:r>
              <w:rPr>
                <w:rFonts w:ascii="Arial" w:hAnsi="Arial" w:eastAsia="Garamond" w:cs="Arial"/>
              </w:rPr>
              <w:t>243100</w:t>
            </w:r>
          </w:p>
        </w:tc>
        <w:tc>
          <w:tcPr>
            <w:tcW w:w="0" w:type="auto"/>
            <w:vAlign w:val="center"/>
          </w:tcPr>
          <w:p w14:paraId="3122B6D9">
            <w:pPr>
              <w:widowControl/>
              <w:jc w:val="center"/>
              <w:textAlignment w:val="center"/>
              <w:rPr>
                <w:rFonts w:ascii="Arial" w:hAnsi="Arial" w:eastAsia="Garamond" w:cs="Arial"/>
              </w:rPr>
            </w:pPr>
            <w:r>
              <w:rPr>
                <w:rFonts w:ascii="Arial" w:hAnsi="Arial" w:eastAsia="Garamond" w:cs="Arial"/>
              </w:rPr>
              <w:t>3.8</w:t>
            </w:r>
          </w:p>
        </w:tc>
      </w:tr>
      <w:tr w14:paraId="5BE1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55162DD">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2</w:t>
            </w:r>
          </w:p>
        </w:tc>
        <w:tc>
          <w:tcPr>
            <w:tcW w:w="0" w:type="auto"/>
          </w:tcPr>
          <w:p w14:paraId="0E4A8ED5">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@100:75:75 kg ha</w:t>
            </w:r>
            <w:r>
              <w:rPr>
                <w:rFonts w:ascii="Arial" w:hAnsi="Arial" w:eastAsia="Garamond" w:cs="Arial"/>
                <w:vertAlign w:val="superscript"/>
              </w:rPr>
              <w:t>-1,</w:t>
            </w:r>
            <w:r>
              <w:rPr>
                <w:rFonts w:ascii="Arial" w:hAnsi="Arial" w:eastAsia="Garamond" w:cs="Arial"/>
              </w:rPr>
              <w:t xml:space="preserve"> foliar spray of water-soluble fertilizer and mulching with paddy straw @ 6 t ha</w:t>
            </w:r>
            <w:r>
              <w:rPr>
                <w:rFonts w:ascii="Arial" w:hAnsi="Arial" w:eastAsia="Garamond" w:cs="Arial"/>
                <w:vertAlign w:val="superscript"/>
              </w:rPr>
              <w:t>-1</w:t>
            </w:r>
          </w:p>
        </w:tc>
        <w:tc>
          <w:tcPr>
            <w:tcW w:w="1423" w:type="dxa"/>
            <w:vAlign w:val="center"/>
          </w:tcPr>
          <w:p w14:paraId="5D562CFC">
            <w:pPr>
              <w:widowControl/>
              <w:jc w:val="center"/>
              <w:textAlignment w:val="center"/>
              <w:rPr>
                <w:rFonts w:ascii="Arial" w:hAnsi="Arial" w:eastAsia="Garamond" w:cs="Arial"/>
              </w:rPr>
            </w:pPr>
            <w:r>
              <w:rPr>
                <w:rFonts w:ascii="Arial" w:hAnsi="Arial" w:eastAsia="Garamond" w:cs="Arial"/>
              </w:rPr>
              <w:t>92600</w:t>
            </w:r>
          </w:p>
        </w:tc>
        <w:tc>
          <w:tcPr>
            <w:tcW w:w="1174" w:type="dxa"/>
            <w:vAlign w:val="center"/>
          </w:tcPr>
          <w:p w14:paraId="4E08B4CF">
            <w:pPr>
              <w:widowControl/>
              <w:jc w:val="center"/>
              <w:textAlignment w:val="center"/>
              <w:rPr>
                <w:rFonts w:ascii="Arial" w:hAnsi="Arial" w:eastAsia="Garamond" w:cs="Arial"/>
              </w:rPr>
            </w:pPr>
            <w:r>
              <w:rPr>
                <w:rFonts w:ascii="Arial" w:hAnsi="Arial" w:eastAsia="Garamond" w:cs="Arial"/>
              </w:rPr>
              <w:t>392000</w:t>
            </w:r>
          </w:p>
        </w:tc>
        <w:tc>
          <w:tcPr>
            <w:tcW w:w="0" w:type="auto"/>
            <w:vAlign w:val="center"/>
          </w:tcPr>
          <w:p w14:paraId="3F0D4D4E">
            <w:pPr>
              <w:widowControl/>
              <w:jc w:val="center"/>
              <w:textAlignment w:val="center"/>
              <w:rPr>
                <w:rFonts w:ascii="Arial" w:hAnsi="Arial" w:eastAsia="Garamond" w:cs="Arial"/>
              </w:rPr>
            </w:pPr>
            <w:r>
              <w:rPr>
                <w:rFonts w:ascii="Arial" w:hAnsi="Arial" w:eastAsia="Garamond" w:cs="Arial"/>
              </w:rPr>
              <w:t>299400</w:t>
            </w:r>
          </w:p>
        </w:tc>
        <w:tc>
          <w:tcPr>
            <w:tcW w:w="0" w:type="auto"/>
            <w:vAlign w:val="center"/>
          </w:tcPr>
          <w:p w14:paraId="7C5B7695">
            <w:pPr>
              <w:widowControl/>
              <w:jc w:val="center"/>
              <w:textAlignment w:val="center"/>
              <w:rPr>
                <w:rFonts w:ascii="Arial" w:hAnsi="Arial" w:eastAsia="Garamond" w:cs="Arial"/>
              </w:rPr>
            </w:pPr>
            <w:r>
              <w:rPr>
                <w:rFonts w:ascii="Arial" w:hAnsi="Arial" w:eastAsia="Garamond" w:cs="Arial"/>
              </w:rPr>
              <w:t>4.2</w:t>
            </w:r>
          </w:p>
        </w:tc>
      </w:tr>
      <w:tr w14:paraId="6E5F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E446B9">
            <w:pPr>
              <w:widowControl w:val="0"/>
              <w:jc w:val="both"/>
              <w:rPr>
                <w:rFonts w:ascii="Arial" w:hAnsi="Arial" w:eastAsia="Garamond" w:cs="Arial"/>
              </w:rPr>
            </w:pPr>
            <w:r>
              <w:rPr>
                <w:rFonts w:ascii="Arial" w:hAnsi="Arial" w:eastAsia="Garamond" w:cs="Arial"/>
              </w:rPr>
              <w:t>T</w:t>
            </w:r>
            <w:r>
              <w:rPr>
                <w:rFonts w:ascii="Arial" w:hAnsi="Arial" w:eastAsia="Garamond" w:cs="Arial"/>
                <w:vertAlign w:val="subscript"/>
              </w:rPr>
              <w:t>3</w:t>
            </w:r>
          </w:p>
        </w:tc>
        <w:tc>
          <w:tcPr>
            <w:tcW w:w="0" w:type="auto"/>
          </w:tcPr>
          <w:p w14:paraId="527A1128">
            <w:pPr>
              <w:widowControl w:val="0"/>
              <w:jc w:val="both"/>
              <w:rPr>
                <w:rFonts w:ascii="Arial" w:hAnsi="Arial" w:cs="Arial"/>
              </w:rPr>
            </w:pPr>
            <w:r>
              <w:rPr>
                <w:rFonts w:ascii="Arial" w:hAnsi="Arial" w:eastAsia="Garamond" w:cs="Arial"/>
              </w:rPr>
              <w:t>FYM @ 10 t ha</w:t>
            </w:r>
            <w:r>
              <w:rPr>
                <w:rFonts w:ascii="Arial" w:hAnsi="Arial" w:eastAsia="Garamond" w:cs="Arial"/>
                <w:vertAlign w:val="superscript"/>
              </w:rPr>
              <w:t>-1</w:t>
            </w:r>
            <w:r>
              <w:rPr>
                <w:rFonts w:ascii="Arial" w:hAnsi="Arial" w:eastAsia="Garamond" w:cs="Arial"/>
              </w:rPr>
              <w:t xml:space="preserve"> &amp;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-1,</w:t>
            </w:r>
            <w:r>
              <w:rPr>
                <w:rFonts w:ascii="Arial" w:hAnsi="Arial" w:eastAsia="Garamond" w:cs="Arial"/>
              </w:rPr>
              <w:t xml:space="preserve"> foliar spray of water-soluble fertilizer and double coated (black on silver) polythene mulching</w:t>
            </w:r>
          </w:p>
        </w:tc>
        <w:tc>
          <w:tcPr>
            <w:tcW w:w="1423" w:type="dxa"/>
            <w:vAlign w:val="center"/>
          </w:tcPr>
          <w:p w14:paraId="2FF0FF61">
            <w:pPr>
              <w:widowControl/>
              <w:jc w:val="center"/>
              <w:textAlignment w:val="center"/>
              <w:rPr>
                <w:rFonts w:ascii="Arial" w:hAnsi="Arial" w:eastAsia="Garamond" w:cs="Arial"/>
              </w:rPr>
            </w:pPr>
            <w:r>
              <w:rPr>
                <w:rFonts w:ascii="Arial" w:hAnsi="Arial" w:eastAsia="Garamond" w:cs="Arial"/>
              </w:rPr>
              <w:t>98700</w:t>
            </w:r>
          </w:p>
        </w:tc>
        <w:tc>
          <w:tcPr>
            <w:tcW w:w="1174" w:type="dxa"/>
            <w:vAlign w:val="center"/>
          </w:tcPr>
          <w:p w14:paraId="4B81E987">
            <w:pPr>
              <w:widowControl/>
              <w:jc w:val="center"/>
              <w:textAlignment w:val="center"/>
              <w:rPr>
                <w:rFonts w:ascii="Arial" w:hAnsi="Arial" w:eastAsia="Garamond" w:cs="Arial"/>
              </w:rPr>
            </w:pPr>
            <w:r>
              <w:rPr>
                <w:rFonts w:ascii="Arial" w:hAnsi="Arial" w:eastAsia="Garamond" w:cs="Arial"/>
              </w:rPr>
              <w:t>445750</w:t>
            </w:r>
          </w:p>
        </w:tc>
        <w:tc>
          <w:tcPr>
            <w:tcW w:w="0" w:type="auto"/>
            <w:vAlign w:val="center"/>
          </w:tcPr>
          <w:p w14:paraId="51E8D036">
            <w:pPr>
              <w:widowControl/>
              <w:jc w:val="center"/>
              <w:textAlignment w:val="center"/>
              <w:rPr>
                <w:rFonts w:ascii="Arial" w:hAnsi="Arial" w:eastAsia="Garamond" w:cs="Arial"/>
              </w:rPr>
            </w:pPr>
            <w:r>
              <w:rPr>
                <w:rFonts w:ascii="Arial" w:hAnsi="Arial" w:eastAsia="Garamond" w:cs="Arial"/>
              </w:rPr>
              <w:t>347050</w:t>
            </w:r>
          </w:p>
        </w:tc>
        <w:tc>
          <w:tcPr>
            <w:tcW w:w="0" w:type="auto"/>
            <w:vAlign w:val="center"/>
          </w:tcPr>
          <w:p w14:paraId="6B887E3B">
            <w:pPr>
              <w:widowControl/>
              <w:jc w:val="center"/>
              <w:textAlignment w:val="center"/>
              <w:rPr>
                <w:rFonts w:ascii="Arial" w:hAnsi="Arial" w:eastAsia="Garamond" w:cs="Arial"/>
              </w:rPr>
            </w:pPr>
            <w:r>
              <w:rPr>
                <w:rFonts w:ascii="Arial" w:hAnsi="Arial" w:eastAsia="Garamond" w:cs="Arial"/>
              </w:rPr>
              <w:t>4.5</w:t>
            </w:r>
          </w:p>
        </w:tc>
      </w:tr>
    </w:tbl>
    <w:p w14:paraId="2DE4930E">
      <w:pPr>
        <w:ind w:firstLine="720"/>
        <w:jc w:val="both"/>
        <w:rPr>
          <w:rFonts w:ascii="Arial" w:hAnsi="Arial" w:eastAsia="Garamond" w:cs="Arial"/>
        </w:rPr>
      </w:pPr>
    </w:p>
    <w:p w14:paraId="650CC983">
      <w:pPr>
        <w:ind w:firstLine="720"/>
        <w:jc w:val="both"/>
        <w:rPr>
          <w:rFonts w:ascii="Arial" w:hAnsi="Arial" w:eastAsia="Garamond" w:cs="Arial"/>
        </w:rPr>
      </w:pPr>
      <w:r>
        <w:rPr>
          <w:rFonts w:ascii="Arial" w:hAnsi="Arial" w:eastAsia="Garamond" w:cs="Arial"/>
        </w:rPr>
        <w:t xml:space="preserve">The lowest economic parameters were recorded in </w:t>
      </w:r>
      <w:r>
        <w:rPr>
          <w:rFonts w:ascii="Arial" w:hAnsi="Arial" w:cs="Arial"/>
        </w:rPr>
        <w:t>Farmer’s practice, without mulch treatment (T</w:t>
      </w:r>
      <w:r>
        <w:rPr>
          <w:rFonts w:ascii="Arial" w:hAnsi="Arial" w:cs="Arial"/>
          <w:vertAlign w:val="subscript"/>
        </w:rPr>
        <w:t>1</w:t>
      </w:r>
      <w:r>
        <w:rPr>
          <w:rFonts w:ascii="Arial" w:hAnsi="Arial" w:cs="Arial"/>
        </w:rPr>
        <w:t xml:space="preserve">), where gross return of Rs. </w:t>
      </w:r>
      <w:r>
        <w:rPr>
          <w:rFonts w:ascii="Arial" w:hAnsi="Arial" w:eastAsia="Garamond" w:cs="Arial"/>
        </w:rPr>
        <w:t>3,29,000 ha</w:t>
      </w:r>
      <w:r>
        <w:rPr>
          <w:rFonts w:ascii="Arial" w:hAnsi="Arial" w:eastAsia="Garamond" w:cs="Arial"/>
          <w:vertAlign w:val="superscript"/>
        </w:rPr>
        <w:t>-1</w:t>
      </w:r>
      <w:r>
        <w:rPr>
          <w:rFonts w:ascii="Arial" w:hAnsi="Arial" w:eastAsia="Garamond" w:cs="Arial"/>
        </w:rPr>
        <w:t>, net return of Rs. 2,43,100 ha</w:t>
      </w:r>
      <w:r>
        <w:rPr>
          <w:rFonts w:ascii="Arial" w:hAnsi="Arial" w:eastAsia="Garamond" w:cs="Arial"/>
          <w:vertAlign w:val="superscript"/>
        </w:rPr>
        <w:t xml:space="preserve">-1 </w:t>
      </w:r>
      <w:r>
        <w:rPr>
          <w:rFonts w:ascii="Arial" w:hAnsi="Arial" w:eastAsia="Garamond" w:cs="Arial"/>
        </w:rPr>
        <w:t>and benefit: cost ratio of 3.8 were calculated. Similar findings were also reported by Kumari and Jat (2021), Tyagi and Kulmi (2019) and Narayan</w:t>
      </w:r>
      <w:r>
        <w:rPr>
          <w:rFonts w:ascii="Arial" w:hAnsi="Arial" w:eastAsia="Garamond" w:cs="Arial"/>
          <w:i/>
          <w:iCs/>
        </w:rPr>
        <w:t xml:space="preserve"> et al. </w:t>
      </w:r>
      <w:r>
        <w:rPr>
          <w:rFonts w:ascii="Arial" w:hAnsi="Arial" w:eastAsia="Garamond" w:cs="Arial"/>
        </w:rPr>
        <w:t>(2017) in chilli.</w:t>
      </w:r>
    </w:p>
    <w:p w14:paraId="02BC0030">
      <w:pPr>
        <w:ind w:firstLine="720"/>
        <w:jc w:val="both"/>
        <w:rPr>
          <w:rFonts w:ascii="Arial" w:hAnsi="Arial" w:cs="Arial"/>
        </w:rPr>
      </w:pPr>
    </w:p>
    <w:p w14:paraId="369B921D">
      <w:pPr>
        <w:pStyle w:val="12"/>
        <w:numPr>
          <w:ilvl w:val="0"/>
          <w:numId w:val="1"/>
        </w:numPr>
        <w:jc w:val="both"/>
        <w:rPr>
          <w:rFonts w:ascii="Arial" w:hAnsi="Arial" w:cs="Arial"/>
          <w:b/>
          <w:bCs/>
          <w:sz w:val="22"/>
          <w:szCs w:val="22"/>
        </w:rPr>
      </w:pPr>
      <w:r>
        <w:rPr>
          <w:rFonts w:ascii="Arial" w:hAnsi="Arial" w:cs="Arial"/>
          <w:b/>
          <w:bCs/>
          <w:sz w:val="22"/>
          <w:szCs w:val="22"/>
        </w:rPr>
        <w:t>CONCLUSION</w:t>
      </w:r>
    </w:p>
    <w:p w14:paraId="09412F1E">
      <w:pPr>
        <w:jc w:val="both"/>
        <w:rPr>
          <w:rFonts w:ascii="Arial" w:hAnsi="Arial" w:cs="Arial"/>
        </w:rPr>
      </w:pPr>
      <w:r>
        <w:rPr>
          <w:rFonts w:ascii="Arial" w:hAnsi="Arial" w:cs="Arial"/>
          <w:sz w:val="24"/>
          <w:szCs w:val="24"/>
        </w:rPr>
        <w:tab/>
      </w:r>
      <w:r>
        <w:rPr>
          <w:rFonts w:ascii="Arial" w:hAnsi="Arial" w:cs="Arial"/>
          <w:sz w:val="24"/>
          <w:szCs w:val="24"/>
        </w:rPr>
        <w:t xml:space="preserve"> </w:t>
      </w:r>
      <w:r>
        <w:rPr>
          <w:rFonts w:ascii="Arial" w:hAnsi="Arial" w:cs="Arial"/>
        </w:rPr>
        <w:t xml:space="preserve">Based on the study results, it could be concluded that application of </w:t>
      </w:r>
      <w:r>
        <w:rPr>
          <w:rFonts w:ascii="Arial" w:hAnsi="Arial" w:eastAsia="Garamond" w:cs="Arial"/>
        </w:rPr>
        <w:t>FYM @ 10 t ha</w:t>
      </w:r>
      <w:r>
        <w:rPr>
          <w:rFonts w:ascii="Arial" w:hAnsi="Arial" w:eastAsia="Garamond" w:cs="Arial"/>
          <w:vertAlign w:val="superscript"/>
        </w:rPr>
        <w:t>-1</w:t>
      </w:r>
      <w:r>
        <w:rPr>
          <w:rFonts w:ascii="Arial" w:hAnsi="Arial" w:eastAsia="Garamond" w:cs="Arial"/>
        </w:rPr>
        <w:t>, N:P</w:t>
      </w:r>
      <w:r>
        <w:rPr>
          <w:rFonts w:ascii="Arial" w:hAnsi="Arial" w:eastAsia="Garamond" w:cs="Arial"/>
          <w:vertAlign w:val="subscript"/>
        </w:rPr>
        <w:t>2</w:t>
      </w:r>
      <w:r>
        <w:rPr>
          <w:rFonts w:ascii="Arial" w:hAnsi="Arial" w:eastAsia="Garamond" w:cs="Arial"/>
        </w:rPr>
        <w:t>O</w:t>
      </w:r>
      <w:r>
        <w:rPr>
          <w:rFonts w:ascii="Arial" w:hAnsi="Arial" w:eastAsia="Garamond" w:cs="Arial"/>
          <w:vertAlign w:val="subscript"/>
        </w:rPr>
        <w:t>5</w:t>
      </w:r>
      <w:r>
        <w:rPr>
          <w:rFonts w:ascii="Arial" w:hAnsi="Arial" w:eastAsia="Garamond" w:cs="Arial"/>
        </w:rPr>
        <w:t>:K</w:t>
      </w:r>
      <w:r>
        <w:rPr>
          <w:rFonts w:ascii="Arial" w:hAnsi="Arial" w:eastAsia="Garamond" w:cs="Arial"/>
          <w:vertAlign w:val="subscript"/>
        </w:rPr>
        <w:t>2</w:t>
      </w:r>
      <w:r>
        <w:rPr>
          <w:rFonts w:ascii="Arial" w:hAnsi="Arial" w:eastAsia="Garamond" w:cs="Arial"/>
        </w:rPr>
        <w:t>O @ 100:75:75 kg ha</w:t>
      </w:r>
      <w:r>
        <w:rPr>
          <w:rFonts w:ascii="Arial" w:hAnsi="Arial" w:eastAsia="Garamond" w:cs="Arial"/>
          <w:vertAlign w:val="superscript"/>
        </w:rPr>
        <w:t>-1,</w:t>
      </w:r>
      <w:r>
        <w:rPr>
          <w:rFonts w:ascii="Arial" w:hAnsi="Arial" w:eastAsia="Garamond" w:cs="Arial"/>
        </w:rPr>
        <w:t xml:space="preserve"> foliar application of water-soluble fertilizer and double coated (black on silver) polythene mulching</w:t>
      </w:r>
      <w:r>
        <w:rPr>
          <w:rFonts w:ascii="Arial" w:hAnsi="Arial" w:cs="Arial"/>
        </w:rPr>
        <w:t xml:space="preserve"> enhanced the growth parameters, yield attributes, economic parameters and yield of chilli. Farmers also earned higher net return and benefit cost ratio due to adopting this technology. Therefore, balanced fertilization with polythene mulching in chilli cultivation could enhance soil moisture retention, suppress weed growth and enhance crop yield.</w:t>
      </w:r>
    </w:p>
    <w:p w14:paraId="214E9E83">
      <w:pPr>
        <w:jc w:val="both"/>
        <w:rPr>
          <w:rFonts w:ascii="Arial" w:hAnsi="Arial" w:cs="Arial"/>
        </w:rPr>
      </w:pPr>
    </w:p>
    <w:p w14:paraId="76FAF595">
      <w:pPr>
        <w:rPr>
          <w:rFonts w:ascii="Arial" w:hAnsi="Arial" w:eastAsia="Times New Roman" w:cs="Arial"/>
          <w:color w:val="000000"/>
          <w:sz w:val="24"/>
          <w:szCs w:val="24"/>
        </w:rPr>
      </w:pPr>
      <w:r>
        <w:rPr>
          <w:rFonts w:ascii="Arial" w:hAnsi="Arial" w:eastAsia="Times New Roman" w:cs="Arial"/>
          <w:b/>
          <w:bCs/>
          <w:color w:val="000000"/>
          <w:sz w:val="24"/>
          <w:szCs w:val="24"/>
        </w:rPr>
        <w:t>REFERENCES</w:t>
      </w:r>
    </w:p>
    <w:p w14:paraId="14AC50D7">
      <w:pPr>
        <w:rPr>
          <w:rFonts w:ascii="Arial" w:hAnsi="Arial" w:eastAsia="Times New Roman" w:cs="Arial"/>
          <w:color w:val="000000"/>
          <w:sz w:val="24"/>
          <w:szCs w:val="24"/>
        </w:rPr>
      </w:pPr>
    </w:p>
    <w:p w14:paraId="47105C0B">
      <w:pPr>
        <w:ind w:left="726" w:hanging="726" w:hangingChars="363"/>
        <w:jc w:val="both"/>
        <w:rPr>
          <w:rFonts w:ascii="Arial" w:hAnsi="Arial" w:eastAsia="Times New Roman" w:cs="Arial"/>
          <w:color w:val="000000"/>
        </w:rPr>
      </w:pPr>
      <w:r>
        <w:rPr>
          <w:rFonts w:ascii="Arial" w:hAnsi="Arial" w:eastAsia="Times New Roman" w:cs="Arial"/>
          <w:color w:val="000000"/>
        </w:rPr>
        <w:t>Ansary S.H., Manna Barui A K, Mudi N, Gayen N &amp; Chowdhury A K (2017). Evaluation of Different Mulch Materials on Growth and Yield of Summer Tomato (</w:t>
      </w:r>
      <w:r>
        <w:rPr>
          <w:rFonts w:ascii="Arial" w:hAnsi="Arial" w:eastAsia="Times New Roman" w:cs="Arial"/>
          <w:i/>
          <w:iCs/>
          <w:color w:val="000000"/>
        </w:rPr>
        <w:t>Solanum lycopersicum</w:t>
      </w:r>
      <w:r>
        <w:rPr>
          <w:rFonts w:ascii="Arial" w:hAnsi="Arial" w:eastAsia="Times New Roman" w:cs="Arial"/>
          <w:color w:val="000000"/>
        </w:rPr>
        <w:t xml:space="preserve"> L.) </w:t>
      </w:r>
      <w:r>
        <w:rPr>
          <w:rFonts w:ascii="Arial" w:hAnsi="Arial" w:eastAsia="Times New Roman" w:cs="Arial"/>
          <w:i/>
          <w:iCs/>
          <w:color w:val="000000"/>
        </w:rPr>
        <w:t>International Journal of Tropical Agriculture</w:t>
      </w:r>
      <w:r>
        <w:rPr>
          <w:rFonts w:ascii="Arial" w:hAnsi="Arial" w:eastAsia="Times New Roman" w:cs="Arial"/>
          <w:color w:val="000000"/>
        </w:rPr>
        <w:t>, 35(1): 47-55.</w:t>
      </w:r>
    </w:p>
    <w:p w14:paraId="59A7EBFC">
      <w:pPr>
        <w:ind w:left="726" w:hanging="726" w:hangingChars="363"/>
        <w:jc w:val="both"/>
        <w:rPr>
          <w:rFonts w:ascii="Arial" w:hAnsi="Arial" w:eastAsia="Times New Roman" w:cs="Arial"/>
          <w:color w:val="000000"/>
        </w:rPr>
      </w:pPr>
      <w:r>
        <w:rPr>
          <w:rFonts w:ascii="Arial" w:hAnsi="Arial" w:eastAsia="Times New Roman" w:cs="Arial"/>
          <w:color w:val="000000"/>
        </w:rPr>
        <w:t>Ashrafuzzaman M., Halim M.A., Ismail M.R., Shahidullah S.M., &amp; Hossain M.A. (2011). Effect of plastic mulch on growth and yield of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Brazilian Archives of Bio. And Tech</w:t>
      </w:r>
      <w:r>
        <w:rPr>
          <w:rFonts w:ascii="Arial" w:hAnsi="Arial" w:eastAsia="Times New Roman" w:cs="Arial"/>
          <w:color w:val="000000"/>
        </w:rPr>
        <w:t>. 54(2) : 321-330.</w:t>
      </w:r>
    </w:p>
    <w:p w14:paraId="1A150228">
      <w:pPr>
        <w:ind w:left="726" w:hanging="726" w:hangingChars="363"/>
        <w:jc w:val="both"/>
        <w:rPr>
          <w:rFonts w:ascii="Arial" w:hAnsi="Arial" w:eastAsia="Times New Roman" w:cs="Arial"/>
          <w:color w:val="000000"/>
        </w:rPr>
      </w:pPr>
      <w:r>
        <w:rPr>
          <w:rFonts w:ascii="Arial" w:hAnsi="Arial" w:eastAsia="Times New Roman" w:cs="Arial"/>
          <w:color w:val="000000"/>
        </w:rPr>
        <w:t xml:space="preserve">Christopher L.A, Sreenarayanan V V, Rajendran R.R.V, Padmini K &amp; Pandiarajan T (1996). Effect of plastic mulching on tomato yield and economics. </w:t>
      </w:r>
      <w:r>
        <w:rPr>
          <w:rFonts w:ascii="Arial" w:hAnsi="Arial" w:eastAsia="Times New Roman" w:cs="Arial"/>
          <w:i/>
          <w:iCs/>
          <w:color w:val="000000"/>
        </w:rPr>
        <w:t>South Indian Horticulture</w:t>
      </w:r>
      <w:r>
        <w:rPr>
          <w:rFonts w:ascii="Arial" w:hAnsi="Arial" w:eastAsia="Times New Roman" w:cs="Arial"/>
          <w:color w:val="000000"/>
        </w:rPr>
        <w:t>,44 (5&amp;6) :139-142.</w:t>
      </w:r>
    </w:p>
    <w:p w14:paraId="330089AE">
      <w:pPr>
        <w:ind w:left="726" w:hanging="726" w:hangingChars="363"/>
        <w:jc w:val="both"/>
        <w:rPr>
          <w:rFonts w:ascii="Arial" w:hAnsi="Arial" w:eastAsia="Times New Roman" w:cs="Arial"/>
          <w:color w:val="000000"/>
        </w:rPr>
      </w:pPr>
      <w:r>
        <w:rPr>
          <w:rFonts w:ascii="Arial" w:hAnsi="Arial" w:eastAsia="Times New Roman" w:cs="Arial"/>
          <w:color w:val="000000"/>
        </w:rPr>
        <w:t xml:space="preserve">Das C, Gautham B P, Boruah P &amp; Choudhury H (2022).  Evaluation of the performance of different mulching materials on growth and yield of chilli, </w:t>
      </w:r>
      <w:r>
        <w:rPr>
          <w:rFonts w:ascii="Arial" w:hAnsi="Arial" w:eastAsia="Times New Roman" w:cs="Arial"/>
          <w:i/>
          <w:iCs/>
          <w:color w:val="000000"/>
        </w:rPr>
        <w:t>The Pharma Innovation Journal</w:t>
      </w:r>
      <w:r>
        <w:rPr>
          <w:rFonts w:ascii="Arial" w:hAnsi="Arial" w:eastAsia="Times New Roman" w:cs="Arial"/>
          <w:color w:val="000000"/>
        </w:rPr>
        <w:t>, 11(3): 463-466.</w:t>
      </w:r>
    </w:p>
    <w:p w14:paraId="36AEA730">
      <w:pPr>
        <w:ind w:left="726" w:hanging="726" w:hangingChars="363"/>
        <w:jc w:val="both"/>
        <w:rPr>
          <w:rFonts w:ascii="Arial" w:hAnsi="Arial" w:eastAsia="Times New Roman" w:cs="Arial"/>
          <w:color w:val="000000"/>
        </w:rPr>
      </w:pPr>
      <w:r>
        <w:rPr>
          <w:rFonts w:ascii="Arial" w:hAnsi="Arial" w:eastAsia="Times New Roman" w:cs="Arial"/>
          <w:color w:val="000000"/>
        </w:rPr>
        <w:t>Debbarma P L, Acharya P, Saha U (2015). Response of chilli (</w:t>
      </w:r>
      <w:r>
        <w:rPr>
          <w:rFonts w:ascii="Arial" w:hAnsi="Arial" w:eastAsia="Times New Roman" w:cs="Arial"/>
          <w:i/>
          <w:iCs/>
          <w:color w:val="000000"/>
        </w:rPr>
        <w:t xml:space="preserve">Capsicum annum </w:t>
      </w:r>
      <w:r>
        <w:rPr>
          <w:rFonts w:ascii="Arial" w:hAnsi="Arial" w:eastAsia="Times New Roman" w:cs="Arial"/>
          <w:color w:val="000000"/>
        </w:rPr>
        <w:t xml:space="preserve">L.) to organic and inorganic mulches. </w:t>
      </w:r>
      <w:r>
        <w:rPr>
          <w:rFonts w:ascii="Arial" w:hAnsi="Arial" w:eastAsia="Times New Roman" w:cs="Arial"/>
          <w:i/>
          <w:iCs/>
          <w:color w:val="000000"/>
        </w:rPr>
        <w:t>Indian J of Arid. Hort.</w:t>
      </w:r>
      <w:r>
        <w:rPr>
          <w:rFonts w:ascii="Arial" w:hAnsi="Arial" w:eastAsia="Times New Roman" w:cs="Arial"/>
          <w:color w:val="000000"/>
        </w:rPr>
        <w:t xml:space="preserve"> 10(1-2):85-90. </w:t>
      </w:r>
    </w:p>
    <w:p w14:paraId="6550A125">
      <w:pPr>
        <w:ind w:left="726" w:hanging="726" w:hangingChars="363"/>
        <w:jc w:val="both"/>
        <w:rPr>
          <w:rFonts w:ascii="Arial" w:hAnsi="Arial" w:eastAsia="Times New Roman" w:cs="Arial"/>
          <w:color w:val="000000"/>
        </w:rPr>
      </w:pPr>
      <w:r>
        <w:rPr>
          <w:rFonts w:ascii="Arial" w:hAnsi="Arial" w:eastAsia="Times New Roman" w:cs="Arial"/>
          <w:color w:val="000000"/>
        </w:rPr>
        <w:t xml:space="preserve">Gordon G G, Foshee G W, Reed S T, Brown J E &amp; Vinson E L (2010). The effects of colored plastic mulches and row covers on the growth and yield of okra. </w:t>
      </w:r>
      <w:r>
        <w:rPr>
          <w:rFonts w:ascii="Arial" w:hAnsi="Arial" w:eastAsia="Times New Roman" w:cs="Arial"/>
          <w:i/>
          <w:iCs/>
          <w:color w:val="000000"/>
        </w:rPr>
        <w:t>Hort. Technology</w:t>
      </w:r>
      <w:r>
        <w:rPr>
          <w:rFonts w:ascii="Arial" w:hAnsi="Arial" w:eastAsia="Times New Roman" w:cs="Arial"/>
          <w:color w:val="000000"/>
        </w:rPr>
        <w:t>. 20(1): 224-233.</w:t>
      </w:r>
    </w:p>
    <w:p w14:paraId="6142F7EF">
      <w:pPr>
        <w:ind w:left="726" w:hanging="726" w:hangingChars="363"/>
        <w:jc w:val="both"/>
        <w:rPr>
          <w:rFonts w:ascii="Arial" w:hAnsi="Arial" w:eastAsia="Times New Roman" w:cs="Arial"/>
          <w:color w:val="000000"/>
        </w:rPr>
      </w:pPr>
      <w:r>
        <w:rPr>
          <w:rFonts w:ascii="Arial" w:hAnsi="Arial" w:eastAsia="Times New Roman" w:cs="Arial"/>
          <w:color w:val="000000"/>
        </w:rPr>
        <w:t>Gulshan M, Singh KG, Rakesh S &amp; Siag M (2007). Response to red hot pepper (</w:t>
      </w:r>
      <w:r>
        <w:rPr>
          <w:rFonts w:ascii="Arial" w:hAnsi="Arial" w:eastAsia="Times New Roman" w:cs="Arial"/>
          <w:i/>
          <w:iCs/>
          <w:color w:val="000000"/>
        </w:rPr>
        <w:t>Capsicum annuum</w:t>
      </w:r>
      <w:r>
        <w:rPr>
          <w:rFonts w:ascii="Arial" w:hAnsi="Arial" w:eastAsia="Times New Roman" w:cs="Arial"/>
          <w:color w:val="000000"/>
        </w:rPr>
        <w:t xml:space="preserve"> L.) to water and nitrogen under drip and check basin method irrigation. Asian J.Plant Sci., 6(5):815-820</w:t>
      </w:r>
    </w:p>
    <w:p w14:paraId="612E7074">
      <w:pPr>
        <w:ind w:left="908" w:hanging="908" w:hangingChars="454"/>
        <w:jc w:val="both"/>
        <w:rPr>
          <w:rFonts w:ascii="Arial" w:hAnsi="Arial" w:eastAsia="Times New Roman" w:cs="Arial"/>
          <w:color w:val="000000"/>
        </w:rPr>
      </w:pPr>
      <w:r>
        <w:rPr>
          <w:rFonts w:ascii="Arial" w:hAnsi="Arial" w:eastAsia="Times New Roman" w:cs="Arial"/>
          <w:color w:val="000000"/>
        </w:rPr>
        <w:t xml:space="preserve">Kader M A, Singha A, Begum M A, Jewel A, Khan F H &amp; Khan N I (2019). Mulching as water-saving technique in dry land agriculture. </w:t>
      </w:r>
      <w:r>
        <w:rPr>
          <w:rFonts w:ascii="Arial" w:hAnsi="Arial" w:eastAsia="Times New Roman" w:cs="Arial"/>
          <w:i/>
          <w:iCs/>
          <w:color w:val="000000"/>
        </w:rPr>
        <w:t>Bull of National Research Centre</w:t>
      </w:r>
      <w:r>
        <w:rPr>
          <w:rFonts w:ascii="Arial" w:hAnsi="Arial" w:eastAsia="Times New Roman" w:cs="Arial"/>
          <w:color w:val="000000"/>
        </w:rPr>
        <w:t xml:space="preserve"> 43:1–6.</w:t>
      </w:r>
    </w:p>
    <w:p w14:paraId="3CE50651">
      <w:pPr>
        <w:ind w:left="908" w:hanging="908" w:hangingChars="454"/>
        <w:jc w:val="both"/>
        <w:rPr>
          <w:rFonts w:ascii="Arial" w:hAnsi="Arial" w:eastAsia="Times New Roman" w:cs="Arial"/>
          <w:color w:val="000000"/>
        </w:rPr>
      </w:pPr>
      <w:r>
        <w:rPr>
          <w:rFonts w:ascii="Arial" w:hAnsi="Arial" w:eastAsia="Times New Roman" w:cs="Arial"/>
          <w:color w:val="000000"/>
        </w:rPr>
        <w:t>Kanthaswamy V &amp; Venkadeswarn E (2020). Studies on mulches for growth, yield and quality of chilli (Capsicum annum L). Journal of Soils and Crops, 30(2): 241-243.</w:t>
      </w:r>
    </w:p>
    <w:p w14:paraId="4D9CE9CE">
      <w:pPr>
        <w:ind w:left="726" w:hanging="726" w:hangingChars="363"/>
        <w:jc w:val="both"/>
        <w:rPr>
          <w:rFonts w:ascii="Arial" w:hAnsi="Arial" w:eastAsia="Times New Roman" w:cs="Arial"/>
          <w:color w:val="000000"/>
        </w:rPr>
      </w:pPr>
      <w:r>
        <w:rPr>
          <w:rFonts w:ascii="Arial" w:hAnsi="Arial" w:eastAsia="Times New Roman" w:cs="Arial"/>
          <w:color w:val="000000"/>
        </w:rPr>
        <w:t xml:space="preserve">Krishnamoorthy V &amp; A K A  Noorjehan (2014). Effect of Water Soluble and Conventional Fertilizers on Growth and Yield of Chilies. </w:t>
      </w:r>
      <w:r>
        <w:rPr>
          <w:rFonts w:ascii="Arial" w:hAnsi="Arial" w:eastAsia="Times New Roman" w:cs="Arial"/>
          <w:i/>
          <w:iCs/>
          <w:color w:val="000000"/>
        </w:rPr>
        <w:t>J. Krishi Vigyan</w:t>
      </w:r>
      <w:r>
        <w:rPr>
          <w:rFonts w:ascii="Arial" w:hAnsi="Arial" w:eastAsia="Times New Roman" w:cs="Arial"/>
          <w:color w:val="000000"/>
        </w:rPr>
        <w:t>, 2(2): 28-30.</w:t>
      </w:r>
    </w:p>
    <w:p w14:paraId="17C2719C">
      <w:pPr>
        <w:ind w:left="908" w:hanging="908" w:hangingChars="454"/>
        <w:jc w:val="both"/>
        <w:rPr>
          <w:rFonts w:ascii="Arial" w:hAnsi="Arial" w:eastAsia="Times New Roman" w:cs="Arial"/>
          <w:color w:val="000000"/>
        </w:rPr>
      </w:pPr>
      <w:r>
        <w:rPr>
          <w:rFonts w:ascii="Arial" w:hAnsi="Arial" w:eastAsia="Times New Roman" w:cs="Arial"/>
          <w:color w:val="000000"/>
        </w:rPr>
        <w:t xml:space="preserve">Kumari A &amp; Jat A (2021). Effect of Polythene Mulch on Growth, Yield and Economics of Green Chilli (Capsicum annuum ) </w:t>
      </w:r>
      <w:r>
        <w:rPr>
          <w:rFonts w:ascii="Arial" w:hAnsi="Arial" w:eastAsia="Times New Roman" w:cs="Arial"/>
          <w:i/>
          <w:iCs/>
          <w:color w:val="000000"/>
        </w:rPr>
        <w:t>J Krishi Vigyan</w:t>
      </w:r>
      <w:r>
        <w:rPr>
          <w:rFonts w:ascii="Arial" w:hAnsi="Arial" w:eastAsia="Times New Roman" w:cs="Arial"/>
          <w:color w:val="000000"/>
        </w:rPr>
        <w:t>, 9 (2) : 49-52</w:t>
      </w:r>
    </w:p>
    <w:p w14:paraId="198D251F">
      <w:pPr>
        <w:ind w:left="726" w:hanging="726" w:hangingChars="363"/>
        <w:jc w:val="both"/>
        <w:rPr>
          <w:rFonts w:ascii="Arial" w:hAnsi="Arial" w:eastAsia="Times New Roman" w:cs="Arial"/>
          <w:color w:val="000000"/>
        </w:rPr>
      </w:pPr>
      <w:r>
        <w:rPr>
          <w:rFonts w:ascii="Arial" w:hAnsi="Arial" w:eastAsia="Times New Roman" w:cs="Arial"/>
          <w:color w:val="000000"/>
        </w:rPr>
        <w:t xml:space="preserve">Mahajan G, Singh K G, Sharda R &amp; Siag M (2007). Response to red hot pepper Capsicum annuum L.) to water and nitrogen under drip and check basin method irrigation. </w:t>
      </w:r>
      <w:r>
        <w:rPr>
          <w:rFonts w:ascii="Arial" w:hAnsi="Arial" w:eastAsia="Times New Roman" w:cs="Arial"/>
          <w:i/>
          <w:iCs/>
          <w:color w:val="000000"/>
        </w:rPr>
        <w:t>Asian Journal of plant Sciences</w:t>
      </w:r>
      <w:r>
        <w:rPr>
          <w:rFonts w:ascii="Arial" w:hAnsi="Arial" w:eastAsia="Times New Roman" w:cs="Arial"/>
          <w:color w:val="000000"/>
        </w:rPr>
        <w:t>, 6(5): 815-820.</w:t>
      </w:r>
    </w:p>
    <w:p w14:paraId="56D5D99F">
      <w:pPr>
        <w:ind w:left="726" w:hanging="726" w:hangingChars="363"/>
        <w:jc w:val="both"/>
        <w:rPr>
          <w:rFonts w:ascii="Arial" w:hAnsi="Arial" w:eastAsia="Times New Roman" w:cs="Arial"/>
          <w:color w:val="000000"/>
        </w:rPr>
      </w:pPr>
      <w:r>
        <w:rPr>
          <w:rFonts w:ascii="Arial" w:hAnsi="Arial" w:eastAsia="Times New Roman" w:cs="Arial"/>
          <w:color w:val="000000"/>
        </w:rPr>
        <w:t>Manohar, K R (2002). Evolution of capsicum (Capsicum annum) genotypes and effect of source of fertilizers and levels of fertigation under cost effective green house. Ph.D. (Agri.). Hort., Thesis Univ. Agri. Sci. Bangalore.</w:t>
      </w:r>
    </w:p>
    <w:p w14:paraId="650A8DEA">
      <w:pPr>
        <w:ind w:left="726" w:hanging="726" w:hangingChars="363"/>
        <w:jc w:val="both"/>
        <w:rPr>
          <w:rFonts w:ascii="Arial" w:hAnsi="Arial" w:eastAsia="Times New Roman" w:cs="Arial"/>
          <w:color w:val="000000"/>
        </w:rPr>
      </w:pPr>
      <w:r>
        <w:rPr>
          <w:rFonts w:ascii="Arial" w:hAnsi="Arial" w:eastAsia="Times New Roman" w:cs="Arial"/>
          <w:color w:val="000000"/>
        </w:rPr>
        <w:t>Marichamy M, Jayabharathi J, Thomas A, Thomas A &amp; Kanthaswamy V. (2016) Effect of different mulches on growth and physiological characters of chilli (</w:t>
      </w:r>
      <w:r>
        <w:rPr>
          <w:rFonts w:ascii="Arial" w:hAnsi="Arial" w:eastAsia="Times New Roman" w:cs="Arial"/>
          <w:i/>
          <w:iCs/>
          <w:color w:val="000000"/>
        </w:rPr>
        <w:t xml:space="preserve">Capsicum annum </w:t>
      </w:r>
      <w:r>
        <w:rPr>
          <w:rFonts w:ascii="Arial" w:hAnsi="Arial" w:eastAsia="Times New Roman" w:cs="Arial"/>
          <w:color w:val="000000"/>
        </w:rPr>
        <w:t xml:space="preserve">L.) </w:t>
      </w:r>
      <w:r>
        <w:rPr>
          <w:rFonts w:ascii="Arial" w:hAnsi="Arial" w:eastAsia="Times New Roman" w:cs="Arial"/>
          <w:i/>
          <w:iCs/>
          <w:color w:val="000000"/>
        </w:rPr>
        <w:t>Hybrid Sierra. Adv. in Life Sci.</w:t>
      </w:r>
      <w:r>
        <w:rPr>
          <w:rFonts w:ascii="Arial" w:hAnsi="Arial" w:eastAsia="Times New Roman" w:cs="Arial"/>
          <w:color w:val="000000"/>
        </w:rPr>
        <w:t xml:space="preserve"> 5(4):1267-1271. </w:t>
      </w:r>
    </w:p>
    <w:p w14:paraId="60F32C16">
      <w:pPr>
        <w:ind w:left="908" w:hanging="908" w:hangingChars="454"/>
        <w:jc w:val="both"/>
        <w:rPr>
          <w:rFonts w:ascii="Arial" w:hAnsi="Arial" w:eastAsia="Times New Roman" w:cs="Arial"/>
          <w:color w:val="000000"/>
        </w:rPr>
      </w:pPr>
      <w:r>
        <w:rPr>
          <w:rFonts w:ascii="Arial" w:hAnsi="Arial" w:eastAsia="Times New Roman" w:cs="Arial"/>
          <w:color w:val="000000"/>
        </w:rPr>
        <w:t xml:space="preserve">Nagalakshmi S, Palanisamy D, Eswaran S &amp; Sreenarayanan VV (2002). Influence of plastic mulching on chilli yield and economics. </w:t>
      </w:r>
      <w:r>
        <w:rPr>
          <w:rFonts w:ascii="Arial" w:hAnsi="Arial" w:eastAsia="Times New Roman" w:cs="Arial"/>
          <w:i/>
          <w:iCs/>
          <w:color w:val="000000"/>
        </w:rPr>
        <w:t>South Indian Horticulture.</w:t>
      </w:r>
      <w:r>
        <w:rPr>
          <w:rFonts w:ascii="Arial" w:hAnsi="Arial" w:eastAsia="Times New Roman" w:cs="Arial"/>
          <w:color w:val="000000"/>
        </w:rPr>
        <w:t xml:space="preserve"> 50:262-265. </w:t>
      </w:r>
    </w:p>
    <w:p w14:paraId="6BEF3F47">
      <w:pPr>
        <w:ind w:left="726" w:hanging="726" w:hangingChars="363"/>
        <w:jc w:val="both"/>
        <w:rPr>
          <w:rFonts w:ascii="Arial" w:hAnsi="Arial" w:eastAsia="Times New Roman" w:cs="Arial"/>
          <w:color w:val="000000"/>
        </w:rPr>
      </w:pPr>
      <w:r>
        <w:rPr>
          <w:rFonts w:ascii="Arial" w:hAnsi="Arial" w:eastAsia="Times New Roman" w:cs="Arial"/>
          <w:color w:val="000000"/>
        </w:rPr>
        <w:t>Narayan S, Makhdoomi M L, Malik A, Nabi A, Hussain K &amp; Khan FA (2017). Influence of Plastic and organic mulching on productivity, growth and weed density in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 xml:space="preserve">Journal of Pharmacognosy and Phytochemistry </w:t>
      </w:r>
      <w:r>
        <w:rPr>
          <w:rFonts w:ascii="Arial" w:hAnsi="Arial" w:eastAsia="Times New Roman" w:cs="Arial"/>
          <w:color w:val="000000"/>
        </w:rPr>
        <w:t>6(6): 1733-1735.</w:t>
      </w:r>
    </w:p>
    <w:p w14:paraId="545B673A">
      <w:pPr>
        <w:ind w:left="726" w:hanging="726" w:hangingChars="363"/>
        <w:jc w:val="both"/>
        <w:rPr>
          <w:rFonts w:ascii="Arial" w:hAnsi="Arial" w:eastAsia="Times New Roman" w:cs="Arial"/>
          <w:color w:val="000000"/>
        </w:rPr>
      </w:pPr>
      <w:r>
        <w:rPr>
          <w:rFonts w:ascii="Arial" w:hAnsi="Arial" w:eastAsia="Times New Roman" w:cs="Arial"/>
          <w:color w:val="000000"/>
        </w:rPr>
        <w:t>Pandey A K, Singh A K, Kumar A &amp; Singh S K (2013). Effect of drip irrigation, spacing and nitrogen fertigation on productivity of chilli (</w:t>
      </w:r>
      <w:r>
        <w:rPr>
          <w:rFonts w:ascii="Arial" w:hAnsi="Arial" w:eastAsia="Times New Roman" w:cs="Arial"/>
          <w:i/>
          <w:iCs/>
          <w:color w:val="000000"/>
        </w:rPr>
        <w:t xml:space="preserve">Capsicum annuum </w:t>
      </w:r>
      <w:r>
        <w:rPr>
          <w:rFonts w:ascii="Arial" w:hAnsi="Arial" w:eastAsia="Times New Roman" w:cs="Arial"/>
          <w:color w:val="000000"/>
        </w:rPr>
        <w:t xml:space="preserve">L.) </w:t>
      </w:r>
      <w:r>
        <w:rPr>
          <w:rFonts w:ascii="Arial" w:hAnsi="Arial" w:eastAsia="Times New Roman" w:cs="Arial"/>
          <w:i/>
          <w:iCs/>
          <w:color w:val="000000"/>
        </w:rPr>
        <w:t>Environ. Ecol.</w:t>
      </w:r>
      <w:r>
        <w:rPr>
          <w:rFonts w:ascii="Arial" w:hAnsi="Arial" w:eastAsia="Times New Roman" w:cs="Arial"/>
          <w:color w:val="000000"/>
        </w:rPr>
        <w:t>, 31(1): 139-142.</w:t>
      </w:r>
    </w:p>
    <w:p w14:paraId="5193ED38">
      <w:pPr>
        <w:ind w:left="726" w:hanging="726" w:hangingChars="363"/>
        <w:jc w:val="both"/>
        <w:rPr>
          <w:rFonts w:ascii="Arial" w:hAnsi="Arial" w:eastAsia="Times New Roman" w:cs="Arial"/>
          <w:color w:val="000000"/>
        </w:rPr>
      </w:pPr>
      <w:r>
        <w:rPr>
          <w:rFonts w:ascii="Arial" w:hAnsi="Arial" w:eastAsia="Times New Roman" w:cs="Arial"/>
          <w:color w:val="000000"/>
        </w:rPr>
        <w:t>Prabhakar, B N, Ramachandrappa B K, Nanjappa H V &amp; Soumya T M (2010). Effect of frequency and methods of fertigation on growth, yield, quality and economics of green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Mysore J. Agric. Sci</w:t>
      </w:r>
      <w:r>
        <w:rPr>
          <w:rFonts w:ascii="Arial" w:hAnsi="Arial" w:eastAsia="Times New Roman" w:cs="Arial"/>
          <w:color w:val="000000"/>
        </w:rPr>
        <w:t>., 44(3): 523-528.</w:t>
      </w:r>
    </w:p>
    <w:p w14:paraId="33004C52">
      <w:pPr>
        <w:ind w:left="726" w:hanging="726" w:hangingChars="363"/>
        <w:jc w:val="both"/>
        <w:rPr>
          <w:rFonts w:ascii="Arial" w:hAnsi="Arial" w:eastAsia="Times New Roman" w:cs="Arial"/>
          <w:color w:val="000000"/>
        </w:rPr>
      </w:pPr>
      <w:r>
        <w:rPr>
          <w:rFonts w:ascii="Arial" w:hAnsi="Arial" w:eastAsia="Times New Roman" w:cs="Arial"/>
          <w:color w:val="000000"/>
        </w:rPr>
        <w:t>Prajapati O P, Gupta P K, Lekhi R, Patidar J &amp; Jatav R (2017). Effect of different mulches on growth, yield and its attributing characters of chilli (</w:t>
      </w:r>
      <w:r>
        <w:rPr>
          <w:rFonts w:ascii="Arial" w:hAnsi="Arial" w:eastAsia="Times New Roman" w:cs="Arial"/>
          <w:i/>
          <w:iCs/>
          <w:color w:val="000000"/>
        </w:rPr>
        <w:t>Capsicum annuum</w:t>
      </w:r>
      <w:r>
        <w:rPr>
          <w:rFonts w:ascii="Arial" w:hAnsi="Arial" w:eastAsia="Times New Roman" w:cs="Arial"/>
          <w:color w:val="000000"/>
        </w:rPr>
        <w:t xml:space="preserve"> L.) Cv. Kalipeeth. </w:t>
      </w:r>
      <w:r>
        <w:rPr>
          <w:rFonts w:ascii="Arial" w:hAnsi="Arial" w:eastAsia="Times New Roman" w:cs="Arial"/>
          <w:i/>
          <w:iCs/>
          <w:color w:val="000000"/>
        </w:rPr>
        <w:t>Int. J Agriculture Sciences</w:t>
      </w:r>
      <w:r>
        <w:rPr>
          <w:rFonts w:ascii="Arial" w:hAnsi="Arial" w:eastAsia="Times New Roman" w:cs="Arial"/>
          <w:color w:val="000000"/>
        </w:rPr>
        <w:t>, 64(8):3599-3602.</w:t>
      </w:r>
    </w:p>
    <w:p w14:paraId="2D7CAA80">
      <w:pPr>
        <w:ind w:left="726" w:hanging="726" w:hangingChars="363"/>
        <w:jc w:val="both"/>
        <w:rPr>
          <w:rFonts w:ascii="Arial" w:hAnsi="Arial" w:eastAsia="Times New Roman" w:cs="Arial"/>
          <w:color w:val="000000"/>
        </w:rPr>
      </w:pPr>
      <w:r>
        <w:rPr>
          <w:rFonts w:ascii="Arial" w:hAnsi="Arial" w:eastAsia="Times New Roman" w:cs="Arial"/>
          <w:color w:val="000000"/>
        </w:rPr>
        <w:t xml:space="preserve">Rajablariani H R, Hassankhan F &amp; Rafezi R (2012). Effect of colored plastic mulches on yield of Tomato and weed biomass. </w:t>
      </w:r>
      <w:r>
        <w:rPr>
          <w:rFonts w:ascii="Arial" w:hAnsi="Arial" w:eastAsia="Times New Roman" w:cs="Arial"/>
          <w:i/>
          <w:iCs/>
          <w:color w:val="000000"/>
        </w:rPr>
        <w:t>Int. J. Env. Sci.</w:t>
      </w:r>
      <w:r>
        <w:rPr>
          <w:rFonts w:ascii="Arial" w:hAnsi="Arial" w:eastAsia="Times New Roman" w:cs="Arial"/>
          <w:color w:val="000000"/>
        </w:rPr>
        <w:t xml:space="preserve">, 3(6): 590-593. </w:t>
      </w:r>
    </w:p>
    <w:p w14:paraId="22A5B9A2">
      <w:pPr>
        <w:ind w:left="726" w:hanging="726" w:hangingChars="363"/>
        <w:jc w:val="both"/>
        <w:rPr>
          <w:rFonts w:ascii="Arial" w:hAnsi="Arial" w:eastAsia="Times New Roman" w:cs="Arial"/>
          <w:color w:val="000000"/>
        </w:rPr>
      </w:pPr>
      <w:r>
        <w:rPr>
          <w:rFonts w:ascii="Arial" w:hAnsi="Arial" w:eastAsia="Times New Roman" w:cs="Arial"/>
          <w:color w:val="000000"/>
        </w:rPr>
        <w:t xml:space="preserve">Rajan K, Abdul Haris A, Prasad L K and Shivani (2014). Efficacy of conventional, solid soluble and liquid fertilizers applied through drip-fertigation on tomato. </w:t>
      </w:r>
      <w:r>
        <w:rPr>
          <w:rFonts w:ascii="Arial" w:hAnsi="Arial" w:eastAsia="Times New Roman" w:cs="Arial"/>
          <w:i/>
          <w:iCs/>
          <w:color w:val="000000"/>
        </w:rPr>
        <w:t>Indian J. Hort</w:t>
      </w:r>
      <w:r>
        <w:rPr>
          <w:rFonts w:ascii="Arial" w:hAnsi="Arial" w:eastAsia="Times New Roman" w:cs="Arial"/>
          <w:color w:val="000000"/>
        </w:rPr>
        <w:t>., 71(2): 217-221.</w:t>
      </w:r>
    </w:p>
    <w:p w14:paraId="4ACF3A1E">
      <w:pPr>
        <w:ind w:left="726" w:hanging="726" w:hangingChars="363"/>
        <w:jc w:val="both"/>
        <w:rPr>
          <w:rFonts w:ascii="Arial" w:hAnsi="Arial" w:eastAsia="Times New Roman" w:cs="Arial"/>
          <w:color w:val="000000"/>
        </w:rPr>
      </w:pPr>
      <w:r>
        <w:rPr>
          <w:rFonts w:ascii="Arial" w:hAnsi="Arial" w:eastAsia="Times New Roman" w:cs="Arial"/>
          <w:color w:val="000000"/>
        </w:rPr>
        <w:t>Ramachandrappa B K, Nanjappa H V, Prabhakar B N &amp; Soumya T M (2010). Effect of sources and level of fertilizer for drip fertigation on crop productivity, rooting and fertilizer use efficiency in green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Mysore J. Agril. Sci</w:t>
      </w:r>
      <w:r>
        <w:rPr>
          <w:rFonts w:ascii="Arial" w:hAnsi="Arial" w:eastAsia="Times New Roman" w:cs="Arial"/>
          <w:color w:val="000000"/>
        </w:rPr>
        <w:t>., 44(2): 345-349.</w:t>
      </w:r>
    </w:p>
    <w:p w14:paraId="0AF56891">
      <w:pPr>
        <w:ind w:left="726" w:hanging="726" w:hangingChars="363"/>
        <w:jc w:val="both"/>
        <w:rPr>
          <w:rFonts w:ascii="Arial" w:hAnsi="Arial" w:eastAsia="Times New Roman" w:cs="Arial"/>
          <w:color w:val="000000"/>
        </w:rPr>
      </w:pPr>
      <w:r>
        <w:rPr>
          <w:rFonts w:ascii="Arial" w:hAnsi="Arial" w:eastAsia="Times New Roman" w:cs="Arial"/>
          <w:color w:val="000000"/>
        </w:rPr>
        <w:t>Rani K V, Umesh U N, Kumar A, Prakash S &amp; Mandal B K (2020). Effect of different types of mulching materials on growth and yield of chilli (</w:t>
      </w:r>
      <w:r>
        <w:rPr>
          <w:rFonts w:ascii="Arial" w:hAnsi="Arial" w:eastAsia="Times New Roman" w:cs="Arial"/>
          <w:i/>
          <w:iCs/>
          <w:color w:val="000000"/>
        </w:rPr>
        <w:t xml:space="preserve">Capsicum annum </w:t>
      </w:r>
      <w:r>
        <w:rPr>
          <w:rFonts w:ascii="Arial" w:hAnsi="Arial" w:eastAsia="Times New Roman" w:cs="Arial"/>
          <w:color w:val="000000"/>
        </w:rPr>
        <w:t>L. Cv. Arka Harita)</w:t>
      </w:r>
      <w:r>
        <w:rPr>
          <w:rFonts w:ascii="Arial" w:hAnsi="Arial" w:eastAsia="Times New Roman" w:cs="Arial"/>
          <w:i/>
          <w:iCs/>
          <w:color w:val="000000"/>
        </w:rPr>
        <w:t xml:space="preserve"> Int. J. Curr. Microbiol. App. Sci.</w:t>
      </w:r>
      <w:r>
        <w:rPr>
          <w:rFonts w:ascii="Arial" w:hAnsi="Arial" w:eastAsia="Times New Roman" w:cs="Arial"/>
          <w:color w:val="000000"/>
        </w:rPr>
        <w:t xml:space="preserve"> 9(11): 2005-2012.</w:t>
      </w:r>
    </w:p>
    <w:p w14:paraId="03B94A16">
      <w:pPr>
        <w:ind w:left="726" w:hanging="726" w:hangingChars="363"/>
        <w:jc w:val="both"/>
        <w:rPr>
          <w:rFonts w:ascii="Arial" w:hAnsi="Arial" w:eastAsia="Times New Roman" w:cs="Arial"/>
          <w:color w:val="000000"/>
        </w:rPr>
      </w:pPr>
      <w:r>
        <w:rPr>
          <w:rFonts w:ascii="Arial" w:hAnsi="Arial" w:eastAsia="Times New Roman" w:cs="Arial"/>
          <w:color w:val="000000"/>
        </w:rPr>
        <w:t xml:space="preserve">Rani P L, Balaswami K, Rao AR &amp; Masthan S C (2015). Evaluation of Integrated Nutrient Management Practices on Growth, yield and economics of green chilli cv PusaJwala (Capsicum annuum L.). </w:t>
      </w:r>
      <w:r>
        <w:rPr>
          <w:rFonts w:ascii="Arial" w:hAnsi="Arial" w:eastAsia="Times New Roman" w:cs="Arial"/>
          <w:i/>
          <w:iCs/>
          <w:color w:val="000000"/>
        </w:rPr>
        <w:t>Int. J. of Bio-resource and Stress Management</w:t>
      </w:r>
      <w:r>
        <w:rPr>
          <w:rFonts w:ascii="Arial" w:hAnsi="Arial" w:eastAsia="Times New Roman" w:cs="Arial"/>
          <w:color w:val="000000"/>
        </w:rPr>
        <w:t>, 6(1): 076-080.</w:t>
      </w:r>
    </w:p>
    <w:p w14:paraId="765BE570">
      <w:pPr>
        <w:ind w:left="908" w:hanging="908" w:hangingChars="454"/>
        <w:jc w:val="both"/>
        <w:rPr>
          <w:rFonts w:ascii="Arial" w:hAnsi="Arial" w:eastAsia="Times New Roman" w:cs="Arial"/>
          <w:color w:val="000000"/>
        </w:rPr>
      </w:pPr>
      <w:r>
        <w:rPr>
          <w:rFonts w:ascii="Arial" w:hAnsi="Arial" w:eastAsia="Times New Roman" w:cs="Arial"/>
          <w:color w:val="000000"/>
        </w:rPr>
        <w:t>Reddy G C,  Hebbar S S &amp; Reddy G P D (2016). Effect of plastic mulch and non-mulch on growth, yield and quality of red chilli (</w:t>
      </w:r>
      <w:r>
        <w:rPr>
          <w:rFonts w:ascii="Arial" w:hAnsi="Arial" w:eastAsia="Times New Roman" w:cs="Arial"/>
          <w:i/>
          <w:iCs/>
          <w:color w:val="000000"/>
        </w:rPr>
        <w:t xml:space="preserve">Capsicum annuum </w:t>
      </w:r>
      <w:r>
        <w:rPr>
          <w:rFonts w:ascii="Arial" w:hAnsi="Arial" w:eastAsia="Times New Roman" w:cs="Arial"/>
          <w:color w:val="000000"/>
        </w:rPr>
        <w:t xml:space="preserve">L.) under drip Fertigation, </w:t>
      </w:r>
      <w:r>
        <w:rPr>
          <w:rFonts w:ascii="Arial" w:hAnsi="Arial" w:eastAsia="Times New Roman" w:cs="Arial"/>
          <w:i/>
          <w:iCs/>
          <w:color w:val="000000"/>
        </w:rPr>
        <w:t xml:space="preserve">Plant Archives </w:t>
      </w:r>
      <w:r>
        <w:rPr>
          <w:rFonts w:ascii="Arial" w:hAnsi="Arial" w:eastAsia="Times New Roman" w:cs="Arial"/>
          <w:color w:val="000000"/>
        </w:rPr>
        <w:t xml:space="preserve">16 (2): 563-567 </w:t>
      </w:r>
    </w:p>
    <w:p w14:paraId="3E7DE369">
      <w:pPr>
        <w:ind w:left="726" w:hanging="726" w:hangingChars="363"/>
        <w:jc w:val="both"/>
        <w:rPr>
          <w:rFonts w:ascii="Arial" w:hAnsi="Arial" w:eastAsia="Times New Roman" w:cs="Arial"/>
          <w:color w:val="000000"/>
        </w:rPr>
      </w:pPr>
      <w:r>
        <w:rPr>
          <w:rFonts w:ascii="Arial" w:hAnsi="Arial" w:eastAsia="Times New Roman" w:cs="Arial"/>
          <w:color w:val="000000"/>
        </w:rPr>
        <w:t>Sajjan M (2000). Effect of nitrogenous and phosphatic bio fertilizers on growth, yield and quality of chilli (</w:t>
      </w:r>
      <w:r>
        <w:rPr>
          <w:rFonts w:ascii="Arial" w:hAnsi="Arial" w:eastAsia="Times New Roman" w:cs="Arial"/>
          <w:i/>
          <w:iCs/>
          <w:color w:val="000000"/>
        </w:rPr>
        <w:t>Capsicum annuum</w:t>
      </w:r>
      <w:r>
        <w:rPr>
          <w:rFonts w:ascii="Arial" w:hAnsi="Arial" w:eastAsia="Times New Roman" w:cs="Arial"/>
          <w:color w:val="000000"/>
        </w:rPr>
        <w:t>) Cv. Byadagi Dabbi. M.Sc (Agri) in Horti Thesis Univ. Agri. Sci., Banglore.</w:t>
      </w:r>
    </w:p>
    <w:p w14:paraId="7E8A185F">
      <w:pPr>
        <w:ind w:left="726" w:hanging="726" w:hangingChars="363"/>
        <w:jc w:val="both"/>
        <w:rPr>
          <w:rFonts w:ascii="Arial" w:hAnsi="Arial" w:eastAsia="Times New Roman" w:cs="Arial"/>
          <w:color w:val="000000"/>
        </w:rPr>
      </w:pPr>
      <w:r>
        <w:rPr>
          <w:rFonts w:ascii="Arial" w:hAnsi="Arial" w:eastAsia="Times New Roman" w:cs="Arial"/>
          <w:color w:val="000000"/>
        </w:rPr>
        <w:t>Sathiyamurthy V A, Rajashree V, Shanmugasundaram T &amp; Arumugam T (2017). Effect of different mulching on weed intensity, yield and economics in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Int J Curr Microbiol App Sci</w:t>
      </w:r>
      <w:r>
        <w:rPr>
          <w:rFonts w:ascii="Arial" w:hAnsi="Arial" w:eastAsia="Times New Roman" w:cs="Arial"/>
          <w:color w:val="000000"/>
        </w:rPr>
        <w:t>, 6(3): 609-617.</w:t>
      </w:r>
    </w:p>
    <w:p w14:paraId="12D5DD90">
      <w:pPr>
        <w:ind w:left="726" w:hanging="726" w:hangingChars="363"/>
        <w:jc w:val="both"/>
        <w:rPr>
          <w:rFonts w:ascii="Arial" w:hAnsi="Arial" w:eastAsia="Times New Roman" w:cs="Arial"/>
          <w:color w:val="000000"/>
        </w:rPr>
      </w:pPr>
      <w:r>
        <w:rPr>
          <w:rFonts w:ascii="Arial" w:hAnsi="Arial" w:eastAsia="Times New Roman" w:cs="Arial"/>
          <w:color w:val="000000"/>
        </w:rPr>
        <w:t xml:space="preserve">Shilpa, Sharma P &amp; Bijalwan P (2022). Effect of Mulching on Crop Production under Rainfed Condition: A Review, </w:t>
      </w:r>
      <w:r>
        <w:rPr>
          <w:rFonts w:ascii="Arial" w:hAnsi="Arial" w:eastAsia="Times New Roman" w:cs="Arial"/>
          <w:i/>
          <w:iCs/>
          <w:color w:val="000000"/>
        </w:rPr>
        <w:t>Agricultural Reviews</w:t>
      </w:r>
      <w:r>
        <w:rPr>
          <w:rFonts w:ascii="Arial" w:hAnsi="Arial" w:eastAsia="Times New Roman" w:cs="Arial"/>
          <w:color w:val="000000"/>
        </w:rPr>
        <w:t xml:space="preserve">, 43 (2): 199-204 </w:t>
      </w:r>
    </w:p>
    <w:p w14:paraId="31A1AA44">
      <w:pPr>
        <w:ind w:left="908" w:hanging="908" w:hangingChars="454"/>
        <w:jc w:val="both"/>
        <w:rPr>
          <w:rFonts w:ascii="Arial" w:hAnsi="Arial" w:eastAsia="Times New Roman" w:cs="Arial"/>
          <w:color w:val="000000"/>
        </w:rPr>
      </w:pPr>
      <w:r>
        <w:rPr>
          <w:rFonts w:ascii="Arial" w:hAnsi="Arial" w:eastAsia="Times New Roman" w:cs="Arial"/>
          <w:color w:val="000000"/>
        </w:rPr>
        <w:t xml:space="preserve">Tarara JM (2000). Microclimate modification with plastic mulch, </w:t>
      </w:r>
      <w:r>
        <w:rPr>
          <w:rFonts w:ascii="Arial" w:hAnsi="Arial" w:eastAsia="Times New Roman" w:cs="Arial"/>
          <w:i/>
          <w:iCs/>
          <w:color w:val="000000"/>
        </w:rPr>
        <w:t>Hort Science</w:t>
      </w:r>
      <w:r>
        <w:rPr>
          <w:rFonts w:ascii="Arial" w:hAnsi="Arial" w:eastAsia="Times New Roman" w:cs="Arial"/>
          <w:color w:val="000000"/>
        </w:rPr>
        <w:t xml:space="preserve"> 35(2):169-180. </w:t>
      </w:r>
    </w:p>
    <w:p w14:paraId="220DBB16">
      <w:pPr>
        <w:ind w:left="726" w:hanging="726" w:hangingChars="363"/>
        <w:jc w:val="both"/>
        <w:rPr>
          <w:rFonts w:ascii="Arial" w:hAnsi="Arial" w:eastAsia="Times New Roman" w:cs="Arial"/>
          <w:color w:val="000000"/>
        </w:rPr>
      </w:pPr>
      <w:r>
        <w:rPr>
          <w:rFonts w:ascii="Arial" w:hAnsi="Arial" w:eastAsia="Times New Roman" w:cs="Arial"/>
          <w:color w:val="000000"/>
        </w:rPr>
        <w:t>Tumbare A D &amp; Nikam D R (2004). Effect of planting and fertigation on growth and yield of green chilli (</w:t>
      </w:r>
      <w:r>
        <w:rPr>
          <w:rFonts w:ascii="Arial" w:hAnsi="Arial" w:eastAsia="Times New Roman" w:cs="Arial"/>
          <w:i/>
          <w:iCs/>
          <w:color w:val="000000"/>
        </w:rPr>
        <w:t>Capsicum annuum</w:t>
      </w:r>
      <w:r>
        <w:rPr>
          <w:rFonts w:ascii="Arial" w:hAnsi="Arial" w:eastAsia="Times New Roman" w:cs="Arial"/>
          <w:color w:val="000000"/>
        </w:rPr>
        <w:t xml:space="preserve"> L.). </w:t>
      </w:r>
      <w:r>
        <w:rPr>
          <w:rFonts w:ascii="Arial" w:hAnsi="Arial" w:eastAsia="Times New Roman" w:cs="Arial"/>
          <w:i/>
          <w:iCs/>
          <w:color w:val="000000"/>
        </w:rPr>
        <w:t>Indian J. Agri. Sci.</w:t>
      </w:r>
      <w:r>
        <w:rPr>
          <w:rFonts w:ascii="Arial" w:hAnsi="Arial" w:eastAsia="Times New Roman" w:cs="Arial"/>
          <w:color w:val="000000"/>
        </w:rPr>
        <w:t>, 72(2): 95-102.</w:t>
      </w:r>
    </w:p>
    <w:p w14:paraId="03CF004E">
      <w:pPr>
        <w:ind w:left="908" w:hanging="908" w:hangingChars="454"/>
        <w:jc w:val="both"/>
        <w:rPr>
          <w:rFonts w:ascii="Arial" w:hAnsi="Arial" w:eastAsia="Times New Roman" w:cs="Arial"/>
          <w:color w:val="000000"/>
        </w:rPr>
      </w:pPr>
      <w:r>
        <w:rPr>
          <w:rFonts w:ascii="Arial" w:hAnsi="Arial" w:eastAsia="Times New Roman" w:cs="Arial"/>
          <w:color w:val="000000"/>
        </w:rPr>
        <w:t>Tyagi S K &amp; Kulmi G S (2019). Effect of Plastic Mulch on Growth, Yield and Economics of Chilli (</w:t>
      </w:r>
      <w:r>
        <w:rPr>
          <w:rFonts w:ascii="Arial" w:hAnsi="Arial" w:eastAsia="Times New Roman" w:cs="Arial"/>
          <w:i/>
          <w:iCs/>
          <w:color w:val="000000"/>
        </w:rPr>
        <w:t>Capsicum annuum</w:t>
      </w:r>
      <w:r>
        <w:rPr>
          <w:rFonts w:ascii="Arial" w:hAnsi="Arial" w:eastAsia="Times New Roman" w:cs="Arial"/>
          <w:color w:val="000000"/>
        </w:rPr>
        <w:t xml:space="preserve"> L.) under Nimarplains Conditions of Madhya Pradesh,</w:t>
      </w:r>
      <w:r>
        <w:rPr>
          <w:rFonts w:ascii="Arial" w:hAnsi="Arial" w:eastAsia="Times New Roman" w:cs="Arial"/>
          <w:i/>
          <w:iCs/>
          <w:color w:val="000000"/>
        </w:rPr>
        <w:t xml:space="preserve"> J Krishi Vigyan</w:t>
      </w:r>
      <w:r>
        <w:rPr>
          <w:rFonts w:ascii="Arial" w:hAnsi="Arial" w:eastAsia="Times New Roman" w:cs="Arial"/>
          <w:color w:val="000000"/>
        </w:rPr>
        <w:t xml:space="preserve"> 8 (1): 105-108.</w:t>
      </w:r>
    </w:p>
    <w:p w14:paraId="374B647D">
      <w:pPr>
        <w:ind w:left="726" w:hanging="726" w:hangingChars="363"/>
        <w:jc w:val="both"/>
        <w:rPr>
          <w:rFonts w:ascii="Arial" w:hAnsi="Arial" w:eastAsia="Times New Roman" w:cs="Arial"/>
          <w:color w:val="000000"/>
        </w:rPr>
      </w:pPr>
      <w:r>
        <w:rPr>
          <w:rFonts w:ascii="Arial" w:hAnsi="Arial" w:eastAsia="Times New Roman" w:cs="Arial"/>
          <w:color w:val="000000"/>
        </w:rPr>
        <w:t xml:space="preserve">Zhang T Q, Tan C S &amp; Warner J (2007). Fresh market sweet corn production with clear and wavelength selective soil mulch films. </w:t>
      </w:r>
      <w:r>
        <w:rPr>
          <w:rFonts w:ascii="Arial" w:hAnsi="Arial" w:eastAsia="Times New Roman" w:cs="Arial"/>
          <w:i/>
          <w:iCs/>
          <w:color w:val="000000"/>
        </w:rPr>
        <w:t>Can. J. Plant Sci.</w:t>
      </w:r>
      <w:r>
        <w:rPr>
          <w:rFonts w:ascii="Arial" w:hAnsi="Arial" w:eastAsia="Times New Roman" w:cs="Arial"/>
          <w:color w:val="000000"/>
        </w:rPr>
        <w:t>, 87(3): 559-564.</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ogle1586967615" w:date="2025-04-30T16:04:25Z" w:initials="">
    <w:p w14:paraId="7271C78F">
      <w:pPr>
        <w:pStyle w:val="5"/>
        <w:rPr>
          <w:rFonts w:hint="default"/>
          <w:lang w:val="en-US"/>
        </w:rPr>
      </w:pPr>
      <w:r>
        <w:rPr>
          <w:rFonts w:hint="default"/>
          <w:lang w:val="en-US"/>
        </w:rPr>
        <w:t>Fruit dry weight</w:t>
      </w:r>
    </w:p>
  </w:comment>
  <w:comment w:id="1" w:author="google1586967615" w:date="2025-04-30T16:06:27Z" w:initials="">
    <w:p w14:paraId="2B1C6F4F">
      <w:pPr>
        <w:pStyle w:val="5"/>
        <w:rPr>
          <w:rFonts w:hint="default"/>
          <w:lang w:val="en-US"/>
        </w:rPr>
      </w:pPr>
      <w:r>
        <w:rPr>
          <w:rFonts w:hint="default"/>
          <w:lang w:val="en-US"/>
        </w:rPr>
        <w:t>g</w:t>
      </w:r>
    </w:p>
  </w:comment>
  <w:comment w:id="2" w:author="google1586967615" w:date="2025-04-30T16:06:09Z" w:initials="">
    <w:p w14:paraId="14573B9D">
      <w:pPr>
        <w:pStyle w:val="5"/>
        <w:rPr>
          <w:rFonts w:hint="default"/>
          <w:lang w:val="en-US"/>
        </w:rPr>
      </w:pPr>
      <w:r>
        <w:rPr>
          <w:rFonts w:hint="default"/>
          <w:lang w:val="en-US"/>
        </w:rPr>
        <w:t>Number of weeds</w:t>
      </w:r>
    </w:p>
  </w:comment>
  <w:comment w:id="3" w:author="google1586967615" w:date="2025-04-30T16:15:44Z" w:initials="">
    <w:p w14:paraId="1E2DF76C">
      <w:pPr>
        <w:pStyle w:val="5"/>
        <w:rPr>
          <w:rFonts w:hint="default"/>
          <w:lang w:val="en-US"/>
        </w:rPr>
      </w:pPr>
      <w:r>
        <w:rPr>
          <w:rFonts w:hint="default"/>
          <w:lang w:val="en-US"/>
        </w:rPr>
        <w:t>Agro- physical</w:t>
      </w:r>
    </w:p>
  </w:comment>
  <w:comment w:id="4" w:author="google1586967615" w:date="2025-04-30T21:17:54Z" w:initials="">
    <w:p w14:paraId="711C8C80">
      <w:pPr>
        <w:pStyle w:val="5"/>
        <w:rPr>
          <w:rFonts w:hint="default"/>
          <w:lang w:val="en-US"/>
        </w:rPr>
      </w:pPr>
      <w:r>
        <w:rPr>
          <w:rFonts w:hint="default"/>
          <w:lang w:val="en-US"/>
        </w:rPr>
        <w:t>The</w:t>
      </w:r>
    </w:p>
  </w:comment>
  <w:comment w:id="5" w:author="google1586967615" w:date="2025-04-30T21:18:45Z" w:initials="">
    <w:p w14:paraId="655CD6A6">
      <w:pPr>
        <w:pStyle w:val="5"/>
        <w:rPr>
          <w:rFonts w:hint="default"/>
          <w:lang w:val="en-US"/>
        </w:rPr>
      </w:pPr>
      <w:r>
        <w:rPr>
          <w:rFonts w:hint="default"/>
          <w:lang w:val="en-US"/>
        </w:rPr>
        <w:t>repeated</w:t>
      </w:r>
    </w:p>
  </w:comment>
  <w:comment w:id="6" w:author="google1586967615" w:date="2025-04-30T21:19:33Z" w:initials="">
    <w:p w14:paraId="0E2F21BB">
      <w:pPr>
        <w:pStyle w:val="5"/>
        <w:rPr>
          <w:rFonts w:hint="default"/>
          <w:lang w:val="en-US"/>
        </w:rPr>
      </w:pPr>
      <w:r>
        <w:rPr>
          <w:rFonts w:hint="default"/>
          <w:lang w:val="en-US"/>
        </w:rPr>
        <w:t>the time of</w:t>
      </w:r>
    </w:p>
  </w:comment>
  <w:comment w:id="7" w:author="google1586967615" w:date="2025-04-30T21:21:16Z" w:initials="">
    <w:p w14:paraId="605D17AD">
      <w:pPr>
        <w:pStyle w:val="5"/>
        <w:rPr>
          <w:rFonts w:hint="default"/>
          <w:lang w:val="en-US"/>
        </w:rPr>
      </w:pPr>
      <w:r>
        <w:rPr>
          <w:rFonts w:hint="default"/>
          <w:lang w:val="en-US"/>
        </w:rPr>
        <w:t>???soil properties after experimet</w:t>
      </w:r>
    </w:p>
  </w:comment>
  <w:comment w:id="8" w:author="google1586967615" w:date="2025-04-30T16:22:01Z" w:initials="">
    <w:p w14:paraId="26302798">
      <w:pPr>
        <w:pStyle w:val="5"/>
        <w:rPr>
          <w:rFonts w:hint="default"/>
          <w:lang w:val="en-US"/>
        </w:rPr>
      </w:pPr>
      <w:r>
        <w:rPr>
          <w:rFonts w:hint="default"/>
          <w:lang w:val="en-US"/>
        </w:rPr>
        <w:t>Mention the dose</w:t>
      </w:r>
    </w:p>
  </w:comment>
  <w:comment w:id="9" w:author="google1586967615" w:date="2025-04-30T16:21:12Z" w:initials="">
    <w:p w14:paraId="09348B8C">
      <w:pPr>
        <w:pStyle w:val="5"/>
        <w:rPr>
          <w:rFonts w:hint="default"/>
          <w:lang w:val="en-US"/>
        </w:rPr>
      </w:pPr>
      <w:r>
        <w:rPr>
          <w:rFonts w:hint="default"/>
          <w:lang w:val="en-US"/>
        </w:rPr>
        <w:t>of</w:t>
      </w:r>
    </w:p>
  </w:comment>
  <w:comment w:id="10" w:author="google1586967615" w:date="2025-04-30T21:23:56Z" w:initials="">
    <w:p w14:paraId="12A77C1B">
      <w:pPr>
        <w:pStyle w:val="5"/>
        <w:rPr>
          <w:rFonts w:hint="default"/>
          <w:lang w:val="en-US"/>
        </w:rPr>
      </w:pPr>
      <w:r>
        <w:rPr>
          <w:rFonts w:hint="default"/>
          <w:lang w:val="en-US"/>
        </w:rPr>
        <w:t>of</w:t>
      </w:r>
    </w:p>
  </w:comment>
  <w:comment w:id="11" w:author="google1586967615" w:date="2025-04-30T21:25:48Z" w:initials="">
    <w:p w14:paraId="58C9D570">
      <w:pPr>
        <w:pStyle w:val="5"/>
        <w:rPr>
          <w:rFonts w:hint="default"/>
          <w:lang w:val="en-US"/>
        </w:rPr>
      </w:pPr>
      <w:r>
        <w:rPr>
          <w:rFonts w:hint="default"/>
          <w:lang w:val="en-US"/>
        </w:rPr>
        <w:t xml:space="preserve">Delet </w:t>
      </w:r>
    </w:p>
  </w:comment>
  <w:comment w:id="12" w:author="google1586967615" w:date="2025-04-30T16:17:44Z" w:initials="">
    <w:p w14:paraId="24CCA540">
      <w:pPr>
        <w:pStyle w:val="5"/>
        <w:rPr>
          <w:rFonts w:hint="default"/>
          <w:lang w:val="en-US"/>
        </w:rPr>
      </w:pPr>
      <w:r>
        <w:rPr>
          <w:rFonts w:hint="default"/>
          <w:lang w:val="en-US"/>
        </w:rPr>
        <w:t>Number</w:t>
      </w:r>
    </w:p>
  </w:comment>
  <w:comment w:id="13" w:author="google1586967615" w:date="2025-04-30T21:28:34Z" w:initials="">
    <w:p w14:paraId="60E1020B">
      <w:pPr>
        <w:pStyle w:val="5"/>
        <w:rPr>
          <w:rFonts w:hint="default"/>
          <w:lang w:val="en-US"/>
        </w:rPr>
      </w:pPr>
      <w:r>
        <w:rPr>
          <w:rFonts w:hint="default"/>
          <w:lang w:val="en-US"/>
        </w:rPr>
        <w:t>promoted</w:t>
      </w:r>
    </w:p>
  </w:comment>
  <w:comment w:id="14" w:author="google1586967615" w:date="2025-04-30T16:25:19Z" w:initials="">
    <w:p w14:paraId="35B96F9F">
      <w:pPr>
        <w:pStyle w:val="5"/>
        <w:rPr>
          <w:rFonts w:hint="default"/>
          <w:lang w:val="en-US"/>
        </w:rPr>
      </w:pPr>
      <w:r>
        <w:rPr>
          <w:rFonts w:hint="default"/>
          <w:lang w:val="en-US"/>
        </w:rPr>
        <w:t>Add number of picking</w:t>
      </w:r>
    </w:p>
  </w:comment>
  <w:comment w:id="15" w:author="google1586967615" w:date="2025-04-30T16:26:08Z" w:initials="">
    <w:p w14:paraId="2E09DB3E">
      <w:pPr>
        <w:pStyle w:val="5"/>
        <w:rPr>
          <w:rFonts w:hint="default"/>
          <w:lang w:val="en-US"/>
        </w:rPr>
      </w:pPr>
      <w:r>
        <w:rPr>
          <w:rFonts w:hint="default"/>
          <w:lang w:val="en-US"/>
        </w:rPr>
        <w:t>unit</w:t>
      </w:r>
    </w:p>
  </w:comment>
  <w:comment w:id="16" w:author="google1586967615" w:date="2025-04-30T16:27:04Z" w:initials="">
    <w:p w14:paraId="0F82BC9A">
      <w:pPr>
        <w:pStyle w:val="5"/>
        <w:rPr>
          <w:rFonts w:hint="default"/>
          <w:lang w:val="en-US"/>
        </w:rPr>
      </w:pPr>
      <w:r>
        <w:rPr>
          <w:rFonts w:hint="default"/>
          <w:lang w:val="en-US"/>
        </w:rPr>
        <w:t>delet</w:t>
      </w:r>
    </w:p>
  </w:comment>
  <w:comment w:id="17" w:author="google1586967615" w:date="2025-04-30T16:27:26Z" w:initials="">
    <w:p w14:paraId="438E3C46">
      <w:pPr>
        <w:pStyle w:val="5"/>
        <w:rPr>
          <w:rFonts w:hint="default"/>
          <w:lang w:val="en-US"/>
        </w:rPr>
      </w:pPr>
      <w:r>
        <w:rPr>
          <w:rFonts w:hint="default"/>
          <w:lang w:val="en-US"/>
        </w:rPr>
        <w:t>Fruit dry weight (g)</w:t>
      </w:r>
    </w:p>
  </w:comment>
  <w:comment w:id="18" w:author="google1586967615" w:date="2025-04-30T16:28:15Z" w:initials="">
    <w:p w14:paraId="784AA7CA">
      <w:pPr>
        <w:pStyle w:val="5"/>
        <w:rPr>
          <w:rFonts w:hint="default"/>
          <w:lang w:val="en-US"/>
        </w:rPr>
      </w:pPr>
      <w:r>
        <w:rPr>
          <w:rFonts w:hint="default"/>
          <w:lang w:val="en-US"/>
        </w:rPr>
        <w:t>Weight (g)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71C78F" w15:done="0"/>
  <w15:commentEx w15:paraId="2B1C6F4F" w15:done="0"/>
  <w15:commentEx w15:paraId="14573B9D" w15:done="0"/>
  <w15:commentEx w15:paraId="1E2DF76C" w15:done="0"/>
  <w15:commentEx w15:paraId="711C8C80" w15:done="0"/>
  <w15:commentEx w15:paraId="655CD6A6" w15:done="0"/>
  <w15:commentEx w15:paraId="0E2F21BB" w15:done="0"/>
  <w15:commentEx w15:paraId="605D17AD" w15:done="0"/>
  <w15:commentEx w15:paraId="26302798" w15:done="0"/>
  <w15:commentEx w15:paraId="09348B8C" w15:done="0"/>
  <w15:commentEx w15:paraId="12A77C1B" w15:done="0"/>
  <w15:commentEx w15:paraId="58C9D570" w15:done="0"/>
  <w15:commentEx w15:paraId="24CCA540" w15:done="0"/>
  <w15:commentEx w15:paraId="60E1020B" w15:done="0"/>
  <w15:commentEx w15:paraId="35B96F9F" w15:done="0"/>
  <w15:commentEx w15:paraId="2E09DB3E" w15:done="0"/>
  <w15:commentEx w15:paraId="0F82BC9A" w15:done="0"/>
  <w15:commentEx w15:paraId="438E3C46" w15:done="0"/>
  <w15:commentEx w15:paraId="784AA7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Kalinga">
    <w:altName w:val="Segoe Print"/>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imesNewRomanPSMT">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DengXian">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771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8D9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749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5202">
    <w:pPr>
      <w:pStyle w:val="7"/>
    </w:pPr>
    <w:r>
      <w:pict>
        <v:shape id="PowerPlusWaterMarkObject365986017" o:spid="_x0000_s1027"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0AB0">
    <w:pPr>
      <w:pStyle w:val="7"/>
    </w:pPr>
    <w:r>
      <w:pict>
        <v:shape id="PowerPlusWaterMarkObject365986016" o:spid="_x0000_s1026"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0600">
    <w:pPr>
      <w:pStyle w:val="7"/>
    </w:pPr>
    <w:r>
      <w:pict>
        <v:shape id="PowerPlusWaterMarkObject365986015" o:spid="_x0000_s1025"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95080"/>
    <w:multiLevelType w:val="multilevel"/>
    <w:tmpl w:val="131950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AA2E2E"/>
    <w:multiLevelType w:val="multilevel"/>
    <w:tmpl w:val="1DAA2E2E"/>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ogle1586967615">
    <w15:presenceInfo w15:providerId="WPS Office" w15:userId="1143112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VerticalSpacing w:val="156"/>
  <w:noPunctuationKerning w:val="1"/>
  <w:characterSpacingControl w:val="doNotCompress"/>
  <w:hdrShapeDefaults>
    <o:shapelayout v:ext="edit">
      <o:idmap v:ext="edit" data="1"/>
    </o:shapelayout>
  </w:hdrShapeDefault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05D"/>
    <w:rsid w:val="00067476"/>
    <w:rsid w:val="000D2DAD"/>
    <w:rsid w:val="0012054E"/>
    <w:rsid w:val="001573A8"/>
    <w:rsid w:val="00172A27"/>
    <w:rsid w:val="003229EC"/>
    <w:rsid w:val="00325597"/>
    <w:rsid w:val="00343C8A"/>
    <w:rsid w:val="003C1E4F"/>
    <w:rsid w:val="003F7739"/>
    <w:rsid w:val="00457A1B"/>
    <w:rsid w:val="004A6BA2"/>
    <w:rsid w:val="005451A6"/>
    <w:rsid w:val="00576814"/>
    <w:rsid w:val="005A4A6F"/>
    <w:rsid w:val="005C0818"/>
    <w:rsid w:val="006806B4"/>
    <w:rsid w:val="006A1F5A"/>
    <w:rsid w:val="006B0672"/>
    <w:rsid w:val="00762452"/>
    <w:rsid w:val="007E235A"/>
    <w:rsid w:val="008738B5"/>
    <w:rsid w:val="008A5B85"/>
    <w:rsid w:val="009E5C8B"/>
    <w:rsid w:val="00A4298C"/>
    <w:rsid w:val="00AF7020"/>
    <w:rsid w:val="00B77BF2"/>
    <w:rsid w:val="00B97683"/>
    <w:rsid w:val="00CD576D"/>
    <w:rsid w:val="00E072C1"/>
    <w:rsid w:val="00F00519"/>
    <w:rsid w:val="00F71E6B"/>
    <w:rsid w:val="00F73CED"/>
    <w:rsid w:val="057C5E65"/>
    <w:rsid w:val="0ECD24C9"/>
    <w:rsid w:val="0F2F7482"/>
    <w:rsid w:val="18A16042"/>
    <w:rsid w:val="1AD329D8"/>
    <w:rsid w:val="23C27FBF"/>
    <w:rsid w:val="252B203A"/>
    <w:rsid w:val="2EDA2FEB"/>
    <w:rsid w:val="300C370E"/>
    <w:rsid w:val="35E30904"/>
    <w:rsid w:val="3A1F33AC"/>
    <w:rsid w:val="3EA23125"/>
    <w:rsid w:val="3F8C1CD0"/>
    <w:rsid w:val="48D0436E"/>
    <w:rsid w:val="497208D3"/>
    <w:rsid w:val="4B747E1E"/>
    <w:rsid w:val="50F32E74"/>
    <w:rsid w:val="54792F04"/>
    <w:rsid w:val="55137C17"/>
    <w:rsid w:val="594F67AE"/>
    <w:rsid w:val="59874589"/>
    <w:rsid w:val="5BFA67AC"/>
    <w:rsid w:val="5C751DC5"/>
    <w:rsid w:val="5F4C1567"/>
    <w:rsid w:val="61F5668C"/>
    <w:rsid w:val="62B146CC"/>
    <w:rsid w:val="6F380483"/>
    <w:rsid w:val="6F8C0E53"/>
    <w:rsid w:val="70C71CA7"/>
    <w:rsid w:val="73B6418A"/>
    <w:rsid w:val="766412CC"/>
    <w:rsid w:val="7F986465"/>
    <w:rsid w:val="7FD7579A"/>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5"/>
    <w:basedOn w:val="1"/>
    <w:next w:val="1"/>
    <w:link w:val="11"/>
    <w:semiHidden/>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link w:val="15"/>
    <w:qFormat/>
    <w:uiPriority w:val="0"/>
    <w:pPr>
      <w:tabs>
        <w:tab w:val="center" w:pos="4680"/>
        <w:tab w:val="right" w:pos="9360"/>
      </w:tabs>
    </w:pPr>
  </w:style>
  <w:style w:type="paragraph" w:styleId="7">
    <w:name w:val="header"/>
    <w:basedOn w:val="1"/>
    <w:link w:val="14"/>
    <w:qFormat/>
    <w:uiPriority w:val="0"/>
    <w:pPr>
      <w:tabs>
        <w:tab w:val="center" w:pos="4680"/>
        <w:tab w:val="right" w:pos="9360"/>
      </w:tabs>
    </w:pPr>
  </w:style>
  <w:style w:type="character" w:styleId="8">
    <w:name w:val="Hyperlink"/>
    <w:basedOn w:val="3"/>
    <w:qFormat/>
    <w:uiPriority w:val="0"/>
    <w:rPr>
      <w:color w:val="0563C1" w:themeColor="hyperlink"/>
      <w:u w:val="single"/>
      <w14:textFill>
        <w14:solidFill>
          <w14:schemeClr w14:val="hlink"/>
        </w14:solidFill>
      </w14:textFill>
    </w:rPr>
  </w:style>
  <w:style w:type="table" w:styleId="9">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ascii="Times New Roman" w:hAnsi="Times New Roman" w:eastAsia="Times New Roman" w:cstheme="minorBidi"/>
      <w:color w:val="000000"/>
      <w:sz w:val="24"/>
      <w:szCs w:val="24"/>
      <w:lang w:val="en-IN" w:eastAsia="en-IN" w:bidi="ar-SA"/>
    </w:rPr>
  </w:style>
  <w:style w:type="character" w:customStyle="1" w:styleId="11">
    <w:name w:val="Heading 5 Char"/>
    <w:basedOn w:val="3"/>
    <w:link w:val="2"/>
    <w:semiHidden/>
    <w:qFormat/>
    <w:uiPriority w:val="0"/>
    <w:rPr>
      <w:rFonts w:asciiTheme="majorHAnsi" w:hAnsiTheme="majorHAnsi" w:eastAsiaTheme="majorEastAsia" w:cstheme="majorBidi"/>
      <w:color w:val="2E75B6" w:themeColor="accent1" w:themeShade="BF"/>
      <w:lang w:val="en-US" w:eastAsia="zh-CN"/>
    </w:rPr>
  </w:style>
  <w:style w:type="paragraph" w:styleId="12">
    <w:name w:val="List Paragraph"/>
    <w:basedOn w:val="1"/>
    <w:unhideWhenUsed/>
    <w:qFormat/>
    <w:uiPriority w:val="99"/>
    <w:pPr>
      <w:ind w:left="720"/>
      <w:contextualSpacing/>
    </w:pPr>
  </w:style>
  <w:style w:type="character" w:customStyle="1" w:styleId="13">
    <w:name w:val="Unresolved Mention"/>
    <w:basedOn w:val="3"/>
    <w:semiHidden/>
    <w:unhideWhenUsed/>
    <w:qFormat/>
    <w:uiPriority w:val="99"/>
    <w:rPr>
      <w:color w:val="605E5C"/>
      <w:shd w:val="clear" w:color="auto" w:fill="E1DFDD"/>
    </w:rPr>
  </w:style>
  <w:style w:type="character" w:customStyle="1" w:styleId="14">
    <w:name w:val="Header Char"/>
    <w:basedOn w:val="3"/>
    <w:link w:val="7"/>
    <w:qFormat/>
    <w:uiPriority w:val="0"/>
    <w:rPr>
      <w:rFonts w:asciiTheme="minorHAnsi" w:hAnsiTheme="minorHAnsi" w:eastAsiaTheme="minorEastAsia" w:cstheme="minorBidi"/>
      <w:lang w:val="en-US" w:eastAsia="zh-CN"/>
    </w:rPr>
  </w:style>
  <w:style w:type="character" w:customStyle="1" w:styleId="15">
    <w:name w:val="Footer Char"/>
    <w:basedOn w:val="3"/>
    <w:link w:val="6"/>
    <w:qFormat/>
    <w:uiPriority w:val="0"/>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3861</Words>
  <Characters>22009</Characters>
  <Lines>183</Lines>
  <Paragraphs>51</Paragraphs>
  <TotalTime>301</TotalTime>
  <ScaleCrop>false</ScaleCrop>
  <LinksUpToDate>false</LinksUpToDate>
  <CharactersWithSpaces>25819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2025-04-27T03:34:00Z</dcterms:created>
  <dc:creator>user</dc:creator>
  <cp:lastModifiedBy>google1586967615</cp:lastModifiedBy>
  <dcterms:modified xsi:type="dcterms:W3CDTF">2025-04-30T16:05:02Z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4962A3C2B3E0422BB08D5FCEA1E57E88_13</vt:lpwstr>
  </property>
</Properties>
</file>