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A8D3E" w14:textId="77777777" w:rsidR="002450C5" w:rsidRDefault="00247268" w:rsidP="002450C5">
      <w:pPr>
        <w:jc w:val="center"/>
        <w:rPr>
          <w:rFonts w:ascii="Times New Roman" w:hAnsi="Times New Roman" w:cs="Times New Roman"/>
          <w:b/>
          <w:bCs/>
          <w:sz w:val="32"/>
          <w:szCs w:val="32"/>
        </w:rPr>
      </w:pPr>
      <w:commentRangeStart w:id="0"/>
      <w:proofErr w:type="spellStart"/>
      <w:r w:rsidRPr="003229CE">
        <w:rPr>
          <w:rFonts w:ascii="Times New Roman" w:hAnsi="Times New Roman" w:cs="Times New Roman"/>
          <w:b/>
          <w:bCs/>
          <w:sz w:val="32"/>
          <w:szCs w:val="32"/>
        </w:rPr>
        <w:t>Biostimulant</w:t>
      </w:r>
      <w:proofErr w:type="spellEnd"/>
      <w:r w:rsidRPr="003229CE">
        <w:rPr>
          <w:rFonts w:ascii="Times New Roman" w:hAnsi="Times New Roman" w:cs="Times New Roman"/>
          <w:b/>
          <w:bCs/>
          <w:sz w:val="32"/>
          <w:szCs w:val="32"/>
        </w:rPr>
        <w:t xml:space="preserve"> Effects of Plant Extracts on Seed Germination and Storage Stability</w:t>
      </w:r>
      <w:commentRangeEnd w:id="0"/>
      <w:r w:rsidR="00717DA9">
        <w:rPr>
          <w:rStyle w:val="CommentReference"/>
        </w:rPr>
        <w:commentReference w:id="0"/>
      </w:r>
    </w:p>
    <w:p w14:paraId="0F2318FC" w14:textId="77777777" w:rsidR="002450C5" w:rsidRPr="00B869E8" w:rsidRDefault="002450C5" w:rsidP="002450C5">
      <w:pPr>
        <w:spacing w:line="360" w:lineRule="auto"/>
        <w:rPr>
          <w:rFonts w:ascii="Times New Roman" w:hAnsi="Times New Roman" w:cs="Times New Roman"/>
          <w:sz w:val="24"/>
          <w:szCs w:val="24"/>
        </w:rPr>
      </w:pPr>
      <w:r w:rsidRPr="002450C5">
        <w:rPr>
          <w:rFonts w:ascii="Times New Roman" w:eastAsia="Times New Roman" w:hAnsi="Times New Roman" w:cs="Times New Roman"/>
          <w:b/>
          <w:bCs/>
          <w:color w:val="404040"/>
          <w:kern w:val="0"/>
          <w:sz w:val="24"/>
          <w:szCs w:val="24"/>
          <w14:ligatures w14:val="none"/>
        </w:rPr>
        <w:t>Abstract</w:t>
      </w:r>
    </w:p>
    <w:p w14:paraId="3C961AA6" w14:textId="6E5006D5" w:rsidR="002450C5" w:rsidRPr="00B869E8" w:rsidRDefault="002450C5" w:rsidP="002450C5">
      <w:pPr>
        <w:spacing w:line="360" w:lineRule="auto"/>
        <w:jc w:val="both"/>
        <w:rPr>
          <w:rFonts w:ascii="Times New Roman" w:eastAsia="Times New Roman" w:hAnsi="Times New Roman" w:cs="Times New Roman"/>
          <w:color w:val="404040"/>
          <w:kern w:val="0"/>
          <w:sz w:val="24"/>
          <w:szCs w:val="24"/>
          <w14:ligatures w14:val="none"/>
        </w:rPr>
      </w:pPr>
      <w:proofErr w:type="spellStart"/>
      <w:r w:rsidRPr="002450C5">
        <w:rPr>
          <w:rFonts w:ascii="Times New Roman" w:eastAsia="Times New Roman" w:hAnsi="Times New Roman" w:cs="Times New Roman"/>
          <w:color w:val="404040"/>
          <w:kern w:val="0"/>
          <w:sz w:val="24"/>
          <w:szCs w:val="24"/>
          <w14:ligatures w14:val="none"/>
        </w:rPr>
        <w:t>Biostimulants</w:t>
      </w:r>
      <w:proofErr w:type="spellEnd"/>
      <w:r w:rsidRPr="002450C5">
        <w:rPr>
          <w:rFonts w:ascii="Times New Roman" w:eastAsia="Times New Roman" w:hAnsi="Times New Roman" w:cs="Times New Roman"/>
          <w:color w:val="404040"/>
          <w:kern w:val="0"/>
          <w:sz w:val="24"/>
          <w:szCs w:val="24"/>
          <w14:ligatures w14:val="none"/>
        </w:rPr>
        <w:t xml:space="preserve"> derived from plant extracts have gained attention for their potential to enhance seed germination and improve storage stability. This study investigates the effects of various plant extracts (e.g., moringa, neem, aloe vera) on seed</w:t>
      </w:r>
      <w:bookmarkStart w:id="1" w:name="_GoBack"/>
      <w:bookmarkEnd w:id="1"/>
      <w:r w:rsidRPr="002450C5">
        <w:rPr>
          <w:rFonts w:ascii="Times New Roman" w:eastAsia="Times New Roman" w:hAnsi="Times New Roman" w:cs="Times New Roman"/>
          <w:color w:val="404040"/>
          <w:kern w:val="0"/>
          <w:sz w:val="24"/>
          <w:szCs w:val="24"/>
          <w14:ligatures w14:val="none"/>
        </w:rPr>
        <w:t xml:space="preserve"> germination rates and storage longevity in selected crops. Experiments were conducted under controlled conditions, evaluating germination percentage, seedling vigor, and post-storage viability. Results indicate that certain plant extracts significantly improve germination rates and seed shelf life compared to untreated controls. The findings suggest that plant-based </w:t>
      </w:r>
      <w:proofErr w:type="spellStart"/>
      <w:r w:rsidRPr="002450C5">
        <w:rPr>
          <w:rFonts w:ascii="Times New Roman" w:eastAsia="Times New Roman" w:hAnsi="Times New Roman" w:cs="Times New Roman"/>
          <w:color w:val="404040"/>
          <w:kern w:val="0"/>
          <w:sz w:val="24"/>
          <w:szCs w:val="24"/>
          <w14:ligatures w14:val="none"/>
        </w:rPr>
        <w:t>biostimulants</w:t>
      </w:r>
      <w:proofErr w:type="spellEnd"/>
      <w:r w:rsidRPr="002450C5">
        <w:rPr>
          <w:rFonts w:ascii="Times New Roman" w:eastAsia="Times New Roman" w:hAnsi="Times New Roman" w:cs="Times New Roman"/>
          <w:color w:val="404040"/>
          <w:kern w:val="0"/>
          <w:sz w:val="24"/>
          <w:szCs w:val="24"/>
          <w14:ligatures w14:val="none"/>
        </w:rPr>
        <w:t xml:space="preserve"> could serve as eco-friendly alternatives to synthetic treatments in agriculture.</w:t>
      </w:r>
    </w:p>
    <w:p w14:paraId="1DB3747A" w14:textId="215B15DB" w:rsidR="005E0365" w:rsidRPr="00B869E8" w:rsidRDefault="002450C5" w:rsidP="005E0365">
      <w:pPr>
        <w:spacing w:line="360" w:lineRule="auto"/>
        <w:jc w:val="both"/>
        <w:rPr>
          <w:rFonts w:ascii="Times New Roman" w:hAnsi="Times New Roman" w:cs="Times New Roman"/>
          <w:sz w:val="24"/>
          <w:szCs w:val="24"/>
        </w:rPr>
      </w:pPr>
      <w:r w:rsidRPr="00B869E8">
        <w:rPr>
          <w:rFonts w:ascii="Times New Roman" w:hAnsi="Times New Roman" w:cs="Times New Roman"/>
          <w:b/>
          <w:bCs/>
          <w:sz w:val="24"/>
          <w:szCs w:val="24"/>
        </w:rPr>
        <w:t>Keywords:</w:t>
      </w:r>
      <w:r w:rsidRPr="00B869E8">
        <w:rPr>
          <w:rFonts w:ascii="Times New Roman" w:hAnsi="Times New Roman" w:cs="Times New Roman"/>
          <w:sz w:val="24"/>
          <w:szCs w:val="24"/>
        </w:rPr>
        <w:t xml:space="preserve"> </w:t>
      </w:r>
      <w:proofErr w:type="spellStart"/>
      <w:r w:rsidR="003F6386">
        <w:rPr>
          <w:rFonts w:ascii="Times New Roman" w:hAnsi="Times New Roman" w:cs="Times New Roman"/>
          <w:sz w:val="24"/>
          <w:szCs w:val="24"/>
        </w:rPr>
        <w:t>B</w:t>
      </w:r>
      <w:r w:rsidRPr="00B869E8">
        <w:rPr>
          <w:rFonts w:ascii="Times New Roman" w:hAnsi="Times New Roman" w:cs="Times New Roman"/>
          <w:sz w:val="24"/>
          <w:szCs w:val="24"/>
        </w:rPr>
        <w:t>iostimulants</w:t>
      </w:r>
      <w:proofErr w:type="spellEnd"/>
      <w:r w:rsidRPr="00B869E8">
        <w:rPr>
          <w:rFonts w:ascii="Times New Roman" w:hAnsi="Times New Roman" w:cs="Times New Roman"/>
          <w:sz w:val="24"/>
          <w:szCs w:val="24"/>
        </w:rPr>
        <w:t>, plant extracts, seed germination, storage stability, moringa, neem, aloe vera, seedling vigor, eco-friendly agriculture</w:t>
      </w:r>
    </w:p>
    <w:p w14:paraId="0EA320E9" w14:textId="77777777" w:rsidR="005E0365" w:rsidRPr="00B869E8" w:rsidRDefault="005E0365" w:rsidP="005E0365">
      <w:pPr>
        <w:spacing w:line="360" w:lineRule="auto"/>
        <w:jc w:val="both"/>
        <w:rPr>
          <w:rFonts w:ascii="Times New Roman" w:hAnsi="Times New Roman" w:cs="Times New Roman"/>
          <w:b/>
          <w:bCs/>
          <w:sz w:val="24"/>
          <w:szCs w:val="24"/>
        </w:rPr>
      </w:pPr>
      <w:r w:rsidRPr="00B869E8">
        <w:rPr>
          <w:rFonts w:ascii="Times New Roman" w:hAnsi="Times New Roman" w:cs="Times New Roman"/>
          <w:b/>
          <w:bCs/>
          <w:sz w:val="24"/>
          <w:szCs w:val="24"/>
        </w:rPr>
        <w:t>Introduction:</w:t>
      </w:r>
    </w:p>
    <w:p w14:paraId="5B1D5DCD" w14:textId="74167B10"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Seed germination and storage stability are fundamental determinants of agricultural productivity, influencing crop establishment, yield potential, and food security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2013). The ability of seeds to germinate efficiently and remain viable during storage is crucial for farmers, seed banks, and the agricultural industry at large. However, several factors</w:t>
      </w:r>
      <w:r w:rsidR="00413D80">
        <w:rPr>
          <w:rFonts w:ascii="Times New Roman" w:hAnsi="Times New Roman" w:cs="Times New Roman"/>
          <w:sz w:val="24"/>
          <w:szCs w:val="24"/>
        </w:rPr>
        <w:t>-</w:t>
      </w:r>
      <w:r w:rsidRPr="00B869E8">
        <w:rPr>
          <w:rFonts w:ascii="Times New Roman" w:hAnsi="Times New Roman" w:cs="Times New Roman"/>
          <w:sz w:val="24"/>
          <w:szCs w:val="24"/>
        </w:rPr>
        <w:t>such as environmental stress, seed aging, and microbial contamination</w:t>
      </w:r>
      <w:r w:rsidR="00413D80">
        <w:rPr>
          <w:rFonts w:ascii="Times New Roman" w:hAnsi="Times New Roman" w:cs="Times New Roman"/>
          <w:sz w:val="24"/>
          <w:szCs w:val="24"/>
        </w:rPr>
        <w:t>-</w:t>
      </w:r>
      <w:r w:rsidRPr="00B869E8">
        <w:rPr>
          <w:rFonts w:ascii="Times New Roman" w:hAnsi="Times New Roman" w:cs="Times New Roman"/>
          <w:sz w:val="24"/>
          <w:szCs w:val="24"/>
        </w:rPr>
        <w:t>can impair germination rates and reduce storage longevity (</w:t>
      </w:r>
      <w:proofErr w:type="spellStart"/>
      <w:r w:rsidRPr="00B869E8">
        <w:rPr>
          <w:rFonts w:ascii="Times New Roman" w:hAnsi="Times New Roman" w:cs="Times New Roman"/>
          <w:sz w:val="24"/>
          <w:szCs w:val="24"/>
        </w:rPr>
        <w:t>Rajjou</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xml:space="preserve">., 2012). To mitigate these challenges, synthetic growth enhancers and chemical preservatives have been extensively employed. While these agents can improve germination and prolong shelf life, their prolonged use raises concerns regarding environmental toxicity, soil degradation, and potential health hazards for consumers (Arora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2010). Consequently, there is a growing demand for sustainable, eco-friendly alternatives that can enhance seed performance without adverse effects.</w:t>
      </w:r>
    </w:p>
    <w:p w14:paraId="7638879E"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Plant extracts have emerged as promising candidates due to their rich composition of bioactive compounds, including phytohormones (e.g., gibberellins,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xml:space="preserve">), antioxidants (e.g., flavonoids, phenolics), and antimicrobial agents (e.g., alkaloids, terpenoids) (Basra &amp; Lovatt, 2016). These natural compounds can stimulate metabolic activity in seeds, enhance stress </w:t>
      </w:r>
      <w:r w:rsidRPr="00B869E8">
        <w:rPr>
          <w:rFonts w:ascii="Times New Roman" w:hAnsi="Times New Roman" w:cs="Times New Roman"/>
          <w:sz w:val="24"/>
          <w:szCs w:val="24"/>
        </w:rPr>
        <w:lastRenderedPageBreak/>
        <w:t xml:space="preserve">resistance, and suppress pathogenic microorganisms that compromise seed viability. Among the most studied botanical extracts are those derived from moringa (Moringa </w:t>
      </w:r>
      <w:proofErr w:type="spellStart"/>
      <w:r w:rsidRPr="00B869E8">
        <w:rPr>
          <w:rFonts w:ascii="Times New Roman" w:hAnsi="Times New Roman" w:cs="Times New Roman"/>
          <w:sz w:val="24"/>
          <w:szCs w:val="24"/>
        </w:rPr>
        <w:t>oleifera</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neem</w:t>
      </w:r>
      <w:proofErr w:type="spellEnd"/>
      <w:r w:rsidRPr="00B869E8">
        <w:rPr>
          <w:rFonts w:ascii="Times New Roman" w:hAnsi="Times New Roman" w:cs="Times New Roman"/>
          <w:sz w:val="24"/>
          <w:szCs w:val="24"/>
        </w:rPr>
        <w:t xml:space="preserve">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w:t>
      </w:r>
      <w:proofErr w:type="spellStart"/>
      <w:r w:rsidRPr="00413D80">
        <w:rPr>
          <w:rFonts w:ascii="Times New Roman" w:hAnsi="Times New Roman" w:cs="Times New Roman"/>
          <w:i/>
          <w:iCs/>
          <w:sz w:val="24"/>
          <w:szCs w:val="24"/>
        </w:rPr>
        <w:t>indica</w:t>
      </w:r>
      <w:proofErr w:type="spellEnd"/>
      <w:r w:rsidRPr="00B869E8">
        <w:rPr>
          <w:rFonts w:ascii="Times New Roman" w:hAnsi="Times New Roman" w:cs="Times New Roman"/>
          <w:sz w:val="24"/>
          <w:szCs w:val="24"/>
        </w:rPr>
        <w:t xml:space="preserve">), and aloe </w:t>
      </w:r>
      <w:proofErr w:type="spellStart"/>
      <w:r w:rsidRPr="00B869E8">
        <w:rPr>
          <w:rFonts w:ascii="Times New Roman" w:hAnsi="Times New Roman" w:cs="Times New Roman"/>
          <w:sz w:val="24"/>
          <w:szCs w:val="24"/>
        </w:rPr>
        <w:t>vera</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xml:space="preserve">), each demonstrating unique </w:t>
      </w:r>
      <w:proofErr w:type="spellStart"/>
      <w:r w:rsidRPr="00B869E8">
        <w:rPr>
          <w:rFonts w:ascii="Times New Roman" w:hAnsi="Times New Roman" w:cs="Times New Roman"/>
          <w:sz w:val="24"/>
          <w:szCs w:val="24"/>
        </w:rPr>
        <w:t>biostimulant</w:t>
      </w:r>
      <w:proofErr w:type="spellEnd"/>
      <w:r w:rsidRPr="00B869E8">
        <w:rPr>
          <w:rFonts w:ascii="Times New Roman" w:hAnsi="Times New Roman" w:cs="Times New Roman"/>
          <w:sz w:val="24"/>
          <w:szCs w:val="24"/>
        </w:rPr>
        <w:t xml:space="preserve"> and preservative properties.</w:t>
      </w:r>
    </w:p>
    <w:p w14:paraId="090EBDEC"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Moringa leaf extract, for instance, is rich in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zeatin</w:t>
      </w:r>
      <w:proofErr w:type="spellEnd"/>
      <w:r w:rsidRPr="00B869E8">
        <w:rPr>
          <w:rFonts w:ascii="Times New Roman" w:hAnsi="Times New Roman" w:cs="Times New Roman"/>
          <w:sz w:val="24"/>
          <w:szCs w:val="24"/>
        </w:rPr>
        <w:t>, and antioxidants, which have been shown to improve germination vigor and seedling growth in crops such as maize, wheat, and soybeans (</w:t>
      </w:r>
      <w:proofErr w:type="spellStart"/>
      <w:r w:rsidRPr="00B869E8">
        <w:rPr>
          <w:rFonts w:ascii="Times New Roman" w:hAnsi="Times New Roman" w:cs="Times New Roman"/>
          <w:sz w:val="24"/>
          <w:szCs w:val="24"/>
        </w:rPr>
        <w:t>Mbakogu</w:t>
      </w:r>
      <w:proofErr w:type="spellEnd"/>
      <w:r w:rsidRPr="00B869E8">
        <w:rPr>
          <w:rFonts w:ascii="Times New Roman" w:hAnsi="Times New Roman" w:cs="Times New Roman"/>
          <w:sz w:val="24"/>
          <w:szCs w:val="24"/>
        </w:rPr>
        <w:t xml:space="preserve"> &amp; </w:t>
      </w:r>
      <w:proofErr w:type="spellStart"/>
      <w:r w:rsidRPr="00B869E8">
        <w:rPr>
          <w:rFonts w:ascii="Times New Roman" w:hAnsi="Times New Roman" w:cs="Times New Roman"/>
          <w:sz w:val="24"/>
          <w:szCs w:val="24"/>
        </w:rPr>
        <w:t>Ugwuoke</w:t>
      </w:r>
      <w:proofErr w:type="spellEnd"/>
      <w:r w:rsidRPr="00B869E8">
        <w:rPr>
          <w:rFonts w:ascii="Times New Roman" w:hAnsi="Times New Roman" w:cs="Times New Roman"/>
          <w:sz w:val="24"/>
          <w:szCs w:val="24"/>
        </w:rPr>
        <w:t xml:space="preserve">, 2018). Similarly, neem extracts possess broad-spectrum antimicrobial and antifungal properties, attributed to bioactive constituents like </w:t>
      </w:r>
      <w:proofErr w:type="spellStart"/>
      <w:r w:rsidRPr="00B869E8">
        <w:rPr>
          <w:rFonts w:ascii="Times New Roman" w:hAnsi="Times New Roman" w:cs="Times New Roman"/>
          <w:sz w:val="24"/>
          <w:szCs w:val="24"/>
        </w:rPr>
        <w:t>azadirachtin</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nimbin</w:t>
      </w:r>
      <w:proofErr w:type="spellEnd"/>
      <w:r w:rsidRPr="00B869E8">
        <w:rPr>
          <w:rFonts w:ascii="Times New Roman" w:hAnsi="Times New Roman" w:cs="Times New Roman"/>
          <w:sz w:val="24"/>
          <w:szCs w:val="24"/>
        </w:rPr>
        <w:t xml:space="preserve">, and </w:t>
      </w:r>
      <w:proofErr w:type="spellStart"/>
      <w:r w:rsidRPr="00B869E8">
        <w:rPr>
          <w:rFonts w:ascii="Times New Roman" w:hAnsi="Times New Roman" w:cs="Times New Roman"/>
          <w:sz w:val="24"/>
          <w:szCs w:val="24"/>
        </w:rPr>
        <w:t>salannin</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Schmutterer</w:t>
      </w:r>
      <w:proofErr w:type="spellEnd"/>
      <w:r w:rsidRPr="00B869E8">
        <w:rPr>
          <w:rFonts w:ascii="Times New Roman" w:hAnsi="Times New Roman" w:cs="Times New Roman"/>
          <w:sz w:val="24"/>
          <w:szCs w:val="24"/>
        </w:rPr>
        <w:t>, 1990). These compounds help protect seeds from fungal and bacterial infections during storage, thereby extending viability. Aloe vera gel, on the other hand, contains polysaccharides, auxins, and gibberellin-like substances that enhance water uptake and stimulate enzymatic activity during germination (</w:t>
      </w:r>
      <w:proofErr w:type="spellStart"/>
      <w:r w:rsidRPr="00B869E8">
        <w:rPr>
          <w:rFonts w:ascii="Times New Roman" w:hAnsi="Times New Roman" w:cs="Times New Roman"/>
          <w:sz w:val="24"/>
          <w:szCs w:val="24"/>
        </w:rPr>
        <w:t>Ahlawat</w:t>
      </w:r>
      <w:proofErr w:type="spellEnd"/>
      <w:r w:rsidRPr="00B869E8">
        <w:rPr>
          <w:rFonts w:ascii="Times New Roman" w:hAnsi="Times New Roman" w:cs="Times New Roman"/>
          <w:sz w:val="24"/>
          <w:szCs w:val="24"/>
        </w:rPr>
        <w:t xml:space="preserve"> &amp; </w:t>
      </w:r>
      <w:proofErr w:type="spellStart"/>
      <w:r w:rsidRPr="00B869E8">
        <w:rPr>
          <w:rFonts w:ascii="Times New Roman" w:hAnsi="Times New Roman" w:cs="Times New Roman"/>
          <w:sz w:val="24"/>
          <w:szCs w:val="24"/>
        </w:rPr>
        <w:t>Khatkar</w:t>
      </w:r>
      <w:proofErr w:type="spellEnd"/>
      <w:r w:rsidRPr="00B869E8">
        <w:rPr>
          <w:rFonts w:ascii="Times New Roman" w:hAnsi="Times New Roman" w:cs="Times New Roman"/>
          <w:sz w:val="24"/>
          <w:szCs w:val="24"/>
        </w:rPr>
        <w:t>, 2011).</w:t>
      </w:r>
    </w:p>
    <w:p w14:paraId="68202A0C" w14:textId="4638B89A"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Despite the documented benefits of these plant extracts, their efficacy can vary depending on factors such as extraction methods, concentration, seed type, and storage conditions (Srivastava</w:t>
      </w:r>
      <w:r w:rsidRPr="00413D80">
        <w:rPr>
          <w:rFonts w:ascii="Times New Roman" w:hAnsi="Times New Roman" w:cs="Times New Roman"/>
          <w:i/>
          <w:iCs/>
          <w:sz w:val="24"/>
          <w:szCs w:val="24"/>
        </w:rPr>
        <w:t xml:space="preserve"> et al.,</w:t>
      </w:r>
      <w:r w:rsidRPr="00B869E8">
        <w:rPr>
          <w:rFonts w:ascii="Times New Roman" w:hAnsi="Times New Roman" w:cs="Times New Roman"/>
          <w:sz w:val="24"/>
          <w:szCs w:val="24"/>
        </w:rPr>
        <w:t xml:space="preserve"> 2016). Furthermore, comparative studies evaluating their combined or individual effects under different environmental stresses (e.g., temperature fluctuations, humidity variations) remain limited. Addressing these gaps is essential for optimizing the use of plant-based treatments in agriculture. This study aims to evaluate the effectiveness of moringa, neem, and aloe vera extracts in enhancing seed germination and improving storage stability under varying conditions.</w:t>
      </w:r>
    </w:p>
    <w:p w14:paraId="4A103A32" w14:textId="4E3526D9" w:rsidR="002450C5" w:rsidRPr="00B869E8" w:rsidRDefault="002450C5" w:rsidP="005E0365">
      <w:pPr>
        <w:spacing w:line="360" w:lineRule="auto"/>
        <w:jc w:val="both"/>
        <w:rPr>
          <w:rFonts w:ascii="Times New Roman" w:eastAsia="Times New Roman" w:hAnsi="Times New Roman" w:cs="Times New Roman"/>
          <w:b/>
          <w:bCs/>
          <w:color w:val="404040"/>
          <w:kern w:val="0"/>
          <w:sz w:val="24"/>
          <w:szCs w:val="24"/>
          <w14:ligatures w14:val="none"/>
        </w:rPr>
      </w:pPr>
      <w:r w:rsidRPr="002450C5">
        <w:rPr>
          <w:rFonts w:ascii="Times New Roman" w:eastAsia="Times New Roman" w:hAnsi="Times New Roman" w:cs="Times New Roman"/>
          <w:b/>
          <w:bCs/>
          <w:color w:val="404040"/>
          <w:kern w:val="0"/>
          <w:sz w:val="24"/>
          <w:szCs w:val="24"/>
          <w14:ligatures w14:val="none"/>
        </w:rPr>
        <w:t>Methods and Materials</w:t>
      </w:r>
    </w:p>
    <w:p w14:paraId="7DF913DA"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The study utilized three medicinal plants—Moringa (</w:t>
      </w:r>
      <w:r w:rsidRPr="00413D80">
        <w:rPr>
          <w:rFonts w:ascii="Times New Roman" w:hAnsi="Times New Roman" w:cs="Times New Roman"/>
          <w:i/>
          <w:iCs/>
          <w:sz w:val="24"/>
          <w:szCs w:val="24"/>
        </w:rPr>
        <w:t>Moringa oleifera</w:t>
      </w:r>
      <w:r w:rsidRPr="00B869E8">
        <w:rPr>
          <w:rFonts w:ascii="Times New Roman" w:hAnsi="Times New Roman" w:cs="Times New Roman"/>
          <w:sz w:val="24"/>
          <w:szCs w:val="24"/>
        </w:rPr>
        <w:t xml:space="preserve">) leaves, </w:t>
      </w:r>
      <w:proofErr w:type="spellStart"/>
      <w:r w:rsidRPr="00B869E8">
        <w:rPr>
          <w:rFonts w:ascii="Times New Roman" w:hAnsi="Times New Roman" w:cs="Times New Roman"/>
          <w:sz w:val="24"/>
          <w:szCs w:val="24"/>
        </w:rPr>
        <w:t>neem</w:t>
      </w:r>
      <w:proofErr w:type="spellEnd"/>
      <w:r w:rsidRPr="00B869E8">
        <w:rPr>
          <w:rFonts w:ascii="Times New Roman" w:hAnsi="Times New Roman" w:cs="Times New Roman"/>
          <w:sz w:val="24"/>
          <w:szCs w:val="24"/>
        </w:rPr>
        <w:t xml:space="preserve">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w:t>
      </w:r>
      <w:proofErr w:type="spellStart"/>
      <w:r w:rsidRPr="00413D80">
        <w:rPr>
          <w:rFonts w:ascii="Times New Roman" w:hAnsi="Times New Roman" w:cs="Times New Roman"/>
          <w:i/>
          <w:iCs/>
          <w:sz w:val="24"/>
          <w:szCs w:val="24"/>
        </w:rPr>
        <w:t>indica</w:t>
      </w:r>
      <w:proofErr w:type="spellEnd"/>
      <w:r w:rsidRPr="00B869E8">
        <w:rPr>
          <w:rFonts w:ascii="Times New Roman" w:hAnsi="Times New Roman" w:cs="Times New Roman"/>
          <w:sz w:val="24"/>
          <w:szCs w:val="24"/>
        </w:rPr>
        <w:t xml:space="preserve">) leaves, and aloe </w:t>
      </w:r>
      <w:proofErr w:type="spellStart"/>
      <w:r w:rsidRPr="00B869E8">
        <w:rPr>
          <w:rFonts w:ascii="Times New Roman" w:hAnsi="Times New Roman" w:cs="Times New Roman"/>
          <w:sz w:val="24"/>
          <w:szCs w:val="24"/>
        </w:rPr>
        <w:t>vera</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gel—for extract preparation. Aqueous and ethanolic (70%) extracts were obtained through maceration, where plant materials were soaked in solvents for 72 hours with occasional shaking, followed by filtration and evaporation (Harborne, 1998). The extracts were tested at 5%, 10%, and 15% (v/v) concentrations to evaluate their effects on seed germination.</w:t>
      </w:r>
    </w:p>
    <w:p w14:paraId="1895D3B0"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Seeds of wheat (</w:t>
      </w:r>
      <w:r w:rsidRPr="00413D80">
        <w:rPr>
          <w:rFonts w:ascii="Times New Roman" w:hAnsi="Times New Roman" w:cs="Times New Roman"/>
          <w:i/>
          <w:iCs/>
          <w:sz w:val="24"/>
          <w:szCs w:val="24"/>
        </w:rPr>
        <w:t xml:space="preserve">Triticum </w:t>
      </w:r>
      <w:proofErr w:type="spellStart"/>
      <w:r w:rsidRPr="00413D80">
        <w:rPr>
          <w:rFonts w:ascii="Times New Roman" w:hAnsi="Times New Roman" w:cs="Times New Roman"/>
          <w:i/>
          <w:iCs/>
          <w:sz w:val="24"/>
          <w:szCs w:val="24"/>
        </w:rPr>
        <w:t>aestivum</w:t>
      </w:r>
      <w:proofErr w:type="spellEnd"/>
      <w:r w:rsidRPr="00B869E8">
        <w:rPr>
          <w:rFonts w:ascii="Times New Roman" w:hAnsi="Times New Roman" w:cs="Times New Roman"/>
          <w:sz w:val="24"/>
          <w:szCs w:val="24"/>
        </w:rPr>
        <w:t>), tomato (</w:t>
      </w:r>
      <w:proofErr w:type="spellStart"/>
      <w:r w:rsidRPr="00413D80">
        <w:rPr>
          <w:rFonts w:ascii="Times New Roman" w:hAnsi="Times New Roman" w:cs="Times New Roman"/>
          <w:i/>
          <w:iCs/>
          <w:sz w:val="24"/>
          <w:szCs w:val="24"/>
        </w:rPr>
        <w:t>Solanum</w:t>
      </w:r>
      <w:proofErr w:type="spellEnd"/>
      <w:r w:rsidRPr="00413D80">
        <w:rPr>
          <w:rFonts w:ascii="Times New Roman" w:hAnsi="Times New Roman" w:cs="Times New Roman"/>
          <w:i/>
          <w:iCs/>
          <w:sz w:val="24"/>
          <w:szCs w:val="24"/>
        </w:rPr>
        <w:t xml:space="preserve"> </w:t>
      </w:r>
      <w:proofErr w:type="spellStart"/>
      <w:r w:rsidRPr="00413D80">
        <w:rPr>
          <w:rFonts w:ascii="Times New Roman" w:hAnsi="Times New Roman" w:cs="Times New Roman"/>
          <w:i/>
          <w:iCs/>
          <w:sz w:val="24"/>
          <w:szCs w:val="24"/>
        </w:rPr>
        <w:t>lycopersicum</w:t>
      </w:r>
      <w:proofErr w:type="spellEnd"/>
      <w:r w:rsidRPr="00B869E8">
        <w:rPr>
          <w:rFonts w:ascii="Times New Roman" w:hAnsi="Times New Roman" w:cs="Times New Roman"/>
          <w:sz w:val="24"/>
          <w:szCs w:val="24"/>
        </w:rPr>
        <w:t>), and soybean (</w:t>
      </w:r>
      <w:r w:rsidRPr="00413D80">
        <w:rPr>
          <w:rFonts w:ascii="Times New Roman" w:hAnsi="Times New Roman" w:cs="Times New Roman"/>
          <w:i/>
          <w:iCs/>
          <w:sz w:val="24"/>
          <w:szCs w:val="24"/>
        </w:rPr>
        <w:t>Glycine max</w:t>
      </w:r>
      <w:r w:rsidRPr="00B869E8">
        <w:rPr>
          <w:rFonts w:ascii="Times New Roman" w:hAnsi="Times New Roman" w:cs="Times New Roman"/>
          <w:sz w:val="24"/>
          <w:szCs w:val="24"/>
        </w:rPr>
        <w:t xml:space="preserve">) were selected for the experiment. Prior to treatment, seeds were surface-sterilized with 1% </w:t>
      </w:r>
      <w:r w:rsidRPr="00B869E8">
        <w:rPr>
          <w:rFonts w:ascii="Times New Roman" w:hAnsi="Times New Roman" w:cs="Times New Roman"/>
          <w:sz w:val="24"/>
          <w:szCs w:val="24"/>
        </w:rPr>
        <w:lastRenderedPageBreak/>
        <w:t>sodium hypochlorite for 5 minutes and rinsed with distilled water (ISTA, 2020). The seeds were then soaked in plant extracts for 12 hours, while control seeds were treated with distilled water.</w:t>
      </w:r>
    </w:p>
    <w:p w14:paraId="0342BA05"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For the germination assay, seeds were placed in Petri dishes lined with moist filter paper (n=50 seeds per treatment) and maintained under controlled conditions (25±2°C, 12/12 h light/dark cycle)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2013). Germination was monitored daily for 7 days, and the germination percentage was calculated based on radicle emergence (≥2 mm).</w:t>
      </w:r>
    </w:p>
    <w:p w14:paraId="58B483E7" w14:textId="77777777" w:rsidR="00B92F86" w:rsidRDefault="00F74282" w:rsidP="00B92F86">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To assess storage stability, treated and untreated seeds were stored under room temperature (25°C) and cold storage (4°C). Germination viability was evaluated after 1, 3, and 6 months to determine the long-term effects of plant extracts (Ellis &amp; Roberts, 1981). Data analysis included calculating the germination percentage, vigor index, and mean germination time (MGT). The vigor index was determined as (germination percentage × seedling length) (Abdul-Baki &amp; Anderson, 1973). Statistical significance was assessed using one-way ANOVA (p&lt;0.05) followed by Tukey’s post-hoc test (IBM SPSS v.26).</w:t>
      </w:r>
    </w:p>
    <w:p w14:paraId="756690BB" w14:textId="77777777" w:rsidR="000F4A0A" w:rsidRDefault="000F4A0A" w:rsidP="000F4A0A">
      <w:pPr>
        <w:spacing w:line="360" w:lineRule="auto"/>
        <w:jc w:val="both"/>
        <w:rPr>
          <w:rFonts w:ascii="Times New Roman" w:hAnsi="Times New Roman" w:cs="Times New Roman"/>
          <w:b/>
          <w:bCs/>
          <w:sz w:val="24"/>
          <w:szCs w:val="24"/>
        </w:rPr>
      </w:pPr>
      <w:r w:rsidRPr="0022286E">
        <w:rPr>
          <w:rFonts w:ascii="Times New Roman" w:hAnsi="Times New Roman" w:cs="Times New Roman"/>
          <w:b/>
          <w:bCs/>
          <w:sz w:val="24"/>
          <w:szCs w:val="24"/>
        </w:rPr>
        <w:t>Results and Discussion</w:t>
      </w:r>
    </w:p>
    <w:p w14:paraId="696BF106"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The effects of different plant extracts on seed germination and storage stability were evaluated for wheat, tomato, and soybean seeds. The results are summarized in Table 1 and Table 2.</w:t>
      </w:r>
    </w:p>
    <w:p w14:paraId="6D0A5B54"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Germination</w:t>
      </w:r>
    </w:p>
    <w:p w14:paraId="415E91CA"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As shown in Table 1, all tested plant extracts significantly improved seed germination compared to the control (p &lt; 0.05). Moringa extract (10%) exhibited the most pronounced effect, increasing germination to 92% (wheat), 85% (tomato), and 88% (soybean). This enhancement may be attributed to its high cytokinin content, which promotes cell division and growth (Basra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xml:space="preserve">., 2005). Neem extract (10%) moderately improved germination (78% in tomato, 82% in soybean), likely due to its secondary metabolites that protect seeds from pathogens. Aloe Vera extract (10%) also showed significant improvement (88% in wheat, 80% in tomato, 84% in soybean), possibly due to its growth-promoting hormones and moisture-retention </w:t>
      </w:r>
      <w:commentRangeStart w:id="2"/>
      <w:r w:rsidRPr="000F4A0A">
        <w:rPr>
          <w:rFonts w:ascii="Times New Roman" w:hAnsi="Times New Roman" w:cs="Times New Roman"/>
          <w:sz w:val="24"/>
          <w:szCs w:val="24"/>
        </w:rPr>
        <w:t>properties</w:t>
      </w:r>
      <w:commentRangeEnd w:id="2"/>
      <w:r w:rsidR="001A555B">
        <w:rPr>
          <w:rStyle w:val="CommentReference"/>
        </w:rPr>
        <w:commentReference w:id="2"/>
      </w:r>
      <w:r w:rsidRPr="000F4A0A">
        <w:rPr>
          <w:rFonts w:ascii="Times New Roman" w:hAnsi="Times New Roman" w:cs="Times New Roman"/>
          <w:sz w:val="24"/>
          <w:szCs w:val="24"/>
        </w:rPr>
        <w:t>.</w:t>
      </w:r>
    </w:p>
    <w:p w14:paraId="640BB7FD"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Storage Stability</w:t>
      </w:r>
    </w:p>
    <w:p w14:paraId="309E5B4C"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After six months of storage (Table 2), seeds treated with plant extracts maintained higher germination rates than the control, particularly under cold storage (4°C). Moringa extract again </w:t>
      </w:r>
      <w:r w:rsidRPr="000F4A0A">
        <w:rPr>
          <w:rFonts w:ascii="Times New Roman" w:hAnsi="Times New Roman" w:cs="Times New Roman"/>
          <w:sz w:val="24"/>
          <w:szCs w:val="24"/>
        </w:rPr>
        <w:lastRenderedPageBreak/>
        <w:t>performed best, maintaining 90% germination at 4°C and 80% at 25°C, suggesting its role in preserving seed vigor. Neem extract showed strong storage stability (85% at 4°C, 70% at 25°C), likely due to its antimicrobial properties that reduce fungal and bacterial degradation (</w:t>
      </w:r>
      <w:proofErr w:type="spellStart"/>
      <w:r w:rsidRPr="000F4A0A">
        <w:rPr>
          <w:rFonts w:ascii="Times New Roman" w:hAnsi="Times New Roman" w:cs="Times New Roman"/>
          <w:sz w:val="24"/>
          <w:szCs w:val="24"/>
        </w:rPr>
        <w:t>Schmutterer</w:t>
      </w:r>
      <w:proofErr w:type="spellEnd"/>
      <w:r w:rsidRPr="000F4A0A">
        <w:rPr>
          <w:rFonts w:ascii="Times New Roman" w:hAnsi="Times New Roman" w:cs="Times New Roman"/>
          <w:sz w:val="24"/>
          <w:szCs w:val="24"/>
        </w:rPr>
        <w:t>, 1990). Aloe Vera-treated seeds retained 88% viability at 4°C and 75% at 25°C, possibly due to its polysaccharides that reduce oxidative stress.</w:t>
      </w:r>
    </w:p>
    <w:p w14:paraId="46214C26"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Temperature Influence on Seed Longevity</w:t>
      </w:r>
    </w:p>
    <w:p w14:paraId="067329F8"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Cold storage (4°C) consistently outperformed room temperature (25°C) in preserving seed viability. This aligns with previous studies indicating that lower temperatures slow metabolic activity and reduce seed deterioration (Walters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2005).</w:t>
      </w:r>
    </w:p>
    <w:p w14:paraId="004AC5F0" w14:textId="77777777" w:rsidR="0095458D" w:rsidRPr="002450C5" w:rsidRDefault="0095458D" w:rsidP="0095458D">
      <w:pPr>
        <w:spacing w:line="360" w:lineRule="auto"/>
        <w:jc w:val="both"/>
        <w:rPr>
          <w:rFonts w:ascii="Times New Roman" w:hAnsi="Times New Roman" w:cs="Times New Roman"/>
          <w:b/>
          <w:bCs/>
          <w:sz w:val="24"/>
          <w:szCs w:val="24"/>
        </w:rPr>
      </w:pPr>
      <w:r w:rsidRPr="002450C5">
        <w:rPr>
          <w:rFonts w:ascii="Times New Roman" w:hAnsi="Times New Roman" w:cs="Times New Roman"/>
          <w:b/>
          <w:bCs/>
          <w:sz w:val="24"/>
          <w:szCs w:val="24"/>
        </w:rPr>
        <w:t>Table 1: Effect of Plant Extracts on Seed Germination (%)</w:t>
      </w:r>
    </w:p>
    <w:tbl>
      <w:tblPr>
        <w:tblStyle w:val="TableGrid"/>
        <w:tblW w:w="0" w:type="auto"/>
        <w:tblLook w:val="04A0" w:firstRow="1" w:lastRow="0" w:firstColumn="1" w:lastColumn="0" w:noHBand="0" w:noVBand="1"/>
      </w:tblPr>
      <w:tblGrid>
        <w:gridCol w:w="2425"/>
        <w:gridCol w:w="1620"/>
        <w:gridCol w:w="1530"/>
        <w:gridCol w:w="2160"/>
      </w:tblGrid>
      <w:tr w:rsidR="0022286E" w:rsidRPr="002450C5" w14:paraId="3C8A8FF4" w14:textId="77777777" w:rsidTr="0022286E">
        <w:tc>
          <w:tcPr>
            <w:tcW w:w="2425" w:type="dxa"/>
            <w:hideMark/>
          </w:tcPr>
          <w:p w14:paraId="4F9832D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1620" w:type="dxa"/>
            <w:hideMark/>
          </w:tcPr>
          <w:p w14:paraId="1CE289B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Wheat</w:t>
            </w:r>
          </w:p>
        </w:tc>
        <w:tc>
          <w:tcPr>
            <w:tcW w:w="1530" w:type="dxa"/>
            <w:hideMark/>
          </w:tcPr>
          <w:p w14:paraId="39C926A4"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Tomato</w:t>
            </w:r>
          </w:p>
        </w:tc>
        <w:tc>
          <w:tcPr>
            <w:tcW w:w="2160" w:type="dxa"/>
            <w:hideMark/>
          </w:tcPr>
          <w:p w14:paraId="74DC2529"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Soybean</w:t>
            </w:r>
          </w:p>
        </w:tc>
      </w:tr>
      <w:tr w:rsidR="0022286E" w:rsidRPr="002450C5" w14:paraId="63C0AF30" w14:textId="77777777" w:rsidTr="0022286E">
        <w:tc>
          <w:tcPr>
            <w:tcW w:w="2425" w:type="dxa"/>
            <w:hideMark/>
          </w:tcPr>
          <w:p w14:paraId="2AC1596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1620" w:type="dxa"/>
            <w:hideMark/>
          </w:tcPr>
          <w:p w14:paraId="5690D05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1530" w:type="dxa"/>
            <w:hideMark/>
          </w:tcPr>
          <w:p w14:paraId="0C956B5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68</w:t>
            </w:r>
          </w:p>
        </w:tc>
        <w:tc>
          <w:tcPr>
            <w:tcW w:w="2160" w:type="dxa"/>
            <w:hideMark/>
          </w:tcPr>
          <w:p w14:paraId="5B443C0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72</w:t>
            </w:r>
          </w:p>
        </w:tc>
      </w:tr>
      <w:tr w:rsidR="0022286E" w:rsidRPr="002450C5" w14:paraId="3F7C49F4" w14:textId="77777777" w:rsidTr="0022286E">
        <w:tc>
          <w:tcPr>
            <w:tcW w:w="2425" w:type="dxa"/>
            <w:hideMark/>
          </w:tcPr>
          <w:p w14:paraId="720DB6E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1620" w:type="dxa"/>
            <w:hideMark/>
          </w:tcPr>
          <w:p w14:paraId="132F90E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92*</w:t>
            </w:r>
          </w:p>
        </w:tc>
        <w:tc>
          <w:tcPr>
            <w:tcW w:w="1530" w:type="dxa"/>
            <w:hideMark/>
          </w:tcPr>
          <w:p w14:paraId="22D753BA"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c>
          <w:tcPr>
            <w:tcW w:w="2160" w:type="dxa"/>
            <w:hideMark/>
          </w:tcPr>
          <w:p w14:paraId="39B3BD92"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r>
      <w:tr w:rsidR="0022286E" w:rsidRPr="002450C5" w14:paraId="26953AAE" w14:textId="77777777" w:rsidTr="0022286E">
        <w:tc>
          <w:tcPr>
            <w:tcW w:w="2425" w:type="dxa"/>
            <w:hideMark/>
          </w:tcPr>
          <w:p w14:paraId="1E2DED29"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1620" w:type="dxa"/>
            <w:hideMark/>
          </w:tcPr>
          <w:p w14:paraId="62EFF75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1530" w:type="dxa"/>
            <w:hideMark/>
          </w:tcPr>
          <w:p w14:paraId="2AF190D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78*</w:t>
            </w:r>
          </w:p>
        </w:tc>
        <w:tc>
          <w:tcPr>
            <w:tcW w:w="2160" w:type="dxa"/>
            <w:hideMark/>
          </w:tcPr>
          <w:p w14:paraId="104E4AB8"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82*</w:t>
            </w:r>
          </w:p>
        </w:tc>
      </w:tr>
      <w:tr w:rsidR="0022286E" w:rsidRPr="002450C5" w14:paraId="22AB68DF" w14:textId="77777777" w:rsidTr="0022286E">
        <w:tc>
          <w:tcPr>
            <w:tcW w:w="2425" w:type="dxa"/>
            <w:hideMark/>
          </w:tcPr>
          <w:p w14:paraId="45F8E3C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1620" w:type="dxa"/>
            <w:hideMark/>
          </w:tcPr>
          <w:p w14:paraId="7847167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c>
          <w:tcPr>
            <w:tcW w:w="1530" w:type="dxa"/>
            <w:hideMark/>
          </w:tcPr>
          <w:p w14:paraId="5A35D6E1"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2160" w:type="dxa"/>
            <w:hideMark/>
          </w:tcPr>
          <w:p w14:paraId="5E81551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84*</w:t>
            </w:r>
          </w:p>
        </w:tc>
      </w:tr>
    </w:tbl>
    <w:p w14:paraId="24E2E7FD" w14:textId="77777777" w:rsidR="0095458D" w:rsidRPr="00AA63F0" w:rsidRDefault="0095458D" w:rsidP="0022286E">
      <w:pPr>
        <w:shd w:val="clear" w:color="auto" w:fill="FFFFFF"/>
        <w:spacing w:after="206" w:line="429" w:lineRule="atLeast"/>
        <w:rPr>
          <w:rFonts w:ascii="Times New Roman" w:hAnsi="Times New Roman" w:cs="Times New Roman"/>
          <w:sz w:val="24"/>
          <w:szCs w:val="24"/>
        </w:rPr>
      </w:pPr>
      <w:r w:rsidRPr="002450C5">
        <w:rPr>
          <w:rFonts w:ascii="Times New Roman" w:hAnsi="Times New Roman" w:cs="Times New Roman"/>
          <w:sz w:val="24"/>
          <w:szCs w:val="24"/>
        </w:rPr>
        <w:t>(*Significantly higher than control, p&lt;0.05)</w:t>
      </w:r>
    </w:p>
    <w:p w14:paraId="2FEA987F" w14:textId="4433F7AD" w:rsidR="0095458D" w:rsidRPr="002450C5" w:rsidRDefault="0095458D" w:rsidP="0095458D">
      <w:pPr>
        <w:shd w:val="clear" w:color="auto" w:fill="FFFFFF"/>
        <w:spacing w:before="206" w:after="206" w:line="429" w:lineRule="atLeast"/>
        <w:rPr>
          <w:rFonts w:ascii="Times New Roman" w:hAnsi="Times New Roman" w:cs="Times New Roman"/>
          <w:b/>
          <w:bCs/>
          <w:sz w:val="24"/>
          <w:szCs w:val="24"/>
        </w:rPr>
      </w:pPr>
      <w:r w:rsidRPr="002450C5">
        <w:rPr>
          <w:rFonts w:ascii="Times New Roman" w:hAnsi="Times New Roman" w:cs="Times New Roman"/>
          <w:b/>
          <w:bCs/>
          <w:sz w:val="24"/>
          <w:szCs w:val="24"/>
        </w:rPr>
        <w:t xml:space="preserve">Table 2: Seed Storage Stability </w:t>
      </w:r>
      <w:r w:rsidR="003E087B" w:rsidRPr="00D02A0F">
        <w:rPr>
          <w:rFonts w:ascii="Times New Roman" w:hAnsi="Times New Roman" w:cs="Times New Roman"/>
          <w:b/>
          <w:bCs/>
          <w:sz w:val="24"/>
          <w:szCs w:val="24"/>
        </w:rPr>
        <w:t>a</w:t>
      </w:r>
      <w:r w:rsidRPr="002450C5">
        <w:rPr>
          <w:rFonts w:ascii="Times New Roman" w:hAnsi="Times New Roman" w:cs="Times New Roman"/>
          <w:b/>
          <w:bCs/>
          <w:sz w:val="24"/>
          <w:szCs w:val="24"/>
        </w:rPr>
        <w:t>fter 6 Months</w:t>
      </w:r>
    </w:p>
    <w:tbl>
      <w:tblPr>
        <w:tblStyle w:val="TableGrid"/>
        <w:tblW w:w="0" w:type="auto"/>
        <w:tblLook w:val="04A0" w:firstRow="1" w:lastRow="0" w:firstColumn="1" w:lastColumn="0" w:noHBand="0" w:noVBand="1"/>
      </w:tblPr>
      <w:tblGrid>
        <w:gridCol w:w="1838"/>
        <w:gridCol w:w="2825"/>
        <w:gridCol w:w="3072"/>
      </w:tblGrid>
      <w:tr w:rsidR="0095458D" w:rsidRPr="002450C5" w14:paraId="32A25CDB" w14:textId="77777777" w:rsidTr="003E087B">
        <w:tc>
          <w:tcPr>
            <w:tcW w:w="0" w:type="auto"/>
            <w:hideMark/>
          </w:tcPr>
          <w:p w14:paraId="55E913D5"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0" w:type="auto"/>
            <w:hideMark/>
          </w:tcPr>
          <w:p w14:paraId="69AAA818"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25°C</w:t>
            </w:r>
          </w:p>
        </w:tc>
        <w:tc>
          <w:tcPr>
            <w:tcW w:w="3072" w:type="dxa"/>
            <w:hideMark/>
          </w:tcPr>
          <w:p w14:paraId="52FF9921"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4°C</w:t>
            </w:r>
          </w:p>
        </w:tc>
      </w:tr>
      <w:tr w:rsidR="0095458D" w:rsidRPr="002450C5" w14:paraId="510E1138" w14:textId="77777777" w:rsidTr="003E087B">
        <w:tc>
          <w:tcPr>
            <w:tcW w:w="0" w:type="auto"/>
            <w:hideMark/>
          </w:tcPr>
          <w:p w14:paraId="19D11D8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0" w:type="auto"/>
            <w:hideMark/>
          </w:tcPr>
          <w:p w14:paraId="06672B20"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55</w:t>
            </w:r>
          </w:p>
        </w:tc>
        <w:tc>
          <w:tcPr>
            <w:tcW w:w="3072" w:type="dxa"/>
            <w:hideMark/>
          </w:tcPr>
          <w:p w14:paraId="3EEE24F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r>
      <w:tr w:rsidR="0095458D" w:rsidRPr="002450C5" w14:paraId="1254F678" w14:textId="77777777" w:rsidTr="003E087B">
        <w:tc>
          <w:tcPr>
            <w:tcW w:w="0" w:type="auto"/>
            <w:hideMark/>
          </w:tcPr>
          <w:p w14:paraId="23B76F3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0" w:type="auto"/>
            <w:hideMark/>
          </w:tcPr>
          <w:p w14:paraId="4F32F4C3"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3072" w:type="dxa"/>
            <w:hideMark/>
          </w:tcPr>
          <w:p w14:paraId="70E4BDD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90*</w:t>
            </w:r>
          </w:p>
        </w:tc>
      </w:tr>
      <w:tr w:rsidR="0095458D" w:rsidRPr="002450C5" w14:paraId="5C769383" w14:textId="77777777" w:rsidTr="003E087B">
        <w:tc>
          <w:tcPr>
            <w:tcW w:w="0" w:type="auto"/>
            <w:hideMark/>
          </w:tcPr>
          <w:p w14:paraId="6080272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0" w:type="auto"/>
            <w:hideMark/>
          </w:tcPr>
          <w:p w14:paraId="2F6A903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c>
          <w:tcPr>
            <w:tcW w:w="3072" w:type="dxa"/>
            <w:hideMark/>
          </w:tcPr>
          <w:p w14:paraId="262B0BF6"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r>
      <w:tr w:rsidR="0095458D" w:rsidRPr="002450C5" w14:paraId="3CC8DF1F" w14:textId="77777777" w:rsidTr="003E087B">
        <w:tc>
          <w:tcPr>
            <w:tcW w:w="0" w:type="auto"/>
            <w:hideMark/>
          </w:tcPr>
          <w:p w14:paraId="4C05FCCE"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0" w:type="auto"/>
            <w:hideMark/>
          </w:tcPr>
          <w:p w14:paraId="1CC03A1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3072" w:type="dxa"/>
            <w:hideMark/>
          </w:tcPr>
          <w:p w14:paraId="158224C2" w14:textId="77777777" w:rsidR="0095458D" w:rsidRPr="002450C5" w:rsidRDefault="0095458D" w:rsidP="0022286E">
            <w:pPr>
              <w:spacing w:line="360" w:lineRule="auto"/>
              <w:rPr>
                <w:rFonts w:ascii="Times New Roman" w:hAnsi="Times New Roman" w:cs="Times New Roman"/>
                <w:sz w:val="24"/>
                <w:szCs w:val="24"/>
              </w:rPr>
            </w:pPr>
            <w:commentRangeStart w:id="3"/>
            <w:r w:rsidRPr="002450C5">
              <w:rPr>
                <w:rFonts w:ascii="Times New Roman" w:hAnsi="Times New Roman" w:cs="Times New Roman"/>
                <w:sz w:val="24"/>
                <w:szCs w:val="24"/>
              </w:rPr>
              <w:t>88</w:t>
            </w:r>
            <w:commentRangeEnd w:id="3"/>
            <w:r w:rsidR="001A555B">
              <w:rPr>
                <w:rStyle w:val="CommentReference"/>
              </w:rPr>
              <w:commentReference w:id="3"/>
            </w:r>
            <w:r w:rsidRPr="002450C5">
              <w:rPr>
                <w:rFonts w:ascii="Times New Roman" w:hAnsi="Times New Roman" w:cs="Times New Roman"/>
                <w:sz w:val="24"/>
                <w:szCs w:val="24"/>
              </w:rPr>
              <w:t>*</w:t>
            </w:r>
          </w:p>
        </w:tc>
      </w:tr>
    </w:tbl>
    <w:p w14:paraId="01248E65" w14:textId="77777777" w:rsidR="0095458D" w:rsidRPr="00FA631B" w:rsidRDefault="0095458D" w:rsidP="0095458D">
      <w:pPr>
        <w:rPr>
          <w:b/>
          <w:bCs/>
        </w:rPr>
      </w:pPr>
    </w:p>
    <w:p w14:paraId="771DCAAA" w14:textId="77777777" w:rsidR="00FA631B" w:rsidRPr="00FA631B" w:rsidRDefault="00FA631B" w:rsidP="00FA631B">
      <w:pPr>
        <w:spacing w:line="360" w:lineRule="auto"/>
        <w:jc w:val="both"/>
        <w:rPr>
          <w:rFonts w:ascii="Times New Roman" w:hAnsi="Times New Roman" w:cs="Times New Roman"/>
          <w:b/>
          <w:bCs/>
          <w:sz w:val="24"/>
          <w:szCs w:val="24"/>
        </w:rPr>
      </w:pPr>
      <w:r w:rsidRPr="00FA631B">
        <w:rPr>
          <w:rFonts w:ascii="Times New Roman" w:hAnsi="Times New Roman" w:cs="Times New Roman"/>
          <w:b/>
          <w:bCs/>
          <w:sz w:val="24"/>
          <w:szCs w:val="24"/>
        </w:rPr>
        <w:t>Conclusion</w:t>
      </w:r>
    </w:p>
    <w:p w14:paraId="4CF4DA76"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Moringa extract emerges as the most effective treatment for </w:t>
      </w:r>
      <w:commentRangeStart w:id="4"/>
      <w:r w:rsidRPr="000F4A0A">
        <w:rPr>
          <w:rFonts w:ascii="Times New Roman" w:hAnsi="Times New Roman" w:cs="Times New Roman"/>
          <w:sz w:val="24"/>
          <w:szCs w:val="24"/>
        </w:rPr>
        <w:t>enhancing</w:t>
      </w:r>
      <w:commentRangeEnd w:id="4"/>
      <w:r w:rsidR="001A555B">
        <w:rPr>
          <w:rStyle w:val="CommentReference"/>
        </w:rPr>
        <w:commentReference w:id="4"/>
      </w:r>
      <w:r w:rsidRPr="000F4A0A">
        <w:rPr>
          <w:rFonts w:ascii="Times New Roman" w:hAnsi="Times New Roman" w:cs="Times New Roman"/>
          <w:sz w:val="24"/>
          <w:szCs w:val="24"/>
        </w:rPr>
        <w:t xml:space="preserve"> both seed germination and storage longevity, likely due to its rich nutrient profile and bioactive compounds. Neem extract also plays a valuable role in maintaining seed viability during storage, primarily attributed to its strong antimicrobial properties that protect seeds from deterioration. Meanwhile, </w:t>
      </w:r>
      <w:r w:rsidRPr="000F4A0A">
        <w:rPr>
          <w:rFonts w:ascii="Times New Roman" w:hAnsi="Times New Roman" w:cs="Times New Roman"/>
          <w:sz w:val="24"/>
          <w:szCs w:val="24"/>
        </w:rPr>
        <w:lastRenderedPageBreak/>
        <w:t>Aloe Vera provides a balanced improvement, moderately supporting germination while also contributing to storage stability, possibly owing to its hydrating and protective gel components. Additionally, cold storage at 4°C proves significantly more effective than ambient conditions in prolonging seed viability, as lower temperatures slow metabolic activity and reduce seed aging. Together, these findings highlight the potential of natural extracts and controlled storage conditions in optimizing seed performance and shelf life.</w:t>
      </w:r>
    </w:p>
    <w:p w14:paraId="2781966E" w14:textId="77777777" w:rsidR="00D408CD" w:rsidRPr="00D408CD" w:rsidRDefault="000F4A0A" w:rsidP="00D408CD">
      <w:pPr>
        <w:spacing w:line="360" w:lineRule="auto"/>
        <w:jc w:val="both"/>
        <w:rPr>
          <w:rFonts w:ascii="Times New Roman" w:hAnsi="Times New Roman" w:cs="Times New Roman"/>
          <w:b/>
          <w:bCs/>
          <w:sz w:val="24"/>
          <w:szCs w:val="24"/>
        </w:rPr>
      </w:pPr>
      <w:r w:rsidRPr="00D408CD">
        <w:rPr>
          <w:rFonts w:ascii="Times New Roman" w:hAnsi="Times New Roman" w:cs="Times New Roman"/>
          <w:b/>
          <w:bCs/>
          <w:sz w:val="24"/>
          <w:szCs w:val="24"/>
        </w:rPr>
        <w:t>References</w:t>
      </w:r>
    </w:p>
    <w:p w14:paraId="0D25B03E" w14:textId="5B9613C7" w:rsidR="00D408CD" w:rsidRPr="00D408CD" w:rsidRDefault="00D408CD" w:rsidP="00D408CD">
      <w:pPr>
        <w:spacing w:line="360" w:lineRule="auto"/>
        <w:jc w:val="both"/>
        <w:rPr>
          <w:rFonts w:ascii="Times New Roman" w:hAnsi="Times New Roman" w:cs="Times New Roman"/>
          <w:sz w:val="24"/>
          <w:szCs w:val="24"/>
        </w:rPr>
      </w:pPr>
      <w:r w:rsidRPr="00D408CD">
        <w:rPr>
          <w:rFonts w:ascii="Times New Roman" w:hAnsi="Times New Roman" w:cs="Times New Roman"/>
          <w:sz w:val="24"/>
          <w:szCs w:val="24"/>
        </w:rPr>
        <w:t>Abdul-Baki, A. A., &amp; Anderson, J. D. (1973). Vigor determination in soybean seed by multiple criteria. </w:t>
      </w:r>
      <w:r w:rsidRPr="00D408CD">
        <w:rPr>
          <w:rFonts w:ascii="Times New Roman" w:hAnsi="Times New Roman" w:cs="Times New Roman"/>
          <w:i/>
          <w:iCs/>
          <w:sz w:val="24"/>
          <w:szCs w:val="24"/>
        </w:rPr>
        <w:t xml:space="preserve">Crop Science, </w:t>
      </w:r>
      <w:r w:rsidRPr="00D408CD">
        <w:rPr>
          <w:rFonts w:ascii="Times New Roman" w:hAnsi="Times New Roman" w:cs="Times New Roman"/>
          <w:sz w:val="24"/>
          <w:szCs w:val="24"/>
        </w:rPr>
        <w:t>13(6), 630–633.</w:t>
      </w:r>
    </w:p>
    <w:p w14:paraId="271F35E8" w14:textId="68E93112" w:rsidR="000F4A0A" w:rsidRPr="000F4A0A" w:rsidRDefault="001A555B" w:rsidP="000F4A0A">
      <w:pPr>
        <w:spacing w:line="360" w:lineRule="auto"/>
        <w:jc w:val="both"/>
        <w:rPr>
          <w:rFonts w:ascii="Times New Roman" w:hAnsi="Times New Roman" w:cs="Times New Roman"/>
          <w:sz w:val="24"/>
          <w:szCs w:val="24"/>
        </w:rPr>
      </w:pPr>
      <w:proofErr w:type="spellStart"/>
      <w:proofErr w:type="gramStart"/>
      <w:r w:rsidRPr="000F4A0A">
        <w:rPr>
          <w:rFonts w:ascii="Times New Roman" w:hAnsi="Times New Roman" w:cs="Times New Roman"/>
          <w:sz w:val="24"/>
          <w:szCs w:val="24"/>
        </w:rPr>
        <w:t>Ahlawat</w:t>
      </w:r>
      <w:proofErr w:type="spellEnd"/>
      <w:r w:rsidR="000F4A0A" w:rsidRPr="000F4A0A">
        <w:rPr>
          <w:rFonts w:ascii="Times New Roman" w:hAnsi="Times New Roman" w:cs="Times New Roman"/>
          <w:sz w:val="24"/>
          <w:szCs w:val="24"/>
        </w:rPr>
        <w:t xml:space="preserve">, K. S., &amp; </w:t>
      </w:r>
      <w:proofErr w:type="spellStart"/>
      <w:r w:rsidR="000F4A0A" w:rsidRPr="000F4A0A">
        <w:rPr>
          <w:rFonts w:ascii="Times New Roman" w:hAnsi="Times New Roman" w:cs="Times New Roman"/>
          <w:sz w:val="24"/>
          <w:szCs w:val="24"/>
        </w:rPr>
        <w:t>Khatkar</w:t>
      </w:r>
      <w:proofErr w:type="spellEnd"/>
      <w:r w:rsidR="000F4A0A" w:rsidRPr="000F4A0A">
        <w:rPr>
          <w:rFonts w:ascii="Times New Roman" w:hAnsi="Times New Roman" w:cs="Times New Roman"/>
          <w:sz w:val="24"/>
          <w:szCs w:val="24"/>
        </w:rPr>
        <w:t>, B. S. (2011).</w:t>
      </w:r>
      <w:proofErr w:type="gramEnd"/>
      <w:r w:rsidR="000F4A0A" w:rsidRPr="000F4A0A">
        <w:rPr>
          <w:rFonts w:ascii="Times New Roman" w:hAnsi="Times New Roman" w:cs="Times New Roman"/>
          <w:sz w:val="24"/>
          <w:szCs w:val="24"/>
        </w:rPr>
        <w:t xml:space="preserve"> Processing, food applications and safety of aloe vera products: A review. </w:t>
      </w:r>
      <w:r w:rsidR="000F4A0A" w:rsidRPr="006D539C">
        <w:rPr>
          <w:rFonts w:ascii="Times New Roman" w:hAnsi="Times New Roman" w:cs="Times New Roman"/>
          <w:i/>
          <w:iCs/>
          <w:sz w:val="24"/>
          <w:szCs w:val="24"/>
        </w:rPr>
        <w:t>Journal of Food Science and Technology</w:t>
      </w:r>
      <w:r w:rsidR="000F4A0A" w:rsidRPr="000F4A0A">
        <w:rPr>
          <w:rFonts w:ascii="Times New Roman" w:hAnsi="Times New Roman" w:cs="Times New Roman"/>
          <w:sz w:val="24"/>
          <w:szCs w:val="24"/>
        </w:rPr>
        <w:t>, 48(5), 525-533.</w:t>
      </w:r>
    </w:p>
    <w:p w14:paraId="7363E004" w14:textId="77777777"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Arora, N. K., Khare, E., &amp; Maheshwari, D. K. (2010). Plant growth-promoting rhizobacteria: Constraints in bioformulation, commercialization, and future strategies. Plant Growth Promotion by Rhizobacteria for Sustainable Agriculture, 97-116.</w:t>
      </w:r>
    </w:p>
    <w:p w14:paraId="4247F353" w14:textId="77777777" w:rsidR="0032664A" w:rsidRDefault="000F4A0A" w:rsidP="0032664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Basra, S. M. A., &amp; Lovatt, C. J. (2016). Exogenous applications of moringa leaf extract and </w:t>
      </w:r>
      <w:proofErr w:type="spellStart"/>
      <w:r w:rsidRPr="000F4A0A">
        <w:rPr>
          <w:rFonts w:ascii="Times New Roman" w:hAnsi="Times New Roman" w:cs="Times New Roman"/>
          <w:sz w:val="24"/>
          <w:szCs w:val="24"/>
        </w:rPr>
        <w:t>cytokinins</w:t>
      </w:r>
      <w:proofErr w:type="spellEnd"/>
      <w:r w:rsidRPr="000F4A0A">
        <w:rPr>
          <w:rFonts w:ascii="Times New Roman" w:hAnsi="Times New Roman" w:cs="Times New Roman"/>
          <w:sz w:val="24"/>
          <w:szCs w:val="24"/>
        </w:rPr>
        <w:t xml:space="preserve"> improve plant growth, yield, and fruit quality of cherry tomato. </w:t>
      </w:r>
      <w:r w:rsidRPr="006D539C">
        <w:rPr>
          <w:rFonts w:ascii="Times New Roman" w:hAnsi="Times New Roman" w:cs="Times New Roman"/>
          <w:i/>
          <w:iCs/>
          <w:sz w:val="24"/>
          <w:szCs w:val="24"/>
        </w:rPr>
        <w:t>Hort</w:t>
      </w:r>
      <w:r w:rsidR="006D539C" w:rsidRPr="006D539C">
        <w:rPr>
          <w:rFonts w:ascii="Times New Roman" w:hAnsi="Times New Roman" w:cs="Times New Roman"/>
          <w:i/>
          <w:iCs/>
          <w:sz w:val="24"/>
          <w:szCs w:val="24"/>
        </w:rPr>
        <w:t xml:space="preserve"> </w:t>
      </w:r>
      <w:r w:rsidRPr="006D539C">
        <w:rPr>
          <w:rFonts w:ascii="Times New Roman" w:hAnsi="Times New Roman" w:cs="Times New Roman"/>
          <w:i/>
          <w:iCs/>
          <w:sz w:val="24"/>
          <w:szCs w:val="24"/>
        </w:rPr>
        <w:t>Technology</w:t>
      </w:r>
      <w:r w:rsidRPr="000F4A0A">
        <w:rPr>
          <w:rFonts w:ascii="Times New Roman" w:hAnsi="Times New Roman" w:cs="Times New Roman"/>
          <w:sz w:val="24"/>
          <w:szCs w:val="24"/>
        </w:rPr>
        <w:t>, 26(3), 327-337.</w:t>
      </w:r>
    </w:p>
    <w:p w14:paraId="1B31A5C6" w14:textId="77777777" w:rsidR="0032664A" w:rsidRDefault="0032664A" w:rsidP="001B2EF9">
      <w:pPr>
        <w:spacing w:line="360" w:lineRule="auto"/>
        <w:jc w:val="both"/>
        <w:rPr>
          <w:rFonts w:ascii="Times New Roman" w:hAnsi="Times New Roman" w:cs="Times New Roman"/>
          <w:sz w:val="24"/>
          <w:szCs w:val="24"/>
        </w:rPr>
      </w:pPr>
      <w:r w:rsidRPr="0032664A">
        <w:rPr>
          <w:rFonts w:ascii="Times New Roman" w:hAnsi="Times New Roman" w:cs="Times New Roman"/>
          <w:sz w:val="24"/>
          <w:szCs w:val="24"/>
        </w:rPr>
        <w:t>Basra, S. M. A., Farooq, M., &amp; Tabassum, R. (2005). Physiological and biochemical aspects of seed vigor enhancement treatments in fine rice (</w:t>
      </w:r>
      <w:r w:rsidRPr="0032664A">
        <w:rPr>
          <w:rFonts w:ascii="Times New Roman" w:hAnsi="Times New Roman" w:cs="Times New Roman"/>
          <w:i/>
          <w:iCs/>
          <w:sz w:val="24"/>
          <w:szCs w:val="24"/>
        </w:rPr>
        <w:t>Oryza sativa</w:t>
      </w:r>
      <w:r w:rsidRPr="0032664A">
        <w:rPr>
          <w:rFonts w:ascii="Times New Roman" w:hAnsi="Times New Roman" w:cs="Times New Roman"/>
          <w:sz w:val="24"/>
          <w:szCs w:val="24"/>
        </w:rPr>
        <w:t xml:space="preserve"> L.). </w:t>
      </w:r>
      <w:r w:rsidRPr="0032664A">
        <w:rPr>
          <w:rFonts w:ascii="Times New Roman" w:hAnsi="Times New Roman" w:cs="Times New Roman"/>
          <w:i/>
          <w:iCs/>
          <w:sz w:val="24"/>
          <w:szCs w:val="24"/>
        </w:rPr>
        <w:t>Seed Science and Technology, 33</w:t>
      </w:r>
      <w:r w:rsidRPr="0032664A">
        <w:rPr>
          <w:rFonts w:ascii="Times New Roman" w:hAnsi="Times New Roman" w:cs="Times New Roman"/>
          <w:sz w:val="24"/>
          <w:szCs w:val="24"/>
        </w:rPr>
        <w:t>(3), 623-628.</w:t>
      </w:r>
    </w:p>
    <w:p w14:paraId="22C0471E" w14:textId="2E9EBFD2" w:rsidR="001B2EF9" w:rsidRDefault="000F4A0A" w:rsidP="001B2EF9">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Bewley, J. D., Bradford, K. J., </w:t>
      </w:r>
      <w:proofErr w:type="spellStart"/>
      <w:r w:rsidRPr="000F4A0A">
        <w:rPr>
          <w:rFonts w:ascii="Times New Roman" w:hAnsi="Times New Roman" w:cs="Times New Roman"/>
          <w:sz w:val="24"/>
          <w:szCs w:val="24"/>
        </w:rPr>
        <w:t>Hilhorst</w:t>
      </w:r>
      <w:proofErr w:type="spellEnd"/>
      <w:r w:rsidRPr="000F4A0A">
        <w:rPr>
          <w:rFonts w:ascii="Times New Roman" w:hAnsi="Times New Roman" w:cs="Times New Roman"/>
          <w:sz w:val="24"/>
          <w:szCs w:val="24"/>
        </w:rPr>
        <w:t xml:space="preserve">, H. W. M., &amp; </w:t>
      </w:r>
      <w:proofErr w:type="spellStart"/>
      <w:r w:rsidRPr="000F4A0A">
        <w:rPr>
          <w:rFonts w:ascii="Times New Roman" w:hAnsi="Times New Roman" w:cs="Times New Roman"/>
          <w:sz w:val="24"/>
          <w:szCs w:val="24"/>
        </w:rPr>
        <w:t>Nonogaki</w:t>
      </w:r>
      <w:proofErr w:type="spellEnd"/>
      <w:r w:rsidRPr="000F4A0A">
        <w:rPr>
          <w:rFonts w:ascii="Times New Roman" w:hAnsi="Times New Roman" w:cs="Times New Roman"/>
          <w:sz w:val="24"/>
          <w:szCs w:val="24"/>
        </w:rPr>
        <w:t xml:space="preserve">, H. (2013). Seeds: Physiology of Development, Germination and Dormancy (3rd ed.). </w:t>
      </w:r>
      <w:r w:rsidRPr="006D539C">
        <w:rPr>
          <w:rFonts w:ascii="Times New Roman" w:hAnsi="Times New Roman" w:cs="Times New Roman"/>
          <w:i/>
          <w:iCs/>
          <w:sz w:val="24"/>
          <w:szCs w:val="24"/>
        </w:rPr>
        <w:t>Springer</w:t>
      </w:r>
      <w:r w:rsidRPr="000F4A0A">
        <w:rPr>
          <w:rFonts w:ascii="Times New Roman" w:hAnsi="Times New Roman" w:cs="Times New Roman"/>
          <w:sz w:val="24"/>
          <w:szCs w:val="24"/>
        </w:rPr>
        <w:t>.</w:t>
      </w:r>
    </w:p>
    <w:p w14:paraId="5006CAED" w14:textId="1B65F35A" w:rsidR="001B2EF9" w:rsidRPr="001B2EF9" w:rsidRDefault="001B2EF9" w:rsidP="001B2EF9">
      <w:pPr>
        <w:spacing w:line="360" w:lineRule="auto"/>
        <w:jc w:val="both"/>
        <w:rPr>
          <w:rFonts w:ascii="Times New Roman" w:hAnsi="Times New Roman" w:cs="Times New Roman"/>
          <w:sz w:val="24"/>
          <w:szCs w:val="24"/>
        </w:rPr>
      </w:pPr>
      <w:r w:rsidRPr="001B2EF9">
        <w:rPr>
          <w:rFonts w:ascii="Times New Roman" w:hAnsi="Times New Roman" w:cs="Times New Roman"/>
          <w:sz w:val="24"/>
          <w:szCs w:val="24"/>
        </w:rPr>
        <w:t>Ellis, R. H., and E. H. Roberts.  (1981). "The Quantification of Ageing and Survival in Orthodox Seeds." </w:t>
      </w:r>
      <w:r w:rsidRPr="001B2EF9">
        <w:rPr>
          <w:rFonts w:ascii="Times New Roman" w:hAnsi="Times New Roman" w:cs="Times New Roman"/>
          <w:i/>
          <w:iCs/>
          <w:sz w:val="24"/>
          <w:szCs w:val="24"/>
        </w:rPr>
        <w:t>Annals of Botany</w:t>
      </w:r>
      <w:r w:rsidRPr="001B2EF9">
        <w:rPr>
          <w:rFonts w:ascii="Times New Roman" w:hAnsi="Times New Roman" w:cs="Times New Roman"/>
          <w:sz w:val="24"/>
          <w:szCs w:val="24"/>
        </w:rPr>
        <w:t> 47 (4): 407–418.</w:t>
      </w:r>
    </w:p>
    <w:p w14:paraId="19AD3AAD" w14:textId="77777777" w:rsidR="00643434" w:rsidRDefault="001B2EF9" w:rsidP="000F4A0A">
      <w:pPr>
        <w:spacing w:line="360" w:lineRule="auto"/>
        <w:jc w:val="both"/>
        <w:rPr>
          <w:rFonts w:ascii="Times New Roman" w:hAnsi="Times New Roman" w:cs="Times New Roman"/>
          <w:sz w:val="24"/>
          <w:szCs w:val="24"/>
        </w:rPr>
      </w:pPr>
      <w:r w:rsidRPr="001B2EF9">
        <w:rPr>
          <w:rFonts w:ascii="Times New Roman" w:hAnsi="Times New Roman" w:cs="Times New Roman"/>
          <w:sz w:val="24"/>
          <w:szCs w:val="24"/>
        </w:rPr>
        <w:t>Harborne, J. B. (1998). </w:t>
      </w:r>
      <w:r w:rsidRPr="001B2EF9">
        <w:rPr>
          <w:rFonts w:ascii="Times New Roman" w:hAnsi="Times New Roman" w:cs="Times New Roman"/>
          <w:i/>
          <w:iCs/>
          <w:sz w:val="24"/>
          <w:szCs w:val="24"/>
        </w:rPr>
        <w:t>Phytochemical Methods: A Guide to Modern Techniques of Plant Analysis</w:t>
      </w:r>
      <w:r w:rsidRPr="001B2EF9">
        <w:rPr>
          <w:rFonts w:ascii="Times New Roman" w:hAnsi="Times New Roman" w:cs="Times New Roman"/>
          <w:sz w:val="24"/>
          <w:szCs w:val="24"/>
        </w:rPr>
        <w:t>. 3rd ed. London: Chapman &amp; Hall.</w:t>
      </w:r>
    </w:p>
    <w:p w14:paraId="0732B2DE" w14:textId="22CC7B91"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ISTA. (2020). International Rules for Seed Testing. </w:t>
      </w:r>
      <w:r w:rsidRPr="006D539C">
        <w:rPr>
          <w:rFonts w:ascii="Times New Roman" w:hAnsi="Times New Roman" w:cs="Times New Roman"/>
          <w:i/>
          <w:iCs/>
          <w:sz w:val="24"/>
          <w:szCs w:val="24"/>
        </w:rPr>
        <w:t>International Seed Testing Association</w:t>
      </w:r>
      <w:r w:rsidRPr="000F4A0A">
        <w:rPr>
          <w:rFonts w:ascii="Times New Roman" w:hAnsi="Times New Roman" w:cs="Times New Roman"/>
          <w:sz w:val="24"/>
          <w:szCs w:val="24"/>
        </w:rPr>
        <w:t>.</w:t>
      </w:r>
    </w:p>
    <w:p w14:paraId="3F04ACEA"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lastRenderedPageBreak/>
        <w:t>Mbakogu</w:t>
      </w:r>
      <w:proofErr w:type="spellEnd"/>
      <w:r w:rsidRPr="000F4A0A">
        <w:rPr>
          <w:rFonts w:ascii="Times New Roman" w:hAnsi="Times New Roman" w:cs="Times New Roman"/>
          <w:sz w:val="24"/>
          <w:szCs w:val="24"/>
        </w:rPr>
        <w:t>, F. N., &amp; Ugwuoke, K. I. (2018). Effect of moringa leaf extract on the germination and early growth of maize (</w:t>
      </w:r>
      <w:proofErr w:type="spellStart"/>
      <w:r w:rsidRPr="004A6841">
        <w:rPr>
          <w:rFonts w:ascii="Times New Roman" w:hAnsi="Times New Roman" w:cs="Times New Roman"/>
          <w:i/>
          <w:iCs/>
          <w:sz w:val="24"/>
          <w:szCs w:val="24"/>
        </w:rPr>
        <w:t>Zea</w:t>
      </w:r>
      <w:proofErr w:type="spellEnd"/>
      <w:r w:rsidRPr="004A6841">
        <w:rPr>
          <w:rFonts w:ascii="Times New Roman" w:hAnsi="Times New Roman" w:cs="Times New Roman"/>
          <w:i/>
          <w:iCs/>
          <w:sz w:val="24"/>
          <w:szCs w:val="24"/>
        </w:rPr>
        <w:t xml:space="preserve"> mays</w:t>
      </w:r>
      <w:r w:rsidRPr="000F4A0A">
        <w:rPr>
          <w:rFonts w:ascii="Times New Roman" w:hAnsi="Times New Roman" w:cs="Times New Roman"/>
          <w:sz w:val="24"/>
          <w:szCs w:val="24"/>
        </w:rPr>
        <w:t xml:space="preserve"> L.). </w:t>
      </w:r>
      <w:r w:rsidRPr="006D539C">
        <w:rPr>
          <w:rFonts w:ascii="Times New Roman" w:hAnsi="Times New Roman" w:cs="Times New Roman"/>
          <w:i/>
          <w:iCs/>
          <w:sz w:val="24"/>
          <w:szCs w:val="24"/>
        </w:rPr>
        <w:t>Journal of Agricultural Science and Practice</w:t>
      </w:r>
      <w:r w:rsidRPr="000F4A0A">
        <w:rPr>
          <w:rFonts w:ascii="Times New Roman" w:hAnsi="Times New Roman" w:cs="Times New Roman"/>
          <w:sz w:val="24"/>
          <w:szCs w:val="24"/>
        </w:rPr>
        <w:t>, 3(1), 1-8.</w:t>
      </w:r>
    </w:p>
    <w:p w14:paraId="316A64AD"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t>Rajjou</w:t>
      </w:r>
      <w:proofErr w:type="spellEnd"/>
      <w:r w:rsidRPr="000F4A0A">
        <w:rPr>
          <w:rFonts w:ascii="Times New Roman" w:hAnsi="Times New Roman" w:cs="Times New Roman"/>
          <w:sz w:val="24"/>
          <w:szCs w:val="24"/>
        </w:rPr>
        <w:t xml:space="preserve">, L., Duval, M., Gallardo, K., </w:t>
      </w:r>
      <w:proofErr w:type="spellStart"/>
      <w:r w:rsidRPr="000F4A0A">
        <w:rPr>
          <w:rFonts w:ascii="Times New Roman" w:hAnsi="Times New Roman" w:cs="Times New Roman"/>
          <w:sz w:val="24"/>
          <w:szCs w:val="24"/>
        </w:rPr>
        <w:t>Catusse</w:t>
      </w:r>
      <w:proofErr w:type="spellEnd"/>
      <w:r w:rsidRPr="000F4A0A">
        <w:rPr>
          <w:rFonts w:ascii="Times New Roman" w:hAnsi="Times New Roman" w:cs="Times New Roman"/>
          <w:sz w:val="24"/>
          <w:szCs w:val="24"/>
        </w:rPr>
        <w:t xml:space="preserve">, J., Bally, J., Job, C., &amp; Job, D. (2012). Seed germination and vigor. </w:t>
      </w:r>
      <w:r w:rsidRPr="006D539C">
        <w:rPr>
          <w:rFonts w:ascii="Times New Roman" w:hAnsi="Times New Roman" w:cs="Times New Roman"/>
          <w:i/>
          <w:iCs/>
          <w:sz w:val="24"/>
          <w:szCs w:val="24"/>
        </w:rPr>
        <w:t>Annual Review of Plant Biology</w:t>
      </w:r>
      <w:r w:rsidRPr="000F4A0A">
        <w:rPr>
          <w:rFonts w:ascii="Times New Roman" w:hAnsi="Times New Roman" w:cs="Times New Roman"/>
          <w:sz w:val="24"/>
          <w:szCs w:val="24"/>
        </w:rPr>
        <w:t>, 63, 507-533.</w:t>
      </w:r>
    </w:p>
    <w:p w14:paraId="59A50841"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t>Schmutterer</w:t>
      </w:r>
      <w:proofErr w:type="spellEnd"/>
      <w:r w:rsidRPr="000F4A0A">
        <w:rPr>
          <w:rFonts w:ascii="Times New Roman" w:hAnsi="Times New Roman" w:cs="Times New Roman"/>
          <w:sz w:val="24"/>
          <w:szCs w:val="24"/>
        </w:rPr>
        <w:t xml:space="preserve">, H. (1990). Properties and potential of natural pesticides from the </w:t>
      </w:r>
      <w:proofErr w:type="spellStart"/>
      <w:r w:rsidRPr="000F4A0A">
        <w:rPr>
          <w:rFonts w:ascii="Times New Roman" w:hAnsi="Times New Roman" w:cs="Times New Roman"/>
          <w:sz w:val="24"/>
          <w:szCs w:val="24"/>
        </w:rPr>
        <w:t>neem</w:t>
      </w:r>
      <w:proofErr w:type="spellEnd"/>
      <w:r w:rsidRPr="000F4A0A">
        <w:rPr>
          <w:rFonts w:ascii="Times New Roman" w:hAnsi="Times New Roman" w:cs="Times New Roman"/>
          <w:sz w:val="24"/>
          <w:szCs w:val="24"/>
        </w:rPr>
        <w:t xml:space="preserve"> tree, </w:t>
      </w:r>
      <w:proofErr w:type="spellStart"/>
      <w:r w:rsidRPr="000F4A0A">
        <w:rPr>
          <w:rFonts w:ascii="Times New Roman" w:hAnsi="Times New Roman" w:cs="Times New Roman"/>
          <w:sz w:val="24"/>
          <w:szCs w:val="24"/>
        </w:rPr>
        <w:t>Azadirachta</w:t>
      </w:r>
      <w:proofErr w:type="spellEnd"/>
      <w:r w:rsidRPr="000F4A0A">
        <w:rPr>
          <w:rFonts w:ascii="Times New Roman" w:hAnsi="Times New Roman" w:cs="Times New Roman"/>
          <w:sz w:val="24"/>
          <w:szCs w:val="24"/>
        </w:rPr>
        <w:t xml:space="preserve"> </w:t>
      </w:r>
      <w:proofErr w:type="spellStart"/>
      <w:r w:rsidRPr="000F4A0A">
        <w:rPr>
          <w:rFonts w:ascii="Times New Roman" w:hAnsi="Times New Roman" w:cs="Times New Roman"/>
          <w:sz w:val="24"/>
          <w:szCs w:val="24"/>
        </w:rPr>
        <w:t>indica</w:t>
      </w:r>
      <w:proofErr w:type="spellEnd"/>
      <w:r w:rsidRPr="000F4A0A">
        <w:rPr>
          <w:rFonts w:ascii="Times New Roman" w:hAnsi="Times New Roman" w:cs="Times New Roman"/>
          <w:sz w:val="24"/>
          <w:szCs w:val="24"/>
        </w:rPr>
        <w:t xml:space="preserve">. </w:t>
      </w:r>
      <w:r w:rsidRPr="006D539C">
        <w:rPr>
          <w:rFonts w:ascii="Times New Roman" w:hAnsi="Times New Roman" w:cs="Times New Roman"/>
          <w:i/>
          <w:iCs/>
          <w:sz w:val="24"/>
          <w:szCs w:val="24"/>
        </w:rPr>
        <w:t>Annual Review of Entomology</w:t>
      </w:r>
      <w:r w:rsidRPr="000F4A0A">
        <w:rPr>
          <w:rFonts w:ascii="Times New Roman" w:hAnsi="Times New Roman" w:cs="Times New Roman"/>
          <w:sz w:val="24"/>
          <w:szCs w:val="24"/>
        </w:rPr>
        <w:t>, 35(1), 271-297.</w:t>
      </w:r>
    </w:p>
    <w:p w14:paraId="6F56D0AD" w14:textId="77777777" w:rsidR="001B2EF9" w:rsidRDefault="000F4A0A" w:rsidP="001B2EF9">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Srivastava, A. K., Lokhande, V. H., </w:t>
      </w:r>
      <w:proofErr w:type="spellStart"/>
      <w:r w:rsidRPr="000F4A0A">
        <w:rPr>
          <w:rFonts w:ascii="Times New Roman" w:hAnsi="Times New Roman" w:cs="Times New Roman"/>
          <w:sz w:val="24"/>
          <w:szCs w:val="24"/>
        </w:rPr>
        <w:t>Patade</w:t>
      </w:r>
      <w:proofErr w:type="spellEnd"/>
      <w:r w:rsidRPr="000F4A0A">
        <w:rPr>
          <w:rFonts w:ascii="Times New Roman" w:hAnsi="Times New Roman" w:cs="Times New Roman"/>
          <w:sz w:val="24"/>
          <w:szCs w:val="24"/>
        </w:rPr>
        <w:t xml:space="preserve">, V. Y., &amp; Suprasanna, P. (2016). Seed priming for abiotic stress tolerance: An overview. </w:t>
      </w:r>
      <w:r w:rsidRPr="006D539C">
        <w:rPr>
          <w:rFonts w:ascii="Times New Roman" w:hAnsi="Times New Roman" w:cs="Times New Roman"/>
          <w:i/>
          <w:iCs/>
          <w:sz w:val="24"/>
          <w:szCs w:val="24"/>
        </w:rPr>
        <w:t>Advances in Seed Priming</w:t>
      </w:r>
      <w:r w:rsidRPr="000F4A0A">
        <w:rPr>
          <w:rFonts w:ascii="Times New Roman" w:hAnsi="Times New Roman" w:cs="Times New Roman"/>
          <w:sz w:val="24"/>
          <w:szCs w:val="24"/>
        </w:rPr>
        <w:t>, 41-50.</w:t>
      </w:r>
    </w:p>
    <w:p w14:paraId="26FB2F29" w14:textId="42165F67" w:rsidR="000F4A0A" w:rsidRPr="000F4A0A" w:rsidRDefault="001B2EF9" w:rsidP="001B2EF9">
      <w:pPr>
        <w:spacing w:line="360" w:lineRule="auto"/>
        <w:jc w:val="both"/>
        <w:rPr>
          <w:rFonts w:ascii="Times New Roman" w:hAnsi="Times New Roman" w:cs="Times New Roman"/>
          <w:sz w:val="24"/>
          <w:szCs w:val="24"/>
        </w:rPr>
      </w:pPr>
      <w:commentRangeStart w:id="5"/>
      <w:r w:rsidRPr="001B2EF9">
        <w:rPr>
          <w:rFonts w:ascii="Times New Roman" w:hAnsi="Times New Roman" w:cs="Times New Roman"/>
          <w:b/>
          <w:bCs/>
          <w:sz w:val="24"/>
          <w:szCs w:val="24"/>
        </w:rPr>
        <w:t>Walters</w:t>
      </w:r>
      <w:commentRangeEnd w:id="5"/>
      <w:r w:rsidR="001A555B">
        <w:rPr>
          <w:rStyle w:val="CommentReference"/>
        </w:rPr>
        <w:commentReference w:id="5"/>
      </w:r>
      <w:r w:rsidRPr="001B2EF9">
        <w:rPr>
          <w:rFonts w:ascii="Times New Roman" w:hAnsi="Times New Roman" w:cs="Times New Roman"/>
          <w:b/>
          <w:bCs/>
          <w:sz w:val="24"/>
          <w:szCs w:val="24"/>
        </w:rPr>
        <w:t xml:space="preserve">, C. (2005). </w:t>
      </w:r>
      <w:r w:rsidRPr="001B2EF9">
        <w:rPr>
          <w:rFonts w:ascii="Times New Roman" w:hAnsi="Times New Roman" w:cs="Times New Roman"/>
          <w:sz w:val="24"/>
          <w:szCs w:val="24"/>
        </w:rPr>
        <w:t>Seed longevity in dry storage conditions. In </w:t>
      </w:r>
      <w:r w:rsidRPr="001B2EF9">
        <w:rPr>
          <w:rFonts w:ascii="Times New Roman" w:hAnsi="Times New Roman" w:cs="Times New Roman"/>
          <w:i/>
          <w:iCs/>
          <w:sz w:val="24"/>
          <w:szCs w:val="24"/>
        </w:rPr>
        <w:t>Plant Conservation Biotechnology</w:t>
      </w:r>
      <w:r w:rsidRPr="001B2EF9">
        <w:rPr>
          <w:rFonts w:ascii="Times New Roman" w:hAnsi="Times New Roman" w:cs="Times New Roman"/>
          <w:sz w:val="24"/>
          <w:szCs w:val="24"/>
        </w:rPr>
        <w:t> (pp. 245-263). Taylor &amp; Francis.</w:t>
      </w:r>
    </w:p>
    <w:sectPr w:rsidR="000F4A0A" w:rsidRPr="000F4A0A" w:rsidSect="0055654A">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53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rchana" w:date="2025-04-23T12:03:00Z" w:initials="A">
    <w:p w14:paraId="0A685278" w14:textId="40CBFC3B" w:rsidR="00717DA9" w:rsidRDefault="00717DA9">
      <w:pPr>
        <w:pStyle w:val="CommentText"/>
      </w:pPr>
      <w:r>
        <w:rPr>
          <w:rStyle w:val="CommentReference"/>
        </w:rPr>
        <w:annotationRef/>
      </w:r>
      <w:r>
        <w:t xml:space="preserve">Title seems very vague, kindly rewrite it more precisely </w:t>
      </w:r>
    </w:p>
  </w:comment>
  <w:comment w:id="2" w:author="Archana" w:date="2025-04-23T11:54:00Z" w:initials="A">
    <w:p w14:paraId="2BA6583A" w14:textId="0F4545A5" w:rsidR="001A555B" w:rsidRDefault="001A555B">
      <w:pPr>
        <w:pStyle w:val="CommentText"/>
      </w:pPr>
      <w:r>
        <w:rPr>
          <w:rStyle w:val="CommentReference"/>
        </w:rPr>
        <w:annotationRef/>
      </w:r>
      <w:r>
        <w:t>In methodology, seed vigor, germination rate, MGT was listed, while these are missing in manuscript. Kindly include at suitable places.</w:t>
      </w:r>
    </w:p>
  </w:comment>
  <w:comment w:id="3" w:author="Archana" w:date="2025-04-23T11:52:00Z" w:initials="A">
    <w:p w14:paraId="363EE7F5" w14:textId="37A0B757" w:rsidR="001A555B" w:rsidRDefault="001A555B">
      <w:pPr>
        <w:pStyle w:val="CommentText"/>
      </w:pPr>
      <w:r>
        <w:rPr>
          <w:rStyle w:val="CommentReference"/>
        </w:rPr>
        <w:annotationRef/>
      </w:r>
      <w:r>
        <w:t xml:space="preserve">This table is need to revise as the data on storability of individual crops is required to compare.   </w:t>
      </w:r>
    </w:p>
  </w:comment>
  <w:comment w:id="4" w:author="Archana" w:date="2025-04-23T11:56:00Z" w:initials="A">
    <w:p w14:paraId="6F8D82C3" w14:textId="6347D184" w:rsidR="001A555B" w:rsidRDefault="001A555B">
      <w:pPr>
        <w:pStyle w:val="CommentText"/>
      </w:pPr>
      <w:r>
        <w:rPr>
          <w:rStyle w:val="CommentReference"/>
        </w:rPr>
        <w:annotationRef/>
      </w:r>
      <w:r>
        <w:t>Kindly rewrite the conclusion emphasizing its precise concentration and effects on germination and seedling vigor.</w:t>
      </w:r>
    </w:p>
  </w:comment>
  <w:comment w:id="5" w:author="Archana" w:date="2025-04-23T12:00:00Z" w:initials="A">
    <w:p w14:paraId="55675B06" w14:textId="5568BEE1" w:rsidR="001A555B" w:rsidRDefault="001A555B">
      <w:pPr>
        <w:pStyle w:val="CommentText"/>
      </w:pPr>
      <w:r>
        <w:rPr>
          <w:rStyle w:val="CommentReference"/>
        </w:rPr>
        <w:annotationRef/>
      </w:r>
      <w:r>
        <w:t>Normal font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7DB40" w14:textId="77777777" w:rsidR="005F6775" w:rsidRDefault="005F6775" w:rsidP="00B018AA">
      <w:pPr>
        <w:spacing w:after="0" w:line="240" w:lineRule="auto"/>
      </w:pPr>
      <w:r>
        <w:separator/>
      </w:r>
    </w:p>
  </w:endnote>
  <w:endnote w:type="continuationSeparator" w:id="0">
    <w:p w14:paraId="3ADF56B5" w14:textId="77777777" w:rsidR="005F6775" w:rsidRDefault="005F6775" w:rsidP="00B0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41A1" w14:textId="77777777" w:rsidR="0056482E" w:rsidRDefault="00564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54DA6" w14:textId="77777777" w:rsidR="0056482E" w:rsidRDefault="005648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6F109" w14:textId="77777777" w:rsidR="0056482E" w:rsidRDefault="00564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F61A8" w14:textId="77777777" w:rsidR="005F6775" w:rsidRDefault="005F6775" w:rsidP="00B018AA">
      <w:pPr>
        <w:spacing w:after="0" w:line="240" w:lineRule="auto"/>
      </w:pPr>
      <w:r>
        <w:separator/>
      </w:r>
    </w:p>
  </w:footnote>
  <w:footnote w:type="continuationSeparator" w:id="0">
    <w:p w14:paraId="0D751C8A" w14:textId="77777777" w:rsidR="005F6775" w:rsidRDefault="005F6775" w:rsidP="00B01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32F0B" w14:textId="7969957E" w:rsidR="0056482E" w:rsidRDefault="005F6775">
    <w:pPr>
      <w:pStyle w:val="Header"/>
    </w:pPr>
    <w:r>
      <w:rPr>
        <w:noProof/>
      </w:rPr>
      <w:pict w14:anchorId="4EE31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4C705" w14:textId="7A1AD8E8" w:rsidR="0056482E" w:rsidRDefault="005F6775">
    <w:pPr>
      <w:pStyle w:val="Header"/>
    </w:pPr>
    <w:r>
      <w:rPr>
        <w:noProof/>
      </w:rPr>
      <w:pict w14:anchorId="0FCB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C8431" w14:textId="368754CB" w:rsidR="0056482E" w:rsidRDefault="005F6775">
    <w:pPr>
      <w:pStyle w:val="Header"/>
    </w:pPr>
    <w:r>
      <w:rPr>
        <w:noProof/>
      </w:rPr>
      <w:pict w14:anchorId="62036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F3A"/>
    <w:multiLevelType w:val="multilevel"/>
    <w:tmpl w:val="C5D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B3548"/>
    <w:multiLevelType w:val="multilevel"/>
    <w:tmpl w:val="77E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D78F3"/>
    <w:multiLevelType w:val="multilevel"/>
    <w:tmpl w:val="875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5586B"/>
    <w:multiLevelType w:val="multilevel"/>
    <w:tmpl w:val="AAF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C790A"/>
    <w:multiLevelType w:val="multilevel"/>
    <w:tmpl w:val="7A8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4359C"/>
    <w:multiLevelType w:val="multilevel"/>
    <w:tmpl w:val="DD0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873935"/>
    <w:multiLevelType w:val="multilevel"/>
    <w:tmpl w:val="EC3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50D2A"/>
    <w:multiLevelType w:val="multilevel"/>
    <w:tmpl w:val="4B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63323"/>
    <w:multiLevelType w:val="multilevel"/>
    <w:tmpl w:val="057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94C7F"/>
    <w:multiLevelType w:val="multilevel"/>
    <w:tmpl w:val="E39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69517C"/>
    <w:multiLevelType w:val="multilevel"/>
    <w:tmpl w:val="8E6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4"/>
  </w:num>
  <w:num w:numId="5">
    <w:abstractNumId w:val="5"/>
  </w:num>
  <w:num w:numId="6">
    <w:abstractNumId w:val="3"/>
  </w:num>
  <w:num w:numId="7">
    <w:abstractNumId w:val="10"/>
  </w:num>
  <w:num w:numId="8">
    <w:abstractNumId w:val="8"/>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68"/>
    <w:rsid w:val="00040479"/>
    <w:rsid w:val="000F4A0A"/>
    <w:rsid w:val="001A555B"/>
    <w:rsid w:val="001B2EF9"/>
    <w:rsid w:val="0022286E"/>
    <w:rsid w:val="002450C5"/>
    <w:rsid w:val="00247268"/>
    <w:rsid w:val="003229CE"/>
    <w:rsid w:val="0032664A"/>
    <w:rsid w:val="003E087B"/>
    <w:rsid w:val="003F6386"/>
    <w:rsid w:val="00413D80"/>
    <w:rsid w:val="004A6841"/>
    <w:rsid w:val="004D2D2F"/>
    <w:rsid w:val="0055654A"/>
    <w:rsid w:val="0056482E"/>
    <w:rsid w:val="00577C61"/>
    <w:rsid w:val="005E0365"/>
    <w:rsid w:val="005F6775"/>
    <w:rsid w:val="00643434"/>
    <w:rsid w:val="006D539C"/>
    <w:rsid w:val="00717DA9"/>
    <w:rsid w:val="007D40CC"/>
    <w:rsid w:val="00825440"/>
    <w:rsid w:val="008D05C9"/>
    <w:rsid w:val="0095458D"/>
    <w:rsid w:val="00987BB1"/>
    <w:rsid w:val="00A21A6D"/>
    <w:rsid w:val="00AA63F0"/>
    <w:rsid w:val="00B018AA"/>
    <w:rsid w:val="00B869E8"/>
    <w:rsid w:val="00B92F86"/>
    <w:rsid w:val="00D02A0F"/>
    <w:rsid w:val="00D03906"/>
    <w:rsid w:val="00D408CD"/>
    <w:rsid w:val="00D66D19"/>
    <w:rsid w:val="00DB37AA"/>
    <w:rsid w:val="00E64C79"/>
    <w:rsid w:val="00E9015A"/>
    <w:rsid w:val="00F74282"/>
    <w:rsid w:val="00FA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D6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0C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450C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450C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92F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C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450C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450C5"/>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450C5"/>
    <w:rPr>
      <w:b/>
      <w:bCs/>
    </w:rPr>
  </w:style>
  <w:style w:type="paragraph" w:styleId="NormalWeb">
    <w:name w:val="Normal (Web)"/>
    <w:basedOn w:val="Normal"/>
    <w:uiPriority w:val="99"/>
    <w:semiHidden/>
    <w:unhideWhenUsed/>
    <w:rsid w:val="002450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450C5"/>
    <w:rPr>
      <w:i/>
      <w:iCs/>
    </w:rPr>
  </w:style>
  <w:style w:type="character" w:customStyle="1" w:styleId="Heading4Char">
    <w:name w:val="Heading 4 Char"/>
    <w:basedOn w:val="DefaultParagraphFont"/>
    <w:link w:val="Heading4"/>
    <w:uiPriority w:val="9"/>
    <w:semiHidden/>
    <w:rsid w:val="00B92F86"/>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86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4A0A"/>
    <w:rPr>
      <w:color w:val="0563C1" w:themeColor="hyperlink"/>
      <w:u w:val="single"/>
    </w:rPr>
  </w:style>
  <w:style w:type="character" w:customStyle="1" w:styleId="UnresolvedMention">
    <w:name w:val="Unresolved Mention"/>
    <w:basedOn w:val="DefaultParagraphFont"/>
    <w:uiPriority w:val="99"/>
    <w:semiHidden/>
    <w:unhideWhenUsed/>
    <w:rsid w:val="000F4A0A"/>
    <w:rPr>
      <w:color w:val="605E5C"/>
      <w:shd w:val="clear" w:color="auto" w:fill="E1DFDD"/>
    </w:rPr>
  </w:style>
  <w:style w:type="paragraph" w:styleId="Header">
    <w:name w:val="header"/>
    <w:basedOn w:val="Normal"/>
    <w:link w:val="HeaderChar"/>
    <w:uiPriority w:val="99"/>
    <w:unhideWhenUsed/>
    <w:rsid w:val="00B0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AA"/>
  </w:style>
  <w:style w:type="paragraph" w:styleId="Footer">
    <w:name w:val="footer"/>
    <w:basedOn w:val="Normal"/>
    <w:link w:val="FooterChar"/>
    <w:uiPriority w:val="99"/>
    <w:unhideWhenUsed/>
    <w:rsid w:val="00B0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AA"/>
  </w:style>
  <w:style w:type="paragraph" w:styleId="ListParagraph">
    <w:name w:val="List Paragraph"/>
    <w:basedOn w:val="Normal"/>
    <w:uiPriority w:val="34"/>
    <w:qFormat/>
    <w:rsid w:val="00B018AA"/>
    <w:pPr>
      <w:ind w:left="720"/>
      <w:contextualSpacing/>
    </w:pPr>
  </w:style>
  <w:style w:type="character" w:styleId="CommentReference">
    <w:name w:val="annotation reference"/>
    <w:basedOn w:val="DefaultParagraphFont"/>
    <w:uiPriority w:val="99"/>
    <w:semiHidden/>
    <w:unhideWhenUsed/>
    <w:rsid w:val="001A555B"/>
    <w:rPr>
      <w:sz w:val="16"/>
      <w:szCs w:val="16"/>
    </w:rPr>
  </w:style>
  <w:style w:type="paragraph" w:styleId="CommentText">
    <w:name w:val="annotation text"/>
    <w:basedOn w:val="Normal"/>
    <w:link w:val="CommentTextChar"/>
    <w:uiPriority w:val="99"/>
    <w:semiHidden/>
    <w:unhideWhenUsed/>
    <w:rsid w:val="001A555B"/>
    <w:pPr>
      <w:spacing w:line="240" w:lineRule="auto"/>
    </w:pPr>
    <w:rPr>
      <w:sz w:val="20"/>
      <w:szCs w:val="20"/>
    </w:rPr>
  </w:style>
  <w:style w:type="character" w:customStyle="1" w:styleId="CommentTextChar">
    <w:name w:val="Comment Text Char"/>
    <w:basedOn w:val="DefaultParagraphFont"/>
    <w:link w:val="CommentText"/>
    <w:uiPriority w:val="99"/>
    <w:semiHidden/>
    <w:rsid w:val="001A555B"/>
    <w:rPr>
      <w:sz w:val="20"/>
      <w:szCs w:val="20"/>
    </w:rPr>
  </w:style>
  <w:style w:type="paragraph" w:styleId="CommentSubject">
    <w:name w:val="annotation subject"/>
    <w:basedOn w:val="CommentText"/>
    <w:next w:val="CommentText"/>
    <w:link w:val="CommentSubjectChar"/>
    <w:uiPriority w:val="99"/>
    <w:semiHidden/>
    <w:unhideWhenUsed/>
    <w:rsid w:val="001A555B"/>
    <w:rPr>
      <w:b/>
      <w:bCs/>
    </w:rPr>
  </w:style>
  <w:style w:type="character" w:customStyle="1" w:styleId="CommentSubjectChar">
    <w:name w:val="Comment Subject Char"/>
    <w:basedOn w:val="CommentTextChar"/>
    <w:link w:val="CommentSubject"/>
    <w:uiPriority w:val="99"/>
    <w:semiHidden/>
    <w:rsid w:val="001A555B"/>
    <w:rPr>
      <w:b/>
      <w:bCs/>
      <w:sz w:val="20"/>
      <w:szCs w:val="20"/>
    </w:rPr>
  </w:style>
  <w:style w:type="paragraph" w:styleId="BalloonText">
    <w:name w:val="Balloon Text"/>
    <w:basedOn w:val="Normal"/>
    <w:link w:val="BalloonTextChar"/>
    <w:uiPriority w:val="99"/>
    <w:semiHidden/>
    <w:unhideWhenUsed/>
    <w:rsid w:val="001A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0C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450C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450C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92F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C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450C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450C5"/>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450C5"/>
    <w:rPr>
      <w:b/>
      <w:bCs/>
    </w:rPr>
  </w:style>
  <w:style w:type="paragraph" w:styleId="NormalWeb">
    <w:name w:val="Normal (Web)"/>
    <w:basedOn w:val="Normal"/>
    <w:uiPriority w:val="99"/>
    <w:semiHidden/>
    <w:unhideWhenUsed/>
    <w:rsid w:val="002450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450C5"/>
    <w:rPr>
      <w:i/>
      <w:iCs/>
    </w:rPr>
  </w:style>
  <w:style w:type="character" w:customStyle="1" w:styleId="Heading4Char">
    <w:name w:val="Heading 4 Char"/>
    <w:basedOn w:val="DefaultParagraphFont"/>
    <w:link w:val="Heading4"/>
    <w:uiPriority w:val="9"/>
    <w:semiHidden/>
    <w:rsid w:val="00B92F86"/>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86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4A0A"/>
    <w:rPr>
      <w:color w:val="0563C1" w:themeColor="hyperlink"/>
      <w:u w:val="single"/>
    </w:rPr>
  </w:style>
  <w:style w:type="character" w:customStyle="1" w:styleId="UnresolvedMention">
    <w:name w:val="Unresolved Mention"/>
    <w:basedOn w:val="DefaultParagraphFont"/>
    <w:uiPriority w:val="99"/>
    <w:semiHidden/>
    <w:unhideWhenUsed/>
    <w:rsid w:val="000F4A0A"/>
    <w:rPr>
      <w:color w:val="605E5C"/>
      <w:shd w:val="clear" w:color="auto" w:fill="E1DFDD"/>
    </w:rPr>
  </w:style>
  <w:style w:type="paragraph" w:styleId="Header">
    <w:name w:val="header"/>
    <w:basedOn w:val="Normal"/>
    <w:link w:val="HeaderChar"/>
    <w:uiPriority w:val="99"/>
    <w:unhideWhenUsed/>
    <w:rsid w:val="00B0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AA"/>
  </w:style>
  <w:style w:type="paragraph" w:styleId="Footer">
    <w:name w:val="footer"/>
    <w:basedOn w:val="Normal"/>
    <w:link w:val="FooterChar"/>
    <w:uiPriority w:val="99"/>
    <w:unhideWhenUsed/>
    <w:rsid w:val="00B0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AA"/>
  </w:style>
  <w:style w:type="paragraph" w:styleId="ListParagraph">
    <w:name w:val="List Paragraph"/>
    <w:basedOn w:val="Normal"/>
    <w:uiPriority w:val="34"/>
    <w:qFormat/>
    <w:rsid w:val="00B018AA"/>
    <w:pPr>
      <w:ind w:left="720"/>
      <w:contextualSpacing/>
    </w:pPr>
  </w:style>
  <w:style w:type="character" w:styleId="CommentReference">
    <w:name w:val="annotation reference"/>
    <w:basedOn w:val="DefaultParagraphFont"/>
    <w:uiPriority w:val="99"/>
    <w:semiHidden/>
    <w:unhideWhenUsed/>
    <w:rsid w:val="001A555B"/>
    <w:rPr>
      <w:sz w:val="16"/>
      <w:szCs w:val="16"/>
    </w:rPr>
  </w:style>
  <w:style w:type="paragraph" w:styleId="CommentText">
    <w:name w:val="annotation text"/>
    <w:basedOn w:val="Normal"/>
    <w:link w:val="CommentTextChar"/>
    <w:uiPriority w:val="99"/>
    <w:semiHidden/>
    <w:unhideWhenUsed/>
    <w:rsid w:val="001A555B"/>
    <w:pPr>
      <w:spacing w:line="240" w:lineRule="auto"/>
    </w:pPr>
    <w:rPr>
      <w:sz w:val="20"/>
      <w:szCs w:val="20"/>
    </w:rPr>
  </w:style>
  <w:style w:type="character" w:customStyle="1" w:styleId="CommentTextChar">
    <w:name w:val="Comment Text Char"/>
    <w:basedOn w:val="DefaultParagraphFont"/>
    <w:link w:val="CommentText"/>
    <w:uiPriority w:val="99"/>
    <w:semiHidden/>
    <w:rsid w:val="001A555B"/>
    <w:rPr>
      <w:sz w:val="20"/>
      <w:szCs w:val="20"/>
    </w:rPr>
  </w:style>
  <w:style w:type="paragraph" w:styleId="CommentSubject">
    <w:name w:val="annotation subject"/>
    <w:basedOn w:val="CommentText"/>
    <w:next w:val="CommentText"/>
    <w:link w:val="CommentSubjectChar"/>
    <w:uiPriority w:val="99"/>
    <w:semiHidden/>
    <w:unhideWhenUsed/>
    <w:rsid w:val="001A555B"/>
    <w:rPr>
      <w:b/>
      <w:bCs/>
    </w:rPr>
  </w:style>
  <w:style w:type="character" w:customStyle="1" w:styleId="CommentSubjectChar">
    <w:name w:val="Comment Subject Char"/>
    <w:basedOn w:val="CommentTextChar"/>
    <w:link w:val="CommentSubject"/>
    <w:uiPriority w:val="99"/>
    <w:semiHidden/>
    <w:rsid w:val="001A555B"/>
    <w:rPr>
      <w:b/>
      <w:bCs/>
      <w:sz w:val="20"/>
      <w:szCs w:val="20"/>
    </w:rPr>
  </w:style>
  <w:style w:type="paragraph" w:styleId="BalloonText">
    <w:name w:val="Balloon Text"/>
    <w:basedOn w:val="Normal"/>
    <w:link w:val="BalloonTextChar"/>
    <w:uiPriority w:val="99"/>
    <w:semiHidden/>
    <w:unhideWhenUsed/>
    <w:rsid w:val="001A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048">
      <w:bodyDiv w:val="1"/>
      <w:marLeft w:val="0"/>
      <w:marRight w:val="0"/>
      <w:marTop w:val="0"/>
      <w:marBottom w:val="0"/>
      <w:divBdr>
        <w:top w:val="none" w:sz="0" w:space="0" w:color="auto"/>
        <w:left w:val="none" w:sz="0" w:space="0" w:color="auto"/>
        <w:bottom w:val="none" w:sz="0" w:space="0" w:color="auto"/>
        <w:right w:val="none" w:sz="0" w:space="0" w:color="auto"/>
      </w:divBdr>
      <w:divsChild>
        <w:div w:id="409817896">
          <w:marLeft w:val="0"/>
          <w:marRight w:val="0"/>
          <w:marTop w:val="100"/>
          <w:marBottom w:val="100"/>
          <w:divBdr>
            <w:top w:val="none" w:sz="0" w:space="0" w:color="auto"/>
            <w:left w:val="none" w:sz="0" w:space="0" w:color="auto"/>
            <w:bottom w:val="none" w:sz="0" w:space="0" w:color="auto"/>
            <w:right w:val="none" w:sz="0" w:space="0" w:color="auto"/>
          </w:divBdr>
          <w:divsChild>
            <w:div w:id="347025048">
              <w:marLeft w:val="0"/>
              <w:marRight w:val="0"/>
              <w:marTop w:val="0"/>
              <w:marBottom w:val="0"/>
              <w:divBdr>
                <w:top w:val="none" w:sz="0" w:space="0" w:color="auto"/>
                <w:left w:val="none" w:sz="0" w:space="0" w:color="auto"/>
                <w:bottom w:val="none" w:sz="0" w:space="0" w:color="auto"/>
                <w:right w:val="none" w:sz="0" w:space="0" w:color="auto"/>
              </w:divBdr>
              <w:divsChild>
                <w:div w:id="15801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19570">
      <w:bodyDiv w:val="1"/>
      <w:marLeft w:val="0"/>
      <w:marRight w:val="0"/>
      <w:marTop w:val="0"/>
      <w:marBottom w:val="0"/>
      <w:divBdr>
        <w:top w:val="none" w:sz="0" w:space="0" w:color="auto"/>
        <w:left w:val="none" w:sz="0" w:space="0" w:color="auto"/>
        <w:bottom w:val="none" w:sz="0" w:space="0" w:color="auto"/>
        <w:right w:val="none" w:sz="0" w:space="0" w:color="auto"/>
      </w:divBdr>
    </w:div>
    <w:div w:id="458911733">
      <w:bodyDiv w:val="1"/>
      <w:marLeft w:val="0"/>
      <w:marRight w:val="0"/>
      <w:marTop w:val="0"/>
      <w:marBottom w:val="0"/>
      <w:divBdr>
        <w:top w:val="none" w:sz="0" w:space="0" w:color="auto"/>
        <w:left w:val="none" w:sz="0" w:space="0" w:color="auto"/>
        <w:bottom w:val="none" w:sz="0" w:space="0" w:color="auto"/>
        <w:right w:val="none" w:sz="0" w:space="0" w:color="auto"/>
      </w:divBdr>
    </w:div>
    <w:div w:id="1060053315">
      <w:bodyDiv w:val="1"/>
      <w:marLeft w:val="0"/>
      <w:marRight w:val="0"/>
      <w:marTop w:val="0"/>
      <w:marBottom w:val="0"/>
      <w:divBdr>
        <w:top w:val="none" w:sz="0" w:space="0" w:color="auto"/>
        <w:left w:val="none" w:sz="0" w:space="0" w:color="auto"/>
        <w:bottom w:val="none" w:sz="0" w:space="0" w:color="auto"/>
        <w:right w:val="none" w:sz="0" w:space="0" w:color="auto"/>
      </w:divBdr>
    </w:div>
    <w:div w:id="1165782788">
      <w:bodyDiv w:val="1"/>
      <w:marLeft w:val="0"/>
      <w:marRight w:val="0"/>
      <w:marTop w:val="0"/>
      <w:marBottom w:val="0"/>
      <w:divBdr>
        <w:top w:val="none" w:sz="0" w:space="0" w:color="auto"/>
        <w:left w:val="none" w:sz="0" w:space="0" w:color="auto"/>
        <w:bottom w:val="none" w:sz="0" w:space="0" w:color="auto"/>
        <w:right w:val="none" w:sz="0" w:space="0" w:color="auto"/>
      </w:divBdr>
    </w:div>
    <w:div w:id="1238788236">
      <w:bodyDiv w:val="1"/>
      <w:marLeft w:val="0"/>
      <w:marRight w:val="0"/>
      <w:marTop w:val="0"/>
      <w:marBottom w:val="0"/>
      <w:divBdr>
        <w:top w:val="none" w:sz="0" w:space="0" w:color="auto"/>
        <w:left w:val="none" w:sz="0" w:space="0" w:color="auto"/>
        <w:bottom w:val="none" w:sz="0" w:space="0" w:color="auto"/>
        <w:right w:val="none" w:sz="0" w:space="0" w:color="auto"/>
      </w:divBdr>
    </w:div>
    <w:div w:id="1254630573">
      <w:bodyDiv w:val="1"/>
      <w:marLeft w:val="0"/>
      <w:marRight w:val="0"/>
      <w:marTop w:val="0"/>
      <w:marBottom w:val="0"/>
      <w:divBdr>
        <w:top w:val="none" w:sz="0" w:space="0" w:color="auto"/>
        <w:left w:val="none" w:sz="0" w:space="0" w:color="auto"/>
        <w:bottom w:val="none" w:sz="0" w:space="0" w:color="auto"/>
        <w:right w:val="none" w:sz="0" w:space="0" w:color="auto"/>
      </w:divBdr>
    </w:div>
    <w:div w:id="1324815807">
      <w:bodyDiv w:val="1"/>
      <w:marLeft w:val="0"/>
      <w:marRight w:val="0"/>
      <w:marTop w:val="0"/>
      <w:marBottom w:val="0"/>
      <w:divBdr>
        <w:top w:val="none" w:sz="0" w:space="0" w:color="auto"/>
        <w:left w:val="none" w:sz="0" w:space="0" w:color="auto"/>
        <w:bottom w:val="none" w:sz="0" w:space="0" w:color="auto"/>
        <w:right w:val="none" w:sz="0" w:space="0" w:color="auto"/>
      </w:divBdr>
    </w:div>
    <w:div w:id="1407416190">
      <w:bodyDiv w:val="1"/>
      <w:marLeft w:val="0"/>
      <w:marRight w:val="0"/>
      <w:marTop w:val="0"/>
      <w:marBottom w:val="0"/>
      <w:divBdr>
        <w:top w:val="none" w:sz="0" w:space="0" w:color="auto"/>
        <w:left w:val="none" w:sz="0" w:space="0" w:color="auto"/>
        <w:bottom w:val="none" w:sz="0" w:space="0" w:color="auto"/>
        <w:right w:val="none" w:sz="0" w:space="0" w:color="auto"/>
      </w:divBdr>
    </w:div>
    <w:div w:id="1936284462">
      <w:bodyDiv w:val="1"/>
      <w:marLeft w:val="0"/>
      <w:marRight w:val="0"/>
      <w:marTop w:val="0"/>
      <w:marBottom w:val="0"/>
      <w:divBdr>
        <w:top w:val="none" w:sz="0" w:space="0" w:color="auto"/>
        <w:left w:val="none" w:sz="0" w:space="0" w:color="auto"/>
        <w:bottom w:val="none" w:sz="0" w:space="0" w:color="auto"/>
        <w:right w:val="none" w:sz="0" w:space="0" w:color="auto"/>
      </w:divBdr>
    </w:div>
    <w:div w:id="2124690334">
      <w:bodyDiv w:val="1"/>
      <w:marLeft w:val="0"/>
      <w:marRight w:val="0"/>
      <w:marTop w:val="0"/>
      <w:marBottom w:val="0"/>
      <w:divBdr>
        <w:top w:val="none" w:sz="0" w:space="0" w:color="auto"/>
        <w:left w:val="none" w:sz="0" w:space="0" w:color="auto"/>
        <w:bottom w:val="none" w:sz="0" w:space="0" w:color="auto"/>
        <w:right w:val="none" w:sz="0" w:space="0" w:color="auto"/>
      </w:divBdr>
    </w:div>
    <w:div w:id="21326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Archana</cp:lastModifiedBy>
  <cp:revision>32</cp:revision>
  <dcterms:created xsi:type="dcterms:W3CDTF">2025-04-17T13:15:00Z</dcterms:created>
  <dcterms:modified xsi:type="dcterms:W3CDTF">2025-04-23T06:33:00Z</dcterms:modified>
</cp:coreProperties>
</file>