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5921" w14:textId="77777777" w:rsidR="00CB130B" w:rsidRDefault="00D21C77" w:rsidP="00D21C77">
      <w:pPr>
        <w:jc w:val="center"/>
        <w:rPr>
          <w:b/>
          <w:lang w:val="en-US"/>
        </w:rPr>
      </w:pPr>
      <w:bookmarkStart w:id="0" w:name="_GoBack"/>
      <w:bookmarkEnd w:id="0"/>
      <w:r w:rsidRPr="00D21C77">
        <w:rPr>
          <w:b/>
          <w:lang w:val="en-US"/>
        </w:rPr>
        <w:t>Does electricity access make people happy? Empirical evidence from African Great Lakes countries</w:t>
      </w:r>
    </w:p>
    <w:p w14:paraId="7AA8320F" w14:textId="77777777" w:rsidR="00613A44" w:rsidRPr="00D21C77" w:rsidRDefault="00613A44" w:rsidP="00D21C77">
      <w:pPr>
        <w:jc w:val="center"/>
        <w:rPr>
          <w:b/>
          <w:lang w:val="en-US"/>
        </w:rPr>
      </w:pPr>
    </w:p>
    <w:p w14:paraId="048D0EFD" w14:textId="77777777" w:rsidR="00D21C77" w:rsidRDefault="00D21C77">
      <w:pPr>
        <w:rPr>
          <w:lang w:val="en-US"/>
        </w:rPr>
      </w:pPr>
    </w:p>
    <w:p w14:paraId="3284A680" w14:textId="77777777" w:rsidR="00D21C77" w:rsidRDefault="00D21C77" w:rsidP="00D21C77">
      <w:pPr>
        <w:pStyle w:val="Heading1"/>
        <w:rPr>
          <w:lang w:val="en-US"/>
        </w:rPr>
      </w:pPr>
      <w:r>
        <w:rPr>
          <w:lang w:val="en-US"/>
        </w:rPr>
        <w:t>Abstract</w:t>
      </w:r>
    </w:p>
    <w:p w14:paraId="25F444E2" w14:textId="77777777" w:rsidR="001D14ED" w:rsidRDefault="00EC3CDE" w:rsidP="00A66937">
      <w:pPr>
        <w:ind w:firstLine="567"/>
        <w:rPr>
          <w:lang w:val="en-US"/>
        </w:rPr>
      </w:pPr>
      <w:r w:rsidRPr="001828AC">
        <w:rPr>
          <w:lang w:val="en-US"/>
        </w:rPr>
        <w:t>This study examines the relationship between electricity access and happiness in African Great Lakes Countries (GLCs</w:t>
      </w:r>
      <w:r w:rsidR="001828AC">
        <w:rPr>
          <w:lang w:val="en-US"/>
        </w:rPr>
        <w:t xml:space="preserve"> </w:t>
      </w:r>
      <w:r w:rsidRPr="001828AC">
        <w:rPr>
          <w:lang w:val="en-US"/>
        </w:rPr>
        <w:t xml:space="preserve">using panel data from 2012 to 2021. Employing the </w:t>
      </w:r>
      <w:proofErr w:type="spellStart"/>
      <w:r w:rsidRPr="001828AC">
        <w:rPr>
          <w:lang w:val="en-US"/>
        </w:rPr>
        <w:t>Cantril</w:t>
      </w:r>
      <w:proofErr w:type="spellEnd"/>
      <w:r w:rsidRPr="001828AC">
        <w:rPr>
          <w:lang w:val="en-US"/>
        </w:rPr>
        <w:t xml:space="preserve"> ladder score as a measure of subjective well-being, the analysis investigates how electrification influences happiness, with a focus on rural-urban disparities. The baseline estimates, derived using D</w:t>
      </w:r>
      <w:r w:rsidR="001828AC">
        <w:rPr>
          <w:lang w:val="en-US"/>
        </w:rPr>
        <w:t>riscoll &amp; Kraay standard errors</w:t>
      </w:r>
      <w:r w:rsidRPr="001828AC">
        <w:rPr>
          <w:lang w:val="en-US"/>
        </w:rPr>
        <w:t xml:space="preserve">, reveal a statistically significant and positive relationship between electricity access and happiness, particularly in rural areas, where the effect is substantially larger than in urban settings. To address endogeneity concerns, the study further employs an Instrumental Variable Two-Stage Least Squares (IV-2SLS) approach, which corroborates and amplifies these findings, underscoring the causal impact of electrification on well-being. Control variables, including education, financial development, health, and industrialization, consistently exhibit theoretically aligned and statistically significant effects, reinforcing the robustness of the model. The results highlight the transformative potential of electrification in enhancing happiness, suggesting that policies targeting underserved regions could yield disproportionate well-being gains. </w:t>
      </w:r>
      <w:r w:rsidR="00152C34">
        <w:rPr>
          <w:lang w:val="en-US"/>
        </w:rPr>
        <w:t>T</w:t>
      </w:r>
      <w:r w:rsidRPr="001828AC">
        <w:rPr>
          <w:lang w:val="en-US"/>
        </w:rPr>
        <w:t>his study provides region-specific insights often obscured in global analyses, thereby contributing to the broader discourse on energy access and development.</w:t>
      </w:r>
    </w:p>
    <w:p w14:paraId="27035769" w14:textId="77777777" w:rsidR="001D14ED" w:rsidRDefault="00882524" w:rsidP="001D14ED">
      <w:pPr>
        <w:rPr>
          <w:lang w:val="en-US"/>
        </w:rPr>
      </w:pPr>
      <w:r w:rsidRPr="00785C6D">
        <w:rPr>
          <w:b/>
          <w:lang w:val="en-US"/>
        </w:rPr>
        <w:t>Keywords:</w:t>
      </w:r>
      <w:r>
        <w:rPr>
          <w:lang w:val="en-US"/>
        </w:rPr>
        <w:t xml:space="preserve"> </w:t>
      </w:r>
      <w:r w:rsidR="0031762D">
        <w:rPr>
          <w:lang w:val="en-US"/>
        </w:rPr>
        <w:t xml:space="preserve">Access to electricity, happiness, Subjective </w:t>
      </w:r>
      <w:r w:rsidR="0031762D" w:rsidRPr="001828AC">
        <w:rPr>
          <w:lang w:val="en-US"/>
        </w:rPr>
        <w:t>well-being</w:t>
      </w:r>
      <w:r w:rsidR="0031762D">
        <w:rPr>
          <w:lang w:val="en-US"/>
        </w:rPr>
        <w:t xml:space="preserve">, Great Lakes Countries </w:t>
      </w:r>
    </w:p>
    <w:p w14:paraId="463D31A8" w14:textId="77777777" w:rsidR="00882524" w:rsidRDefault="00882524" w:rsidP="001D14ED">
      <w:pPr>
        <w:rPr>
          <w:lang w:val="en-US"/>
        </w:rPr>
      </w:pPr>
      <w:r w:rsidRPr="00FD330E">
        <w:rPr>
          <w:b/>
          <w:lang w:val="en-US"/>
        </w:rPr>
        <w:t>JEL Classifications</w:t>
      </w:r>
      <w:r>
        <w:rPr>
          <w:lang w:val="en-US"/>
        </w:rPr>
        <w:t>:</w:t>
      </w:r>
      <w:r w:rsidR="00785C6D">
        <w:rPr>
          <w:lang w:val="en-US"/>
        </w:rPr>
        <w:t xml:space="preserve"> I31, O55, Q41</w:t>
      </w:r>
    </w:p>
    <w:p w14:paraId="34A6E40E" w14:textId="6B200CEC" w:rsidR="001D14ED" w:rsidRDefault="001D14ED" w:rsidP="001D14ED">
      <w:pPr>
        <w:rPr>
          <w:lang w:val="en-US"/>
        </w:rPr>
      </w:pPr>
    </w:p>
    <w:p w14:paraId="0187C7C1" w14:textId="77777777" w:rsidR="001D14ED" w:rsidRDefault="001D14ED" w:rsidP="0073713F">
      <w:pPr>
        <w:pStyle w:val="Heading1"/>
        <w:numPr>
          <w:ilvl w:val="0"/>
          <w:numId w:val="1"/>
        </w:numPr>
        <w:rPr>
          <w:lang w:val="en-US"/>
        </w:rPr>
      </w:pPr>
      <w:r>
        <w:rPr>
          <w:lang w:val="en-US"/>
        </w:rPr>
        <w:t>Introduction</w:t>
      </w:r>
    </w:p>
    <w:p w14:paraId="5106E259" w14:textId="77777777" w:rsidR="00E9705E" w:rsidRPr="00E9705E" w:rsidRDefault="004A076F" w:rsidP="00E9705E">
      <w:pPr>
        <w:ind w:firstLine="567"/>
        <w:rPr>
          <w:lang w:val="en-US"/>
        </w:rPr>
      </w:pPr>
      <w:r>
        <w:rPr>
          <w:lang w:val="en-US"/>
        </w:rPr>
        <w:t>Access to electricity remains a</w:t>
      </w:r>
      <w:r w:rsidR="00E9705E" w:rsidRPr="00E9705E">
        <w:rPr>
          <w:lang w:val="en-US"/>
        </w:rPr>
        <w:t xml:space="preserve"> development chall</w:t>
      </w:r>
      <w:r>
        <w:rPr>
          <w:lang w:val="en-US"/>
        </w:rPr>
        <w:t>enge in Africa</w:t>
      </w:r>
      <w:r w:rsidR="00E9705E" w:rsidRPr="00E9705E">
        <w:rPr>
          <w:lang w:val="en-US"/>
        </w:rPr>
        <w:t>, with profound implications for socioeconomic well-being and quality of life (</w:t>
      </w:r>
      <w:proofErr w:type="spellStart"/>
      <w:r w:rsidR="00E9705E" w:rsidRPr="00E9705E">
        <w:rPr>
          <w:lang w:val="en-US"/>
        </w:rPr>
        <w:t>Blimpo</w:t>
      </w:r>
      <w:proofErr w:type="spellEnd"/>
      <w:r w:rsidR="00E9705E" w:rsidRPr="00E9705E">
        <w:rPr>
          <w:lang w:val="en-US"/>
        </w:rPr>
        <w:t xml:space="preserve"> &amp; Cosgrove-Davies, 2019). Despite global advancements in electrification, the Afri</w:t>
      </w:r>
      <w:r w:rsidR="00A9709C">
        <w:rPr>
          <w:lang w:val="en-US"/>
        </w:rPr>
        <w:t xml:space="preserve">can Great Lakes Countries (GLC), specifically the </w:t>
      </w:r>
      <w:r w:rsidR="00E9705E" w:rsidRPr="00E9705E">
        <w:rPr>
          <w:lang w:val="en-US"/>
        </w:rPr>
        <w:t>Democratic Republic of the Congo (DRC), Malawi, Rwanda, Tanzani</w:t>
      </w:r>
      <w:r w:rsidR="00A9709C">
        <w:rPr>
          <w:lang w:val="en-US"/>
        </w:rPr>
        <w:t xml:space="preserve">a, and Uganda, </w:t>
      </w:r>
      <w:r w:rsidR="00E9705E" w:rsidRPr="00E9705E">
        <w:rPr>
          <w:lang w:val="en-US"/>
        </w:rPr>
        <w:t>continue to experience significant disparities in electricity access, with rural areas dispro</w:t>
      </w:r>
      <w:r w:rsidR="00AE4D52">
        <w:rPr>
          <w:lang w:val="en-US"/>
        </w:rPr>
        <w:t>portionately affected (IEA, 2022</w:t>
      </w:r>
      <w:r w:rsidR="00E9705E" w:rsidRPr="00E9705E">
        <w:rPr>
          <w:lang w:val="en-US"/>
        </w:rPr>
        <w:t>). These disparities not only hinder economic growth but also limit opportunities for improved health, education, and overall</w:t>
      </w:r>
      <w:r w:rsidR="00A9709C">
        <w:rPr>
          <w:lang w:val="en-US"/>
        </w:rPr>
        <w:t xml:space="preserve"> happiness (Brew-Hammond, 2010; Kelly et al., 2023</w:t>
      </w:r>
      <w:r w:rsidR="00E9705E" w:rsidRPr="00E9705E">
        <w:rPr>
          <w:lang w:val="en-US"/>
        </w:rPr>
        <w:t xml:space="preserve">). The relationship between electricity access and subjective well-being, however, remains underexplored in the context of the GLC, where unique </w:t>
      </w:r>
      <w:r w:rsidR="00E9705E" w:rsidRPr="00E9705E">
        <w:rPr>
          <w:lang w:val="en-US"/>
        </w:rPr>
        <w:lastRenderedPageBreak/>
        <w:t>geographical, economic, and infrastructural constraints exacerbate energy poverty (</w:t>
      </w:r>
      <w:proofErr w:type="spellStart"/>
      <w:r w:rsidR="00E9705E" w:rsidRPr="00E9705E">
        <w:rPr>
          <w:lang w:val="en-US"/>
        </w:rPr>
        <w:t>Aklin</w:t>
      </w:r>
      <w:proofErr w:type="spellEnd"/>
      <w:r w:rsidR="00E9705E" w:rsidRPr="00E9705E">
        <w:rPr>
          <w:lang w:val="en-US"/>
        </w:rPr>
        <w:t xml:space="preserve"> et al., 2018).</w:t>
      </w:r>
    </w:p>
    <w:p w14:paraId="102642C2" w14:textId="77777777" w:rsidR="00E9705E" w:rsidRPr="00E9705E" w:rsidRDefault="00E9705E" w:rsidP="00E9705E">
      <w:pPr>
        <w:ind w:firstLine="567"/>
        <w:rPr>
          <w:lang w:val="en-US"/>
        </w:rPr>
      </w:pPr>
      <w:r w:rsidRPr="00E9705E">
        <w:rPr>
          <w:lang w:val="en-US"/>
        </w:rPr>
        <w:t>Electricity access in the GLC lags behind global averages, with an average electrification rate of 42% in 2022, compared to 90% in other developing regions (IEA, 2022). In rural areas, this figure drops to just 28%, leaving millions reliant on traditional biomass and kerosene, which pose health and environmental risks (</w:t>
      </w:r>
      <w:proofErr w:type="spellStart"/>
      <w:r w:rsidR="00AE4D52" w:rsidRPr="007312D9">
        <w:rPr>
          <w:rFonts w:eastAsia="Times New Roman" w:cs="Times New Roman"/>
          <w:szCs w:val="24"/>
          <w:lang w:val="en-US" w:eastAsia="fr-FR"/>
        </w:rPr>
        <w:t>Kakodia</w:t>
      </w:r>
      <w:proofErr w:type="spellEnd"/>
      <w:r w:rsidR="00AE4D52">
        <w:rPr>
          <w:rFonts w:eastAsia="Times New Roman" w:cs="Times New Roman"/>
          <w:szCs w:val="24"/>
          <w:lang w:val="en-US" w:eastAsia="fr-FR"/>
        </w:rPr>
        <w:t xml:space="preserve"> et al., 2025</w:t>
      </w:r>
      <w:r w:rsidRPr="00E9705E">
        <w:rPr>
          <w:lang w:val="en-US"/>
        </w:rPr>
        <w:t>). This energy poverty correlates with lower educational attainment, reduced economic productivity, and poorer health outcomes, all of which are determinants of happiness (</w:t>
      </w:r>
      <w:r w:rsidR="00580278" w:rsidRPr="007312D9">
        <w:rPr>
          <w:lang w:val="en-US"/>
        </w:rPr>
        <w:t>Helliwell</w:t>
      </w:r>
      <w:r w:rsidRPr="00E9705E">
        <w:rPr>
          <w:lang w:val="en-US"/>
        </w:rPr>
        <w:t xml:space="preserve"> et al., 2012). For instance, households without electricity often face higher exposure to indoor air pollution, a leading cause of respiratory diseases, while limited lighting restricts study hours for children, perpetuating cycles o</w:t>
      </w:r>
      <w:r w:rsidR="00A27A7E">
        <w:rPr>
          <w:lang w:val="en-US"/>
        </w:rPr>
        <w:t>f poverty (</w:t>
      </w:r>
      <w:r w:rsidR="00A27A7E" w:rsidRPr="007312D9">
        <w:rPr>
          <w:lang w:val="en-US"/>
        </w:rPr>
        <w:t>Rafa</w:t>
      </w:r>
      <w:r w:rsidR="00A27A7E">
        <w:rPr>
          <w:lang w:val="en-US"/>
        </w:rPr>
        <w:t xml:space="preserve"> et al., 2024</w:t>
      </w:r>
      <w:r w:rsidRPr="00E9705E">
        <w:rPr>
          <w:lang w:val="en-US"/>
        </w:rPr>
        <w:t xml:space="preserve">). Furthermore, the absence of reliable electricity stifles entrepreneurial activity, particularly for women, who rely on energy-dependent enterprises for income </w:t>
      </w:r>
      <w:r w:rsidR="00BF4F51">
        <w:rPr>
          <w:lang w:val="en-US"/>
        </w:rPr>
        <w:t>(Dinkelman, 2011). These</w:t>
      </w:r>
      <w:r w:rsidRPr="00E9705E">
        <w:rPr>
          <w:lang w:val="en-US"/>
        </w:rPr>
        <w:t xml:space="preserve"> challenges </w:t>
      </w:r>
      <w:r w:rsidR="00BF4F51">
        <w:rPr>
          <w:lang w:val="en-US"/>
        </w:rPr>
        <w:t>emphasize</w:t>
      </w:r>
      <w:r w:rsidRPr="00E9705E">
        <w:rPr>
          <w:lang w:val="en-US"/>
        </w:rPr>
        <w:t xml:space="preserve"> the need to examine how electrification influences happiness in the GLC, where energy access remains a </w:t>
      </w:r>
      <w:r w:rsidR="00BF4F51">
        <w:rPr>
          <w:lang w:val="en-US"/>
        </w:rPr>
        <w:t>vital</w:t>
      </w:r>
      <w:r w:rsidRPr="00E9705E">
        <w:rPr>
          <w:lang w:val="en-US"/>
        </w:rPr>
        <w:t xml:space="preserve"> yet unresolved issue.</w:t>
      </w:r>
    </w:p>
    <w:p w14:paraId="26DBC3ED" w14:textId="77777777" w:rsidR="00E9705E" w:rsidRPr="00E9705E" w:rsidRDefault="00E9705E" w:rsidP="00E9705E">
      <w:pPr>
        <w:ind w:firstLine="567"/>
        <w:rPr>
          <w:lang w:val="en-US"/>
        </w:rPr>
      </w:pPr>
      <w:r w:rsidRPr="00E9705E">
        <w:rPr>
          <w:lang w:val="en-US"/>
        </w:rPr>
        <w:t xml:space="preserve">One factor gaining traction in development literature is the role of electricity in enhancing subjective well-being, a measure of happiness and life satisfaction (Graham, 2011; </w:t>
      </w:r>
      <w:r w:rsidR="00C57DE8" w:rsidRPr="00742EB7">
        <w:rPr>
          <w:lang w:val="en-US"/>
        </w:rPr>
        <w:t>Munir</w:t>
      </w:r>
      <w:r w:rsidR="00C57DE8">
        <w:rPr>
          <w:lang w:val="en-US"/>
        </w:rPr>
        <w:t xml:space="preserve"> et al., 2024</w:t>
      </w:r>
      <w:r w:rsidRPr="00E9705E">
        <w:rPr>
          <w:lang w:val="en-US"/>
        </w:rPr>
        <w:t>). While studies have linked electrification to economic benefits, its direct impact on happiness</w:t>
      </w:r>
      <w:r w:rsidR="003B5358">
        <w:rPr>
          <w:lang w:val="en-US"/>
        </w:rPr>
        <w:t xml:space="preserve"> </w:t>
      </w:r>
      <w:r w:rsidRPr="00E9705E">
        <w:rPr>
          <w:lang w:val="en-US"/>
        </w:rPr>
        <w:t>is less understood, particularly in resource-constrained settings like the GLC (</w:t>
      </w:r>
      <w:r w:rsidR="003B5358" w:rsidRPr="00742EB7">
        <w:rPr>
          <w:lang w:val="en-US"/>
        </w:rPr>
        <w:t>Stern</w:t>
      </w:r>
      <w:r w:rsidR="003B5358">
        <w:rPr>
          <w:lang w:val="en-US"/>
        </w:rPr>
        <w:t xml:space="preserve"> et al., 2019; </w:t>
      </w:r>
      <w:r w:rsidR="003B5358" w:rsidRPr="00742EB7">
        <w:rPr>
          <w:lang w:val="en-US"/>
        </w:rPr>
        <w:t>Kelly &amp; Radler, 2024</w:t>
      </w:r>
      <w:r w:rsidRPr="00E9705E">
        <w:rPr>
          <w:lang w:val="en-US"/>
        </w:rPr>
        <w:t>). Theoretical frameworks suggest that electricity access</w:t>
      </w:r>
      <w:r w:rsidR="00A90E2C">
        <w:rPr>
          <w:lang w:val="en-US"/>
        </w:rPr>
        <w:t xml:space="preserve"> may</w:t>
      </w:r>
      <w:r w:rsidRPr="00E9705E">
        <w:rPr>
          <w:lang w:val="en-US"/>
        </w:rPr>
        <w:t xml:space="preserve"> </w:t>
      </w:r>
      <w:r w:rsidR="00A90E2C">
        <w:rPr>
          <w:lang w:val="en-US"/>
        </w:rPr>
        <w:t>foster</w:t>
      </w:r>
      <w:r w:rsidRPr="00E9705E">
        <w:rPr>
          <w:lang w:val="en-US"/>
        </w:rPr>
        <w:t xml:space="preserve"> happiness by enabling modern amenities (e.g., lighting, refrigeration, and communication technologies), which elevate living standards and r</w:t>
      </w:r>
      <w:r w:rsidR="00A90E2C">
        <w:rPr>
          <w:lang w:val="en-US"/>
        </w:rPr>
        <w:t>educe daily hardships (Oum, 2019</w:t>
      </w:r>
      <w:r w:rsidRPr="00E9705E">
        <w:rPr>
          <w:lang w:val="en-US"/>
        </w:rPr>
        <w:t xml:space="preserve">). However, empirical evidence specific to the GLC is sparse, with most research focusing on </w:t>
      </w:r>
      <w:r w:rsidR="001E7A94">
        <w:rPr>
          <w:lang w:val="en-US"/>
        </w:rPr>
        <w:t>broader</w:t>
      </w:r>
      <w:r w:rsidRPr="00E9705E">
        <w:rPr>
          <w:lang w:val="en-US"/>
        </w:rPr>
        <w:t xml:space="preserve"> or global samples, potentially obs</w:t>
      </w:r>
      <w:r w:rsidR="001E7A94">
        <w:rPr>
          <w:lang w:val="en-US"/>
        </w:rPr>
        <w:t>curing region-specific dynamics</w:t>
      </w:r>
      <w:r w:rsidRPr="00E9705E">
        <w:rPr>
          <w:lang w:val="en-US"/>
        </w:rPr>
        <w:t>.</w:t>
      </w:r>
    </w:p>
    <w:p w14:paraId="57F81E75" w14:textId="77777777" w:rsidR="00E9705E" w:rsidRPr="00E9705E" w:rsidRDefault="00E9705E" w:rsidP="00E9705E">
      <w:pPr>
        <w:ind w:firstLine="567"/>
        <w:rPr>
          <w:lang w:val="en-US"/>
        </w:rPr>
      </w:pPr>
      <w:r w:rsidRPr="00E9705E">
        <w:rPr>
          <w:lang w:val="en-US"/>
        </w:rPr>
        <w:t>This study contributes to the literature in two key ways. First, it narrows the focus to the GLC, a region with distinct energy challenges and cultural contexts, thereby avoiding the biases inherent in global analyses that may overlook localized barriers to happiness (</w:t>
      </w:r>
      <w:proofErr w:type="spellStart"/>
      <w:r w:rsidRPr="00E9705E">
        <w:rPr>
          <w:lang w:val="en-US"/>
        </w:rPr>
        <w:t>Aklin</w:t>
      </w:r>
      <w:proofErr w:type="spellEnd"/>
      <w:r w:rsidRPr="00E9705E">
        <w:rPr>
          <w:lang w:val="en-US"/>
        </w:rPr>
        <w:t xml:space="preserve"> et al., 2018). Unlike prior studies, which often treat </w:t>
      </w:r>
      <w:r w:rsidR="00DD1872">
        <w:rPr>
          <w:lang w:val="en-US"/>
        </w:rPr>
        <w:t>the global analyses</w:t>
      </w:r>
      <w:r w:rsidRPr="00E9705E">
        <w:rPr>
          <w:lang w:val="en-US"/>
        </w:rPr>
        <w:t xml:space="preserve"> as a monolith, this research acknowledges the heterogeneity of the GLC, where factors like conflict (e.g., DRC), rapid urbanization (e.g., Rwanda), and agrarian dependence (e.g., Uganda) uniquely shape the electricity-happi</w:t>
      </w:r>
      <w:r w:rsidR="00DD1872">
        <w:rPr>
          <w:lang w:val="en-US"/>
        </w:rPr>
        <w:t>ness nexus</w:t>
      </w:r>
      <w:r w:rsidRPr="00E9705E">
        <w:rPr>
          <w:lang w:val="en-US"/>
        </w:rPr>
        <w:t xml:space="preserve">. </w:t>
      </w:r>
      <w:r w:rsidR="00C00AB2" w:rsidRPr="00C00AB2">
        <w:rPr>
          <w:rStyle w:val="Strong"/>
          <w:b w:val="0"/>
          <w:lang w:val="en-US"/>
        </w:rPr>
        <w:t>Second, the study employs a robust empirical econometric framework to address cross-sectional dependence and endogeneity.</w:t>
      </w:r>
      <w:r w:rsidR="00C00AB2" w:rsidRPr="00C00AB2">
        <w:rPr>
          <w:lang w:val="en-US"/>
        </w:rPr>
        <w:t xml:space="preserve"> Using </w:t>
      </w:r>
      <w:r w:rsidR="00C00AB2" w:rsidRPr="00C00AB2">
        <w:rPr>
          <w:rStyle w:val="Strong"/>
          <w:b w:val="0"/>
          <w:lang w:val="en-US"/>
        </w:rPr>
        <w:t>Driscoll-Kraay standard errors</w:t>
      </w:r>
      <w:r w:rsidR="00C00AB2" w:rsidRPr="00C00AB2">
        <w:rPr>
          <w:lang w:val="en-US"/>
        </w:rPr>
        <w:t xml:space="preserve"> to account for spatial and temporal dependence, and </w:t>
      </w:r>
      <w:r w:rsidR="00AD2B13">
        <w:rPr>
          <w:rStyle w:val="Strong"/>
          <w:b w:val="0"/>
          <w:lang w:val="en-US"/>
        </w:rPr>
        <w:t xml:space="preserve">the </w:t>
      </w:r>
      <w:r w:rsidR="00C00AB2" w:rsidRPr="00C00AB2">
        <w:rPr>
          <w:rStyle w:val="Strong"/>
          <w:b w:val="0"/>
          <w:lang w:val="en-US"/>
        </w:rPr>
        <w:t>Instrumental Variabl</w:t>
      </w:r>
      <w:r w:rsidR="00AD2B13">
        <w:rPr>
          <w:rStyle w:val="Strong"/>
          <w:b w:val="0"/>
          <w:lang w:val="en-US"/>
        </w:rPr>
        <w:t xml:space="preserve">e </w:t>
      </w:r>
      <w:r w:rsidR="008303F3">
        <w:rPr>
          <w:rStyle w:val="Strong"/>
          <w:b w:val="0"/>
          <w:lang w:val="en-US"/>
        </w:rPr>
        <w:lastRenderedPageBreak/>
        <w:t>Two Stage Least Squares</w:t>
      </w:r>
      <w:r w:rsidR="00C00AB2" w:rsidRPr="00C00AB2">
        <w:rPr>
          <w:lang w:val="en-US"/>
        </w:rPr>
        <w:t xml:space="preserve"> to mitigate endogene</w:t>
      </w:r>
      <w:r w:rsidR="006D06E7">
        <w:rPr>
          <w:lang w:val="en-US"/>
        </w:rPr>
        <w:t xml:space="preserve">ity, the analysis provides </w:t>
      </w:r>
      <w:r w:rsidR="00C00AB2" w:rsidRPr="00C00AB2">
        <w:rPr>
          <w:lang w:val="en-US"/>
        </w:rPr>
        <w:t>evidence that electricity access significantly increas</w:t>
      </w:r>
      <w:r w:rsidR="006D06E7">
        <w:rPr>
          <w:lang w:val="en-US"/>
        </w:rPr>
        <w:t>es happiness levels in the GLC</w:t>
      </w:r>
      <w:r w:rsidRPr="00E9705E">
        <w:rPr>
          <w:lang w:val="en-US"/>
        </w:rPr>
        <w:t>.</w:t>
      </w:r>
    </w:p>
    <w:p w14:paraId="64B553A8" w14:textId="77777777" w:rsidR="00E9705E" w:rsidRDefault="00E9705E" w:rsidP="00E9705E">
      <w:pPr>
        <w:ind w:firstLine="567"/>
        <w:rPr>
          <w:lang w:val="en-US"/>
        </w:rPr>
      </w:pPr>
      <w:r w:rsidRPr="00E9705E">
        <w:rPr>
          <w:lang w:val="en-US"/>
        </w:rPr>
        <w:t>The remainder of the paper is structured as follows: Section 2 reviews the literature on electricity access and well-being, Section 3 outlines the methodology, Section 4 presents and discusses the findings, and Section 5 concludes with policy recommendations.</w:t>
      </w:r>
    </w:p>
    <w:p w14:paraId="1B57361D" w14:textId="77777777" w:rsidR="004B6D39" w:rsidRDefault="004B6D39" w:rsidP="00E9705E">
      <w:pPr>
        <w:ind w:firstLine="567"/>
        <w:rPr>
          <w:lang w:val="en-US"/>
        </w:rPr>
      </w:pPr>
    </w:p>
    <w:p w14:paraId="7BC3C774" w14:textId="77777777" w:rsidR="004B6D39" w:rsidRPr="00E9705E" w:rsidRDefault="004B6D39" w:rsidP="0073713F">
      <w:pPr>
        <w:pStyle w:val="Heading1"/>
        <w:numPr>
          <w:ilvl w:val="0"/>
          <w:numId w:val="1"/>
        </w:numPr>
        <w:rPr>
          <w:lang w:val="en-US"/>
        </w:rPr>
      </w:pPr>
      <w:r>
        <w:rPr>
          <w:lang w:val="en-US"/>
        </w:rPr>
        <w:t>Literature Review</w:t>
      </w:r>
    </w:p>
    <w:p w14:paraId="20C7B3F0" w14:textId="77777777" w:rsidR="008B7808" w:rsidRDefault="008B7808" w:rsidP="008B7808">
      <w:pPr>
        <w:ind w:firstLine="567"/>
        <w:rPr>
          <w:lang w:val="en-US"/>
        </w:rPr>
      </w:pPr>
      <w:r w:rsidRPr="002A39F2">
        <w:rPr>
          <w:lang w:val="en-US"/>
        </w:rPr>
        <w:t>The relationship between electricity access and subjective well-being has garnered increasing attention in recent development literature, yet research specifically targeting the African Great Lakes Countries is still limited. Existing studies present differing viewpoints on this relationship; some indicate positive welfare effects, while others point out contextual limitations.</w:t>
      </w:r>
    </w:p>
    <w:p w14:paraId="284ECF56" w14:textId="77777777" w:rsidR="00454DDD" w:rsidRDefault="00454DDD" w:rsidP="008B7808">
      <w:pPr>
        <w:ind w:firstLine="567"/>
        <w:rPr>
          <w:lang w:val="en-US"/>
        </w:rPr>
      </w:pPr>
      <w:r w:rsidRPr="00454DDD">
        <w:rPr>
          <w:lang w:val="en-US"/>
        </w:rPr>
        <w:t xml:space="preserve">The first strand of literature examines how electricity access and consumption patterns directly influence subjective well-being across different contexts. Nasrudin et al. (2022) provide subnational evidence from Indonesia, where instrumental variable analysis reveals that electricity access boosts happiness through improved housing satisfaction, with particularly strong effects in disadvantaged regions. Similarly, Wu et al. (2022) demonstrate in China that residential electricity consumption enhances well-being across diverse demographic groups, though without detecting nonlinear relationships. These positive findings are complemented by Munir et al. (2024)'s structural equation modeling in Pakistan, which shows how energy-saving behaviors can mediate the relationship between electricity use and well-being. However, </w:t>
      </w:r>
      <w:proofErr w:type="spellStart"/>
      <w:r w:rsidRPr="00454DDD">
        <w:rPr>
          <w:lang w:val="en-US"/>
        </w:rPr>
        <w:t>Kuziboev</w:t>
      </w:r>
      <w:proofErr w:type="spellEnd"/>
      <w:r w:rsidRPr="00454DDD">
        <w:rPr>
          <w:lang w:val="en-US"/>
        </w:rPr>
        <w:t xml:space="preserve"> et al. (2024) present a more </w:t>
      </w:r>
      <w:r w:rsidR="00D4306E">
        <w:rPr>
          <w:lang w:val="en-US"/>
        </w:rPr>
        <w:t>refined</w:t>
      </w:r>
      <w:r w:rsidRPr="00454DDD">
        <w:rPr>
          <w:lang w:val="en-US"/>
        </w:rPr>
        <w:t xml:space="preserve"> perspective from Central Asia, where panel quantile regressions reveal generally negative electricity-happiness relationships that weaken with economic development, emphasizing the importance of stable supply and renewable transitions. </w:t>
      </w:r>
    </w:p>
    <w:p w14:paraId="7274E537" w14:textId="77777777" w:rsidR="00454DDD" w:rsidRPr="00454DDD" w:rsidRDefault="00454DDD" w:rsidP="008B7808">
      <w:pPr>
        <w:ind w:firstLine="567"/>
        <w:rPr>
          <w:lang w:val="en-US"/>
        </w:rPr>
      </w:pPr>
      <w:r w:rsidRPr="00454DDD">
        <w:rPr>
          <w:lang w:val="en-US"/>
        </w:rPr>
        <w:t xml:space="preserve">A second body of research focuses on how specific energy system features and economic factors moderate the electricity-well-being relationship. Pfeiffer et al. (2022) take a micro-level experimental approach in Germany, using facial expression analysis to reveal how smart home energy visualizations trigger emotional responses that vary by gender, though graph types show limited differential impacts. </w:t>
      </w:r>
      <w:r w:rsidRPr="004813AA">
        <w:rPr>
          <w:lang w:val="en-US"/>
        </w:rPr>
        <w:t xml:space="preserve">At the macroeconomic level, Ostrowska et al. (2024) employ panel models to demonstrate how renewable energy sources in the EU differentially affect both economic growth and happiness, with wind energy showing particularly strong well-being benefits. These technical and systemic factors interact with affordability concerns, as shown by Welsch and Biermann (2017)'s comprehensive European panel analysis, where energy price </w:t>
      </w:r>
      <w:r w:rsidRPr="004813AA">
        <w:rPr>
          <w:lang w:val="en-US"/>
        </w:rPr>
        <w:lastRenderedPageBreak/>
        <w:t xml:space="preserve">increases significantly reduce life satisfaction, especially among vulnerable populations during high-demand periods. </w:t>
      </w:r>
    </w:p>
    <w:p w14:paraId="098A5A0F" w14:textId="77777777" w:rsidR="00AA5B81" w:rsidRDefault="00530095" w:rsidP="00F4506D">
      <w:pPr>
        <w:ind w:firstLine="567"/>
        <w:rPr>
          <w:lang w:val="en-US"/>
        </w:rPr>
      </w:pPr>
      <w:r w:rsidRPr="002B5C50">
        <w:rPr>
          <w:lang w:val="en-US"/>
        </w:rPr>
        <w:t xml:space="preserve">While </w:t>
      </w:r>
      <w:r w:rsidR="002B5C50">
        <w:rPr>
          <w:lang w:val="en-US"/>
        </w:rPr>
        <w:t>attempts have been made regarding</w:t>
      </w:r>
      <w:r w:rsidRPr="002B5C50">
        <w:rPr>
          <w:lang w:val="en-US"/>
        </w:rPr>
        <w:t xml:space="preserve"> the electricity-happiness nexus across various global contexts, significant gaps remain in understanding how this relationship operates specifically within the unique socioeconomic and geographical landscape of the </w:t>
      </w:r>
      <w:r w:rsidR="002B5C50">
        <w:rPr>
          <w:lang w:val="en-US"/>
        </w:rPr>
        <w:t>GLC</w:t>
      </w:r>
      <w:r w:rsidRPr="002B5C50">
        <w:rPr>
          <w:lang w:val="en-US"/>
        </w:rPr>
        <w:t>. Current studies have either focused on broad cross-country analyses that obscure regional particularities or examined individual national cases that lack comparability across the GLC's diverse settings. The present study addresses these limitations by providing the first comprehensive regional analysis of how electricity access influences happiness in the GLC, where distinctive factors like high energy poverty rates, post-conflict recovery dynamics, rapid urbanization patterns, and reliance on both grid and off-grid solutions create a fundamentally different context f</w:t>
      </w:r>
      <w:r w:rsidR="00A5299D">
        <w:rPr>
          <w:lang w:val="en-US"/>
        </w:rPr>
        <w:t>rom previously studied regions. This focused approach fills a</w:t>
      </w:r>
      <w:r w:rsidRPr="002B5C50">
        <w:rPr>
          <w:lang w:val="en-US"/>
        </w:rPr>
        <w:t xml:space="preserve"> knowledge gap in understanding how electrification strategies can be optimized to maximize well-being gains in one of Africa's most complex yet under-researched regional energy landscapes.</w:t>
      </w:r>
    </w:p>
    <w:p w14:paraId="1BAD944B" w14:textId="77777777" w:rsidR="00FA3C5F" w:rsidRDefault="00FA3C5F" w:rsidP="0073713F">
      <w:pPr>
        <w:pStyle w:val="Heading1"/>
        <w:numPr>
          <w:ilvl w:val="0"/>
          <w:numId w:val="1"/>
        </w:numPr>
        <w:rPr>
          <w:lang w:val="en-US"/>
        </w:rPr>
      </w:pPr>
      <w:r>
        <w:rPr>
          <w:lang w:val="en-US"/>
        </w:rPr>
        <w:t>Material and method</w:t>
      </w:r>
    </w:p>
    <w:p w14:paraId="6D1EC67A" w14:textId="77777777" w:rsidR="00451790" w:rsidRPr="00451790" w:rsidRDefault="0073713F" w:rsidP="0073713F">
      <w:pPr>
        <w:pStyle w:val="Heading2"/>
        <w:numPr>
          <w:ilvl w:val="1"/>
          <w:numId w:val="1"/>
        </w:numPr>
        <w:rPr>
          <w:lang w:val="en-US"/>
        </w:rPr>
      </w:pPr>
      <w:r>
        <w:rPr>
          <w:lang w:val="en-US"/>
        </w:rPr>
        <w:t xml:space="preserve"> </w:t>
      </w:r>
      <w:r w:rsidR="00451790">
        <w:rPr>
          <w:lang w:val="en-US"/>
        </w:rPr>
        <w:t xml:space="preserve">Data </w:t>
      </w:r>
    </w:p>
    <w:p w14:paraId="50B1303A" w14:textId="77777777" w:rsidR="00A746F6" w:rsidRDefault="00B30DD2" w:rsidP="00F4506D">
      <w:pPr>
        <w:ind w:firstLine="567"/>
        <w:rPr>
          <w:lang w:val="en-US"/>
        </w:rPr>
      </w:pPr>
      <w:r w:rsidRPr="00C94877">
        <w:rPr>
          <w:rFonts w:cs="Times New Roman"/>
          <w:szCs w:val="24"/>
          <w:lang w:val="en-US"/>
        </w:rPr>
        <w:t xml:space="preserve">The data </w:t>
      </w:r>
      <w:r>
        <w:rPr>
          <w:rFonts w:cs="Times New Roman"/>
          <w:szCs w:val="24"/>
          <w:lang w:val="en-US"/>
        </w:rPr>
        <w:t xml:space="preserve">used are from secondary sources, obtained mainly from </w:t>
      </w:r>
      <w:r w:rsidRPr="00C94877">
        <w:rPr>
          <w:rFonts w:cs="Times New Roman"/>
          <w:szCs w:val="24"/>
          <w:lang w:val="en-US"/>
        </w:rPr>
        <w:t>the World Development Indicators (WDI)</w:t>
      </w:r>
      <w:r>
        <w:rPr>
          <w:rFonts w:cs="Times New Roman"/>
          <w:szCs w:val="24"/>
          <w:lang w:val="en-US"/>
        </w:rPr>
        <w:t xml:space="preserve">, and the </w:t>
      </w:r>
      <w:r>
        <w:rPr>
          <w:lang w:val="en-US"/>
        </w:rPr>
        <w:t>World Happiness Report</w:t>
      </w:r>
      <w:r w:rsidR="00423F50">
        <w:rPr>
          <w:lang w:val="en-US"/>
        </w:rPr>
        <w:t xml:space="preserve"> (WHR)</w:t>
      </w:r>
      <w:r>
        <w:rPr>
          <w:lang w:val="en-US"/>
        </w:rPr>
        <w:t>.</w:t>
      </w:r>
      <w:r w:rsidRPr="00C44527">
        <w:rPr>
          <w:rFonts w:cs="Times New Roman"/>
          <w:szCs w:val="24"/>
          <w:lang w:val="en-US"/>
        </w:rPr>
        <w:t xml:space="preserve"> </w:t>
      </w:r>
      <w:r>
        <w:rPr>
          <w:rFonts w:cs="Times New Roman"/>
          <w:szCs w:val="24"/>
          <w:lang w:val="en-US"/>
        </w:rPr>
        <w:t xml:space="preserve">The data are for </w:t>
      </w:r>
      <w:r w:rsidR="00423F50">
        <w:rPr>
          <w:rFonts w:cs="Times New Roman"/>
          <w:szCs w:val="24"/>
          <w:lang w:val="en-US"/>
        </w:rPr>
        <w:t>5</w:t>
      </w:r>
      <w:r w:rsidRPr="00C94877">
        <w:rPr>
          <w:rFonts w:cs="Times New Roman"/>
          <w:szCs w:val="24"/>
          <w:lang w:val="en-US"/>
        </w:rPr>
        <w:t xml:space="preserve"> </w:t>
      </w:r>
      <w:r w:rsidR="00423F50">
        <w:rPr>
          <w:rFonts w:cs="Times New Roman"/>
          <w:szCs w:val="24"/>
          <w:lang w:val="en-US"/>
        </w:rPr>
        <w:t>African Great Lakes C</w:t>
      </w:r>
      <w:r w:rsidRPr="00C94877">
        <w:rPr>
          <w:rFonts w:cs="Times New Roman"/>
          <w:szCs w:val="24"/>
          <w:lang w:val="en-US"/>
        </w:rPr>
        <w:t>ountries</w:t>
      </w:r>
      <w:r>
        <w:rPr>
          <w:rStyle w:val="FootnoteReference"/>
          <w:rFonts w:cs="Times New Roman"/>
          <w:szCs w:val="24"/>
          <w:lang w:val="en-US"/>
        </w:rPr>
        <w:footnoteReference w:id="1"/>
      </w:r>
      <w:r>
        <w:rPr>
          <w:rFonts w:cs="Times New Roman"/>
          <w:szCs w:val="24"/>
          <w:lang w:val="en-US"/>
        </w:rPr>
        <w:t xml:space="preserve">, covering the period </w:t>
      </w:r>
      <w:r w:rsidR="00C33121">
        <w:rPr>
          <w:lang w:val="en-US"/>
        </w:rPr>
        <w:t>2012-2021</w:t>
      </w:r>
      <w:r>
        <w:rPr>
          <w:lang w:val="en-US"/>
        </w:rPr>
        <w:t xml:space="preserve">. </w:t>
      </w:r>
      <w:r w:rsidR="00F94292">
        <w:rPr>
          <w:lang w:val="en-US"/>
        </w:rPr>
        <w:t xml:space="preserve">The study period is justified by the availability of data, while the study region is justified </w:t>
      </w:r>
      <w:r w:rsidR="00F94292" w:rsidRPr="00F94292">
        <w:rPr>
          <w:lang w:val="en-US"/>
        </w:rPr>
        <w:t>due to its unique combination of low electrification rates, rapid urbanization, and socio-economic diversity. Despite the region's abundant renewable energy potential, access to electricity remains uneven, with rural areas disproportionately affected, creating a natural experiment to assess how electrification influences well-being (</w:t>
      </w:r>
      <w:proofErr w:type="spellStart"/>
      <w:r w:rsidR="00F94292" w:rsidRPr="00F94292">
        <w:rPr>
          <w:lang w:val="en-US"/>
        </w:rPr>
        <w:t>Blimpo</w:t>
      </w:r>
      <w:proofErr w:type="spellEnd"/>
      <w:r w:rsidR="00F94292" w:rsidRPr="00F94292">
        <w:rPr>
          <w:lang w:val="en-US"/>
        </w:rPr>
        <w:t xml:space="preserve"> &amp; Cosgrove-Davies, 2019). The region's high poverty levels, coupled with its cultural and ec</w:t>
      </w:r>
      <w:r w:rsidR="00F94292">
        <w:rPr>
          <w:lang w:val="en-US"/>
        </w:rPr>
        <w:t>ological significance, further emphasize</w:t>
      </w:r>
      <w:r w:rsidR="00F94292" w:rsidRPr="00F94292">
        <w:rPr>
          <w:lang w:val="en-US"/>
        </w:rPr>
        <w:t xml:space="preserve"> the importance of understanding how improved energy access can enhance happiness, economic opportunities, and social development, making it a compelling case for research.</w:t>
      </w:r>
      <w:r w:rsidR="00E84811">
        <w:rPr>
          <w:lang w:val="en-US"/>
        </w:rPr>
        <w:t xml:space="preserve"> Table 1 displays the descriptive statistics of the study data</w:t>
      </w:r>
      <w:r w:rsidR="008B18CF">
        <w:rPr>
          <w:lang w:val="en-US"/>
        </w:rPr>
        <w:t xml:space="preserve">, where happiness in the study region is averaged at 3.84 on a scale of 0 to 10, with 10 being the highest level of </w:t>
      </w:r>
      <w:r w:rsidR="005E4A69">
        <w:rPr>
          <w:lang w:val="en-US"/>
        </w:rPr>
        <w:t xml:space="preserve">self-satisfaction. </w:t>
      </w:r>
      <w:r w:rsidR="00120B17">
        <w:rPr>
          <w:lang w:val="en-US"/>
        </w:rPr>
        <w:t xml:space="preserve">Also, Access to electricity </w:t>
      </w:r>
      <w:r w:rsidR="00694269">
        <w:rPr>
          <w:lang w:val="en-US"/>
        </w:rPr>
        <w:t xml:space="preserve">in the region has an average of 24.28%, ranging from 7.4% to 48.7%. </w:t>
      </w:r>
    </w:p>
    <w:p w14:paraId="38940F4A" w14:textId="77777777" w:rsidR="00A746F6" w:rsidRDefault="00A746F6" w:rsidP="00B30DD2">
      <w:pPr>
        <w:ind w:firstLine="567"/>
        <w:rPr>
          <w:lang w:val="en-US"/>
        </w:rPr>
      </w:pPr>
      <w:r>
        <w:rPr>
          <w:lang w:val="en-US"/>
        </w:rPr>
        <w:t>Table</w:t>
      </w:r>
      <w:r w:rsidR="00E415BC">
        <w:rPr>
          <w:lang w:val="en-US"/>
        </w:rPr>
        <w:t xml:space="preserve"> </w:t>
      </w:r>
      <w:r>
        <w:rPr>
          <w:lang w:val="en-US"/>
        </w:rPr>
        <w:t>1: Descriptive Statistics</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A746F6" w14:paraId="2EA9649B" w14:textId="77777777" w:rsidTr="008556FA">
        <w:tc>
          <w:tcPr>
            <w:tcW w:w="2508" w:type="dxa"/>
            <w:tcBorders>
              <w:top w:val="single" w:sz="4" w:space="0" w:color="auto"/>
              <w:left w:val="nil"/>
              <w:bottom w:val="single" w:sz="10" w:space="0" w:color="auto"/>
              <w:right w:val="nil"/>
            </w:tcBorders>
          </w:tcPr>
          <w:p w14:paraId="231B6B24"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Variable</w:t>
            </w:r>
          </w:p>
        </w:tc>
        <w:tc>
          <w:tcPr>
            <w:tcW w:w="800" w:type="dxa"/>
            <w:tcBorders>
              <w:top w:val="single" w:sz="4" w:space="0" w:color="auto"/>
              <w:left w:val="nil"/>
              <w:bottom w:val="single" w:sz="10" w:space="0" w:color="auto"/>
              <w:right w:val="nil"/>
            </w:tcBorders>
          </w:tcPr>
          <w:p w14:paraId="6DEA15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w:t>
            </w:r>
            <w:proofErr w:type="spellStart"/>
            <w:r>
              <w:rPr>
                <w:rFonts w:cs="Times New Roman"/>
                <w:szCs w:val="24"/>
                <w:lang w:val="en-US"/>
              </w:rPr>
              <w:t>Obs</w:t>
            </w:r>
            <w:proofErr w:type="spellEnd"/>
          </w:p>
        </w:tc>
        <w:tc>
          <w:tcPr>
            <w:tcW w:w="1400" w:type="dxa"/>
            <w:tcBorders>
              <w:top w:val="single" w:sz="4" w:space="0" w:color="auto"/>
              <w:left w:val="nil"/>
              <w:bottom w:val="single" w:sz="10" w:space="0" w:color="auto"/>
              <w:right w:val="nil"/>
            </w:tcBorders>
          </w:tcPr>
          <w:p w14:paraId="4837614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Mean</w:t>
            </w:r>
          </w:p>
        </w:tc>
        <w:tc>
          <w:tcPr>
            <w:tcW w:w="1400" w:type="dxa"/>
            <w:tcBorders>
              <w:top w:val="single" w:sz="4" w:space="0" w:color="auto"/>
              <w:left w:val="nil"/>
              <w:bottom w:val="single" w:sz="10" w:space="0" w:color="auto"/>
              <w:right w:val="nil"/>
            </w:tcBorders>
          </w:tcPr>
          <w:p w14:paraId="0F9CBA4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Std. Dev.</w:t>
            </w:r>
          </w:p>
        </w:tc>
        <w:tc>
          <w:tcPr>
            <w:tcW w:w="1400" w:type="dxa"/>
            <w:tcBorders>
              <w:top w:val="single" w:sz="4" w:space="0" w:color="auto"/>
              <w:left w:val="nil"/>
              <w:bottom w:val="single" w:sz="10" w:space="0" w:color="auto"/>
              <w:right w:val="nil"/>
            </w:tcBorders>
          </w:tcPr>
          <w:p w14:paraId="0AA371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Min</w:t>
            </w:r>
          </w:p>
        </w:tc>
        <w:tc>
          <w:tcPr>
            <w:tcW w:w="1400" w:type="dxa"/>
            <w:tcBorders>
              <w:top w:val="single" w:sz="4" w:space="0" w:color="auto"/>
              <w:left w:val="nil"/>
              <w:bottom w:val="single" w:sz="10" w:space="0" w:color="auto"/>
              <w:right w:val="nil"/>
            </w:tcBorders>
          </w:tcPr>
          <w:p w14:paraId="3B3D030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 xml:space="preserve"> Max</w:t>
            </w:r>
          </w:p>
        </w:tc>
      </w:tr>
      <w:tr w:rsidR="00A746F6" w14:paraId="2C38E63D" w14:textId="77777777" w:rsidTr="008556FA">
        <w:tc>
          <w:tcPr>
            <w:tcW w:w="2508" w:type="dxa"/>
            <w:tcBorders>
              <w:top w:val="nil"/>
              <w:left w:val="nil"/>
              <w:bottom w:val="nil"/>
              <w:right w:val="nil"/>
            </w:tcBorders>
          </w:tcPr>
          <w:p w14:paraId="338551F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lastRenderedPageBreak/>
              <w:t xml:space="preserve"> Happiness</w:t>
            </w:r>
          </w:p>
        </w:tc>
        <w:tc>
          <w:tcPr>
            <w:tcW w:w="800" w:type="dxa"/>
            <w:tcBorders>
              <w:top w:val="nil"/>
              <w:left w:val="nil"/>
              <w:bottom w:val="nil"/>
              <w:right w:val="nil"/>
            </w:tcBorders>
          </w:tcPr>
          <w:p w14:paraId="1CA671C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866F11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3.849</w:t>
            </w:r>
          </w:p>
        </w:tc>
        <w:tc>
          <w:tcPr>
            <w:tcW w:w="1400" w:type="dxa"/>
            <w:tcBorders>
              <w:top w:val="nil"/>
              <w:left w:val="nil"/>
              <w:bottom w:val="nil"/>
              <w:right w:val="nil"/>
            </w:tcBorders>
          </w:tcPr>
          <w:p w14:paraId="603B385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0.457</w:t>
            </w:r>
          </w:p>
        </w:tc>
        <w:tc>
          <w:tcPr>
            <w:tcW w:w="1400" w:type="dxa"/>
            <w:tcBorders>
              <w:top w:val="nil"/>
              <w:left w:val="nil"/>
              <w:bottom w:val="nil"/>
              <w:right w:val="nil"/>
            </w:tcBorders>
          </w:tcPr>
          <w:p w14:paraId="5AEC9A7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3.207</w:t>
            </w:r>
          </w:p>
        </w:tc>
        <w:tc>
          <w:tcPr>
            <w:tcW w:w="1400" w:type="dxa"/>
            <w:tcBorders>
              <w:top w:val="nil"/>
              <w:left w:val="nil"/>
              <w:bottom w:val="nil"/>
              <w:right w:val="nil"/>
            </w:tcBorders>
          </w:tcPr>
          <w:p w14:paraId="41EFEBE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4.762</w:t>
            </w:r>
          </w:p>
        </w:tc>
      </w:tr>
      <w:tr w:rsidR="00A746F6" w14:paraId="14665E29" w14:textId="77777777" w:rsidTr="008556FA">
        <w:tc>
          <w:tcPr>
            <w:tcW w:w="2508" w:type="dxa"/>
            <w:tcBorders>
              <w:top w:val="nil"/>
              <w:left w:val="nil"/>
              <w:bottom w:val="nil"/>
              <w:right w:val="nil"/>
            </w:tcBorders>
          </w:tcPr>
          <w:p w14:paraId="1DE5814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w:t>
            </w:r>
            <w:r w:rsidR="006E2E26">
              <w:rPr>
                <w:rFonts w:cs="Times New Roman"/>
                <w:szCs w:val="24"/>
                <w:lang w:val="en-US"/>
              </w:rPr>
              <w:t>y</w:t>
            </w:r>
            <w:r>
              <w:rPr>
                <w:rFonts w:cs="Times New Roman"/>
                <w:szCs w:val="24"/>
                <w:lang w:val="en-US"/>
              </w:rPr>
              <w:t>_Total</w:t>
            </w:r>
            <w:proofErr w:type="spellEnd"/>
          </w:p>
        </w:tc>
        <w:tc>
          <w:tcPr>
            <w:tcW w:w="800" w:type="dxa"/>
            <w:tcBorders>
              <w:top w:val="nil"/>
              <w:left w:val="nil"/>
              <w:bottom w:val="nil"/>
              <w:right w:val="nil"/>
            </w:tcBorders>
          </w:tcPr>
          <w:p w14:paraId="089DA02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2216528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24.282</w:t>
            </w:r>
          </w:p>
        </w:tc>
        <w:tc>
          <w:tcPr>
            <w:tcW w:w="1400" w:type="dxa"/>
            <w:tcBorders>
              <w:top w:val="nil"/>
              <w:left w:val="nil"/>
              <w:bottom w:val="nil"/>
              <w:right w:val="nil"/>
            </w:tcBorders>
          </w:tcPr>
          <w:p w14:paraId="4D682A9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11.866</w:t>
            </w:r>
          </w:p>
        </w:tc>
        <w:tc>
          <w:tcPr>
            <w:tcW w:w="1400" w:type="dxa"/>
            <w:tcBorders>
              <w:top w:val="nil"/>
              <w:left w:val="nil"/>
              <w:bottom w:val="nil"/>
              <w:right w:val="nil"/>
            </w:tcBorders>
          </w:tcPr>
          <w:p w14:paraId="30374CE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7.4</w:t>
            </w:r>
          </w:p>
        </w:tc>
        <w:tc>
          <w:tcPr>
            <w:tcW w:w="1400" w:type="dxa"/>
            <w:tcBorders>
              <w:top w:val="nil"/>
              <w:left w:val="nil"/>
              <w:bottom w:val="nil"/>
              <w:right w:val="nil"/>
            </w:tcBorders>
          </w:tcPr>
          <w:p w14:paraId="548F316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48.7</w:t>
            </w:r>
          </w:p>
        </w:tc>
      </w:tr>
      <w:tr w:rsidR="00A746F6" w14:paraId="231D0709" w14:textId="77777777" w:rsidTr="008556FA">
        <w:tc>
          <w:tcPr>
            <w:tcW w:w="2508" w:type="dxa"/>
            <w:tcBorders>
              <w:top w:val="nil"/>
              <w:left w:val="nil"/>
              <w:bottom w:val="nil"/>
              <w:right w:val="nil"/>
            </w:tcBorders>
          </w:tcPr>
          <w:p w14:paraId="36371167"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Electricity_Urban</w:t>
            </w:r>
            <w:proofErr w:type="spellEnd"/>
          </w:p>
        </w:tc>
        <w:tc>
          <w:tcPr>
            <w:tcW w:w="800" w:type="dxa"/>
            <w:tcBorders>
              <w:top w:val="nil"/>
              <w:left w:val="nil"/>
              <w:bottom w:val="nil"/>
              <w:right w:val="nil"/>
            </w:tcBorders>
          </w:tcPr>
          <w:p w14:paraId="79A3735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0E8C78B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58.572</w:t>
            </w:r>
          </w:p>
        </w:tc>
        <w:tc>
          <w:tcPr>
            <w:tcW w:w="1400" w:type="dxa"/>
            <w:tcBorders>
              <w:top w:val="nil"/>
              <w:left w:val="nil"/>
              <w:bottom w:val="nil"/>
              <w:right w:val="nil"/>
            </w:tcBorders>
          </w:tcPr>
          <w:p w14:paraId="3DFEFF0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16.213</w:t>
            </w:r>
          </w:p>
        </w:tc>
        <w:tc>
          <w:tcPr>
            <w:tcW w:w="1400" w:type="dxa"/>
            <w:tcBorders>
              <w:top w:val="nil"/>
              <w:left w:val="nil"/>
              <w:bottom w:val="nil"/>
              <w:right w:val="nil"/>
            </w:tcBorders>
          </w:tcPr>
          <w:p w14:paraId="7A8AC2D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36.6</w:t>
            </w:r>
          </w:p>
        </w:tc>
        <w:tc>
          <w:tcPr>
            <w:tcW w:w="1400" w:type="dxa"/>
            <w:tcBorders>
              <w:top w:val="nil"/>
              <w:left w:val="nil"/>
              <w:bottom w:val="nil"/>
              <w:right w:val="nil"/>
            </w:tcBorders>
          </w:tcPr>
          <w:p w14:paraId="3862031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98</w:t>
            </w:r>
          </w:p>
        </w:tc>
      </w:tr>
      <w:tr w:rsidR="00A746F6" w14:paraId="42A4E717" w14:textId="77777777" w:rsidTr="008556FA">
        <w:tc>
          <w:tcPr>
            <w:tcW w:w="2508" w:type="dxa"/>
            <w:tcBorders>
              <w:top w:val="nil"/>
              <w:left w:val="nil"/>
              <w:bottom w:val="nil"/>
              <w:right w:val="nil"/>
            </w:tcBorders>
          </w:tcPr>
          <w:p w14:paraId="2BA3A5E9"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w:t>
            </w:r>
            <w:proofErr w:type="spellStart"/>
            <w:r>
              <w:rPr>
                <w:rFonts w:cs="Times New Roman"/>
                <w:szCs w:val="24"/>
                <w:lang w:val="en-US"/>
              </w:rPr>
              <w:t>Electricity_Rural</w:t>
            </w:r>
            <w:proofErr w:type="spellEnd"/>
          </w:p>
        </w:tc>
        <w:tc>
          <w:tcPr>
            <w:tcW w:w="800" w:type="dxa"/>
            <w:tcBorders>
              <w:top w:val="nil"/>
              <w:left w:val="nil"/>
              <w:bottom w:val="nil"/>
              <w:right w:val="nil"/>
            </w:tcBorders>
          </w:tcPr>
          <w:p w14:paraId="4020939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3CCBE22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12.494</w:t>
            </w:r>
          </w:p>
        </w:tc>
        <w:tc>
          <w:tcPr>
            <w:tcW w:w="1400" w:type="dxa"/>
            <w:tcBorders>
              <w:top w:val="nil"/>
              <w:left w:val="nil"/>
              <w:bottom w:val="nil"/>
              <w:right w:val="nil"/>
            </w:tcBorders>
          </w:tcPr>
          <w:p w14:paraId="74B0A0A7"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11.797</w:t>
            </w:r>
          </w:p>
        </w:tc>
        <w:tc>
          <w:tcPr>
            <w:tcW w:w="1400" w:type="dxa"/>
            <w:tcBorders>
              <w:top w:val="nil"/>
              <w:left w:val="nil"/>
              <w:bottom w:val="nil"/>
              <w:right w:val="nil"/>
            </w:tcBorders>
          </w:tcPr>
          <w:p w14:paraId="37100B5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w:t>
            </w:r>
          </w:p>
        </w:tc>
        <w:tc>
          <w:tcPr>
            <w:tcW w:w="1400" w:type="dxa"/>
            <w:tcBorders>
              <w:top w:val="nil"/>
              <w:left w:val="nil"/>
              <w:bottom w:val="nil"/>
              <w:right w:val="nil"/>
            </w:tcBorders>
          </w:tcPr>
          <w:p w14:paraId="7D911A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w:t>
            </w:r>
          </w:p>
        </w:tc>
      </w:tr>
      <w:tr w:rsidR="00A746F6" w14:paraId="2FFA158C" w14:textId="77777777" w:rsidTr="008556FA">
        <w:tc>
          <w:tcPr>
            <w:tcW w:w="2508" w:type="dxa"/>
            <w:tcBorders>
              <w:top w:val="nil"/>
              <w:left w:val="nil"/>
              <w:bottom w:val="nil"/>
              <w:right w:val="nil"/>
            </w:tcBorders>
          </w:tcPr>
          <w:p w14:paraId="4B423BB1"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Education</w:t>
            </w:r>
          </w:p>
        </w:tc>
        <w:tc>
          <w:tcPr>
            <w:tcW w:w="800" w:type="dxa"/>
            <w:tcBorders>
              <w:top w:val="nil"/>
              <w:left w:val="nil"/>
              <w:bottom w:val="nil"/>
              <w:right w:val="nil"/>
            </w:tcBorders>
          </w:tcPr>
          <w:p w14:paraId="46F8C31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50609E92"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3.16</w:t>
            </w:r>
          </w:p>
        </w:tc>
        <w:tc>
          <w:tcPr>
            <w:tcW w:w="1400" w:type="dxa"/>
            <w:tcBorders>
              <w:top w:val="nil"/>
              <w:left w:val="nil"/>
              <w:bottom w:val="nil"/>
              <w:right w:val="nil"/>
            </w:tcBorders>
          </w:tcPr>
          <w:p w14:paraId="25B02BBF"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1.252</w:t>
            </w:r>
          </w:p>
        </w:tc>
        <w:tc>
          <w:tcPr>
            <w:tcW w:w="1400" w:type="dxa"/>
            <w:tcBorders>
              <w:top w:val="nil"/>
              <w:left w:val="nil"/>
              <w:bottom w:val="nil"/>
              <w:right w:val="nil"/>
            </w:tcBorders>
          </w:tcPr>
          <w:p w14:paraId="728AF6A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1.714</w:t>
            </w:r>
          </w:p>
        </w:tc>
        <w:tc>
          <w:tcPr>
            <w:tcW w:w="1400" w:type="dxa"/>
            <w:tcBorders>
              <w:top w:val="nil"/>
              <w:left w:val="nil"/>
              <w:bottom w:val="nil"/>
              <w:right w:val="nil"/>
            </w:tcBorders>
          </w:tcPr>
          <w:p w14:paraId="582574A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6.9</w:t>
            </w:r>
          </w:p>
        </w:tc>
      </w:tr>
      <w:tr w:rsidR="00A746F6" w14:paraId="27E31DDC" w14:textId="77777777" w:rsidTr="008556FA">
        <w:tc>
          <w:tcPr>
            <w:tcW w:w="2508" w:type="dxa"/>
            <w:tcBorders>
              <w:top w:val="nil"/>
              <w:left w:val="nil"/>
              <w:bottom w:val="nil"/>
              <w:right w:val="nil"/>
            </w:tcBorders>
          </w:tcPr>
          <w:p w14:paraId="281969A3"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Financial development</w:t>
            </w:r>
          </w:p>
        </w:tc>
        <w:tc>
          <w:tcPr>
            <w:tcW w:w="800" w:type="dxa"/>
            <w:tcBorders>
              <w:top w:val="nil"/>
              <w:left w:val="nil"/>
              <w:bottom w:val="nil"/>
              <w:right w:val="nil"/>
            </w:tcBorders>
          </w:tcPr>
          <w:p w14:paraId="71F65A8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nil"/>
              <w:right w:val="nil"/>
            </w:tcBorders>
          </w:tcPr>
          <w:p w14:paraId="12FB850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18.288</w:t>
            </w:r>
          </w:p>
        </w:tc>
        <w:tc>
          <w:tcPr>
            <w:tcW w:w="1400" w:type="dxa"/>
            <w:tcBorders>
              <w:top w:val="nil"/>
              <w:left w:val="nil"/>
              <w:bottom w:val="nil"/>
              <w:right w:val="nil"/>
            </w:tcBorders>
          </w:tcPr>
          <w:p w14:paraId="562AEF7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3.839</w:t>
            </w:r>
          </w:p>
        </w:tc>
        <w:tc>
          <w:tcPr>
            <w:tcW w:w="1400" w:type="dxa"/>
            <w:tcBorders>
              <w:top w:val="nil"/>
              <w:left w:val="nil"/>
              <w:bottom w:val="nil"/>
              <w:right w:val="nil"/>
            </w:tcBorders>
          </w:tcPr>
          <w:p w14:paraId="4830F86D"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10.75</w:t>
            </w:r>
          </w:p>
        </w:tc>
        <w:tc>
          <w:tcPr>
            <w:tcW w:w="1400" w:type="dxa"/>
            <w:tcBorders>
              <w:top w:val="nil"/>
              <w:left w:val="nil"/>
              <w:bottom w:val="nil"/>
              <w:right w:val="nil"/>
            </w:tcBorders>
          </w:tcPr>
          <w:p w14:paraId="19B74BC9"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26.084</w:t>
            </w:r>
          </w:p>
        </w:tc>
      </w:tr>
      <w:tr w:rsidR="00A746F6" w14:paraId="2D03BA6F" w14:textId="77777777" w:rsidTr="00A746F6">
        <w:tc>
          <w:tcPr>
            <w:tcW w:w="2508" w:type="dxa"/>
            <w:tcBorders>
              <w:top w:val="nil"/>
              <w:left w:val="nil"/>
              <w:right w:val="nil"/>
            </w:tcBorders>
          </w:tcPr>
          <w:p w14:paraId="4EFD5178"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Health</w:t>
            </w:r>
          </w:p>
        </w:tc>
        <w:tc>
          <w:tcPr>
            <w:tcW w:w="800" w:type="dxa"/>
            <w:tcBorders>
              <w:top w:val="nil"/>
              <w:left w:val="nil"/>
              <w:right w:val="nil"/>
            </w:tcBorders>
          </w:tcPr>
          <w:p w14:paraId="672B4C8C"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right w:val="nil"/>
            </w:tcBorders>
          </w:tcPr>
          <w:p w14:paraId="03247C8B"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5.347</w:t>
            </w:r>
          </w:p>
        </w:tc>
        <w:tc>
          <w:tcPr>
            <w:tcW w:w="1400" w:type="dxa"/>
            <w:tcBorders>
              <w:top w:val="nil"/>
              <w:left w:val="nil"/>
              <w:right w:val="nil"/>
            </w:tcBorders>
          </w:tcPr>
          <w:p w14:paraId="29CA8044"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1.57</w:t>
            </w:r>
          </w:p>
        </w:tc>
        <w:tc>
          <w:tcPr>
            <w:tcW w:w="1400" w:type="dxa"/>
            <w:tcBorders>
              <w:top w:val="nil"/>
              <w:left w:val="nil"/>
              <w:right w:val="nil"/>
            </w:tcBorders>
          </w:tcPr>
          <w:p w14:paraId="58A78B25"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3.052</w:t>
            </w:r>
          </w:p>
        </w:tc>
        <w:tc>
          <w:tcPr>
            <w:tcW w:w="1400" w:type="dxa"/>
            <w:tcBorders>
              <w:top w:val="nil"/>
              <w:left w:val="nil"/>
              <w:right w:val="nil"/>
            </w:tcBorders>
          </w:tcPr>
          <w:p w14:paraId="2E91DE23"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8.224</w:t>
            </w:r>
          </w:p>
        </w:tc>
      </w:tr>
      <w:tr w:rsidR="00A746F6" w14:paraId="0C32A889" w14:textId="77777777" w:rsidTr="00A746F6">
        <w:tc>
          <w:tcPr>
            <w:tcW w:w="2508" w:type="dxa"/>
            <w:tcBorders>
              <w:top w:val="nil"/>
              <w:left w:val="nil"/>
              <w:bottom w:val="single" w:sz="4" w:space="0" w:color="auto"/>
              <w:right w:val="nil"/>
            </w:tcBorders>
          </w:tcPr>
          <w:p w14:paraId="03140660" w14:textId="77777777" w:rsidR="00A746F6" w:rsidRDefault="00A746F6" w:rsidP="008556FA">
            <w:pPr>
              <w:widowControl w:val="0"/>
              <w:autoSpaceDE w:val="0"/>
              <w:autoSpaceDN w:val="0"/>
              <w:adjustRightInd w:val="0"/>
              <w:spacing w:line="240" w:lineRule="auto"/>
              <w:rPr>
                <w:rFonts w:cs="Times New Roman"/>
                <w:szCs w:val="24"/>
                <w:lang w:val="en-US"/>
              </w:rPr>
            </w:pPr>
            <w:r>
              <w:rPr>
                <w:rFonts w:cs="Times New Roman"/>
                <w:szCs w:val="24"/>
                <w:lang w:val="en-US"/>
              </w:rPr>
              <w:t xml:space="preserve"> Industrialization</w:t>
            </w:r>
          </w:p>
        </w:tc>
        <w:tc>
          <w:tcPr>
            <w:tcW w:w="800" w:type="dxa"/>
            <w:tcBorders>
              <w:top w:val="nil"/>
              <w:left w:val="nil"/>
              <w:bottom w:val="single" w:sz="4" w:space="0" w:color="auto"/>
              <w:right w:val="nil"/>
            </w:tcBorders>
          </w:tcPr>
          <w:p w14:paraId="32454061"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50</w:t>
            </w:r>
          </w:p>
        </w:tc>
        <w:tc>
          <w:tcPr>
            <w:tcW w:w="1400" w:type="dxa"/>
            <w:tcBorders>
              <w:top w:val="nil"/>
              <w:left w:val="nil"/>
              <w:bottom w:val="single" w:sz="4" w:space="0" w:color="auto"/>
              <w:right w:val="nil"/>
            </w:tcBorders>
          </w:tcPr>
          <w:p w14:paraId="25C3A93A"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12.237</w:t>
            </w:r>
          </w:p>
        </w:tc>
        <w:tc>
          <w:tcPr>
            <w:tcW w:w="1400" w:type="dxa"/>
            <w:tcBorders>
              <w:top w:val="nil"/>
              <w:left w:val="nil"/>
              <w:bottom w:val="single" w:sz="4" w:space="0" w:color="auto"/>
              <w:right w:val="nil"/>
            </w:tcBorders>
          </w:tcPr>
          <w:p w14:paraId="5E3FD456"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4.208</w:t>
            </w:r>
          </w:p>
        </w:tc>
        <w:tc>
          <w:tcPr>
            <w:tcW w:w="1400" w:type="dxa"/>
            <w:tcBorders>
              <w:top w:val="nil"/>
              <w:left w:val="nil"/>
              <w:bottom w:val="single" w:sz="4" w:space="0" w:color="auto"/>
              <w:right w:val="nil"/>
            </w:tcBorders>
          </w:tcPr>
          <w:p w14:paraId="51C1BEE8"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6.705</w:t>
            </w:r>
          </w:p>
        </w:tc>
        <w:tc>
          <w:tcPr>
            <w:tcW w:w="1400" w:type="dxa"/>
            <w:tcBorders>
              <w:top w:val="nil"/>
              <w:left w:val="nil"/>
              <w:bottom w:val="single" w:sz="4" w:space="0" w:color="auto"/>
              <w:right w:val="nil"/>
            </w:tcBorders>
          </w:tcPr>
          <w:p w14:paraId="10C5B80E" w14:textId="77777777" w:rsidR="00A746F6" w:rsidRDefault="00A746F6" w:rsidP="008556FA">
            <w:pPr>
              <w:widowControl w:val="0"/>
              <w:autoSpaceDE w:val="0"/>
              <w:autoSpaceDN w:val="0"/>
              <w:adjustRightInd w:val="0"/>
              <w:spacing w:line="240" w:lineRule="auto"/>
              <w:jc w:val="right"/>
              <w:rPr>
                <w:rFonts w:cs="Times New Roman"/>
                <w:szCs w:val="24"/>
                <w:lang w:val="en-US"/>
              </w:rPr>
            </w:pPr>
            <w:r>
              <w:rPr>
                <w:rFonts w:cs="Times New Roman"/>
                <w:szCs w:val="24"/>
                <w:lang w:val="en-US"/>
              </w:rPr>
              <w:t>19.487</w:t>
            </w:r>
          </w:p>
        </w:tc>
      </w:tr>
    </w:tbl>
    <w:p w14:paraId="0E785322" w14:textId="77777777" w:rsidR="00EA299E" w:rsidRDefault="00EA299E" w:rsidP="00EA299E">
      <w:r>
        <w:t xml:space="preserve">Source: </w:t>
      </w:r>
      <w:proofErr w:type="spellStart"/>
      <w:r w:rsidRPr="00A45637">
        <w:rPr>
          <w:i/>
        </w:rPr>
        <w:t>Author’s</w:t>
      </w:r>
      <w:proofErr w:type="spellEnd"/>
      <w:r w:rsidRPr="00A45637">
        <w:rPr>
          <w:i/>
        </w:rPr>
        <w:t xml:space="preserve"> construction</w:t>
      </w:r>
    </w:p>
    <w:p w14:paraId="3919FE24" w14:textId="77777777" w:rsidR="00A746F6" w:rsidRDefault="00A746F6" w:rsidP="00B30DD2">
      <w:pPr>
        <w:ind w:firstLine="567"/>
        <w:rPr>
          <w:lang w:val="en-US"/>
        </w:rPr>
      </w:pPr>
    </w:p>
    <w:p w14:paraId="35378D29" w14:textId="77777777" w:rsidR="00CE6AA9" w:rsidRDefault="0073713F" w:rsidP="0073713F">
      <w:pPr>
        <w:pStyle w:val="Heading2"/>
        <w:numPr>
          <w:ilvl w:val="1"/>
          <w:numId w:val="1"/>
        </w:numPr>
        <w:rPr>
          <w:lang w:val="en-US"/>
        </w:rPr>
      </w:pPr>
      <w:r>
        <w:rPr>
          <w:lang w:val="en-US"/>
        </w:rPr>
        <w:t xml:space="preserve"> </w:t>
      </w:r>
      <w:r w:rsidR="006142A8">
        <w:rPr>
          <w:lang w:val="en-US"/>
        </w:rPr>
        <w:t>Definition of Variables</w:t>
      </w:r>
    </w:p>
    <w:p w14:paraId="2F2F2ED2" w14:textId="77777777" w:rsidR="00CE6AA9" w:rsidRDefault="00F1771E" w:rsidP="0073713F">
      <w:pPr>
        <w:pStyle w:val="Heading3"/>
        <w:numPr>
          <w:ilvl w:val="2"/>
          <w:numId w:val="1"/>
        </w:numPr>
        <w:rPr>
          <w:lang w:val="en-US"/>
        </w:rPr>
      </w:pPr>
      <w:r>
        <w:rPr>
          <w:lang w:val="en-US"/>
        </w:rPr>
        <w:t xml:space="preserve">Dependent Variable </w:t>
      </w:r>
    </w:p>
    <w:p w14:paraId="4023E85C" w14:textId="77777777" w:rsidR="00F1771E" w:rsidRDefault="00F1771E" w:rsidP="00F1771E">
      <w:pPr>
        <w:ind w:firstLine="567"/>
        <w:rPr>
          <w:lang w:val="en-US"/>
        </w:rPr>
      </w:pPr>
      <w:r w:rsidRPr="00F1771E">
        <w:rPr>
          <w:lang w:val="en-US"/>
        </w:rPr>
        <w:t xml:space="preserve">This research employs the </w:t>
      </w:r>
      <w:proofErr w:type="spellStart"/>
      <w:r w:rsidRPr="00F1771E">
        <w:rPr>
          <w:lang w:val="en-US"/>
        </w:rPr>
        <w:t>Cantril</w:t>
      </w:r>
      <w:proofErr w:type="spellEnd"/>
      <w:r w:rsidRPr="00F1771E">
        <w:rPr>
          <w:lang w:val="en-US"/>
        </w:rPr>
        <w:t xml:space="preserve"> ladder score as a measure of happiness, which reflects individuals' subjective well-being. Respondents imagine a ladder where 10 represents their best possible life and 0 their worst possible life, then rate their current life on this scale. The data for this variable are sourced from the Our World in Data repository, following prior research that uses this metric to gauge happiness perceptions (Levin &amp; Currie, 2014). The score represents the national average of life satisfaction ratings, facilitating cross-country analysis. This approach offers a straightforward and comparable method for evaluating life satisfaction across diverse populations.</w:t>
      </w:r>
    </w:p>
    <w:p w14:paraId="3C95E27F" w14:textId="77777777" w:rsidR="009D4116" w:rsidRDefault="00B64DDA" w:rsidP="0073713F">
      <w:pPr>
        <w:pStyle w:val="Heading3"/>
        <w:numPr>
          <w:ilvl w:val="2"/>
          <w:numId w:val="1"/>
        </w:numPr>
        <w:rPr>
          <w:lang w:val="en-US"/>
        </w:rPr>
      </w:pPr>
      <w:r>
        <w:rPr>
          <w:lang w:val="en-US"/>
        </w:rPr>
        <w:t xml:space="preserve">Independent Variable </w:t>
      </w:r>
    </w:p>
    <w:p w14:paraId="5D1EEA24" w14:textId="046E1735" w:rsidR="007F2E89" w:rsidRDefault="002A4581" w:rsidP="000240B0">
      <w:pPr>
        <w:ind w:firstLine="567"/>
        <w:rPr>
          <w:lang w:val="en-US"/>
        </w:rPr>
      </w:pPr>
      <w:r w:rsidRPr="002A4581">
        <w:rPr>
          <w:lang w:val="en-US"/>
        </w:rPr>
        <w:t xml:space="preserve">In assessing the effect of electricity access on happiness, we use </w:t>
      </w:r>
      <w:r w:rsidRPr="002A4581">
        <w:rPr>
          <w:rStyle w:val="Emphasis"/>
          <w:lang w:val="en-US"/>
        </w:rPr>
        <w:t>Access to electricity (% of population)</w:t>
      </w:r>
      <w:r w:rsidRPr="002A4581">
        <w:rPr>
          <w:lang w:val="en-US"/>
        </w:rPr>
        <w:t xml:space="preserve"> as the primary independent variable. This indicator measures the proportion of a country's population with reliable electricity connections, reflecting the extent of electrification and its potential influence on living standards and well-being. The data for this variable are sourced from the World Development Indicators (WDI) repository, ensuring standardized and comparable cross-country metrics. To further explore disparities in electricity access, we also incorporate </w:t>
      </w:r>
      <w:r w:rsidR="000240B0" w:rsidRPr="00B37E69">
        <w:rPr>
          <w:rStyle w:val="Emphasis"/>
          <w:i w:val="0"/>
          <w:lang w:val="en-US"/>
        </w:rPr>
        <w:t xml:space="preserve">Access to electricity as </w:t>
      </w:r>
      <w:r w:rsidR="00B37E69" w:rsidRPr="00B37E69">
        <w:rPr>
          <w:rStyle w:val="Emphasis"/>
          <w:i w:val="0"/>
          <w:lang w:val="en-US"/>
        </w:rPr>
        <w:t xml:space="preserve">a </w:t>
      </w:r>
      <w:r w:rsidR="000240B0" w:rsidRPr="00B37E69">
        <w:rPr>
          <w:rStyle w:val="Emphasis"/>
          <w:i w:val="0"/>
          <w:lang w:val="en-US"/>
        </w:rPr>
        <w:t>percentage of rural population,</w:t>
      </w:r>
      <w:r w:rsidRPr="00B37E69">
        <w:rPr>
          <w:i/>
          <w:lang w:val="en-US"/>
        </w:rPr>
        <w:t xml:space="preserve"> and </w:t>
      </w:r>
      <w:r w:rsidRPr="00B37E69">
        <w:rPr>
          <w:rStyle w:val="Emphasis"/>
          <w:i w:val="0"/>
          <w:lang w:val="en-US"/>
        </w:rPr>
        <w:t>Access to electricity</w:t>
      </w:r>
      <w:r w:rsidR="000240B0" w:rsidRPr="00B37E69">
        <w:rPr>
          <w:rStyle w:val="Emphasis"/>
          <w:i w:val="0"/>
          <w:lang w:val="en-US"/>
        </w:rPr>
        <w:t xml:space="preserve"> as </w:t>
      </w:r>
      <w:r w:rsidR="00B37E69" w:rsidRPr="00B37E69">
        <w:rPr>
          <w:rStyle w:val="Emphasis"/>
          <w:i w:val="0"/>
          <w:lang w:val="en-US"/>
        </w:rPr>
        <w:t xml:space="preserve">a </w:t>
      </w:r>
      <w:r w:rsidR="000240B0" w:rsidRPr="00B37E69">
        <w:rPr>
          <w:rStyle w:val="Emphasis"/>
          <w:i w:val="0"/>
          <w:lang w:val="en-US"/>
        </w:rPr>
        <w:t>percentage of urban population</w:t>
      </w:r>
      <w:r w:rsidRPr="00B37E69">
        <w:rPr>
          <w:i/>
          <w:lang w:val="en-US"/>
        </w:rPr>
        <w:t>,</w:t>
      </w:r>
      <w:r w:rsidRPr="002A4581">
        <w:rPr>
          <w:lang w:val="en-US"/>
        </w:rPr>
        <w:t xml:space="preserve"> allowing for a </w:t>
      </w:r>
      <w:r w:rsidR="000240B0">
        <w:rPr>
          <w:lang w:val="en-US"/>
        </w:rPr>
        <w:t>refined</w:t>
      </w:r>
      <w:r w:rsidRPr="002A4581">
        <w:rPr>
          <w:lang w:val="en-US"/>
        </w:rPr>
        <w:t xml:space="preserve"> analysis of rural-urban divides in electrification. These variables are obtained from the same WDI database, which aggregates nationally reported statistics on infrastructure development.</w:t>
      </w:r>
      <w:r w:rsidR="000D49E6">
        <w:rPr>
          <w:lang w:val="en-US"/>
        </w:rPr>
        <w:t xml:space="preserve"> W</w:t>
      </w:r>
      <w:r w:rsidRPr="002A4581">
        <w:rPr>
          <w:lang w:val="en-US"/>
        </w:rPr>
        <w:t>e</w:t>
      </w:r>
      <w:r w:rsidR="000D49E6">
        <w:rPr>
          <w:lang w:val="en-US"/>
        </w:rPr>
        <w:t xml:space="preserve"> therefore</w:t>
      </w:r>
      <w:r w:rsidRPr="002A4581">
        <w:rPr>
          <w:lang w:val="en-US"/>
        </w:rPr>
        <w:t xml:space="preserve"> capture both overall electrification rates and subnational variations, providing a comprehensive basis for evaluating how electricity access shapes happiness across different demographic and geographic contexts.</w:t>
      </w:r>
      <w:r w:rsidR="00736DF9">
        <w:rPr>
          <w:lang w:val="en-US"/>
        </w:rPr>
        <w:t xml:space="preserve"> Figure </w:t>
      </w:r>
      <w:r w:rsidR="002F4984">
        <w:rPr>
          <w:lang w:val="en-US"/>
        </w:rPr>
        <w:t>1</w:t>
      </w:r>
      <w:r w:rsidR="00736DF9">
        <w:rPr>
          <w:lang w:val="en-US"/>
        </w:rPr>
        <w:t xml:space="preserve"> displays the evolutionary trend of electricity access in the study region during the study period</w:t>
      </w:r>
      <w:r w:rsidR="00757B4F">
        <w:rPr>
          <w:lang w:val="en-US"/>
        </w:rPr>
        <w:t>, where a comparison is made with the average evolution of Sub-Saharan Africa, and the mean of the GLC is found to be inferior to SSA’s mean.</w:t>
      </w:r>
    </w:p>
    <w:p w14:paraId="06095647" w14:textId="77777777" w:rsidR="009F5F01" w:rsidRDefault="00623DCE" w:rsidP="009178A8">
      <w:pPr>
        <w:rPr>
          <w:lang w:val="en-US"/>
        </w:rPr>
      </w:pPr>
      <w:r w:rsidRPr="00623DCE">
        <w:rPr>
          <w:noProof/>
          <w:lang w:eastAsia="fr-FR"/>
        </w:rPr>
        <w:lastRenderedPageBreak/>
        <w:drawing>
          <wp:inline distT="0" distB="0" distL="0" distR="0" wp14:anchorId="3FABEE88" wp14:editId="41EAACC0">
            <wp:extent cx="5760720" cy="3213912"/>
            <wp:effectExtent l="0" t="0" r="0" b="5715"/>
            <wp:docPr id="1" name="Image 1" descr="C:\Users\SIGNAL SYSTEMS\Desktop\WP Series 2025\work\Work 3\E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NAL SYSTEMS\Desktop\WP Series 2025\work\Work 3\Ele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13912"/>
                    </a:xfrm>
                    <a:prstGeom prst="rect">
                      <a:avLst/>
                    </a:prstGeom>
                    <a:noFill/>
                    <a:ln>
                      <a:noFill/>
                    </a:ln>
                  </pic:spPr>
                </pic:pic>
              </a:graphicData>
            </a:graphic>
          </wp:inline>
        </w:drawing>
      </w:r>
    </w:p>
    <w:p w14:paraId="2F3F8430" w14:textId="77777777" w:rsidR="008B3AA0" w:rsidRDefault="00623DCE" w:rsidP="000240B0">
      <w:pPr>
        <w:ind w:firstLine="567"/>
        <w:rPr>
          <w:lang w:val="en-US"/>
        </w:rPr>
      </w:pPr>
      <w:r>
        <w:rPr>
          <w:lang w:val="en-US"/>
        </w:rPr>
        <w:t>Figure 1: Evolutionary trend of electricity access in African GLC</w:t>
      </w:r>
      <w:r w:rsidR="00C24CA2">
        <w:rPr>
          <w:lang w:val="en-US"/>
        </w:rPr>
        <w:t xml:space="preserve">. </w:t>
      </w:r>
    </w:p>
    <w:p w14:paraId="32BEE73A" w14:textId="77777777" w:rsidR="009F5F01" w:rsidRDefault="00C24CA2" w:rsidP="00F4506D">
      <w:pPr>
        <w:ind w:firstLine="567"/>
        <w:rPr>
          <w:lang w:val="en-US"/>
        </w:rPr>
      </w:pPr>
      <w:r w:rsidRPr="00A806E3">
        <w:rPr>
          <w:i/>
          <w:lang w:val="en-US"/>
        </w:rPr>
        <w:t>Source:</w:t>
      </w:r>
      <w:r>
        <w:rPr>
          <w:lang w:val="en-US"/>
        </w:rPr>
        <w:t xml:space="preserve"> Author’s construction from Our World in Data</w:t>
      </w:r>
    </w:p>
    <w:p w14:paraId="60B961FA" w14:textId="77777777" w:rsidR="00AF251B" w:rsidRDefault="00AF251B" w:rsidP="0073713F">
      <w:pPr>
        <w:pStyle w:val="Heading3"/>
        <w:numPr>
          <w:ilvl w:val="2"/>
          <w:numId w:val="1"/>
        </w:numPr>
        <w:rPr>
          <w:lang w:val="en-US"/>
        </w:rPr>
      </w:pPr>
      <w:r>
        <w:rPr>
          <w:lang w:val="en-US"/>
        </w:rPr>
        <w:t>Control Variables</w:t>
      </w:r>
    </w:p>
    <w:p w14:paraId="42F09FB8" w14:textId="77777777" w:rsidR="006142A8" w:rsidRDefault="00D75355" w:rsidP="00D75355">
      <w:pPr>
        <w:ind w:firstLine="567"/>
        <w:rPr>
          <w:lang w:val="en-US"/>
        </w:rPr>
      </w:pPr>
      <w:r w:rsidRPr="00795AD4">
        <w:rPr>
          <w:lang w:val="en-US"/>
        </w:rPr>
        <w:t xml:space="preserve">In addition to the independent variable and in line with the literature on the determinants of well-being, we introduce several control variables into the model, each selected based on strong theoretical and empirical justifications to ensure a robust analysis of the electricity access-happiness nexus. </w:t>
      </w:r>
      <w:r w:rsidRPr="00795AD4">
        <w:rPr>
          <w:rStyle w:val="Strong"/>
          <w:b w:val="0"/>
          <w:lang w:val="en-US"/>
        </w:rPr>
        <w:t>Education</w:t>
      </w:r>
      <w:r w:rsidRPr="00795AD4">
        <w:rPr>
          <w:lang w:val="en-US"/>
        </w:rPr>
        <w:t xml:space="preserve"> is included as a</w:t>
      </w:r>
      <w:r w:rsidR="001C2DCD">
        <w:rPr>
          <w:lang w:val="en-US"/>
        </w:rPr>
        <w:t xml:space="preserve"> control because prior research</w:t>
      </w:r>
      <w:r w:rsidRPr="00795AD4">
        <w:rPr>
          <w:lang w:val="en-US"/>
        </w:rPr>
        <w:t xml:space="preserve"> demonstrates that higher educational</w:t>
      </w:r>
      <w:r w:rsidR="00FD6559">
        <w:rPr>
          <w:lang w:val="en-US"/>
        </w:rPr>
        <w:t xml:space="preserve"> investment and</w:t>
      </w:r>
      <w:r w:rsidRPr="00795AD4">
        <w:rPr>
          <w:lang w:val="en-US"/>
        </w:rPr>
        <w:t xml:space="preserve"> attainment </w:t>
      </w:r>
      <w:r w:rsidR="00FD6559">
        <w:rPr>
          <w:lang w:val="en-US"/>
        </w:rPr>
        <w:t>enhance</w:t>
      </w:r>
      <w:r w:rsidRPr="00795AD4">
        <w:rPr>
          <w:lang w:val="en-US"/>
        </w:rPr>
        <w:t xml:space="preserve"> cognitive skills, employment opportunities, and overall life satisfaction, which could independently influence happiness levels beyond electricity access</w:t>
      </w:r>
      <w:r w:rsidR="001C2DCD">
        <w:rPr>
          <w:lang w:val="en-US"/>
        </w:rPr>
        <w:t xml:space="preserve"> </w:t>
      </w:r>
      <w:r w:rsidR="001C2DCD" w:rsidRPr="00795AD4">
        <w:rPr>
          <w:lang w:val="en-US"/>
        </w:rPr>
        <w:t>(</w:t>
      </w:r>
      <w:proofErr w:type="spellStart"/>
      <w:r w:rsidR="001C2DCD" w:rsidRPr="00795AD4">
        <w:rPr>
          <w:lang w:val="en-US"/>
        </w:rPr>
        <w:t>Cuñado</w:t>
      </w:r>
      <w:proofErr w:type="spellEnd"/>
      <w:r w:rsidR="001C2DCD" w:rsidRPr="00795AD4">
        <w:rPr>
          <w:lang w:val="en-US"/>
        </w:rPr>
        <w:t xml:space="preserve"> &amp; De </w:t>
      </w:r>
      <w:proofErr w:type="spellStart"/>
      <w:r w:rsidR="001C2DCD" w:rsidRPr="00795AD4">
        <w:rPr>
          <w:lang w:val="en-US"/>
        </w:rPr>
        <w:t>Gracia</w:t>
      </w:r>
      <w:proofErr w:type="spellEnd"/>
      <w:r w:rsidR="001C2DCD" w:rsidRPr="00795AD4">
        <w:rPr>
          <w:lang w:val="en-US"/>
        </w:rPr>
        <w:t xml:space="preserve">, 2012; Kelly &amp; </w:t>
      </w:r>
      <w:proofErr w:type="spellStart"/>
      <w:r w:rsidR="001C2DCD" w:rsidRPr="00795AD4">
        <w:rPr>
          <w:lang w:val="en-US"/>
        </w:rPr>
        <w:t>Rutazihana</w:t>
      </w:r>
      <w:proofErr w:type="spellEnd"/>
      <w:r w:rsidR="001C2DCD" w:rsidRPr="00795AD4">
        <w:rPr>
          <w:lang w:val="en-US"/>
        </w:rPr>
        <w:t>, 2024)</w:t>
      </w:r>
      <w:r w:rsidRPr="00795AD4">
        <w:rPr>
          <w:lang w:val="en-US"/>
        </w:rPr>
        <w:t xml:space="preserve">. </w:t>
      </w:r>
      <w:r w:rsidRPr="00795AD4">
        <w:rPr>
          <w:rStyle w:val="Strong"/>
          <w:b w:val="0"/>
          <w:lang w:val="en-US"/>
        </w:rPr>
        <w:t>Financial development</w:t>
      </w:r>
      <w:r w:rsidRPr="00795AD4">
        <w:rPr>
          <w:lang w:val="en-US"/>
        </w:rPr>
        <w:t xml:space="preserve"> is incorporated following evidence (Xu &amp; Sun, 2022; </w:t>
      </w:r>
      <w:proofErr w:type="spellStart"/>
      <w:r w:rsidRPr="00795AD4">
        <w:rPr>
          <w:lang w:val="en-US"/>
        </w:rPr>
        <w:t>Feuzeu</w:t>
      </w:r>
      <w:proofErr w:type="spellEnd"/>
      <w:r w:rsidRPr="00795AD4">
        <w:rPr>
          <w:lang w:val="en-US"/>
        </w:rPr>
        <w:t xml:space="preserve"> &amp; Kelly, 2025) that well-functioning financial systems improve income stability, access t</w:t>
      </w:r>
      <w:r w:rsidR="00FD6559">
        <w:rPr>
          <w:lang w:val="en-US"/>
        </w:rPr>
        <w:t xml:space="preserve">o credit, and economic security, </w:t>
      </w:r>
      <w:r w:rsidRPr="00795AD4">
        <w:rPr>
          <w:lang w:val="en-US"/>
        </w:rPr>
        <w:t xml:space="preserve">factors that mediate subjective well-being. </w:t>
      </w:r>
      <w:r w:rsidRPr="00795AD4">
        <w:rPr>
          <w:rStyle w:val="Strong"/>
          <w:b w:val="0"/>
          <w:lang w:val="en-US"/>
        </w:rPr>
        <w:t>Health</w:t>
      </w:r>
      <w:r w:rsidRPr="00795AD4">
        <w:rPr>
          <w:lang w:val="en-US"/>
        </w:rPr>
        <w:t xml:space="preserve"> is controlled for, as studies (</w:t>
      </w:r>
      <w:proofErr w:type="spellStart"/>
      <w:r w:rsidRPr="00795AD4">
        <w:rPr>
          <w:lang w:val="en-US"/>
        </w:rPr>
        <w:t>Veenhoven</w:t>
      </w:r>
      <w:proofErr w:type="spellEnd"/>
      <w:r w:rsidRPr="00795AD4">
        <w:rPr>
          <w:lang w:val="en-US"/>
        </w:rPr>
        <w:t xml:space="preserve">, 2008; </w:t>
      </w:r>
      <w:proofErr w:type="spellStart"/>
      <w:r w:rsidRPr="00795AD4">
        <w:rPr>
          <w:lang w:val="en-US"/>
        </w:rPr>
        <w:t>Wassou</w:t>
      </w:r>
      <w:proofErr w:type="spellEnd"/>
      <w:r w:rsidRPr="00795AD4">
        <w:rPr>
          <w:lang w:val="en-US"/>
        </w:rPr>
        <w:t xml:space="preserve"> et al., 2024; Kelly &amp; </w:t>
      </w:r>
      <w:proofErr w:type="spellStart"/>
      <w:r w:rsidRPr="00795AD4">
        <w:rPr>
          <w:lang w:val="en-US"/>
        </w:rPr>
        <w:t>Wassou</w:t>
      </w:r>
      <w:proofErr w:type="spellEnd"/>
      <w:r w:rsidRPr="00795AD4">
        <w:rPr>
          <w:lang w:val="en-US"/>
        </w:rPr>
        <w:t xml:space="preserve">, 2025) consistently show that better health outcomes, including life expectancy and reduced morbidity, are strongly correlated with higher happiness by enhancing individuals' physical and mental well-being. Finally, </w:t>
      </w:r>
      <w:r w:rsidRPr="00795AD4">
        <w:rPr>
          <w:rStyle w:val="Strong"/>
          <w:b w:val="0"/>
          <w:lang w:val="en-US"/>
        </w:rPr>
        <w:t>industrialization</w:t>
      </w:r>
      <w:r w:rsidRPr="00795AD4">
        <w:rPr>
          <w:lang w:val="en-US"/>
        </w:rPr>
        <w:t xml:space="preserve"> is accounted for based on findings that industrial growth affects job creation, income levels, and urbanization patterns, all of which shape living conditions and societal happiness</w:t>
      </w:r>
      <w:r w:rsidR="00FD6559">
        <w:rPr>
          <w:lang w:val="en-US"/>
        </w:rPr>
        <w:t xml:space="preserve"> </w:t>
      </w:r>
      <w:r w:rsidR="00FD6559" w:rsidRPr="00795AD4">
        <w:rPr>
          <w:lang w:val="en-US"/>
        </w:rPr>
        <w:t>(</w:t>
      </w:r>
      <w:proofErr w:type="spellStart"/>
      <w:r w:rsidR="00FD6559" w:rsidRPr="00795AD4">
        <w:rPr>
          <w:lang w:val="en-US"/>
        </w:rPr>
        <w:t>Nguéd</w:t>
      </w:r>
      <w:r w:rsidR="00FD6559">
        <w:rPr>
          <w:lang w:val="en-US"/>
        </w:rPr>
        <w:t>a</w:t>
      </w:r>
      <w:proofErr w:type="spellEnd"/>
      <w:r w:rsidR="00FD6559">
        <w:rPr>
          <w:lang w:val="en-US"/>
        </w:rPr>
        <w:t xml:space="preserve"> &amp; Kelly, 2022; </w:t>
      </w:r>
      <w:proofErr w:type="spellStart"/>
      <w:r w:rsidR="00FD6559">
        <w:rPr>
          <w:lang w:val="en-US"/>
        </w:rPr>
        <w:t>Inkeles</w:t>
      </w:r>
      <w:proofErr w:type="spellEnd"/>
      <w:r w:rsidR="00FD6559">
        <w:rPr>
          <w:lang w:val="en-US"/>
        </w:rPr>
        <w:t>, 2022)</w:t>
      </w:r>
      <w:r w:rsidR="000E48C6">
        <w:rPr>
          <w:lang w:val="en-US"/>
        </w:rPr>
        <w:t>.</w:t>
      </w:r>
    </w:p>
    <w:p w14:paraId="242C1EE7" w14:textId="77777777" w:rsidR="00DB09BD" w:rsidRDefault="0073713F" w:rsidP="0073713F">
      <w:pPr>
        <w:pStyle w:val="Heading2"/>
        <w:numPr>
          <w:ilvl w:val="1"/>
          <w:numId w:val="1"/>
        </w:numPr>
        <w:rPr>
          <w:lang w:val="en-US"/>
        </w:rPr>
      </w:pPr>
      <w:r>
        <w:rPr>
          <w:lang w:val="en-US"/>
        </w:rPr>
        <w:lastRenderedPageBreak/>
        <w:t xml:space="preserve"> </w:t>
      </w:r>
      <w:r w:rsidR="006142A8">
        <w:rPr>
          <w:lang w:val="en-US"/>
        </w:rPr>
        <w:t>Model and Estimation Strategy</w:t>
      </w:r>
    </w:p>
    <w:p w14:paraId="4BAA3B37" w14:textId="77777777" w:rsidR="00DB09BD" w:rsidRDefault="00DB09BD" w:rsidP="00DB09BD">
      <w:pPr>
        <w:ind w:firstLine="567"/>
        <w:rPr>
          <w:lang w:val="en-US" w:eastAsia="fr-FR"/>
        </w:rPr>
      </w:pPr>
      <w:r>
        <w:rPr>
          <w:lang w:val="en-US"/>
        </w:rPr>
        <w:t xml:space="preserve">Gaining </w:t>
      </w:r>
      <w:r>
        <w:rPr>
          <w:lang w:val="en-US" w:eastAsia="fr-FR"/>
        </w:rPr>
        <w:t>inspiration from the works of</w:t>
      </w:r>
      <w:r>
        <w:rPr>
          <w:lang w:val="en-US"/>
        </w:rPr>
        <w:t xml:space="preserve"> </w:t>
      </w:r>
      <w:proofErr w:type="spellStart"/>
      <w:r w:rsidRPr="00DB09BD">
        <w:rPr>
          <w:lang w:val="en-US"/>
        </w:rPr>
        <w:t>Kuziboev</w:t>
      </w:r>
      <w:proofErr w:type="spellEnd"/>
      <w:r>
        <w:rPr>
          <w:lang w:val="en-US"/>
        </w:rPr>
        <w:t xml:space="preserve"> et al. (2024), </w:t>
      </w:r>
      <w:r>
        <w:rPr>
          <w:lang w:val="en-US" w:eastAsia="fr-FR"/>
        </w:rPr>
        <w:t xml:space="preserve">we empirically specify the following model: </w:t>
      </w:r>
    </w:p>
    <w:p w14:paraId="5CAE88C4" w14:textId="77777777" w:rsidR="00DB09BD" w:rsidRDefault="00E72D91" w:rsidP="00DB09BD">
      <w:pPr>
        <w:ind w:firstLine="426"/>
        <w:rPr>
          <w:rFonts w:eastAsiaTheme="minorEastAsia"/>
          <w:szCs w:val="24"/>
          <w:lang w:val="en-US"/>
        </w:rPr>
      </w:pP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0</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lang w:val="en-US"/>
              </w:rPr>
              <m:t>1</m:t>
            </m:r>
          </m:sub>
        </m:sSub>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rPr>
              <m:t>δX</m:t>
            </m:r>
          </m:e>
          <m:sub>
            <m:r>
              <w:rPr>
                <w:rFonts w:ascii="Cambria Math" w:hAnsi="Cambria Math" w:cs="Times New Roman"/>
                <w:szCs w:val="24"/>
              </w:rPr>
              <m:t>it</m:t>
            </m:r>
          </m:sub>
        </m:sSub>
        <m:r>
          <w:rPr>
            <w:rFonts w:ascii="Cambria Math" w:hAnsi="Cambria Math" w:cs="Times New Roman"/>
            <w:szCs w:val="24"/>
            <w:lang w:val="en-US"/>
          </w:rPr>
          <m:t>+</m:t>
        </m:r>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00DB09BD" w:rsidRPr="00A5326A">
        <w:rPr>
          <w:rFonts w:eastAsiaTheme="minorEastAsia"/>
          <w:szCs w:val="24"/>
          <w:lang w:val="en-US"/>
        </w:rPr>
        <w:t xml:space="preserve"> </w:t>
      </w:r>
      <w:r w:rsidR="00DB09BD">
        <w:rPr>
          <w:rFonts w:eastAsiaTheme="minorEastAsia"/>
          <w:szCs w:val="24"/>
          <w:lang w:val="en-US"/>
        </w:rPr>
        <w:t xml:space="preserve">                        (1)</w:t>
      </w:r>
    </w:p>
    <w:p w14:paraId="2EC1B49A" w14:textId="77777777" w:rsidR="008E503E" w:rsidRDefault="008E503E" w:rsidP="008E503E">
      <w:pPr>
        <w:ind w:firstLine="567"/>
        <w:rPr>
          <w:lang w:val="en-US"/>
        </w:rPr>
      </w:pPr>
      <w:r w:rsidRPr="001E1777">
        <w:rPr>
          <w:lang w:val="en-US"/>
        </w:rPr>
        <w:t xml:space="preserve">Where </w:t>
      </w:r>
      <m:oMath>
        <m:sSub>
          <m:sSubPr>
            <m:ctrlPr>
              <w:rPr>
                <w:rFonts w:ascii="Cambria Math" w:hAnsi="Cambria Math" w:cs="Times New Roman"/>
                <w:i/>
                <w:szCs w:val="24"/>
              </w:rPr>
            </m:ctrlPr>
          </m:sSubPr>
          <m:e>
            <m:r>
              <w:rPr>
                <w:rFonts w:ascii="Cambria Math" w:hAnsi="Cambria Math" w:cs="Times New Roman"/>
                <w:szCs w:val="24"/>
              </w:rPr>
              <m:t>Happiness</m:t>
            </m:r>
          </m:e>
          <m:sub>
            <m:r>
              <w:rPr>
                <w:rFonts w:ascii="Cambria Math" w:hAnsi="Cambria Math" w:cs="Times New Roman"/>
                <w:szCs w:val="24"/>
              </w:rPr>
              <m:t>it</m:t>
            </m:r>
          </m:sub>
        </m:sSub>
      </m:oMath>
      <w:r w:rsidRPr="001E1777">
        <w:rPr>
          <w:lang w:val="en-US"/>
        </w:rPr>
        <w:t xml:space="preserve"> is the dependent variable representing </w:t>
      </w:r>
      <w:r>
        <w:rPr>
          <w:lang w:val="en-US"/>
        </w:rPr>
        <w:t xml:space="preserve">the </w:t>
      </w:r>
      <w:proofErr w:type="spellStart"/>
      <w:r>
        <w:rPr>
          <w:lang w:val="en-US"/>
        </w:rPr>
        <w:t>Cantril</w:t>
      </w:r>
      <w:proofErr w:type="spellEnd"/>
      <w:r>
        <w:rPr>
          <w:lang w:val="en-US"/>
        </w:rPr>
        <w:t xml:space="preserve"> ladder score for country </w:t>
      </w:r>
      <w:proofErr w:type="spellStart"/>
      <w:r>
        <w:rPr>
          <w:lang w:val="en-US"/>
        </w:rPr>
        <w:t>i</w:t>
      </w:r>
      <w:proofErr w:type="spellEnd"/>
      <w:r>
        <w:rPr>
          <w:lang w:val="en-US"/>
        </w:rPr>
        <w:t xml:space="preserve"> at time t. </w:t>
      </w:r>
      <m:oMath>
        <m:sSub>
          <m:sSubPr>
            <m:ctrlPr>
              <w:rPr>
                <w:rFonts w:ascii="Cambria Math" w:hAnsi="Cambria Math" w:cs="Times New Roman"/>
                <w:i/>
                <w:szCs w:val="24"/>
              </w:rPr>
            </m:ctrlPr>
          </m:sSubPr>
          <m:e>
            <m:r>
              <w:rPr>
                <w:rFonts w:ascii="Cambria Math" w:hAnsi="Cambria Math" w:cs="Times New Roman"/>
                <w:szCs w:val="24"/>
              </w:rPr>
              <m:t>Electricity</m:t>
            </m:r>
          </m:e>
          <m:sub>
            <m:r>
              <w:rPr>
                <w:rFonts w:ascii="Cambria Math" w:hAnsi="Cambria Math" w:cs="Times New Roman"/>
                <w:szCs w:val="24"/>
              </w:rPr>
              <m:t>it</m:t>
            </m:r>
          </m:sub>
        </m:sSub>
      </m:oMath>
      <w:r>
        <w:rPr>
          <w:i/>
          <w:lang w:val="en-US"/>
        </w:rPr>
        <w:t>,</w:t>
      </w:r>
      <w:r w:rsidRPr="001E1777">
        <w:rPr>
          <w:lang w:val="en-US"/>
        </w:rPr>
        <w:t xml:space="preserve"> </w:t>
      </w:r>
      <w:r>
        <w:rPr>
          <w:lang w:val="en-US"/>
        </w:rPr>
        <w:t xml:space="preserve">representing </w:t>
      </w:r>
      <w:r w:rsidR="00D80A37">
        <w:rPr>
          <w:lang w:val="en-US"/>
        </w:rPr>
        <w:t>access to electricity</w:t>
      </w:r>
      <w:r w:rsidRPr="001E1777">
        <w:rPr>
          <w:lang w:val="en-US"/>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it</m:t>
            </m:r>
          </m:sub>
        </m:sSub>
      </m:oMath>
      <w:r w:rsidRPr="001E1777">
        <w:rPr>
          <w:lang w:val="en-US"/>
        </w:rPr>
        <w:t xml:space="preserve"> is the vector of control variables, </w:t>
      </w:r>
      <w:r>
        <w:rPr>
          <w:lang w:val="en-US"/>
        </w:rPr>
        <w:t xml:space="preserve">and </w:t>
      </w:r>
      <m:oMath>
        <m:sSub>
          <m:sSubPr>
            <m:ctrlPr>
              <w:rPr>
                <w:rFonts w:ascii="Cambria Math" w:hAnsi="Cambria Math" w:cs="Times New Roman"/>
                <w:i/>
                <w:szCs w:val="24"/>
              </w:rPr>
            </m:ctrlPr>
          </m:sSubPr>
          <m:e>
            <m:r>
              <w:rPr>
                <w:rFonts w:ascii="Cambria Math" w:hAnsi="Cambria Math" w:cs="Times New Roman"/>
                <w:szCs w:val="24"/>
                <w:lang w:val="en-US"/>
              </w:rPr>
              <m:t>µ</m:t>
            </m:r>
          </m:e>
          <m:sub>
            <m:r>
              <w:rPr>
                <w:rFonts w:ascii="Cambria Math" w:hAnsi="Cambria Math" w:cs="Times New Roman"/>
                <w:szCs w:val="24"/>
              </w:rPr>
              <m:t>it</m:t>
            </m:r>
          </m:sub>
        </m:sSub>
      </m:oMath>
      <w:r w:rsidRPr="001E1777">
        <w:rPr>
          <w:lang w:val="en-US"/>
        </w:rPr>
        <w:t xml:space="preserve"> is the stochastic error term.</w:t>
      </w:r>
    </w:p>
    <w:p w14:paraId="583A32EA" w14:textId="77777777" w:rsidR="003C6D10" w:rsidRPr="003C6D10" w:rsidRDefault="00E61A65" w:rsidP="00D45F0F">
      <w:pPr>
        <w:ind w:firstLine="567"/>
        <w:rPr>
          <w:lang w:val="en-US"/>
        </w:rPr>
      </w:pPr>
      <w:r w:rsidRPr="00922C45">
        <w:rPr>
          <w:lang w:val="en-US"/>
        </w:rPr>
        <w:t xml:space="preserve">Two estimation methods are applied in order to ensure valid statistical inference and robust standard errors: The </w:t>
      </w:r>
      <w:proofErr w:type="spellStart"/>
      <w:r w:rsidRPr="00922C45">
        <w:rPr>
          <w:lang w:val="en-US"/>
        </w:rPr>
        <w:t>Discroll</w:t>
      </w:r>
      <w:proofErr w:type="spellEnd"/>
      <w:r w:rsidRPr="00922C45">
        <w:rPr>
          <w:lang w:val="en-US"/>
        </w:rPr>
        <w:t xml:space="preserve"> &amp; </w:t>
      </w:r>
      <w:proofErr w:type="spellStart"/>
      <w:r w:rsidRPr="00922C45">
        <w:rPr>
          <w:lang w:val="en-US"/>
        </w:rPr>
        <w:t>Kraay</w:t>
      </w:r>
      <w:proofErr w:type="spellEnd"/>
      <w:r w:rsidRPr="00922C45">
        <w:rPr>
          <w:lang w:val="en-US"/>
        </w:rPr>
        <w:t xml:space="preserve"> and the </w:t>
      </w:r>
      <w:r w:rsidR="00E23388" w:rsidRPr="003C6D10">
        <w:rPr>
          <w:lang w:val="en-US" w:eastAsia="fr-FR"/>
        </w:rPr>
        <w:t>Instrumental Variable Tw</w:t>
      </w:r>
      <w:r w:rsidR="00E23388">
        <w:rPr>
          <w:lang w:val="en-US" w:eastAsia="fr-FR"/>
        </w:rPr>
        <w:t>o-Stage Least Squares (IV-2SLS)</w:t>
      </w:r>
      <w:r w:rsidRPr="00922C45">
        <w:rPr>
          <w:lang w:val="en-US"/>
        </w:rPr>
        <w:t>.</w:t>
      </w:r>
      <w:r w:rsidR="00D45F0F">
        <w:rPr>
          <w:lang w:val="en-US"/>
        </w:rPr>
        <w:t xml:space="preserve"> </w:t>
      </w:r>
      <w:r w:rsidR="003C6D10" w:rsidRPr="003C6D10">
        <w:rPr>
          <w:lang w:val="en-US" w:eastAsia="fr-FR"/>
        </w:rPr>
        <w:t xml:space="preserve">First, we estimate our baseline model using Driscoll &amp; Kraay standard errors due to their ability to address cross-sectional dependence and heteroskedasticity in panel data with a small number of cross-sectional units </w:t>
      </w:r>
      <w:r w:rsidR="00455DC7">
        <w:rPr>
          <w:lang w:val="en-US" w:eastAsia="fr-FR"/>
        </w:rPr>
        <w:t>and a short time dimension</w:t>
      </w:r>
      <w:r w:rsidR="003C6D10" w:rsidRPr="003C6D10">
        <w:rPr>
          <w:lang w:val="en-US" w:eastAsia="fr-FR"/>
        </w:rPr>
        <w:t>. This method is particularly suitable for our study because it produces consistent standard errors even when spatial correlation or serial dependence exists across countries, a common issue in macroeconomic and development studies (Driscoll &amp; Kraay, 1998</w:t>
      </w:r>
      <w:r w:rsidR="00284B5A">
        <w:rPr>
          <w:lang w:val="en-US" w:eastAsia="fr-FR"/>
        </w:rPr>
        <w:t xml:space="preserve">; </w:t>
      </w:r>
      <w:r w:rsidR="00284B5A" w:rsidRPr="00F37971">
        <w:rPr>
          <w:rFonts w:eastAsia="Times New Roman" w:cs="Times New Roman"/>
          <w:szCs w:val="24"/>
          <w:lang w:val="en-US" w:eastAsia="fr-FR"/>
        </w:rPr>
        <w:t xml:space="preserve">Kelly &amp; </w:t>
      </w:r>
      <w:proofErr w:type="spellStart"/>
      <w:r w:rsidR="00284B5A" w:rsidRPr="00F37971">
        <w:rPr>
          <w:rFonts w:eastAsia="Times New Roman" w:cs="Times New Roman"/>
          <w:szCs w:val="24"/>
          <w:lang w:val="en-US" w:eastAsia="fr-FR"/>
        </w:rPr>
        <w:t>Nembot</w:t>
      </w:r>
      <w:proofErr w:type="spellEnd"/>
      <w:r w:rsidR="00284B5A" w:rsidRPr="00F37971">
        <w:rPr>
          <w:rFonts w:eastAsia="Times New Roman" w:cs="Times New Roman"/>
          <w:szCs w:val="24"/>
          <w:lang w:val="en-US" w:eastAsia="fr-FR"/>
        </w:rPr>
        <w:t xml:space="preserve"> </w:t>
      </w:r>
      <w:proofErr w:type="spellStart"/>
      <w:r w:rsidR="00284B5A" w:rsidRPr="00F37971">
        <w:rPr>
          <w:rFonts w:eastAsia="Times New Roman" w:cs="Times New Roman"/>
          <w:szCs w:val="24"/>
          <w:lang w:val="en-US" w:eastAsia="fr-FR"/>
        </w:rPr>
        <w:t>Ndeffo</w:t>
      </w:r>
      <w:proofErr w:type="spellEnd"/>
      <w:r w:rsidR="00284B5A" w:rsidRPr="00F37971">
        <w:rPr>
          <w:rFonts w:eastAsia="Times New Roman" w:cs="Times New Roman"/>
          <w:szCs w:val="24"/>
          <w:lang w:val="en-US" w:eastAsia="fr-FR"/>
        </w:rPr>
        <w:t>, 2025</w:t>
      </w:r>
      <w:r w:rsidR="003C6D10" w:rsidRPr="003C6D10">
        <w:rPr>
          <w:lang w:val="en-US" w:eastAsia="fr-FR"/>
        </w:rPr>
        <w:t>). Given that shocks such as regional economic policies or climate events may simultaneously affect multiple countries in the African Great Lakes region, failing to account for cross-sectional dependence could lead to biased inference. Additionally, Driscoll &amp; Kraay’s nonparametric approach does not impose restrictive assumptions on the covariance structure, making it robust to unknown forms of heteroskedasticity and autocorrelation (Pete</w:t>
      </w:r>
      <w:r w:rsidR="00D2734E">
        <w:rPr>
          <w:lang w:val="en-US" w:eastAsia="fr-FR"/>
        </w:rPr>
        <w:t>rsen, 2008</w:t>
      </w:r>
      <w:r w:rsidR="0069264C">
        <w:rPr>
          <w:lang w:val="en-US" w:eastAsia="fr-FR"/>
        </w:rPr>
        <w:t xml:space="preserve">; </w:t>
      </w:r>
      <w:r w:rsidR="0069264C" w:rsidRPr="00F37971">
        <w:rPr>
          <w:rFonts w:eastAsia="Times New Roman" w:cs="Times New Roman"/>
          <w:szCs w:val="24"/>
          <w:lang w:val="en-US" w:eastAsia="fr-FR"/>
        </w:rPr>
        <w:t xml:space="preserve">Kelly &amp; </w:t>
      </w:r>
      <w:proofErr w:type="spellStart"/>
      <w:r w:rsidR="0069264C" w:rsidRPr="00F37971">
        <w:rPr>
          <w:rFonts w:eastAsia="Times New Roman" w:cs="Times New Roman"/>
          <w:szCs w:val="24"/>
          <w:lang w:val="en-US" w:eastAsia="fr-FR"/>
        </w:rPr>
        <w:t>Ndeffo</w:t>
      </w:r>
      <w:proofErr w:type="spellEnd"/>
      <w:r w:rsidR="0069264C" w:rsidRPr="00F37971">
        <w:rPr>
          <w:rFonts w:eastAsia="Times New Roman" w:cs="Times New Roman"/>
          <w:szCs w:val="24"/>
          <w:lang w:val="en-US" w:eastAsia="fr-FR"/>
        </w:rPr>
        <w:t>, 2025</w:t>
      </w:r>
      <w:r w:rsidR="003C6D10" w:rsidRPr="003C6D10">
        <w:rPr>
          <w:lang w:val="en-US" w:eastAsia="fr-FR"/>
        </w:rPr>
        <w:t>). This ensures that our baseline estimates remain reliable despite the limited sample size and potential unobserved common factors influencing both electricity access and happiness.</w:t>
      </w:r>
    </w:p>
    <w:p w14:paraId="4BC012F9" w14:textId="77777777" w:rsidR="003C6D10" w:rsidRDefault="003C6D10" w:rsidP="003C6D10">
      <w:pPr>
        <w:ind w:firstLine="567"/>
        <w:rPr>
          <w:lang w:val="en-US" w:eastAsia="fr-FR"/>
        </w:rPr>
      </w:pPr>
      <w:r w:rsidRPr="003C6D10">
        <w:rPr>
          <w:lang w:val="en-US" w:eastAsia="fr-FR"/>
        </w:rPr>
        <w:t>For robustness and to address</w:t>
      </w:r>
      <w:r w:rsidR="008F0A9C">
        <w:rPr>
          <w:lang w:val="en-US" w:eastAsia="fr-FR"/>
        </w:rPr>
        <w:t xml:space="preserve"> potential endogeneity concerns, </w:t>
      </w:r>
      <w:r w:rsidRPr="003C6D10">
        <w:rPr>
          <w:lang w:val="en-US" w:eastAsia="fr-FR"/>
        </w:rPr>
        <w:t>such as reverse causality (where happier societies may invest more in electrific</w:t>
      </w:r>
      <w:r w:rsidR="008F0A9C">
        <w:rPr>
          <w:lang w:val="en-US" w:eastAsia="fr-FR"/>
        </w:rPr>
        <w:t xml:space="preserve">ation) or omitted variable bias, </w:t>
      </w:r>
      <w:r w:rsidRPr="003C6D10">
        <w:rPr>
          <w:lang w:val="en-US" w:eastAsia="fr-FR"/>
        </w:rPr>
        <w:t xml:space="preserve">we employ the </w:t>
      </w:r>
      <w:r w:rsidR="0049414F">
        <w:rPr>
          <w:lang w:val="en-US" w:eastAsia="fr-FR"/>
        </w:rPr>
        <w:t>IV-2SLS</w:t>
      </w:r>
      <w:r w:rsidRPr="003C6D10">
        <w:rPr>
          <w:lang w:val="en-US" w:eastAsia="fr-FR"/>
        </w:rPr>
        <w:t xml:space="preserve"> estimator. This app</w:t>
      </w:r>
      <w:r w:rsidR="0088392A">
        <w:rPr>
          <w:lang w:val="en-US" w:eastAsia="fr-FR"/>
        </w:rPr>
        <w:t>roach is well-suited for small</w:t>
      </w:r>
      <w:r w:rsidRPr="003C6D10">
        <w:rPr>
          <w:lang w:val="en-US" w:eastAsia="fr-FR"/>
        </w:rPr>
        <w:t xml:space="preserve"> panels where traditional fixed-effects estimators may struggle with weak instruments or finite-</w:t>
      </w:r>
      <w:r w:rsidR="0088392A">
        <w:rPr>
          <w:lang w:val="en-US" w:eastAsia="fr-FR"/>
        </w:rPr>
        <w:t xml:space="preserve">sample bias (Baum et al., 2007; </w:t>
      </w:r>
      <w:r w:rsidR="0088392A" w:rsidRPr="00201DBD">
        <w:rPr>
          <w:rFonts w:eastAsia="Times New Roman" w:cs="Times New Roman"/>
          <w:szCs w:val="24"/>
          <w:lang w:val="en-US" w:eastAsia="fr-FR"/>
        </w:rPr>
        <w:t>Kelly, 2024</w:t>
      </w:r>
      <w:r w:rsidR="00606512">
        <w:rPr>
          <w:lang w:val="en-US" w:eastAsia="fr-FR"/>
        </w:rPr>
        <w:t>).</w:t>
      </w:r>
      <w:r w:rsidRPr="003C6D10">
        <w:rPr>
          <w:lang w:val="en-US" w:eastAsia="fr-FR"/>
        </w:rPr>
        <w:t xml:space="preserve"> The IV-2SLS method allows us to isolate the causal effect of electricity access on happiness while mitigating biases from endogenous regressors (Angrist &amp; Pischke, 2009). By comparing results from both Driscoll &amp; Kraay and IV-2SLS, we ensure that our findings are not driven by estimation artifacts, enhancing the credibility of our conclusions about the electricity-happiness nexus in the African Great Lakes region.</w:t>
      </w:r>
    </w:p>
    <w:p w14:paraId="22A4BDBD" w14:textId="77777777" w:rsidR="00EF778D" w:rsidRPr="003C6D10" w:rsidRDefault="00EF778D" w:rsidP="0073713F">
      <w:pPr>
        <w:pStyle w:val="Heading1"/>
        <w:numPr>
          <w:ilvl w:val="0"/>
          <w:numId w:val="1"/>
        </w:numPr>
        <w:rPr>
          <w:rFonts w:eastAsia="Times New Roman"/>
          <w:lang w:val="en-US" w:eastAsia="fr-FR"/>
        </w:rPr>
      </w:pPr>
      <w:r>
        <w:rPr>
          <w:lang w:val="en-US" w:eastAsia="fr-FR"/>
        </w:rPr>
        <w:lastRenderedPageBreak/>
        <w:t>Results</w:t>
      </w:r>
    </w:p>
    <w:p w14:paraId="250FC8FD" w14:textId="77777777" w:rsidR="001F1B1F" w:rsidRDefault="0073713F" w:rsidP="0073713F">
      <w:pPr>
        <w:pStyle w:val="Heading2"/>
        <w:numPr>
          <w:ilvl w:val="1"/>
          <w:numId w:val="1"/>
        </w:numPr>
        <w:rPr>
          <w:lang w:val="en-US"/>
        </w:rPr>
      </w:pPr>
      <w:r>
        <w:rPr>
          <w:lang w:val="en-US"/>
        </w:rPr>
        <w:t xml:space="preserve"> </w:t>
      </w:r>
      <w:r w:rsidR="00E314F6">
        <w:rPr>
          <w:lang w:val="en-US"/>
        </w:rPr>
        <w:t>Baseline</w:t>
      </w:r>
      <w:r w:rsidR="00BA2DC8">
        <w:rPr>
          <w:lang w:val="en-US"/>
        </w:rPr>
        <w:t xml:space="preserve"> findings</w:t>
      </w:r>
    </w:p>
    <w:p w14:paraId="699E56C4" w14:textId="77777777" w:rsidR="00697372" w:rsidRDefault="008532D2" w:rsidP="008532D2">
      <w:pPr>
        <w:ind w:firstLine="567"/>
        <w:rPr>
          <w:rStyle w:val="Strong"/>
          <w:b w:val="0"/>
          <w:lang w:val="en-US"/>
        </w:rPr>
      </w:pPr>
      <w:r w:rsidRPr="008532D2">
        <w:rPr>
          <w:rStyle w:val="Strong"/>
          <w:b w:val="0"/>
          <w:lang w:val="en-US"/>
        </w:rPr>
        <w:t>Before proceeding with our estimation, we first conduct a cross-sectional dependence test to assess whether unobserved common shocks or spillover effects may introduce bias due to inter-country dependence</w:t>
      </w:r>
      <w:r>
        <w:rPr>
          <w:rStyle w:val="Strong"/>
          <w:b w:val="0"/>
          <w:lang w:val="en-US"/>
        </w:rPr>
        <w:t xml:space="preserve"> (Kelly &amp; Radler, 2024)</w:t>
      </w:r>
      <w:r w:rsidRPr="008532D2">
        <w:rPr>
          <w:rStyle w:val="Strong"/>
          <w:b w:val="0"/>
          <w:lang w:val="en-US"/>
        </w:rPr>
        <w:t>. Given the geographic proximity and shared socioeconomic dynamics of the African Great Lakes countries, shocks such as regional policy changes, climate events, or infrastructure investments could simultaneously influence multiple nations in our sample. To ensure the validity of our inference, we specifically test for weak cross-sectional dependence, which examines whether correlations between countries diminish as the sample size increases. The results of</w:t>
      </w:r>
      <w:r w:rsidR="00697372">
        <w:rPr>
          <w:rStyle w:val="Strong"/>
          <w:b w:val="0"/>
          <w:lang w:val="en-US"/>
        </w:rPr>
        <w:t xml:space="preserve"> this test, presented in Table 2</w:t>
      </w:r>
      <w:r w:rsidRPr="008532D2">
        <w:rPr>
          <w:rStyle w:val="Strong"/>
          <w:b w:val="0"/>
          <w:lang w:val="en-US"/>
        </w:rPr>
        <w:t>, confirm t</w:t>
      </w:r>
      <w:r w:rsidR="00697372">
        <w:rPr>
          <w:rStyle w:val="Strong"/>
          <w:b w:val="0"/>
          <w:lang w:val="en-US"/>
        </w:rPr>
        <w:t>he presence</w:t>
      </w:r>
      <w:r w:rsidRPr="008532D2">
        <w:rPr>
          <w:rStyle w:val="Strong"/>
          <w:b w:val="0"/>
          <w:lang w:val="en-US"/>
        </w:rPr>
        <w:t xml:space="preserve"> of cross-sectional dependence, guiding our choice of </w:t>
      </w:r>
      <w:r w:rsidR="00697372">
        <w:rPr>
          <w:rStyle w:val="Strong"/>
          <w:b w:val="0"/>
          <w:lang w:val="en-US"/>
        </w:rPr>
        <w:t>the</w:t>
      </w:r>
      <w:r w:rsidRPr="008532D2">
        <w:rPr>
          <w:rStyle w:val="Strong"/>
          <w:b w:val="0"/>
          <w:lang w:val="en-US"/>
        </w:rPr>
        <w:t xml:space="preserve"> Driscoll-Kraay standard errors </w:t>
      </w:r>
      <w:r w:rsidR="00697372">
        <w:rPr>
          <w:rStyle w:val="Strong"/>
          <w:b w:val="0"/>
          <w:lang w:val="en-US"/>
        </w:rPr>
        <w:t xml:space="preserve">estimation technique. </w:t>
      </w:r>
    </w:p>
    <w:p w14:paraId="7A739AA1" w14:textId="77777777" w:rsidR="009C095D" w:rsidRPr="00BA5063" w:rsidRDefault="00BE60AD" w:rsidP="00BA5063">
      <w:pPr>
        <w:rPr>
          <w:rStyle w:val="Strong"/>
          <w:b w:val="0"/>
          <w:bCs w:val="0"/>
          <w:lang w:val="en-US"/>
        </w:rPr>
      </w:pPr>
      <w:r>
        <w:rPr>
          <w:rStyle w:val="Strong"/>
          <w:b w:val="0"/>
          <w:lang w:val="en-US"/>
        </w:rPr>
        <w:t xml:space="preserve">Table 2: </w:t>
      </w:r>
      <w:r w:rsidR="00BA5063">
        <w:rPr>
          <w:rFonts w:cs="Times New Roman"/>
          <w:szCs w:val="24"/>
          <w:lang w:val="en-US"/>
        </w:rPr>
        <w:t>T</w:t>
      </w:r>
      <w:r w:rsidR="00BA5063" w:rsidRPr="00ED0F14">
        <w:rPr>
          <w:rFonts w:cs="Times New Roman"/>
          <w:szCs w:val="24"/>
          <w:lang w:val="en-US"/>
        </w:rPr>
        <w:t>ests of weakly cross-sectional dependence</w:t>
      </w:r>
    </w:p>
    <w:tbl>
      <w:tblPr>
        <w:tblW w:w="0" w:type="auto"/>
        <w:tblLayout w:type="fixed"/>
        <w:tblLook w:val="0000" w:firstRow="0" w:lastRow="0" w:firstColumn="0" w:lastColumn="0" w:noHBand="0" w:noVBand="0"/>
      </w:tblPr>
      <w:tblGrid>
        <w:gridCol w:w="3069"/>
        <w:gridCol w:w="2329"/>
        <w:gridCol w:w="2329"/>
      </w:tblGrid>
      <w:tr w:rsidR="00E84812" w:rsidRPr="00467AFB" w14:paraId="1331B2F4" w14:textId="77777777" w:rsidTr="00CC5258">
        <w:trPr>
          <w:trHeight w:val="247"/>
        </w:trPr>
        <w:tc>
          <w:tcPr>
            <w:tcW w:w="3069" w:type="dxa"/>
            <w:vMerge w:val="restart"/>
            <w:tcBorders>
              <w:top w:val="single" w:sz="4" w:space="0" w:color="auto"/>
              <w:left w:val="nil"/>
              <w:right w:val="nil"/>
            </w:tcBorders>
          </w:tcPr>
          <w:p w14:paraId="4000153D" w14:textId="77777777" w:rsidR="00E84812" w:rsidRDefault="00E84812" w:rsidP="0010532A">
            <w:pPr>
              <w:spacing w:line="240" w:lineRule="auto"/>
              <w:rPr>
                <w:lang w:val="en-US"/>
              </w:rPr>
            </w:pPr>
            <w:r>
              <w:rPr>
                <w:lang w:val="en-US"/>
              </w:rPr>
              <w:t xml:space="preserve"> </w:t>
            </w:r>
          </w:p>
        </w:tc>
        <w:tc>
          <w:tcPr>
            <w:tcW w:w="4658" w:type="dxa"/>
            <w:gridSpan w:val="2"/>
            <w:tcBorders>
              <w:top w:val="single" w:sz="4" w:space="0" w:color="auto"/>
              <w:left w:val="nil"/>
              <w:bottom w:val="single" w:sz="10" w:space="0" w:color="auto"/>
              <w:right w:val="nil"/>
            </w:tcBorders>
          </w:tcPr>
          <w:p w14:paraId="5E3B9DA6"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Testing for weak cross-sectional dependence (CSD)</w:t>
            </w:r>
          </w:p>
          <w:p w14:paraId="301BD700" w14:textId="77777777" w:rsidR="00E84812" w:rsidRPr="005E3ABA" w:rsidRDefault="00E84812" w:rsidP="00E84812">
            <w:pPr>
              <w:widowControl w:val="0"/>
              <w:autoSpaceDE w:val="0"/>
              <w:autoSpaceDN w:val="0"/>
              <w:adjustRightInd w:val="0"/>
              <w:spacing w:line="240" w:lineRule="auto"/>
              <w:rPr>
                <w:rFonts w:cs="Times New Roman"/>
                <w:sz w:val="20"/>
                <w:szCs w:val="20"/>
                <w:lang w:val="en-ZA"/>
              </w:rPr>
            </w:pPr>
            <w:r w:rsidRPr="005E3ABA">
              <w:rPr>
                <w:rFonts w:cs="Times New Roman"/>
                <w:sz w:val="20"/>
                <w:szCs w:val="20"/>
                <w:lang w:val="en-ZA"/>
              </w:rPr>
              <w:t>H0: weak cross-section dependence</w:t>
            </w:r>
          </w:p>
          <w:p w14:paraId="3713F1D8" w14:textId="77777777" w:rsidR="00E84812" w:rsidRDefault="00E84812" w:rsidP="00E84812">
            <w:pPr>
              <w:spacing w:line="240" w:lineRule="auto"/>
              <w:rPr>
                <w:lang w:val="en-US"/>
              </w:rPr>
            </w:pPr>
            <w:r w:rsidRPr="005E3ABA">
              <w:rPr>
                <w:rFonts w:cs="Times New Roman"/>
                <w:sz w:val="20"/>
                <w:szCs w:val="20"/>
                <w:lang w:val="en-ZA"/>
              </w:rPr>
              <w:t>H1: strong cross-section dependence</w:t>
            </w:r>
          </w:p>
        </w:tc>
      </w:tr>
      <w:tr w:rsidR="00E84812" w:rsidRPr="00E84812" w14:paraId="33CB0FCB" w14:textId="77777777" w:rsidTr="00CC5258">
        <w:trPr>
          <w:trHeight w:val="247"/>
        </w:trPr>
        <w:tc>
          <w:tcPr>
            <w:tcW w:w="3069" w:type="dxa"/>
            <w:vMerge/>
            <w:tcBorders>
              <w:left w:val="nil"/>
              <w:bottom w:val="single" w:sz="10" w:space="0" w:color="auto"/>
              <w:right w:val="nil"/>
            </w:tcBorders>
          </w:tcPr>
          <w:p w14:paraId="74AAF90E" w14:textId="77777777" w:rsidR="00E84812" w:rsidRDefault="00E84812" w:rsidP="00E84812">
            <w:pPr>
              <w:spacing w:line="240" w:lineRule="auto"/>
              <w:rPr>
                <w:lang w:val="en-US"/>
              </w:rPr>
            </w:pPr>
          </w:p>
        </w:tc>
        <w:tc>
          <w:tcPr>
            <w:tcW w:w="2329" w:type="dxa"/>
            <w:tcBorders>
              <w:top w:val="single" w:sz="4" w:space="0" w:color="auto"/>
              <w:left w:val="nil"/>
              <w:bottom w:val="single" w:sz="10" w:space="0" w:color="auto"/>
              <w:right w:val="nil"/>
            </w:tcBorders>
          </w:tcPr>
          <w:p w14:paraId="5E2173B0" w14:textId="77777777" w:rsidR="00E84812" w:rsidRDefault="00E84812" w:rsidP="00E84812">
            <w:pPr>
              <w:spacing w:line="240" w:lineRule="auto"/>
              <w:rPr>
                <w:lang w:val="en-US"/>
              </w:rPr>
            </w:pPr>
            <w:r>
              <w:rPr>
                <w:lang w:val="en-US"/>
              </w:rPr>
              <w:t xml:space="preserve"> CD</w:t>
            </w:r>
          </w:p>
        </w:tc>
        <w:tc>
          <w:tcPr>
            <w:tcW w:w="2329" w:type="dxa"/>
            <w:tcBorders>
              <w:top w:val="single" w:sz="4" w:space="0" w:color="auto"/>
              <w:left w:val="nil"/>
              <w:bottom w:val="single" w:sz="10" w:space="0" w:color="auto"/>
              <w:right w:val="nil"/>
            </w:tcBorders>
          </w:tcPr>
          <w:p w14:paraId="44600C77" w14:textId="77777777" w:rsidR="00E84812" w:rsidRDefault="00E84812" w:rsidP="00E84812">
            <w:pPr>
              <w:spacing w:line="240" w:lineRule="auto"/>
              <w:rPr>
                <w:lang w:val="en-US"/>
              </w:rPr>
            </w:pPr>
            <w:r>
              <w:rPr>
                <w:lang w:val="en-US"/>
              </w:rPr>
              <w:t xml:space="preserve"> </w:t>
            </w:r>
            <w:proofErr w:type="spellStart"/>
            <w:r>
              <w:rPr>
                <w:lang w:val="en-US"/>
              </w:rPr>
              <w:t>CDw</w:t>
            </w:r>
            <w:proofErr w:type="spellEnd"/>
            <w:r>
              <w:rPr>
                <w:lang w:val="en-US"/>
              </w:rPr>
              <w:t>+</w:t>
            </w:r>
          </w:p>
        </w:tc>
      </w:tr>
      <w:tr w:rsidR="00E84812" w14:paraId="576196A4" w14:textId="77777777" w:rsidTr="0010532A">
        <w:trPr>
          <w:trHeight w:val="262"/>
        </w:trPr>
        <w:tc>
          <w:tcPr>
            <w:tcW w:w="3069" w:type="dxa"/>
            <w:tcBorders>
              <w:top w:val="nil"/>
              <w:left w:val="nil"/>
              <w:bottom w:val="nil"/>
              <w:right w:val="nil"/>
            </w:tcBorders>
          </w:tcPr>
          <w:p w14:paraId="10299B11" w14:textId="77777777" w:rsidR="00E84812" w:rsidRDefault="00E84812" w:rsidP="00E84812">
            <w:pPr>
              <w:spacing w:line="240" w:lineRule="auto"/>
              <w:rPr>
                <w:lang w:val="en-US"/>
              </w:rPr>
            </w:pPr>
            <w:r>
              <w:rPr>
                <w:lang w:val="en-US"/>
              </w:rPr>
              <w:t xml:space="preserve">Happiness      </w:t>
            </w:r>
          </w:p>
        </w:tc>
        <w:tc>
          <w:tcPr>
            <w:tcW w:w="2329" w:type="dxa"/>
            <w:tcBorders>
              <w:top w:val="nil"/>
              <w:left w:val="nil"/>
              <w:bottom w:val="nil"/>
              <w:right w:val="nil"/>
            </w:tcBorders>
          </w:tcPr>
          <w:p w14:paraId="272E971F" w14:textId="77777777" w:rsidR="00E84812" w:rsidRDefault="00E84812" w:rsidP="00E84812">
            <w:pPr>
              <w:spacing w:line="240" w:lineRule="auto"/>
              <w:rPr>
                <w:lang w:val="en-US"/>
              </w:rPr>
            </w:pPr>
            <w:r>
              <w:rPr>
                <w:lang w:val="en-US"/>
              </w:rPr>
              <w:t xml:space="preserve">    0.320</w:t>
            </w:r>
          </w:p>
        </w:tc>
        <w:tc>
          <w:tcPr>
            <w:tcW w:w="2329" w:type="dxa"/>
            <w:tcBorders>
              <w:top w:val="nil"/>
              <w:left w:val="nil"/>
              <w:bottom w:val="nil"/>
              <w:right w:val="nil"/>
            </w:tcBorders>
          </w:tcPr>
          <w:p w14:paraId="41683FBA" w14:textId="77777777" w:rsidR="00E84812" w:rsidRDefault="00E84812" w:rsidP="00E84812">
            <w:pPr>
              <w:spacing w:line="240" w:lineRule="auto"/>
              <w:rPr>
                <w:lang w:val="en-US"/>
              </w:rPr>
            </w:pPr>
            <w:r>
              <w:rPr>
                <w:lang w:val="en-US"/>
              </w:rPr>
              <w:t xml:space="preserve">    7.930</w:t>
            </w:r>
          </w:p>
        </w:tc>
      </w:tr>
      <w:tr w:rsidR="00E84812" w14:paraId="58327802" w14:textId="77777777" w:rsidTr="0010532A">
        <w:trPr>
          <w:trHeight w:val="276"/>
        </w:trPr>
        <w:tc>
          <w:tcPr>
            <w:tcW w:w="3069" w:type="dxa"/>
            <w:tcBorders>
              <w:top w:val="nil"/>
              <w:left w:val="nil"/>
              <w:bottom w:val="nil"/>
              <w:right w:val="nil"/>
            </w:tcBorders>
          </w:tcPr>
          <w:p w14:paraId="55DCE3C6" w14:textId="77777777" w:rsidR="00E84812" w:rsidRDefault="00E84812" w:rsidP="00E84812">
            <w:pPr>
              <w:spacing w:line="240" w:lineRule="auto"/>
              <w:rPr>
                <w:lang w:val="en-US"/>
              </w:rPr>
            </w:pPr>
          </w:p>
        </w:tc>
        <w:tc>
          <w:tcPr>
            <w:tcW w:w="2329" w:type="dxa"/>
            <w:tcBorders>
              <w:top w:val="nil"/>
              <w:left w:val="nil"/>
              <w:bottom w:val="nil"/>
              <w:right w:val="nil"/>
            </w:tcBorders>
          </w:tcPr>
          <w:p w14:paraId="161B06BD"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25DE320A" w14:textId="77777777" w:rsidR="00E84812" w:rsidRDefault="00E84812" w:rsidP="00E84812">
            <w:pPr>
              <w:spacing w:line="240" w:lineRule="auto"/>
              <w:rPr>
                <w:lang w:val="en-US"/>
              </w:rPr>
            </w:pPr>
            <w:r>
              <w:rPr>
                <w:lang w:val="en-US"/>
              </w:rPr>
              <w:t>(0.000)</w:t>
            </w:r>
          </w:p>
        </w:tc>
      </w:tr>
      <w:tr w:rsidR="00E84812" w14:paraId="01F69C1B" w14:textId="77777777" w:rsidTr="0010532A">
        <w:trPr>
          <w:trHeight w:val="262"/>
        </w:trPr>
        <w:tc>
          <w:tcPr>
            <w:tcW w:w="3069" w:type="dxa"/>
            <w:tcBorders>
              <w:top w:val="nil"/>
              <w:left w:val="nil"/>
              <w:bottom w:val="nil"/>
              <w:right w:val="nil"/>
            </w:tcBorders>
          </w:tcPr>
          <w:p w14:paraId="2332BE6B" w14:textId="77777777" w:rsidR="00E84812" w:rsidRDefault="00E84812" w:rsidP="00E84812">
            <w:pPr>
              <w:spacing w:line="240" w:lineRule="auto"/>
              <w:rPr>
                <w:lang w:val="en-US"/>
              </w:rPr>
            </w:pPr>
            <w:proofErr w:type="spellStart"/>
            <w:r>
              <w:rPr>
                <w:lang w:val="en-US"/>
              </w:rPr>
              <w:t>Electricity_Total</w:t>
            </w:r>
            <w:proofErr w:type="spellEnd"/>
            <w:r>
              <w:rPr>
                <w:lang w:val="en-US"/>
              </w:rPr>
              <w:t xml:space="preserve">    </w:t>
            </w:r>
          </w:p>
        </w:tc>
        <w:tc>
          <w:tcPr>
            <w:tcW w:w="2329" w:type="dxa"/>
            <w:tcBorders>
              <w:top w:val="nil"/>
              <w:left w:val="nil"/>
              <w:bottom w:val="nil"/>
              <w:right w:val="nil"/>
            </w:tcBorders>
          </w:tcPr>
          <w:p w14:paraId="6CBFD29B" w14:textId="77777777" w:rsidR="00E84812" w:rsidRDefault="00E84812" w:rsidP="00E84812">
            <w:pPr>
              <w:spacing w:line="240" w:lineRule="auto"/>
              <w:rPr>
                <w:lang w:val="en-US"/>
              </w:rPr>
            </w:pPr>
            <w:r>
              <w:rPr>
                <w:lang w:val="en-US"/>
              </w:rPr>
              <w:t xml:space="preserve">    7.980</w:t>
            </w:r>
          </w:p>
        </w:tc>
        <w:tc>
          <w:tcPr>
            <w:tcW w:w="2329" w:type="dxa"/>
            <w:tcBorders>
              <w:top w:val="nil"/>
              <w:left w:val="nil"/>
              <w:bottom w:val="nil"/>
              <w:right w:val="nil"/>
            </w:tcBorders>
          </w:tcPr>
          <w:p w14:paraId="15FF65F1" w14:textId="77777777" w:rsidR="00E84812" w:rsidRDefault="00E84812" w:rsidP="00E84812">
            <w:pPr>
              <w:spacing w:line="240" w:lineRule="auto"/>
              <w:rPr>
                <w:lang w:val="en-US"/>
              </w:rPr>
            </w:pPr>
            <w:r>
              <w:rPr>
                <w:lang w:val="en-US"/>
              </w:rPr>
              <w:t xml:space="preserve">   23.970</w:t>
            </w:r>
          </w:p>
        </w:tc>
      </w:tr>
      <w:tr w:rsidR="00E84812" w14:paraId="5B5C8432" w14:textId="77777777" w:rsidTr="0010532A">
        <w:trPr>
          <w:trHeight w:val="262"/>
        </w:trPr>
        <w:tc>
          <w:tcPr>
            <w:tcW w:w="3069" w:type="dxa"/>
            <w:tcBorders>
              <w:top w:val="nil"/>
              <w:left w:val="nil"/>
              <w:bottom w:val="nil"/>
              <w:right w:val="nil"/>
            </w:tcBorders>
          </w:tcPr>
          <w:p w14:paraId="6CCF6B35" w14:textId="77777777" w:rsidR="00E84812" w:rsidRDefault="00E84812" w:rsidP="00E84812">
            <w:pPr>
              <w:spacing w:line="240" w:lineRule="auto"/>
              <w:rPr>
                <w:lang w:val="en-US"/>
              </w:rPr>
            </w:pPr>
          </w:p>
        </w:tc>
        <w:tc>
          <w:tcPr>
            <w:tcW w:w="2329" w:type="dxa"/>
            <w:tcBorders>
              <w:top w:val="nil"/>
              <w:left w:val="nil"/>
              <w:bottom w:val="nil"/>
              <w:right w:val="nil"/>
            </w:tcBorders>
          </w:tcPr>
          <w:p w14:paraId="6C50C152"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71155B4D" w14:textId="77777777" w:rsidR="00E84812" w:rsidRDefault="00E84812" w:rsidP="00E84812">
            <w:pPr>
              <w:spacing w:line="240" w:lineRule="auto"/>
              <w:rPr>
                <w:lang w:val="en-US"/>
              </w:rPr>
            </w:pPr>
            <w:r>
              <w:rPr>
                <w:lang w:val="en-US"/>
              </w:rPr>
              <w:t>(0.000)</w:t>
            </w:r>
          </w:p>
        </w:tc>
      </w:tr>
      <w:tr w:rsidR="00E84812" w14:paraId="300F3865" w14:textId="77777777" w:rsidTr="0010532A">
        <w:trPr>
          <w:trHeight w:val="276"/>
        </w:trPr>
        <w:tc>
          <w:tcPr>
            <w:tcW w:w="3069" w:type="dxa"/>
            <w:tcBorders>
              <w:top w:val="nil"/>
              <w:left w:val="nil"/>
              <w:bottom w:val="nil"/>
              <w:right w:val="nil"/>
            </w:tcBorders>
          </w:tcPr>
          <w:p w14:paraId="0748494F" w14:textId="77777777" w:rsidR="00E84812" w:rsidRDefault="00E84812" w:rsidP="00E84812">
            <w:pPr>
              <w:spacing w:line="240" w:lineRule="auto"/>
              <w:rPr>
                <w:lang w:val="en-US"/>
              </w:rPr>
            </w:pPr>
            <w:r>
              <w:rPr>
                <w:rFonts w:cs="Times New Roman"/>
                <w:szCs w:val="24"/>
                <w:lang w:val="en-US"/>
              </w:rPr>
              <w:t>Education</w:t>
            </w:r>
          </w:p>
        </w:tc>
        <w:tc>
          <w:tcPr>
            <w:tcW w:w="2329" w:type="dxa"/>
            <w:tcBorders>
              <w:top w:val="nil"/>
              <w:left w:val="nil"/>
              <w:bottom w:val="nil"/>
              <w:right w:val="nil"/>
            </w:tcBorders>
          </w:tcPr>
          <w:p w14:paraId="7B3118B0" w14:textId="77777777" w:rsidR="00E84812" w:rsidRDefault="00E84812" w:rsidP="00E84812">
            <w:pPr>
              <w:spacing w:line="240" w:lineRule="auto"/>
              <w:rPr>
                <w:lang w:val="en-US"/>
              </w:rPr>
            </w:pPr>
            <w:r>
              <w:rPr>
                <w:lang w:val="en-US"/>
              </w:rPr>
              <w:t xml:space="preserve">    0.270</w:t>
            </w:r>
          </w:p>
        </w:tc>
        <w:tc>
          <w:tcPr>
            <w:tcW w:w="2329" w:type="dxa"/>
            <w:tcBorders>
              <w:top w:val="nil"/>
              <w:left w:val="nil"/>
              <w:bottom w:val="nil"/>
              <w:right w:val="nil"/>
            </w:tcBorders>
          </w:tcPr>
          <w:p w14:paraId="258D1299" w14:textId="77777777" w:rsidR="00E84812" w:rsidRDefault="00E84812" w:rsidP="00E84812">
            <w:pPr>
              <w:spacing w:line="240" w:lineRule="auto"/>
              <w:rPr>
                <w:lang w:val="en-US"/>
              </w:rPr>
            </w:pPr>
            <w:r>
              <w:rPr>
                <w:lang w:val="en-US"/>
              </w:rPr>
              <w:t xml:space="preserve">    9.520</w:t>
            </w:r>
          </w:p>
        </w:tc>
      </w:tr>
      <w:tr w:rsidR="00E84812" w14:paraId="643F3EA0" w14:textId="77777777" w:rsidTr="0010532A">
        <w:trPr>
          <w:trHeight w:val="262"/>
        </w:trPr>
        <w:tc>
          <w:tcPr>
            <w:tcW w:w="3069" w:type="dxa"/>
            <w:tcBorders>
              <w:top w:val="nil"/>
              <w:left w:val="nil"/>
              <w:bottom w:val="nil"/>
              <w:right w:val="nil"/>
            </w:tcBorders>
          </w:tcPr>
          <w:p w14:paraId="52F3591A" w14:textId="77777777" w:rsidR="00E84812" w:rsidRDefault="00E84812" w:rsidP="00E84812">
            <w:pPr>
              <w:spacing w:line="240" w:lineRule="auto"/>
              <w:rPr>
                <w:lang w:val="en-US"/>
              </w:rPr>
            </w:pPr>
          </w:p>
        </w:tc>
        <w:tc>
          <w:tcPr>
            <w:tcW w:w="2329" w:type="dxa"/>
            <w:tcBorders>
              <w:top w:val="nil"/>
              <w:left w:val="nil"/>
              <w:bottom w:val="nil"/>
              <w:right w:val="nil"/>
            </w:tcBorders>
          </w:tcPr>
          <w:p w14:paraId="5CAE0F30" w14:textId="77777777" w:rsidR="00E84812" w:rsidRDefault="00E84812" w:rsidP="00E84812">
            <w:pPr>
              <w:spacing w:line="240" w:lineRule="auto"/>
              <w:rPr>
                <w:lang w:val="en-US"/>
              </w:rPr>
            </w:pPr>
            <w:r>
              <w:rPr>
                <w:lang w:val="en-US"/>
              </w:rPr>
              <w:t>(0.005)</w:t>
            </w:r>
          </w:p>
        </w:tc>
        <w:tc>
          <w:tcPr>
            <w:tcW w:w="2329" w:type="dxa"/>
            <w:tcBorders>
              <w:top w:val="nil"/>
              <w:left w:val="nil"/>
              <w:bottom w:val="nil"/>
              <w:right w:val="nil"/>
            </w:tcBorders>
          </w:tcPr>
          <w:p w14:paraId="1C898EFD" w14:textId="77777777" w:rsidR="00E84812" w:rsidRDefault="00E84812" w:rsidP="00E84812">
            <w:pPr>
              <w:spacing w:line="240" w:lineRule="auto"/>
              <w:rPr>
                <w:lang w:val="en-US"/>
              </w:rPr>
            </w:pPr>
            <w:r>
              <w:rPr>
                <w:lang w:val="en-US"/>
              </w:rPr>
              <w:t>(0.000)</w:t>
            </w:r>
          </w:p>
        </w:tc>
      </w:tr>
      <w:tr w:rsidR="00E84812" w14:paraId="2DB848DF" w14:textId="77777777" w:rsidTr="0010532A">
        <w:trPr>
          <w:trHeight w:val="276"/>
        </w:trPr>
        <w:tc>
          <w:tcPr>
            <w:tcW w:w="3069" w:type="dxa"/>
            <w:tcBorders>
              <w:top w:val="nil"/>
              <w:left w:val="nil"/>
              <w:bottom w:val="nil"/>
              <w:right w:val="nil"/>
            </w:tcBorders>
          </w:tcPr>
          <w:p w14:paraId="69525B3C" w14:textId="77777777" w:rsidR="00E84812" w:rsidRDefault="00E84812" w:rsidP="00E84812">
            <w:pPr>
              <w:spacing w:line="240" w:lineRule="auto"/>
              <w:rPr>
                <w:lang w:val="en-US"/>
              </w:rPr>
            </w:pPr>
            <w:r>
              <w:rPr>
                <w:rFonts w:cs="Times New Roman"/>
                <w:szCs w:val="24"/>
                <w:lang w:val="en-US"/>
              </w:rPr>
              <w:t>Financial development</w:t>
            </w:r>
          </w:p>
        </w:tc>
        <w:tc>
          <w:tcPr>
            <w:tcW w:w="2329" w:type="dxa"/>
            <w:tcBorders>
              <w:top w:val="nil"/>
              <w:left w:val="nil"/>
              <w:bottom w:val="nil"/>
              <w:right w:val="nil"/>
            </w:tcBorders>
          </w:tcPr>
          <w:p w14:paraId="17830835" w14:textId="77777777" w:rsidR="00E84812" w:rsidRDefault="00E84812" w:rsidP="00E84812">
            <w:pPr>
              <w:spacing w:line="240" w:lineRule="auto"/>
              <w:rPr>
                <w:lang w:val="en-US"/>
              </w:rPr>
            </w:pPr>
            <w:r>
              <w:rPr>
                <w:lang w:val="en-US"/>
              </w:rPr>
              <w:t xml:space="preserve">    0.120</w:t>
            </w:r>
          </w:p>
        </w:tc>
        <w:tc>
          <w:tcPr>
            <w:tcW w:w="2329" w:type="dxa"/>
            <w:tcBorders>
              <w:top w:val="nil"/>
              <w:left w:val="nil"/>
              <w:bottom w:val="nil"/>
              <w:right w:val="nil"/>
            </w:tcBorders>
          </w:tcPr>
          <w:p w14:paraId="18DE92F4" w14:textId="77777777" w:rsidR="00E84812" w:rsidRDefault="00E84812" w:rsidP="00E84812">
            <w:pPr>
              <w:spacing w:line="240" w:lineRule="auto"/>
              <w:rPr>
                <w:lang w:val="en-US"/>
              </w:rPr>
            </w:pPr>
            <w:r>
              <w:rPr>
                <w:lang w:val="en-US"/>
              </w:rPr>
              <w:t xml:space="preserve">   10.940</w:t>
            </w:r>
          </w:p>
        </w:tc>
      </w:tr>
      <w:tr w:rsidR="00E84812" w14:paraId="6DFF435C" w14:textId="77777777" w:rsidTr="0010532A">
        <w:trPr>
          <w:trHeight w:val="262"/>
        </w:trPr>
        <w:tc>
          <w:tcPr>
            <w:tcW w:w="3069" w:type="dxa"/>
            <w:tcBorders>
              <w:top w:val="nil"/>
              <w:left w:val="nil"/>
              <w:bottom w:val="nil"/>
              <w:right w:val="nil"/>
            </w:tcBorders>
          </w:tcPr>
          <w:p w14:paraId="11D06FA0" w14:textId="77777777" w:rsidR="00E84812" w:rsidRDefault="00E84812" w:rsidP="00E84812">
            <w:pPr>
              <w:spacing w:line="240" w:lineRule="auto"/>
              <w:rPr>
                <w:lang w:val="en-US"/>
              </w:rPr>
            </w:pPr>
          </w:p>
        </w:tc>
        <w:tc>
          <w:tcPr>
            <w:tcW w:w="2329" w:type="dxa"/>
            <w:tcBorders>
              <w:top w:val="nil"/>
              <w:left w:val="nil"/>
              <w:bottom w:val="nil"/>
              <w:right w:val="nil"/>
            </w:tcBorders>
          </w:tcPr>
          <w:p w14:paraId="04571416" w14:textId="77777777" w:rsidR="00E84812" w:rsidRDefault="00E84812" w:rsidP="00E84812">
            <w:pPr>
              <w:spacing w:line="240" w:lineRule="auto"/>
              <w:rPr>
                <w:lang w:val="en-US"/>
              </w:rPr>
            </w:pPr>
            <w:r>
              <w:rPr>
                <w:lang w:val="en-US"/>
              </w:rPr>
              <w:t>(0.000)</w:t>
            </w:r>
          </w:p>
        </w:tc>
        <w:tc>
          <w:tcPr>
            <w:tcW w:w="2329" w:type="dxa"/>
            <w:tcBorders>
              <w:top w:val="nil"/>
              <w:left w:val="nil"/>
              <w:bottom w:val="nil"/>
              <w:right w:val="nil"/>
            </w:tcBorders>
          </w:tcPr>
          <w:p w14:paraId="1BAA43FF" w14:textId="77777777" w:rsidR="00E84812" w:rsidRDefault="00E84812" w:rsidP="00E84812">
            <w:pPr>
              <w:spacing w:line="240" w:lineRule="auto"/>
              <w:rPr>
                <w:lang w:val="en-US"/>
              </w:rPr>
            </w:pPr>
            <w:r>
              <w:rPr>
                <w:lang w:val="en-US"/>
              </w:rPr>
              <w:t>(0.000)</w:t>
            </w:r>
          </w:p>
        </w:tc>
      </w:tr>
      <w:tr w:rsidR="00E84812" w14:paraId="51E73F50" w14:textId="77777777" w:rsidTr="0010532A">
        <w:trPr>
          <w:trHeight w:val="262"/>
        </w:trPr>
        <w:tc>
          <w:tcPr>
            <w:tcW w:w="3069" w:type="dxa"/>
            <w:tcBorders>
              <w:top w:val="nil"/>
              <w:left w:val="nil"/>
              <w:bottom w:val="nil"/>
              <w:right w:val="nil"/>
            </w:tcBorders>
          </w:tcPr>
          <w:p w14:paraId="74C80353" w14:textId="77777777" w:rsidR="00E84812" w:rsidRDefault="00E84812" w:rsidP="00E84812">
            <w:pPr>
              <w:spacing w:line="240" w:lineRule="auto"/>
              <w:rPr>
                <w:lang w:val="en-US"/>
              </w:rPr>
            </w:pPr>
            <w:r>
              <w:rPr>
                <w:lang w:val="en-US"/>
              </w:rPr>
              <w:t xml:space="preserve">Health         </w:t>
            </w:r>
          </w:p>
        </w:tc>
        <w:tc>
          <w:tcPr>
            <w:tcW w:w="2329" w:type="dxa"/>
            <w:tcBorders>
              <w:top w:val="nil"/>
              <w:left w:val="nil"/>
              <w:bottom w:val="nil"/>
              <w:right w:val="nil"/>
            </w:tcBorders>
          </w:tcPr>
          <w:p w14:paraId="38347E5D" w14:textId="77777777" w:rsidR="00E84812" w:rsidRDefault="00E84812" w:rsidP="00E84812">
            <w:pPr>
              <w:spacing w:line="240" w:lineRule="auto"/>
              <w:rPr>
                <w:lang w:val="en-US"/>
              </w:rPr>
            </w:pPr>
            <w:r>
              <w:rPr>
                <w:lang w:val="en-US"/>
              </w:rPr>
              <w:t xml:space="preserve">    0.190</w:t>
            </w:r>
          </w:p>
        </w:tc>
        <w:tc>
          <w:tcPr>
            <w:tcW w:w="2329" w:type="dxa"/>
            <w:tcBorders>
              <w:top w:val="nil"/>
              <w:left w:val="nil"/>
              <w:bottom w:val="nil"/>
              <w:right w:val="nil"/>
            </w:tcBorders>
          </w:tcPr>
          <w:p w14:paraId="50E08F53" w14:textId="77777777" w:rsidR="00E84812" w:rsidRDefault="00E84812" w:rsidP="00E84812">
            <w:pPr>
              <w:spacing w:line="240" w:lineRule="auto"/>
              <w:rPr>
                <w:lang w:val="en-US"/>
              </w:rPr>
            </w:pPr>
            <w:r>
              <w:rPr>
                <w:lang w:val="en-US"/>
              </w:rPr>
              <w:t xml:space="preserve">    8.610</w:t>
            </w:r>
          </w:p>
        </w:tc>
      </w:tr>
      <w:tr w:rsidR="00E84812" w14:paraId="43E16081" w14:textId="77777777" w:rsidTr="0010532A">
        <w:trPr>
          <w:trHeight w:val="276"/>
        </w:trPr>
        <w:tc>
          <w:tcPr>
            <w:tcW w:w="3069" w:type="dxa"/>
            <w:tcBorders>
              <w:top w:val="nil"/>
              <w:left w:val="nil"/>
              <w:right w:val="nil"/>
            </w:tcBorders>
          </w:tcPr>
          <w:p w14:paraId="2F74C9F0" w14:textId="77777777" w:rsidR="00E84812" w:rsidRDefault="00E84812" w:rsidP="00E84812">
            <w:pPr>
              <w:spacing w:line="240" w:lineRule="auto"/>
              <w:rPr>
                <w:lang w:val="en-US"/>
              </w:rPr>
            </w:pPr>
          </w:p>
        </w:tc>
        <w:tc>
          <w:tcPr>
            <w:tcW w:w="2329" w:type="dxa"/>
            <w:tcBorders>
              <w:top w:val="nil"/>
              <w:left w:val="nil"/>
              <w:right w:val="nil"/>
            </w:tcBorders>
          </w:tcPr>
          <w:p w14:paraId="2E73C8EA" w14:textId="77777777" w:rsidR="00E84812" w:rsidRDefault="00E84812" w:rsidP="00E84812">
            <w:pPr>
              <w:spacing w:line="240" w:lineRule="auto"/>
              <w:rPr>
                <w:lang w:val="en-US"/>
              </w:rPr>
            </w:pPr>
            <w:r>
              <w:rPr>
                <w:lang w:val="en-US"/>
              </w:rPr>
              <w:t>(0.009)</w:t>
            </w:r>
          </w:p>
        </w:tc>
        <w:tc>
          <w:tcPr>
            <w:tcW w:w="2329" w:type="dxa"/>
            <w:tcBorders>
              <w:top w:val="nil"/>
              <w:left w:val="nil"/>
              <w:right w:val="nil"/>
            </w:tcBorders>
          </w:tcPr>
          <w:p w14:paraId="2AEF92D9" w14:textId="77777777" w:rsidR="00E84812" w:rsidRDefault="00E84812" w:rsidP="00E84812">
            <w:pPr>
              <w:spacing w:line="240" w:lineRule="auto"/>
              <w:rPr>
                <w:lang w:val="en-US"/>
              </w:rPr>
            </w:pPr>
            <w:r>
              <w:rPr>
                <w:lang w:val="en-US"/>
              </w:rPr>
              <w:t>(0.000)</w:t>
            </w:r>
          </w:p>
        </w:tc>
      </w:tr>
      <w:tr w:rsidR="00E84812" w14:paraId="757C43E5" w14:textId="77777777" w:rsidTr="0010532A">
        <w:trPr>
          <w:trHeight w:val="262"/>
        </w:trPr>
        <w:tc>
          <w:tcPr>
            <w:tcW w:w="3069" w:type="dxa"/>
            <w:tcBorders>
              <w:top w:val="nil"/>
              <w:left w:val="nil"/>
              <w:bottom w:val="nil"/>
              <w:right w:val="nil"/>
            </w:tcBorders>
          </w:tcPr>
          <w:p w14:paraId="38400E41" w14:textId="77777777" w:rsidR="00E84812" w:rsidRDefault="00E84812" w:rsidP="00E84812">
            <w:pPr>
              <w:spacing w:line="240" w:lineRule="auto"/>
              <w:rPr>
                <w:lang w:val="en-US"/>
              </w:rPr>
            </w:pPr>
            <w:r>
              <w:rPr>
                <w:rFonts w:cs="Times New Roman"/>
                <w:szCs w:val="24"/>
                <w:lang w:val="en-US"/>
              </w:rPr>
              <w:t xml:space="preserve"> Industrialization</w:t>
            </w:r>
            <w:r>
              <w:rPr>
                <w:lang w:val="en-US"/>
              </w:rPr>
              <w:t xml:space="preserve">    </w:t>
            </w:r>
          </w:p>
        </w:tc>
        <w:tc>
          <w:tcPr>
            <w:tcW w:w="2329" w:type="dxa"/>
            <w:tcBorders>
              <w:top w:val="nil"/>
              <w:left w:val="nil"/>
              <w:bottom w:val="nil"/>
              <w:right w:val="nil"/>
            </w:tcBorders>
          </w:tcPr>
          <w:p w14:paraId="0C6FA1D8" w14:textId="77777777" w:rsidR="00E84812" w:rsidRDefault="00E84812" w:rsidP="00E84812">
            <w:pPr>
              <w:spacing w:line="240" w:lineRule="auto"/>
              <w:rPr>
                <w:lang w:val="en-US"/>
              </w:rPr>
            </w:pPr>
            <w:r>
              <w:rPr>
                <w:lang w:val="en-US"/>
              </w:rPr>
              <w:t xml:space="preserve">    0.530</w:t>
            </w:r>
          </w:p>
        </w:tc>
        <w:tc>
          <w:tcPr>
            <w:tcW w:w="2329" w:type="dxa"/>
            <w:tcBorders>
              <w:top w:val="nil"/>
              <w:left w:val="nil"/>
              <w:bottom w:val="nil"/>
              <w:right w:val="nil"/>
            </w:tcBorders>
          </w:tcPr>
          <w:p w14:paraId="31A080DC" w14:textId="77777777" w:rsidR="00E84812" w:rsidRDefault="00E84812" w:rsidP="00E84812">
            <w:pPr>
              <w:spacing w:line="240" w:lineRule="auto"/>
              <w:rPr>
                <w:lang w:val="en-US"/>
              </w:rPr>
            </w:pPr>
            <w:r>
              <w:rPr>
                <w:lang w:val="en-US"/>
              </w:rPr>
              <w:t xml:space="preserve">   18.000</w:t>
            </w:r>
          </w:p>
        </w:tc>
      </w:tr>
      <w:tr w:rsidR="00E84812" w14:paraId="15A34A87" w14:textId="77777777" w:rsidTr="0010532A">
        <w:trPr>
          <w:trHeight w:val="262"/>
        </w:trPr>
        <w:tc>
          <w:tcPr>
            <w:tcW w:w="3069" w:type="dxa"/>
            <w:tcBorders>
              <w:top w:val="nil"/>
              <w:left w:val="nil"/>
              <w:bottom w:val="single" w:sz="4" w:space="0" w:color="auto"/>
              <w:right w:val="nil"/>
            </w:tcBorders>
          </w:tcPr>
          <w:p w14:paraId="3B45AF70" w14:textId="77777777" w:rsidR="00E84812" w:rsidRDefault="00E84812" w:rsidP="00E84812">
            <w:pPr>
              <w:spacing w:line="240" w:lineRule="auto"/>
              <w:rPr>
                <w:lang w:val="en-US"/>
              </w:rPr>
            </w:pPr>
          </w:p>
        </w:tc>
        <w:tc>
          <w:tcPr>
            <w:tcW w:w="2329" w:type="dxa"/>
            <w:tcBorders>
              <w:top w:val="nil"/>
              <w:left w:val="nil"/>
              <w:bottom w:val="single" w:sz="4" w:space="0" w:color="auto"/>
              <w:right w:val="nil"/>
            </w:tcBorders>
          </w:tcPr>
          <w:p w14:paraId="7B683047" w14:textId="77777777" w:rsidR="00E84812" w:rsidRDefault="00E84812" w:rsidP="00E84812">
            <w:pPr>
              <w:spacing w:line="240" w:lineRule="auto"/>
              <w:rPr>
                <w:lang w:val="en-US"/>
              </w:rPr>
            </w:pPr>
            <w:r>
              <w:rPr>
                <w:lang w:val="en-US"/>
              </w:rPr>
              <w:t>(0.000)</w:t>
            </w:r>
          </w:p>
        </w:tc>
        <w:tc>
          <w:tcPr>
            <w:tcW w:w="2329" w:type="dxa"/>
            <w:tcBorders>
              <w:top w:val="nil"/>
              <w:left w:val="nil"/>
              <w:bottom w:val="single" w:sz="4" w:space="0" w:color="auto"/>
              <w:right w:val="nil"/>
            </w:tcBorders>
          </w:tcPr>
          <w:p w14:paraId="671116C4" w14:textId="77777777" w:rsidR="00E84812" w:rsidRDefault="00E84812" w:rsidP="00E84812">
            <w:pPr>
              <w:spacing w:line="240" w:lineRule="auto"/>
              <w:rPr>
                <w:lang w:val="en-US"/>
              </w:rPr>
            </w:pPr>
            <w:r>
              <w:rPr>
                <w:lang w:val="en-US"/>
              </w:rPr>
              <w:t>(0.000)</w:t>
            </w:r>
          </w:p>
        </w:tc>
      </w:tr>
    </w:tbl>
    <w:p w14:paraId="346ED10B" w14:textId="77777777" w:rsidR="0010532A" w:rsidRDefault="00604686" w:rsidP="00604686">
      <w:pPr>
        <w:widowControl w:val="0"/>
        <w:autoSpaceDE w:val="0"/>
        <w:autoSpaceDN w:val="0"/>
        <w:adjustRightInd w:val="0"/>
        <w:spacing w:line="240" w:lineRule="auto"/>
        <w:rPr>
          <w:rFonts w:cs="Times New Roman"/>
          <w:sz w:val="20"/>
          <w:szCs w:val="24"/>
          <w:lang w:val="en-US"/>
        </w:rPr>
      </w:pPr>
      <w:r w:rsidRPr="00367B7A">
        <w:rPr>
          <w:rFonts w:cs="Times New Roman"/>
          <w:bCs/>
          <w:szCs w:val="24"/>
          <w:lang w:val="en-US"/>
        </w:rPr>
        <w:t xml:space="preserve">Source: </w:t>
      </w:r>
      <w:r w:rsidRPr="00A52AC0">
        <w:rPr>
          <w:i/>
          <w:iCs/>
          <w:lang w:val="en-US"/>
        </w:rPr>
        <w:t>Author’s Construction</w:t>
      </w:r>
      <w:r>
        <w:rPr>
          <w:i/>
          <w:iCs/>
          <w:lang w:val="en-US"/>
        </w:rPr>
        <w:t xml:space="preserve">.  </w:t>
      </w:r>
      <w:r w:rsidRPr="004111B5">
        <w:rPr>
          <w:rFonts w:cs="Times New Roman"/>
          <w:b/>
          <w:sz w:val="20"/>
          <w:szCs w:val="24"/>
          <w:lang w:val="en-US"/>
        </w:rPr>
        <w:t>Notes:</w:t>
      </w:r>
      <w:r w:rsidRPr="006E3A42">
        <w:rPr>
          <w:rFonts w:cs="Times New Roman"/>
          <w:sz w:val="20"/>
          <w:szCs w:val="24"/>
          <w:lang w:val="en-US"/>
        </w:rPr>
        <w:t xml:space="preserve"> </w:t>
      </w:r>
      <w:r w:rsidRPr="004111B5">
        <w:rPr>
          <w:rFonts w:cs="Times New Roman"/>
          <w:sz w:val="20"/>
          <w:szCs w:val="24"/>
          <w:lang w:val="en-US"/>
        </w:rPr>
        <w:t xml:space="preserve">p-values in parenthesis. </w:t>
      </w:r>
    </w:p>
    <w:p w14:paraId="1A566F16" w14:textId="77777777" w:rsidR="00F4506D" w:rsidRDefault="00F4506D" w:rsidP="0045484F">
      <w:pPr>
        <w:ind w:firstLine="567"/>
        <w:rPr>
          <w:lang w:val="en-US"/>
        </w:rPr>
      </w:pPr>
    </w:p>
    <w:p w14:paraId="00F05B8A" w14:textId="77777777" w:rsidR="00FF6DB8" w:rsidRPr="0045484F" w:rsidRDefault="00FF6DB8" w:rsidP="0045484F">
      <w:pPr>
        <w:ind w:firstLine="567"/>
        <w:rPr>
          <w:lang w:val="en-US"/>
        </w:rPr>
      </w:pPr>
      <w:r w:rsidRPr="00FF6DB8">
        <w:rPr>
          <w:lang w:val="en-US"/>
        </w:rPr>
        <w:t>The results from Table 3, estimated using Driscoll &amp; Kraay standard errors, reveal a statistically significant and positive relationship between electricity access and happiness across all specifications. Tota</w:t>
      </w:r>
      <w:r w:rsidR="0045484F">
        <w:rPr>
          <w:lang w:val="en-US"/>
        </w:rPr>
        <w:t>l electricity access (column 1), indicates</w:t>
      </w:r>
      <w:r w:rsidRPr="00FF6DB8">
        <w:rPr>
          <w:lang w:val="en-US"/>
        </w:rPr>
        <w:t xml:space="preserve"> that a one-unit increase in electricity access is associated with a 0.169-unit increase in happiness, all else equal. This aligns with existing literature, such as that of </w:t>
      </w:r>
      <w:r w:rsidRPr="0045484F">
        <w:rPr>
          <w:rStyle w:val="Strong"/>
          <w:b w:val="0"/>
          <w:lang w:val="en-US"/>
        </w:rPr>
        <w:t>Graham and Pettinato (2002)</w:t>
      </w:r>
      <w:r w:rsidRPr="00FF6DB8">
        <w:rPr>
          <w:lang w:val="en-US"/>
        </w:rPr>
        <w:t>, who argue that access to basic infrastructure like electricity enhances well-being by improving living standards and opportunities for economic activities. The effect is even more pronounced in rural areas (column 3), compared to u</w:t>
      </w:r>
      <w:r w:rsidR="0045484F">
        <w:rPr>
          <w:lang w:val="en-US"/>
        </w:rPr>
        <w:t>rban electrification (column 2)</w:t>
      </w:r>
      <w:r w:rsidRPr="00FF6DB8">
        <w:rPr>
          <w:lang w:val="en-US"/>
        </w:rPr>
        <w:t xml:space="preserve">. This disparity suggests that rural </w:t>
      </w:r>
      <w:r w:rsidRPr="00FF6DB8">
        <w:rPr>
          <w:lang w:val="en-US"/>
        </w:rPr>
        <w:lastRenderedPageBreak/>
        <w:t xml:space="preserve">populations derive greater marginal utility from electricity access, likely due to the transformative impact of electrification in areas previously lacking basic amenities. The larger effect in rural areas corroborates findings by </w:t>
      </w:r>
      <w:r w:rsidRPr="0045484F">
        <w:rPr>
          <w:rStyle w:val="Strong"/>
          <w:b w:val="0"/>
          <w:lang w:val="en-US"/>
        </w:rPr>
        <w:t>Lee et al. (2020)</w:t>
      </w:r>
      <w:r w:rsidRPr="00FF6DB8">
        <w:rPr>
          <w:lang w:val="en-US"/>
        </w:rPr>
        <w:t>, who highlight that electrification in underserved regions can significantly reduce poverty and improve quality of life. The statistical significance of these coefficients underscores the robustness of the results, and the larger magnitude for rural areas may reflect diminishing marginal utility in urban settings where electricity access is already more widespread. Economically, these results imply that policies targeting rural electrification could yield higher happiness returns per unit of investment compared to urban electrification, supporting targeted infrastructure development in underserved regions.</w:t>
      </w:r>
    </w:p>
    <w:p w14:paraId="1FF4679F" w14:textId="77777777" w:rsidR="0077116B" w:rsidRDefault="00BC62E2" w:rsidP="00DB09BD">
      <w:pPr>
        <w:ind w:firstLine="426"/>
        <w:rPr>
          <w:rFonts w:eastAsiaTheme="minorEastAsia"/>
          <w:szCs w:val="24"/>
          <w:lang w:val="en-US"/>
        </w:rPr>
      </w:pPr>
      <w:r>
        <w:rPr>
          <w:rFonts w:eastAsiaTheme="minorEastAsia"/>
          <w:szCs w:val="24"/>
          <w:lang w:val="en-US"/>
        </w:rPr>
        <w:t xml:space="preserve">Table 3: </w:t>
      </w:r>
      <w:r w:rsidR="00560CE4">
        <w:rPr>
          <w:rFonts w:eastAsiaTheme="minorEastAsia"/>
          <w:szCs w:val="24"/>
          <w:lang w:val="en-US"/>
        </w:rPr>
        <w:t>Effect of Electricity access on Happiness-</w:t>
      </w:r>
      <w:proofErr w:type="spellStart"/>
      <w:r w:rsidR="00560CE4">
        <w:rPr>
          <w:rFonts w:eastAsiaTheme="minorEastAsia"/>
          <w:szCs w:val="24"/>
          <w:lang w:val="en-US"/>
        </w:rPr>
        <w:t>Discroll</w:t>
      </w:r>
      <w:proofErr w:type="spellEnd"/>
      <w:r w:rsidR="00560CE4">
        <w:rPr>
          <w:rFonts w:eastAsiaTheme="minorEastAsia"/>
          <w:szCs w:val="24"/>
          <w:lang w:val="en-US"/>
        </w:rPr>
        <w:t xml:space="preserve"> &amp; </w:t>
      </w:r>
      <w:proofErr w:type="spellStart"/>
      <w:r w:rsidR="00560CE4">
        <w:rPr>
          <w:rFonts w:eastAsiaTheme="minorEastAsia"/>
          <w:szCs w:val="24"/>
          <w:lang w:val="en-US"/>
        </w:rPr>
        <w:t>Kraay</w:t>
      </w:r>
      <w:proofErr w:type="spellEnd"/>
      <w:r w:rsidR="00560CE4">
        <w:rPr>
          <w:rFonts w:eastAsiaTheme="minorEastAsia"/>
          <w:szCs w:val="24"/>
          <w:lang w:val="en-US"/>
        </w:rPr>
        <w:t xml:space="preserve"> Estimates</w:t>
      </w:r>
    </w:p>
    <w:tbl>
      <w:tblPr>
        <w:tblW w:w="0" w:type="auto"/>
        <w:jc w:val="center"/>
        <w:tblLayout w:type="fixed"/>
        <w:tblCellMar>
          <w:left w:w="75" w:type="dxa"/>
          <w:right w:w="75" w:type="dxa"/>
        </w:tblCellMar>
        <w:tblLook w:val="0000" w:firstRow="0" w:lastRow="0" w:firstColumn="0" w:lastColumn="0" w:noHBand="0" w:noVBand="0"/>
      </w:tblPr>
      <w:tblGrid>
        <w:gridCol w:w="3469"/>
        <w:gridCol w:w="1611"/>
        <w:gridCol w:w="1611"/>
        <w:gridCol w:w="1611"/>
      </w:tblGrid>
      <w:tr w:rsidR="00BC62E2" w14:paraId="0B1F1E9E" w14:textId="77777777" w:rsidTr="00314719">
        <w:trPr>
          <w:trHeight w:val="262"/>
          <w:jc w:val="center"/>
        </w:trPr>
        <w:tc>
          <w:tcPr>
            <w:tcW w:w="3469" w:type="dxa"/>
            <w:tcBorders>
              <w:top w:val="single" w:sz="6" w:space="0" w:color="auto"/>
              <w:left w:val="nil"/>
              <w:bottom w:val="nil"/>
              <w:right w:val="nil"/>
            </w:tcBorders>
          </w:tcPr>
          <w:p w14:paraId="7E37F1DC" w14:textId="77777777" w:rsidR="00BC62E2" w:rsidRPr="00560CE4" w:rsidRDefault="00BC62E2" w:rsidP="00462CFD">
            <w:pPr>
              <w:widowControl w:val="0"/>
              <w:autoSpaceDE w:val="0"/>
              <w:autoSpaceDN w:val="0"/>
              <w:adjustRightInd w:val="0"/>
              <w:spacing w:line="240" w:lineRule="auto"/>
              <w:rPr>
                <w:szCs w:val="24"/>
                <w:lang w:val="en-US"/>
              </w:rPr>
            </w:pPr>
          </w:p>
        </w:tc>
        <w:tc>
          <w:tcPr>
            <w:tcW w:w="1611" w:type="dxa"/>
            <w:tcBorders>
              <w:top w:val="single" w:sz="6" w:space="0" w:color="auto"/>
              <w:left w:val="nil"/>
              <w:bottom w:val="nil"/>
              <w:right w:val="nil"/>
            </w:tcBorders>
          </w:tcPr>
          <w:p w14:paraId="43468BFB" w14:textId="77777777" w:rsidR="00BC62E2" w:rsidRDefault="00BC62E2" w:rsidP="00462CFD">
            <w:pPr>
              <w:widowControl w:val="0"/>
              <w:autoSpaceDE w:val="0"/>
              <w:autoSpaceDN w:val="0"/>
              <w:adjustRightInd w:val="0"/>
              <w:spacing w:line="240" w:lineRule="auto"/>
              <w:jc w:val="center"/>
              <w:rPr>
                <w:szCs w:val="24"/>
              </w:rPr>
            </w:pPr>
            <w:r>
              <w:rPr>
                <w:szCs w:val="24"/>
              </w:rPr>
              <w:t>(1)</w:t>
            </w:r>
          </w:p>
        </w:tc>
        <w:tc>
          <w:tcPr>
            <w:tcW w:w="1611" w:type="dxa"/>
            <w:tcBorders>
              <w:top w:val="single" w:sz="6" w:space="0" w:color="auto"/>
              <w:left w:val="nil"/>
              <w:bottom w:val="nil"/>
              <w:right w:val="nil"/>
            </w:tcBorders>
          </w:tcPr>
          <w:p w14:paraId="0474F294" w14:textId="77777777" w:rsidR="00BC62E2" w:rsidRDefault="00BC62E2" w:rsidP="00462CFD">
            <w:pPr>
              <w:widowControl w:val="0"/>
              <w:autoSpaceDE w:val="0"/>
              <w:autoSpaceDN w:val="0"/>
              <w:adjustRightInd w:val="0"/>
              <w:spacing w:line="240" w:lineRule="auto"/>
              <w:jc w:val="center"/>
              <w:rPr>
                <w:szCs w:val="24"/>
              </w:rPr>
            </w:pPr>
            <w:r>
              <w:rPr>
                <w:szCs w:val="24"/>
              </w:rPr>
              <w:t>(2)</w:t>
            </w:r>
          </w:p>
        </w:tc>
        <w:tc>
          <w:tcPr>
            <w:tcW w:w="1611" w:type="dxa"/>
            <w:tcBorders>
              <w:top w:val="single" w:sz="6" w:space="0" w:color="auto"/>
              <w:left w:val="nil"/>
              <w:bottom w:val="nil"/>
              <w:right w:val="nil"/>
            </w:tcBorders>
          </w:tcPr>
          <w:p w14:paraId="158ADBCE" w14:textId="77777777" w:rsidR="00BC62E2" w:rsidRDefault="00BC62E2" w:rsidP="00462CFD">
            <w:pPr>
              <w:widowControl w:val="0"/>
              <w:autoSpaceDE w:val="0"/>
              <w:autoSpaceDN w:val="0"/>
              <w:adjustRightInd w:val="0"/>
              <w:spacing w:line="240" w:lineRule="auto"/>
              <w:jc w:val="center"/>
              <w:rPr>
                <w:szCs w:val="24"/>
              </w:rPr>
            </w:pPr>
            <w:r>
              <w:rPr>
                <w:szCs w:val="24"/>
              </w:rPr>
              <w:t>(3)</w:t>
            </w:r>
          </w:p>
        </w:tc>
      </w:tr>
      <w:tr w:rsidR="00BC62E2" w14:paraId="4BA3236F" w14:textId="77777777" w:rsidTr="00314719">
        <w:trPr>
          <w:trHeight w:val="277"/>
          <w:jc w:val="center"/>
        </w:trPr>
        <w:tc>
          <w:tcPr>
            <w:tcW w:w="3469" w:type="dxa"/>
            <w:tcBorders>
              <w:top w:val="nil"/>
              <w:left w:val="nil"/>
              <w:bottom w:val="single" w:sz="6" w:space="0" w:color="auto"/>
              <w:right w:val="nil"/>
            </w:tcBorders>
          </w:tcPr>
          <w:p w14:paraId="43E65064" w14:textId="77777777" w:rsidR="00BC62E2" w:rsidRDefault="00BC62E2" w:rsidP="00462CFD">
            <w:pPr>
              <w:widowControl w:val="0"/>
              <w:autoSpaceDE w:val="0"/>
              <w:autoSpaceDN w:val="0"/>
              <w:adjustRightInd w:val="0"/>
              <w:spacing w:line="240" w:lineRule="auto"/>
              <w:rPr>
                <w:szCs w:val="24"/>
              </w:rPr>
            </w:pPr>
            <w:r>
              <w:rPr>
                <w:szCs w:val="24"/>
              </w:rPr>
              <w:t>VARIABLES</w:t>
            </w:r>
          </w:p>
        </w:tc>
        <w:tc>
          <w:tcPr>
            <w:tcW w:w="1611" w:type="dxa"/>
            <w:tcBorders>
              <w:top w:val="nil"/>
              <w:left w:val="nil"/>
              <w:bottom w:val="single" w:sz="6" w:space="0" w:color="auto"/>
              <w:right w:val="nil"/>
            </w:tcBorders>
          </w:tcPr>
          <w:p w14:paraId="75A6E09F"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041ADE"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c>
          <w:tcPr>
            <w:tcW w:w="1611" w:type="dxa"/>
            <w:tcBorders>
              <w:top w:val="nil"/>
              <w:left w:val="nil"/>
              <w:bottom w:val="single" w:sz="6" w:space="0" w:color="auto"/>
              <w:right w:val="nil"/>
            </w:tcBorders>
          </w:tcPr>
          <w:p w14:paraId="1E8767BB" w14:textId="77777777" w:rsidR="00BC62E2" w:rsidRDefault="00BC62E2" w:rsidP="00462CFD">
            <w:pPr>
              <w:widowControl w:val="0"/>
              <w:autoSpaceDE w:val="0"/>
              <w:autoSpaceDN w:val="0"/>
              <w:adjustRightInd w:val="0"/>
              <w:spacing w:line="240" w:lineRule="auto"/>
              <w:jc w:val="center"/>
              <w:rPr>
                <w:szCs w:val="24"/>
              </w:rPr>
            </w:pPr>
            <w:proofErr w:type="spellStart"/>
            <w:r>
              <w:rPr>
                <w:szCs w:val="24"/>
              </w:rPr>
              <w:t>Happiness</w:t>
            </w:r>
            <w:proofErr w:type="spellEnd"/>
          </w:p>
        </w:tc>
      </w:tr>
      <w:tr w:rsidR="00BC62E2" w14:paraId="6D4E606D" w14:textId="77777777" w:rsidTr="00314719">
        <w:trPr>
          <w:trHeight w:val="262"/>
          <w:jc w:val="center"/>
        </w:trPr>
        <w:tc>
          <w:tcPr>
            <w:tcW w:w="3469" w:type="dxa"/>
            <w:tcBorders>
              <w:top w:val="nil"/>
              <w:left w:val="nil"/>
              <w:bottom w:val="nil"/>
              <w:right w:val="nil"/>
            </w:tcBorders>
          </w:tcPr>
          <w:p w14:paraId="4C93437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89147BD"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879E7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7A057A0" w14:textId="77777777" w:rsidR="00BC62E2" w:rsidRDefault="00BC62E2" w:rsidP="00462CFD">
            <w:pPr>
              <w:widowControl w:val="0"/>
              <w:autoSpaceDE w:val="0"/>
              <w:autoSpaceDN w:val="0"/>
              <w:adjustRightInd w:val="0"/>
              <w:spacing w:line="240" w:lineRule="auto"/>
              <w:jc w:val="center"/>
              <w:rPr>
                <w:szCs w:val="24"/>
              </w:rPr>
            </w:pPr>
          </w:p>
        </w:tc>
      </w:tr>
      <w:tr w:rsidR="00BC62E2" w14:paraId="5C1FC9B6" w14:textId="77777777" w:rsidTr="00314719">
        <w:trPr>
          <w:trHeight w:val="277"/>
          <w:jc w:val="center"/>
        </w:trPr>
        <w:tc>
          <w:tcPr>
            <w:tcW w:w="3469" w:type="dxa"/>
            <w:tcBorders>
              <w:top w:val="nil"/>
              <w:left w:val="nil"/>
              <w:bottom w:val="nil"/>
              <w:right w:val="nil"/>
            </w:tcBorders>
          </w:tcPr>
          <w:p w14:paraId="72D6247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11" w:type="dxa"/>
            <w:tcBorders>
              <w:top w:val="nil"/>
              <w:left w:val="nil"/>
              <w:bottom w:val="nil"/>
              <w:right w:val="nil"/>
            </w:tcBorders>
          </w:tcPr>
          <w:p w14:paraId="1C42C905" w14:textId="77777777" w:rsidR="00BC62E2" w:rsidRDefault="00BC62E2" w:rsidP="00462CFD">
            <w:pPr>
              <w:widowControl w:val="0"/>
              <w:autoSpaceDE w:val="0"/>
              <w:autoSpaceDN w:val="0"/>
              <w:adjustRightInd w:val="0"/>
              <w:spacing w:line="240" w:lineRule="auto"/>
              <w:jc w:val="center"/>
              <w:rPr>
                <w:szCs w:val="24"/>
              </w:rPr>
            </w:pPr>
            <w:r>
              <w:rPr>
                <w:szCs w:val="24"/>
              </w:rPr>
              <w:t>0.169***</w:t>
            </w:r>
          </w:p>
        </w:tc>
        <w:tc>
          <w:tcPr>
            <w:tcW w:w="1611" w:type="dxa"/>
            <w:tcBorders>
              <w:top w:val="nil"/>
              <w:left w:val="nil"/>
              <w:bottom w:val="nil"/>
              <w:right w:val="nil"/>
            </w:tcBorders>
          </w:tcPr>
          <w:p w14:paraId="4926972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881F1A2" w14:textId="77777777" w:rsidR="00BC62E2" w:rsidRDefault="00BC62E2" w:rsidP="00462CFD">
            <w:pPr>
              <w:widowControl w:val="0"/>
              <w:autoSpaceDE w:val="0"/>
              <w:autoSpaceDN w:val="0"/>
              <w:adjustRightInd w:val="0"/>
              <w:spacing w:line="240" w:lineRule="auto"/>
              <w:jc w:val="center"/>
              <w:rPr>
                <w:szCs w:val="24"/>
              </w:rPr>
            </w:pPr>
          </w:p>
        </w:tc>
      </w:tr>
      <w:tr w:rsidR="00BC62E2" w14:paraId="2EF17CE1" w14:textId="77777777" w:rsidTr="00314719">
        <w:trPr>
          <w:trHeight w:val="262"/>
          <w:jc w:val="center"/>
        </w:trPr>
        <w:tc>
          <w:tcPr>
            <w:tcW w:w="3469" w:type="dxa"/>
            <w:tcBorders>
              <w:top w:val="nil"/>
              <w:left w:val="nil"/>
              <w:bottom w:val="nil"/>
              <w:right w:val="nil"/>
            </w:tcBorders>
          </w:tcPr>
          <w:p w14:paraId="4A8A409B"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4DD4CF5" w14:textId="77777777" w:rsidR="00BC62E2" w:rsidRDefault="00BC62E2" w:rsidP="00462CFD">
            <w:pPr>
              <w:widowControl w:val="0"/>
              <w:autoSpaceDE w:val="0"/>
              <w:autoSpaceDN w:val="0"/>
              <w:adjustRightInd w:val="0"/>
              <w:spacing w:line="240" w:lineRule="auto"/>
              <w:jc w:val="center"/>
              <w:rPr>
                <w:szCs w:val="24"/>
              </w:rPr>
            </w:pPr>
            <w:r>
              <w:rPr>
                <w:szCs w:val="24"/>
              </w:rPr>
              <w:t>(0.0434)</w:t>
            </w:r>
          </w:p>
        </w:tc>
        <w:tc>
          <w:tcPr>
            <w:tcW w:w="1611" w:type="dxa"/>
            <w:tcBorders>
              <w:top w:val="nil"/>
              <w:left w:val="nil"/>
              <w:bottom w:val="nil"/>
              <w:right w:val="nil"/>
            </w:tcBorders>
          </w:tcPr>
          <w:p w14:paraId="28DE13E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AADF734" w14:textId="77777777" w:rsidR="00BC62E2" w:rsidRDefault="00BC62E2" w:rsidP="00462CFD">
            <w:pPr>
              <w:widowControl w:val="0"/>
              <w:autoSpaceDE w:val="0"/>
              <w:autoSpaceDN w:val="0"/>
              <w:adjustRightInd w:val="0"/>
              <w:spacing w:line="240" w:lineRule="auto"/>
              <w:jc w:val="center"/>
              <w:rPr>
                <w:szCs w:val="24"/>
              </w:rPr>
            </w:pPr>
          </w:p>
        </w:tc>
      </w:tr>
      <w:tr w:rsidR="00BC62E2" w14:paraId="2655CFE2" w14:textId="77777777" w:rsidTr="00314719">
        <w:trPr>
          <w:trHeight w:val="262"/>
          <w:jc w:val="center"/>
        </w:trPr>
        <w:tc>
          <w:tcPr>
            <w:tcW w:w="3469" w:type="dxa"/>
            <w:tcBorders>
              <w:top w:val="nil"/>
              <w:left w:val="nil"/>
              <w:bottom w:val="nil"/>
              <w:right w:val="nil"/>
            </w:tcBorders>
          </w:tcPr>
          <w:p w14:paraId="0150884D"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Electricity_Urban</w:t>
            </w:r>
            <w:proofErr w:type="spellEnd"/>
            <w:r>
              <w:rPr>
                <w:lang w:val="en-US"/>
              </w:rPr>
              <w:t xml:space="preserve">    </w:t>
            </w:r>
          </w:p>
        </w:tc>
        <w:tc>
          <w:tcPr>
            <w:tcW w:w="1611" w:type="dxa"/>
            <w:tcBorders>
              <w:top w:val="nil"/>
              <w:left w:val="nil"/>
              <w:bottom w:val="nil"/>
              <w:right w:val="nil"/>
            </w:tcBorders>
          </w:tcPr>
          <w:p w14:paraId="0989AD2B"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1C51122" w14:textId="77777777" w:rsidR="00BC62E2" w:rsidRDefault="00BC62E2" w:rsidP="00462CFD">
            <w:pPr>
              <w:widowControl w:val="0"/>
              <w:autoSpaceDE w:val="0"/>
              <w:autoSpaceDN w:val="0"/>
              <w:adjustRightInd w:val="0"/>
              <w:spacing w:line="240" w:lineRule="auto"/>
              <w:jc w:val="center"/>
              <w:rPr>
                <w:szCs w:val="24"/>
              </w:rPr>
            </w:pPr>
            <w:r>
              <w:rPr>
                <w:szCs w:val="24"/>
              </w:rPr>
              <w:t>0.0755**</w:t>
            </w:r>
          </w:p>
        </w:tc>
        <w:tc>
          <w:tcPr>
            <w:tcW w:w="1611" w:type="dxa"/>
            <w:tcBorders>
              <w:top w:val="nil"/>
              <w:left w:val="nil"/>
              <w:bottom w:val="nil"/>
              <w:right w:val="nil"/>
            </w:tcBorders>
          </w:tcPr>
          <w:p w14:paraId="002F0169" w14:textId="77777777" w:rsidR="00BC62E2" w:rsidRDefault="00BC62E2" w:rsidP="00462CFD">
            <w:pPr>
              <w:widowControl w:val="0"/>
              <w:autoSpaceDE w:val="0"/>
              <w:autoSpaceDN w:val="0"/>
              <w:adjustRightInd w:val="0"/>
              <w:spacing w:line="240" w:lineRule="auto"/>
              <w:jc w:val="center"/>
              <w:rPr>
                <w:szCs w:val="24"/>
              </w:rPr>
            </w:pPr>
          </w:p>
        </w:tc>
      </w:tr>
      <w:tr w:rsidR="00BC62E2" w14:paraId="63369E0B" w14:textId="77777777" w:rsidTr="00314719">
        <w:trPr>
          <w:trHeight w:val="277"/>
          <w:jc w:val="center"/>
        </w:trPr>
        <w:tc>
          <w:tcPr>
            <w:tcW w:w="3469" w:type="dxa"/>
            <w:tcBorders>
              <w:top w:val="nil"/>
              <w:left w:val="nil"/>
              <w:bottom w:val="nil"/>
              <w:right w:val="nil"/>
            </w:tcBorders>
          </w:tcPr>
          <w:p w14:paraId="4514E2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D4DD8A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3E7C8E47" w14:textId="77777777" w:rsidR="00BC62E2" w:rsidRDefault="00BC62E2" w:rsidP="00462CFD">
            <w:pPr>
              <w:widowControl w:val="0"/>
              <w:autoSpaceDE w:val="0"/>
              <w:autoSpaceDN w:val="0"/>
              <w:adjustRightInd w:val="0"/>
              <w:spacing w:line="240" w:lineRule="auto"/>
              <w:jc w:val="center"/>
              <w:rPr>
                <w:szCs w:val="24"/>
              </w:rPr>
            </w:pPr>
            <w:r>
              <w:rPr>
                <w:szCs w:val="24"/>
              </w:rPr>
              <w:t>(0.0388)</w:t>
            </w:r>
          </w:p>
        </w:tc>
        <w:tc>
          <w:tcPr>
            <w:tcW w:w="1611" w:type="dxa"/>
            <w:tcBorders>
              <w:top w:val="nil"/>
              <w:left w:val="nil"/>
              <w:bottom w:val="nil"/>
              <w:right w:val="nil"/>
            </w:tcBorders>
          </w:tcPr>
          <w:p w14:paraId="4B6B01F3" w14:textId="77777777" w:rsidR="00BC62E2" w:rsidRDefault="00BC62E2" w:rsidP="00462CFD">
            <w:pPr>
              <w:widowControl w:val="0"/>
              <w:autoSpaceDE w:val="0"/>
              <w:autoSpaceDN w:val="0"/>
              <w:adjustRightInd w:val="0"/>
              <w:spacing w:line="240" w:lineRule="auto"/>
              <w:jc w:val="center"/>
              <w:rPr>
                <w:szCs w:val="24"/>
              </w:rPr>
            </w:pPr>
          </w:p>
        </w:tc>
      </w:tr>
      <w:tr w:rsidR="00BC62E2" w14:paraId="5D446E9D" w14:textId="77777777" w:rsidTr="00314719">
        <w:trPr>
          <w:trHeight w:val="262"/>
          <w:jc w:val="center"/>
        </w:trPr>
        <w:tc>
          <w:tcPr>
            <w:tcW w:w="3469" w:type="dxa"/>
            <w:tcBorders>
              <w:top w:val="nil"/>
              <w:left w:val="nil"/>
              <w:bottom w:val="nil"/>
              <w:right w:val="nil"/>
            </w:tcBorders>
          </w:tcPr>
          <w:p w14:paraId="4159F2DF" w14:textId="77777777" w:rsidR="00BC62E2" w:rsidRDefault="00DC2D94" w:rsidP="00462CFD">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11" w:type="dxa"/>
            <w:tcBorders>
              <w:top w:val="nil"/>
              <w:left w:val="nil"/>
              <w:bottom w:val="nil"/>
              <w:right w:val="nil"/>
            </w:tcBorders>
          </w:tcPr>
          <w:p w14:paraId="32C73DEA"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09EF8E0"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0DBE6C11" w14:textId="77777777" w:rsidR="00BC62E2" w:rsidRDefault="00BC62E2" w:rsidP="00462CFD">
            <w:pPr>
              <w:widowControl w:val="0"/>
              <w:autoSpaceDE w:val="0"/>
              <w:autoSpaceDN w:val="0"/>
              <w:adjustRightInd w:val="0"/>
              <w:spacing w:line="240" w:lineRule="auto"/>
              <w:jc w:val="center"/>
              <w:rPr>
                <w:szCs w:val="24"/>
              </w:rPr>
            </w:pPr>
            <w:r>
              <w:rPr>
                <w:szCs w:val="24"/>
              </w:rPr>
              <w:t>0.332***</w:t>
            </w:r>
          </w:p>
        </w:tc>
      </w:tr>
      <w:tr w:rsidR="00BC62E2" w14:paraId="3D9198E4" w14:textId="77777777" w:rsidTr="00314719">
        <w:trPr>
          <w:trHeight w:val="277"/>
          <w:jc w:val="center"/>
        </w:trPr>
        <w:tc>
          <w:tcPr>
            <w:tcW w:w="3469" w:type="dxa"/>
            <w:tcBorders>
              <w:top w:val="nil"/>
              <w:left w:val="nil"/>
              <w:bottom w:val="nil"/>
              <w:right w:val="nil"/>
            </w:tcBorders>
          </w:tcPr>
          <w:p w14:paraId="25545DD8"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0A0F50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29E49A95"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20B10D5" w14:textId="77777777" w:rsidR="00BC62E2" w:rsidRDefault="00BC62E2" w:rsidP="00462CFD">
            <w:pPr>
              <w:widowControl w:val="0"/>
              <w:autoSpaceDE w:val="0"/>
              <w:autoSpaceDN w:val="0"/>
              <w:adjustRightInd w:val="0"/>
              <w:spacing w:line="240" w:lineRule="auto"/>
              <w:jc w:val="center"/>
              <w:rPr>
                <w:szCs w:val="24"/>
              </w:rPr>
            </w:pPr>
            <w:r>
              <w:rPr>
                <w:szCs w:val="24"/>
              </w:rPr>
              <w:t>(0.0430)</w:t>
            </w:r>
          </w:p>
        </w:tc>
      </w:tr>
      <w:tr w:rsidR="00BC62E2" w14:paraId="465B0844" w14:textId="77777777" w:rsidTr="00314719">
        <w:trPr>
          <w:trHeight w:val="262"/>
          <w:jc w:val="center"/>
        </w:trPr>
        <w:tc>
          <w:tcPr>
            <w:tcW w:w="3469" w:type="dxa"/>
            <w:tcBorders>
              <w:top w:val="nil"/>
              <w:left w:val="nil"/>
              <w:bottom w:val="nil"/>
              <w:right w:val="nil"/>
            </w:tcBorders>
          </w:tcPr>
          <w:p w14:paraId="15A330AE" w14:textId="77777777" w:rsidR="00BC62E2" w:rsidRDefault="00BC62E2" w:rsidP="00462CFD">
            <w:pPr>
              <w:widowControl w:val="0"/>
              <w:autoSpaceDE w:val="0"/>
              <w:autoSpaceDN w:val="0"/>
              <w:adjustRightInd w:val="0"/>
              <w:spacing w:line="240" w:lineRule="auto"/>
              <w:rPr>
                <w:szCs w:val="24"/>
              </w:rPr>
            </w:pPr>
            <w:r>
              <w:rPr>
                <w:szCs w:val="24"/>
              </w:rPr>
              <w:t>Education</w:t>
            </w:r>
          </w:p>
        </w:tc>
        <w:tc>
          <w:tcPr>
            <w:tcW w:w="1611" w:type="dxa"/>
            <w:tcBorders>
              <w:top w:val="nil"/>
              <w:left w:val="nil"/>
              <w:bottom w:val="nil"/>
              <w:right w:val="nil"/>
            </w:tcBorders>
          </w:tcPr>
          <w:p w14:paraId="308F527D" w14:textId="77777777" w:rsidR="00BC62E2" w:rsidRDefault="00BC62E2" w:rsidP="00462CFD">
            <w:pPr>
              <w:widowControl w:val="0"/>
              <w:autoSpaceDE w:val="0"/>
              <w:autoSpaceDN w:val="0"/>
              <w:adjustRightInd w:val="0"/>
              <w:spacing w:line="240" w:lineRule="auto"/>
              <w:jc w:val="center"/>
              <w:rPr>
                <w:szCs w:val="24"/>
              </w:rPr>
            </w:pPr>
            <w:r>
              <w:rPr>
                <w:szCs w:val="24"/>
              </w:rPr>
              <w:t>0.574***</w:t>
            </w:r>
          </w:p>
        </w:tc>
        <w:tc>
          <w:tcPr>
            <w:tcW w:w="1611" w:type="dxa"/>
            <w:tcBorders>
              <w:top w:val="nil"/>
              <w:left w:val="nil"/>
              <w:bottom w:val="nil"/>
              <w:right w:val="nil"/>
            </w:tcBorders>
          </w:tcPr>
          <w:p w14:paraId="055C3FA2" w14:textId="77777777" w:rsidR="00BC62E2" w:rsidRDefault="00BC62E2" w:rsidP="00462CFD">
            <w:pPr>
              <w:widowControl w:val="0"/>
              <w:autoSpaceDE w:val="0"/>
              <w:autoSpaceDN w:val="0"/>
              <w:adjustRightInd w:val="0"/>
              <w:spacing w:line="240" w:lineRule="auto"/>
              <w:jc w:val="center"/>
              <w:rPr>
                <w:szCs w:val="24"/>
              </w:rPr>
            </w:pPr>
            <w:r>
              <w:rPr>
                <w:szCs w:val="24"/>
              </w:rPr>
              <w:t>0.726***</w:t>
            </w:r>
          </w:p>
        </w:tc>
        <w:tc>
          <w:tcPr>
            <w:tcW w:w="1611" w:type="dxa"/>
            <w:tcBorders>
              <w:top w:val="nil"/>
              <w:left w:val="nil"/>
              <w:bottom w:val="nil"/>
              <w:right w:val="nil"/>
            </w:tcBorders>
          </w:tcPr>
          <w:p w14:paraId="3F01E27F" w14:textId="77777777" w:rsidR="00BC62E2" w:rsidRDefault="00BC62E2" w:rsidP="00462CFD">
            <w:pPr>
              <w:widowControl w:val="0"/>
              <w:autoSpaceDE w:val="0"/>
              <w:autoSpaceDN w:val="0"/>
              <w:adjustRightInd w:val="0"/>
              <w:spacing w:line="240" w:lineRule="auto"/>
              <w:jc w:val="center"/>
              <w:rPr>
                <w:szCs w:val="24"/>
              </w:rPr>
            </w:pPr>
            <w:r>
              <w:rPr>
                <w:szCs w:val="24"/>
              </w:rPr>
              <w:t>0.813***</w:t>
            </w:r>
          </w:p>
        </w:tc>
      </w:tr>
      <w:tr w:rsidR="00BC62E2" w14:paraId="7011B01B" w14:textId="77777777" w:rsidTr="00314719">
        <w:trPr>
          <w:trHeight w:val="262"/>
          <w:jc w:val="center"/>
        </w:trPr>
        <w:tc>
          <w:tcPr>
            <w:tcW w:w="3469" w:type="dxa"/>
            <w:tcBorders>
              <w:top w:val="nil"/>
              <w:left w:val="nil"/>
              <w:bottom w:val="nil"/>
              <w:right w:val="nil"/>
            </w:tcBorders>
          </w:tcPr>
          <w:p w14:paraId="2D58E249"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5EDCC3B" w14:textId="77777777" w:rsidR="00BC62E2" w:rsidRDefault="00BC62E2" w:rsidP="00462CFD">
            <w:pPr>
              <w:widowControl w:val="0"/>
              <w:autoSpaceDE w:val="0"/>
              <w:autoSpaceDN w:val="0"/>
              <w:adjustRightInd w:val="0"/>
              <w:spacing w:line="240" w:lineRule="auto"/>
              <w:jc w:val="center"/>
              <w:rPr>
                <w:szCs w:val="24"/>
              </w:rPr>
            </w:pPr>
            <w:r>
              <w:rPr>
                <w:szCs w:val="24"/>
              </w:rPr>
              <w:t>(0.0565)</w:t>
            </w:r>
          </w:p>
        </w:tc>
        <w:tc>
          <w:tcPr>
            <w:tcW w:w="1611" w:type="dxa"/>
            <w:tcBorders>
              <w:top w:val="nil"/>
              <w:left w:val="nil"/>
              <w:bottom w:val="nil"/>
              <w:right w:val="nil"/>
            </w:tcBorders>
          </w:tcPr>
          <w:p w14:paraId="4EC0D8BC" w14:textId="77777777" w:rsidR="00BC62E2" w:rsidRDefault="00BC62E2" w:rsidP="00462CFD">
            <w:pPr>
              <w:widowControl w:val="0"/>
              <w:autoSpaceDE w:val="0"/>
              <w:autoSpaceDN w:val="0"/>
              <w:adjustRightInd w:val="0"/>
              <w:spacing w:line="240" w:lineRule="auto"/>
              <w:jc w:val="center"/>
              <w:rPr>
                <w:szCs w:val="24"/>
              </w:rPr>
            </w:pPr>
            <w:r>
              <w:rPr>
                <w:szCs w:val="24"/>
              </w:rPr>
              <w:t>(0.0628)</w:t>
            </w:r>
          </w:p>
        </w:tc>
        <w:tc>
          <w:tcPr>
            <w:tcW w:w="1611" w:type="dxa"/>
            <w:tcBorders>
              <w:top w:val="nil"/>
              <w:left w:val="nil"/>
              <w:bottom w:val="nil"/>
              <w:right w:val="nil"/>
            </w:tcBorders>
          </w:tcPr>
          <w:p w14:paraId="57479450" w14:textId="77777777" w:rsidR="00BC62E2" w:rsidRDefault="00BC62E2" w:rsidP="00462CFD">
            <w:pPr>
              <w:widowControl w:val="0"/>
              <w:autoSpaceDE w:val="0"/>
              <w:autoSpaceDN w:val="0"/>
              <w:adjustRightInd w:val="0"/>
              <w:spacing w:line="240" w:lineRule="auto"/>
              <w:jc w:val="center"/>
              <w:rPr>
                <w:szCs w:val="24"/>
              </w:rPr>
            </w:pPr>
            <w:r>
              <w:rPr>
                <w:szCs w:val="24"/>
              </w:rPr>
              <w:t>(0.0468)</w:t>
            </w:r>
          </w:p>
        </w:tc>
      </w:tr>
      <w:tr w:rsidR="00BC62E2" w14:paraId="760AB179" w14:textId="77777777" w:rsidTr="00314719">
        <w:trPr>
          <w:trHeight w:val="277"/>
          <w:jc w:val="center"/>
        </w:trPr>
        <w:tc>
          <w:tcPr>
            <w:tcW w:w="3469" w:type="dxa"/>
            <w:tcBorders>
              <w:top w:val="nil"/>
              <w:left w:val="nil"/>
              <w:bottom w:val="nil"/>
              <w:right w:val="nil"/>
            </w:tcBorders>
          </w:tcPr>
          <w:p w14:paraId="719DDCFD"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Financial development</w:t>
            </w:r>
          </w:p>
        </w:tc>
        <w:tc>
          <w:tcPr>
            <w:tcW w:w="1611" w:type="dxa"/>
            <w:tcBorders>
              <w:top w:val="nil"/>
              <w:left w:val="nil"/>
              <w:bottom w:val="nil"/>
              <w:right w:val="nil"/>
            </w:tcBorders>
          </w:tcPr>
          <w:p w14:paraId="5033C660" w14:textId="77777777" w:rsidR="00BC62E2" w:rsidRDefault="00BC62E2" w:rsidP="00462CFD">
            <w:pPr>
              <w:widowControl w:val="0"/>
              <w:autoSpaceDE w:val="0"/>
              <w:autoSpaceDN w:val="0"/>
              <w:adjustRightInd w:val="0"/>
              <w:spacing w:line="240" w:lineRule="auto"/>
              <w:jc w:val="center"/>
              <w:rPr>
                <w:szCs w:val="24"/>
              </w:rPr>
            </w:pPr>
            <w:r>
              <w:rPr>
                <w:szCs w:val="24"/>
              </w:rPr>
              <w:t>0.0163***</w:t>
            </w:r>
          </w:p>
        </w:tc>
        <w:tc>
          <w:tcPr>
            <w:tcW w:w="1611" w:type="dxa"/>
            <w:tcBorders>
              <w:top w:val="nil"/>
              <w:left w:val="nil"/>
              <w:bottom w:val="nil"/>
              <w:right w:val="nil"/>
            </w:tcBorders>
          </w:tcPr>
          <w:p w14:paraId="6D4E4370" w14:textId="77777777" w:rsidR="00BC62E2" w:rsidRDefault="00BC62E2" w:rsidP="00462CFD">
            <w:pPr>
              <w:widowControl w:val="0"/>
              <w:autoSpaceDE w:val="0"/>
              <w:autoSpaceDN w:val="0"/>
              <w:adjustRightInd w:val="0"/>
              <w:spacing w:line="240" w:lineRule="auto"/>
              <w:jc w:val="center"/>
              <w:rPr>
                <w:szCs w:val="24"/>
              </w:rPr>
            </w:pPr>
            <w:r>
              <w:rPr>
                <w:szCs w:val="24"/>
              </w:rPr>
              <w:t>0.0121***</w:t>
            </w:r>
          </w:p>
        </w:tc>
        <w:tc>
          <w:tcPr>
            <w:tcW w:w="1611" w:type="dxa"/>
            <w:tcBorders>
              <w:top w:val="nil"/>
              <w:left w:val="nil"/>
              <w:bottom w:val="nil"/>
              <w:right w:val="nil"/>
            </w:tcBorders>
          </w:tcPr>
          <w:p w14:paraId="6E7E1579" w14:textId="77777777" w:rsidR="00BC62E2" w:rsidRDefault="00BC62E2" w:rsidP="00462CFD">
            <w:pPr>
              <w:widowControl w:val="0"/>
              <w:autoSpaceDE w:val="0"/>
              <w:autoSpaceDN w:val="0"/>
              <w:adjustRightInd w:val="0"/>
              <w:spacing w:line="240" w:lineRule="auto"/>
              <w:jc w:val="center"/>
              <w:rPr>
                <w:szCs w:val="24"/>
              </w:rPr>
            </w:pPr>
            <w:r>
              <w:rPr>
                <w:szCs w:val="24"/>
              </w:rPr>
              <w:t>0.0652**</w:t>
            </w:r>
          </w:p>
        </w:tc>
      </w:tr>
      <w:tr w:rsidR="00BC62E2" w14:paraId="672A379D" w14:textId="77777777" w:rsidTr="00314719">
        <w:trPr>
          <w:trHeight w:val="262"/>
          <w:jc w:val="center"/>
        </w:trPr>
        <w:tc>
          <w:tcPr>
            <w:tcW w:w="3469" w:type="dxa"/>
            <w:tcBorders>
              <w:top w:val="nil"/>
              <w:left w:val="nil"/>
              <w:bottom w:val="nil"/>
              <w:right w:val="nil"/>
            </w:tcBorders>
          </w:tcPr>
          <w:p w14:paraId="13476C2A"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360D4ED1" w14:textId="77777777" w:rsidR="00BC62E2" w:rsidRDefault="00BC62E2" w:rsidP="00462CFD">
            <w:pPr>
              <w:widowControl w:val="0"/>
              <w:autoSpaceDE w:val="0"/>
              <w:autoSpaceDN w:val="0"/>
              <w:adjustRightInd w:val="0"/>
              <w:spacing w:line="240" w:lineRule="auto"/>
              <w:jc w:val="center"/>
              <w:rPr>
                <w:szCs w:val="24"/>
              </w:rPr>
            </w:pPr>
            <w:r>
              <w:rPr>
                <w:szCs w:val="24"/>
              </w:rPr>
              <w:t>(0.00307)</w:t>
            </w:r>
          </w:p>
        </w:tc>
        <w:tc>
          <w:tcPr>
            <w:tcW w:w="1611" w:type="dxa"/>
            <w:tcBorders>
              <w:top w:val="nil"/>
              <w:left w:val="nil"/>
              <w:bottom w:val="nil"/>
              <w:right w:val="nil"/>
            </w:tcBorders>
          </w:tcPr>
          <w:p w14:paraId="37956D4F" w14:textId="77777777" w:rsidR="00BC62E2" w:rsidRDefault="00BC62E2" w:rsidP="00462CFD">
            <w:pPr>
              <w:widowControl w:val="0"/>
              <w:autoSpaceDE w:val="0"/>
              <w:autoSpaceDN w:val="0"/>
              <w:adjustRightInd w:val="0"/>
              <w:spacing w:line="240" w:lineRule="auto"/>
              <w:jc w:val="center"/>
              <w:rPr>
                <w:szCs w:val="24"/>
              </w:rPr>
            </w:pPr>
            <w:r>
              <w:rPr>
                <w:szCs w:val="24"/>
              </w:rPr>
              <w:t>(0.00315)</w:t>
            </w:r>
          </w:p>
        </w:tc>
        <w:tc>
          <w:tcPr>
            <w:tcW w:w="1611" w:type="dxa"/>
            <w:tcBorders>
              <w:top w:val="nil"/>
              <w:left w:val="nil"/>
              <w:bottom w:val="nil"/>
              <w:right w:val="nil"/>
            </w:tcBorders>
          </w:tcPr>
          <w:p w14:paraId="7A8F512D" w14:textId="77777777" w:rsidR="00BC62E2" w:rsidRDefault="00BC62E2" w:rsidP="00462CFD">
            <w:pPr>
              <w:widowControl w:val="0"/>
              <w:autoSpaceDE w:val="0"/>
              <w:autoSpaceDN w:val="0"/>
              <w:adjustRightInd w:val="0"/>
              <w:spacing w:line="240" w:lineRule="auto"/>
              <w:jc w:val="center"/>
              <w:rPr>
                <w:szCs w:val="24"/>
              </w:rPr>
            </w:pPr>
            <w:r>
              <w:rPr>
                <w:szCs w:val="24"/>
              </w:rPr>
              <w:t>(0.0265)</w:t>
            </w:r>
          </w:p>
        </w:tc>
      </w:tr>
      <w:tr w:rsidR="00BC62E2" w14:paraId="4687E67A" w14:textId="77777777" w:rsidTr="00314719">
        <w:trPr>
          <w:trHeight w:val="277"/>
          <w:jc w:val="center"/>
        </w:trPr>
        <w:tc>
          <w:tcPr>
            <w:tcW w:w="3469" w:type="dxa"/>
            <w:tcBorders>
              <w:top w:val="nil"/>
              <w:left w:val="nil"/>
              <w:bottom w:val="nil"/>
              <w:right w:val="nil"/>
            </w:tcBorders>
          </w:tcPr>
          <w:p w14:paraId="59A45D12" w14:textId="77777777" w:rsidR="00BC62E2" w:rsidRDefault="00BC62E2" w:rsidP="00462CFD">
            <w:pPr>
              <w:widowControl w:val="0"/>
              <w:autoSpaceDE w:val="0"/>
              <w:autoSpaceDN w:val="0"/>
              <w:adjustRightInd w:val="0"/>
              <w:spacing w:line="240" w:lineRule="auto"/>
              <w:rPr>
                <w:szCs w:val="24"/>
              </w:rPr>
            </w:pPr>
            <w:proofErr w:type="spellStart"/>
            <w:r>
              <w:rPr>
                <w:szCs w:val="24"/>
              </w:rPr>
              <w:t>Health</w:t>
            </w:r>
            <w:proofErr w:type="spellEnd"/>
          </w:p>
        </w:tc>
        <w:tc>
          <w:tcPr>
            <w:tcW w:w="1611" w:type="dxa"/>
            <w:tcBorders>
              <w:top w:val="nil"/>
              <w:left w:val="nil"/>
              <w:bottom w:val="nil"/>
              <w:right w:val="nil"/>
            </w:tcBorders>
          </w:tcPr>
          <w:p w14:paraId="11936FFB"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0.528***</w:t>
            </w:r>
          </w:p>
        </w:tc>
        <w:tc>
          <w:tcPr>
            <w:tcW w:w="1611" w:type="dxa"/>
            <w:tcBorders>
              <w:top w:val="nil"/>
              <w:left w:val="nil"/>
              <w:bottom w:val="nil"/>
              <w:right w:val="nil"/>
            </w:tcBorders>
          </w:tcPr>
          <w:p w14:paraId="603BADFF"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0.521***</w:t>
            </w:r>
          </w:p>
        </w:tc>
        <w:tc>
          <w:tcPr>
            <w:tcW w:w="1611" w:type="dxa"/>
            <w:tcBorders>
              <w:top w:val="nil"/>
              <w:left w:val="nil"/>
              <w:bottom w:val="nil"/>
              <w:right w:val="nil"/>
            </w:tcBorders>
          </w:tcPr>
          <w:p w14:paraId="6C8F0A38" w14:textId="77777777" w:rsidR="00BC62E2" w:rsidRDefault="00BC62E2" w:rsidP="00462CFD">
            <w:pPr>
              <w:widowControl w:val="0"/>
              <w:autoSpaceDE w:val="0"/>
              <w:autoSpaceDN w:val="0"/>
              <w:adjustRightInd w:val="0"/>
              <w:spacing w:line="240" w:lineRule="auto"/>
              <w:jc w:val="center"/>
              <w:rPr>
                <w:szCs w:val="24"/>
              </w:rPr>
            </w:pPr>
            <w:r>
              <w:rPr>
                <w:szCs w:val="24"/>
              </w:rPr>
              <w:t xml:space="preserve"> 0.525***</w:t>
            </w:r>
          </w:p>
        </w:tc>
      </w:tr>
      <w:tr w:rsidR="00BC62E2" w14:paraId="08E9D008" w14:textId="77777777" w:rsidTr="00314719">
        <w:trPr>
          <w:trHeight w:val="262"/>
          <w:jc w:val="center"/>
        </w:trPr>
        <w:tc>
          <w:tcPr>
            <w:tcW w:w="3469" w:type="dxa"/>
            <w:tcBorders>
              <w:top w:val="nil"/>
              <w:left w:val="nil"/>
              <w:bottom w:val="nil"/>
              <w:right w:val="nil"/>
            </w:tcBorders>
          </w:tcPr>
          <w:p w14:paraId="66A1B1F5"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6434E376" w14:textId="77777777" w:rsidR="00BC62E2" w:rsidRDefault="00BC62E2" w:rsidP="00462CFD">
            <w:pPr>
              <w:widowControl w:val="0"/>
              <w:autoSpaceDE w:val="0"/>
              <w:autoSpaceDN w:val="0"/>
              <w:adjustRightInd w:val="0"/>
              <w:spacing w:line="240" w:lineRule="auto"/>
              <w:jc w:val="center"/>
              <w:rPr>
                <w:szCs w:val="24"/>
              </w:rPr>
            </w:pPr>
            <w:r>
              <w:rPr>
                <w:szCs w:val="24"/>
              </w:rPr>
              <w:t>(0.0222)</w:t>
            </w:r>
          </w:p>
        </w:tc>
        <w:tc>
          <w:tcPr>
            <w:tcW w:w="1611" w:type="dxa"/>
            <w:tcBorders>
              <w:top w:val="nil"/>
              <w:left w:val="nil"/>
              <w:bottom w:val="nil"/>
              <w:right w:val="nil"/>
            </w:tcBorders>
          </w:tcPr>
          <w:p w14:paraId="5C070F71" w14:textId="77777777" w:rsidR="00BC62E2" w:rsidRDefault="00BC62E2" w:rsidP="00462CFD">
            <w:pPr>
              <w:widowControl w:val="0"/>
              <w:autoSpaceDE w:val="0"/>
              <w:autoSpaceDN w:val="0"/>
              <w:adjustRightInd w:val="0"/>
              <w:spacing w:line="240" w:lineRule="auto"/>
              <w:jc w:val="center"/>
              <w:rPr>
                <w:szCs w:val="24"/>
              </w:rPr>
            </w:pPr>
            <w:r>
              <w:rPr>
                <w:szCs w:val="24"/>
              </w:rPr>
              <w:t>(0.0246)</w:t>
            </w:r>
          </w:p>
        </w:tc>
        <w:tc>
          <w:tcPr>
            <w:tcW w:w="1611" w:type="dxa"/>
            <w:tcBorders>
              <w:top w:val="nil"/>
              <w:left w:val="nil"/>
              <w:bottom w:val="nil"/>
              <w:right w:val="nil"/>
            </w:tcBorders>
          </w:tcPr>
          <w:p w14:paraId="15E83945" w14:textId="77777777" w:rsidR="00BC62E2" w:rsidRDefault="00BC62E2" w:rsidP="00462CFD">
            <w:pPr>
              <w:widowControl w:val="0"/>
              <w:autoSpaceDE w:val="0"/>
              <w:autoSpaceDN w:val="0"/>
              <w:adjustRightInd w:val="0"/>
              <w:spacing w:line="240" w:lineRule="auto"/>
              <w:jc w:val="center"/>
              <w:rPr>
                <w:szCs w:val="24"/>
              </w:rPr>
            </w:pPr>
            <w:r>
              <w:rPr>
                <w:szCs w:val="24"/>
              </w:rPr>
              <w:t>(0.0217)</w:t>
            </w:r>
          </w:p>
        </w:tc>
      </w:tr>
      <w:tr w:rsidR="00BC62E2" w14:paraId="79C7DC1A" w14:textId="77777777" w:rsidTr="00314719">
        <w:trPr>
          <w:trHeight w:val="262"/>
          <w:jc w:val="center"/>
        </w:trPr>
        <w:tc>
          <w:tcPr>
            <w:tcW w:w="3469" w:type="dxa"/>
            <w:tcBorders>
              <w:top w:val="nil"/>
              <w:left w:val="nil"/>
              <w:bottom w:val="nil"/>
              <w:right w:val="nil"/>
            </w:tcBorders>
          </w:tcPr>
          <w:p w14:paraId="0CDE6CB8" w14:textId="77777777" w:rsidR="00BC62E2" w:rsidRDefault="006A2F64" w:rsidP="00462CFD">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11" w:type="dxa"/>
            <w:tcBorders>
              <w:top w:val="nil"/>
              <w:left w:val="nil"/>
              <w:bottom w:val="nil"/>
              <w:right w:val="nil"/>
            </w:tcBorders>
          </w:tcPr>
          <w:p w14:paraId="4BFD8FF5" w14:textId="77777777" w:rsidR="00BC62E2" w:rsidRDefault="00BC62E2" w:rsidP="00462CFD">
            <w:pPr>
              <w:widowControl w:val="0"/>
              <w:autoSpaceDE w:val="0"/>
              <w:autoSpaceDN w:val="0"/>
              <w:adjustRightInd w:val="0"/>
              <w:spacing w:line="240" w:lineRule="auto"/>
              <w:jc w:val="center"/>
              <w:rPr>
                <w:szCs w:val="24"/>
              </w:rPr>
            </w:pPr>
            <w:r>
              <w:rPr>
                <w:szCs w:val="24"/>
              </w:rPr>
              <w:t>0.0915***</w:t>
            </w:r>
          </w:p>
        </w:tc>
        <w:tc>
          <w:tcPr>
            <w:tcW w:w="1611" w:type="dxa"/>
            <w:tcBorders>
              <w:top w:val="nil"/>
              <w:left w:val="nil"/>
              <w:bottom w:val="nil"/>
              <w:right w:val="nil"/>
            </w:tcBorders>
          </w:tcPr>
          <w:p w14:paraId="59887DEC" w14:textId="77777777" w:rsidR="00BC62E2" w:rsidRDefault="00BC62E2" w:rsidP="00462CFD">
            <w:pPr>
              <w:widowControl w:val="0"/>
              <w:autoSpaceDE w:val="0"/>
              <w:autoSpaceDN w:val="0"/>
              <w:adjustRightInd w:val="0"/>
              <w:spacing w:line="240" w:lineRule="auto"/>
              <w:jc w:val="center"/>
              <w:rPr>
                <w:szCs w:val="24"/>
              </w:rPr>
            </w:pPr>
            <w:r>
              <w:rPr>
                <w:szCs w:val="24"/>
              </w:rPr>
              <w:t>0.0948***</w:t>
            </w:r>
          </w:p>
        </w:tc>
        <w:tc>
          <w:tcPr>
            <w:tcW w:w="1611" w:type="dxa"/>
            <w:tcBorders>
              <w:top w:val="nil"/>
              <w:left w:val="nil"/>
              <w:bottom w:val="nil"/>
              <w:right w:val="nil"/>
            </w:tcBorders>
          </w:tcPr>
          <w:p w14:paraId="6453B15B" w14:textId="77777777" w:rsidR="00BC62E2" w:rsidRDefault="00BC62E2" w:rsidP="00462CFD">
            <w:pPr>
              <w:widowControl w:val="0"/>
              <w:autoSpaceDE w:val="0"/>
              <w:autoSpaceDN w:val="0"/>
              <w:adjustRightInd w:val="0"/>
              <w:spacing w:line="240" w:lineRule="auto"/>
              <w:jc w:val="center"/>
              <w:rPr>
                <w:szCs w:val="24"/>
              </w:rPr>
            </w:pPr>
            <w:r>
              <w:rPr>
                <w:szCs w:val="24"/>
              </w:rPr>
              <w:t>0.0942***</w:t>
            </w:r>
          </w:p>
        </w:tc>
      </w:tr>
      <w:tr w:rsidR="00BC62E2" w14:paraId="33BB11B3" w14:textId="77777777" w:rsidTr="00314719">
        <w:trPr>
          <w:trHeight w:val="277"/>
          <w:jc w:val="center"/>
        </w:trPr>
        <w:tc>
          <w:tcPr>
            <w:tcW w:w="3469" w:type="dxa"/>
            <w:tcBorders>
              <w:top w:val="nil"/>
              <w:left w:val="nil"/>
              <w:bottom w:val="nil"/>
              <w:right w:val="nil"/>
            </w:tcBorders>
          </w:tcPr>
          <w:p w14:paraId="0353CECE"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413163F7" w14:textId="77777777" w:rsidR="00BC62E2" w:rsidRDefault="00BC62E2" w:rsidP="00462CFD">
            <w:pPr>
              <w:widowControl w:val="0"/>
              <w:autoSpaceDE w:val="0"/>
              <w:autoSpaceDN w:val="0"/>
              <w:adjustRightInd w:val="0"/>
              <w:spacing w:line="240" w:lineRule="auto"/>
              <w:jc w:val="center"/>
              <w:rPr>
                <w:szCs w:val="24"/>
              </w:rPr>
            </w:pPr>
            <w:r>
              <w:rPr>
                <w:szCs w:val="24"/>
              </w:rPr>
              <w:t>(0.0109)</w:t>
            </w:r>
          </w:p>
        </w:tc>
        <w:tc>
          <w:tcPr>
            <w:tcW w:w="1611" w:type="dxa"/>
            <w:tcBorders>
              <w:top w:val="nil"/>
              <w:left w:val="nil"/>
              <w:bottom w:val="nil"/>
              <w:right w:val="nil"/>
            </w:tcBorders>
          </w:tcPr>
          <w:p w14:paraId="1ED4DE3D" w14:textId="77777777" w:rsidR="00BC62E2" w:rsidRDefault="00BC62E2" w:rsidP="00462CFD">
            <w:pPr>
              <w:widowControl w:val="0"/>
              <w:autoSpaceDE w:val="0"/>
              <w:autoSpaceDN w:val="0"/>
              <w:adjustRightInd w:val="0"/>
              <w:spacing w:line="240" w:lineRule="auto"/>
              <w:jc w:val="center"/>
              <w:rPr>
                <w:szCs w:val="24"/>
              </w:rPr>
            </w:pPr>
            <w:r>
              <w:rPr>
                <w:szCs w:val="24"/>
              </w:rPr>
              <w:t>(0.00747)</w:t>
            </w:r>
          </w:p>
        </w:tc>
        <w:tc>
          <w:tcPr>
            <w:tcW w:w="1611" w:type="dxa"/>
            <w:tcBorders>
              <w:top w:val="nil"/>
              <w:left w:val="nil"/>
              <w:bottom w:val="nil"/>
              <w:right w:val="nil"/>
            </w:tcBorders>
          </w:tcPr>
          <w:p w14:paraId="675E9D07" w14:textId="77777777" w:rsidR="00BC62E2" w:rsidRDefault="00BC62E2" w:rsidP="00462CFD">
            <w:pPr>
              <w:widowControl w:val="0"/>
              <w:autoSpaceDE w:val="0"/>
              <w:autoSpaceDN w:val="0"/>
              <w:adjustRightInd w:val="0"/>
              <w:spacing w:line="240" w:lineRule="auto"/>
              <w:jc w:val="center"/>
              <w:rPr>
                <w:szCs w:val="24"/>
              </w:rPr>
            </w:pPr>
            <w:r>
              <w:rPr>
                <w:szCs w:val="24"/>
              </w:rPr>
              <w:t>(0.0127)</w:t>
            </w:r>
          </w:p>
        </w:tc>
      </w:tr>
      <w:tr w:rsidR="00BC62E2" w14:paraId="26C73DE2" w14:textId="77777777" w:rsidTr="00314719">
        <w:trPr>
          <w:trHeight w:val="262"/>
          <w:jc w:val="center"/>
        </w:trPr>
        <w:tc>
          <w:tcPr>
            <w:tcW w:w="3469" w:type="dxa"/>
            <w:tcBorders>
              <w:top w:val="nil"/>
              <w:left w:val="nil"/>
              <w:bottom w:val="nil"/>
              <w:right w:val="nil"/>
            </w:tcBorders>
          </w:tcPr>
          <w:p w14:paraId="2AA2D90B" w14:textId="77777777" w:rsidR="00BC62E2" w:rsidRDefault="00BC62E2" w:rsidP="00462CFD">
            <w:pPr>
              <w:widowControl w:val="0"/>
              <w:autoSpaceDE w:val="0"/>
              <w:autoSpaceDN w:val="0"/>
              <w:adjustRightInd w:val="0"/>
              <w:spacing w:line="240" w:lineRule="auto"/>
              <w:rPr>
                <w:szCs w:val="24"/>
              </w:rPr>
            </w:pPr>
            <w:r>
              <w:rPr>
                <w:szCs w:val="24"/>
              </w:rPr>
              <w:t>Constant</w:t>
            </w:r>
          </w:p>
        </w:tc>
        <w:tc>
          <w:tcPr>
            <w:tcW w:w="1611" w:type="dxa"/>
            <w:tcBorders>
              <w:top w:val="nil"/>
              <w:left w:val="nil"/>
              <w:bottom w:val="nil"/>
              <w:right w:val="nil"/>
            </w:tcBorders>
          </w:tcPr>
          <w:p w14:paraId="446D4CBE" w14:textId="77777777" w:rsidR="00BC62E2" w:rsidRDefault="00BC62E2" w:rsidP="00462CFD">
            <w:pPr>
              <w:widowControl w:val="0"/>
              <w:autoSpaceDE w:val="0"/>
              <w:autoSpaceDN w:val="0"/>
              <w:adjustRightInd w:val="0"/>
              <w:spacing w:line="240" w:lineRule="auto"/>
              <w:jc w:val="center"/>
              <w:rPr>
                <w:szCs w:val="24"/>
              </w:rPr>
            </w:pPr>
            <w:r>
              <w:rPr>
                <w:szCs w:val="24"/>
              </w:rPr>
              <w:t>2.574***</w:t>
            </w:r>
          </w:p>
        </w:tc>
        <w:tc>
          <w:tcPr>
            <w:tcW w:w="1611" w:type="dxa"/>
            <w:tcBorders>
              <w:top w:val="nil"/>
              <w:left w:val="nil"/>
              <w:bottom w:val="nil"/>
              <w:right w:val="nil"/>
            </w:tcBorders>
          </w:tcPr>
          <w:p w14:paraId="3025F562" w14:textId="77777777" w:rsidR="00BC62E2" w:rsidRDefault="00BC62E2" w:rsidP="00462CFD">
            <w:pPr>
              <w:widowControl w:val="0"/>
              <w:autoSpaceDE w:val="0"/>
              <w:autoSpaceDN w:val="0"/>
              <w:adjustRightInd w:val="0"/>
              <w:spacing w:line="240" w:lineRule="auto"/>
              <w:jc w:val="center"/>
              <w:rPr>
                <w:szCs w:val="24"/>
              </w:rPr>
            </w:pPr>
            <w:r>
              <w:rPr>
                <w:szCs w:val="24"/>
              </w:rPr>
              <w:t>2.473***</w:t>
            </w:r>
          </w:p>
        </w:tc>
        <w:tc>
          <w:tcPr>
            <w:tcW w:w="1611" w:type="dxa"/>
            <w:tcBorders>
              <w:top w:val="nil"/>
              <w:left w:val="nil"/>
              <w:bottom w:val="nil"/>
              <w:right w:val="nil"/>
            </w:tcBorders>
          </w:tcPr>
          <w:p w14:paraId="3B437AB5" w14:textId="77777777" w:rsidR="00BC62E2" w:rsidRDefault="00BC62E2" w:rsidP="00462CFD">
            <w:pPr>
              <w:widowControl w:val="0"/>
              <w:autoSpaceDE w:val="0"/>
              <w:autoSpaceDN w:val="0"/>
              <w:adjustRightInd w:val="0"/>
              <w:spacing w:line="240" w:lineRule="auto"/>
              <w:jc w:val="center"/>
              <w:rPr>
                <w:szCs w:val="24"/>
              </w:rPr>
            </w:pPr>
            <w:r>
              <w:rPr>
                <w:szCs w:val="24"/>
              </w:rPr>
              <w:t>2.559***</w:t>
            </w:r>
          </w:p>
        </w:tc>
      </w:tr>
      <w:tr w:rsidR="00BC62E2" w14:paraId="57999CB7" w14:textId="77777777" w:rsidTr="00314719">
        <w:trPr>
          <w:trHeight w:val="277"/>
          <w:jc w:val="center"/>
        </w:trPr>
        <w:tc>
          <w:tcPr>
            <w:tcW w:w="3469" w:type="dxa"/>
            <w:tcBorders>
              <w:top w:val="nil"/>
              <w:left w:val="nil"/>
              <w:bottom w:val="nil"/>
              <w:right w:val="nil"/>
            </w:tcBorders>
          </w:tcPr>
          <w:p w14:paraId="449DCF8F"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75306D39" w14:textId="77777777" w:rsidR="00BC62E2" w:rsidRDefault="00BC62E2" w:rsidP="00462CFD">
            <w:pPr>
              <w:widowControl w:val="0"/>
              <w:autoSpaceDE w:val="0"/>
              <w:autoSpaceDN w:val="0"/>
              <w:adjustRightInd w:val="0"/>
              <w:spacing w:line="240" w:lineRule="auto"/>
              <w:jc w:val="center"/>
              <w:rPr>
                <w:szCs w:val="24"/>
              </w:rPr>
            </w:pPr>
            <w:r>
              <w:rPr>
                <w:szCs w:val="24"/>
              </w:rPr>
              <w:t>(0.567)</w:t>
            </w:r>
          </w:p>
        </w:tc>
        <w:tc>
          <w:tcPr>
            <w:tcW w:w="1611" w:type="dxa"/>
            <w:tcBorders>
              <w:top w:val="nil"/>
              <w:left w:val="nil"/>
              <w:bottom w:val="nil"/>
              <w:right w:val="nil"/>
            </w:tcBorders>
          </w:tcPr>
          <w:p w14:paraId="5DDB2076" w14:textId="77777777" w:rsidR="00BC62E2" w:rsidRDefault="00BC62E2" w:rsidP="00462CFD">
            <w:pPr>
              <w:widowControl w:val="0"/>
              <w:autoSpaceDE w:val="0"/>
              <w:autoSpaceDN w:val="0"/>
              <w:adjustRightInd w:val="0"/>
              <w:spacing w:line="240" w:lineRule="auto"/>
              <w:jc w:val="center"/>
              <w:rPr>
                <w:szCs w:val="24"/>
              </w:rPr>
            </w:pPr>
            <w:r>
              <w:rPr>
                <w:szCs w:val="24"/>
              </w:rPr>
              <w:t>(0.374)</w:t>
            </w:r>
          </w:p>
        </w:tc>
        <w:tc>
          <w:tcPr>
            <w:tcW w:w="1611" w:type="dxa"/>
            <w:tcBorders>
              <w:top w:val="nil"/>
              <w:left w:val="nil"/>
              <w:bottom w:val="nil"/>
              <w:right w:val="nil"/>
            </w:tcBorders>
          </w:tcPr>
          <w:p w14:paraId="3A793957" w14:textId="77777777" w:rsidR="00BC62E2" w:rsidRDefault="00BC62E2" w:rsidP="00462CFD">
            <w:pPr>
              <w:widowControl w:val="0"/>
              <w:autoSpaceDE w:val="0"/>
              <w:autoSpaceDN w:val="0"/>
              <w:adjustRightInd w:val="0"/>
              <w:spacing w:line="240" w:lineRule="auto"/>
              <w:jc w:val="center"/>
              <w:rPr>
                <w:szCs w:val="24"/>
              </w:rPr>
            </w:pPr>
            <w:r>
              <w:rPr>
                <w:szCs w:val="24"/>
              </w:rPr>
              <w:t>(0.619)</w:t>
            </w:r>
          </w:p>
        </w:tc>
      </w:tr>
      <w:tr w:rsidR="00BC62E2" w14:paraId="70C2B435" w14:textId="77777777" w:rsidTr="00314719">
        <w:trPr>
          <w:trHeight w:val="262"/>
          <w:jc w:val="center"/>
        </w:trPr>
        <w:tc>
          <w:tcPr>
            <w:tcW w:w="3469" w:type="dxa"/>
            <w:tcBorders>
              <w:top w:val="nil"/>
              <w:left w:val="nil"/>
              <w:bottom w:val="nil"/>
              <w:right w:val="nil"/>
            </w:tcBorders>
          </w:tcPr>
          <w:p w14:paraId="3B1DF7B7" w14:textId="77777777" w:rsidR="00BC62E2" w:rsidRDefault="00BC62E2" w:rsidP="00462CFD">
            <w:pPr>
              <w:widowControl w:val="0"/>
              <w:autoSpaceDE w:val="0"/>
              <w:autoSpaceDN w:val="0"/>
              <w:adjustRightInd w:val="0"/>
              <w:spacing w:line="240" w:lineRule="auto"/>
              <w:rPr>
                <w:szCs w:val="24"/>
              </w:rPr>
            </w:pPr>
          </w:p>
        </w:tc>
        <w:tc>
          <w:tcPr>
            <w:tcW w:w="1611" w:type="dxa"/>
            <w:tcBorders>
              <w:top w:val="nil"/>
              <w:left w:val="nil"/>
              <w:bottom w:val="nil"/>
              <w:right w:val="nil"/>
            </w:tcBorders>
          </w:tcPr>
          <w:p w14:paraId="07B4FC27"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453A2162" w14:textId="77777777" w:rsidR="00BC62E2" w:rsidRDefault="00BC62E2" w:rsidP="00462CFD">
            <w:pPr>
              <w:widowControl w:val="0"/>
              <w:autoSpaceDE w:val="0"/>
              <w:autoSpaceDN w:val="0"/>
              <w:adjustRightInd w:val="0"/>
              <w:spacing w:line="240" w:lineRule="auto"/>
              <w:jc w:val="center"/>
              <w:rPr>
                <w:szCs w:val="24"/>
              </w:rPr>
            </w:pPr>
          </w:p>
        </w:tc>
        <w:tc>
          <w:tcPr>
            <w:tcW w:w="1611" w:type="dxa"/>
            <w:tcBorders>
              <w:top w:val="nil"/>
              <w:left w:val="nil"/>
              <w:bottom w:val="nil"/>
              <w:right w:val="nil"/>
            </w:tcBorders>
          </w:tcPr>
          <w:p w14:paraId="621F95CD" w14:textId="77777777" w:rsidR="00BC62E2" w:rsidRDefault="00BC62E2" w:rsidP="00462CFD">
            <w:pPr>
              <w:widowControl w:val="0"/>
              <w:autoSpaceDE w:val="0"/>
              <w:autoSpaceDN w:val="0"/>
              <w:adjustRightInd w:val="0"/>
              <w:spacing w:line="240" w:lineRule="auto"/>
              <w:jc w:val="center"/>
              <w:rPr>
                <w:szCs w:val="24"/>
              </w:rPr>
            </w:pPr>
          </w:p>
        </w:tc>
      </w:tr>
      <w:tr w:rsidR="00BC62E2" w14:paraId="4754E33E" w14:textId="77777777" w:rsidTr="00314719">
        <w:trPr>
          <w:trHeight w:val="262"/>
          <w:jc w:val="center"/>
        </w:trPr>
        <w:tc>
          <w:tcPr>
            <w:tcW w:w="3469" w:type="dxa"/>
            <w:tcBorders>
              <w:top w:val="nil"/>
              <w:left w:val="nil"/>
              <w:bottom w:val="nil"/>
              <w:right w:val="nil"/>
            </w:tcBorders>
          </w:tcPr>
          <w:p w14:paraId="7888542E" w14:textId="77777777" w:rsidR="00BC62E2" w:rsidRDefault="00BC62E2" w:rsidP="00462CFD">
            <w:pPr>
              <w:widowControl w:val="0"/>
              <w:autoSpaceDE w:val="0"/>
              <w:autoSpaceDN w:val="0"/>
              <w:adjustRightInd w:val="0"/>
              <w:spacing w:line="240" w:lineRule="auto"/>
              <w:rPr>
                <w:szCs w:val="24"/>
              </w:rPr>
            </w:pPr>
            <w:r>
              <w:rPr>
                <w:szCs w:val="24"/>
              </w:rPr>
              <w:t>Observations</w:t>
            </w:r>
          </w:p>
        </w:tc>
        <w:tc>
          <w:tcPr>
            <w:tcW w:w="1611" w:type="dxa"/>
            <w:tcBorders>
              <w:top w:val="nil"/>
              <w:left w:val="nil"/>
              <w:bottom w:val="nil"/>
              <w:right w:val="nil"/>
            </w:tcBorders>
          </w:tcPr>
          <w:p w14:paraId="21125D87"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589ABE69" w14:textId="77777777" w:rsidR="00BC62E2" w:rsidRDefault="00BC62E2" w:rsidP="00462CFD">
            <w:pPr>
              <w:widowControl w:val="0"/>
              <w:autoSpaceDE w:val="0"/>
              <w:autoSpaceDN w:val="0"/>
              <w:adjustRightInd w:val="0"/>
              <w:spacing w:line="240" w:lineRule="auto"/>
              <w:jc w:val="center"/>
              <w:rPr>
                <w:szCs w:val="24"/>
              </w:rPr>
            </w:pPr>
            <w:r>
              <w:rPr>
                <w:szCs w:val="24"/>
              </w:rPr>
              <w:t>50</w:t>
            </w:r>
          </w:p>
        </w:tc>
        <w:tc>
          <w:tcPr>
            <w:tcW w:w="1611" w:type="dxa"/>
            <w:tcBorders>
              <w:top w:val="nil"/>
              <w:left w:val="nil"/>
              <w:bottom w:val="nil"/>
              <w:right w:val="nil"/>
            </w:tcBorders>
          </w:tcPr>
          <w:p w14:paraId="4387AF17" w14:textId="77777777" w:rsidR="00BC62E2" w:rsidRDefault="00BC62E2" w:rsidP="00462CFD">
            <w:pPr>
              <w:widowControl w:val="0"/>
              <w:autoSpaceDE w:val="0"/>
              <w:autoSpaceDN w:val="0"/>
              <w:adjustRightInd w:val="0"/>
              <w:spacing w:line="240" w:lineRule="auto"/>
              <w:jc w:val="center"/>
              <w:rPr>
                <w:szCs w:val="24"/>
              </w:rPr>
            </w:pPr>
            <w:r>
              <w:rPr>
                <w:szCs w:val="24"/>
              </w:rPr>
              <w:t>50</w:t>
            </w:r>
          </w:p>
        </w:tc>
      </w:tr>
      <w:tr w:rsidR="00BC62E2" w14:paraId="66656B3D" w14:textId="77777777" w:rsidTr="00314719">
        <w:trPr>
          <w:trHeight w:val="277"/>
          <w:jc w:val="center"/>
        </w:trPr>
        <w:tc>
          <w:tcPr>
            <w:tcW w:w="3469" w:type="dxa"/>
            <w:tcBorders>
              <w:top w:val="nil"/>
              <w:left w:val="nil"/>
              <w:bottom w:val="nil"/>
              <w:right w:val="nil"/>
            </w:tcBorders>
          </w:tcPr>
          <w:p w14:paraId="1E9E8BDB" w14:textId="77777777" w:rsidR="00BC62E2" w:rsidRDefault="00BC62E2" w:rsidP="00462CFD">
            <w:pPr>
              <w:widowControl w:val="0"/>
              <w:autoSpaceDE w:val="0"/>
              <w:autoSpaceDN w:val="0"/>
              <w:adjustRightInd w:val="0"/>
              <w:spacing w:line="240" w:lineRule="auto"/>
              <w:rPr>
                <w:szCs w:val="24"/>
              </w:rPr>
            </w:pPr>
            <w:r>
              <w:rPr>
                <w:szCs w:val="24"/>
              </w:rPr>
              <w:t>R-</w:t>
            </w:r>
            <w:proofErr w:type="spellStart"/>
            <w:r>
              <w:rPr>
                <w:szCs w:val="24"/>
              </w:rPr>
              <w:t>squared</w:t>
            </w:r>
            <w:proofErr w:type="spellEnd"/>
          </w:p>
        </w:tc>
        <w:tc>
          <w:tcPr>
            <w:tcW w:w="1611" w:type="dxa"/>
            <w:tcBorders>
              <w:top w:val="nil"/>
              <w:left w:val="nil"/>
              <w:bottom w:val="nil"/>
              <w:right w:val="nil"/>
            </w:tcBorders>
          </w:tcPr>
          <w:p w14:paraId="43680B3A"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09839288" w14:textId="77777777" w:rsidR="00BC62E2" w:rsidRDefault="00BC62E2" w:rsidP="00462CFD">
            <w:pPr>
              <w:widowControl w:val="0"/>
              <w:autoSpaceDE w:val="0"/>
              <w:autoSpaceDN w:val="0"/>
              <w:adjustRightInd w:val="0"/>
              <w:spacing w:line="240" w:lineRule="auto"/>
              <w:jc w:val="center"/>
              <w:rPr>
                <w:szCs w:val="24"/>
              </w:rPr>
            </w:pPr>
            <w:r>
              <w:rPr>
                <w:szCs w:val="24"/>
              </w:rPr>
              <w:t>0.581</w:t>
            </w:r>
          </w:p>
        </w:tc>
        <w:tc>
          <w:tcPr>
            <w:tcW w:w="1611" w:type="dxa"/>
            <w:tcBorders>
              <w:top w:val="nil"/>
              <w:left w:val="nil"/>
              <w:bottom w:val="nil"/>
              <w:right w:val="nil"/>
            </w:tcBorders>
          </w:tcPr>
          <w:p w14:paraId="17991272" w14:textId="77777777" w:rsidR="00BC62E2" w:rsidRDefault="00BC62E2" w:rsidP="00462CFD">
            <w:pPr>
              <w:widowControl w:val="0"/>
              <w:autoSpaceDE w:val="0"/>
              <w:autoSpaceDN w:val="0"/>
              <w:adjustRightInd w:val="0"/>
              <w:spacing w:line="240" w:lineRule="auto"/>
              <w:jc w:val="center"/>
              <w:rPr>
                <w:szCs w:val="24"/>
              </w:rPr>
            </w:pPr>
            <w:r>
              <w:rPr>
                <w:szCs w:val="24"/>
              </w:rPr>
              <w:t>0.583</w:t>
            </w:r>
          </w:p>
        </w:tc>
      </w:tr>
      <w:tr w:rsidR="00BC62E2" w14:paraId="36D412AD" w14:textId="77777777" w:rsidTr="00314719">
        <w:tblPrEx>
          <w:tblBorders>
            <w:bottom w:val="single" w:sz="6" w:space="0" w:color="auto"/>
          </w:tblBorders>
        </w:tblPrEx>
        <w:trPr>
          <w:trHeight w:val="262"/>
          <w:jc w:val="center"/>
        </w:trPr>
        <w:tc>
          <w:tcPr>
            <w:tcW w:w="3469" w:type="dxa"/>
            <w:tcBorders>
              <w:top w:val="nil"/>
              <w:left w:val="nil"/>
              <w:bottom w:val="single" w:sz="6" w:space="0" w:color="auto"/>
              <w:right w:val="nil"/>
            </w:tcBorders>
          </w:tcPr>
          <w:p w14:paraId="5BCFFC78" w14:textId="77777777" w:rsidR="00BC62E2" w:rsidRDefault="00BC62E2" w:rsidP="00462CFD">
            <w:pPr>
              <w:widowControl w:val="0"/>
              <w:autoSpaceDE w:val="0"/>
              <w:autoSpaceDN w:val="0"/>
              <w:adjustRightInd w:val="0"/>
              <w:spacing w:line="240" w:lineRule="auto"/>
              <w:rPr>
                <w:szCs w:val="24"/>
              </w:rPr>
            </w:pPr>
            <w:proofErr w:type="spellStart"/>
            <w:r>
              <w:rPr>
                <w:szCs w:val="24"/>
              </w:rPr>
              <w:t>Number</w:t>
            </w:r>
            <w:proofErr w:type="spellEnd"/>
            <w:r>
              <w:rPr>
                <w:szCs w:val="24"/>
              </w:rPr>
              <w:t xml:space="preserve"> of groups</w:t>
            </w:r>
          </w:p>
        </w:tc>
        <w:tc>
          <w:tcPr>
            <w:tcW w:w="1611" w:type="dxa"/>
            <w:tcBorders>
              <w:top w:val="nil"/>
              <w:left w:val="nil"/>
              <w:bottom w:val="single" w:sz="6" w:space="0" w:color="auto"/>
              <w:right w:val="nil"/>
            </w:tcBorders>
          </w:tcPr>
          <w:p w14:paraId="5515645B"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30B7CBF4" w14:textId="77777777" w:rsidR="00BC62E2" w:rsidRDefault="00BC62E2" w:rsidP="00462CFD">
            <w:pPr>
              <w:widowControl w:val="0"/>
              <w:autoSpaceDE w:val="0"/>
              <w:autoSpaceDN w:val="0"/>
              <w:adjustRightInd w:val="0"/>
              <w:spacing w:line="240" w:lineRule="auto"/>
              <w:jc w:val="center"/>
              <w:rPr>
                <w:szCs w:val="24"/>
              </w:rPr>
            </w:pPr>
            <w:r>
              <w:rPr>
                <w:szCs w:val="24"/>
              </w:rPr>
              <w:t>5</w:t>
            </w:r>
          </w:p>
        </w:tc>
        <w:tc>
          <w:tcPr>
            <w:tcW w:w="1611" w:type="dxa"/>
            <w:tcBorders>
              <w:top w:val="nil"/>
              <w:left w:val="nil"/>
              <w:bottom w:val="single" w:sz="6" w:space="0" w:color="auto"/>
              <w:right w:val="nil"/>
            </w:tcBorders>
          </w:tcPr>
          <w:p w14:paraId="161821C4" w14:textId="77777777" w:rsidR="00BC62E2" w:rsidRDefault="00BC62E2" w:rsidP="00462CFD">
            <w:pPr>
              <w:widowControl w:val="0"/>
              <w:autoSpaceDE w:val="0"/>
              <w:autoSpaceDN w:val="0"/>
              <w:adjustRightInd w:val="0"/>
              <w:spacing w:line="240" w:lineRule="auto"/>
              <w:jc w:val="center"/>
              <w:rPr>
                <w:szCs w:val="24"/>
              </w:rPr>
            </w:pPr>
            <w:r>
              <w:rPr>
                <w:szCs w:val="24"/>
              </w:rPr>
              <w:t>5</w:t>
            </w:r>
          </w:p>
        </w:tc>
      </w:tr>
    </w:tbl>
    <w:p w14:paraId="00DD52B7" w14:textId="77777777" w:rsidR="00DC2D94" w:rsidRDefault="00DC2D94" w:rsidP="00314719">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45BADE1E" w14:textId="77777777" w:rsidR="00DC2D94" w:rsidRPr="00417BEF" w:rsidRDefault="00DC2D94" w:rsidP="00314719">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2CE8021D" w14:textId="77777777" w:rsidR="00BC62E2" w:rsidRDefault="00BC62E2" w:rsidP="00DB09BD">
      <w:pPr>
        <w:ind w:firstLine="426"/>
        <w:rPr>
          <w:rFonts w:eastAsiaTheme="minorEastAsia"/>
          <w:szCs w:val="24"/>
          <w:lang w:val="en-US"/>
        </w:rPr>
      </w:pPr>
    </w:p>
    <w:p w14:paraId="5BA5CFFA" w14:textId="77777777" w:rsidR="00745A9C" w:rsidRPr="00745A9C" w:rsidRDefault="00745A9C" w:rsidP="00DB09BD">
      <w:pPr>
        <w:ind w:firstLine="426"/>
        <w:rPr>
          <w:rFonts w:eastAsiaTheme="minorEastAsia"/>
          <w:szCs w:val="24"/>
          <w:lang w:val="en-US"/>
        </w:rPr>
      </w:pPr>
      <w:r w:rsidRPr="00745A9C">
        <w:rPr>
          <w:lang w:val="en-US"/>
        </w:rPr>
        <w:t>The control variables in Table 3 exhibit statistically significant and theoretically consistent relationships with happiness. Education has a strong positive ef</w:t>
      </w:r>
      <w:r>
        <w:rPr>
          <w:lang w:val="en-US"/>
        </w:rPr>
        <w:t>fect across all specifications</w:t>
      </w:r>
      <w:r w:rsidRPr="00745A9C">
        <w:rPr>
          <w:lang w:val="en-US"/>
        </w:rPr>
        <w:t xml:space="preserve">, supporting the notion that higher education levels enhance well-being by increasing earning potential and opportunities, as noted by </w:t>
      </w:r>
      <w:proofErr w:type="spellStart"/>
      <w:r w:rsidRPr="00745A9C">
        <w:rPr>
          <w:rStyle w:val="Strong"/>
          <w:b w:val="0"/>
          <w:lang w:val="en-US"/>
        </w:rPr>
        <w:t>Oreopoulos</w:t>
      </w:r>
      <w:proofErr w:type="spellEnd"/>
      <w:r w:rsidRPr="00745A9C">
        <w:rPr>
          <w:rStyle w:val="Strong"/>
          <w:b w:val="0"/>
          <w:lang w:val="en-US"/>
        </w:rPr>
        <w:t xml:space="preserve"> and </w:t>
      </w:r>
      <w:proofErr w:type="spellStart"/>
      <w:r w:rsidRPr="00745A9C">
        <w:rPr>
          <w:rStyle w:val="Strong"/>
          <w:b w:val="0"/>
          <w:lang w:val="en-US"/>
        </w:rPr>
        <w:t>Salvanes</w:t>
      </w:r>
      <w:proofErr w:type="spellEnd"/>
      <w:r w:rsidRPr="00745A9C">
        <w:rPr>
          <w:rStyle w:val="Strong"/>
          <w:b w:val="0"/>
          <w:lang w:val="en-US"/>
        </w:rPr>
        <w:t xml:space="preserve"> (2011)</w:t>
      </w:r>
      <w:r w:rsidR="002E2C82">
        <w:rPr>
          <w:rStyle w:val="Strong"/>
          <w:b w:val="0"/>
          <w:lang w:val="en-US"/>
        </w:rPr>
        <w:t xml:space="preserve"> and </w:t>
      </w:r>
      <w:r w:rsidR="002E2C82">
        <w:rPr>
          <w:lang w:val="en-US"/>
        </w:rPr>
        <w:t xml:space="preserve">Kelly and </w:t>
      </w:r>
      <w:proofErr w:type="spellStart"/>
      <w:r w:rsidR="002E2C82">
        <w:rPr>
          <w:lang w:val="en-US"/>
        </w:rPr>
        <w:t>Rutazihana</w:t>
      </w:r>
      <w:proofErr w:type="spellEnd"/>
      <w:r w:rsidR="002E2C82" w:rsidRPr="00795AD4">
        <w:rPr>
          <w:lang w:val="en-US"/>
        </w:rPr>
        <w:t xml:space="preserve"> </w:t>
      </w:r>
      <w:r w:rsidR="002E2C82">
        <w:rPr>
          <w:lang w:val="en-US"/>
        </w:rPr>
        <w:t>(</w:t>
      </w:r>
      <w:r w:rsidR="002E2C82" w:rsidRPr="00795AD4">
        <w:rPr>
          <w:lang w:val="en-US"/>
        </w:rPr>
        <w:t>2024</w:t>
      </w:r>
      <w:r w:rsidR="002E2C82">
        <w:rPr>
          <w:lang w:val="en-US"/>
        </w:rPr>
        <w:t>)</w:t>
      </w:r>
      <w:r w:rsidRPr="00745A9C">
        <w:rPr>
          <w:lang w:val="en-US"/>
        </w:rPr>
        <w:t>. Financial development also shows a positi</w:t>
      </w:r>
      <w:r>
        <w:rPr>
          <w:lang w:val="en-US"/>
        </w:rPr>
        <w:t>ve and significant relationship</w:t>
      </w:r>
      <w:r w:rsidRPr="00745A9C">
        <w:rPr>
          <w:lang w:val="en-US"/>
        </w:rPr>
        <w:t xml:space="preserve">, </w:t>
      </w:r>
      <w:r w:rsidRPr="00745A9C">
        <w:rPr>
          <w:lang w:val="en-US"/>
        </w:rPr>
        <w:lastRenderedPageBreak/>
        <w:t xml:space="preserve">consistent with studies like </w:t>
      </w:r>
      <w:r w:rsidRPr="00745A9C">
        <w:rPr>
          <w:rStyle w:val="Strong"/>
          <w:b w:val="0"/>
          <w:lang w:val="en-US"/>
        </w:rPr>
        <w:t>Beck et al. (2007)</w:t>
      </w:r>
      <w:r w:rsidR="007B1E45">
        <w:rPr>
          <w:rStyle w:val="Strong"/>
          <w:b w:val="0"/>
          <w:lang w:val="en-US"/>
        </w:rPr>
        <w:t xml:space="preserve"> and </w:t>
      </w:r>
      <w:proofErr w:type="spellStart"/>
      <w:r w:rsidR="007B1E45">
        <w:rPr>
          <w:lang w:val="en-US"/>
        </w:rPr>
        <w:t>Feuzeu</w:t>
      </w:r>
      <w:proofErr w:type="spellEnd"/>
      <w:r w:rsidR="007B1E45">
        <w:rPr>
          <w:lang w:val="en-US"/>
        </w:rPr>
        <w:t xml:space="preserve"> and Kelly</w:t>
      </w:r>
      <w:r w:rsidR="007B1E45" w:rsidRPr="00795AD4">
        <w:rPr>
          <w:lang w:val="en-US"/>
        </w:rPr>
        <w:t xml:space="preserve"> </w:t>
      </w:r>
      <w:r w:rsidR="007B1E45">
        <w:rPr>
          <w:lang w:val="en-US"/>
        </w:rPr>
        <w:t>(</w:t>
      </w:r>
      <w:r w:rsidR="007B1E45" w:rsidRPr="00795AD4">
        <w:rPr>
          <w:lang w:val="en-US"/>
        </w:rPr>
        <w:t>2025)</w:t>
      </w:r>
      <w:r w:rsidRPr="00745A9C">
        <w:rPr>
          <w:lang w:val="en-US"/>
        </w:rPr>
        <w:t xml:space="preserve">, which link financial inclusion to improved economic security and happiness. Health, measured </w:t>
      </w:r>
      <w:r>
        <w:rPr>
          <w:lang w:val="en-US"/>
        </w:rPr>
        <w:t xml:space="preserve">using </w:t>
      </w:r>
      <w:r w:rsidRPr="00745A9C">
        <w:rPr>
          <w:lang w:val="en-US"/>
        </w:rPr>
        <w:t xml:space="preserve">healthcare </w:t>
      </w:r>
      <w:r>
        <w:rPr>
          <w:lang w:val="en-US"/>
        </w:rPr>
        <w:t>expenditure</w:t>
      </w:r>
      <w:r w:rsidRPr="00745A9C">
        <w:rPr>
          <w:lang w:val="en-US"/>
        </w:rPr>
        <w:t>, h</w:t>
      </w:r>
      <w:r>
        <w:rPr>
          <w:lang w:val="en-US"/>
        </w:rPr>
        <w:t>as a large positive coefficient</w:t>
      </w:r>
      <w:r w:rsidRPr="00745A9C">
        <w:rPr>
          <w:lang w:val="en-US"/>
        </w:rPr>
        <w:t xml:space="preserve">, aligning with </w:t>
      </w:r>
      <w:r w:rsidRPr="00745A9C">
        <w:rPr>
          <w:rStyle w:val="Strong"/>
          <w:b w:val="0"/>
          <w:lang w:val="en-US"/>
        </w:rPr>
        <w:t>Easterlin (2003)</w:t>
      </w:r>
      <w:r w:rsidRPr="00745A9C">
        <w:rPr>
          <w:lang w:val="en-US"/>
        </w:rPr>
        <w:t xml:space="preserve">’s findings on the importance of health for subjective well-being. Industrialization exhibits a </w:t>
      </w:r>
      <w:r>
        <w:rPr>
          <w:lang w:val="en-US"/>
        </w:rPr>
        <w:t>positive and significant effect</w:t>
      </w:r>
      <w:r w:rsidRPr="00745A9C">
        <w:rPr>
          <w:lang w:val="en-US"/>
        </w:rPr>
        <w:t xml:space="preserve">, reflecting its role in job creation and income growth, as discussed by </w:t>
      </w:r>
      <w:r w:rsidRPr="00745A9C">
        <w:rPr>
          <w:rStyle w:val="Strong"/>
          <w:b w:val="0"/>
          <w:lang w:val="en-US"/>
        </w:rPr>
        <w:t>Clark et al. (2008)</w:t>
      </w:r>
      <w:r>
        <w:rPr>
          <w:lang w:val="en-US"/>
        </w:rPr>
        <w:t>.</w:t>
      </w:r>
      <w:r w:rsidRPr="00745A9C">
        <w:rPr>
          <w:lang w:val="en-US"/>
        </w:rPr>
        <w:t xml:space="preserve"> Overall, the signs and significance of these controls corroborate existing literature, reinforcing the validity of the model and its findings.</w:t>
      </w:r>
    </w:p>
    <w:p w14:paraId="03288191" w14:textId="77777777" w:rsidR="00E84812" w:rsidRDefault="00E84812" w:rsidP="00DB09BD">
      <w:pPr>
        <w:ind w:firstLine="426"/>
        <w:rPr>
          <w:rFonts w:eastAsiaTheme="minorEastAsia"/>
          <w:szCs w:val="24"/>
          <w:lang w:val="en-US"/>
        </w:rPr>
      </w:pPr>
    </w:p>
    <w:p w14:paraId="43FF3FB0" w14:textId="77777777" w:rsidR="00A57BB4" w:rsidRDefault="0073713F" w:rsidP="0073713F">
      <w:pPr>
        <w:pStyle w:val="Heading2"/>
        <w:numPr>
          <w:ilvl w:val="1"/>
          <w:numId w:val="1"/>
        </w:numPr>
        <w:rPr>
          <w:rFonts w:eastAsiaTheme="minorEastAsia"/>
          <w:lang w:val="en-US"/>
        </w:rPr>
      </w:pPr>
      <w:r>
        <w:rPr>
          <w:rFonts w:eastAsiaTheme="minorEastAsia"/>
          <w:lang w:val="en-US"/>
        </w:rPr>
        <w:t xml:space="preserve"> </w:t>
      </w:r>
      <w:r w:rsidR="00A57BB4">
        <w:rPr>
          <w:rFonts w:eastAsiaTheme="minorEastAsia"/>
          <w:lang w:val="en-US"/>
        </w:rPr>
        <w:t>Endogeneity Account</w:t>
      </w:r>
    </w:p>
    <w:p w14:paraId="323B1CA1" w14:textId="77777777" w:rsidR="00156D01" w:rsidRPr="00F71FFA" w:rsidRDefault="00156D01" w:rsidP="00156D01">
      <w:pPr>
        <w:ind w:firstLine="567"/>
        <w:rPr>
          <w:lang w:val="en-US" w:eastAsia="fr-FR"/>
        </w:rPr>
      </w:pPr>
      <w:r w:rsidRPr="00156D01">
        <w:rPr>
          <w:lang w:val="en-US" w:eastAsia="fr-FR"/>
        </w:rPr>
        <w:t xml:space="preserve">The IV-2SLS estimates in Table 4 address potential endogeneity in the relationship between electricity access and happiness, providing more robust causal inferences. </w:t>
      </w:r>
      <w:r w:rsidRPr="00F71FFA">
        <w:rPr>
          <w:lang w:val="en-US" w:eastAsia="fr-FR"/>
        </w:rPr>
        <w:t>The results confirm and even amplify the positive effect of electricity access on happiness compared to the baseline Driscoll &amp; Kraay estimates. Total electricity access (column 1)</w:t>
      </w:r>
      <w:r w:rsidR="00F71FFA">
        <w:rPr>
          <w:lang w:val="en-US" w:eastAsia="fr-FR"/>
        </w:rPr>
        <w:t xml:space="preserve"> now shows a larger coefficient</w:t>
      </w:r>
      <w:r w:rsidRPr="00F71FFA">
        <w:rPr>
          <w:lang w:val="en-US" w:eastAsia="fr-FR"/>
        </w:rPr>
        <w:t xml:space="preserve">, suggesting </w:t>
      </w:r>
      <w:r w:rsidR="00F71FFA">
        <w:rPr>
          <w:lang w:val="en-US" w:eastAsia="fr-FR"/>
        </w:rPr>
        <w:t xml:space="preserve">that accounting for endogeneity </w:t>
      </w:r>
      <w:r w:rsidRPr="00F71FFA">
        <w:rPr>
          <w:lang w:val="en-US" w:eastAsia="fr-FR"/>
        </w:rPr>
        <w:t xml:space="preserve">reveals a stronger impact of electrification on well-being. This aligns with </w:t>
      </w:r>
      <w:r w:rsidRPr="00F71FFA">
        <w:rPr>
          <w:bCs/>
          <w:lang w:val="en-US" w:eastAsia="fr-FR"/>
        </w:rPr>
        <w:t>Burgess et al. (2020)</w:t>
      </w:r>
      <w:r w:rsidRPr="00F71FFA">
        <w:rPr>
          <w:lang w:val="en-US" w:eastAsia="fr-FR"/>
        </w:rPr>
        <w:t>, who argue that instrumental variable approaches often uncover larger effects by isolating exogenous variation in infrastructure access.</w:t>
      </w:r>
    </w:p>
    <w:p w14:paraId="20C6273B" w14:textId="77777777" w:rsidR="00156D01" w:rsidRDefault="00156D01" w:rsidP="00156D01">
      <w:pPr>
        <w:ind w:firstLine="567"/>
        <w:rPr>
          <w:lang w:val="en-US"/>
        </w:rPr>
      </w:pPr>
      <w:r w:rsidRPr="00F71FFA">
        <w:rPr>
          <w:lang w:val="en-US" w:eastAsia="fr-FR"/>
        </w:rPr>
        <w:t xml:space="preserve">The rural-urban disparity persists, with rural electrification (column 3) exhibiting a substantially larger coefficient </w:t>
      </w:r>
      <w:r w:rsidR="00B24381">
        <w:rPr>
          <w:lang w:val="en-US" w:eastAsia="fr-FR"/>
        </w:rPr>
        <w:t>than urban electrification</w:t>
      </w:r>
      <w:r w:rsidRPr="00F71FFA">
        <w:rPr>
          <w:lang w:val="en-US" w:eastAsia="fr-FR"/>
        </w:rPr>
        <w:t>. This reinforces the baseline finding that rural populations benefit more from electrification, likely due to the absence of alternatives (e.g., generators) and the transformative role of electricity in enabling education, healthcare, and income-generating activities (</w:t>
      </w:r>
      <w:r w:rsidRPr="00B24381">
        <w:rPr>
          <w:bCs/>
          <w:lang w:val="en-US" w:eastAsia="fr-FR"/>
        </w:rPr>
        <w:t>Lee et al., 2020</w:t>
      </w:r>
      <w:r w:rsidRPr="00F71FFA">
        <w:rPr>
          <w:lang w:val="en-US" w:eastAsia="fr-FR"/>
        </w:rPr>
        <w:t>). The smaller urban effect may reflect saturation or substitution effects, where urban households already have partial access. The statistical significance across all specifications underscores the robustness of the results, supporting policy prioritization of rural electrification for maximizing happiness gains.</w:t>
      </w:r>
      <w:r w:rsidR="00CB2401">
        <w:rPr>
          <w:lang w:val="en-US" w:eastAsia="fr-FR"/>
        </w:rPr>
        <w:t xml:space="preserve"> </w:t>
      </w:r>
      <w:r w:rsidR="00CB2401" w:rsidRPr="00486C28">
        <w:rPr>
          <w:lang w:val="en-US"/>
        </w:rPr>
        <w:t xml:space="preserve">Regarding the control variables, their signs and statistical significance corroborate previous findings. </w:t>
      </w:r>
    </w:p>
    <w:p w14:paraId="6CDBB4A2" w14:textId="77777777" w:rsidR="00CB2401" w:rsidRPr="00F71FFA" w:rsidRDefault="00CB2401" w:rsidP="00156D01">
      <w:pPr>
        <w:ind w:firstLine="567"/>
        <w:rPr>
          <w:lang w:val="en-US" w:eastAsia="fr-FR"/>
        </w:rPr>
      </w:pPr>
    </w:p>
    <w:p w14:paraId="43AD9F84" w14:textId="77777777" w:rsidR="00156D01" w:rsidRDefault="00156D01" w:rsidP="00DB09BD">
      <w:pPr>
        <w:ind w:firstLine="426"/>
        <w:rPr>
          <w:rFonts w:eastAsiaTheme="minorEastAsia"/>
          <w:szCs w:val="24"/>
          <w:lang w:val="en-US"/>
        </w:rPr>
      </w:pPr>
    </w:p>
    <w:p w14:paraId="76CD5DBF" w14:textId="77777777" w:rsidR="00E84812" w:rsidRDefault="00314719" w:rsidP="00DB09BD">
      <w:pPr>
        <w:ind w:firstLine="426"/>
        <w:rPr>
          <w:rFonts w:eastAsiaTheme="minorEastAsia"/>
          <w:szCs w:val="24"/>
          <w:lang w:val="en-US"/>
        </w:rPr>
      </w:pPr>
      <w:r>
        <w:rPr>
          <w:rFonts w:eastAsiaTheme="minorEastAsia"/>
          <w:szCs w:val="24"/>
          <w:lang w:val="en-US"/>
        </w:rPr>
        <w:t xml:space="preserve">Table 4: </w:t>
      </w:r>
      <w:r w:rsidR="00BD0A48">
        <w:rPr>
          <w:rFonts w:eastAsiaTheme="minorEastAsia"/>
          <w:szCs w:val="24"/>
          <w:lang w:val="en-US"/>
        </w:rPr>
        <w:t>IV-2SLS estimates</w:t>
      </w:r>
    </w:p>
    <w:tbl>
      <w:tblPr>
        <w:tblW w:w="0" w:type="auto"/>
        <w:jc w:val="center"/>
        <w:tblLayout w:type="fixed"/>
        <w:tblCellMar>
          <w:left w:w="75" w:type="dxa"/>
          <w:right w:w="75" w:type="dxa"/>
        </w:tblCellMar>
        <w:tblLook w:val="0000" w:firstRow="0" w:lastRow="0" w:firstColumn="0" w:lastColumn="0" w:noHBand="0" w:noVBand="0"/>
      </w:tblPr>
      <w:tblGrid>
        <w:gridCol w:w="3450"/>
        <w:gridCol w:w="1603"/>
        <w:gridCol w:w="1603"/>
        <w:gridCol w:w="1603"/>
      </w:tblGrid>
      <w:tr w:rsidR="00314719" w14:paraId="26FA877A" w14:textId="77777777" w:rsidTr="003C0C4C">
        <w:trPr>
          <w:trHeight w:val="261"/>
          <w:jc w:val="center"/>
        </w:trPr>
        <w:tc>
          <w:tcPr>
            <w:tcW w:w="3450" w:type="dxa"/>
            <w:tcBorders>
              <w:top w:val="single" w:sz="6" w:space="0" w:color="auto"/>
              <w:left w:val="nil"/>
              <w:bottom w:val="nil"/>
              <w:right w:val="nil"/>
            </w:tcBorders>
          </w:tcPr>
          <w:p w14:paraId="3F925D93" w14:textId="77777777" w:rsidR="00314719" w:rsidRPr="00A57BB4" w:rsidRDefault="00314719" w:rsidP="00462CFD">
            <w:pPr>
              <w:widowControl w:val="0"/>
              <w:autoSpaceDE w:val="0"/>
              <w:autoSpaceDN w:val="0"/>
              <w:adjustRightInd w:val="0"/>
              <w:spacing w:line="240" w:lineRule="auto"/>
              <w:rPr>
                <w:rFonts w:cs="Times New Roman"/>
                <w:szCs w:val="24"/>
                <w:lang w:val="en-US"/>
              </w:rPr>
            </w:pPr>
          </w:p>
        </w:tc>
        <w:tc>
          <w:tcPr>
            <w:tcW w:w="1603" w:type="dxa"/>
            <w:tcBorders>
              <w:top w:val="single" w:sz="6" w:space="0" w:color="auto"/>
              <w:left w:val="nil"/>
              <w:bottom w:val="nil"/>
              <w:right w:val="nil"/>
            </w:tcBorders>
          </w:tcPr>
          <w:p w14:paraId="6D1CAD89"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w:t>
            </w:r>
          </w:p>
        </w:tc>
        <w:tc>
          <w:tcPr>
            <w:tcW w:w="1603" w:type="dxa"/>
            <w:tcBorders>
              <w:top w:val="single" w:sz="6" w:space="0" w:color="auto"/>
              <w:left w:val="nil"/>
              <w:bottom w:val="nil"/>
              <w:right w:val="nil"/>
            </w:tcBorders>
          </w:tcPr>
          <w:p w14:paraId="003A588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w:t>
            </w:r>
          </w:p>
        </w:tc>
        <w:tc>
          <w:tcPr>
            <w:tcW w:w="1603" w:type="dxa"/>
            <w:tcBorders>
              <w:top w:val="single" w:sz="6" w:space="0" w:color="auto"/>
              <w:left w:val="nil"/>
              <w:bottom w:val="nil"/>
              <w:right w:val="nil"/>
            </w:tcBorders>
          </w:tcPr>
          <w:p w14:paraId="596230E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(3)</w:t>
            </w:r>
          </w:p>
        </w:tc>
      </w:tr>
      <w:tr w:rsidR="00314719" w14:paraId="0D06ABAE" w14:textId="77777777" w:rsidTr="003C0C4C">
        <w:trPr>
          <w:trHeight w:val="275"/>
          <w:jc w:val="center"/>
        </w:trPr>
        <w:tc>
          <w:tcPr>
            <w:tcW w:w="3450" w:type="dxa"/>
            <w:tcBorders>
              <w:top w:val="nil"/>
              <w:left w:val="nil"/>
              <w:bottom w:val="single" w:sz="6" w:space="0" w:color="auto"/>
              <w:right w:val="nil"/>
            </w:tcBorders>
          </w:tcPr>
          <w:p w14:paraId="742C23B7"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VARIABLES</w:t>
            </w:r>
          </w:p>
        </w:tc>
        <w:tc>
          <w:tcPr>
            <w:tcW w:w="1603" w:type="dxa"/>
            <w:tcBorders>
              <w:top w:val="nil"/>
              <w:left w:val="nil"/>
              <w:bottom w:val="single" w:sz="6" w:space="0" w:color="auto"/>
              <w:right w:val="nil"/>
            </w:tcBorders>
          </w:tcPr>
          <w:p w14:paraId="5C631FDC"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61CA28D7"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c>
          <w:tcPr>
            <w:tcW w:w="1603" w:type="dxa"/>
            <w:tcBorders>
              <w:top w:val="nil"/>
              <w:left w:val="nil"/>
              <w:bottom w:val="single" w:sz="6" w:space="0" w:color="auto"/>
              <w:right w:val="nil"/>
            </w:tcBorders>
          </w:tcPr>
          <w:p w14:paraId="238DABDB" w14:textId="77777777" w:rsidR="00314719" w:rsidRDefault="00314719" w:rsidP="00462CFD">
            <w:pPr>
              <w:widowControl w:val="0"/>
              <w:autoSpaceDE w:val="0"/>
              <w:autoSpaceDN w:val="0"/>
              <w:adjustRightInd w:val="0"/>
              <w:spacing w:line="240" w:lineRule="auto"/>
              <w:jc w:val="center"/>
              <w:rPr>
                <w:rFonts w:cs="Times New Roman"/>
                <w:szCs w:val="24"/>
              </w:rPr>
            </w:pPr>
            <w:proofErr w:type="spellStart"/>
            <w:r>
              <w:rPr>
                <w:rFonts w:cs="Times New Roman"/>
                <w:szCs w:val="24"/>
              </w:rPr>
              <w:t>Happiness</w:t>
            </w:r>
            <w:proofErr w:type="spellEnd"/>
          </w:p>
        </w:tc>
      </w:tr>
      <w:tr w:rsidR="00314719" w14:paraId="6CDAD588" w14:textId="77777777" w:rsidTr="003C0C4C">
        <w:trPr>
          <w:trHeight w:val="261"/>
          <w:jc w:val="center"/>
        </w:trPr>
        <w:tc>
          <w:tcPr>
            <w:tcW w:w="3450" w:type="dxa"/>
            <w:tcBorders>
              <w:top w:val="nil"/>
              <w:left w:val="nil"/>
              <w:bottom w:val="nil"/>
              <w:right w:val="nil"/>
            </w:tcBorders>
          </w:tcPr>
          <w:p w14:paraId="53F4F1C0"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6EB2DC9"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7486C75"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7075A8D5"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C0C4C" w14:paraId="7B96137A" w14:textId="77777777" w:rsidTr="003C0C4C">
        <w:trPr>
          <w:trHeight w:val="275"/>
          <w:jc w:val="center"/>
        </w:trPr>
        <w:tc>
          <w:tcPr>
            <w:tcW w:w="3450" w:type="dxa"/>
            <w:tcBorders>
              <w:top w:val="nil"/>
              <w:left w:val="nil"/>
              <w:bottom w:val="nil"/>
              <w:right w:val="nil"/>
            </w:tcBorders>
          </w:tcPr>
          <w:p w14:paraId="223EC0D0"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Electricity_Total</w:t>
            </w:r>
            <w:proofErr w:type="spellEnd"/>
            <w:r>
              <w:rPr>
                <w:lang w:val="en-US"/>
              </w:rPr>
              <w:t xml:space="preserve">    </w:t>
            </w:r>
          </w:p>
        </w:tc>
        <w:tc>
          <w:tcPr>
            <w:tcW w:w="1603" w:type="dxa"/>
            <w:tcBorders>
              <w:top w:val="nil"/>
              <w:left w:val="nil"/>
              <w:bottom w:val="nil"/>
              <w:right w:val="nil"/>
            </w:tcBorders>
          </w:tcPr>
          <w:p w14:paraId="5C77AF8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0.382***</w:t>
            </w:r>
          </w:p>
        </w:tc>
        <w:tc>
          <w:tcPr>
            <w:tcW w:w="1603" w:type="dxa"/>
            <w:tcBorders>
              <w:top w:val="nil"/>
              <w:left w:val="nil"/>
              <w:bottom w:val="nil"/>
              <w:right w:val="nil"/>
            </w:tcBorders>
          </w:tcPr>
          <w:p w14:paraId="769577DA"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5F23CDAB"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3C2BF825" w14:textId="77777777" w:rsidTr="003C0C4C">
        <w:trPr>
          <w:trHeight w:val="261"/>
          <w:jc w:val="center"/>
        </w:trPr>
        <w:tc>
          <w:tcPr>
            <w:tcW w:w="3450" w:type="dxa"/>
            <w:tcBorders>
              <w:top w:val="nil"/>
              <w:left w:val="nil"/>
              <w:bottom w:val="nil"/>
              <w:right w:val="nil"/>
            </w:tcBorders>
          </w:tcPr>
          <w:p w14:paraId="477620E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19D97293"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(0.0271)</w:t>
            </w:r>
          </w:p>
        </w:tc>
        <w:tc>
          <w:tcPr>
            <w:tcW w:w="1603" w:type="dxa"/>
            <w:tcBorders>
              <w:top w:val="nil"/>
              <w:left w:val="nil"/>
              <w:bottom w:val="nil"/>
              <w:right w:val="nil"/>
            </w:tcBorders>
          </w:tcPr>
          <w:p w14:paraId="460D226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00EDC1AF"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5AC2B150" w14:textId="77777777" w:rsidTr="003C0C4C">
        <w:trPr>
          <w:trHeight w:val="261"/>
          <w:jc w:val="center"/>
        </w:trPr>
        <w:tc>
          <w:tcPr>
            <w:tcW w:w="3450" w:type="dxa"/>
            <w:tcBorders>
              <w:top w:val="nil"/>
              <w:left w:val="nil"/>
              <w:bottom w:val="nil"/>
              <w:right w:val="nil"/>
            </w:tcBorders>
          </w:tcPr>
          <w:p w14:paraId="7DDB654D" w14:textId="77777777" w:rsidR="003C0C4C" w:rsidRDefault="003C0C4C" w:rsidP="003C0C4C">
            <w:pPr>
              <w:widowControl w:val="0"/>
              <w:autoSpaceDE w:val="0"/>
              <w:autoSpaceDN w:val="0"/>
              <w:adjustRightInd w:val="0"/>
              <w:spacing w:line="240" w:lineRule="auto"/>
              <w:rPr>
                <w:szCs w:val="24"/>
              </w:rPr>
            </w:pPr>
            <w:proofErr w:type="spellStart"/>
            <w:r>
              <w:rPr>
                <w:lang w:val="en-US"/>
              </w:rPr>
              <w:lastRenderedPageBreak/>
              <w:t>Electricity_Urban</w:t>
            </w:r>
            <w:proofErr w:type="spellEnd"/>
            <w:r>
              <w:rPr>
                <w:lang w:val="en-US"/>
              </w:rPr>
              <w:t xml:space="preserve">    </w:t>
            </w:r>
          </w:p>
        </w:tc>
        <w:tc>
          <w:tcPr>
            <w:tcW w:w="1603" w:type="dxa"/>
            <w:tcBorders>
              <w:top w:val="nil"/>
              <w:left w:val="nil"/>
              <w:bottom w:val="nil"/>
              <w:right w:val="nil"/>
            </w:tcBorders>
          </w:tcPr>
          <w:p w14:paraId="64CA39AD"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D1381A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0.0508**</w:t>
            </w:r>
          </w:p>
        </w:tc>
        <w:tc>
          <w:tcPr>
            <w:tcW w:w="1603" w:type="dxa"/>
            <w:tcBorders>
              <w:top w:val="nil"/>
              <w:left w:val="nil"/>
              <w:bottom w:val="nil"/>
              <w:right w:val="nil"/>
            </w:tcBorders>
          </w:tcPr>
          <w:p w14:paraId="3062D644"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AE11695" w14:textId="77777777" w:rsidTr="003C0C4C">
        <w:trPr>
          <w:trHeight w:val="275"/>
          <w:jc w:val="center"/>
        </w:trPr>
        <w:tc>
          <w:tcPr>
            <w:tcW w:w="3450" w:type="dxa"/>
            <w:tcBorders>
              <w:top w:val="nil"/>
              <w:left w:val="nil"/>
              <w:bottom w:val="nil"/>
              <w:right w:val="nil"/>
            </w:tcBorders>
          </w:tcPr>
          <w:p w14:paraId="7A193641"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344366E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8CF9F8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(0.0213)</w:t>
            </w:r>
          </w:p>
        </w:tc>
        <w:tc>
          <w:tcPr>
            <w:tcW w:w="1603" w:type="dxa"/>
            <w:tcBorders>
              <w:top w:val="nil"/>
              <w:left w:val="nil"/>
              <w:bottom w:val="nil"/>
              <w:right w:val="nil"/>
            </w:tcBorders>
          </w:tcPr>
          <w:p w14:paraId="702808A8" w14:textId="77777777" w:rsidR="003C0C4C" w:rsidRDefault="003C0C4C" w:rsidP="003C0C4C">
            <w:pPr>
              <w:widowControl w:val="0"/>
              <w:autoSpaceDE w:val="0"/>
              <w:autoSpaceDN w:val="0"/>
              <w:adjustRightInd w:val="0"/>
              <w:spacing w:line="240" w:lineRule="auto"/>
              <w:jc w:val="center"/>
              <w:rPr>
                <w:rFonts w:cs="Times New Roman"/>
                <w:szCs w:val="24"/>
              </w:rPr>
            </w:pPr>
          </w:p>
        </w:tc>
      </w:tr>
      <w:tr w:rsidR="003C0C4C" w14:paraId="43EE393D" w14:textId="77777777" w:rsidTr="003C0C4C">
        <w:trPr>
          <w:trHeight w:val="261"/>
          <w:jc w:val="center"/>
        </w:trPr>
        <w:tc>
          <w:tcPr>
            <w:tcW w:w="3450" w:type="dxa"/>
            <w:tcBorders>
              <w:top w:val="nil"/>
              <w:left w:val="nil"/>
              <w:bottom w:val="nil"/>
              <w:right w:val="nil"/>
            </w:tcBorders>
          </w:tcPr>
          <w:p w14:paraId="382C2E37" w14:textId="77777777" w:rsidR="003C0C4C" w:rsidRDefault="003C0C4C" w:rsidP="003C0C4C">
            <w:pPr>
              <w:widowControl w:val="0"/>
              <w:autoSpaceDE w:val="0"/>
              <w:autoSpaceDN w:val="0"/>
              <w:adjustRightInd w:val="0"/>
              <w:spacing w:line="240" w:lineRule="auto"/>
              <w:rPr>
                <w:szCs w:val="24"/>
              </w:rPr>
            </w:pPr>
            <w:proofErr w:type="spellStart"/>
            <w:r>
              <w:rPr>
                <w:lang w:val="en-US"/>
              </w:rPr>
              <w:t>Electricity_Rural</w:t>
            </w:r>
            <w:proofErr w:type="spellEnd"/>
            <w:r>
              <w:rPr>
                <w:lang w:val="en-US"/>
              </w:rPr>
              <w:t xml:space="preserve">    </w:t>
            </w:r>
          </w:p>
        </w:tc>
        <w:tc>
          <w:tcPr>
            <w:tcW w:w="1603" w:type="dxa"/>
            <w:tcBorders>
              <w:top w:val="nil"/>
              <w:left w:val="nil"/>
              <w:bottom w:val="nil"/>
              <w:right w:val="nil"/>
            </w:tcBorders>
          </w:tcPr>
          <w:p w14:paraId="11F5D6E4"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F419351"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1BD3D8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0.455***</w:t>
            </w:r>
          </w:p>
        </w:tc>
      </w:tr>
      <w:tr w:rsidR="003C0C4C" w14:paraId="1F3AC2C7" w14:textId="77777777" w:rsidTr="003C0C4C">
        <w:trPr>
          <w:trHeight w:val="275"/>
          <w:jc w:val="center"/>
        </w:trPr>
        <w:tc>
          <w:tcPr>
            <w:tcW w:w="3450" w:type="dxa"/>
            <w:tcBorders>
              <w:top w:val="nil"/>
              <w:left w:val="nil"/>
              <w:bottom w:val="nil"/>
              <w:right w:val="nil"/>
            </w:tcBorders>
          </w:tcPr>
          <w:p w14:paraId="2516A0CB"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0235818"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16F79472" w14:textId="77777777" w:rsidR="003C0C4C" w:rsidRDefault="003C0C4C" w:rsidP="003C0C4C">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306997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(0.0248)</w:t>
            </w:r>
          </w:p>
        </w:tc>
      </w:tr>
      <w:tr w:rsidR="003C0C4C" w14:paraId="22050455" w14:textId="77777777" w:rsidTr="003C0C4C">
        <w:trPr>
          <w:trHeight w:val="261"/>
          <w:jc w:val="center"/>
        </w:trPr>
        <w:tc>
          <w:tcPr>
            <w:tcW w:w="3450" w:type="dxa"/>
            <w:tcBorders>
              <w:top w:val="nil"/>
              <w:left w:val="nil"/>
              <w:bottom w:val="nil"/>
              <w:right w:val="nil"/>
            </w:tcBorders>
          </w:tcPr>
          <w:p w14:paraId="2C4EFD86" w14:textId="77777777" w:rsidR="003C0C4C" w:rsidRDefault="003C0C4C" w:rsidP="003C0C4C">
            <w:pPr>
              <w:widowControl w:val="0"/>
              <w:autoSpaceDE w:val="0"/>
              <w:autoSpaceDN w:val="0"/>
              <w:adjustRightInd w:val="0"/>
              <w:spacing w:line="240" w:lineRule="auto"/>
              <w:rPr>
                <w:szCs w:val="24"/>
              </w:rPr>
            </w:pPr>
            <w:r>
              <w:rPr>
                <w:szCs w:val="24"/>
              </w:rPr>
              <w:t>Education</w:t>
            </w:r>
          </w:p>
        </w:tc>
        <w:tc>
          <w:tcPr>
            <w:tcW w:w="1603" w:type="dxa"/>
            <w:tcBorders>
              <w:top w:val="nil"/>
              <w:left w:val="nil"/>
              <w:bottom w:val="nil"/>
              <w:right w:val="nil"/>
            </w:tcBorders>
          </w:tcPr>
          <w:p w14:paraId="6D60BE1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0.261***</w:t>
            </w:r>
          </w:p>
        </w:tc>
        <w:tc>
          <w:tcPr>
            <w:tcW w:w="1603" w:type="dxa"/>
            <w:tcBorders>
              <w:top w:val="nil"/>
              <w:left w:val="nil"/>
              <w:bottom w:val="nil"/>
              <w:right w:val="nil"/>
            </w:tcBorders>
          </w:tcPr>
          <w:p w14:paraId="336A66D5"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0.110***</w:t>
            </w:r>
          </w:p>
        </w:tc>
        <w:tc>
          <w:tcPr>
            <w:tcW w:w="1603" w:type="dxa"/>
            <w:tcBorders>
              <w:top w:val="nil"/>
              <w:left w:val="nil"/>
              <w:bottom w:val="nil"/>
              <w:right w:val="nil"/>
            </w:tcBorders>
          </w:tcPr>
          <w:p w14:paraId="13F7BC7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0.276**</w:t>
            </w:r>
          </w:p>
        </w:tc>
      </w:tr>
      <w:tr w:rsidR="003C0C4C" w14:paraId="2E17F9C3" w14:textId="77777777" w:rsidTr="003C0C4C">
        <w:trPr>
          <w:trHeight w:val="261"/>
          <w:jc w:val="center"/>
        </w:trPr>
        <w:tc>
          <w:tcPr>
            <w:tcW w:w="3450" w:type="dxa"/>
            <w:tcBorders>
              <w:top w:val="nil"/>
              <w:left w:val="nil"/>
              <w:bottom w:val="nil"/>
              <w:right w:val="nil"/>
            </w:tcBorders>
          </w:tcPr>
          <w:p w14:paraId="3583FD15"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2390DE0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(0.0156)</w:t>
            </w:r>
          </w:p>
        </w:tc>
        <w:tc>
          <w:tcPr>
            <w:tcW w:w="1603" w:type="dxa"/>
            <w:tcBorders>
              <w:top w:val="nil"/>
              <w:left w:val="nil"/>
              <w:bottom w:val="nil"/>
              <w:right w:val="nil"/>
            </w:tcBorders>
          </w:tcPr>
          <w:p w14:paraId="07A3873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(0.0193)</w:t>
            </w:r>
          </w:p>
        </w:tc>
        <w:tc>
          <w:tcPr>
            <w:tcW w:w="1603" w:type="dxa"/>
            <w:tcBorders>
              <w:top w:val="nil"/>
              <w:left w:val="nil"/>
              <w:bottom w:val="nil"/>
              <w:right w:val="nil"/>
            </w:tcBorders>
          </w:tcPr>
          <w:p w14:paraId="27882C4B"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(0.136)</w:t>
            </w:r>
          </w:p>
        </w:tc>
      </w:tr>
      <w:tr w:rsidR="003C0C4C" w14:paraId="2F997212" w14:textId="77777777" w:rsidTr="003C0C4C">
        <w:trPr>
          <w:trHeight w:val="275"/>
          <w:jc w:val="center"/>
        </w:trPr>
        <w:tc>
          <w:tcPr>
            <w:tcW w:w="3450" w:type="dxa"/>
            <w:tcBorders>
              <w:top w:val="nil"/>
              <w:left w:val="nil"/>
              <w:bottom w:val="nil"/>
              <w:right w:val="nil"/>
            </w:tcBorders>
          </w:tcPr>
          <w:p w14:paraId="68D57060"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Financial development</w:t>
            </w:r>
          </w:p>
        </w:tc>
        <w:tc>
          <w:tcPr>
            <w:tcW w:w="1603" w:type="dxa"/>
            <w:tcBorders>
              <w:top w:val="nil"/>
              <w:left w:val="nil"/>
              <w:bottom w:val="nil"/>
              <w:right w:val="nil"/>
            </w:tcBorders>
          </w:tcPr>
          <w:p w14:paraId="5F44F81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0.0540***</w:t>
            </w:r>
          </w:p>
        </w:tc>
        <w:tc>
          <w:tcPr>
            <w:tcW w:w="1603" w:type="dxa"/>
            <w:tcBorders>
              <w:top w:val="nil"/>
              <w:left w:val="nil"/>
              <w:bottom w:val="nil"/>
              <w:right w:val="nil"/>
            </w:tcBorders>
          </w:tcPr>
          <w:p w14:paraId="73EEE67E"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0.0514*</w:t>
            </w:r>
          </w:p>
        </w:tc>
        <w:tc>
          <w:tcPr>
            <w:tcW w:w="1603" w:type="dxa"/>
            <w:tcBorders>
              <w:top w:val="nil"/>
              <w:left w:val="nil"/>
              <w:bottom w:val="nil"/>
              <w:right w:val="nil"/>
            </w:tcBorders>
          </w:tcPr>
          <w:p w14:paraId="2F0D62F1"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0.0794**</w:t>
            </w:r>
          </w:p>
        </w:tc>
      </w:tr>
      <w:tr w:rsidR="003C0C4C" w14:paraId="34517F6F" w14:textId="77777777" w:rsidTr="003C0C4C">
        <w:trPr>
          <w:trHeight w:val="261"/>
          <w:jc w:val="center"/>
        </w:trPr>
        <w:tc>
          <w:tcPr>
            <w:tcW w:w="3450" w:type="dxa"/>
            <w:tcBorders>
              <w:top w:val="nil"/>
              <w:left w:val="nil"/>
              <w:bottom w:val="nil"/>
              <w:right w:val="nil"/>
            </w:tcBorders>
          </w:tcPr>
          <w:p w14:paraId="2CB9F10F"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7461A21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(0.00921)</w:t>
            </w:r>
          </w:p>
        </w:tc>
        <w:tc>
          <w:tcPr>
            <w:tcW w:w="1603" w:type="dxa"/>
            <w:tcBorders>
              <w:top w:val="nil"/>
              <w:left w:val="nil"/>
              <w:bottom w:val="nil"/>
              <w:right w:val="nil"/>
            </w:tcBorders>
          </w:tcPr>
          <w:p w14:paraId="60943DC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(0.0374)</w:t>
            </w:r>
          </w:p>
        </w:tc>
        <w:tc>
          <w:tcPr>
            <w:tcW w:w="1603" w:type="dxa"/>
            <w:tcBorders>
              <w:top w:val="nil"/>
              <w:left w:val="nil"/>
              <w:bottom w:val="nil"/>
              <w:right w:val="nil"/>
            </w:tcBorders>
          </w:tcPr>
          <w:p w14:paraId="32139540"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(0.0350)</w:t>
            </w:r>
          </w:p>
        </w:tc>
      </w:tr>
      <w:tr w:rsidR="003C0C4C" w14:paraId="6B540497" w14:textId="77777777" w:rsidTr="003C0C4C">
        <w:trPr>
          <w:trHeight w:val="275"/>
          <w:jc w:val="center"/>
        </w:trPr>
        <w:tc>
          <w:tcPr>
            <w:tcW w:w="3450" w:type="dxa"/>
            <w:tcBorders>
              <w:top w:val="nil"/>
              <w:left w:val="nil"/>
              <w:bottom w:val="nil"/>
              <w:right w:val="nil"/>
            </w:tcBorders>
          </w:tcPr>
          <w:p w14:paraId="35928E3B" w14:textId="77777777" w:rsidR="003C0C4C" w:rsidRDefault="003C0C4C" w:rsidP="003C0C4C">
            <w:pPr>
              <w:widowControl w:val="0"/>
              <w:autoSpaceDE w:val="0"/>
              <w:autoSpaceDN w:val="0"/>
              <w:adjustRightInd w:val="0"/>
              <w:spacing w:line="240" w:lineRule="auto"/>
              <w:rPr>
                <w:szCs w:val="24"/>
              </w:rPr>
            </w:pPr>
            <w:proofErr w:type="spellStart"/>
            <w:r>
              <w:rPr>
                <w:szCs w:val="24"/>
              </w:rPr>
              <w:t>Health</w:t>
            </w:r>
            <w:proofErr w:type="spellEnd"/>
          </w:p>
        </w:tc>
        <w:tc>
          <w:tcPr>
            <w:tcW w:w="1603" w:type="dxa"/>
            <w:tcBorders>
              <w:top w:val="nil"/>
              <w:left w:val="nil"/>
              <w:bottom w:val="nil"/>
              <w:right w:val="nil"/>
            </w:tcBorders>
          </w:tcPr>
          <w:p w14:paraId="52673D2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0.401***</w:t>
            </w:r>
          </w:p>
        </w:tc>
        <w:tc>
          <w:tcPr>
            <w:tcW w:w="1603" w:type="dxa"/>
            <w:tcBorders>
              <w:top w:val="nil"/>
              <w:left w:val="nil"/>
              <w:bottom w:val="nil"/>
              <w:right w:val="nil"/>
            </w:tcBorders>
          </w:tcPr>
          <w:p w14:paraId="5DA20B8F"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0.615***</w:t>
            </w:r>
          </w:p>
        </w:tc>
        <w:tc>
          <w:tcPr>
            <w:tcW w:w="1603" w:type="dxa"/>
            <w:tcBorders>
              <w:top w:val="nil"/>
              <w:left w:val="nil"/>
              <w:bottom w:val="nil"/>
              <w:right w:val="nil"/>
            </w:tcBorders>
          </w:tcPr>
          <w:p w14:paraId="2CA2599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0.387***</w:t>
            </w:r>
          </w:p>
        </w:tc>
      </w:tr>
      <w:tr w:rsidR="003C0C4C" w14:paraId="4D7A78BE" w14:textId="77777777" w:rsidTr="003C0C4C">
        <w:trPr>
          <w:trHeight w:val="261"/>
          <w:jc w:val="center"/>
        </w:trPr>
        <w:tc>
          <w:tcPr>
            <w:tcW w:w="3450" w:type="dxa"/>
            <w:tcBorders>
              <w:top w:val="nil"/>
              <w:left w:val="nil"/>
              <w:bottom w:val="nil"/>
              <w:right w:val="nil"/>
            </w:tcBorders>
          </w:tcPr>
          <w:p w14:paraId="11411609" w14:textId="77777777" w:rsidR="003C0C4C" w:rsidRDefault="003C0C4C" w:rsidP="003C0C4C">
            <w:pPr>
              <w:widowControl w:val="0"/>
              <w:autoSpaceDE w:val="0"/>
              <w:autoSpaceDN w:val="0"/>
              <w:adjustRightInd w:val="0"/>
              <w:spacing w:line="240" w:lineRule="auto"/>
              <w:rPr>
                <w:szCs w:val="24"/>
              </w:rPr>
            </w:pPr>
          </w:p>
        </w:tc>
        <w:tc>
          <w:tcPr>
            <w:tcW w:w="1603" w:type="dxa"/>
            <w:tcBorders>
              <w:top w:val="nil"/>
              <w:left w:val="nil"/>
              <w:bottom w:val="nil"/>
              <w:right w:val="nil"/>
            </w:tcBorders>
          </w:tcPr>
          <w:p w14:paraId="08F71072"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(0.0588)</w:t>
            </w:r>
          </w:p>
        </w:tc>
        <w:tc>
          <w:tcPr>
            <w:tcW w:w="1603" w:type="dxa"/>
            <w:tcBorders>
              <w:top w:val="nil"/>
              <w:left w:val="nil"/>
              <w:bottom w:val="nil"/>
              <w:right w:val="nil"/>
            </w:tcBorders>
          </w:tcPr>
          <w:p w14:paraId="093E893C"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(0.0568)</w:t>
            </w:r>
          </w:p>
        </w:tc>
        <w:tc>
          <w:tcPr>
            <w:tcW w:w="1603" w:type="dxa"/>
            <w:tcBorders>
              <w:top w:val="nil"/>
              <w:left w:val="nil"/>
              <w:bottom w:val="nil"/>
              <w:right w:val="nil"/>
            </w:tcBorders>
          </w:tcPr>
          <w:p w14:paraId="3F236F88"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(0.0483)</w:t>
            </w:r>
          </w:p>
        </w:tc>
      </w:tr>
      <w:tr w:rsidR="003C0C4C" w14:paraId="7801BAF5" w14:textId="77777777" w:rsidTr="003C0C4C">
        <w:trPr>
          <w:trHeight w:val="261"/>
          <w:jc w:val="center"/>
        </w:trPr>
        <w:tc>
          <w:tcPr>
            <w:tcW w:w="3450" w:type="dxa"/>
            <w:tcBorders>
              <w:top w:val="nil"/>
              <w:left w:val="nil"/>
              <w:bottom w:val="nil"/>
              <w:right w:val="nil"/>
            </w:tcBorders>
          </w:tcPr>
          <w:p w14:paraId="6E76DDAC" w14:textId="77777777" w:rsidR="003C0C4C" w:rsidRDefault="003C0C4C" w:rsidP="003C0C4C">
            <w:pPr>
              <w:widowControl w:val="0"/>
              <w:autoSpaceDE w:val="0"/>
              <w:autoSpaceDN w:val="0"/>
              <w:adjustRightInd w:val="0"/>
              <w:spacing w:line="240" w:lineRule="auto"/>
              <w:rPr>
                <w:szCs w:val="24"/>
              </w:rPr>
            </w:pPr>
            <w:r>
              <w:rPr>
                <w:rFonts w:cs="Times New Roman"/>
                <w:szCs w:val="24"/>
                <w:lang w:val="en-US"/>
              </w:rPr>
              <w:t>Industrialization</w:t>
            </w:r>
            <w:r>
              <w:rPr>
                <w:lang w:val="en-US"/>
              </w:rPr>
              <w:t xml:space="preserve">    </w:t>
            </w:r>
          </w:p>
        </w:tc>
        <w:tc>
          <w:tcPr>
            <w:tcW w:w="1603" w:type="dxa"/>
            <w:tcBorders>
              <w:top w:val="nil"/>
              <w:left w:val="nil"/>
              <w:bottom w:val="nil"/>
              <w:right w:val="nil"/>
            </w:tcBorders>
          </w:tcPr>
          <w:p w14:paraId="612308B7"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0.124***</w:t>
            </w:r>
          </w:p>
        </w:tc>
        <w:tc>
          <w:tcPr>
            <w:tcW w:w="1603" w:type="dxa"/>
            <w:tcBorders>
              <w:top w:val="nil"/>
              <w:left w:val="nil"/>
              <w:bottom w:val="nil"/>
              <w:right w:val="nil"/>
            </w:tcBorders>
          </w:tcPr>
          <w:p w14:paraId="181250CA"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0.106*</w:t>
            </w:r>
          </w:p>
        </w:tc>
        <w:tc>
          <w:tcPr>
            <w:tcW w:w="1603" w:type="dxa"/>
            <w:tcBorders>
              <w:top w:val="nil"/>
              <w:left w:val="nil"/>
              <w:bottom w:val="nil"/>
              <w:right w:val="nil"/>
            </w:tcBorders>
          </w:tcPr>
          <w:p w14:paraId="11B215F9" w14:textId="77777777" w:rsidR="003C0C4C" w:rsidRDefault="003C0C4C" w:rsidP="003C0C4C">
            <w:pPr>
              <w:widowControl w:val="0"/>
              <w:autoSpaceDE w:val="0"/>
              <w:autoSpaceDN w:val="0"/>
              <w:adjustRightInd w:val="0"/>
              <w:spacing w:line="240" w:lineRule="auto"/>
              <w:jc w:val="center"/>
              <w:rPr>
                <w:rFonts w:cs="Times New Roman"/>
                <w:szCs w:val="24"/>
              </w:rPr>
            </w:pPr>
            <w:r>
              <w:rPr>
                <w:rFonts w:cs="Times New Roman"/>
                <w:szCs w:val="24"/>
              </w:rPr>
              <w:t>0.111***</w:t>
            </w:r>
          </w:p>
        </w:tc>
      </w:tr>
      <w:tr w:rsidR="00314719" w14:paraId="092A6AA7" w14:textId="77777777" w:rsidTr="003C0C4C">
        <w:trPr>
          <w:trHeight w:val="275"/>
          <w:jc w:val="center"/>
        </w:trPr>
        <w:tc>
          <w:tcPr>
            <w:tcW w:w="3450" w:type="dxa"/>
            <w:tcBorders>
              <w:top w:val="nil"/>
              <w:left w:val="nil"/>
              <w:bottom w:val="nil"/>
              <w:right w:val="nil"/>
            </w:tcBorders>
          </w:tcPr>
          <w:p w14:paraId="756E507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24121B6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(0.0323)</w:t>
            </w:r>
          </w:p>
        </w:tc>
        <w:tc>
          <w:tcPr>
            <w:tcW w:w="1603" w:type="dxa"/>
            <w:tcBorders>
              <w:top w:val="nil"/>
              <w:left w:val="nil"/>
              <w:bottom w:val="nil"/>
              <w:right w:val="nil"/>
            </w:tcBorders>
          </w:tcPr>
          <w:p w14:paraId="65B147F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(0.0561)</w:t>
            </w:r>
          </w:p>
        </w:tc>
        <w:tc>
          <w:tcPr>
            <w:tcW w:w="1603" w:type="dxa"/>
            <w:tcBorders>
              <w:top w:val="nil"/>
              <w:left w:val="nil"/>
              <w:bottom w:val="nil"/>
              <w:right w:val="nil"/>
            </w:tcBorders>
          </w:tcPr>
          <w:p w14:paraId="5D22552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(0.0265)</w:t>
            </w:r>
          </w:p>
        </w:tc>
      </w:tr>
      <w:tr w:rsidR="00314719" w14:paraId="3BCEB298" w14:textId="77777777" w:rsidTr="003C0C4C">
        <w:trPr>
          <w:trHeight w:val="261"/>
          <w:jc w:val="center"/>
        </w:trPr>
        <w:tc>
          <w:tcPr>
            <w:tcW w:w="3450" w:type="dxa"/>
            <w:tcBorders>
              <w:top w:val="nil"/>
              <w:left w:val="nil"/>
              <w:bottom w:val="nil"/>
              <w:right w:val="nil"/>
            </w:tcBorders>
          </w:tcPr>
          <w:p w14:paraId="3B4A5133"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Constant</w:t>
            </w:r>
          </w:p>
        </w:tc>
        <w:tc>
          <w:tcPr>
            <w:tcW w:w="1603" w:type="dxa"/>
            <w:tcBorders>
              <w:top w:val="nil"/>
              <w:left w:val="nil"/>
              <w:bottom w:val="nil"/>
              <w:right w:val="nil"/>
            </w:tcBorders>
          </w:tcPr>
          <w:p w14:paraId="2D19E4C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1.547***</w:t>
            </w:r>
          </w:p>
        </w:tc>
        <w:tc>
          <w:tcPr>
            <w:tcW w:w="1603" w:type="dxa"/>
            <w:tcBorders>
              <w:top w:val="nil"/>
              <w:left w:val="nil"/>
              <w:bottom w:val="nil"/>
              <w:right w:val="nil"/>
            </w:tcBorders>
          </w:tcPr>
          <w:p w14:paraId="556A523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2.145***</w:t>
            </w:r>
          </w:p>
        </w:tc>
        <w:tc>
          <w:tcPr>
            <w:tcW w:w="1603" w:type="dxa"/>
            <w:tcBorders>
              <w:top w:val="nil"/>
              <w:left w:val="nil"/>
              <w:bottom w:val="nil"/>
              <w:right w:val="nil"/>
            </w:tcBorders>
          </w:tcPr>
          <w:p w14:paraId="6AE0594C"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2.916***</w:t>
            </w:r>
          </w:p>
        </w:tc>
      </w:tr>
      <w:tr w:rsidR="00314719" w14:paraId="7FAE1C55" w14:textId="77777777" w:rsidTr="003C0C4C">
        <w:trPr>
          <w:trHeight w:val="275"/>
          <w:jc w:val="center"/>
        </w:trPr>
        <w:tc>
          <w:tcPr>
            <w:tcW w:w="3450" w:type="dxa"/>
            <w:tcBorders>
              <w:top w:val="nil"/>
              <w:left w:val="nil"/>
              <w:bottom w:val="nil"/>
              <w:right w:val="nil"/>
            </w:tcBorders>
          </w:tcPr>
          <w:p w14:paraId="03A63FF9"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1BF0E344"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(0.020)</w:t>
            </w:r>
          </w:p>
        </w:tc>
        <w:tc>
          <w:tcPr>
            <w:tcW w:w="1603" w:type="dxa"/>
            <w:tcBorders>
              <w:top w:val="nil"/>
              <w:left w:val="nil"/>
              <w:bottom w:val="nil"/>
              <w:right w:val="nil"/>
            </w:tcBorders>
          </w:tcPr>
          <w:p w14:paraId="034B56D6"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(0.705)</w:t>
            </w:r>
          </w:p>
        </w:tc>
        <w:tc>
          <w:tcPr>
            <w:tcW w:w="1603" w:type="dxa"/>
            <w:tcBorders>
              <w:top w:val="nil"/>
              <w:left w:val="nil"/>
              <w:bottom w:val="nil"/>
              <w:right w:val="nil"/>
            </w:tcBorders>
          </w:tcPr>
          <w:p w14:paraId="7C4F0CE1"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(0.796)</w:t>
            </w:r>
          </w:p>
        </w:tc>
      </w:tr>
      <w:tr w:rsidR="00314719" w14:paraId="49E34320" w14:textId="77777777" w:rsidTr="003C0C4C">
        <w:trPr>
          <w:trHeight w:val="261"/>
          <w:jc w:val="center"/>
        </w:trPr>
        <w:tc>
          <w:tcPr>
            <w:tcW w:w="3450" w:type="dxa"/>
            <w:tcBorders>
              <w:top w:val="nil"/>
              <w:left w:val="nil"/>
              <w:bottom w:val="nil"/>
              <w:right w:val="nil"/>
            </w:tcBorders>
          </w:tcPr>
          <w:p w14:paraId="5581DEBD" w14:textId="77777777" w:rsidR="00314719" w:rsidRDefault="00314719" w:rsidP="00462CFD">
            <w:pPr>
              <w:widowControl w:val="0"/>
              <w:autoSpaceDE w:val="0"/>
              <w:autoSpaceDN w:val="0"/>
              <w:adjustRightInd w:val="0"/>
              <w:spacing w:line="240" w:lineRule="auto"/>
              <w:rPr>
                <w:rFonts w:cs="Times New Roman"/>
                <w:szCs w:val="24"/>
              </w:rPr>
            </w:pPr>
          </w:p>
        </w:tc>
        <w:tc>
          <w:tcPr>
            <w:tcW w:w="1603" w:type="dxa"/>
            <w:tcBorders>
              <w:top w:val="nil"/>
              <w:left w:val="nil"/>
              <w:bottom w:val="nil"/>
              <w:right w:val="nil"/>
            </w:tcBorders>
          </w:tcPr>
          <w:p w14:paraId="724AEE38"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A1DA52" w14:textId="77777777" w:rsidR="00314719" w:rsidRDefault="00314719" w:rsidP="00462CFD">
            <w:pPr>
              <w:widowControl w:val="0"/>
              <w:autoSpaceDE w:val="0"/>
              <w:autoSpaceDN w:val="0"/>
              <w:adjustRightInd w:val="0"/>
              <w:spacing w:line="240" w:lineRule="auto"/>
              <w:jc w:val="center"/>
              <w:rPr>
                <w:rFonts w:cs="Times New Roman"/>
                <w:szCs w:val="24"/>
              </w:rPr>
            </w:pPr>
          </w:p>
        </w:tc>
        <w:tc>
          <w:tcPr>
            <w:tcW w:w="1603" w:type="dxa"/>
            <w:tcBorders>
              <w:top w:val="nil"/>
              <w:left w:val="nil"/>
              <w:bottom w:val="nil"/>
              <w:right w:val="nil"/>
            </w:tcBorders>
          </w:tcPr>
          <w:p w14:paraId="3F415EEB" w14:textId="77777777" w:rsidR="00314719" w:rsidRDefault="00314719" w:rsidP="00462CFD">
            <w:pPr>
              <w:widowControl w:val="0"/>
              <w:autoSpaceDE w:val="0"/>
              <w:autoSpaceDN w:val="0"/>
              <w:adjustRightInd w:val="0"/>
              <w:spacing w:line="240" w:lineRule="auto"/>
              <w:jc w:val="center"/>
              <w:rPr>
                <w:rFonts w:cs="Times New Roman"/>
                <w:szCs w:val="24"/>
              </w:rPr>
            </w:pPr>
          </w:p>
        </w:tc>
      </w:tr>
      <w:tr w:rsidR="00314719" w14:paraId="5579481F" w14:textId="77777777" w:rsidTr="003C0C4C">
        <w:trPr>
          <w:trHeight w:val="275"/>
          <w:jc w:val="center"/>
        </w:trPr>
        <w:tc>
          <w:tcPr>
            <w:tcW w:w="3450" w:type="dxa"/>
            <w:tcBorders>
              <w:top w:val="nil"/>
              <w:left w:val="nil"/>
              <w:bottom w:val="nil"/>
              <w:right w:val="nil"/>
            </w:tcBorders>
          </w:tcPr>
          <w:p w14:paraId="2E92EFBA"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Observations</w:t>
            </w:r>
          </w:p>
        </w:tc>
        <w:tc>
          <w:tcPr>
            <w:tcW w:w="1603" w:type="dxa"/>
            <w:tcBorders>
              <w:top w:val="nil"/>
              <w:left w:val="nil"/>
              <w:bottom w:val="nil"/>
              <w:right w:val="nil"/>
            </w:tcBorders>
          </w:tcPr>
          <w:p w14:paraId="560388E3"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60A74FE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c>
          <w:tcPr>
            <w:tcW w:w="1603" w:type="dxa"/>
            <w:tcBorders>
              <w:top w:val="nil"/>
              <w:left w:val="nil"/>
              <w:bottom w:val="nil"/>
              <w:right w:val="nil"/>
            </w:tcBorders>
          </w:tcPr>
          <w:p w14:paraId="0DB0DF75"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50</w:t>
            </w:r>
          </w:p>
        </w:tc>
      </w:tr>
      <w:tr w:rsidR="00314719" w14:paraId="13317A0A" w14:textId="77777777" w:rsidTr="003C0C4C">
        <w:tblPrEx>
          <w:tblBorders>
            <w:bottom w:val="single" w:sz="6" w:space="0" w:color="auto"/>
          </w:tblBorders>
        </w:tblPrEx>
        <w:trPr>
          <w:trHeight w:val="261"/>
          <w:jc w:val="center"/>
        </w:trPr>
        <w:tc>
          <w:tcPr>
            <w:tcW w:w="3450" w:type="dxa"/>
            <w:tcBorders>
              <w:top w:val="nil"/>
              <w:left w:val="nil"/>
              <w:bottom w:val="single" w:sz="6" w:space="0" w:color="auto"/>
              <w:right w:val="nil"/>
            </w:tcBorders>
          </w:tcPr>
          <w:p w14:paraId="28D0A514" w14:textId="77777777" w:rsidR="00314719" w:rsidRDefault="00314719" w:rsidP="00462CFD">
            <w:pPr>
              <w:widowControl w:val="0"/>
              <w:autoSpaceDE w:val="0"/>
              <w:autoSpaceDN w:val="0"/>
              <w:adjustRightInd w:val="0"/>
              <w:spacing w:line="240" w:lineRule="auto"/>
              <w:rPr>
                <w:rFonts w:cs="Times New Roman"/>
                <w:szCs w:val="24"/>
              </w:rPr>
            </w:pPr>
            <w:r>
              <w:rPr>
                <w:rFonts w:cs="Times New Roman"/>
                <w:szCs w:val="24"/>
              </w:rPr>
              <w:t>R-</w:t>
            </w:r>
            <w:proofErr w:type="spellStart"/>
            <w:r>
              <w:rPr>
                <w:rFonts w:cs="Times New Roman"/>
                <w:szCs w:val="24"/>
              </w:rPr>
              <w:t>squared</w:t>
            </w:r>
            <w:proofErr w:type="spellEnd"/>
          </w:p>
        </w:tc>
        <w:tc>
          <w:tcPr>
            <w:tcW w:w="1603" w:type="dxa"/>
            <w:tcBorders>
              <w:top w:val="nil"/>
              <w:left w:val="nil"/>
              <w:bottom w:val="single" w:sz="6" w:space="0" w:color="auto"/>
              <w:right w:val="nil"/>
            </w:tcBorders>
          </w:tcPr>
          <w:p w14:paraId="6759C59B"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0.512</w:t>
            </w:r>
          </w:p>
        </w:tc>
        <w:tc>
          <w:tcPr>
            <w:tcW w:w="1603" w:type="dxa"/>
            <w:tcBorders>
              <w:top w:val="nil"/>
              <w:left w:val="nil"/>
              <w:bottom w:val="single" w:sz="6" w:space="0" w:color="auto"/>
              <w:right w:val="nil"/>
            </w:tcBorders>
          </w:tcPr>
          <w:p w14:paraId="79FEC73D"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0.575</w:t>
            </w:r>
          </w:p>
        </w:tc>
        <w:tc>
          <w:tcPr>
            <w:tcW w:w="1603" w:type="dxa"/>
            <w:tcBorders>
              <w:top w:val="nil"/>
              <w:left w:val="nil"/>
              <w:bottom w:val="single" w:sz="6" w:space="0" w:color="auto"/>
              <w:right w:val="nil"/>
            </w:tcBorders>
          </w:tcPr>
          <w:p w14:paraId="3E2E59A2" w14:textId="77777777" w:rsidR="00314719" w:rsidRDefault="00314719" w:rsidP="00462CFD">
            <w:pPr>
              <w:widowControl w:val="0"/>
              <w:autoSpaceDE w:val="0"/>
              <w:autoSpaceDN w:val="0"/>
              <w:adjustRightInd w:val="0"/>
              <w:spacing w:line="240" w:lineRule="auto"/>
              <w:jc w:val="center"/>
              <w:rPr>
                <w:rFonts w:cs="Times New Roman"/>
                <w:szCs w:val="24"/>
              </w:rPr>
            </w:pPr>
            <w:r>
              <w:rPr>
                <w:rFonts w:cs="Times New Roman"/>
                <w:szCs w:val="24"/>
              </w:rPr>
              <w:t>0.562</w:t>
            </w:r>
          </w:p>
        </w:tc>
      </w:tr>
    </w:tbl>
    <w:p w14:paraId="6C239178" w14:textId="77777777" w:rsidR="00314719" w:rsidRDefault="00314719" w:rsidP="003C0C4C">
      <w:pPr>
        <w:spacing w:line="240" w:lineRule="auto"/>
        <w:ind w:right="-284" w:firstLine="567"/>
        <w:rPr>
          <w:rFonts w:cs="Times New Roman"/>
          <w:b/>
          <w:szCs w:val="20"/>
          <w:lang w:val="en-GB"/>
        </w:rPr>
      </w:pPr>
      <w:r>
        <w:rPr>
          <w:rFonts w:cs="Times New Roman"/>
          <w:szCs w:val="20"/>
          <w:lang w:val="en-GB"/>
        </w:rPr>
        <w:t xml:space="preserve">Source: </w:t>
      </w:r>
      <w:r>
        <w:rPr>
          <w:rFonts w:cs="Times New Roman"/>
          <w:i/>
          <w:szCs w:val="20"/>
          <w:lang w:val="en-GB"/>
        </w:rPr>
        <w:t>Author’s construction</w:t>
      </w:r>
    </w:p>
    <w:p w14:paraId="2B909F82" w14:textId="77777777" w:rsidR="00314719" w:rsidRPr="00417BEF" w:rsidRDefault="00314719" w:rsidP="003C0C4C">
      <w:pPr>
        <w:spacing w:line="240" w:lineRule="auto"/>
        <w:ind w:right="-284" w:firstLine="567"/>
        <w:rPr>
          <w:rFonts w:cs="Times New Roman"/>
          <w:i/>
          <w:sz w:val="20"/>
          <w:szCs w:val="20"/>
          <w:lang w:val="en-GB"/>
        </w:rPr>
      </w:pPr>
      <w:r>
        <w:rPr>
          <w:rFonts w:cs="Times New Roman"/>
          <w:i/>
          <w:sz w:val="20"/>
          <w:szCs w:val="20"/>
          <w:lang w:val="en-GB"/>
        </w:rPr>
        <w:t xml:space="preserve">Notes: Standard errors in parentheses; *** p&lt;0.01, ** p&lt;0.05, * p&lt;0.1. </w:t>
      </w:r>
    </w:p>
    <w:p w14:paraId="6643FBE4" w14:textId="77777777" w:rsidR="00314719" w:rsidRDefault="00314719" w:rsidP="00DB09BD">
      <w:pPr>
        <w:ind w:firstLine="426"/>
        <w:rPr>
          <w:rFonts w:eastAsiaTheme="minorEastAsia"/>
          <w:szCs w:val="24"/>
          <w:lang w:val="en-US"/>
        </w:rPr>
      </w:pPr>
    </w:p>
    <w:p w14:paraId="59234679" w14:textId="77777777" w:rsidR="008036C7" w:rsidRDefault="008036C7" w:rsidP="0073713F">
      <w:pPr>
        <w:pStyle w:val="Heading1"/>
        <w:numPr>
          <w:ilvl w:val="0"/>
          <w:numId w:val="1"/>
        </w:numPr>
        <w:rPr>
          <w:rFonts w:eastAsiaTheme="minorEastAsia"/>
          <w:lang w:val="en-US"/>
        </w:rPr>
      </w:pPr>
      <w:r>
        <w:rPr>
          <w:rFonts w:eastAsiaTheme="minorEastAsia"/>
          <w:lang w:val="en-US"/>
        </w:rPr>
        <w:t>Conclusion</w:t>
      </w:r>
      <w:r w:rsidR="00D102DC">
        <w:rPr>
          <w:rFonts w:eastAsiaTheme="minorEastAsia"/>
          <w:lang w:val="en-US"/>
        </w:rPr>
        <w:t xml:space="preserve"> and Policy Recommendations</w:t>
      </w:r>
    </w:p>
    <w:p w14:paraId="39537855" w14:textId="77777777" w:rsidR="003048BF" w:rsidRDefault="003316CF" w:rsidP="003316CF">
      <w:pPr>
        <w:ind w:firstLine="567"/>
        <w:rPr>
          <w:lang w:val="en-US"/>
        </w:rPr>
      </w:pPr>
      <w:r w:rsidRPr="003316CF">
        <w:rPr>
          <w:lang w:val="en-US"/>
        </w:rPr>
        <w:t>The findings of this study emphasize the crucial role of electricity access in promoting happiness, particularly in the African Great Lakes Countries, where energy pov</w:t>
      </w:r>
      <w:r>
        <w:rPr>
          <w:lang w:val="en-US"/>
        </w:rPr>
        <w:t>erty is a persistent challenge</w:t>
      </w:r>
      <w:r w:rsidR="00AC5BE1" w:rsidRPr="00F34487">
        <w:rPr>
          <w:lang w:val="en-US"/>
        </w:rPr>
        <w:t xml:space="preserve">. The </w:t>
      </w:r>
      <w:r>
        <w:rPr>
          <w:lang w:val="en-US"/>
        </w:rPr>
        <w:t>strong</w:t>
      </w:r>
      <w:r w:rsidR="00AC5BE1" w:rsidRPr="00F34487">
        <w:rPr>
          <w:lang w:val="en-US"/>
        </w:rPr>
        <w:t xml:space="preserve"> positive relationship between electrification and subjective well-being, especially in rural areas, highlights the transformative potential of electricity in improving living standards, health outcomes, and economic opportunities. The larger marginal utility observed in rural electrification suggests that underserved populations derive greater well-being benefits from access to electricity, likely due to the absence of alternatives and the foundational role of energy in enabling education, healthcare, and income-generating activities. The consistency of these results across both baseline and IV-2SLS estimations strengthens the causal interpretation, demonstrating that electrification is not merely correlated with happiness but actively contributes to it. These insights align with broader development literature while emphasizing the unique context of the GLCs, where infrastructural deficits and regional disparities exacerbate t</w:t>
      </w:r>
      <w:r>
        <w:rPr>
          <w:lang w:val="en-US"/>
        </w:rPr>
        <w:t>he challenges of energy access.</w:t>
      </w:r>
    </w:p>
    <w:p w14:paraId="523C2FB1" w14:textId="77777777" w:rsidR="00F34487" w:rsidRDefault="00F34487" w:rsidP="00AC5BE1">
      <w:pPr>
        <w:ind w:firstLine="567"/>
        <w:rPr>
          <w:lang w:val="en-US"/>
        </w:rPr>
      </w:pPr>
      <w:r w:rsidRPr="004F7EE7">
        <w:rPr>
          <w:lang w:val="en-US"/>
        </w:rPr>
        <w:t>To maximize the happiness benefits of electrification, policymakers in the GLCs should prioritize rural energy access through targeted infrastructure investments, leveraging the disproportionate well-being gains observed in these areas. Programs such as decentral</w:t>
      </w:r>
      <w:r w:rsidR="00A4556A">
        <w:rPr>
          <w:lang w:val="en-US"/>
        </w:rPr>
        <w:t xml:space="preserve">ized renewable energy solutions, </w:t>
      </w:r>
      <w:r w:rsidRPr="004F7EE7">
        <w:rPr>
          <w:lang w:val="en-US"/>
        </w:rPr>
        <w:t xml:space="preserve">including solar </w:t>
      </w:r>
      <w:r w:rsidR="00A4556A">
        <w:rPr>
          <w:lang w:val="en-US"/>
        </w:rPr>
        <w:t xml:space="preserve">mini-grids and off-grid systems, </w:t>
      </w:r>
      <w:r w:rsidRPr="004F7EE7">
        <w:rPr>
          <w:lang w:val="en-US"/>
        </w:rPr>
        <w:t xml:space="preserve">could rapidly expand access while avoiding the high costs and delays associated with grid extension. Complementary measures, such as subsidies for low-income households and partnerships with </w:t>
      </w:r>
      <w:r w:rsidRPr="004F7EE7">
        <w:rPr>
          <w:lang w:val="en-US"/>
        </w:rPr>
        <w:lastRenderedPageBreak/>
        <w:t>private sector actors, could further enhance affordability and adoption. Urban electrification efforts should focus on improving reliability and reducing outages, as saturation effects may limit the marginal happiness gains of expanding access in already-connected areas. Additionally, integrating electrification with other devel</w:t>
      </w:r>
      <w:r w:rsidR="004B5276">
        <w:rPr>
          <w:lang w:val="en-US"/>
        </w:rPr>
        <w:t xml:space="preserve">opment initiatives, </w:t>
      </w:r>
      <w:r w:rsidRPr="004F7EE7">
        <w:rPr>
          <w:lang w:val="en-US"/>
        </w:rPr>
        <w:t>such as education campaigns, healthcare infrastructure, a</w:t>
      </w:r>
      <w:r w:rsidR="004B5276">
        <w:rPr>
          <w:lang w:val="en-US"/>
        </w:rPr>
        <w:t xml:space="preserve">nd financial inclusion programs, </w:t>
      </w:r>
      <w:r w:rsidRPr="004F7EE7">
        <w:rPr>
          <w:lang w:val="en-US"/>
        </w:rPr>
        <w:t xml:space="preserve">could amplify its positive spillovers. Regional cooperation among GLCs, facilitated by shared energy pools and cross-border grid interconnections, could optimize resource allocation and reduce costs. Finally, governments should establish </w:t>
      </w:r>
      <w:r w:rsidR="004B5276">
        <w:rPr>
          <w:lang w:val="en-US"/>
        </w:rPr>
        <w:t>s</w:t>
      </w:r>
      <w:r w:rsidRPr="004F7EE7">
        <w:rPr>
          <w:lang w:val="en-US"/>
        </w:rPr>
        <w:t>t</w:t>
      </w:r>
      <w:r w:rsidR="004B5276">
        <w:rPr>
          <w:lang w:val="en-US"/>
        </w:rPr>
        <w:t>rong</w:t>
      </w:r>
      <w:r w:rsidRPr="004F7EE7">
        <w:rPr>
          <w:lang w:val="en-US"/>
        </w:rPr>
        <w:t xml:space="preserve"> monitoring frameworks to evaluate the well-being impacts of electrification projects, ensuring that policies remain evidence-based and responsive to local needs. </w:t>
      </w:r>
    </w:p>
    <w:p w14:paraId="69FE78D5" w14:textId="77777777" w:rsidR="003C092D" w:rsidRPr="003C092D" w:rsidRDefault="003C092D" w:rsidP="003C092D">
      <w:pPr>
        <w:ind w:firstLine="567"/>
        <w:rPr>
          <w:lang w:val="en-US" w:eastAsia="fr-FR"/>
        </w:rPr>
      </w:pPr>
      <w:r w:rsidRPr="003C092D">
        <w:rPr>
          <w:lang w:val="en-US" w:eastAsia="fr-FR"/>
        </w:rPr>
        <w:t xml:space="preserve">While this study provides </w:t>
      </w:r>
      <w:r w:rsidR="00C966EA">
        <w:rPr>
          <w:lang w:val="en-US" w:eastAsia="fr-FR"/>
        </w:rPr>
        <w:t>strong</w:t>
      </w:r>
      <w:r w:rsidRPr="003C092D">
        <w:rPr>
          <w:lang w:val="en-US" w:eastAsia="fr-FR"/>
        </w:rPr>
        <w:t xml:space="preserve"> evidence on the electricity-happiness nexus in </w:t>
      </w:r>
      <w:r w:rsidR="00C966EA">
        <w:rPr>
          <w:lang w:val="en-US" w:eastAsia="fr-FR"/>
        </w:rPr>
        <w:t>African GLCs, it has the limitation of</w:t>
      </w:r>
      <w:r w:rsidRPr="003C092D">
        <w:rPr>
          <w:lang w:val="en-US" w:eastAsia="fr-FR"/>
        </w:rPr>
        <w:t xml:space="preserve"> </w:t>
      </w:r>
      <w:r w:rsidR="00C966EA">
        <w:rPr>
          <w:lang w:val="en-US" w:eastAsia="fr-FR"/>
        </w:rPr>
        <w:t>relying</w:t>
      </w:r>
      <w:r w:rsidRPr="003C092D">
        <w:rPr>
          <w:lang w:val="en-US" w:eastAsia="fr-FR"/>
        </w:rPr>
        <w:t xml:space="preserve"> on national-level data, which may mask subnational heterogeneity. Future research could expand the analysis to include household-level surveys </w:t>
      </w:r>
      <w:r w:rsidR="00C966EA">
        <w:rPr>
          <w:lang w:val="en-US" w:eastAsia="fr-FR"/>
        </w:rPr>
        <w:t xml:space="preserve">and </w:t>
      </w:r>
      <w:r w:rsidRPr="003C092D">
        <w:rPr>
          <w:lang w:val="en-US" w:eastAsia="fr-FR"/>
        </w:rPr>
        <w:t>explore nonlin</w:t>
      </w:r>
      <w:r w:rsidR="00C966EA">
        <w:rPr>
          <w:lang w:val="en-US" w:eastAsia="fr-FR"/>
        </w:rPr>
        <w:t>ear effects of electrification</w:t>
      </w:r>
      <w:r w:rsidRPr="003C092D">
        <w:rPr>
          <w:lang w:val="en-US" w:eastAsia="fr-FR"/>
        </w:rPr>
        <w:t>. Additionally, comparative studies across other African regions could contextualize these findings and inform broader policy frameworks.</w:t>
      </w:r>
    </w:p>
    <w:p w14:paraId="3F4EDA39" w14:textId="77777777" w:rsidR="004D40D4" w:rsidRPr="002B175B" w:rsidRDefault="004D40D4" w:rsidP="004D40D4">
      <w:pPr>
        <w:keepNext/>
        <w:keepLines/>
        <w:jc w:val="left"/>
        <w:outlineLvl w:val="0"/>
        <w:rPr>
          <w:iCs/>
          <w:szCs w:val="24"/>
          <w:bdr w:val="none" w:sz="0" w:space="0" w:color="auto" w:frame="1"/>
          <w:shd w:val="clear" w:color="auto" w:fill="FFFFFF"/>
          <w:lang w:val="en-GB"/>
        </w:rPr>
      </w:pPr>
      <w:r w:rsidRPr="002B175B">
        <w:rPr>
          <w:rFonts w:eastAsia="Times New Roman"/>
          <w:b/>
          <w:bCs/>
          <w:szCs w:val="24"/>
          <w:lang w:val="en-GB"/>
        </w:rPr>
        <w:t xml:space="preserve">Data Availability Statement: </w:t>
      </w:r>
      <w:r w:rsidRPr="002B175B">
        <w:rPr>
          <w:iCs/>
          <w:szCs w:val="24"/>
          <w:bdr w:val="none" w:sz="0" w:space="0" w:color="auto" w:frame="1"/>
          <w:shd w:val="clear" w:color="auto" w:fill="FFFFFF"/>
          <w:lang w:val="en-GB"/>
        </w:rPr>
        <w:t>The data underlying this article will be shared on request.</w:t>
      </w:r>
    </w:p>
    <w:p w14:paraId="4F169280" w14:textId="77777777" w:rsidR="004D40D4" w:rsidRPr="002B175B" w:rsidRDefault="004D40D4" w:rsidP="004D40D4">
      <w:pPr>
        <w:keepNext/>
        <w:keepLines/>
        <w:jc w:val="left"/>
        <w:outlineLvl w:val="0"/>
        <w:rPr>
          <w:rFonts w:eastAsia="Times New Roman"/>
          <w:b/>
          <w:bCs/>
          <w:szCs w:val="24"/>
          <w:lang w:val="en-GB"/>
        </w:rPr>
      </w:pPr>
      <w:r w:rsidRPr="002B175B">
        <w:rPr>
          <w:rFonts w:eastAsia="Times New Roman"/>
          <w:b/>
          <w:bCs/>
          <w:szCs w:val="24"/>
          <w:lang w:val="en-GB"/>
        </w:rPr>
        <w:t xml:space="preserve">Conflicts of Interest: </w:t>
      </w:r>
      <w:r>
        <w:rPr>
          <w:szCs w:val="24"/>
          <w:lang w:val="en-GB"/>
        </w:rPr>
        <w:t>The author</w:t>
      </w:r>
      <w:r w:rsidR="00D617FA">
        <w:rPr>
          <w:szCs w:val="24"/>
          <w:lang w:val="en-GB"/>
        </w:rPr>
        <w:t>s</w:t>
      </w:r>
      <w:r w:rsidRPr="002B175B">
        <w:rPr>
          <w:szCs w:val="24"/>
          <w:lang w:val="en-GB"/>
        </w:rPr>
        <w:t xml:space="preserve"> have no known </w:t>
      </w:r>
      <w:r w:rsidR="00D617FA">
        <w:rPr>
          <w:szCs w:val="24"/>
          <w:lang w:val="en-GB"/>
        </w:rPr>
        <w:t>conflicts</w:t>
      </w:r>
      <w:r w:rsidRPr="002B175B">
        <w:rPr>
          <w:szCs w:val="24"/>
          <w:lang w:val="en-GB"/>
        </w:rPr>
        <w:t xml:space="preserve"> of interest to declare.</w:t>
      </w:r>
    </w:p>
    <w:p w14:paraId="2FFF1184" w14:textId="77777777" w:rsidR="004D40D4" w:rsidRPr="004D40D4" w:rsidRDefault="004D40D4" w:rsidP="00AC5BE1">
      <w:pPr>
        <w:ind w:firstLine="567"/>
        <w:rPr>
          <w:lang w:val="en-GB"/>
        </w:rPr>
      </w:pPr>
    </w:p>
    <w:p w14:paraId="7A86A162" w14:textId="77777777" w:rsidR="00DD5282" w:rsidRDefault="00DD5282" w:rsidP="00DD5282">
      <w:pPr>
        <w:pStyle w:val="Heading1"/>
        <w:rPr>
          <w:lang w:val="en-US"/>
        </w:rPr>
      </w:pPr>
      <w:r>
        <w:rPr>
          <w:lang w:val="en-US"/>
        </w:rPr>
        <w:t xml:space="preserve">References </w:t>
      </w:r>
    </w:p>
    <w:p w14:paraId="19EA1D12" w14:textId="77777777" w:rsidR="0007628C" w:rsidRPr="007312D9" w:rsidRDefault="0007628C"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Aklin</w:t>
      </w:r>
      <w:proofErr w:type="spellEnd"/>
      <w:r w:rsidRPr="007312D9">
        <w:rPr>
          <w:rFonts w:eastAsia="Times New Roman" w:cs="Times New Roman"/>
          <w:szCs w:val="24"/>
          <w:lang w:val="en-US" w:eastAsia="fr-FR"/>
        </w:rPr>
        <w:t xml:space="preserve">, M., Harish, S. P., &amp; </w:t>
      </w:r>
      <w:proofErr w:type="spellStart"/>
      <w:r w:rsidRPr="007312D9">
        <w:rPr>
          <w:rFonts w:eastAsia="Times New Roman" w:cs="Times New Roman"/>
          <w:szCs w:val="24"/>
          <w:lang w:val="en-US" w:eastAsia="fr-FR"/>
        </w:rPr>
        <w:t>Urpelainen</w:t>
      </w:r>
      <w:proofErr w:type="spellEnd"/>
      <w:r w:rsidRPr="007312D9">
        <w:rPr>
          <w:rFonts w:eastAsia="Times New Roman" w:cs="Times New Roman"/>
          <w:szCs w:val="24"/>
          <w:lang w:val="en-US" w:eastAsia="fr-FR"/>
        </w:rPr>
        <w:t xml:space="preserve">, J. (2018). A global analysis of progress in household electrification. </w:t>
      </w:r>
      <w:r w:rsidRPr="007312D9">
        <w:rPr>
          <w:rFonts w:eastAsia="Times New Roman" w:cs="Times New Roman"/>
          <w:i/>
          <w:iCs/>
          <w:szCs w:val="24"/>
          <w:lang w:val="en-US" w:eastAsia="fr-FR"/>
        </w:rPr>
        <w:t>Energy Policy</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122</w:t>
      </w:r>
      <w:r w:rsidRPr="007312D9">
        <w:rPr>
          <w:rFonts w:eastAsia="Times New Roman" w:cs="Times New Roman"/>
          <w:szCs w:val="24"/>
          <w:lang w:val="en-US" w:eastAsia="fr-FR"/>
        </w:rPr>
        <w:t>, 421-428.</w:t>
      </w:r>
    </w:p>
    <w:p w14:paraId="456A07BE" w14:textId="77777777" w:rsidR="0007628C" w:rsidRPr="00201DBD" w:rsidRDefault="0007628C"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Angrist, J. D., &amp; Pischke, J. S. (2009). </w:t>
      </w:r>
      <w:r w:rsidRPr="00201DBD">
        <w:rPr>
          <w:rFonts w:eastAsia="Times New Roman" w:cs="Times New Roman"/>
          <w:i/>
          <w:iCs/>
          <w:szCs w:val="24"/>
          <w:lang w:val="en-US" w:eastAsia="fr-FR"/>
        </w:rPr>
        <w:t>Mostly harmless econometrics: An empiricist's companion</w:t>
      </w:r>
      <w:r w:rsidRPr="00201DBD">
        <w:rPr>
          <w:rFonts w:eastAsia="Times New Roman" w:cs="Times New Roman"/>
          <w:szCs w:val="24"/>
          <w:lang w:val="en-US" w:eastAsia="fr-FR"/>
        </w:rPr>
        <w:t xml:space="preserve">. Princeton </w:t>
      </w:r>
      <w:r w:rsidRPr="00B61089">
        <w:rPr>
          <w:rFonts w:eastAsia="Times New Roman" w:cs="Times New Roman"/>
          <w:szCs w:val="24"/>
          <w:lang w:val="en-US" w:eastAsia="fr-FR"/>
        </w:rPr>
        <w:t>University Press</w:t>
      </w:r>
      <w:r w:rsidRPr="00201DBD">
        <w:rPr>
          <w:rFonts w:eastAsia="Times New Roman" w:cs="Times New Roman"/>
          <w:szCs w:val="24"/>
          <w:lang w:val="en-US" w:eastAsia="fr-FR"/>
        </w:rPr>
        <w:t>.</w:t>
      </w:r>
    </w:p>
    <w:p w14:paraId="0FB7D373" w14:textId="77777777" w:rsidR="0007628C" w:rsidRPr="00201DBD" w:rsidRDefault="0007628C"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Baum, C. F., Schaffer, M. E., &amp; Stillman, S. (2007). Enhanced routines for instrumental variables/generalized method of moments estimation and testing. </w:t>
      </w:r>
      <w:r w:rsidRPr="00201DBD">
        <w:rPr>
          <w:rFonts w:eastAsia="Times New Roman" w:cs="Times New Roman"/>
          <w:i/>
          <w:iCs/>
          <w:szCs w:val="24"/>
          <w:lang w:val="en-US" w:eastAsia="fr-FR"/>
        </w:rPr>
        <w:t>The Stata Journal</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7</w:t>
      </w:r>
      <w:r w:rsidRPr="00201DBD">
        <w:rPr>
          <w:rFonts w:eastAsia="Times New Roman" w:cs="Times New Roman"/>
          <w:szCs w:val="24"/>
          <w:lang w:val="en-US" w:eastAsia="fr-FR"/>
        </w:rPr>
        <w:t>(4), 465-506.</w:t>
      </w:r>
    </w:p>
    <w:p w14:paraId="1A37AAF0" w14:textId="77777777" w:rsidR="0007628C" w:rsidRPr="0051254D" w:rsidRDefault="0007628C" w:rsidP="0007628C">
      <w:pPr>
        <w:ind w:left="567" w:hanging="567"/>
        <w:rPr>
          <w:lang w:val="en-US" w:eastAsia="fr-FR"/>
        </w:rPr>
      </w:pPr>
      <w:r w:rsidRPr="0051254D">
        <w:rPr>
          <w:lang w:val="en-US" w:eastAsia="fr-FR"/>
        </w:rPr>
        <w:t xml:space="preserve">Beck, T., </w:t>
      </w:r>
      <w:proofErr w:type="spellStart"/>
      <w:r w:rsidRPr="0051254D">
        <w:rPr>
          <w:lang w:val="en-US" w:eastAsia="fr-FR"/>
        </w:rPr>
        <w:t>Demirgüç-Kunt</w:t>
      </w:r>
      <w:proofErr w:type="spellEnd"/>
      <w:r w:rsidRPr="0051254D">
        <w:rPr>
          <w:lang w:val="en-US" w:eastAsia="fr-FR"/>
        </w:rPr>
        <w:t xml:space="preserve">, A., &amp; Levine, R. (2007). Finance, inequality and the poor. </w:t>
      </w:r>
      <w:r w:rsidRPr="0051254D">
        <w:rPr>
          <w:i/>
          <w:iCs/>
          <w:lang w:val="en-US" w:eastAsia="fr-FR"/>
        </w:rPr>
        <w:t>Journal of Economic Growth</w:t>
      </w:r>
      <w:r w:rsidRPr="0051254D">
        <w:rPr>
          <w:lang w:val="en-US" w:eastAsia="fr-FR"/>
        </w:rPr>
        <w:t xml:space="preserve">, </w:t>
      </w:r>
      <w:r w:rsidRPr="0051254D">
        <w:rPr>
          <w:i/>
          <w:iCs/>
          <w:lang w:val="en-US" w:eastAsia="fr-FR"/>
        </w:rPr>
        <w:t>12</w:t>
      </w:r>
      <w:r w:rsidRPr="0051254D">
        <w:rPr>
          <w:lang w:val="en-US" w:eastAsia="fr-FR"/>
        </w:rPr>
        <w:t>, 27-49.</w:t>
      </w:r>
    </w:p>
    <w:p w14:paraId="64A56997" w14:textId="77777777" w:rsidR="0007628C" w:rsidRPr="004F018B" w:rsidRDefault="0007628C" w:rsidP="00B61089">
      <w:pPr>
        <w:ind w:left="567" w:hanging="567"/>
        <w:rPr>
          <w:rFonts w:eastAsia="Times New Roman" w:cs="Times New Roman"/>
          <w:szCs w:val="24"/>
          <w:lang w:val="en-US" w:eastAsia="fr-FR"/>
        </w:rPr>
      </w:pPr>
      <w:proofErr w:type="spellStart"/>
      <w:r w:rsidRPr="004F018B">
        <w:rPr>
          <w:rFonts w:eastAsia="Times New Roman" w:cs="Times New Roman"/>
          <w:szCs w:val="24"/>
          <w:lang w:val="en-US" w:eastAsia="fr-FR"/>
        </w:rPr>
        <w:t>Blimpo</w:t>
      </w:r>
      <w:proofErr w:type="spellEnd"/>
      <w:r w:rsidRPr="004F018B">
        <w:rPr>
          <w:rFonts w:eastAsia="Times New Roman" w:cs="Times New Roman"/>
          <w:szCs w:val="24"/>
          <w:lang w:val="en-US" w:eastAsia="fr-FR"/>
        </w:rPr>
        <w:t xml:space="preserve">, M. P., &amp; Cosgrove-Davies, M. (2019). </w:t>
      </w:r>
      <w:r w:rsidRPr="004F018B">
        <w:rPr>
          <w:rFonts w:eastAsia="Times New Roman" w:cs="Times New Roman"/>
          <w:i/>
          <w:iCs/>
          <w:szCs w:val="24"/>
          <w:lang w:val="en-US" w:eastAsia="fr-FR"/>
        </w:rPr>
        <w:t>Electricity access in Sub-Saharan Africa: Uptake, reliability, and complementary factors for economic impact</w:t>
      </w:r>
      <w:r w:rsidRPr="004F018B">
        <w:rPr>
          <w:rFonts w:eastAsia="Times New Roman" w:cs="Times New Roman"/>
          <w:szCs w:val="24"/>
          <w:lang w:val="en-US" w:eastAsia="fr-FR"/>
        </w:rPr>
        <w:t>. World Bank Publications.</w:t>
      </w:r>
    </w:p>
    <w:p w14:paraId="38D0ACBC" w14:textId="77777777" w:rsidR="0007628C" w:rsidRPr="004F018B" w:rsidRDefault="0007628C" w:rsidP="00B61089">
      <w:pPr>
        <w:ind w:left="567" w:hanging="567"/>
        <w:rPr>
          <w:rFonts w:eastAsia="Times New Roman" w:cs="Times New Roman"/>
          <w:szCs w:val="24"/>
          <w:lang w:val="en-US" w:eastAsia="fr-FR"/>
        </w:rPr>
      </w:pPr>
      <w:r w:rsidRPr="004F018B">
        <w:rPr>
          <w:rFonts w:eastAsia="Times New Roman" w:cs="Times New Roman"/>
          <w:szCs w:val="24"/>
          <w:lang w:val="en-US" w:eastAsia="fr-FR"/>
        </w:rPr>
        <w:t xml:space="preserve">Brew-Hammond, A. (2010). Energy access in Africa: Challenges ahead. </w:t>
      </w:r>
      <w:r w:rsidRPr="004F018B">
        <w:rPr>
          <w:rFonts w:eastAsia="Times New Roman" w:cs="Times New Roman"/>
          <w:i/>
          <w:iCs/>
          <w:szCs w:val="24"/>
          <w:lang w:val="en-US" w:eastAsia="fr-FR"/>
        </w:rPr>
        <w:t>Energy policy</w:t>
      </w:r>
      <w:r w:rsidRPr="004F018B">
        <w:rPr>
          <w:rFonts w:eastAsia="Times New Roman" w:cs="Times New Roman"/>
          <w:szCs w:val="24"/>
          <w:lang w:val="en-US" w:eastAsia="fr-FR"/>
        </w:rPr>
        <w:t xml:space="preserve">, </w:t>
      </w:r>
      <w:r w:rsidRPr="004F018B">
        <w:rPr>
          <w:rFonts w:eastAsia="Times New Roman" w:cs="Times New Roman"/>
          <w:i/>
          <w:iCs/>
          <w:szCs w:val="24"/>
          <w:lang w:val="en-US" w:eastAsia="fr-FR"/>
        </w:rPr>
        <w:t>38</w:t>
      </w:r>
      <w:r w:rsidRPr="004F018B">
        <w:rPr>
          <w:rFonts w:eastAsia="Times New Roman" w:cs="Times New Roman"/>
          <w:szCs w:val="24"/>
          <w:lang w:val="en-US" w:eastAsia="fr-FR"/>
        </w:rPr>
        <w:t>(5), 2291-2301.</w:t>
      </w:r>
    </w:p>
    <w:p w14:paraId="387F6AD6" w14:textId="77777777" w:rsidR="0007628C" w:rsidRPr="00467AFB" w:rsidRDefault="0007628C" w:rsidP="0007628C">
      <w:pPr>
        <w:ind w:left="567" w:hanging="567"/>
        <w:rPr>
          <w:lang w:val="en-US" w:eastAsia="fr-FR"/>
        </w:rPr>
      </w:pPr>
      <w:r w:rsidRPr="003048BF">
        <w:rPr>
          <w:lang w:val="en-US" w:eastAsia="fr-FR"/>
        </w:rPr>
        <w:lastRenderedPageBreak/>
        <w:t xml:space="preserve">Burgess, R., Greenstone, M., Ryan, N., &amp; Sudarshan, A. (2020). The consequences of treating electricity as a right. </w:t>
      </w:r>
      <w:r w:rsidRPr="00467AFB">
        <w:rPr>
          <w:i/>
          <w:iCs/>
          <w:lang w:val="en-US" w:eastAsia="fr-FR"/>
        </w:rPr>
        <w:t>Journal of Economic Perspectives</w:t>
      </w:r>
      <w:r w:rsidRPr="00467AFB">
        <w:rPr>
          <w:lang w:val="en-US" w:eastAsia="fr-FR"/>
        </w:rPr>
        <w:t xml:space="preserve">, </w:t>
      </w:r>
      <w:r w:rsidRPr="00467AFB">
        <w:rPr>
          <w:i/>
          <w:iCs/>
          <w:lang w:val="en-US" w:eastAsia="fr-FR"/>
        </w:rPr>
        <w:t>34</w:t>
      </w:r>
      <w:r w:rsidRPr="00467AFB">
        <w:rPr>
          <w:lang w:val="en-US" w:eastAsia="fr-FR"/>
        </w:rPr>
        <w:t>(1), 145-169.</w:t>
      </w:r>
    </w:p>
    <w:p w14:paraId="0B32529C" w14:textId="77777777" w:rsidR="0007628C" w:rsidRPr="00035835" w:rsidRDefault="0007628C" w:rsidP="00B61089">
      <w:pPr>
        <w:ind w:left="567" w:hanging="567"/>
        <w:rPr>
          <w:rFonts w:eastAsia="Times New Roman" w:cs="Times New Roman"/>
          <w:szCs w:val="24"/>
          <w:lang w:val="en-US" w:eastAsia="fr-FR"/>
        </w:rPr>
      </w:pPr>
      <w:proofErr w:type="spellStart"/>
      <w:r w:rsidRPr="00FF6DB8">
        <w:rPr>
          <w:rFonts w:eastAsia="Times New Roman" w:cs="Times New Roman"/>
          <w:szCs w:val="24"/>
          <w:lang w:val="en-US" w:eastAsia="fr-FR"/>
        </w:rPr>
        <w:t>Cuñado</w:t>
      </w:r>
      <w:proofErr w:type="spellEnd"/>
      <w:r w:rsidRPr="00FF6DB8">
        <w:rPr>
          <w:rFonts w:eastAsia="Times New Roman" w:cs="Times New Roman"/>
          <w:szCs w:val="24"/>
          <w:lang w:val="en-US" w:eastAsia="fr-FR"/>
        </w:rPr>
        <w:t xml:space="preserve">, J., &amp; De Gracia, F. P. (2012). </w:t>
      </w:r>
      <w:r w:rsidRPr="00035835">
        <w:rPr>
          <w:rFonts w:eastAsia="Times New Roman" w:cs="Times New Roman"/>
          <w:szCs w:val="24"/>
          <w:lang w:val="en-US" w:eastAsia="fr-FR"/>
        </w:rPr>
        <w:t xml:space="preserve">Does education affect happiness? Evidence for Spain. </w:t>
      </w:r>
      <w:r w:rsidRPr="00035835">
        <w:rPr>
          <w:rFonts w:eastAsia="Times New Roman" w:cs="Times New Roman"/>
          <w:i/>
          <w:iCs/>
          <w:szCs w:val="24"/>
          <w:lang w:val="en-US" w:eastAsia="fr-FR"/>
        </w:rPr>
        <w:t>Social indicators research</w:t>
      </w:r>
      <w:r w:rsidRPr="00035835">
        <w:rPr>
          <w:rFonts w:eastAsia="Times New Roman" w:cs="Times New Roman"/>
          <w:szCs w:val="24"/>
          <w:lang w:val="en-US" w:eastAsia="fr-FR"/>
        </w:rPr>
        <w:t xml:space="preserve">, </w:t>
      </w:r>
      <w:r w:rsidRPr="00035835">
        <w:rPr>
          <w:rFonts w:eastAsia="Times New Roman" w:cs="Times New Roman"/>
          <w:i/>
          <w:iCs/>
          <w:szCs w:val="24"/>
          <w:lang w:val="en-US" w:eastAsia="fr-FR"/>
        </w:rPr>
        <w:t>108</w:t>
      </w:r>
      <w:r w:rsidRPr="00035835">
        <w:rPr>
          <w:rFonts w:eastAsia="Times New Roman" w:cs="Times New Roman"/>
          <w:szCs w:val="24"/>
          <w:lang w:val="en-US" w:eastAsia="fr-FR"/>
        </w:rPr>
        <w:t>, 185-196.</w:t>
      </w:r>
    </w:p>
    <w:p w14:paraId="2497ED5C" w14:textId="77777777" w:rsidR="0007628C" w:rsidRPr="00742EB7" w:rsidRDefault="0007628C" w:rsidP="00B61089">
      <w:pPr>
        <w:ind w:left="567" w:hanging="567"/>
        <w:rPr>
          <w:szCs w:val="24"/>
          <w:lang w:val="en-US"/>
        </w:rPr>
      </w:pPr>
      <w:r w:rsidRPr="007312D9">
        <w:rPr>
          <w:lang w:val="en-US"/>
        </w:rPr>
        <w:t xml:space="preserve">Dinkelman, T. (2011). The effects of rural electrification on employment: New evidence from South Africa. </w:t>
      </w:r>
      <w:r w:rsidRPr="00742EB7">
        <w:rPr>
          <w:i/>
          <w:iCs/>
          <w:lang w:val="en-US"/>
        </w:rPr>
        <w:t>American Economic Review</w:t>
      </w:r>
      <w:r w:rsidRPr="00742EB7">
        <w:rPr>
          <w:lang w:val="en-US"/>
        </w:rPr>
        <w:t xml:space="preserve">, </w:t>
      </w:r>
      <w:r w:rsidRPr="00742EB7">
        <w:rPr>
          <w:i/>
          <w:iCs/>
          <w:lang w:val="en-US"/>
        </w:rPr>
        <w:t>101</w:t>
      </w:r>
      <w:r w:rsidRPr="00742EB7">
        <w:rPr>
          <w:lang w:val="en-US"/>
        </w:rPr>
        <w:t>(7), 3078-3108.</w:t>
      </w:r>
    </w:p>
    <w:p w14:paraId="7379AF38" w14:textId="77777777" w:rsidR="0007628C" w:rsidRPr="00F37971" w:rsidRDefault="0007628C"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Driscoll, J. C., &amp; Kraay, A. C. (1998). Consistent covariance matrix estimation with spatially dependent panel data. </w:t>
      </w:r>
      <w:r w:rsidRPr="00F37971">
        <w:rPr>
          <w:rFonts w:eastAsia="Times New Roman" w:cs="Times New Roman"/>
          <w:i/>
          <w:iCs/>
          <w:szCs w:val="24"/>
          <w:lang w:val="en-US" w:eastAsia="fr-FR"/>
        </w:rPr>
        <w:t xml:space="preserve">Review </w:t>
      </w:r>
      <w:r>
        <w:rPr>
          <w:rFonts w:eastAsia="Times New Roman" w:cs="Times New Roman"/>
          <w:i/>
          <w:iCs/>
          <w:szCs w:val="24"/>
          <w:lang w:val="en-US" w:eastAsia="fr-FR"/>
        </w:rPr>
        <w:t>of E</w:t>
      </w:r>
      <w:r w:rsidRPr="00F37971">
        <w:rPr>
          <w:rFonts w:eastAsia="Times New Roman" w:cs="Times New Roman"/>
          <w:i/>
          <w:iCs/>
          <w:szCs w:val="24"/>
          <w:lang w:val="en-US" w:eastAsia="fr-FR"/>
        </w:rPr>
        <w:t xml:space="preserve">conomics and </w:t>
      </w:r>
      <w:r>
        <w:rPr>
          <w:rFonts w:eastAsia="Times New Roman" w:cs="Times New Roman"/>
          <w:i/>
          <w:iCs/>
          <w:szCs w:val="24"/>
          <w:lang w:val="en-US" w:eastAsia="fr-FR"/>
        </w:rPr>
        <w:t>Statistics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80</w:t>
      </w:r>
      <w:r w:rsidRPr="00F37971">
        <w:rPr>
          <w:rFonts w:eastAsia="Times New Roman" w:cs="Times New Roman"/>
          <w:szCs w:val="24"/>
          <w:lang w:val="en-US" w:eastAsia="fr-FR"/>
        </w:rPr>
        <w:t>(4), 549-560.</w:t>
      </w:r>
    </w:p>
    <w:p w14:paraId="1E43FE84" w14:textId="77777777" w:rsidR="0007628C" w:rsidRPr="0051254D" w:rsidRDefault="0007628C" w:rsidP="0007628C">
      <w:pPr>
        <w:ind w:left="567" w:hanging="567"/>
        <w:rPr>
          <w:lang w:val="en-US" w:eastAsia="fr-FR"/>
        </w:rPr>
      </w:pPr>
      <w:r w:rsidRPr="0051254D">
        <w:rPr>
          <w:lang w:val="en-US" w:eastAsia="fr-FR"/>
        </w:rPr>
        <w:t xml:space="preserve">Easterlin, R. A. (2003). Explaining happiness. </w:t>
      </w:r>
      <w:r w:rsidRPr="0051254D">
        <w:rPr>
          <w:i/>
          <w:iCs/>
          <w:lang w:val="en-US" w:eastAsia="fr-FR"/>
        </w:rPr>
        <w:t>Proceedings of the National Academy of Sciences</w:t>
      </w:r>
      <w:r w:rsidRPr="0051254D">
        <w:rPr>
          <w:lang w:val="en-US" w:eastAsia="fr-FR"/>
        </w:rPr>
        <w:t xml:space="preserve">, </w:t>
      </w:r>
      <w:r w:rsidRPr="0051254D">
        <w:rPr>
          <w:i/>
          <w:iCs/>
          <w:lang w:val="en-US" w:eastAsia="fr-FR"/>
        </w:rPr>
        <w:t>100</w:t>
      </w:r>
      <w:r w:rsidRPr="0051254D">
        <w:rPr>
          <w:lang w:val="en-US" w:eastAsia="fr-FR"/>
        </w:rPr>
        <w:t>(19), 11176-11183.</w:t>
      </w:r>
    </w:p>
    <w:p w14:paraId="3187DB81" w14:textId="77777777" w:rsidR="0007628C" w:rsidRPr="00035835" w:rsidRDefault="0007628C" w:rsidP="00B61089">
      <w:pPr>
        <w:ind w:left="567" w:hanging="567"/>
        <w:rPr>
          <w:szCs w:val="24"/>
          <w:lang w:val="en-US"/>
        </w:rPr>
      </w:pPr>
      <w:proofErr w:type="spellStart"/>
      <w:r w:rsidRPr="00035835">
        <w:rPr>
          <w:lang w:val="en-US"/>
        </w:rPr>
        <w:t>Feuzeu</w:t>
      </w:r>
      <w:proofErr w:type="spellEnd"/>
      <w:r w:rsidRPr="00035835">
        <w:rPr>
          <w:lang w:val="en-US"/>
        </w:rPr>
        <w:t xml:space="preserve">, D. H. D., &amp; Kelly, A. M. (2025). Does Financial Technology Fuel Economic Complexity? Empirical Insights from Africa. </w:t>
      </w:r>
      <w:r w:rsidRPr="00035835">
        <w:rPr>
          <w:i/>
          <w:iCs/>
          <w:lang w:val="en-US"/>
        </w:rPr>
        <w:t>Next Research</w:t>
      </w:r>
      <w:r w:rsidRPr="00035835">
        <w:rPr>
          <w:lang w:val="en-US"/>
        </w:rPr>
        <w:t>, 100360.</w:t>
      </w:r>
    </w:p>
    <w:p w14:paraId="43FCBDA1" w14:textId="77777777" w:rsidR="0007628C" w:rsidRPr="00742EB7" w:rsidRDefault="0007628C" w:rsidP="00B61089">
      <w:pPr>
        <w:ind w:left="567" w:hanging="567"/>
        <w:rPr>
          <w:szCs w:val="24"/>
          <w:lang w:val="en-US"/>
        </w:rPr>
      </w:pPr>
      <w:r w:rsidRPr="00742EB7">
        <w:rPr>
          <w:lang w:val="en-US"/>
        </w:rPr>
        <w:t xml:space="preserve">Graham, C. L. (2012). </w:t>
      </w:r>
      <w:r w:rsidRPr="00742EB7">
        <w:rPr>
          <w:i/>
          <w:iCs/>
          <w:lang w:val="en-US"/>
        </w:rPr>
        <w:t>The pursuit of happiness: An economy of well-being</w:t>
      </w:r>
      <w:r w:rsidRPr="00742EB7">
        <w:rPr>
          <w:lang w:val="en-US"/>
        </w:rPr>
        <w:t>. Brookings Institution Press.</w:t>
      </w:r>
    </w:p>
    <w:p w14:paraId="52039431" w14:textId="77777777" w:rsidR="0007628C" w:rsidRPr="00416DFE" w:rsidRDefault="0007628C" w:rsidP="0007628C">
      <w:pPr>
        <w:ind w:left="567" w:hanging="567"/>
        <w:rPr>
          <w:lang w:val="en-US" w:eastAsia="fr-FR"/>
        </w:rPr>
      </w:pPr>
      <w:r w:rsidRPr="00416DFE">
        <w:rPr>
          <w:lang w:val="en-US" w:eastAsia="fr-FR"/>
        </w:rPr>
        <w:t xml:space="preserve">Graham, C., &amp; Pettinato, S. (2002). Frustrated achievers: Winners, losers and subjective well-being in new market economies. </w:t>
      </w:r>
      <w:r w:rsidRPr="00416DFE">
        <w:rPr>
          <w:i/>
          <w:iCs/>
          <w:lang w:val="en-US" w:eastAsia="fr-FR"/>
        </w:rPr>
        <w:t>Journal of Development Studies</w:t>
      </w:r>
      <w:r w:rsidRPr="00416DFE">
        <w:rPr>
          <w:lang w:val="en-US" w:eastAsia="fr-FR"/>
        </w:rPr>
        <w:t xml:space="preserve">, </w:t>
      </w:r>
      <w:r w:rsidRPr="00416DFE">
        <w:rPr>
          <w:i/>
          <w:iCs/>
          <w:lang w:val="en-US" w:eastAsia="fr-FR"/>
        </w:rPr>
        <w:t>38</w:t>
      </w:r>
      <w:r w:rsidRPr="00416DFE">
        <w:rPr>
          <w:lang w:val="en-US" w:eastAsia="fr-FR"/>
        </w:rPr>
        <w:t>(4), 100-140.</w:t>
      </w:r>
    </w:p>
    <w:p w14:paraId="6E58F94F" w14:textId="77777777" w:rsidR="0007628C" w:rsidRPr="007312D9" w:rsidRDefault="0007628C" w:rsidP="00B61089">
      <w:pPr>
        <w:ind w:left="567" w:hanging="567"/>
        <w:rPr>
          <w:lang w:val="en-US"/>
        </w:rPr>
      </w:pPr>
      <w:r w:rsidRPr="007312D9">
        <w:rPr>
          <w:lang w:val="en-US"/>
        </w:rPr>
        <w:t xml:space="preserve">Helliwell, J., Layard, R., &amp; Sachs, J. (2012). </w:t>
      </w:r>
      <w:r w:rsidRPr="007312D9">
        <w:rPr>
          <w:i/>
          <w:iCs/>
          <w:lang w:val="en-US"/>
        </w:rPr>
        <w:t>World happiness report</w:t>
      </w:r>
      <w:r w:rsidRPr="007312D9">
        <w:rPr>
          <w:lang w:val="en-US"/>
        </w:rPr>
        <w:t xml:space="preserve"> (No. 47487). London School of Economics and Political Science, LSE Library.</w:t>
      </w:r>
    </w:p>
    <w:p w14:paraId="66613FE9" w14:textId="77777777" w:rsidR="0007628C" w:rsidRPr="008303F3" w:rsidRDefault="0007628C" w:rsidP="00B61089">
      <w:pPr>
        <w:ind w:left="567" w:hanging="567"/>
      </w:pPr>
      <w:r w:rsidRPr="004F018B">
        <w:rPr>
          <w:lang w:val="en-US"/>
        </w:rPr>
        <w:t xml:space="preserve">IEA. (2022). </w:t>
      </w:r>
      <w:r w:rsidRPr="004F018B">
        <w:rPr>
          <w:rStyle w:val="Emphasis"/>
          <w:lang w:val="en-US"/>
        </w:rPr>
        <w:t>Energy Access Outlook</w:t>
      </w:r>
      <w:r w:rsidRPr="004F018B">
        <w:rPr>
          <w:lang w:val="en-US"/>
        </w:rPr>
        <w:t>. International Energy Agency.</w:t>
      </w:r>
      <w:r>
        <w:rPr>
          <w:lang w:val="en-US"/>
        </w:rPr>
        <w:t xml:space="preserve"> </w:t>
      </w:r>
      <w:hyperlink r:id="rId9" w:history="1">
        <w:r w:rsidRPr="008303F3">
          <w:rPr>
            <w:rStyle w:val="Hyperlink"/>
          </w:rPr>
          <w:t>https://iea.blob.core.windows.net/assets/830fe099-5530-48f2-a7c1-11f35d510983/WorldEnergyOutlook2022.pdf</w:t>
        </w:r>
      </w:hyperlink>
      <w:r w:rsidRPr="008303F3">
        <w:tab/>
        <w:t xml:space="preserve"> </w:t>
      </w:r>
    </w:p>
    <w:p w14:paraId="3BDDC35C" w14:textId="77777777" w:rsidR="0007628C" w:rsidRPr="00FE76B2" w:rsidRDefault="0007628C" w:rsidP="00B61089">
      <w:pPr>
        <w:ind w:left="567" w:hanging="567"/>
        <w:rPr>
          <w:szCs w:val="24"/>
          <w:lang w:val="en-US"/>
        </w:rPr>
      </w:pPr>
      <w:proofErr w:type="spellStart"/>
      <w:r w:rsidRPr="007D6779">
        <w:rPr>
          <w:lang w:val="en-US"/>
        </w:rPr>
        <w:t>Inkeles</w:t>
      </w:r>
      <w:proofErr w:type="spellEnd"/>
      <w:r w:rsidRPr="007D6779">
        <w:rPr>
          <w:lang w:val="en-US"/>
        </w:rPr>
        <w:t xml:space="preserve">, A. (2022). Industrialization, modernization and the quality of life. In </w:t>
      </w:r>
      <w:r w:rsidRPr="007D6779">
        <w:rPr>
          <w:i/>
          <w:iCs/>
          <w:lang w:val="en-US"/>
        </w:rPr>
        <w:t>Ecology, World Resources and the Quality of Social Life</w:t>
      </w:r>
      <w:r w:rsidRPr="007D6779">
        <w:rPr>
          <w:lang w:val="en-US"/>
        </w:rPr>
        <w:t xml:space="preserve"> (pp. 51-79). </w:t>
      </w:r>
      <w:r w:rsidRPr="00FE76B2">
        <w:rPr>
          <w:lang w:val="en-US"/>
        </w:rPr>
        <w:t>Routledge.</w:t>
      </w:r>
    </w:p>
    <w:p w14:paraId="459C619C" w14:textId="77777777" w:rsidR="0007628C" w:rsidRPr="007312D9" w:rsidRDefault="0007628C" w:rsidP="00B61089">
      <w:pPr>
        <w:ind w:left="567" w:hanging="567"/>
        <w:rPr>
          <w:rFonts w:eastAsia="Times New Roman" w:cs="Times New Roman"/>
          <w:szCs w:val="24"/>
          <w:lang w:val="en-US" w:eastAsia="fr-FR"/>
        </w:rPr>
      </w:pPr>
      <w:proofErr w:type="spellStart"/>
      <w:r w:rsidRPr="007312D9">
        <w:rPr>
          <w:rFonts w:eastAsia="Times New Roman" w:cs="Times New Roman"/>
          <w:szCs w:val="24"/>
          <w:lang w:val="en-US" w:eastAsia="fr-FR"/>
        </w:rPr>
        <w:t>Kakodia</w:t>
      </w:r>
      <w:proofErr w:type="spellEnd"/>
      <w:r w:rsidRPr="007312D9">
        <w:rPr>
          <w:rFonts w:eastAsia="Times New Roman" w:cs="Times New Roman"/>
          <w:szCs w:val="24"/>
          <w:lang w:val="en-US" w:eastAsia="fr-FR"/>
        </w:rPr>
        <w:t xml:space="preserve">, A. K., </w:t>
      </w:r>
      <w:proofErr w:type="spellStart"/>
      <w:r w:rsidRPr="007312D9">
        <w:rPr>
          <w:rFonts w:eastAsia="Times New Roman" w:cs="Times New Roman"/>
          <w:szCs w:val="24"/>
          <w:lang w:val="en-US" w:eastAsia="fr-FR"/>
        </w:rPr>
        <w:t>Chobdar</w:t>
      </w:r>
      <w:proofErr w:type="spellEnd"/>
      <w:r w:rsidRPr="007312D9">
        <w:rPr>
          <w:rFonts w:eastAsia="Times New Roman" w:cs="Times New Roman"/>
          <w:szCs w:val="24"/>
          <w:lang w:val="en-US" w:eastAsia="fr-FR"/>
        </w:rPr>
        <w:t xml:space="preserve">, S., Awasthi, S., &amp; Kant, R. (2025). Kerosene: Risk assessment, environmental and health hazard. In </w:t>
      </w:r>
      <w:r w:rsidRPr="007312D9">
        <w:rPr>
          <w:rFonts w:eastAsia="Times New Roman" w:cs="Times New Roman"/>
          <w:i/>
          <w:iCs/>
          <w:szCs w:val="24"/>
          <w:lang w:val="en-US" w:eastAsia="fr-FR"/>
        </w:rPr>
        <w:t>Hazardous Chemicals</w:t>
      </w:r>
      <w:r w:rsidRPr="007312D9">
        <w:rPr>
          <w:rFonts w:eastAsia="Times New Roman" w:cs="Times New Roman"/>
          <w:szCs w:val="24"/>
          <w:lang w:val="en-US" w:eastAsia="fr-FR"/>
        </w:rPr>
        <w:t xml:space="preserve"> (pp. 219-233). Academic Press.</w:t>
      </w:r>
    </w:p>
    <w:p w14:paraId="1B597890" w14:textId="77777777" w:rsidR="0007628C" w:rsidRPr="00201DBD" w:rsidRDefault="0007628C" w:rsidP="00B61089">
      <w:pPr>
        <w:ind w:left="567" w:hanging="567"/>
        <w:rPr>
          <w:rFonts w:eastAsia="Times New Roman" w:cs="Times New Roman"/>
          <w:szCs w:val="24"/>
          <w:lang w:val="en-US" w:eastAsia="fr-FR"/>
        </w:rPr>
      </w:pPr>
      <w:r w:rsidRPr="00201DBD">
        <w:rPr>
          <w:rFonts w:eastAsia="Times New Roman" w:cs="Times New Roman"/>
          <w:szCs w:val="24"/>
          <w:lang w:val="en-US" w:eastAsia="fr-FR"/>
        </w:rPr>
        <w:t xml:space="preserve">Kelly, A. M. (2024). Assessing the validity of social media in fighting COVID-19 in Africa. </w:t>
      </w:r>
      <w:r w:rsidRPr="00201DBD">
        <w:rPr>
          <w:rFonts w:eastAsia="Times New Roman" w:cs="Times New Roman"/>
          <w:i/>
          <w:iCs/>
          <w:szCs w:val="24"/>
          <w:lang w:val="en-US" w:eastAsia="fr-FR"/>
        </w:rPr>
        <w:t>Discover Social Science and Health</w:t>
      </w:r>
      <w:r w:rsidRPr="00201DBD">
        <w:rPr>
          <w:rFonts w:eastAsia="Times New Roman" w:cs="Times New Roman"/>
          <w:szCs w:val="24"/>
          <w:lang w:val="en-US" w:eastAsia="fr-FR"/>
        </w:rPr>
        <w:t xml:space="preserve">, </w:t>
      </w:r>
      <w:r w:rsidRPr="00201DBD">
        <w:rPr>
          <w:rFonts w:eastAsia="Times New Roman" w:cs="Times New Roman"/>
          <w:i/>
          <w:iCs/>
          <w:szCs w:val="24"/>
          <w:lang w:val="en-US" w:eastAsia="fr-FR"/>
        </w:rPr>
        <w:t>4</w:t>
      </w:r>
      <w:r w:rsidRPr="00201DBD">
        <w:rPr>
          <w:rFonts w:eastAsia="Times New Roman" w:cs="Times New Roman"/>
          <w:szCs w:val="24"/>
          <w:lang w:val="en-US" w:eastAsia="fr-FR"/>
        </w:rPr>
        <w:t>(1), 44.</w:t>
      </w:r>
    </w:p>
    <w:p w14:paraId="5272EC73" w14:textId="77777777" w:rsidR="0007628C" w:rsidRPr="00F37971" w:rsidRDefault="0007628C"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N. (2025). Aid or sanction? Comparing the effectiveness of climate finance and environmental taxation in mitigating environmental degradation in Africa. </w:t>
      </w:r>
      <w:r w:rsidRPr="00F37971">
        <w:rPr>
          <w:rFonts w:eastAsia="Times New Roman" w:cs="Times New Roman"/>
          <w:i/>
          <w:iCs/>
          <w:szCs w:val="24"/>
          <w:lang w:val="en-US" w:eastAsia="fr-FR"/>
        </w:rPr>
        <w:t>Innovation and Green Development</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4</w:t>
      </w:r>
      <w:r w:rsidRPr="00F37971">
        <w:rPr>
          <w:rFonts w:eastAsia="Times New Roman" w:cs="Times New Roman"/>
          <w:szCs w:val="24"/>
          <w:lang w:val="en-US" w:eastAsia="fr-FR"/>
        </w:rPr>
        <w:t>(3), 100241.</w:t>
      </w:r>
    </w:p>
    <w:p w14:paraId="1DE5E433" w14:textId="77777777" w:rsidR="0007628C" w:rsidRPr="00F37971" w:rsidRDefault="0007628C"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t xml:space="preserve">Kelly, A. M., &amp; </w:t>
      </w:r>
      <w:proofErr w:type="spellStart"/>
      <w:r w:rsidRPr="00F37971">
        <w:rPr>
          <w:rFonts w:eastAsia="Times New Roman" w:cs="Times New Roman"/>
          <w:szCs w:val="24"/>
          <w:lang w:val="en-US" w:eastAsia="fr-FR"/>
        </w:rPr>
        <w:t>Nembot</w:t>
      </w:r>
      <w:proofErr w:type="spellEnd"/>
      <w:r w:rsidRPr="00F37971">
        <w:rPr>
          <w:rFonts w:eastAsia="Times New Roman" w:cs="Times New Roman"/>
          <w:szCs w:val="24"/>
          <w:lang w:val="en-US" w:eastAsia="fr-FR"/>
        </w:rPr>
        <w:t xml:space="preserve"> </w:t>
      </w:r>
      <w:proofErr w:type="spellStart"/>
      <w:r w:rsidRPr="00F37971">
        <w:rPr>
          <w:rFonts w:eastAsia="Times New Roman" w:cs="Times New Roman"/>
          <w:szCs w:val="24"/>
          <w:lang w:val="en-US" w:eastAsia="fr-FR"/>
        </w:rPr>
        <w:t>Ndeffo</w:t>
      </w:r>
      <w:proofErr w:type="spellEnd"/>
      <w:r w:rsidRPr="00F37971">
        <w:rPr>
          <w:rFonts w:eastAsia="Times New Roman" w:cs="Times New Roman"/>
          <w:szCs w:val="24"/>
          <w:lang w:val="en-US" w:eastAsia="fr-FR"/>
        </w:rPr>
        <w:t xml:space="preserve">, L. (2025). Understanding the nexus: economic complexity and environmental degradation in Sub-Saharan Africa. </w:t>
      </w:r>
      <w:r w:rsidRPr="00F37971">
        <w:rPr>
          <w:rFonts w:eastAsia="Times New Roman" w:cs="Times New Roman"/>
          <w:i/>
          <w:iCs/>
          <w:szCs w:val="24"/>
          <w:lang w:val="en-US" w:eastAsia="fr-FR"/>
        </w:rPr>
        <w:t>Clean Technologies and Environmental Policy</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27</w:t>
      </w:r>
      <w:r w:rsidRPr="00F37971">
        <w:rPr>
          <w:rFonts w:eastAsia="Times New Roman" w:cs="Times New Roman"/>
          <w:szCs w:val="24"/>
          <w:lang w:val="en-US" w:eastAsia="fr-FR"/>
        </w:rPr>
        <w:t>(1), 423-437.</w:t>
      </w:r>
    </w:p>
    <w:p w14:paraId="17704C00" w14:textId="77777777" w:rsidR="0007628C" w:rsidRPr="00742EB7" w:rsidRDefault="0007628C" w:rsidP="00B61089">
      <w:pPr>
        <w:ind w:left="567" w:hanging="567"/>
        <w:rPr>
          <w:szCs w:val="24"/>
          <w:lang w:val="en-US"/>
        </w:rPr>
      </w:pPr>
      <w:r w:rsidRPr="00742EB7">
        <w:rPr>
          <w:lang w:val="en-US"/>
        </w:rPr>
        <w:lastRenderedPageBreak/>
        <w:t xml:space="preserve">Kelly, A. M., &amp; Radler, R. D. N. N. (2024). Does energy consumption matter for climate change in Africa? New insights from panel data analysis. </w:t>
      </w:r>
      <w:r w:rsidRPr="00742EB7">
        <w:rPr>
          <w:i/>
          <w:iCs/>
          <w:lang w:val="en-US"/>
        </w:rPr>
        <w:t>Innovation and Green Development</w:t>
      </w:r>
      <w:r w:rsidRPr="00742EB7">
        <w:rPr>
          <w:lang w:val="en-US"/>
        </w:rPr>
        <w:t xml:space="preserve">, </w:t>
      </w:r>
      <w:r w:rsidRPr="00742EB7">
        <w:rPr>
          <w:i/>
          <w:iCs/>
          <w:lang w:val="en-US"/>
        </w:rPr>
        <w:t>3</w:t>
      </w:r>
      <w:r w:rsidRPr="00742EB7">
        <w:rPr>
          <w:lang w:val="en-US"/>
        </w:rPr>
        <w:t>(3), 100132.</w:t>
      </w:r>
    </w:p>
    <w:p w14:paraId="4A205CD0" w14:textId="77777777" w:rsidR="0007628C" w:rsidRPr="00CE4B2D" w:rsidRDefault="0007628C" w:rsidP="00B61089">
      <w:pPr>
        <w:ind w:left="567" w:hanging="567"/>
        <w:rPr>
          <w:lang w:val="en-US"/>
        </w:rPr>
      </w:pPr>
      <w:r w:rsidRPr="00035835">
        <w:rPr>
          <w:lang w:val="en-US"/>
        </w:rPr>
        <w:t xml:space="preserve">Kelly, A. M., &amp; </w:t>
      </w:r>
      <w:proofErr w:type="spellStart"/>
      <w:r w:rsidRPr="00035835">
        <w:rPr>
          <w:lang w:val="en-US"/>
        </w:rPr>
        <w:t>Rutazihana</w:t>
      </w:r>
      <w:proofErr w:type="spellEnd"/>
      <w:r w:rsidRPr="00035835">
        <w:rPr>
          <w:lang w:val="en-US"/>
        </w:rPr>
        <w:t xml:space="preserve">, P. N. (2024). Digital Divide and its Implications for Education in the Post-covid-19 Era in Sub-Saharan Africa. </w:t>
      </w:r>
      <w:r w:rsidRPr="00CE4B2D">
        <w:rPr>
          <w:i/>
          <w:iCs/>
          <w:lang w:val="en-US"/>
        </w:rPr>
        <w:t>Innovation and Education</w:t>
      </w:r>
      <w:r w:rsidRPr="00CE4B2D">
        <w:rPr>
          <w:lang w:val="en-US"/>
        </w:rPr>
        <w:t xml:space="preserve">, </w:t>
      </w:r>
      <w:r w:rsidRPr="00CE4B2D">
        <w:rPr>
          <w:i/>
          <w:iCs/>
          <w:lang w:val="en-US"/>
        </w:rPr>
        <w:t>6</w:t>
      </w:r>
      <w:r w:rsidRPr="00CE4B2D">
        <w:rPr>
          <w:lang w:val="en-US"/>
        </w:rPr>
        <w:t>(2), 108-132.</w:t>
      </w:r>
    </w:p>
    <w:p w14:paraId="569575F9" w14:textId="77777777" w:rsidR="0007628C" w:rsidRPr="007D6779" w:rsidRDefault="0007628C" w:rsidP="00B61089">
      <w:pPr>
        <w:ind w:left="567" w:hanging="567"/>
        <w:rPr>
          <w:szCs w:val="24"/>
          <w:lang w:val="en-US"/>
        </w:rPr>
      </w:pPr>
      <w:r w:rsidRPr="00035835">
        <w:rPr>
          <w:lang w:val="en-US"/>
        </w:rPr>
        <w:t xml:space="preserve">Kelly, A. M., &amp; </w:t>
      </w:r>
      <w:proofErr w:type="spellStart"/>
      <w:r w:rsidRPr="00035835">
        <w:rPr>
          <w:lang w:val="en-US"/>
        </w:rPr>
        <w:t>Wassou</w:t>
      </w:r>
      <w:proofErr w:type="spellEnd"/>
      <w:r w:rsidRPr="00035835">
        <w:rPr>
          <w:lang w:val="en-US"/>
        </w:rPr>
        <w:t xml:space="preserve">, N. L. (2025). Climate change and its effect on health outcomes: an empirical investigation of Sub-Saharan Africa countries. </w:t>
      </w:r>
      <w:r w:rsidRPr="007D6779">
        <w:rPr>
          <w:i/>
          <w:iCs/>
          <w:lang w:val="en-US"/>
        </w:rPr>
        <w:t>SN Social Sciences</w:t>
      </w:r>
      <w:r w:rsidRPr="007D6779">
        <w:rPr>
          <w:lang w:val="en-US"/>
        </w:rPr>
        <w:t xml:space="preserve">, </w:t>
      </w:r>
      <w:r w:rsidRPr="007D6779">
        <w:rPr>
          <w:i/>
          <w:iCs/>
          <w:lang w:val="en-US"/>
        </w:rPr>
        <w:t>5</w:t>
      </w:r>
      <w:r w:rsidRPr="007D6779">
        <w:rPr>
          <w:lang w:val="en-US"/>
        </w:rPr>
        <w:t>(4), 1-19.</w:t>
      </w:r>
    </w:p>
    <w:p w14:paraId="3EDBA634" w14:textId="77777777" w:rsidR="0007628C" w:rsidRPr="007312D9" w:rsidRDefault="0007628C" w:rsidP="00B61089">
      <w:pPr>
        <w:ind w:left="567" w:hanging="567"/>
        <w:rPr>
          <w:rFonts w:eastAsia="Times New Roman" w:cs="Times New Roman"/>
          <w:szCs w:val="24"/>
          <w:lang w:val="en-US" w:eastAsia="fr-FR"/>
        </w:rPr>
      </w:pPr>
      <w:r w:rsidRPr="007312D9">
        <w:rPr>
          <w:rFonts w:eastAsia="Times New Roman" w:cs="Times New Roman"/>
          <w:szCs w:val="24"/>
          <w:lang w:val="en-US" w:eastAsia="fr-FR"/>
        </w:rPr>
        <w:t xml:space="preserve">Kelly, A. M., </w:t>
      </w:r>
      <w:proofErr w:type="spellStart"/>
      <w:r w:rsidRPr="007312D9">
        <w:rPr>
          <w:rFonts w:eastAsia="Times New Roman" w:cs="Times New Roman"/>
          <w:szCs w:val="24"/>
          <w:lang w:val="en-US" w:eastAsia="fr-FR"/>
        </w:rPr>
        <w:t>Yimele</w:t>
      </w:r>
      <w:proofErr w:type="spellEnd"/>
      <w:r w:rsidRPr="007312D9">
        <w:rPr>
          <w:rFonts w:eastAsia="Times New Roman" w:cs="Times New Roman"/>
          <w:szCs w:val="24"/>
          <w:lang w:val="en-US" w:eastAsia="fr-FR"/>
        </w:rPr>
        <w:t xml:space="preserve">, B. L. T., </w:t>
      </w:r>
      <w:proofErr w:type="spellStart"/>
      <w:r w:rsidRPr="007312D9">
        <w:rPr>
          <w:rFonts w:eastAsia="Times New Roman" w:cs="Times New Roman"/>
          <w:szCs w:val="24"/>
          <w:lang w:val="en-US" w:eastAsia="fr-FR"/>
        </w:rPr>
        <w:t>Tchieu</w:t>
      </w:r>
      <w:proofErr w:type="spellEnd"/>
      <w:r w:rsidRPr="007312D9">
        <w:rPr>
          <w:rFonts w:eastAsia="Times New Roman" w:cs="Times New Roman"/>
          <w:szCs w:val="24"/>
          <w:lang w:val="en-US" w:eastAsia="fr-FR"/>
        </w:rPr>
        <w:t xml:space="preserve">, N. L. W., &amp; </w:t>
      </w:r>
      <w:proofErr w:type="spellStart"/>
      <w:r w:rsidRPr="007312D9">
        <w:rPr>
          <w:rFonts w:eastAsia="Times New Roman" w:cs="Times New Roman"/>
          <w:szCs w:val="24"/>
          <w:lang w:val="en-US" w:eastAsia="fr-FR"/>
        </w:rPr>
        <w:t>Rutazihana</w:t>
      </w:r>
      <w:proofErr w:type="spellEnd"/>
      <w:r w:rsidRPr="007312D9">
        <w:rPr>
          <w:rFonts w:eastAsia="Times New Roman" w:cs="Times New Roman"/>
          <w:szCs w:val="24"/>
          <w:lang w:val="en-US" w:eastAsia="fr-FR"/>
        </w:rPr>
        <w:t xml:space="preserve">, P. N. (2023). Access to electricity and primary education nexus in central Africa. </w:t>
      </w:r>
      <w:r w:rsidRPr="007312D9">
        <w:rPr>
          <w:rFonts w:eastAsia="Times New Roman" w:cs="Times New Roman"/>
          <w:i/>
          <w:iCs/>
          <w:szCs w:val="24"/>
          <w:lang w:val="en-US" w:eastAsia="fr-FR"/>
        </w:rPr>
        <w:t>Journal of Regional Economics</w:t>
      </w:r>
      <w:r w:rsidRPr="007312D9">
        <w:rPr>
          <w:rFonts w:eastAsia="Times New Roman" w:cs="Times New Roman"/>
          <w:szCs w:val="24"/>
          <w:lang w:val="en-US" w:eastAsia="fr-FR"/>
        </w:rPr>
        <w:t xml:space="preserve">, </w:t>
      </w:r>
      <w:r w:rsidRPr="007312D9">
        <w:rPr>
          <w:rFonts w:eastAsia="Times New Roman" w:cs="Times New Roman"/>
          <w:i/>
          <w:iCs/>
          <w:szCs w:val="24"/>
          <w:lang w:val="en-US" w:eastAsia="fr-FR"/>
        </w:rPr>
        <w:t>2</w:t>
      </w:r>
      <w:r w:rsidRPr="007312D9">
        <w:rPr>
          <w:rFonts w:eastAsia="Times New Roman" w:cs="Times New Roman"/>
          <w:szCs w:val="24"/>
          <w:lang w:val="en-US" w:eastAsia="fr-FR"/>
        </w:rPr>
        <w:t>(1), 26-41.</w:t>
      </w:r>
    </w:p>
    <w:p w14:paraId="0B83DD14" w14:textId="77777777" w:rsidR="0007628C" w:rsidRPr="00E366E2" w:rsidRDefault="0007628C" w:rsidP="00B61089">
      <w:pPr>
        <w:ind w:left="567" w:hanging="567"/>
        <w:rPr>
          <w:szCs w:val="24"/>
          <w:lang w:val="en-US"/>
        </w:rPr>
      </w:pPr>
      <w:proofErr w:type="spellStart"/>
      <w:r w:rsidRPr="002A39F2">
        <w:rPr>
          <w:lang w:val="en-US"/>
        </w:rPr>
        <w:t>Kuziboev</w:t>
      </w:r>
      <w:proofErr w:type="spellEnd"/>
      <w:r w:rsidRPr="002A39F2">
        <w:rPr>
          <w:lang w:val="en-US"/>
        </w:rPr>
        <w:t xml:space="preserve">, B., Vlach, J., </w:t>
      </w:r>
      <w:proofErr w:type="spellStart"/>
      <w:r w:rsidRPr="002A39F2">
        <w:rPr>
          <w:lang w:val="en-US"/>
        </w:rPr>
        <w:t>Rajabov</w:t>
      </w:r>
      <w:proofErr w:type="spellEnd"/>
      <w:r w:rsidRPr="002A39F2">
        <w:rPr>
          <w:lang w:val="en-US"/>
        </w:rPr>
        <w:t xml:space="preserve">, A., </w:t>
      </w:r>
      <w:proofErr w:type="spellStart"/>
      <w:r w:rsidRPr="002A39F2">
        <w:rPr>
          <w:lang w:val="en-US"/>
        </w:rPr>
        <w:t>Ibadullaev</w:t>
      </w:r>
      <w:proofErr w:type="spellEnd"/>
      <w:r w:rsidRPr="002A39F2">
        <w:rPr>
          <w:lang w:val="en-US"/>
        </w:rPr>
        <w:t xml:space="preserve">, E., </w:t>
      </w:r>
      <w:proofErr w:type="spellStart"/>
      <w:r w:rsidRPr="002A39F2">
        <w:rPr>
          <w:lang w:val="en-US"/>
        </w:rPr>
        <w:t>Matyakubov</w:t>
      </w:r>
      <w:proofErr w:type="spellEnd"/>
      <w:r w:rsidRPr="002A39F2">
        <w:rPr>
          <w:lang w:val="en-US"/>
        </w:rPr>
        <w:t xml:space="preserve">, U., Nazarov, M., &amp; </w:t>
      </w:r>
      <w:proofErr w:type="spellStart"/>
      <w:r w:rsidRPr="002A39F2">
        <w:rPr>
          <w:lang w:val="en-US"/>
        </w:rPr>
        <w:t>Mirkhoshimova</w:t>
      </w:r>
      <w:proofErr w:type="spellEnd"/>
      <w:r w:rsidRPr="002A39F2">
        <w:rPr>
          <w:lang w:val="en-US"/>
        </w:rPr>
        <w:t xml:space="preserve">, M. (2024). Quantile and Threshold Effect of Electricity Consumption on Happiness in Central Asia. </w:t>
      </w:r>
      <w:r w:rsidRPr="00E366E2">
        <w:rPr>
          <w:i/>
          <w:iCs/>
          <w:lang w:val="en-US"/>
        </w:rPr>
        <w:t>International Journal of Energy Economics and Policy</w:t>
      </w:r>
      <w:r w:rsidRPr="00E366E2">
        <w:rPr>
          <w:lang w:val="en-US"/>
        </w:rPr>
        <w:t xml:space="preserve">, </w:t>
      </w:r>
      <w:r w:rsidRPr="00E366E2">
        <w:rPr>
          <w:i/>
          <w:iCs/>
          <w:lang w:val="en-US"/>
        </w:rPr>
        <w:t>14</w:t>
      </w:r>
      <w:r w:rsidRPr="00E366E2">
        <w:rPr>
          <w:lang w:val="en-US"/>
        </w:rPr>
        <w:t>(1), 321-328.</w:t>
      </w:r>
    </w:p>
    <w:p w14:paraId="5CC506FB" w14:textId="77777777" w:rsidR="0007628C" w:rsidRPr="00416DFE" w:rsidRDefault="0007628C" w:rsidP="0007628C">
      <w:pPr>
        <w:ind w:left="567" w:hanging="567"/>
        <w:rPr>
          <w:lang w:val="en-US" w:eastAsia="fr-FR"/>
        </w:rPr>
      </w:pPr>
      <w:r w:rsidRPr="00416DFE">
        <w:rPr>
          <w:lang w:val="en-US" w:eastAsia="fr-FR"/>
        </w:rPr>
        <w:t xml:space="preserve">Lee, K., Miguel, E., &amp; Wolfram, C. (2020). Experimental evidence on the economics of rural electrification. </w:t>
      </w:r>
      <w:r w:rsidRPr="00416DFE">
        <w:rPr>
          <w:i/>
          <w:iCs/>
          <w:lang w:val="en-US" w:eastAsia="fr-FR"/>
        </w:rPr>
        <w:t>Journal of Political Economy</w:t>
      </w:r>
      <w:r w:rsidRPr="00416DFE">
        <w:rPr>
          <w:lang w:val="en-US" w:eastAsia="fr-FR"/>
        </w:rPr>
        <w:t xml:space="preserve">, </w:t>
      </w:r>
      <w:r w:rsidRPr="00416DFE">
        <w:rPr>
          <w:i/>
          <w:iCs/>
          <w:lang w:val="en-US" w:eastAsia="fr-FR"/>
        </w:rPr>
        <w:t>128</w:t>
      </w:r>
      <w:r w:rsidRPr="00416DFE">
        <w:rPr>
          <w:lang w:val="en-US" w:eastAsia="fr-FR"/>
        </w:rPr>
        <w:t>(4), 1523-1565.</w:t>
      </w:r>
    </w:p>
    <w:p w14:paraId="0DA9A64D" w14:textId="77777777" w:rsidR="0007628C" w:rsidRPr="00D1726D" w:rsidRDefault="0007628C" w:rsidP="00B61089">
      <w:pPr>
        <w:ind w:left="567" w:hanging="567"/>
        <w:rPr>
          <w:lang w:val="en-US" w:eastAsia="fr-FR"/>
        </w:rPr>
      </w:pPr>
      <w:r w:rsidRPr="00D1726D">
        <w:rPr>
          <w:lang w:val="en-US" w:eastAsia="fr-FR"/>
        </w:rPr>
        <w:t xml:space="preserve">Levin, K. A., &amp; Currie, C. (2014). Reliability and validity of an adapted version of the </w:t>
      </w:r>
      <w:proofErr w:type="spellStart"/>
      <w:r w:rsidRPr="00D1726D">
        <w:rPr>
          <w:lang w:val="en-US" w:eastAsia="fr-FR"/>
        </w:rPr>
        <w:t>Cantril</w:t>
      </w:r>
      <w:proofErr w:type="spellEnd"/>
      <w:r w:rsidRPr="00D1726D">
        <w:rPr>
          <w:lang w:val="en-US" w:eastAsia="fr-FR"/>
        </w:rPr>
        <w:t xml:space="preserve"> Ladder for use with adolescent samples. </w:t>
      </w:r>
      <w:r w:rsidRPr="00D1726D">
        <w:rPr>
          <w:i/>
          <w:iCs/>
          <w:lang w:val="en-US" w:eastAsia="fr-FR"/>
        </w:rPr>
        <w:t>Social Indicators Research</w:t>
      </w:r>
      <w:r w:rsidRPr="00D1726D">
        <w:rPr>
          <w:lang w:val="en-US" w:eastAsia="fr-FR"/>
        </w:rPr>
        <w:t xml:space="preserve">, </w:t>
      </w:r>
      <w:r w:rsidRPr="00D1726D">
        <w:rPr>
          <w:i/>
          <w:iCs/>
          <w:lang w:val="en-US" w:eastAsia="fr-FR"/>
        </w:rPr>
        <w:t>119</w:t>
      </w:r>
      <w:r w:rsidRPr="00D1726D">
        <w:rPr>
          <w:lang w:val="en-US" w:eastAsia="fr-FR"/>
        </w:rPr>
        <w:t>, 1047-1063.</w:t>
      </w:r>
    </w:p>
    <w:p w14:paraId="405D86A7" w14:textId="77777777" w:rsidR="0007628C" w:rsidRPr="00742EB7" w:rsidRDefault="0007628C" w:rsidP="00B61089">
      <w:pPr>
        <w:ind w:left="567" w:hanging="567"/>
        <w:rPr>
          <w:szCs w:val="24"/>
          <w:lang w:val="en-US"/>
        </w:rPr>
      </w:pPr>
      <w:r w:rsidRPr="00742EB7">
        <w:rPr>
          <w:lang w:val="en-US"/>
        </w:rPr>
        <w:t xml:space="preserve">Munir, F., Khurshid, N., &amp; Khurshid, J. (2024). Unveiling the relation between household energy conservation and subjective well-being: Insights from structural equation modeling. </w:t>
      </w:r>
      <w:proofErr w:type="spellStart"/>
      <w:r w:rsidRPr="00742EB7">
        <w:rPr>
          <w:i/>
          <w:iCs/>
          <w:lang w:val="en-US"/>
        </w:rPr>
        <w:t>Heliyon</w:t>
      </w:r>
      <w:proofErr w:type="spellEnd"/>
      <w:r w:rsidRPr="00742EB7">
        <w:rPr>
          <w:lang w:val="en-US"/>
        </w:rPr>
        <w:t xml:space="preserve">, </w:t>
      </w:r>
      <w:r w:rsidRPr="00742EB7">
        <w:rPr>
          <w:i/>
          <w:iCs/>
          <w:lang w:val="en-US"/>
        </w:rPr>
        <w:t>10</w:t>
      </w:r>
      <w:r w:rsidRPr="00742EB7">
        <w:rPr>
          <w:lang w:val="en-US"/>
        </w:rPr>
        <w:t>(19).</w:t>
      </w:r>
    </w:p>
    <w:p w14:paraId="5F0394B9" w14:textId="77777777" w:rsidR="0007628C" w:rsidRPr="002A39F2" w:rsidRDefault="0007628C" w:rsidP="00B61089">
      <w:pPr>
        <w:ind w:left="567" w:hanging="567"/>
        <w:rPr>
          <w:szCs w:val="24"/>
          <w:lang w:val="en-US"/>
        </w:rPr>
      </w:pPr>
      <w:r w:rsidRPr="002A39F2">
        <w:rPr>
          <w:lang w:val="en-US"/>
        </w:rPr>
        <w:t xml:space="preserve">Nasrudin, R. A., </w:t>
      </w:r>
      <w:proofErr w:type="spellStart"/>
      <w:r w:rsidRPr="002A39F2">
        <w:rPr>
          <w:lang w:val="en-US"/>
        </w:rPr>
        <w:t>Quarina</w:t>
      </w:r>
      <w:proofErr w:type="spellEnd"/>
      <w:r w:rsidRPr="002A39F2">
        <w:rPr>
          <w:lang w:val="en-US"/>
        </w:rPr>
        <w:t xml:space="preserve">, Q., &amp; </w:t>
      </w:r>
      <w:proofErr w:type="spellStart"/>
      <w:r w:rsidRPr="002A39F2">
        <w:rPr>
          <w:lang w:val="en-US"/>
        </w:rPr>
        <w:t>Dartanto</w:t>
      </w:r>
      <w:proofErr w:type="spellEnd"/>
      <w:r w:rsidRPr="002A39F2">
        <w:rPr>
          <w:lang w:val="en-US"/>
        </w:rPr>
        <w:t xml:space="preserve">, T. (2022). Revisiting the energy-happiness paradox: a quasi-experimental evidence of electricity access in Indonesia. </w:t>
      </w:r>
      <w:r w:rsidRPr="002A39F2">
        <w:rPr>
          <w:i/>
          <w:iCs/>
          <w:lang w:val="en-US"/>
        </w:rPr>
        <w:t>Journal of Happiness Studies</w:t>
      </w:r>
      <w:r w:rsidRPr="002A39F2">
        <w:rPr>
          <w:lang w:val="en-US"/>
        </w:rPr>
        <w:t xml:space="preserve">, </w:t>
      </w:r>
      <w:r w:rsidRPr="002A39F2">
        <w:rPr>
          <w:i/>
          <w:iCs/>
          <w:lang w:val="en-US"/>
        </w:rPr>
        <w:t>23</w:t>
      </w:r>
      <w:r w:rsidRPr="002A39F2">
        <w:rPr>
          <w:lang w:val="en-US"/>
        </w:rPr>
        <w:t>(7), 3549-3576.</w:t>
      </w:r>
    </w:p>
    <w:p w14:paraId="276D782B" w14:textId="77777777" w:rsidR="0007628C" w:rsidRPr="007D6779" w:rsidRDefault="0007628C" w:rsidP="00B61089">
      <w:pPr>
        <w:ind w:left="567" w:hanging="567"/>
        <w:rPr>
          <w:szCs w:val="24"/>
          <w:lang w:val="en-US"/>
        </w:rPr>
      </w:pPr>
      <w:proofErr w:type="spellStart"/>
      <w:r w:rsidRPr="007D6779">
        <w:rPr>
          <w:lang w:val="en-US"/>
        </w:rPr>
        <w:t>Nguéda</w:t>
      </w:r>
      <w:proofErr w:type="spellEnd"/>
      <w:r w:rsidRPr="007D6779">
        <w:rPr>
          <w:lang w:val="en-US"/>
        </w:rPr>
        <w:t xml:space="preserve">, R. D. N., &amp; Kelly, A. M. (2022). The nexus between economic complexity and foreign direct investment in Sub-Saharan Africa. </w:t>
      </w:r>
      <w:r w:rsidRPr="007D6779">
        <w:rPr>
          <w:i/>
          <w:iCs/>
          <w:lang w:val="en-US"/>
        </w:rPr>
        <w:t>South Asian Journal of Social Studies and Economics</w:t>
      </w:r>
      <w:r w:rsidRPr="007D6779">
        <w:rPr>
          <w:lang w:val="en-US"/>
        </w:rPr>
        <w:t xml:space="preserve">, </w:t>
      </w:r>
      <w:r w:rsidRPr="007D6779">
        <w:rPr>
          <w:i/>
          <w:iCs/>
          <w:lang w:val="en-US"/>
        </w:rPr>
        <w:t>14</w:t>
      </w:r>
      <w:r w:rsidRPr="007D6779">
        <w:rPr>
          <w:lang w:val="en-US"/>
        </w:rPr>
        <w:t>(2), 41-52.</w:t>
      </w:r>
    </w:p>
    <w:p w14:paraId="2DA7BFDF" w14:textId="77777777" w:rsidR="0007628C" w:rsidRPr="0051254D" w:rsidRDefault="0007628C" w:rsidP="0007628C">
      <w:pPr>
        <w:ind w:left="567" w:hanging="567"/>
        <w:rPr>
          <w:lang w:val="en-US" w:eastAsia="fr-FR"/>
        </w:rPr>
      </w:pPr>
      <w:proofErr w:type="spellStart"/>
      <w:r w:rsidRPr="0051254D">
        <w:rPr>
          <w:lang w:val="en-US" w:eastAsia="fr-FR"/>
        </w:rPr>
        <w:t>Oreopoulos</w:t>
      </w:r>
      <w:proofErr w:type="spellEnd"/>
      <w:r w:rsidRPr="0051254D">
        <w:rPr>
          <w:lang w:val="en-US" w:eastAsia="fr-FR"/>
        </w:rPr>
        <w:t xml:space="preserve">, P., &amp; </w:t>
      </w:r>
      <w:proofErr w:type="spellStart"/>
      <w:r w:rsidRPr="0051254D">
        <w:rPr>
          <w:lang w:val="en-US" w:eastAsia="fr-FR"/>
        </w:rPr>
        <w:t>Salvanes</w:t>
      </w:r>
      <w:proofErr w:type="spellEnd"/>
      <w:r w:rsidRPr="0051254D">
        <w:rPr>
          <w:lang w:val="en-US" w:eastAsia="fr-FR"/>
        </w:rPr>
        <w:t xml:space="preserve">, K. G. (2011). Priceless: The nonpecuniary benefits of schooling. </w:t>
      </w:r>
      <w:r w:rsidRPr="0051254D">
        <w:rPr>
          <w:i/>
          <w:iCs/>
          <w:lang w:val="en-US" w:eastAsia="fr-FR"/>
        </w:rPr>
        <w:t>Journal of Economic perspectives</w:t>
      </w:r>
      <w:r w:rsidRPr="0051254D">
        <w:rPr>
          <w:lang w:val="en-US" w:eastAsia="fr-FR"/>
        </w:rPr>
        <w:t xml:space="preserve">, </w:t>
      </w:r>
      <w:r w:rsidRPr="0051254D">
        <w:rPr>
          <w:i/>
          <w:iCs/>
          <w:lang w:val="en-US" w:eastAsia="fr-FR"/>
        </w:rPr>
        <w:t>25</w:t>
      </w:r>
      <w:r w:rsidRPr="0051254D">
        <w:rPr>
          <w:lang w:val="en-US" w:eastAsia="fr-FR"/>
        </w:rPr>
        <w:t>(1), 159-184.</w:t>
      </w:r>
    </w:p>
    <w:p w14:paraId="177894F9" w14:textId="77777777" w:rsidR="0007628C" w:rsidRPr="00E366E2" w:rsidRDefault="0007628C" w:rsidP="00B61089">
      <w:pPr>
        <w:ind w:left="567" w:hanging="567"/>
        <w:rPr>
          <w:szCs w:val="24"/>
          <w:lang w:val="en-US"/>
        </w:rPr>
      </w:pPr>
      <w:r w:rsidRPr="00E366E2">
        <w:rPr>
          <w:lang w:val="en-US"/>
        </w:rPr>
        <w:t xml:space="preserve">Ostrowska, A., </w:t>
      </w:r>
      <w:proofErr w:type="spellStart"/>
      <w:r w:rsidRPr="00E366E2">
        <w:rPr>
          <w:lang w:val="en-US"/>
        </w:rPr>
        <w:t>Kotliński</w:t>
      </w:r>
      <w:proofErr w:type="spellEnd"/>
      <w:r w:rsidRPr="00E366E2">
        <w:rPr>
          <w:lang w:val="en-US"/>
        </w:rPr>
        <w:t xml:space="preserve">, K., &amp; Markowski, Ł. (2024). Does Renewable Energy Matter for Economic Growth and </w:t>
      </w:r>
      <w:proofErr w:type="gramStart"/>
      <w:r w:rsidRPr="00E366E2">
        <w:rPr>
          <w:lang w:val="en-US"/>
        </w:rPr>
        <w:t>Happiness?.</w:t>
      </w:r>
      <w:proofErr w:type="gramEnd"/>
      <w:r w:rsidRPr="00E366E2">
        <w:rPr>
          <w:lang w:val="en-US"/>
        </w:rPr>
        <w:t xml:space="preserve"> </w:t>
      </w:r>
      <w:r w:rsidRPr="00E366E2">
        <w:rPr>
          <w:i/>
          <w:iCs/>
          <w:lang w:val="en-US"/>
        </w:rPr>
        <w:t>Energies</w:t>
      </w:r>
      <w:r w:rsidRPr="00E366E2">
        <w:rPr>
          <w:lang w:val="en-US"/>
        </w:rPr>
        <w:t xml:space="preserve">, </w:t>
      </w:r>
      <w:r w:rsidRPr="00E366E2">
        <w:rPr>
          <w:i/>
          <w:iCs/>
          <w:lang w:val="en-US"/>
        </w:rPr>
        <w:t>17</w:t>
      </w:r>
      <w:r w:rsidRPr="00E366E2">
        <w:rPr>
          <w:lang w:val="en-US"/>
        </w:rPr>
        <w:t>(11), 2619.</w:t>
      </w:r>
    </w:p>
    <w:p w14:paraId="07F7C876" w14:textId="77777777" w:rsidR="0007628C" w:rsidRPr="008303F3" w:rsidRDefault="0007628C" w:rsidP="00B61089">
      <w:pPr>
        <w:ind w:left="567" w:hanging="567"/>
        <w:rPr>
          <w:lang w:val="en-US"/>
        </w:rPr>
      </w:pPr>
      <w:r w:rsidRPr="0084205D">
        <w:rPr>
          <w:lang w:val="en-US"/>
        </w:rPr>
        <w:t xml:space="preserve">Oum, S. (2019). Energy poverty in the Lao PDR and its impacts on education and health. </w:t>
      </w:r>
      <w:r w:rsidRPr="008303F3">
        <w:rPr>
          <w:i/>
          <w:iCs/>
          <w:lang w:val="en-US"/>
        </w:rPr>
        <w:t>Energy Policy</w:t>
      </w:r>
      <w:r w:rsidRPr="008303F3">
        <w:rPr>
          <w:lang w:val="en-US"/>
        </w:rPr>
        <w:t xml:space="preserve">, </w:t>
      </w:r>
      <w:r w:rsidRPr="008303F3">
        <w:rPr>
          <w:i/>
          <w:iCs/>
          <w:lang w:val="en-US"/>
        </w:rPr>
        <w:t>132</w:t>
      </w:r>
      <w:r w:rsidRPr="008303F3">
        <w:rPr>
          <w:lang w:val="en-US"/>
        </w:rPr>
        <w:t>, 247-253.</w:t>
      </w:r>
    </w:p>
    <w:p w14:paraId="47D20C97" w14:textId="77777777" w:rsidR="0007628C" w:rsidRPr="00F37971" w:rsidRDefault="0007628C" w:rsidP="00B61089">
      <w:pPr>
        <w:ind w:left="567" w:hanging="567"/>
        <w:rPr>
          <w:rFonts w:eastAsia="Times New Roman" w:cs="Times New Roman"/>
          <w:szCs w:val="24"/>
          <w:lang w:val="en-US" w:eastAsia="fr-FR"/>
        </w:rPr>
      </w:pPr>
      <w:r w:rsidRPr="00F37971">
        <w:rPr>
          <w:rFonts w:eastAsia="Times New Roman" w:cs="Times New Roman"/>
          <w:szCs w:val="24"/>
          <w:lang w:val="en-US" w:eastAsia="fr-FR"/>
        </w:rPr>
        <w:lastRenderedPageBreak/>
        <w:t xml:space="preserve">Petersen, M. A. (2008). Estimating standard errors in finance panel data sets: Comparing approaches. </w:t>
      </w:r>
      <w:r w:rsidRPr="00F37971">
        <w:rPr>
          <w:rFonts w:eastAsia="Times New Roman" w:cs="Times New Roman"/>
          <w:i/>
          <w:iCs/>
          <w:szCs w:val="24"/>
          <w:lang w:val="en-US" w:eastAsia="fr-FR"/>
        </w:rPr>
        <w:t xml:space="preserve">The Review of </w:t>
      </w:r>
      <w:r>
        <w:rPr>
          <w:rFonts w:eastAsia="Times New Roman" w:cs="Times New Roman"/>
          <w:i/>
          <w:iCs/>
          <w:szCs w:val="24"/>
          <w:lang w:val="en-US" w:eastAsia="fr-FR"/>
        </w:rPr>
        <w:t>Financial Studies</w:t>
      </w:r>
      <w:r w:rsidRPr="00F37971">
        <w:rPr>
          <w:rFonts w:eastAsia="Times New Roman" w:cs="Times New Roman"/>
          <w:szCs w:val="24"/>
          <w:lang w:val="en-US" w:eastAsia="fr-FR"/>
        </w:rPr>
        <w:t xml:space="preserve">, </w:t>
      </w:r>
      <w:r w:rsidRPr="00F37971">
        <w:rPr>
          <w:rFonts w:eastAsia="Times New Roman" w:cs="Times New Roman"/>
          <w:i/>
          <w:iCs/>
          <w:szCs w:val="24"/>
          <w:lang w:val="en-US" w:eastAsia="fr-FR"/>
        </w:rPr>
        <w:t>22</w:t>
      </w:r>
      <w:r w:rsidRPr="00F37971">
        <w:rPr>
          <w:rFonts w:eastAsia="Times New Roman" w:cs="Times New Roman"/>
          <w:szCs w:val="24"/>
          <w:lang w:val="en-US" w:eastAsia="fr-FR"/>
        </w:rPr>
        <w:t>(1), 435-480.</w:t>
      </w:r>
    </w:p>
    <w:p w14:paraId="6039DFC2" w14:textId="77777777" w:rsidR="0007628C" w:rsidRPr="00E366E2" w:rsidRDefault="0007628C" w:rsidP="00B61089">
      <w:pPr>
        <w:ind w:left="567" w:hanging="567"/>
        <w:rPr>
          <w:szCs w:val="24"/>
          <w:lang w:val="en-US"/>
        </w:rPr>
      </w:pPr>
      <w:r w:rsidRPr="00E366E2">
        <w:rPr>
          <w:lang w:val="en-US"/>
        </w:rPr>
        <w:t xml:space="preserve">Pfeiffer, C., Kremsner, T. P., Maier, C., &amp; </w:t>
      </w:r>
      <w:proofErr w:type="spellStart"/>
      <w:r w:rsidRPr="00E366E2">
        <w:rPr>
          <w:lang w:val="en-US"/>
        </w:rPr>
        <w:t>Stolavetz</w:t>
      </w:r>
      <w:proofErr w:type="spellEnd"/>
      <w:r w:rsidRPr="00E366E2">
        <w:rPr>
          <w:lang w:val="en-US"/>
        </w:rPr>
        <w:t xml:space="preserve">, C. (2022). Does electricity consumption make happy? The emotional dimensions of time-scaled electricity consumption graphs for household appliances. </w:t>
      </w:r>
      <w:r w:rsidRPr="00E366E2">
        <w:rPr>
          <w:i/>
          <w:iCs/>
          <w:lang w:val="en-US"/>
        </w:rPr>
        <w:t>Energy Conversion and Management: X</w:t>
      </w:r>
      <w:r w:rsidRPr="00E366E2">
        <w:rPr>
          <w:lang w:val="en-US"/>
        </w:rPr>
        <w:t xml:space="preserve">, </w:t>
      </w:r>
      <w:r w:rsidRPr="00E366E2">
        <w:rPr>
          <w:i/>
          <w:iCs/>
          <w:lang w:val="en-US"/>
        </w:rPr>
        <w:t>16</w:t>
      </w:r>
      <w:r w:rsidRPr="00E366E2">
        <w:rPr>
          <w:lang w:val="en-US"/>
        </w:rPr>
        <w:t>, 100279.</w:t>
      </w:r>
    </w:p>
    <w:p w14:paraId="274A0CB0" w14:textId="77777777" w:rsidR="0007628C" w:rsidRPr="007312D9" w:rsidRDefault="0007628C" w:rsidP="00B61089">
      <w:pPr>
        <w:ind w:left="567" w:hanging="567"/>
        <w:rPr>
          <w:szCs w:val="24"/>
          <w:lang w:val="en-US"/>
        </w:rPr>
      </w:pPr>
      <w:r w:rsidRPr="007312D9">
        <w:rPr>
          <w:lang w:val="en-US"/>
        </w:rPr>
        <w:t xml:space="preserve">Rafa, N., Khalid, R., &amp; Uddin, S. M. N. (2024). Energy access and sustainable development for displaced populations: Achieving energy justice in the Rohingya refugee camps of Cox's Bazar, Bangladesh. </w:t>
      </w:r>
      <w:r w:rsidRPr="007312D9">
        <w:rPr>
          <w:i/>
          <w:iCs/>
          <w:lang w:val="en-US"/>
        </w:rPr>
        <w:t>Energy Research &amp; Social Science</w:t>
      </w:r>
      <w:r w:rsidRPr="007312D9">
        <w:rPr>
          <w:lang w:val="en-US"/>
        </w:rPr>
        <w:t xml:space="preserve">, </w:t>
      </w:r>
      <w:r w:rsidRPr="007312D9">
        <w:rPr>
          <w:i/>
          <w:iCs/>
          <w:lang w:val="en-US"/>
        </w:rPr>
        <w:t>114</w:t>
      </w:r>
      <w:r w:rsidRPr="007312D9">
        <w:rPr>
          <w:lang w:val="en-US"/>
        </w:rPr>
        <w:t>, 103621.</w:t>
      </w:r>
    </w:p>
    <w:p w14:paraId="5ED59566" w14:textId="77777777" w:rsidR="0007628C" w:rsidRPr="00742EB7" w:rsidRDefault="0007628C" w:rsidP="00B61089">
      <w:pPr>
        <w:ind w:left="567" w:hanging="567"/>
        <w:rPr>
          <w:szCs w:val="24"/>
          <w:lang w:val="en-US"/>
        </w:rPr>
      </w:pPr>
      <w:r w:rsidRPr="00742EB7">
        <w:rPr>
          <w:lang w:val="en-US"/>
        </w:rPr>
        <w:t>Stern, D. I., Burke, P. J., &amp; Bruns, S. B. (2019). The impact of electricity on economic development: A macroeconomic perspective.</w:t>
      </w:r>
    </w:p>
    <w:p w14:paraId="42D1659D" w14:textId="77777777" w:rsidR="0007628C" w:rsidRPr="00035835" w:rsidRDefault="0007628C" w:rsidP="00B61089">
      <w:pPr>
        <w:ind w:left="567" w:hanging="567"/>
        <w:rPr>
          <w:szCs w:val="24"/>
          <w:lang w:val="en-US"/>
        </w:rPr>
      </w:pPr>
      <w:proofErr w:type="spellStart"/>
      <w:r w:rsidRPr="00035835">
        <w:rPr>
          <w:lang w:val="en-US"/>
        </w:rPr>
        <w:t>Veenhoven</w:t>
      </w:r>
      <w:proofErr w:type="spellEnd"/>
      <w:r w:rsidRPr="00035835">
        <w:rPr>
          <w:lang w:val="en-US"/>
        </w:rPr>
        <w:t xml:space="preserve">, R. (2008). Healthy happiness: Effects of happiness on physical health and the consequences for preventive health care. </w:t>
      </w:r>
      <w:r w:rsidRPr="00035835">
        <w:rPr>
          <w:i/>
          <w:iCs/>
          <w:lang w:val="en-US"/>
        </w:rPr>
        <w:t>Journal of happiness studies</w:t>
      </w:r>
      <w:r w:rsidRPr="00035835">
        <w:rPr>
          <w:lang w:val="en-US"/>
        </w:rPr>
        <w:t xml:space="preserve">, </w:t>
      </w:r>
      <w:r w:rsidRPr="00035835">
        <w:rPr>
          <w:i/>
          <w:iCs/>
          <w:lang w:val="en-US"/>
        </w:rPr>
        <w:t>9</w:t>
      </w:r>
      <w:r w:rsidRPr="00035835">
        <w:rPr>
          <w:lang w:val="en-US"/>
        </w:rPr>
        <w:t>, 449-469.</w:t>
      </w:r>
    </w:p>
    <w:p w14:paraId="7633FFAA" w14:textId="77777777" w:rsidR="0007628C" w:rsidRPr="00035835" w:rsidRDefault="0007628C" w:rsidP="00B61089">
      <w:pPr>
        <w:ind w:left="567" w:hanging="567"/>
        <w:rPr>
          <w:szCs w:val="24"/>
          <w:lang w:val="en-US"/>
        </w:rPr>
      </w:pPr>
      <w:proofErr w:type="spellStart"/>
      <w:r w:rsidRPr="00035835">
        <w:rPr>
          <w:lang w:val="en-US"/>
        </w:rPr>
        <w:t>Wassou</w:t>
      </w:r>
      <w:proofErr w:type="spellEnd"/>
      <w:r w:rsidRPr="00035835">
        <w:rPr>
          <w:lang w:val="en-US"/>
        </w:rPr>
        <w:t xml:space="preserve">, N. L., Kelly, A. M., &amp; </w:t>
      </w:r>
      <w:proofErr w:type="spellStart"/>
      <w:r w:rsidRPr="00035835">
        <w:rPr>
          <w:lang w:val="en-US"/>
        </w:rPr>
        <w:t>Ndeffo</w:t>
      </w:r>
      <w:proofErr w:type="spellEnd"/>
      <w:r w:rsidRPr="00035835">
        <w:rPr>
          <w:lang w:val="en-US"/>
        </w:rPr>
        <w:t xml:space="preserve">, L. N. (2024). Enhancing population's health status in sub-Saharan Africa: does economic complexity matter?''. </w:t>
      </w:r>
      <w:r w:rsidRPr="00035835">
        <w:rPr>
          <w:i/>
          <w:iCs/>
          <w:lang w:val="en-US"/>
        </w:rPr>
        <w:t>Economics Bulletin</w:t>
      </w:r>
      <w:r w:rsidRPr="00035835">
        <w:rPr>
          <w:lang w:val="en-US"/>
        </w:rPr>
        <w:t xml:space="preserve">, </w:t>
      </w:r>
      <w:r w:rsidRPr="00035835">
        <w:rPr>
          <w:i/>
          <w:iCs/>
          <w:lang w:val="en-US"/>
        </w:rPr>
        <w:t>44</w:t>
      </w:r>
      <w:r w:rsidRPr="00035835">
        <w:rPr>
          <w:lang w:val="en-US"/>
        </w:rPr>
        <w:t>(4), 1356-1366.</w:t>
      </w:r>
    </w:p>
    <w:p w14:paraId="43E40F79" w14:textId="77777777" w:rsidR="0007628C" w:rsidRPr="00E366E2" w:rsidRDefault="0007628C" w:rsidP="00B61089">
      <w:pPr>
        <w:ind w:left="567" w:hanging="567"/>
        <w:rPr>
          <w:szCs w:val="24"/>
          <w:lang w:val="en-US"/>
        </w:rPr>
      </w:pPr>
      <w:r w:rsidRPr="00E366E2">
        <w:rPr>
          <w:lang w:val="en-US"/>
        </w:rPr>
        <w:t xml:space="preserve">Welsch, H., &amp; Biermann, P. (2017). Energy affordability and subjective well-being: Evidence for European countries. </w:t>
      </w:r>
      <w:r w:rsidRPr="00E366E2">
        <w:rPr>
          <w:i/>
          <w:iCs/>
          <w:lang w:val="en-US"/>
        </w:rPr>
        <w:t>The Energy Journal</w:t>
      </w:r>
      <w:r w:rsidRPr="00E366E2">
        <w:rPr>
          <w:lang w:val="en-US"/>
        </w:rPr>
        <w:t xml:space="preserve">, </w:t>
      </w:r>
      <w:r w:rsidRPr="00E366E2">
        <w:rPr>
          <w:i/>
          <w:iCs/>
          <w:lang w:val="en-US"/>
        </w:rPr>
        <w:t>38</w:t>
      </w:r>
      <w:r w:rsidRPr="00E366E2">
        <w:rPr>
          <w:lang w:val="en-US"/>
        </w:rPr>
        <w:t>(3), 159-176.</w:t>
      </w:r>
    </w:p>
    <w:p w14:paraId="1F327265" w14:textId="77777777" w:rsidR="0007628C" w:rsidRPr="00E366E2" w:rsidRDefault="0007628C" w:rsidP="00B61089">
      <w:pPr>
        <w:ind w:left="567" w:hanging="567"/>
        <w:rPr>
          <w:szCs w:val="24"/>
          <w:lang w:val="en-US"/>
        </w:rPr>
      </w:pPr>
      <w:r w:rsidRPr="00E366E2">
        <w:rPr>
          <w:lang w:val="en-US"/>
        </w:rPr>
        <w:t xml:space="preserve">Wu, Y., Wu, Y., Zhang, Y., Wang, X., &amp; Song, Z. (2022). The effect of building electricity consumption on residents’ subjective well-being: Evidence from China. </w:t>
      </w:r>
      <w:r w:rsidRPr="00E366E2">
        <w:rPr>
          <w:i/>
          <w:iCs/>
          <w:lang w:val="en-US"/>
        </w:rPr>
        <w:t>Buildings</w:t>
      </w:r>
      <w:r w:rsidRPr="00E366E2">
        <w:rPr>
          <w:lang w:val="en-US"/>
        </w:rPr>
        <w:t xml:space="preserve">, </w:t>
      </w:r>
      <w:r w:rsidRPr="00E366E2">
        <w:rPr>
          <w:i/>
          <w:iCs/>
          <w:lang w:val="en-US"/>
        </w:rPr>
        <w:t>12</w:t>
      </w:r>
      <w:r w:rsidRPr="00E366E2">
        <w:rPr>
          <w:lang w:val="en-US"/>
        </w:rPr>
        <w:t>(6), 710.</w:t>
      </w:r>
    </w:p>
    <w:p w14:paraId="6D5B5392" w14:textId="77777777" w:rsidR="0007628C" w:rsidRPr="00035835" w:rsidRDefault="0007628C" w:rsidP="00B61089">
      <w:pPr>
        <w:ind w:left="567" w:hanging="567"/>
        <w:rPr>
          <w:szCs w:val="24"/>
          <w:lang w:val="en-US"/>
        </w:rPr>
      </w:pPr>
      <w:r w:rsidRPr="00035835">
        <w:rPr>
          <w:lang w:val="en-US"/>
        </w:rPr>
        <w:t xml:space="preserve">Xu, Q., &amp; Sun, W. (2022). Does financial inclusion promote investment and affect residents' happiness?—Evidence from China. </w:t>
      </w:r>
      <w:r w:rsidRPr="00035835">
        <w:rPr>
          <w:i/>
          <w:iCs/>
          <w:lang w:val="en-US"/>
        </w:rPr>
        <w:t>Frontiers in Psychology</w:t>
      </w:r>
      <w:r w:rsidRPr="00035835">
        <w:rPr>
          <w:lang w:val="en-US"/>
        </w:rPr>
        <w:t xml:space="preserve">, </w:t>
      </w:r>
      <w:r w:rsidRPr="00035835">
        <w:rPr>
          <w:i/>
          <w:iCs/>
          <w:lang w:val="en-US"/>
        </w:rPr>
        <w:t>13</w:t>
      </w:r>
      <w:r w:rsidRPr="00035835">
        <w:rPr>
          <w:lang w:val="en-US"/>
        </w:rPr>
        <w:t>, 988312.</w:t>
      </w:r>
    </w:p>
    <w:p w14:paraId="63A201CC" w14:textId="77777777" w:rsidR="00FE76B2" w:rsidRPr="00B61089" w:rsidRDefault="00FE76B2" w:rsidP="00FE76B2">
      <w:pPr>
        <w:rPr>
          <w:lang w:val="en-US"/>
        </w:rPr>
      </w:pPr>
    </w:p>
    <w:p w14:paraId="592BCF64" w14:textId="77777777" w:rsidR="00FE004A" w:rsidRPr="00B61089" w:rsidRDefault="00FE004A" w:rsidP="00FE004A">
      <w:pPr>
        <w:spacing w:line="240" w:lineRule="auto"/>
        <w:jc w:val="left"/>
        <w:rPr>
          <w:lang w:val="en-US"/>
        </w:rPr>
      </w:pPr>
    </w:p>
    <w:p w14:paraId="00C018D5" w14:textId="77777777" w:rsidR="00FE004A" w:rsidRPr="00B61089" w:rsidRDefault="00FE004A" w:rsidP="00FE004A">
      <w:pPr>
        <w:rPr>
          <w:lang w:val="en-US"/>
        </w:rPr>
      </w:pPr>
    </w:p>
    <w:p w14:paraId="64854D43" w14:textId="77777777" w:rsidR="004813AA" w:rsidRPr="002A39F2" w:rsidRDefault="004813AA" w:rsidP="004813AA">
      <w:pPr>
        <w:rPr>
          <w:lang w:val="en-US"/>
        </w:rPr>
      </w:pPr>
    </w:p>
    <w:p w14:paraId="68F1F1C8" w14:textId="77777777" w:rsidR="004813AA" w:rsidRPr="00B61089" w:rsidRDefault="004813AA" w:rsidP="000A27C4">
      <w:pPr>
        <w:rPr>
          <w:szCs w:val="24"/>
          <w:lang w:val="en-US"/>
        </w:rPr>
      </w:pPr>
    </w:p>
    <w:p w14:paraId="24D58749" w14:textId="77777777" w:rsidR="000A27C4" w:rsidRPr="004F018B" w:rsidRDefault="000A27C4" w:rsidP="000A27C4">
      <w:pPr>
        <w:rPr>
          <w:lang w:val="en-US"/>
        </w:rPr>
      </w:pPr>
    </w:p>
    <w:p w14:paraId="2EB3B823" w14:textId="77777777" w:rsidR="000A27C4" w:rsidRPr="000A27C4" w:rsidRDefault="000A27C4" w:rsidP="000A27C4">
      <w:pPr>
        <w:rPr>
          <w:lang w:val="en-US"/>
        </w:rPr>
      </w:pPr>
    </w:p>
    <w:sectPr w:rsidR="000A27C4" w:rsidRPr="000A27C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14414" w14:textId="77777777" w:rsidR="00E72D91" w:rsidRDefault="00E72D91" w:rsidP="00F6425E">
      <w:pPr>
        <w:spacing w:line="240" w:lineRule="auto"/>
      </w:pPr>
      <w:r>
        <w:separator/>
      </w:r>
    </w:p>
  </w:endnote>
  <w:endnote w:type="continuationSeparator" w:id="0">
    <w:p w14:paraId="422F6116" w14:textId="77777777" w:rsidR="00E72D91" w:rsidRDefault="00E72D91" w:rsidP="00F64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4371" w14:textId="77777777" w:rsidR="00471B48" w:rsidRDefault="0047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018763"/>
      <w:docPartObj>
        <w:docPartGallery w:val="Page Numbers (Bottom of Page)"/>
        <w:docPartUnique/>
      </w:docPartObj>
    </w:sdtPr>
    <w:sdtEndPr/>
    <w:sdtContent>
      <w:p w14:paraId="4FC59D0C" w14:textId="77777777" w:rsidR="00F6425E" w:rsidRDefault="00F6425E">
        <w:pPr>
          <w:pStyle w:val="Footer"/>
          <w:jc w:val="center"/>
        </w:pPr>
        <w:r>
          <w:fldChar w:fldCharType="begin"/>
        </w:r>
        <w:r>
          <w:instrText>PAGE   \* MERGEFORMAT</w:instrText>
        </w:r>
        <w:r>
          <w:fldChar w:fldCharType="separate"/>
        </w:r>
        <w:r w:rsidR="00613A44">
          <w:rPr>
            <w:noProof/>
          </w:rPr>
          <w:t>1</w:t>
        </w:r>
        <w:r>
          <w:fldChar w:fldCharType="end"/>
        </w:r>
      </w:p>
    </w:sdtContent>
  </w:sdt>
  <w:p w14:paraId="6B26A53B" w14:textId="77777777" w:rsidR="00F6425E" w:rsidRDefault="00F64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E13F" w14:textId="77777777" w:rsidR="00471B48" w:rsidRDefault="0047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D366" w14:textId="77777777" w:rsidR="00E72D91" w:rsidRDefault="00E72D91" w:rsidP="00F6425E">
      <w:pPr>
        <w:spacing w:line="240" w:lineRule="auto"/>
      </w:pPr>
      <w:r>
        <w:separator/>
      </w:r>
    </w:p>
  </w:footnote>
  <w:footnote w:type="continuationSeparator" w:id="0">
    <w:p w14:paraId="3A91DE4B" w14:textId="77777777" w:rsidR="00E72D91" w:rsidRDefault="00E72D91" w:rsidP="00F6425E">
      <w:pPr>
        <w:spacing w:line="240" w:lineRule="auto"/>
      </w:pPr>
      <w:r>
        <w:continuationSeparator/>
      </w:r>
    </w:p>
  </w:footnote>
  <w:footnote w:id="1">
    <w:p w14:paraId="153C44E2" w14:textId="77777777" w:rsidR="00DA728B" w:rsidRPr="00DA728B" w:rsidRDefault="00DA728B" w:rsidP="00DA728B">
      <w:pPr>
        <w:pStyle w:val="FootnoteText"/>
        <w:rPr>
          <w:lang w:val="en-GB"/>
        </w:rPr>
      </w:pPr>
      <w:r w:rsidRPr="00DA728B">
        <w:rPr>
          <w:vertAlign w:val="superscript"/>
        </w:rPr>
        <w:t>2</w:t>
      </w:r>
      <w:r w:rsidRPr="00DA728B">
        <w:rPr>
          <w:lang w:val="en-US"/>
        </w:rPr>
        <w:t xml:space="preserve"> </w:t>
      </w:r>
      <w:r w:rsidRPr="00DA728B">
        <w:rPr>
          <w:lang w:val="en-GB"/>
        </w:rPr>
        <w:t>Congo, Dem, Rep, Malawi, Rwanda, Tanzania, Uganda</w:t>
      </w:r>
    </w:p>
    <w:p w14:paraId="66AB28DD" w14:textId="77777777" w:rsidR="00B30DD2" w:rsidRPr="004845C4" w:rsidRDefault="00B30DD2" w:rsidP="00B30DD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E9D0" w14:textId="7B482D32" w:rsidR="00471B48" w:rsidRDefault="00471B48">
    <w:pPr>
      <w:pStyle w:val="Header"/>
    </w:pPr>
    <w:r>
      <w:rPr>
        <w:noProof/>
      </w:rPr>
      <w:pict w14:anchorId="608C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9"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02FA" w14:textId="0767621E" w:rsidR="00471B48" w:rsidRDefault="00471B48">
    <w:pPr>
      <w:pStyle w:val="Header"/>
    </w:pPr>
    <w:r>
      <w:rPr>
        <w:noProof/>
      </w:rPr>
      <w:pict w14:anchorId="28C42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20"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FE52" w14:textId="6ECEF382" w:rsidR="00471B48" w:rsidRDefault="00471B48">
    <w:pPr>
      <w:pStyle w:val="Header"/>
    </w:pPr>
    <w:r>
      <w:rPr>
        <w:noProof/>
      </w:rPr>
      <w:pict w14:anchorId="57944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67718"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844D8"/>
    <w:multiLevelType w:val="multilevel"/>
    <w:tmpl w:val="E2020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BF"/>
    <w:rsid w:val="00002CE9"/>
    <w:rsid w:val="000240B0"/>
    <w:rsid w:val="000404DF"/>
    <w:rsid w:val="0007628C"/>
    <w:rsid w:val="00084BDE"/>
    <w:rsid w:val="000A27C4"/>
    <w:rsid w:val="000D49E6"/>
    <w:rsid w:val="000E48C6"/>
    <w:rsid w:val="0010532A"/>
    <w:rsid w:val="00120B17"/>
    <w:rsid w:val="0012703B"/>
    <w:rsid w:val="00127984"/>
    <w:rsid w:val="00147A7E"/>
    <w:rsid w:val="00152C34"/>
    <w:rsid w:val="00156D01"/>
    <w:rsid w:val="001828AC"/>
    <w:rsid w:val="001A5568"/>
    <w:rsid w:val="001C2DCD"/>
    <w:rsid w:val="001D14ED"/>
    <w:rsid w:val="001E06E8"/>
    <w:rsid w:val="001E7A94"/>
    <w:rsid w:val="001F1B1F"/>
    <w:rsid w:val="00260632"/>
    <w:rsid w:val="00265A8A"/>
    <w:rsid w:val="002724C4"/>
    <w:rsid w:val="00284B5A"/>
    <w:rsid w:val="002A4581"/>
    <w:rsid w:val="002B5C50"/>
    <w:rsid w:val="002E2C82"/>
    <w:rsid w:val="002F4984"/>
    <w:rsid w:val="003048BF"/>
    <w:rsid w:val="00314719"/>
    <w:rsid w:val="0031762D"/>
    <w:rsid w:val="003316CF"/>
    <w:rsid w:val="00356001"/>
    <w:rsid w:val="00361210"/>
    <w:rsid w:val="0037016A"/>
    <w:rsid w:val="00376A54"/>
    <w:rsid w:val="00376B75"/>
    <w:rsid w:val="003B5358"/>
    <w:rsid w:val="003C092D"/>
    <w:rsid w:val="003C0C4C"/>
    <w:rsid w:val="003C6D10"/>
    <w:rsid w:val="003F4BD8"/>
    <w:rsid w:val="003F5728"/>
    <w:rsid w:val="00423F50"/>
    <w:rsid w:val="00427D4C"/>
    <w:rsid w:val="004425BB"/>
    <w:rsid w:val="00451790"/>
    <w:rsid w:val="0045484F"/>
    <w:rsid w:val="00454DDD"/>
    <w:rsid w:val="00455DC7"/>
    <w:rsid w:val="00467AFB"/>
    <w:rsid w:val="00471B48"/>
    <w:rsid w:val="004813AA"/>
    <w:rsid w:val="0049414F"/>
    <w:rsid w:val="004A076F"/>
    <w:rsid w:val="004A2CDB"/>
    <w:rsid w:val="004B5276"/>
    <w:rsid w:val="004B6D39"/>
    <w:rsid w:val="004D40D4"/>
    <w:rsid w:val="004F779C"/>
    <w:rsid w:val="004F7EE7"/>
    <w:rsid w:val="00511ED6"/>
    <w:rsid w:val="00515AD0"/>
    <w:rsid w:val="00530095"/>
    <w:rsid w:val="00556183"/>
    <w:rsid w:val="00560CE4"/>
    <w:rsid w:val="00565439"/>
    <w:rsid w:val="00580278"/>
    <w:rsid w:val="005E4A69"/>
    <w:rsid w:val="00604686"/>
    <w:rsid w:val="00606512"/>
    <w:rsid w:val="00613A44"/>
    <w:rsid w:val="006142A8"/>
    <w:rsid w:val="00623DCE"/>
    <w:rsid w:val="006533FB"/>
    <w:rsid w:val="00660ABF"/>
    <w:rsid w:val="00684F5E"/>
    <w:rsid w:val="0069264C"/>
    <w:rsid w:val="00694269"/>
    <w:rsid w:val="00697372"/>
    <w:rsid w:val="006A2F64"/>
    <w:rsid w:val="006C08BB"/>
    <w:rsid w:val="006C458D"/>
    <w:rsid w:val="006C715D"/>
    <w:rsid w:val="006D06E7"/>
    <w:rsid w:val="006E2E26"/>
    <w:rsid w:val="006F6F04"/>
    <w:rsid w:val="00702B10"/>
    <w:rsid w:val="00736DF9"/>
    <w:rsid w:val="0073713F"/>
    <w:rsid w:val="00745A9C"/>
    <w:rsid w:val="00757B4F"/>
    <w:rsid w:val="0076205A"/>
    <w:rsid w:val="0077116B"/>
    <w:rsid w:val="007766CE"/>
    <w:rsid w:val="007842C9"/>
    <w:rsid w:val="00785C6D"/>
    <w:rsid w:val="00795AD4"/>
    <w:rsid w:val="007B1E45"/>
    <w:rsid w:val="007C1EF4"/>
    <w:rsid w:val="007D62F0"/>
    <w:rsid w:val="007F2E89"/>
    <w:rsid w:val="008036C7"/>
    <w:rsid w:val="00806C6F"/>
    <w:rsid w:val="00810E02"/>
    <w:rsid w:val="008222EE"/>
    <w:rsid w:val="008303F3"/>
    <w:rsid w:val="008532D2"/>
    <w:rsid w:val="00882524"/>
    <w:rsid w:val="0088392A"/>
    <w:rsid w:val="008907A3"/>
    <w:rsid w:val="008B18CF"/>
    <w:rsid w:val="008B3AA0"/>
    <w:rsid w:val="008B4D4E"/>
    <w:rsid w:val="008B5A4C"/>
    <w:rsid w:val="008B7808"/>
    <w:rsid w:val="008C7080"/>
    <w:rsid w:val="008E503E"/>
    <w:rsid w:val="008F0A9C"/>
    <w:rsid w:val="009178A8"/>
    <w:rsid w:val="00922C45"/>
    <w:rsid w:val="009A2A29"/>
    <w:rsid w:val="009A5630"/>
    <w:rsid w:val="009C095D"/>
    <w:rsid w:val="009D4116"/>
    <w:rsid w:val="009F5F01"/>
    <w:rsid w:val="00A27A7E"/>
    <w:rsid w:val="00A4556A"/>
    <w:rsid w:val="00A5299D"/>
    <w:rsid w:val="00A57BB4"/>
    <w:rsid w:val="00A66937"/>
    <w:rsid w:val="00A746F6"/>
    <w:rsid w:val="00A806E3"/>
    <w:rsid w:val="00A83832"/>
    <w:rsid w:val="00A90E2C"/>
    <w:rsid w:val="00A9709C"/>
    <w:rsid w:val="00AA5B81"/>
    <w:rsid w:val="00AC5BE1"/>
    <w:rsid w:val="00AD2B13"/>
    <w:rsid w:val="00AE4D52"/>
    <w:rsid w:val="00AF251B"/>
    <w:rsid w:val="00B062EC"/>
    <w:rsid w:val="00B24381"/>
    <w:rsid w:val="00B30DD2"/>
    <w:rsid w:val="00B35D6A"/>
    <w:rsid w:val="00B37E69"/>
    <w:rsid w:val="00B61089"/>
    <w:rsid w:val="00B64DDA"/>
    <w:rsid w:val="00B74BF8"/>
    <w:rsid w:val="00BA2DC8"/>
    <w:rsid w:val="00BA5063"/>
    <w:rsid w:val="00BC62E2"/>
    <w:rsid w:val="00BD0A48"/>
    <w:rsid w:val="00BE60AD"/>
    <w:rsid w:val="00BF4F51"/>
    <w:rsid w:val="00C00AB2"/>
    <w:rsid w:val="00C02F9C"/>
    <w:rsid w:val="00C24CA2"/>
    <w:rsid w:val="00C33121"/>
    <w:rsid w:val="00C35DFA"/>
    <w:rsid w:val="00C57DE8"/>
    <w:rsid w:val="00C966EA"/>
    <w:rsid w:val="00CB130B"/>
    <w:rsid w:val="00CB2401"/>
    <w:rsid w:val="00CE4B2D"/>
    <w:rsid w:val="00CE6AA9"/>
    <w:rsid w:val="00D102DC"/>
    <w:rsid w:val="00D1501B"/>
    <w:rsid w:val="00D21C77"/>
    <w:rsid w:val="00D2734E"/>
    <w:rsid w:val="00D4306E"/>
    <w:rsid w:val="00D45F0F"/>
    <w:rsid w:val="00D613B3"/>
    <w:rsid w:val="00D617FA"/>
    <w:rsid w:val="00D75355"/>
    <w:rsid w:val="00D80A37"/>
    <w:rsid w:val="00DA728B"/>
    <w:rsid w:val="00DB09BD"/>
    <w:rsid w:val="00DC2D94"/>
    <w:rsid w:val="00DD1872"/>
    <w:rsid w:val="00DD5282"/>
    <w:rsid w:val="00E11138"/>
    <w:rsid w:val="00E23388"/>
    <w:rsid w:val="00E314F6"/>
    <w:rsid w:val="00E415BC"/>
    <w:rsid w:val="00E42A65"/>
    <w:rsid w:val="00E61A65"/>
    <w:rsid w:val="00E72D91"/>
    <w:rsid w:val="00E84811"/>
    <w:rsid w:val="00E84812"/>
    <w:rsid w:val="00E958C9"/>
    <w:rsid w:val="00E9705E"/>
    <w:rsid w:val="00EA299E"/>
    <w:rsid w:val="00EC3CDE"/>
    <w:rsid w:val="00EF778D"/>
    <w:rsid w:val="00F0322E"/>
    <w:rsid w:val="00F1771E"/>
    <w:rsid w:val="00F34487"/>
    <w:rsid w:val="00F44C06"/>
    <w:rsid w:val="00F4506D"/>
    <w:rsid w:val="00F6425E"/>
    <w:rsid w:val="00F71FFA"/>
    <w:rsid w:val="00F936C0"/>
    <w:rsid w:val="00F94292"/>
    <w:rsid w:val="00F96113"/>
    <w:rsid w:val="00FA3C5F"/>
    <w:rsid w:val="00FA74D9"/>
    <w:rsid w:val="00FB3101"/>
    <w:rsid w:val="00FD330E"/>
    <w:rsid w:val="00FD6559"/>
    <w:rsid w:val="00FE004A"/>
    <w:rsid w:val="00FE76B2"/>
    <w:rsid w:val="00FF65F1"/>
    <w:rsid w:val="00FF6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B2C53"/>
  <w15:chartTrackingRefBased/>
  <w15:docId w15:val="{1A9A0959-CDFC-49C8-AB0A-F829C84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2EC"/>
    <w:pPr>
      <w:spacing w:after="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B062EC"/>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565439"/>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7A7E"/>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E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65439"/>
    <w:rPr>
      <w:rFonts w:ascii="Times New Roman" w:eastAsiaTheme="majorEastAsia" w:hAnsi="Times New Roman" w:cstheme="majorBidi"/>
      <w:b/>
      <w:sz w:val="24"/>
      <w:szCs w:val="26"/>
    </w:rPr>
  </w:style>
  <w:style w:type="paragraph" w:styleId="Title">
    <w:name w:val="Title"/>
    <w:aliases w:val="Titre atrois"/>
    <w:basedOn w:val="Normal"/>
    <w:next w:val="Normal"/>
    <w:link w:val="TitleChar"/>
    <w:autoRedefine/>
    <w:uiPriority w:val="10"/>
    <w:qFormat/>
    <w:rsid w:val="00B062EC"/>
    <w:pPr>
      <w:contextualSpacing/>
    </w:pPr>
    <w:rPr>
      <w:rFonts w:eastAsiaTheme="majorEastAsia" w:cstheme="majorBidi"/>
      <w:b/>
      <w:spacing w:val="-10"/>
      <w:kern w:val="28"/>
      <w:szCs w:val="56"/>
    </w:rPr>
  </w:style>
  <w:style w:type="character" w:customStyle="1" w:styleId="TitleChar">
    <w:name w:val="Title Char"/>
    <w:aliases w:val="Titre atrois Char"/>
    <w:basedOn w:val="DefaultParagraphFont"/>
    <w:link w:val="Title"/>
    <w:uiPriority w:val="10"/>
    <w:rsid w:val="00B062EC"/>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rsid w:val="00147A7E"/>
    <w:rPr>
      <w:rFonts w:ascii="Times New Roman" w:eastAsiaTheme="majorEastAsia" w:hAnsi="Times New Roman" w:cstheme="majorBidi"/>
      <w:b/>
      <w:sz w:val="24"/>
      <w:szCs w:val="24"/>
    </w:rPr>
  </w:style>
  <w:style w:type="paragraph" w:customStyle="1" w:styleId="ds-markdown-paragraph">
    <w:name w:val="ds-markdown-paragraph"/>
    <w:basedOn w:val="Normal"/>
    <w:rsid w:val="00E9705E"/>
    <w:pPr>
      <w:spacing w:before="100" w:beforeAutospacing="1" w:after="100" w:afterAutospacing="1" w:line="240" w:lineRule="auto"/>
      <w:jc w:val="left"/>
    </w:pPr>
    <w:rPr>
      <w:rFonts w:eastAsia="Times New Roman" w:cs="Times New Roman"/>
      <w:szCs w:val="24"/>
      <w:lang w:eastAsia="fr-FR"/>
    </w:rPr>
  </w:style>
  <w:style w:type="character" w:styleId="Emphasis">
    <w:name w:val="Emphasis"/>
    <w:basedOn w:val="DefaultParagraphFont"/>
    <w:uiPriority w:val="20"/>
    <w:qFormat/>
    <w:rsid w:val="000A27C4"/>
    <w:rPr>
      <w:i/>
      <w:iCs/>
    </w:rPr>
  </w:style>
  <w:style w:type="character" w:styleId="Hyperlink">
    <w:name w:val="Hyperlink"/>
    <w:basedOn w:val="DefaultParagraphFont"/>
    <w:uiPriority w:val="99"/>
    <w:unhideWhenUsed/>
    <w:rsid w:val="000A27C4"/>
    <w:rPr>
      <w:color w:val="0563C1" w:themeColor="hyperlink"/>
      <w:u w:val="single"/>
    </w:rPr>
  </w:style>
  <w:style w:type="character" w:styleId="Strong">
    <w:name w:val="Strong"/>
    <w:basedOn w:val="DefaultParagraphFont"/>
    <w:uiPriority w:val="22"/>
    <w:qFormat/>
    <w:rsid w:val="00C00AB2"/>
    <w:rPr>
      <w:b/>
      <w:bCs/>
    </w:rPr>
  </w:style>
  <w:style w:type="paragraph" w:styleId="Header">
    <w:name w:val="header"/>
    <w:basedOn w:val="Normal"/>
    <w:link w:val="HeaderChar"/>
    <w:uiPriority w:val="99"/>
    <w:unhideWhenUsed/>
    <w:rsid w:val="00F6425E"/>
    <w:pPr>
      <w:tabs>
        <w:tab w:val="center" w:pos="4536"/>
        <w:tab w:val="right" w:pos="9072"/>
      </w:tabs>
      <w:spacing w:line="240" w:lineRule="auto"/>
    </w:pPr>
  </w:style>
  <w:style w:type="character" w:customStyle="1" w:styleId="HeaderChar">
    <w:name w:val="Header Char"/>
    <w:basedOn w:val="DefaultParagraphFont"/>
    <w:link w:val="Header"/>
    <w:uiPriority w:val="99"/>
    <w:rsid w:val="00F6425E"/>
    <w:rPr>
      <w:rFonts w:ascii="Times New Roman" w:hAnsi="Times New Roman"/>
      <w:sz w:val="24"/>
    </w:rPr>
  </w:style>
  <w:style w:type="paragraph" w:styleId="Footer">
    <w:name w:val="footer"/>
    <w:basedOn w:val="Normal"/>
    <w:link w:val="FooterChar"/>
    <w:uiPriority w:val="99"/>
    <w:unhideWhenUsed/>
    <w:rsid w:val="00F6425E"/>
    <w:pPr>
      <w:tabs>
        <w:tab w:val="center" w:pos="4536"/>
        <w:tab w:val="right" w:pos="9072"/>
      </w:tabs>
      <w:spacing w:line="240" w:lineRule="auto"/>
    </w:pPr>
  </w:style>
  <w:style w:type="character" w:customStyle="1" w:styleId="FooterChar">
    <w:name w:val="Footer Char"/>
    <w:basedOn w:val="DefaultParagraphFont"/>
    <w:link w:val="Footer"/>
    <w:uiPriority w:val="99"/>
    <w:rsid w:val="00F6425E"/>
    <w:rPr>
      <w:rFonts w:ascii="Times New Roman" w:hAnsi="Times New Roman"/>
      <w:sz w:val="24"/>
    </w:rPr>
  </w:style>
  <w:style w:type="paragraph" w:styleId="FootnoteText">
    <w:name w:val="footnote text"/>
    <w:basedOn w:val="Normal"/>
    <w:link w:val="FootnoteTextChar"/>
    <w:uiPriority w:val="99"/>
    <w:semiHidden/>
    <w:unhideWhenUsed/>
    <w:rsid w:val="00B30DD2"/>
    <w:pPr>
      <w:spacing w:line="240" w:lineRule="auto"/>
    </w:pPr>
    <w:rPr>
      <w:sz w:val="20"/>
      <w:szCs w:val="20"/>
    </w:rPr>
  </w:style>
  <w:style w:type="character" w:customStyle="1" w:styleId="FootnoteTextChar">
    <w:name w:val="Footnote Text Char"/>
    <w:basedOn w:val="DefaultParagraphFont"/>
    <w:link w:val="FootnoteText"/>
    <w:uiPriority w:val="99"/>
    <w:semiHidden/>
    <w:rsid w:val="00B30DD2"/>
    <w:rPr>
      <w:rFonts w:ascii="Times New Roman" w:hAnsi="Times New Roman"/>
      <w:sz w:val="20"/>
      <w:szCs w:val="20"/>
    </w:rPr>
  </w:style>
  <w:style w:type="character" w:styleId="FootnoteReference">
    <w:name w:val="footnote reference"/>
    <w:basedOn w:val="DefaultParagraphFont"/>
    <w:uiPriority w:val="99"/>
    <w:semiHidden/>
    <w:unhideWhenUsed/>
    <w:rsid w:val="00B30DD2"/>
    <w:rPr>
      <w:vertAlign w:val="superscript"/>
    </w:rPr>
  </w:style>
  <w:style w:type="paragraph" w:styleId="NormalWeb">
    <w:name w:val="Normal (Web)"/>
    <w:basedOn w:val="Normal"/>
    <w:uiPriority w:val="99"/>
    <w:unhideWhenUsed/>
    <w:rsid w:val="003316CF"/>
    <w:pPr>
      <w:spacing w:before="100" w:beforeAutospacing="1" w:after="100" w:afterAutospacing="1" w:line="240" w:lineRule="auto"/>
      <w:jc w:val="left"/>
    </w:pPr>
    <w:rPr>
      <w:rFonts w:eastAsia="Times New Roman" w:cs="Times New Roman"/>
      <w:szCs w:val="24"/>
      <w:lang w:eastAsia="fr-FR"/>
    </w:rPr>
  </w:style>
  <w:style w:type="character" w:styleId="UnresolvedMention">
    <w:name w:val="Unresolved Mention"/>
    <w:basedOn w:val="DefaultParagraphFont"/>
    <w:uiPriority w:val="99"/>
    <w:semiHidden/>
    <w:unhideWhenUsed/>
    <w:rsid w:val="00E958C9"/>
    <w:rPr>
      <w:color w:val="605E5C"/>
      <w:shd w:val="clear" w:color="auto" w:fill="E1DFDD"/>
    </w:rPr>
  </w:style>
  <w:style w:type="paragraph" w:styleId="ListParagraph">
    <w:name w:val="List Paragraph"/>
    <w:basedOn w:val="Normal"/>
    <w:uiPriority w:val="34"/>
    <w:qFormat/>
    <w:rsid w:val="009A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2520">
      <w:bodyDiv w:val="1"/>
      <w:marLeft w:val="0"/>
      <w:marRight w:val="0"/>
      <w:marTop w:val="0"/>
      <w:marBottom w:val="0"/>
      <w:divBdr>
        <w:top w:val="none" w:sz="0" w:space="0" w:color="auto"/>
        <w:left w:val="none" w:sz="0" w:space="0" w:color="auto"/>
        <w:bottom w:val="none" w:sz="0" w:space="0" w:color="auto"/>
        <w:right w:val="none" w:sz="0" w:space="0" w:color="auto"/>
      </w:divBdr>
    </w:div>
    <w:div w:id="1171456553">
      <w:bodyDiv w:val="1"/>
      <w:marLeft w:val="0"/>
      <w:marRight w:val="0"/>
      <w:marTop w:val="0"/>
      <w:marBottom w:val="0"/>
      <w:divBdr>
        <w:top w:val="none" w:sz="0" w:space="0" w:color="auto"/>
        <w:left w:val="none" w:sz="0" w:space="0" w:color="auto"/>
        <w:bottom w:val="none" w:sz="0" w:space="0" w:color="auto"/>
        <w:right w:val="none" w:sz="0" w:space="0" w:color="auto"/>
      </w:divBdr>
      <w:divsChild>
        <w:div w:id="1962225045">
          <w:marLeft w:val="0"/>
          <w:marRight w:val="0"/>
          <w:marTop w:val="0"/>
          <w:marBottom w:val="0"/>
          <w:divBdr>
            <w:top w:val="none" w:sz="0" w:space="0" w:color="auto"/>
            <w:left w:val="none" w:sz="0" w:space="0" w:color="auto"/>
            <w:bottom w:val="none" w:sz="0" w:space="0" w:color="auto"/>
            <w:right w:val="none" w:sz="0" w:space="0" w:color="auto"/>
          </w:divBdr>
        </w:div>
      </w:divsChild>
    </w:div>
    <w:div w:id="1240481121">
      <w:bodyDiv w:val="1"/>
      <w:marLeft w:val="0"/>
      <w:marRight w:val="0"/>
      <w:marTop w:val="0"/>
      <w:marBottom w:val="0"/>
      <w:divBdr>
        <w:top w:val="none" w:sz="0" w:space="0" w:color="auto"/>
        <w:left w:val="none" w:sz="0" w:space="0" w:color="auto"/>
        <w:bottom w:val="none" w:sz="0" w:space="0" w:color="auto"/>
        <w:right w:val="none" w:sz="0" w:space="0" w:color="auto"/>
      </w:divBdr>
    </w:div>
    <w:div w:id="1293099848">
      <w:bodyDiv w:val="1"/>
      <w:marLeft w:val="0"/>
      <w:marRight w:val="0"/>
      <w:marTop w:val="0"/>
      <w:marBottom w:val="0"/>
      <w:divBdr>
        <w:top w:val="none" w:sz="0" w:space="0" w:color="auto"/>
        <w:left w:val="none" w:sz="0" w:space="0" w:color="auto"/>
        <w:bottom w:val="none" w:sz="0" w:space="0" w:color="auto"/>
        <w:right w:val="none" w:sz="0" w:space="0" w:color="auto"/>
      </w:divBdr>
    </w:div>
    <w:div w:id="1381397245">
      <w:bodyDiv w:val="1"/>
      <w:marLeft w:val="0"/>
      <w:marRight w:val="0"/>
      <w:marTop w:val="0"/>
      <w:marBottom w:val="0"/>
      <w:divBdr>
        <w:top w:val="none" w:sz="0" w:space="0" w:color="auto"/>
        <w:left w:val="none" w:sz="0" w:space="0" w:color="auto"/>
        <w:bottom w:val="none" w:sz="0" w:space="0" w:color="auto"/>
        <w:right w:val="none" w:sz="0" w:space="0" w:color="auto"/>
      </w:divBdr>
      <w:divsChild>
        <w:div w:id="1352563105">
          <w:marLeft w:val="0"/>
          <w:marRight w:val="0"/>
          <w:marTop w:val="0"/>
          <w:marBottom w:val="0"/>
          <w:divBdr>
            <w:top w:val="none" w:sz="0" w:space="0" w:color="auto"/>
            <w:left w:val="none" w:sz="0" w:space="0" w:color="auto"/>
            <w:bottom w:val="none" w:sz="0" w:space="0" w:color="auto"/>
            <w:right w:val="none" w:sz="0" w:space="0" w:color="auto"/>
          </w:divBdr>
        </w:div>
      </w:divsChild>
    </w:div>
    <w:div w:id="1385908798">
      <w:bodyDiv w:val="1"/>
      <w:marLeft w:val="0"/>
      <w:marRight w:val="0"/>
      <w:marTop w:val="0"/>
      <w:marBottom w:val="0"/>
      <w:divBdr>
        <w:top w:val="none" w:sz="0" w:space="0" w:color="auto"/>
        <w:left w:val="none" w:sz="0" w:space="0" w:color="auto"/>
        <w:bottom w:val="none" w:sz="0" w:space="0" w:color="auto"/>
        <w:right w:val="none" w:sz="0" w:space="0" w:color="auto"/>
      </w:divBdr>
    </w:div>
    <w:div w:id="1707750461">
      <w:bodyDiv w:val="1"/>
      <w:marLeft w:val="0"/>
      <w:marRight w:val="0"/>
      <w:marTop w:val="0"/>
      <w:marBottom w:val="0"/>
      <w:divBdr>
        <w:top w:val="none" w:sz="0" w:space="0" w:color="auto"/>
        <w:left w:val="none" w:sz="0" w:space="0" w:color="auto"/>
        <w:bottom w:val="none" w:sz="0" w:space="0" w:color="auto"/>
        <w:right w:val="none" w:sz="0" w:space="0" w:color="auto"/>
      </w:divBdr>
    </w:div>
    <w:div w:id="1952977890">
      <w:bodyDiv w:val="1"/>
      <w:marLeft w:val="0"/>
      <w:marRight w:val="0"/>
      <w:marTop w:val="0"/>
      <w:marBottom w:val="0"/>
      <w:divBdr>
        <w:top w:val="none" w:sz="0" w:space="0" w:color="auto"/>
        <w:left w:val="none" w:sz="0" w:space="0" w:color="auto"/>
        <w:bottom w:val="none" w:sz="0" w:space="0" w:color="auto"/>
        <w:right w:val="none" w:sz="0" w:space="0" w:color="auto"/>
      </w:divBdr>
      <w:divsChild>
        <w:div w:id="27139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ea.blob.core.windows.net/assets/830fe099-5530-48f2-a7c1-11f35d510983/WorldEnergyOutlook2022.pdf"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E9C9-76A6-4234-8166-2146C521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15</Pages>
  <Words>5278</Words>
  <Characters>30085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 Mk</dc:creator>
  <cp:keywords/>
  <dc:description/>
  <cp:lastModifiedBy>SDI 1084</cp:lastModifiedBy>
  <cp:revision>199</cp:revision>
  <dcterms:created xsi:type="dcterms:W3CDTF">2025-05-16T10:10:00Z</dcterms:created>
  <dcterms:modified xsi:type="dcterms:W3CDTF">2025-05-19T06:52:00Z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db10faae-0717-477e-88b7-21d31b2b3e42</vt:lpwstr>
  </property>
</Properties>
</file>