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448BF" w14:textId="77777777" w:rsidR="00E552BF" w:rsidRDefault="00E552BF" w:rsidP="00A324B0">
      <w:pPr>
        <w:spacing w:after="0" w:line="240" w:lineRule="auto"/>
        <w:ind w:left="0" w:right="0" w:firstLine="0"/>
        <w:jc w:val="center"/>
        <w:rPr>
          <w:rFonts w:ascii="Arial" w:eastAsia="Calibri" w:hAnsi="Arial" w:cs="Arial"/>
          <w:b/>
          <w:bCs/>
          <w:sz w:val="32"/>
          <w:szCs w:val="32"/>
        </w:rPr>
      </w:pPr>
      <w:bookmarkStart w:id="0" w:name="_Toc186274310"/>
    </w:p>
    <w:p w14:paraId="621698D4" w14:textId="52042C70" w:rsidR="008936E0" w:rsidRDefault="00932204" w:rsidP="00A324B0">
      <w:pPr>
        <w:spacing w:after="0" w:line="240" w:lineRule="auto"/>
        <w:ind w:left="0" w:right="0" w:firstLine="0"/>
        <w:jc w:val="center"/>
        <w:rPr>
          <w:rFonts w:ascii="Arial" w:eastAsia="Calibri" w:hAnsi="Arial" w:cs="Arial"/>
          <w:b/>
          <w:bCs/>
          <w:sz w:val="32"/>
          <w:szCs w:val="32"/>
        </w:rPr>
      </w:pPr>
      <w:r w:rsidRPr="001A6F10">
        <w:rPr>
          <w:rFonts w:ascii="Arial" w:eastAsia="Calibri" w:hAnsi="Arial" w:cs="Arial"/>
          <w:b/>
          <w:bCs/>
          <w:sz w:val="32"/>
          <w:szCs w:val="32"/>
        </w:rPr>
        <w:t>Strategic Development of Mangrove Ecotourism in Tanjung Rejo Village, Deli Serdang Regency: A SWOT-Based Community-Centered Approach</w:t>
      </w:r>
    </w:p>
    <w:p w14:paraId="0175F279" w14:textId="77777777" w:rsidR="006A1EF0" w:rsidRPr="001A6F10" w:rsidRDefault="006A1EF0" w:rsidP="00A324B0">
      <w:pPr>
        <w:spacing w:after="0" w:line="240" w:lineRule="auto"/>
        <w:ind w:left="0" w:right="0" w:firstLine="0"/>
        <w:jc w:val="center"/>
        <w:rPr>
          <w:rFonts w:ascii="Arial" w:eastAsia="Calibri" w:hAnsi="Arial" w:cs="Arial"/>
          <w:sz w:val="32"/>
          <w:szCs w:val="32"/>
        </w:rPr>
      </w:pPr>
    </w:p>
    <w:p w14:paraId="6680A300" w14:textId="77777777" w:rsidR="005B5A6B" w:rsidRPr="004A3752" w:rsidRDefault="005B5A6B" w:rsidP="00C209F2">
      <w:pPr>
        <w:spacing w:after="0" w:line="240" w:lineRule="auto"/>
        <w:jc w:val="center"/>
        <w:outlineLvl w:val="0"/>
        <w:rPr>
          <w:rFonts w:ascii="Arial" w:hAnsi="Arial" w:cs="Arial"/>
          <w:sz w:val="20"/>
          <w:szCs w:val="20"/>
        </w:rPr>
      </w:pPr>
    </w:p>
    <w:p w14:paraId="1E77D58D" w14:textId="77777777" w:rsidR="00E221F3" w:rsidRPr="004A3752" w:rsidRDefault="00E221F3" w:rsidP="00C209F2">
      <w:pPr>
        <w:spacing w:after="0" w:line="240" w:lineRule="auto"/>
        <w:jc w:val="center"/>
        <w:outlineLvl w:val="0"/>
        <w:rPr>
          <w:rFonts w:ascii="Arial" w:hAnsi="Arial" w:cs="Arial"/>
          <w:sz w:val="20"/>
          <w:szCs w:val="20"/>
        </w:rPr>
      </w:pPr>
    </w:p>
    <w:p w14:paraId="2F2F0CB0" w14:textId="77777777" w:rsidR="008936E0" w:rsidRPr="004A3752" w:rsidRDefault="008936E0" w:rsidP="00C209F2">
      <w:pPr>
        <w:spacing w:after="0" w:line="240" w:lineRule="auto"/>
        <w:ind w:left="0" w:right="0" w:firstLine="0"/>
        <w:jc w:val="center"/>
        <w:rPr>
          <w:rFonts w:ascii="Arial" w:eastAsia="Calibri" w:hAnsi="Arial" w:cs="Arial"/>
          <w:b/>
          <w:bCs/>
          <w:sz w:val="20"/>
          <w:szCs w:val="20"/>
        </w:rPr>
      </w:pPr>
      <w:r w:rsidRPr="004A3752">
        <w:rPr>
          <w:rFonts w:ascii="Arial" w:eastAsia="Calibri" w:hAnsi="Arial" w:cs="Arial"/>
          <w:b/>
          <w:bCs/>
          <w:sz w:val="20"/>
          <w:szCs w:val="20"/>
        </w:rPr>
        <w:t>Abstract</w:t>
      </w:r>
    </w:p>
    <w:p w14:paraId="309E62B8" w14:textId="77777777" w:rsidR="00932204" w:rsidRPr="004A3752" w:rsidRDefault="00932204" w:rsidP="00C209F2">
      <w:pPr>
        <w:spacing w:after="0" w:line="240" w:lineRule="auto"/>
        <w:ind w:left="0" w:right="0" w:firstLine="0"/>
        <w:jc w:val="center"/>
        <w:rPr>
          <w:rFonts w:ascii="Arial" w:eastAsia="Calibri" w:hAnsi="Arial" w:cs="Arial"/>
          <w:b/>
          <w:bCs/>
          <w:sz w:val="20"/>
          <w:szCs w:val="20"/>
        </w:rPr>
      </w:pPr>
    </w:p>
    <w:p w14:paraId="3B06988D" w14:textId="53F0D710" w:rsidR="008936E0" w:rsidRPr="004A3752" w:rsidRDefault="00932204" w:rsidP="00C209F2">
      <w:pPr>
        <w:spacing w:after="0" w:line="240" w:lineRule="auto"/>
        <w:ind w:left="0" w:right="0" w:firstLine="0"/>
        <w:rPr>
          <w:rFonts w:ascii="Arial" w:eastAsia="Calibri" w:hAnsi="Arial" w:cs="Arial"/>
          <w:sz w:val="20"/>
          <w:szCs w:val="20"/>
        </w:rPr>
      </w:pPr>
      <w:r w:rsidRPr="004A3752">
        <w:rPr>
          <w:rFonts w:ascii="Arial" w:eastAsia="Calibri" w:hAnsi="Arial" w:cs="Arial"/>
          <w:sz w:val="20"/>
          <w:szCs w:val="20"/>
        </w:rPr>
        <w:t>Mangrove ecotourism offers a sustainable alternative for coastal development by integrating conservation, community participation, and local economic empowerment. This study explores strategic development opportunities for mangrove ecotourism in Tanjung Rejo Village, Deli Serdang Regency, Indonesia, an area recently designated as a mangrove tourism village. Using a mixed-method approach, data were collected through structured questionnaires, stakeholder interviews, and field observations. A SWOT analysis, supported by the Internal Factor Evaluation (IFE) and External Factor Evaluation (EFE) matrices, was applied to identify internal strengths and weaknesses, as well as external opportunities and threats. Results indicate that Tanjung Rejo possesses strong ecological assets and growing tourism interest but faces limitations in infrastructure, institutional coordination, and promotional efforts. The analysis revealed the most strategic quadrant to be Strengths–Opportunities (SO), suggesting an aggressive strategy is appropriate. Recommended strategies include improving tourism amenities, leveraging government and NGO partnerships, and strengthening community-based management practices. The findings underscore the importance of aligning ecotourism development with sustainable regional planning, particularly in environmentally sensitive coastal zones. This study contributes to the growing literature on community-based ecotourism in Southeast Asia and offers practical guidance for policymakers, planners, and local stakeholders aiming to balance economic benefits with mangrove conservation</w:t>
      </w:r>
      <w:r w:rsidR="008936E0" w:rsidRPr="004A3752">
        <w:rPr>
          <w:rFonts w:ascii="Arial" w:eastAsia="Calibri" w:hAnsi="Arial" w:cs="Arial"/>
          <w:sz w:val="20"/>
          <w:szCs w:val="20"/>
        </w:rPr>
        <w:t>.</w:t>
      </w:r>
    </w:p>
    <w:p w14:paraId="6A03CFB4" w14:textId="77777777" w:rsidR="008936E0" w:rsidRPr="004A3752" w:rsidRDefault="008936E0" w:rsidP="00C209F2">
      <w:pPr>
        <w:spacing w:after="0" w:line="240" w:lineRule="auto"/>
        <w:ind w:left="0" w:right="0" w:firstLine="0"/>
        <w:jc w:val="left"/>
        <w:rPr>
          <w:rFonts w:ascii="Arial" w:eastAsia="Calibri" w:hAnsi="Arial" w:cs="Arial"/>
          <w:b/>
          <w:bCs/>
          <w:sz w:val="20"/>
          <w:szCs w:val="20"/>
        </w:rPr>
      </w:pPr>
    </w:p>
    <w:p w14:paraId="0717202F" w14:textId="373DA1EC" w:rsidR="008936E0" w:rsidRPr="004A3752" w:rsidRDefault="008936E0" w:rsidP="00C209F2">
      <w:pPr>
        <w:spacing w:after="0" w:line="240" w:lineRule="auto"/>
        <w:ind w:left="0" w:right="0" w:firstLine="0"/>
        <w:rPr>
          <w:rFonts w:ascii="Arial" w:eastAsia="Calibri" w:hAnsi="Arial" w:cs="Arial"/>
          <w:sz w:val="20"/>
          <w:szCs w:val="20"/>
        </w:rPr>
      </w:pPr>
      <w:r w:rsidRPr="004A3752">
        <w:rPr>
          <w:rFonts w:ascii="Arial" w:eastAsia="Calibri" w:hAnsi="Arial" w:cs="Arial"/>
          <w:b/>
          <w:bCs/>
          <w:sz w:val="20"/>
          <w:szCs w:val="20"/>
        </w:rPr>
        <w:t>Keywords</w:t>
      </w:r>
      <w:r w:rsidRPr="004A3752">
        <w:rPr>
          <w:rFonts w:ascii="Arial" w:eastAsia="Calibri" w:hAnsi="Arial" w:cs="Arial"/>
          <w:sz w:val="20"/>
          <w:szCs w:val="20"/>
        </w:rPr>
        <w:t xml:space="preserve">: </w:t>
      </w:r>
      <w:r w:rsidR="00932204" w:rsidRPr="004A3752">
        <w:rPr>
          <w:rFonts w:ascii="Arial" w:eastAsia="Calibri" w:hAnsi="Arial" w:cs="Arial"/>
          <w:sz w:val="20"/>
          <w:szCs w:val="20"/>
        </w:rPr>
        <w:t>Mangrove ecotourism, strategic planning, SWOT analysis, community-based tourism, Deli Serdang, sustainable development</w:t>
      </w:r>
      <w:r w:rsidRPr="004A3752">
        <w:rPr>
          <w:rFonts w:ascii="Arial" w:eastAsia="Calibri" w:hAnsi="Arial" w:cs="Arial"/>
          <w:sz w:val="20"/>
          <w:szCs w:val="20"/>
        </w:rPr>
        <w:t>.</w:t>
      </w:r>
    </w:p>
    <w:p w14:paraId="409CDDD7" w14:textId="77777777" w:rsidR="00CD19C3" w:rsidRPr="004A3752" w:rsidRDefault="00CD19C3" w:rsidP="00C209F2">
      <w:pPr>
        <w:spacing w:after="0" w:line="240" w:lineRule="auto"/>
        <w:ind w:left="0" w:right="0" w:firstLine="0"/>
        <w:jc w:val="left"/>
        <w:rPr>
          <w:rFonts w:ascii="Arial" w:eastAsia="Calibri" w:hAnsi="Arial" w:cs="Arial"/>
          <w:sz w:val="20"/>
          <w:szCs w:val="20"/>
        </w:rPr>
      </w:pPr>
    </w:p>
    <w:p w14:paraId="663A75F8" w14:textId="6D6AF88D" w:rsidR="00CD19C3" w:rsidRPr="004A3752" w:rsidRDefault="008936E0" w:rsidP="00CD59A5">
      <w:pPr>
        <w:pStyle w:val="ListParagraph"/>
        <w:numPr>
          <w:ilvl w:val="0"/>
          <w:numId w:val="1"/>
        </w:numPr>
        <w:spacing w:after="0" w:line="240" w:lineRule="auto"/>
        <w:ind w:left="709" w:right="0"/>
        <w:jc w:val="left"/>
        <w:rPr>
          <w:rFonts w:ascii="Arial" w:eastAsia="Calibri" w:hAnsi="Arial" w:cs="Arial"/>
          <w:b/>
          <w:bCs/>
          <w:sz w:val="20"/>
          <w:szCs w:val="20"/>
          <w:lang w:val="fi-FI"/>
        </w:rPr>
      </w:pPr>
      <w:r w:rsidRPr="004A3752">
        <w:rPr>
          <w:rFonts w:ascii="Arial" w:eastAsia="Calibri" w:hAnsi="Arial" w:cs="Arial"/>
          <w:b/>
          <w:bCs/>
          <w:sz w:val="20"/>
          <w:szCs w:val="20"/>
          <w:lang w:val="fi-FI"/>
        </w:rPr>
        <w:t>Introduction</w:t>
      </w:r>
    </w:p>
    <w:p w14:paraId="2FBA3949" w14:textId="77777777" w:rsidR="00932204" w:rsidRPr="004A3752" w:rsidRDefault="00932204" w:rsidP="00932204">
      <w:pPr>
        <w:spacing w:after="0" w:line="240" w:lineRule="auto"/>
        <w:ind w:left="0" w:right="0" w:firstLine="720"/>
        <w:rPr>
          <w:rFonts w:ascii="Arial" w:eastAsia="Calibri" w:hAnsi="Arial" w:cs="Arial"/>
          <w:sz w:val="20"/>
          <w:szCs w:val="20"/>
        </w:rPr>
      </w:pPr>
    </w:p>
    <w:p w14:paraId="7D6C4C37" w14:textId="097AE2FF" w:rsidR="0022444E" w:rsidRPr="0022444E" w:rsidRDefault="0022444E" w:rsidP="0022444E">
      <w:pPr>
        <w:spacing w:after="0" w:line="240" w:lineRule="auto"/>
        <w:ind w:left="0" w:right="0" w:firstLine="720"/>
        <w:rPr>
          <w:rFonts w:ascii="Arial" w:eastAsia="Calibri" w:hAnsi="Arial" w:cs="Arial"/>
          <w:sz w:val="20"/>
          <w:szCs w:val="20"/>
        </w:rPr>
      </w:pPr>
      <w:r w:rsidRPr="0022444E">
        <w:rPr>
          <w:rFonts w:ascii="Arial" w:eastAsia="Calibri" w:hAnsi="Arial" w:cs="Arial"/>
          <w:sz w:val="20"/>
          <w:szCs w:val="20"/>
        </w:rPr>
        <w:t>Mangrove forests represent one of the most vital ecosystems in tropical coastal areas. In Indonesia, they cover over 3.3 million hectares and contribute to coastal protection, biodiversity conservation, and carbon sequestration (</w:t>
      </w:r>
      <w:proofErr w:type="spellStart"/>
      <w:r w:rsidRPr="0022444E">
        <w:rPr>
          <w:rFonts w:ascii="Arial" w:eastAsia="Calibri" w:hAnsi="Arial" w:cs="Arial"/>
          <w:sz w:val="20"/>
          <w:szCs w:val="20"/>
        </w:rPr>
        <w:t>Alfiandri</w:t>
      </w:r>
      <w:proofErr w:type="spellEnd"/>
      <w:r w:rsidRPr="0022444E">
        <w:rPr>
          <w:rFonts w:ascii="Arial" w:eastAsia="Calibri" w:hAnsi="Arial" w:cs="Arial"/>
          <w:sz w:val="20"/>
          <w:szCs w:val="20"/>
        </w:rPr>
        <w:t xml:space="preserve"> et al., 2024). Despite their significance, these ecosystems face increasing pressure from aquaculture, coastal development, and unsustainable tourism. Ecotourism has gained global traction as a sustainable alternative that merges conservation with socio-economic development. In particular, community-based mangrove ecotourism offers an integrated model for local empowerment and environmental stewardship (</w:t>
      </w:r>
      <w:proofErr w:type="spellStart"/>
      <w:r w:rsidRPr="0022444E">
        <w:rPr>
          <w:rFonts w:ascii="Arial" w:eastAsia="Calibri" w:hAnsi="Arial" w:cs="Arial"/>
          <w:sz w:val="20"/>
          <w:szCs w:val="20"/>
        </w:rPr>
        <w:t>Triyanti</w:t>
      </w:r>
      <w:proofErr w:type="spellEnd"/>
      <w:r w:rsidRPr="0022444E">
        <w:rPr>
          <w:rFonts w:ascii="Arial" w:eastAsia="Calibri" w:hAnsi="Arial" w:cs="Arial"/>
          <w:sz w:val="20"/>
          <w:szCs w:val="20"/>
        </w:rPr>
        <w:t xml:space="preserve"> et al., 2025).</w:t>
      </w:r>
    </w:p>
    <w:p w14:paraId="3C4281E4" w14:textId="139ED618" w:rsidR="0022444E" w:rsidRPr="0022444E" w:rsidRDefault="0022444E" w:rsidP="0022444E">
      <w:pPr>
        <w:spacing w:after="0" w:line="240" w:lineRule="auto"/>
        <w:ind w:left="0" w:right="0" w:firstLine="720"/>
        <w:rPr>
          <w:rFonts w:ascii="Arial" w:eastAsia="Calibri" w:hAnsi="Arial" w:cs="Arial"/>
          <w:sz w:val="20"/>
          <w:szCs w:val="20"/>
        </w:rPr>
      </w:pPr>
      <w:r w:rsidRPr="0022444E">
        <w:rPr>
          <w:rFonts w:ascii="Arial" w:eastAsia="Calibri" w:hAnsi="Arial" w:cs="Arial"/>
          <w:sz w:val="20"/>
          <w:szCs w:val="20"/>
        </w:rPr>
        <w:t xml:space="preserve">The community-based tourism (CBT) approach promotes inclusive participation in tourism development by involving local residents as stakeholders and beneficiaries. Compared to conventional tourism, CBT enhances local ownership, preserves cultural identity, and supports environmental conservation (Izudin &amp; Aditya, 2025). In Indonesia, several coastal villages have successfully implemented CBT to transform underutilized mangrove areas into sustainable tourism destinations. </w:t>
      </w:r>
      <w:proofErr w:type="spellStart"/>
      <w:r w:rsidRPr="0022444E">
        <w:rPr>
          <w:rFonts w:ascii="Arial" w:eastAsia="Calibri" w:hAnsi="Arial" w:cs="Arial"/>
          <w:sz w:val="20"/>
          <w:szCs w:val="20"/>
        </w:rPr>
        <w:t>Triyanti</w:t>
      </w:r>
      <w:proofErr w:type="spellEnd"/>
      <w:r w:rsidRPr="0022444E">
        <w:rPr>
          <w:rFonts w:ascii="Arial" w:eastAsia="Calibri" w:hAnsi="Arial" w:cs="Arial"/>
          <w:sz w:val="20"/>
          <w:szCs w:val="20"/>
        </w:rPr>
        <w:t xml:space="preserve"> et al. (2025) found that such transitions also promote local leadership and environmental education.</w:t>
      </w:r>
    </w:p>
    <w:p w14:paraId="1AFCF4B0" w14:textId="63AB419D" w:rsidR="0022444E" w:rsidRPr="0022444E" w:rsidRDefault="0022444E" w:rsidP="0022444E">
      <w:pPr>
        <w:spacing w:after="0" w:line="240" w:lineRule="auto"/>
        <w:ind w:left="0" w:right="0" w:firstLine="720"/>
        <w:rPr>
          <w:rFonts w:ascii="Arial" w:eastAsia="Calibri" w:hAnsi="Arial" w:cs="Arial"/>
          <w:sz w:val="20"/>
          <w:szCs w:val="20"/>
        </w:rPr>
      </w:pPr>
      <w:r w:rsidRPr="0022444E">
        <w:rPr>
          <w:rFonts w:ascii="Arial" w:eastAsia="Calibri" w:hAnsi="Arial" w:cs="Arial"/>
          <w:sz w:val="20"/>
          <w:szCs w:val="20"/>
        </w:rPr>
        <w:t>Indonesia’s vast coastline and ecological diversity make it an ideal site for mangrove ecotourism. However, many potential locations remain underdeveloped due to weak planning frameworks, insufficient promotion, and lack of stakeholder coordination (</w:t>
      </w:r>
      <w:proofErr w:type="spellStart"/>
      <w:r w:rsidRPr="0022444E">
        <w:rPr>
          <w:rFonts w:ascii="Arial" w:eastAsia="Calibri" w:hAnsi="Arial" w:cs="Arial"/>
          <w:sz w:val="20"/>
          <w:szCs w:val="20"/>
        </w:rPr>
        <w:t>Ampou</w:t>
      </w:r>
      <w:proofErr w:type="spellEnd"/>
      <w:r w:rsidRPr="0022444E">
        <w:rPr>
          <w:rFonts w:ascii="Arial" w:eastAsia="Calibri" w:hAnsi="Arial" w:cs="Arial"/>
          <w:sz w:val="20"/>
          <w:szCs w:val="20"/>
        </w:rPr>
        <w:t xml:space="preserve"> et al., 2024). </w:t>
      </w:r>
      <w:proofErr w:type="spellStart"/>
      <w:r w:rsidRPr="0022444E">
        <w:rPr>
          <w:rFonts w:ascii="Arial" w:eastAsia="Calibri" w:hAnsi="Arial" w:cs="Arial"/>
          <w:sz w:val="20"/>
          <w:szCs w:val="20"/>
        </w:rPr>
        <w:t>Prasetia</w:t>
      </w:r>
      <w:proofErr w:type="spellEnd"/>
      <w:r w:rsidRPr="0022444E">
        <w:rPr>
          <w:rFonts w:ascii="Arial" w:eastAsia="Calibri" w:hAnsi="Arial" w:cs="Arial"/>
          <w:sz w:val="20"/>
          <w:szCs w:val="20"/>
        </w:rPr>
        <w:t xml:space="preserve"> et al. (2024) emphasized the importance of multi-sectoral collaboration and structured strategic planning to unlock ecotourism potential. Tools like SWOT analysis can help identify key development priorities and guide policy directions.</w:t>
      </w:r>
    </w:p>
    <w:p w14:paraId="44897088" w14:textId="0333B3A8" w:rsidR="0022444E" w:rsidRPr="0022444E" w:rsidRDefault="0022444E" w:rsidP="0022444E">
      <w:pPr>
        <w:spacing w:after="0" w:line="240" w:lineRule="auto"/>
        <w:ind w:left="0" w:right="0" w:firstLine="720"/>
        <w:rPr>
          <w:rFonts w:ascii="Arial" w:eastAsia="Calibri" w:hAnsi="Arial" w:cs="Arial"/>
          <w:sz w:val="20"/>
          <w:szCs w:val="20"/>
        </w:rPr>
      </w:pPr>
      <w:r w:rsidRPr="0022444E">
        <w:rPr>
          <w:rFonts w:ascii="Arial" w:eastAsia="Calibri" w:hAnsi="Arial" w:cs="Arial"/>
          <w:sz w:val="20"/>
          <w:szCs w:val="20"/>
        </w:rPr>
        <w:t xml:space="preserve">One area with promising ecotourism potential is Tanjung Rejo Village in Deli Serdang Regency, North Sumatra. Designated as a mangrove tourism village, it boasts rich biodiversity </w:t>
      </w:r>
      <w:r w:rsidRPr="0022444E">
        <w:rPr>
          <w:rFonts w:ascii="Arial" w:eastAsia="Calibri" w:hAnsi="Arial" w:cs="Arial"/>
          <w:sz w:val="20"/>
          <w:szCs w:val="20"/>
        </w:rPr>
        <w:lastRenderedPageBreak/>
        <w:t>and strategic location. Yet, its development faces challenges such as limited infrastructure, lack of marketing, and poor coordination among tourism actors. A structured strategy is urgently needed to optimize the ecological and economic value of the area. Community empowerment must also be central to the development process (Hatani et al., 2024).</w:t>
      </w:r>
    </w:p>
    <w:p w14:paraId="39D1C099" w14:textId="19D721C7" w:rsidR="0022444E" w:rsidRPr="0022444E" w:rsidRDefault="0022444E" w:rsidP="0022444E">
      <w:pPr>
        <w:spacing w:after="0" w:line="240" w:lineRule="auto"/>
        <w:ind w:left="0" w:right="0" w:firstLine="720"/>
        <w:rPr>
          <w:rFonts w:ascii="Arial" w:eastAsia="Calibri" w:hAnsi="Arial" w:cs="Arial"/>
          <w:sz w:val="20"/>
          <w:szCs w:val="20"/>
        </w:rPr>
      </w:pPr>
      <w:r w:rsidRPr="0022444E">
        <w:rPr>
          <w:rFonts w:ascii="Arial" w:eastAsia="Calibri" w:hAnsi="Arial" w:cs="Arial"/>
          <w:sz w:val="20"/>
          <w:szCs w:val="20"/>
        </w:rPr>
        <w:t>Globally, sustainable tourism development aligns with the principles of social equity, environmental integrity, and economic viability. In their study of Mina-</w:t>
      </w:r>
      <w:proofErr w:type="spellStart"/>
      <w:r w:rsidRPr="0022444E">
        <w:rPr>
          <w:rFonts w:ascii="Arial" w:eastAsia="Calibri" w:hAnsi="Arial" w:cs="Arial"/>
          <w:sz w:val="20"/>
          <w:szCs w:val="20"/>
        </w:rPr>
        <w:t>Minanga</w:t>
      </w:r>
      <w:proofErr w:type="spellEnd"/>
      <w:r w:rsidRPr="0022444E">
        <w:rPr>
          <w:rFonts w:ascii="Arial" w:eastAsia="Calibri" w:hAnsi="Arial" w:cs="Arial"/>
          <w:sz w:val="20"/>
          <w:szCs w:val="20"/>
        </w:rPr>
        <w:t xml:space="preserve"> Beach, </w:t>
      </w:r>
      <w:proofErr w:type="spellStart"/>
      <w:r w:rsidRPr="0022444E">
        <w:rPr>
          <w:rFonts w:ascii="Arial" w:eastAsia="Calibri" w:hAnsi="Arial" w:cs="Arial"/>
          <w:sz w:val="20"/>
          <w:szCs w:val="20"/>
        </w:rPr>
        <w:t>Hatani</w:t>
      </w:r>
      <w:proofErr w:type="spellEnd"/>
      <w:r w:rsidRPr="0022444E">
        <w:rPr>
          <w:rFonts w:ascii="Arial" w:eastAsia="Calibri" w:hAnsi="Arial" w:cs="Arial"/>
          <w:sz w:val="20"/>
          <w:szCs w:val="20"/>
        </w:rPr>
        <w:t xml:space="preserve"> et al. (2024) illustrated how integrating local wisdom, spatial planning, and participatory governance can revitalize degraded coastal areas. The case of Tanjung Rejo similarly requires a strategic development plan that blends local participation with regional policy alignment. This includes the integration of environmental safeguards and inclusive benefit-sharing mechanisms.</w:t>
      </w:r>
    </w:p>
    <w:p w14:paraId="45C2DB2B" w14:textId="6616A7D8" w:rsidR="0022444E" w:rsidRPr="0022444E" w:rsidRDefault="0022444E" w:rsidP="0022444E">
      <w:pPr>
        <w:spacing w:after="0" w:line="240" w:lineRule="auto"/>
        <w:ind w:left="0" w:right="0" w:firstLine="720"/>
        <w:rPr>
          <w:rFonts w:ascii="Arial" w:eastAsia="Calibri" w:hAnsi="Arial" w:cs="Arial"/>
          <w:sz w:val="20"/>
          <w:szCs w:val="20"/>
        </w:rPr>
      </w:pPr>
      <w:r w:rsidRPr="0022444E">
        <w:rPr>
          <w:rFonts w:ascii="Arial" w:eastAsia="Calibri" w:hAnsi="Arial" w:cs="Arial"/>
          <w:sz w:val="20"/>
          <w:szCs w:val="20"/>
        </w:rPr>
        <w:t xml:space="preserve">The SWOT (Strengths, Weaknesses, Opportunities, Threats) framework is widely used in ecotourism planning to evaluate both internal and external factors. In </w:t>
      </w:r>
      <w:proofErr w:type="spellStart"/>
      <w:r w:rsidRPr="0022444E">
        <w:rPr>
          <w:rFonts w:ascii="Arial" w:eastAsia="Calibri" w:hAnsi="Arial" w:cs="Arial"/>
          <w:sz w:val="20"/>
          <w:szCs w:val="20"/>
        </w:rPr>
        <w:t>Karangsong</w:t>
      </w:r>
      <w:proofErr w:type="spellEnd"/>
      <w:r w:rsidRPr="0022444E">
        <w:rPr>
          <w:rFonts w:ascii="Arial" w:eastAsia="Calibri" w:hAnsi="Arial" w:cs="Arial"/>
          <w:sz w:val="20"/>
          <w:szCs w:val="20"/>
        </w:rPr>
        <w:t xml:space="preserve">, West Java, </w:t>
      </w:r>
      <w:proofErr w:type="spellStart"/>
      <w:r w:rsidRPr="0022444E">
        <w:rPr>
          <w:rFonts w:ascii="Arial" w:eastAsia="Calibri" w:hAnsi="Arial" w:cs="Arial"/>
          <w:sz w:val="20"/>
          <w:szCs w:val="20"/>
        </w:rPr>
        <w:t>Khuluq</w:t>
      </w:r>
      <w:proofErr w:type="spellEnd"/>
      <w:r w:rsidRPr="0022444E">
        <w:rPr>
          <w:rFonts w:ascii="Arial" w:eastAsia="Calibri" w:hAnsi="Arial" w:cs="Arial"/>
          <w:sz w:val="20"/>
          <w:szCs w:val="20"/>
        </w:rPr>
        <w:t xml:space="preserve"> et al. (2025) used SWOT analysis to create adaptive strategies for community-based mangrove tourism, highlighting the need to convert ecological advantages into sustainable income streams. Similarly, Islam (2024) applied SWOT to examine socio-environmental risks in </w:t>
      </w:r>
      <w:proofErr w:type="spellStart"/>
      <w:r w:rsidRPr="0022444E">
        <w:rPr>
          <w:rFonts w:ascii="Arial" w:eastAsia="Calibri" w:hAnsi="Arial" w:cs="Arial"/>
          <w:sz w:val="20"/>
          <w:szCs w:val="20"/>
        </w:rPr>
        <w:t>Pamekasan</w:t>
      </w:r>
      <w:proofErr w:type="spellEnd"/>
      <w:r w:rsidRPr="0022444E">
        <w:rPr>
          <w:rFonts w:ascii="Arial" w:eastAsia="Calibri" w:hAnsi="Arial" w:cs="Arial"/>
          <w:sz w:val="20"/>
          <w:szCs w:val="20"/>
        </w:rPr>
        <w:t xml:space="preserve"> mangrove ecotourism. The method's flexibility makes it suitable for bottom-up tourism planning, especially in rural areas.</w:t>
      </w:r>
    </w:p>
    <w:p w14:paraId="530148C8" w14:textId="20B70DE0" w:rsidR="0022444E" w:rsidRPr="0022444E" w:rsidRDefault="0022444E" w:rsidP="0022444E">
      <w:pPr>
        <w:spacing w:after="0" w:line="240" w:lineRule="auto"/>
        <w:ind w:left="0" w:right="0" w:firstLine="720"/>
        <w:rPr>
          <w:rFonts w:ascii="Arial" w:eastAsia="Calibri" w:hAnsi="Arial" w:cs="Arial"/>
          <w:sz w:val="20"/>
          <w:szCs w:val="20"/>
        </w:rPr>
      </w:pPr>
      <w:r w:rsidRPr="0022444E">
        <w:rPr>
          <w:rFonts w:ascii="Arial" w:eastAsia="Calibri" w:hAnsi="Arial" w:cs="Arial"/>
          <w:sz w:val="20"/>
          <w:szCs w:val="20"/>
        </w:rPr>
        <w:t>In Tanjung Rejo, applying SWOT analysis can uncover valuable insights regarding the village’s ecotourism readiness. Strengths include biodiversity and landscape appeal, while weaknesses involve limited infrastructure and marketing. Opportunities are found in government support and global interest in green tourism, while threats include environmental degradation and tourism seasonality (</w:t>
      </w:r>
      <w:proofErr w:type="spellStart"/>
      <w:r w:rsidRPr="0022444E">
        <w:rPr>
          <w:rFonts w:ascii="Arial" w:eastAsia="Calibri" w:hAnsi="Arial" w:cs="Arial"/>
          <w:sz w:val="20"/>
          <w:szCs w:val="20"/>
        </w:rPr>
        <w:t>Trianto</w:t>
      </w:r>
      <w:proofErr w:type="spellEnd"/>
      <w:r w:rsidRPr="0022444E">
        <w:rPr>
          <w:rFonts w:ascii="Arial" w:eastAsia="Calibri" w:hAnsi="Arial" w:cs="Arial"/>
          <w:sz w:val="20"/>
          <w:szCs w:val="20"/>
        </w:rPr>
        <w:t xml:space="preserve"> &amp; Adnan, 2024). Addressing these factors systematically will inform practical and sustainable strategies.</w:t>
      </w:r>
    </w:p>
    <w:p w14:paraId="2DAFCD08" w14:textId="26155D1B" w:rsidR="0022444E" w:rsidRPr="0022444E" w:rsidRDefault="0022444E" w:rsidP="0022444E">
      <w:pPr>
        <w:spacing w:after="0" w:line="240" w:lineRule="auto"/>
        <w:ind w:left="0" w:right="0" w:firstLine="720"/>
        <w:rPr>
          <w:rFonts w:ascii="Arial" w:eastAsia="Calibri" w:hAnsi="Arial" w:cs="Arial"/>
          <w:sz w:val="20"/>
          <w:szCs w:val="20"/>
        </w:rPr>
      </w:pPr>
      <w:r w:rsidRPr="0022444E">
        <w:rPr>
          <w:rFonts w:ascii="Arial" w:eastAsia="Calibri" w:hAnsi="Arial" w:cs="Arial"/>
          <w:sz w:val="20"/>
          <w:szCs w:val="20"/>
        </w:rPr>
        <w:t>A study by Izudin and Aditya (2025) cautioned that ecotourism efforts without proper local engagement often result in resource exploitation and community exclusion. Hence, the success of mangrove tourism depends on capacity-building, shared governance, and benefit redistribution. In Tanjung Rejo, where the local population already engages in mangrove stewardship, expanding their role through participatory strategic planning could significantly enhance conservation outcomes.</w:t>
      </w:r>
    </w:p>
    <w:p w14:paraId="1E19E857" w14:textId="5078B1B7" w:rsidR="0022444E" w:rsidRPr="0022444E" w:rsidRDefault="0022444E" w:rsidP="0022444E">
      <w:pPr>
        <w:spacing w:after="0" w:line="240" w:lineRule="auto"/>
        <w:ind w:left="0" w:right="0" w:firstLine="720"/>
        <w:rPr>
          <w:rFonts w:ascii="Arial" w:eastAsia="Calibri" w:hAnsi="Arial" w:cs="Arial"/>
          <w:sz w:val="20"/>
          <w:szCs w:val="20"/>
        </w:rPr>
      </w:pPr>
      <w:r w:rsidRPr="0022444E">
        <w:rPr>
          <w:rFonts w:ascii="Arial" w:eastAsia="Calibri" w:hAnsi="Arial" w:cs="Arial"/>
          <w:sz w:val="20"/>
          <w:szCs w:val="20"/>
        </w:rPr>
        <w:t xml:space="preserve">The alignment of ecotourism with the United Nations Sustainable Development Goals (SDGs) further emphasizes its role in holistic development. Ecotourism initiatives contribute directly to SDG 11 (sustainable cities), SDG 13 (climate action), and SDG 15 (life on land). According to </w:t>
      </w:r>
      <w:proofErr w:type="spellStart"/>
      <w:r w:rsidRPr="0022444E">
        <w:rPr>
          <w:rFonts w:ascii="Arial" w:eastAsia="Calibri" w:hAnsi="Arial" w:cs="Arial"/>
          <w:sz w:val="20"/>
          <w:szCs w:val="20"/>
        </w:rPr>
        <w:t>Elfina</w:t>
      </w:r>
      <w:proofErr w:type="spellEnd"/>
      <w:r w:rsidRPr="0022444E">
        <w:rPr>
          <w:rFonts w:ascii="Arial" w:eastAsia="Calibri" w:hAnsi="Arial" w:cs="Arial"/>
          <w:sz w:val="20"/>
          <w:szCs w:val="20"/>
        </w:rPr>
        <w:t xml:space="preserve"> et al. (2025), CBT programs integrated with SDG metrics are more likely to attract international funding and achieve long-term success. Tanjung Rejo’s development strategy should consider this global framework to maximize impact and ensure sustainability.</w:t>
      </w:r>
    </w:p>
    <w:p w14:paraId="6B46D428" w14:textId="1275CA68" w:rsidR="006F596B" w:rsidRPr="004A3752" w:rsidRDefault="0022444E" w:rsidP="0022444E">
      <w:pPr>
        <w:spacing w:after="0" w:line="240" w:lineRule="auto"/>
        <w:ind w:left="0" w:right="0" w:firstLine="720"/>
        <w:rPr>
          <w:rFonts w:ascii="Arial" w:eastAsia="Calibri" w:hAnsi="Arial" w:cs="Arial"/>
          <w:sz w:val="20"/>
          <w:szCs w:val="20"/>
        </w:rPr>
      </w:pPr>
      <w:r w:rsidRPr="0022444E">
        <w:rPr>
          <w:rFonts w:ascii="Arial" w:eastAsia="Calibri" w:hAnsi="Arial" w:cs="Arial"/>
          <w:sz w:val="20"/>
          <w:szCs w:val="20"/>
        </w:rPr>
        <w:t>Given this background, the present study aims to develop a strategic plan for mangrove ecotourism in Tanjung Rejo Village using SWOT analysis supported by community perception data. This approach combines qualitative and quantitative insights to guide ecotourism development in a participatory and sustainable manner. The findings are expected to inform policymakers, local stakeholders, and researchers in advancing community-based ecotourism models in Indonesia. Ultimately, this research contributes to both practical tourism planning and academic literature on sustainable development.</w:t>
      </w:r>
    </w:p>
    <w:p w14:paraId="66959962" w14:textId="77777777" w:rsidR="006F596B" w:rsidRPr="004A3752" w:rsidRDefault="006F596B" w:rsidP="00C209F2">
      <w:pPr>
        <w:spacing w:after="0" w:line="240" w:lineRule="auto"/>
        <w:ind w:left="0" w:right="0" w:firstLine="0"/>
        <w:jc w:val="left"/>
        <w:rPr>
          <w:rFonts w:ascii="Arial" w:eastAsia="Calibri" w:hAnsi="Arial" w:cs="Arial"/>
          <w:sz w:val="20"/>
          <w:szCs w:val="20"/>
        </w:rPr>
      </w:pPr>
    </w:p>
    <w:p w14:paraId="2A2E2DA2" w14:textId="4EF70D92" w:rsidR="006F596B" w:rsidRPr="004A3752" w:rsidRDefault="006F596B" w:rsidP="00C209F2">
      <w:pPr>
        <w:spacing w:after="0" w:line="240" w:lineRule="auto"/>
        <w:ind w:left="0" w:right="0" w:firstLine="0"/>
        <w:jc w:val="left"/>
        <w:rPr>
          <w:rFonts w:ascii="Arial" w:eastAsia="Calibri" w:hAnsi="Arial" w:cs="Arial"/>
          <w:sz w:val="20"/>
          <w:szCs w:val="20"/>
        </w:rPr>
      </w:pPr>
      <w:r w:rsidRPr="004A3752">
        <w:rPr>
          <w:rFonts w:ascii="Arial" w:eastAsia="Calibri" w:hAnsi="Arial" w:cs="Arial"/>
          <w:b/>
          <w:bCs/>
          <w:sz w:val="20"/>
          <w:szCs w:val="20"/>
        </w:rPr>
        <w:t xml:space="preserve">II. </w:t>
      </w:r>
      <w:r w:rsidR="00D22F79" w:rsidRPr="004A3752">
        <w:rPr>
          <w:rFonts w:ascii="Arial" w:eastAsia="Calibri" w:hAnsi="Arial" w:cs="Arial"/>
          <w:b/>
          <w:bCs/>
          <w:sz w:val="20"/>
          <w:szCs w:val="20"/>
        </w:rPr>
        <w:t>Research Method</w:t>
      </w:r>
    </w:p>
    <w:p w14:paraId="032BD9F4" w14:textId="77777777" w:rsidR="00471AC6" w:rsidRPr="004A3752" w:rsidRDefault="00471AC6" w:rsidP="00C209F2">
      <w:pPr>
        <w:spacing w:after="0" w:line="240" w:lineRule="auto"/>
        <w:ind w:left="0" w:right="0" w:firstLine="0"/>
        <w:jc w:val="left"/>
        <w:rPr>
          <w:rFonts w:ascii="Arial" w:eastAsia="Calibri" w:hAnsi="Arial" w:cs="Arial"/>
          <w:b/>
          <w:bCs/>
          <w:sz w:val="20"/>
          <w:szCs w:val="20"/>
        </w:rPr>
      </w:pPr>
    </w:p>
    <w:p w14:paraId="22800886" w14:textId="77777777" w:rsidR="006D5295" w:rsidRPr="006D5295" w:rsidRDefault="006D5295" w:rsidP="006D5295">
      <w:pPr>
        <w:spacing w:after="0" w:line="240" w:lineRule="auto"/>
        <w:ind w:left="0" w:right="0" w:firstLine="0"/>
        <w:rPr>
          <w:rFonts w:ascii="Arial" w:hAnsi="Arial" w:cs="Arial"/>
          <w:b/>
          <w:bCs/>
          <w:color w:val="auto"/>
          <w:sz w:val="20"/>
          <w:szCs w:val="20"/>
        </w:rPr>
      </w:pPr>
      <w:r w:rsidRPr="006D5295">
        <w:rPr>
          <w:rFonts w:ascii="Arial" w:hAnsi="Arial" w:cs="Arial"/>
          <w:b/>
          <w:bCs/>
          <w:color w:val="auto"/>
          <w:sz w:val="20"/>
          <w:szCs w:val="20"/>
        </w:rPr>
        <w:t>2.1 Study Area</w:t>
      </w:r>
    </w:p>
    <w:p w14:paraId="24D3B600" w14:textId="77777777" w:rsidR="006D5295" w:rsidRPr="006D5295" w:rsidRDefault="006D5295" w:rsidP="006D5295">
      <w:pPr>
        <w:spacing w:after="0" w:line="240" w:lineRule="auto"/>
        <w:ind w:left="0" w:right="0" w:firstLine="0"/>
        <w:rPr>
          <w:rFonts w:ascii="Arial" w:hAnsi="Arial" w:cs="Arial"/>
          <w:color w:val="auto"/>
          <w:sz w:val="20"/>
          <w:szCs w:val="20"/>
        </w:rPr>
      </w:pPr>
      <w:r w:rsidRPr="006D5295">
        <w:rPr>
          <w:rFonts w:ascii="Arial" w:hAnsi="Arial" w:cs="Arial"/>
          <w:color w:val="auto"/>
          <w:sz w:val="20"/>
          <w:szCs w:val="20"/>
        </w:rPr>
        <w:t xml:space="preserve">This research was conducted in Tanjung Rejo Village, located in </w:t>
      </w:r>
      <w:proofErr w:type="spellStart"/>
      <w:r w:rsidRPr="006D5295">
        <w:rPr>
          <w:rFonts w:ascii="Arial" w:hAnsi="Arial" w:cs="Arial"/>
          <w:color w:val="auto"/>
          <w:sz w:val="20"/>
          <w:szCs w:val="20"/>
        </w:rPr>
        <w:t>Percut</w:t>
      </w:r>
      <w:proofErr w:type="spellEnd"/>
      <w:r w:rsidRPr="006D5295">
        <w:rPr>
          <w:rFonts w:ascii="Arial" w:hAnsi="Arial" w:cs="Arial"/>
          <w:color w:val="auto"/>
          <w:sz w:val="20"/>
          <w:szCs w:val="20"/>
        </w:rPr>
        <w:t xml:space="preserve"> Sei Tuan District, Deli Serdang Regency, North Sumatra, Indonesia. The village has been identified by local authorities as a potential mangrove ecotourism destination due to its ecological richness and existing community activities involving mangrove planting and conservation. The geographical area includes coastal zones with mangrove coverage and access routes frequently used by visitors and local fishermen. The study area represents a typical Indonesian coastal village with socio-ecological features suitable for community-based tourism development.</w:t>
      </w:r>
    </w:p>
    <w:p w14:paraId="68F9F61D" w14:textId="58F88CAE" w:rsidR="006D5295" w:rsidRPr="006D5295" w:rsidRDefault="006D5295" w:rsidP="006D5295">
      <w:pPr>
        <w:spacing w:after="0" w:line="240" w:lineRule="auto"/>
        <w:ind w:left="0" w:right="0" w:firstLine="0"/>
        <w:rPr>
          <w:rFonts w:ascii="Arial" w:hAnsi="Arial" w:cs="Arial"/>
          <w:color w:val="auto"/>
          <w:sz w:val="20"/>
          <w:szCs w:val="20"/>
        </w:rPr>
      </w:pPr>
    </w:p>
    <w:p w14:paraId="5863A7C0" w14:textId="77777777" w:rsidR="006D5295" w:rsidRPr="006D5295" w:rsidRDefault="006D5295" w:rsidP="006D5295">
      <w:pPr>
        <w:spacing w:after="0" w:line="240" w:lineRule="auto"/>
        <w:ind w:left="0" w:right="0" w:firstLine="0"/>
        <w:rPr>
          <w:rFonts w:ascii="Arial" w:hAnsi="Arial" w:cs="Arial"/>
          <w:b/>
          <w:bCs/>
          <w:color w:val="auto"/>
          <w:sz w:val="20"/>
          <w:szCs w:val="20"/>
        </w:rPr>
      </w:pPr>
      <w:r w:rsidRPr="006D5295">
        <w:rPr>
          <w:rFonts w:ascii="Arial" w:hAnsi="Arial" w:cs="Arial"/>
          <w:b/>
          <w:bCs/>
          <w:color w:val="auto"/>
          <w:sz w:val="20"/>
          <w:szCs w:val="20"/>
        </w:rPr>
        <w:t>2.2 Research Approach</w:t>
      </w:r>
    </w:p>
    <w:p w14:paraId="02275C34" w14:textId="77777777" w:rsidR="006D5295" w:rsidRPr="006D5295" w:rsidRDefault="006D5295" w:rsidP="006D5295">
      <w:pPr>
        <w:spacing w:after="0" w:line="240" w:lineRule="auto"/>
        <w:ind w:left="0" w:right="0" w:firstLine="0"/>
        <w:rPr>
          <w:rFonts w:ascii="Arial" w:hAnsi="Arial" w:cs="Arial"/>
          <w:color w:val="auto"/>
          <w:sz w:val="20"/>
          <w:szCs w:val="20"/>
        </w:rPr>
      </w:pPr>
      <w:r w:rsidRPr="006D5295">
        <w:rPr>
          <w:rFonts w:ascii="Arial" w:hAnsi="Arial" w:cs="Arial"/>
          <w:color w:val="auto"/>
          <w:sz w:val="20"/>
          <w:szCs w:val="20"/>
        </w:rPr>
        <w:t xml:space="preserve">The study employed a mixed-method approach, combining qualitative and quantitative data collection techniques to ensure a comprehensive understanding of the issue. Primary data were gathered through questionnaires, interviews, and field observations, while secondary data were obtained from government documents, statistical records, and tourism development plans. A </w:t>
      </w:r>
      <w:r w:rsidRPr="006D5295">
        <w:rPr>
          <w:rFonts w:ascii="Arial" w:hAnsi="Arial" w:cs="Arial"/>
          <w:color w:val="auto"/>
          <w:sz w:val="20"/>
          <w:szCs w:val="20"/>
        </w:rPr>
        <w:lastRenderedPageBreak/>
        <w:t>SWOT analysis was used as the central strategic planning tool to identify internal strengths and weaknesses as well as external opportunities and threats facing ecotourism development in the study area.</w:t>
      </w:r>
    </w:p>
    <w:p w14:paraId="3B08D623" w14:textId="5239CA66" w:rsidR="006D5295" w:rsidRPr="006D5295" w:rsidRDefault="006D5295" w:rsidP="006D5295">
      <w:pPr>
        <w:spacing w:after="0" w:line="240" w:lineRule="auto"/>
        <w:ind w:left="0" w:right="0" w:firstLine="0"/>
        <w:rPr>
          <w:rFonts w:ascii="Arial" w:hAnsi="Arial" w:cs="Arial"/>
          <w:color w:val="auto"/>
          <w:sz w:val="20"/>
          <w:szCs w:val="20"/>
        </w:rPr>
      </w:pPr>
    </w:p>
    <w:p w14:paraId="5D0BCCBD" w14:textId="77777777" w:rsidR="006D5295" w:rsidRPr="006D5295" w:rsidRDefault="006D5295" w:rsidP="006D5295">
      <w:pPr>
        <w:spacing w:after="0" w:line="240" w:lineRule="auto"/>
        <w:ind w:left="0" w:right="0" w:firstLine="0"/>
        <w:rPr>
          <w:rFonts w:ascii="Arial" w:hAnsi="Arial" w:cs="Arial"/>
          <w:b/>
          <w:bCs/>
          <w:color w:val="auto"/>
          <w:sz w:val="20"/>
          <w:szCs w:val="20"/>
        </w:rPr>
      </w:pPr>
      <w:r w:rsidRPr="006D5295">
        <w:rPr>
          <w:rFonts w:ascii="Arial" w:hAnsi="Arial" w:cs="Arial"/>
          <w:b/>
          <w:bCs/>
          <w:color w:val="auto"/>
          <w:sz w:val="20"/>
          <w:szCs w:val="20"/>
        </w:rPr>
        <w:t>2.3 Population and Sampling</w:t>
      </w:r>
    </w:p>
    <w:p w14:paraId="28BA5F34" w14:textId="77777777" w:rsidR="006D5295" w:rsidRPr="006D5295" w:rsidRDefault="006D5295" w:rsidP="006D5295">
      <w:pPr>
        <w:spacing w:after="0" w:line="240" w:lineRule="auto"/>
        <w:ind w:left="0" w:right="0" w:firstLine="0"/>
        <w:rPr>
          <w:rFonts w:ascii="Arial" w:hAnsi="Arial" w:cs="Arial"/>
          <w:color w:val="auto"/>
          <w:sz w:val="20"/>
          <w:szCs w:val="20"/>
        </w:rPr>
      </w:pPr>
      <w:r w:rsidRPr="006D5295">
        <w:rPr>
          <w:rFonts w:ascii="Arial" w:hAnsi="Arial" w:cs="Arial"/>
          <w:color w:val="auto"/>
          <w:sz w:val="20"/>
          <w:szCs w:val="20"/>
        </w:rPr>
        <w:t>The population targeted in this study consisted of local community members, stakeholders involved in mangrove conservation, and visitors familiar with the area. A total of 100 respondents were selected using a combination of purposive sampling and proportional area sampling, ensuring representation across different groups, including residents, small business owners, and tourism facilitators. The inclusion criteria were: individuals aged 18 and above, residents of Tanjung Rejo for at least five years, and those actively engaged in or aware of ecotourism activities in the village.</w:t>
      </w:r>
    </w:p>
    <w:p w14:paraId="10E320FD" w14:textId="0E168712" w:rsidR="006D5295" w:rsidRPr="006D5295" w:rsidRDefault="006D5295" w:rsidP="006D5295">
      <w:pPr>
        <w:spacing w:after="0" w:line="240" w:lineRule="auto"/>
        <w:ind w:left="0" w:right="0" w:firstLine="0"/>
        <w:rPr>
          <w:rFonts w:ascii="Arial" w:hAnsi="Arial" w:cs="Arial"/>
          <w:color w:val="auto"/>
          <w:sz w:val="20"/>
          <w:szCs w:val="20"/>
        </w:rPr>
      </w:pPr>
    </w:p>
    <w:p w14:paraId="74754E3E" w14:textId="77777777" w:rsidR="006D5295" w:rsidRPr="006D5295" w:rsidRDefault="006D5295" w:rsidP="006D5295">
      <w:pPr>
        <w:spacing w:after="0" w:line="240" w:lineRule="auto"/>
        <w:ind w:left="0" w:right="0" w:firstLine="0"/>
        <w:rPr>
          <w:rFonts w:ascii="Arial" w:hAnsi="Arial" w:cs="Arial"/>
          <w:b/>
          <w:bCs/>
          <w:color w:val="auto"/>
          <w:sz w:val="20"/>
          <w:szCs w:val="20"/>
        </w:rPr>
      </w:pPr>
      <w:r w:rsidRPr="006D5295">
        <w:rPr>
          <w:rFonts w:ascii="Arial" w:hAnsi="Arial" w:cs="Arial"/>
          <w:b/>
          <w:bCs/>
          <w:color w:val="auto"/>
          <w:sz w:val="20"/>
          <w:szCs w:val="20"/>
        </w:rPr>
        <w:t>2.4 Data Collection Techniques</w:t>
      </w:r>
    </w:p>
    <w:p w14:paraId="5347938A" w14:textId="77777777" w:rsidR="006D5295" w:rsidRPr="006D5295" w:rsidRDefault="006D5295" w:rsidP="00CD59A5">
      <w:pPr>
        <w:numPr>
          <w:ilvl w:val="0"/>
          <w:numId w:val="2"/>
        </w:numPr>
        <w:spacing w:after="0" w:line="240" w:lineRule="auto"/>
        <w:ind w:right="0"/>
        <w:rPr>
          <w:rFonts w:ascii="Arial" w:hAnsi="Arial" w:cs="Arial"/>
          <w:color w:val="auto"/>
          <w:sz w:val="20"/>
          <w:szCs w:val="20"/>
        </w:rPr>
      </w:pPr>
      <w:r w:rsidRPr="006D5295">
        <w:rPr>
          <w:rFonts w:ascii="Arial" w:hAnsi="Arial" w:cs="Arial"/>
          <w:color w:val="auto"/>
          <w:sz w:val="20"/>
          <w:szCs w:val="20"/>
        </w:rPr>
        <w:t>Observation</w:t>
      </w:r>
      <w:r w:rsidRPr="006D5295">
        <w:rPr>
          <w:rFonts w:ascii="Arial" w:hAnsi="Arial" w:cs="Arial"/>
          <w:color w:val="auto"/>
          <w:sz w:val="20"/>
          <w:szCs w:val="20"/>
        </w:rPr>
        <w:br/>
        <w:t>Direct observations were conducted to evaluate the condition of tourism facilities, mangrove density, visitor flow, and ongoing conservation activities.</w:t>
      </w:r>
    </w:p>
    <w:p w14:paraId="7BF3E813" w14:textId="77777777" w:rsidR="006D5295" w:rsidRPr="006D5295" w:rsidRDefault="006D5295" w:rsidP="00CD59A5">
      <w:pPr>
        <w:numPr>
          <w:ilvl w:val="0"/>
          <w:numId w:val="2"/>
        </w:numPr>
        <w:spacing w:after="0" w:line="240" w:lineRule="auto"/>
        <w:ind w:right="0"/>
        <w:rPr>
          <w:rFonts w:ascii="Arial" w:hAnsi="Arial" w:cs="Arial"/>
          <w:color w:val="auto"/>
          <w:sz w:val="20"/>
          <w:szCs w:val="20"/>
        </w:rPr>
      </w:pPr>
      <w:r w:rsidRPr="006D5295">
        <w:rPr>
          <w:rFonts w:ascii="Arial" w:hAnsi="Arial" w:cs="Arial"/>
          <w:color w:val="auto"/>
          <w:sz w:val="20"/>
          <w:szCs w:val="20"/>
        </w:rPr>
        <w:t>Questionnaires</w:t>
      </w:r>
      <w:r w:rsidRPr="006D5295">
        <w:rPr>
          <w:rFonts w:ascii="Arial" w:hAnsi="Arial" w:cs="Arial"/>
          <w:color w:val="auto"/>
          <w:sz w:val="20"/>
          <w:szCs w:val="20"/>
        </w:rPr>
        <w:br/>
        <w:t>Structured, close-ended questionnaires were distributed to 100 local stakeholders to assess their perceptions of tourism strengths, weaknesses, opportunities, and threats.</w:t>
      </w:r>
    </w:p>
    <w:p w14:paraId="571B2407" w14:textId="77777777" w:rsidR="006D5295" w:rsidRPr="006D5295" w:rsidRDefault="006D5295" w:rsidP="00CD59A5">
      <w:pPr>
        <w:numPr>
          <w:ilvl w:val="0"/>
          <w:numId w:val="2"/>
        </w:numPr>
        <w:spacing w:after="0" w:line="240" w:lineRule="auto"/>
        <w:ind w:right="0"/>
        <w:rPr>
          <w:rFonts w:ascii="Arial" w:hAnsi="Arial" w:cs="Arial"/>
          <w:color w:val="auto"/>
          <w:sz w:val="20"/>
          <w:szCs w:val="20"/>
        </w:rPr>
      </w:pPr>
      <w:r w:rsidRPr="006D5295">
        <w:rPr>
          <w:rFonts w:ascii="Arial" w:hAnsi="Arial" w:cs="Arial"/>
          <w:color w:val="auto"/>
          <w:sz w:val="20"/>
          <w:szCs w:val="20"/>
        </w:rPr>
        <w:t>Interviews</w:t>
      </w:r>
      <w:r w:rsidRPr="006D5295">
        <w:rPr>
          <w:rFonts w:ascii="Arial" w:hAnsi="Arial" w:cs="Arial"/>
          <w:color w:val="auto"/>
          <w:sz w:val="20"/>
          <w:szCs w:val="20"/>
        </w:rPr>
        <w:br/>
        <w:t>Semi-structured interviews were held with local leaders, tourism officers, and conservation volunteers to gather in-depth insights on the challenges and aspirations for mangrove ecotourism.</w:t>
      </w:r>
    </w:p>
    <w:p w14:paraId="4741F596" w14:textId="77777777" w:rsidR="006D5295" w:rsidRPr="006D5295" w:rsidRDefault="006D5295" w:rsidP="00CD59A5">
      <w:pPr>
        <w:numPr>
          <w:ilvl w:val="0"/>
          <w:numId w:val="2"/>
        </w:numPr>
        <w:spacing w:after="0" w:line="240" w:lineRule="auto"/>
        <w:ind w:right="0"/>
        <w:rPr>
          <w:rFonts w:ascii="Arial" w:hAnsi="Arial" w:cs="Arial"/>
          <w:color w:val="auto"/>
          <w:sz w:val="20"/>
          <w:szCs w:val="20"/>
        </w:rPr>
      </w:pPr>
      <w:r w:rsidRPr="006D5295">
        <w:rPr>
          <w:rFonts w:ascii="Arial" w:hAnsi="Arial" w:cs="Arial"/>
          <w:color w:val="auto"/>
          <w:sz w:val="20"/>
          <w:szCs w:val="20"/>
        </w:rPr>
        <w:t>Documentation</w:t>
      </w:r>
      <w:r w:rsidRPr="006D5295">
        <w:rPr>
          <w:rFonts w:ascii="Arial" w:hAnsi="Arial" w:cs="Arial"/>
          <w:color w:val="auto"/>
          <w:sz w:val="20"/>
          <w:szCs w:val="20"/>
        </w:rPr>
        <w:br/>
        <w:t>Government reports, tourism development plans, village maps, and environmental data were reviewed to support contextual analysis.</w:t>
      </w:r>
    </w:p>
    <w:p w14:paraId="48775B8D" w14:textId="1148731E" w:rsidR="006D5295" w:rsidRPr="006D5295" w:rsidRDefault="006D5295" w:rsidP="006D5295">
      <w:pPr>
        <w:spacing w:after="0" w:line="240" w:lineRule="auto"/>
        <w:ind w:left="0" w:right="0" w:firstLine="0"/>
        <w:rPr>
          <w:rFonts w:ascii="Arial" w:hAnsi="Arial" w:cs="Arial"/>
          <w:color w:val="auto"/>
          <w:sz w:val="20"/>
          <w:szCs w:val="20"/>
        </w:rPr>
      </w:pPr>
    </w:p>
    <w:p w14:paraId="260004D2" w14:textId="77777777" w:rsidR="006D5295" w:rsidRPr="006D5295" w:rsidRDefault="006D5295" w:rsidP="006D5295">
      <w:pPr>
        <w:spacing w:after="0" w:line="240" w:lineRule="auto"/>
        <w:ind w:left="0" w:right="0" w:firstLine="0"/>
        <w:rPr>
          <w:rFonts w:ascii="Arial" w:hAnsi="Arial" w:cs="Arial"/>
          <w:b/>
          <w:bCs/>
          <w:color w:val="auto"/>
          <w:sz w:val="20"/>
          <w:szCs w:val="20"/>
        </w:rPr>
      </w:pPr>
      <w:r w:rsidRPr="006D5295">
        <w:rPr>
          <w:rFonts w:ascii="Arial" w:hAnsi="Arial" w:cs="Arial"/>
          <w:b/>
          <w:bCs/>
          <w:color w:val="auto"/>
          <w:sz w:val="20"/>
          <w:szCs w:val="20"/>
        </w:rPr>
        <w:t>2.5 SWOT Analysis Procedure</w:t>
      </w:r>
    </w:p>
    <w:p w14:paraId="69C5A289" w14:textId="77777777" w:rsidR="006D5295" w:rsidRPr="006D5295" w:rsidRDefault="006D5295" w:rsidP="006D5295">
      <w:pPr>
        <w:spacing w:after="0" w:line="240" w:lineRule="auto"/>
        <w:ind w:left="0" w:right="0" w:firstLine="0"/>
        <w:rPr>
          <w:rFonts w:ascii="Arial" w:hAnsi="Arial" w:cs="Arial"/>
          <w:color w:val="auto"/>
          <w:sz w:val="20"/>
          <w:szCs w:val="20"/>
        </w:rPr>
      </w:pPr>
      <w:r w:rsidRPr="006D5295">
        <w:rPr>
          <w:rFonts w:ascii="Arial" w:hAnsi="Arial" w:cs="Arial"/>
          <w:color w:val="auto"/>
          <w:sz w:val="20"/>
          <w:szCs w:val="20"/>
        </w:rPr>
        <w:t>The SWOT (Strengths, Weaknesses, Opportunities, Threats) framework was used to formulate strategic directions for mangrove ecotourism development. Internal and external factors were identified through a synthesis of primary and secondary data. An Internal Factor Evaluation (IFE) matrix was developed to weigh and score strengths and weaknesses, while an External Factor Evaluation (EFE) matrix was constructed to assess opportunities and threats. Total weighted scores from IFE and EFE were plotted on a SWOT quadrant matrix to determine the most suitable strategic position (i.e., SO, WO, ST, or WT strategy types).</w:t>
      </w:r>
    </w:p>
    <w:p w14:paraId="5DF94F17" w14:textId="2374F482" w:rsidR="006D5295" w:rsidRPr="006D5295" w:rsidRDefault="006D5295" w:rsidP="006D5295">
      <w:pPr>
        <w:spacing w:after="0" w:line="240" w:lineRule="auto"/>
        <w:ind w:left="0" w:right="0" w:firstLine="0"/>
        <w:rPr>
          <w:rFonts w:ascii="Arial" w:hAnsi="Arial" w:cs="Arial"/>
          <w:color w:val="auto"/>
          <w:sz w:val="20"/>
          <w:szCs w:val="20"/>
        </w:rPr>
      </w:pPr>
    </w:p>
    <w:p w14:paraId="405BFFB8" w14:textId="77777777" w:rsidR="006D5295" w:rsidRPr="006D5295" w:rsidRDefault="006D5295" w:rsidP="006D5295">
      <w:pPr>
        <w:spacing w:after="0" w:line="240" w:lineRule="auto"/>
        <w:ind w:left="0" w:right="0" w:firstLine="0"/>
        <w:rPr>
          <w:rFonts w:ascii="Arial" w:hAnsi="Arial" w:cs="Arial"/>
          <w:b/>
          <w:bCs/>
          <w:color w:val="auto"/>
          <w:sz w:val="20"/>
          <w:szCs w:val="20"/>
        </w:rPr>
      </w:pPr>
      <w:r w:rsidRPr="006D5295">
        <w:rPr>
          <w:rFonts w:ascii="Arial" w:hAnsi="Arial" w:cs="Arial"/>
          <w:b/>
          <w:bCs/>
          <w:color w:val="auto"/>
          <w:sz w:val="20"/>
          <w:szCs w:val="20"/>
        </w:rPr>
        <w:t>2.6 Data Analysis</w:t>
      </w:r>
    </w:p>
    <w:p w14:paraId="246E11EF" w14:textId="77777777" w:rsidR="006D5295" w:rsidRDefault="006D5295" w:rsidP="006D5295">
      <w:pPr>
        <w:spacing w:after="0" w:line="240" w:lineRule="auto"/>
        <w:ind w:left="0" w:right="0" w:firstLine="0"/>
        <w:rPr>
          <w:rFonts w:ascii="Arial" w:hAnsi="Arial" w:cs="Arial"/>
          <w:color w:val="auto"/>
          <w:sz w:val="20"/>
          <w:szCs w:val="20"/>
        </w:rPr>
      </w:pPr>
      <w:r w:rsidRPr="006D5295">
        <w:rPr>
          <w:rFonts w:ascii="Arial" w:hAnsi="Arial" w:cs="Arial"/>
          <w:color w:val="auto"/>
          <w:sz w:val="20"/>
          <w:szCs w:val="20"/>
        </w:rPr>
        <w:t>Quantitative data from questionnaires were analyzed using descriptive statistics, particularly frequency distributions and mean scores. SWOT matrix values were normalized and weighted according to stakeholder input. For qualitative data (interview transcripts and field notes), thematic coding was conducted to identify recurring patterns. The data triangulation method was applied to validate findings across multiple sources.</w:t>
      </w:r>
    </w:p>
    <w:p w14:paraId="5846F979" w14:textId="77777777" w:rsidR="00344D40" w:rsidRDefault="00344D40" w:rsidP="006D5295">
      <w:pPr>
        <w:spacing w:after="0" w:line="240" w:lineRule="auto"/>
        <w:ind w:left="0" w:right="0" w:firstLine="0"/>
        <w:rPr>
          <w:rFonts w:ascii="Arial" w:hAnsi="Arial" w:cs="Arial"/>
          <w:color w:val="auto"/>
          <w:sz w:val="20"/>
          <w:szCs w:val="20"/>
        </w:rPr>
      </w:pPr>
    </w:p>
    <w:p w14:paraId="0F6783CE" w14:textId="77777777" w:rsidR="00344D40" w:rsidRDefault="00344D40" w:rsidP="006D5295">
      <w:pPr>
        <w:spacing w:after="0" w:line="240" w:lineRule="auto"/>
        <w:ind w:left="0" w:right="0" w:firstLine="0"/>
        <w:rPr>
          <w:rFonts w:ascii="Arial" w:hAnsi="Arial" w:cs="Arial"/>
          <w:color w:val="auto"/>
          <w:sz w:val="20"/>
          <w:szCs w:val="20"/>
        </w:rPr>
      </w:pPr>
    </w:p>
    <w:p w14:paraId="335C0AD0" w14:textId="77777777" w:rsidR="00344D40" w:rsidRDefault="00344D40" w:rsidP="006D5295">
      <w:pPr>
        <w:spacing w:after="0" w:line="240" w:lineRule="auto"/>
        <w:ind w:left="0" w:right="0" w:firstLine="0"/>
        <w:rPr>
          <w:rFonts w:ascii="Arial" w:hAnsi="Arial" w:cs="Arial"/>
          <w:color w:val="auto"/>
          <w:sz w:val="20"/>
          <w:szCs w:val="20"/>
        </w:rPr>
      </w:pPr>
    </w:p>
    <w:p w14:paraId="3D0E2827" w14:textId="77777777" w:rsidR="00344D40" w:rsidRDefault="00344D40" w:rsidP="006D5295">
      <w:pPr>
        <w:spacing w:after="0" w:line="240" w:lineRule="auto"/>
        <w:ind w:left="0" w:right="0" w:firstLine="0"/>
        <w:rPr>
          <w:rFonts w:ascii="Arial" w:hAnsi="Arial" w:cs="Arial"/>
          <w:color w:val="auto"/>
          <w:sz w:val="20"/>
          <w:szCs w:val="20"/>
        </w:rPr>
      </w:pPr>
    </w:p>
    <w:p w14:paraId="74A3DC7B" w14:textId="77777777" w:rsidR="00344D40" w:rsidRDefault="00344D40" w:rsidP="006D5295">
      <w:pPr>
        <w:spacing w:after="0" w:line="240" w:lineRule="auto"/>
        <w:ind w:left="0" w:right="0" w:firstLine="0"/>
        <w:rPr>
          <w:rFonts w:ascii="Arial" w:hAnsi="Arial" w:cs="Arial"/>
          <w:color w:val="auto"/>
          <w:sz w:val="20"/>
          <w:szCs w:val="20"/>
        </w:rPr>
      </w:pPr>
    </w:p>
    <w:p w14:paraId="4ED12CF1" w14:textId="0C3E4016" w:rsidR="00344D40" w:rsidRPr="006D5295" w:rsidRDefault="00344D40" w:rsidP="006D5295">
      <w:pPr>
        <w:spacing w:after="0" w:line="240" w:lineRule="auto"/>
        <w:ind w:left="0" w:right="0" w:firstLine="0"/>
        <w:rPr>
          <w:rFonts w:ascii="Arial" w:hAnsi="Arial" w:cs="Arial"/>
          <w:color w:val="auto"/>
          <w:sz w:val="20"/>
          <w:szCs w:val="20"/>
        </w:rPr>
      </w:pPr>
      <w:r>
        <w:rPr>
          <w:rFonts w:ascii="Arial" w:hAnsi="Arial" w:cs="Arial"/>
          <w:color w:val="auto"/>
          <w:sz w:val="20"/>
          <w:szCs w:val="20"/>
        </w:rPr>
        <w:t xml:space="preserve">Fig .1 </w:t>
      </w:r>
    </w:p>
    <w:p w14:paraId="2DB2BA5E" w14:textId="58D4D1F4" w:rsidR="006D5295" w:rsidRPr="006D5295" w:rsidRDefault="006D5295" w:rsidP="006D5295">
      <w:pPr>
        <w:spacing w:after="0" w:line="240" w:lineRule="auto"/>
        <w:ind w:left="0" w:right="0" w:firstLine="0"/>
        <w:rPr>
          <w:rFonts w:ascii="Arial" w:hAnsi="Arial" w:cs="Arial"/>
          <w:color w:val="auto"/>
          <w:sz w:val="20"/>
          <w:szCs w:val="20"/>
        </w:rPr>
      </w:pPr>
    </w:p>
    <w:p w14:paraId="6EE81976" w14:textId="7AB5855B" w:rsidR="006D5295" w:rsidRPr="004A3752" w:rsidRDefault="00D97C2C" w:rsidP="00D97C2C">
      <w:pPr>
        <w:spacing w:after="0" w:line="240" w:lineRule="auto"/>
        <w:ind w:left="0" w:right="0" w:firstLine="0"/>
        <w:jc w:val="center"/>
        <w:rPr>
          <w:rFonts w:ascii="Arial" w:hAnsi="Arial" w:cs="Arial"/>
          <w:color w:val="auto"/>
          <w:sz w:val="20"/>
          <w:szCs w:val="20"/>
        </w:rPr>
      </w:pPr>
      <w:bookmarkStart w:id="1" w:name="_GoBack"/>
      <w:r w:rsidRPr="004A3752">
        <w:rPr>
          <w:rFonts w:ascii="Arial" w:hAnsi="Arial" w:cs="Arial"/>
          <w:noProof/>
          <w:sz w:val="20"/>
          <w:szCs w:val="20"/>
        </w:rPr>
        <w:lastRenderedPageBreak/>
        <w:drawing>
          <wp:inline distT="0" distB="0" distL="0" distR="0" wp14:anchorId="00F46B8C" wp14:editId="77CACE74">
            <wp:extent cx="4409758" cy="2990657"/>
            <wp:effectExtent l="0" t="0" r="0" b="635"/>
            <wp:docPr id="361395438" name="Picture 3" descr="A diagram of a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395438" name="Picture 3" descr="A diagram of a diagram"/>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438" r="8886" b="20573"/>
                    <a:stretch/>
                  </pic:blipFill>
                  <pic:spPr bwMode="auto">
                    <a:xfrm>
                      <a:off x="0" y="0"/>
                      <a:ext cx="4410042" cy="2990850"/>
                    </a:xfrm>
                    <a:prstGeom prst="rect">
                      <a:avLst/>
                    </a:prstGeom>
                    <a:noFill/>
                    <a:ln>
                      <a:noFill/>
                    </a:ln>
                    <a:extLst>
                      <a:ext uri="{53640926-AAD7-44D8-BBD7-CCE9431645EC}">
                        <a14:shadowObscured xmlns:a14="http://schemas.microsoft.com/office/drawing/2010/main"/>
                      </a:ext>
                    </a:extLst>
                  </pic:spPr>
                </pic:pic>
              </a:graphicData>
            </a:graphic>
          </wp:inline>
        </w:drawing>
      </w:r>
      <w:bookmarkEnd w:id="1"/>
    </w:p>
    <w:p w14:paraId="46D0F36E" w14:textId="77777777" w:rsidR="00D97C2C" w:rsidRPr="004A3752" w:rsidRDefault="00D97C2C" w:rsidP="00C209F2">
      <w:pPr>
        <w:spacing w:after="0" w:line="240" w:lineRule="auto"/>
        <w:ind w:left="0" w:right="0" w:firstLine="0"/>
        <w:rPr>
          <w:rFonts w:ascii="Arial" w:hAnsi="Arial" w:cs="Arial"/>
          <w:color w:val="auto"/>
          <w:sz w:val="20"/>
          <w:szCs w:val="20"/>
        </w:rPr>
      </w:pPr>
    </w:p>
    <w:p w14:paraId="2C1164C6" w14:textId="77777777" w:rsidR="004A3752" w:rsidRDefault="004A3752" w:rsidP="00C209F2">
      <w:pPr>
        <w:spacing w:after="0" w:line="240" w:lineRule="auto"/>
        <w:ind w:left="0" w:right="0" w:firstLine="0"/>
        <w:jc w:val="left"/>
        <w:rPr>
          <w:rFonts w:ascii="Arial" w:eastAsia="Calibri" w:hAnsi="Arial" w:cs="Arial"/>
          <w:b/>
          <w:bCs/>
          <w:sz w:val="20"/>
          <w:szCs w:val="20"/>
        </w:rPr>
      </w:pPr>
    </w:p>
    <w:p w14:paraId="55DD9E16" w14:textId="14DAE1B4" w:rsidR="00C209F2" w:rsidRPr="004A3752" w:rsidRDefault="00C209F2" w:rsidP="00C209F2">
      <w:pPr>
        <w:spacing w:after="0" w:line="240" w:lineRule="auto"/>
        <w:ind w:left="0" w:right="0" w:firstLine="0"/>
        <w:jc w:val="left"/>
        <w:rPr>
          <w:rFonts w:ascii="Arial" w:eastAsia="Calibri" w:hAnsi="Arial" w:cs="Arial"/>
          <w:b/>
          <w:bCs/>
          <w:szCs w:val="24"/>
        </w:rPr>
      </w:pPr>
      <w:r w:rsidRPr="004A3752">
        <w:rPr>
          <w:rFonts w:ascii="Arial" w:eastAsia="Calibri" w:hAnsi="Arial" w:cs="Arial"/>
          <w:b/>
          <w:bCs/>
          <w:szCs w:val="24"/>
        </w:rPr>
        <w:t>III. Result and Discussion</w:t>
      </w:r>
    </w:p>
    <w:p w14:paraId="7BC2EB2F" w14:textId="77777777" w:rsidR="00FA232C" w:rsidRPr="004A3752" w:rsidRDefault="00FA232C" w:rsidP="00FA232C">
      <w:pPr>
        <w:spacing w:after="0" w:line="240" w:lineRule="auto"/>
        <w:ind w:left="0" w:right="0" w:firstLine="0"/>
        <w:jc w:val="left"/>
        <w:rPr>
          <w:rFonts w:ascii="Arial" w:eastAsia="Calibri" w:hAnsi="Arial" w:cs="Arial"/>
          <w:b/>
          <w:bCs/>
          <w:sz w:val="20"/>
          <w:szCs w:val="20"/>
        </w:rPr>
      </w:pPr>
    </w:p>
    <w:p w14:paraId="6AB85191" w14:textId="025C63E1" w:rsidR="00FA232C" w:rsidRPr="004A3752" w:rsidRDefault="00FA232C" w:rsidP="00FA232C">
      <w:pPr>
        <w:spacing w:after="0" w:line="240" w:lineRule="auto"/>
        <w:ind w:left="0" w:right="0" w:firstLine="0"/>
        <w:jc w:val="left"/>
        <w:rPr>
          <w:rFonts w:ascii="Arial" w:eastAsia="Calibri" w:hAnsi="Arial" w:cs="Arial"/>
          <w:b/>
          <w:bCs/>
          <w:sz w:val="20"/>
          <w:szCs w:val="20"/>
        </w:rPr>
      </w:pPr>
      <w:r w:rsidRPr="004A3752">
        <w:rPr>
          <w:rFonts w:ascii="Arial" w:eastAsia="Calibri" w:hAnsi="Arial" w:cs="Arial"/>
          <w:b/>
          <w:bCs/>
          <w:sz w:val="20"/>
          <w:szCs w:val="20"/>
        </w:rPr>
        <w:t>3.1 Research Location</w:t>
      </w:r>
    </w:p>
    <w:p w14:paraId="22F04A4E" w14:textId="77777777" w:rsidR="00FA232C" w:rsidRPr="004A3752" w:rsidRDefault="00FA232C" w:rsidP="00FA232C">
      <w:pPr>
        <w:spacing w:after="0" w:line="240" w:lineRule="auto"/>
        <w:ind w:left="0" w:right="0" w:firstLine="0"/>
        <w:rPr>
          <w:rFonts w:ascii="Arial" w:eastAsia="Calibri" w:hAnsi="Arial" w:cs="Arial"/>
          <w:sz w:val="20"/>
          <w:szCs w:val="20"/>
        </w:rPr>
      </w:pPr>
    </w:p>
    <w:p w14:paraId="6A7FA4D5" w14:textId="446CF498" w:rsidR="00FA232C" w:rsidRPr="004A3752" w:rsidRDefault="00FA232C" w:rsidP="00FA232C">
      <w:pPr>
        <w:spacing w:after="0" w:line="240" w:lineRule="auto"/>
        <w:ind w:left="0" w:right="0" w:firstLine="0"/>
        <w:rPr>
          <w:rFonts w:ascii="Arial" w:eastAsia="Calibri" w:hAnsi="Arial" w:cs="Arial"/>
          <w:sz w:val="20"/>
          <w:szCs w:val="20"/>
        </w:rPr>
      </w:pPr>
      <w:r w:rsidRPr="004A3752">
        <w:rPr>
          <w:rFonts w:ascii="Arial" w:eastAsia="Calibri" w:hAnsi="Arial" w:cs="Arial"/>
          <w:sz w:val="20"/>
          <w:szCs w:val="20"/>
        </w:rPr>
        <w:t xml:space="preserve">Tanjung Rejo Village is situated in </w:t>
      </w:r>
      <w:proofErr w:type="spellStart"/>
      <w:r w:rsidRPr="004A3752">
        <w:rPr>
          <w:rFonts w:ascii="Arial" w:eastAsia="Calibri" w:hAnsi="Arial" w:cs="Arial"/>
          <w:sz w:val="20"/>
          <w:szCs w:val="20"/>
        </w:rPr>
        <w:t>Percut</w:t>
      </w:r>
      <w:proofErr w:type="spellEnd"/>
      <w:r w:rsidRPr="004A3752">
        <w:rPr>
          <w:rFonts w:ascii="Arial" w:eastAsia="Calibri" w:hAnsi="Arial" w:cs="Arial"/>
          <w:sz w:val="20"/>
          <w:szCs w:val="20"/>
        </w:rPr>
        <w:t xml:space="preserve"> Sei Tuan District, part of Deli Serdang Regency, within the province of North Sumatra, Indonesia. This area lies along the eastern coastline, facing the Malacca Strait, and includes a significant mangrove forest ecosystem along its estuarial and coastal zones. The village is accessible via land and river transport, which supports both tourism and local livelihoods, particularly fisheries. This geographical location places Tanjung Rejo at the intersection of land and sea resources—an ideal scenario for ecotourism development based on marine and coastal biodiversity</w:t>
      </w:r>
    </w:p>
    <w:p w14:paraId="5983013E" w14:textId="77777777" w:rsidR="00FA232C" w:rsidRPr="004A3752" w:rsidRDefault="00FA232C" w:rsidP="00FA232C">
      <w:pPr>
        <w:spacing w:after="0" w:line="240" w:lineRule="auto"/>
        <w:ind w:left="0" w:right="0" w:firstLine="0"/>
        <w:jc w:val="left"/>
        <w:rPr>
          <w:rFonts w:ascii="Arial" w:eastAsia="Calibri" w:hAnsi="Arial" w:cs="Arial"/>
          <w:sz w:val="20"/>
          <w:szCs w:val="20"/>
        </w:rPr>
      </w:pPr>
    </w:p>
    <w:p w14:paraId="359A609E" w14:textId="77777777" w:rsidR="00FA232C" w:rsidRPr="004A3752" w:rsidRDefault="00FA232C" w:rsidP="002A4FAB">
      <w:pPr>
        <w:spacing w:after="0" w:line="240" w:lineRule="auto"/>
        <w:ind w:left="0" w:right="0" w:firstLine="0"/>
        <w:rPr>
          <w:rFonts w:ascii="Arial" w:eastAsia="Calibri" w:hAnsi="Arial" w:cs="Arial"/>
          <w:sz w:val="20"/>
          <w:szCs w:val="20"/>
        </w:rPr>
      </w:pPr>
      <w:r w:rsidRPr="00FA232C">
        <w:rPr>
          <w:rFonts w:ascii="Arial" w:eastAsia="Calibri" w:hAnsi="Arial" w:cs="Arial"/>
          <w:sz w:val="20"/>
          <w:szCs w:val="20"/>
        </w:rPr>
        <w:t>The ecological richness of Tanjung Rejo is evident in its diverse mangrove species, which function as breeding grounds for fish, crabs, and mollusks. These ecosystems provide natural coastal barriers, supporting climate resilience and biodiversity conservation. Key environmental variables in this context include:</w:t>
      </w:r>
    </w:p>
    <w:p w14:paraId="1E2795D9" w14:textId="77777777" w:rsidR="002A4FAB" w:rsidRPr="00FA232C" w:rsidRDefault="002A4FAB" w:rsidP="002A4FAB">
      <w:pPr>
        <w:spacing w:after="0" w:line="240" w:lineRule="auto"/>
        <w:ind w:left="0" w:right="0" w:firstLine="0"/>
        <w:rPr>
          <w:rFonts w:ascii="Arial" w:eastAsia="Calibri" w:hAnsi="Arial" w:cs="Arial"/>
          <w:sz w:val="20"/>
          <w:szCs w:val="20"/>
        </w:rPr>
      </w:pPr>
    </w:p>
    <w:p w14:paraId="7E79510E" w14:textId="77777777" w:rsidR="00FA232C" w:rsidRPr="00FA232C" w:rsidRDefault="00FA232C" w:rsidP="00CD59A5">
      <w:pPr>
        <w:numPr>
          <w:ilvl w:val="0"/>
          <w:numId w:val="5"/>
        </w:numPr>
        <w:spacing w:after="0" w:line="240" w:lineRule="auto"/>
        <w:ind w:right="0"/>
        <w:jc w:val="left"/>
        <w:rPr>
          <w:rFonts w:ascii="Arial" w:eastAsia="Calibri" w:hAnsi="Arial" w:cs="Arial"/>
          <w:sz w:val="20"/>
          <w:szCs w:val="20"/>
        </w:rPr>
      </w:pPr>
      <w:r w:rsidRPr="00FA232C">
        <w:rPr>
          <w:rFonts w:ascii="Arial" w:eastAsia="Calibri" w:hAnsi="Arial" w:cs="Arial"/>
          <w:sz w:val="20"/>
          <w:szCs w:val="20"/>
        </w:rPr>
        <w:t xml:space="preserve">Mangrove density and diversity (e.g., </w:t>
      </w:r>
      <w:r w:rsidRPr="00FA232C">
        <w:rPr>
          <w:rFonts w:ascii="Arial" w:eastAsia="Calibri" w:hAnsi="Arial" w:cs="Arial"/>
          <w:i/>
          <w:iCs/>
          <w:sz w:val="20"/>
          <w:szCs w:val="20"/>
        </w:rPr>
        <w:t>Rhizophora spp.</w:t>
      </w:r>
      <w:r w:rsidRPr="00FA232C">
        <w:rPr>
          <w:rFonts w:ascii="Arial" w:eastAsia="Calibri" w:hAnsi="Arial" w:cs="Arial"/>
          <w:sz w:val="20"/>
          <w:szCs w:val="20"/>
        </w:rPr>
        <w:t xml:space="preserve">, </w:t>
      </w:r>
      <w:r w:rsidRPr="00FA232C">
        <w:rPr>
          <w:rFonts w:ascii="Arial" w:eastAsia="Calibri" w:hAnsi="Arial" w:cs="Arial"/>
          <w:i/>
          <w:iCs/>
          <w:sz w:val="20"/>
          <w:szCs w:val="20"/>
        </w:rPr>
        <w:t>Avicennia spp.</w:t>
      </w:r>
      <w:r w:rsidRPr="00FA232C">
        <w:rPr>
          <w:rFonts w:ascii="Arial" w:eastAsia="Calibri" w:hAnsi="Arial" w:cs="Arial"/>
          <w:sz w:val="20"/>
          <w:szCs w:val="20"/>
        </w:rPr>
        <w:t>),</w:t>
      </w:r>
    </w:p>
    <w:p w14:paraId="0F27871E" w14:textId="77777777" w:rsidR="00FA232C" w:rsidRPr="00FA232C" w:rsidRDefault="00FA232C" w:rsidP="00CD59A5">
      <w:pPr>
        <w:numPr>
          <w:ilvl w:val="0"/>
          <w:numId w:val="5"/>
        </w:numPr>
        <w:spacing w:after="0" w:line="240" w:lineRule="auto"/>
        <w:ind w:right="0"/>
        <w:jc w:val="left"/>
        <w:rPr>
          <w:rFonts w:ascii="Arial" w:eastAsia="Calibri" w:hAnsi="Arial" w:cs="Arial"/>
          <w:sz w:val="20"/>
          <w:szCs w:val="20"/>
        </w:rPr>
      </w:pPr>
      <w:r w:rsidRPr="00FA232C">
        <w:rPr>
          <w:rFonts w:ascii="Arial" w:eastAsia="Calibri" w:hAnsi="Arial" w:cs="Arial"/>
          <w:sz w:val="20"/>
          <w:szCs w:val="20"/>
        </w:rPr>
        <w:t>Water quality and sedimentation patterns,</w:t>
      </w:r>
    </w:p>
    <w:p w14:paraId="7A773547" w14:textId="77777777" w:rsidR="00FA232C" w:rsidRPr="00FA232C" w:rsidRDefault="00FA232C" w:rsidP="00CD59A5">
      <w:pPr>
        <w:numPr>
          <w:ilvl w:val="0"/>
          <w:numId w:val="5"/>
        </w:numPr>
        <w:spacing w:after="0" w:line="240" w:lineRule="auto"/>
        <w:ind w:right="0"/>
        <w:jc w:val="left"/>
        <w:rPr>
          <w:rFonts w:ascii="Arial" w:eastAsia="Calibri" w:hAnsi="Arial" w:cs="Arial"/>
          <w:sz w:val="20"/>
          <w:szCs w:val="20"/>
        </w:rPr>
      </w:pPr>
      <w:r w:rsidRPr="00FA232C">
        <w:rPr>
          <w:rFonts w:ascii="Arial" w:eastAsia="Calibri" w:hAnsi="Arial" w:cs="Arial"/>
          <w:sz w:val="20"/>
          <w:szCs w:val="20"/>
        </w:rPr>
        <w:t>Biodiversity indexes, and</w:t>
      </w:r>
    </w:p>
    <w:p w14:paraId="4A43EB84" w14:textId="77777777" w:rsidR="00FA232C" w:rsidRPr="00FA232C" w:rsidRDefault="00FA232C" w:rsidP="00CD59A5">
      <w:pPr>
        <w:numPr>
          <w:ilvl w:val="0"/>
          <w:numId w:val="5"/>
        </w:numPr>
        <w:spacing w:after="0" w:line="240" w:lineRule="auto"/>
        <w:ind w:right="0"/>
        <w:jc w:val="left"/>
        <w:rPr>
          <w:rFonts w:ascii="Arial" w:eastAsia="Calibri" w:hAnsi="Arial" w:cs="Arial"/>
          <w:sz w:val="20"/>
          <w:szCs w:val="20"/>
        </w:rPr>
      </w:pPr>
      <w:r w:rsidRPr="00FA232C">
        <w:rPr>
          <w:rFonts w:ascii="Arial" w:eastAsia="Calibri" w:hAnsi="Arial" w:cs="Arial"/>
          <w:sz w:val="20"/>
          <w:szCs w:val="20"/>
        </w:rPr>
        <w:t>Environmental degradation threats such as illegal logging or pollution.</w:t>
      </w:r>
      <w:r w:rsidRPr="00FA232C">
        <w:rPr>
          <w:rFonts w:ascii="Arial" w:eastAsia="Calibri" w:hAnsi="Arial" w:cs="Arial"/>
          <w:sz w:val="20"/>
          <w:szCs w:val="20"/>
        </w:rPr>
        <w:br/>
        <w:t>These ecological attributes serve as natural capital that can be leveraged for sustainable tourism.</w:t>
      </w:r>
    </w:p>
    <w:p w14:paraId="1FE8CD00" w14:textId="77777777" w:rsidR="00FA232C" w:rsidRPr="004A3752" w:rsidRDefault="00FA232C" w:rsidP="00FA232C">
      <w:pPr>
        <w:spacing w:after="0" w:line="240" w:lineRule="auto"/>
        <w:ind w:left="0" w:right="0" w:firstLine="0"/>
        <w:jc w:val="left"/>
        <w:rPr>
          <w:rFonts w:ascii="Arial" w:eastAsia="Calibri" w:hAnsi="Arial" w:cs="Arial"/>
          <w:sz w:val="20"/>
          <w:szCs w:val="20"/>
        </w:rPr>
      </w:pPr>
    </w:p>
    <w:p w14:paraId="25C35DF5" w14:textId="10FB6101" w:rsidR="003605FA" w:rsidRPr="004A3752" w:rsidRDefault="003605FA" w:rsidP="00FA232C">
      <w:pPr>
        <w:spacing w:after="0" w:line="240" w:lineRule="auto"/>
        <w:ind w:left="0" w:right="0" w:firstLine="0"/>
        <w:jc w:val="left"/>
        <w:rPr>
          <w:rFonts w:ascii="Arial" w:eastAsia="Calibri" w:hAnsi="Arial" w:cs="Arial"/>
          <w:sz w:val="20"/>
          <w:szCs w:val="20"/>
        </w:rPr>
      </w:pPr>
      <w:r w:rsidRPr="004A3752">
        <w:rPr>
          <w:rFonts w:ascii="Arial" w:eastAsia="Calibri" w:hAnsi="Arial" w:cs="Arial"/>
          <w:b/>
          <w:bCs/>
          <w:sz w:val="20"/>
          <w:szCs w:val="20"/>
        </w:rPr>
        <w:t>3.2 Population</w:t>
      </w:r>
    </w:p>
    <w:p w14:paraId="6895A528"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The target population for this study consisted of residents of Tanjung Rejo Village who:</w:t>
      </w:r>
    </w:p>
    <w:p w14:paraId="4FEDD6C8" w14:textId="77777777" w:rsidR="00D31BFB" w:rsidRPr="00D31BFB" w:rsidRDefault="00D31BFB" w:rsidP="00CD59A5">
      <w:pPr>
        <w:numPr>
          <w:ilvl w:val="0"/>
          <w:numId w:val="6"/>
        </w:numPr>
        <w:spacing w:after="0" w:line="240" w:lineRule="auto"/>
        <w:ind w:right="0"/>
        <w:jc w:val="left"/>
        <w:rPr>
          <w:rFonts w:ascii="Arial" w:eastAsia="Calibri" w:hAnsi="Arial" w:cs="Arial"/>
          <w:sz w:val="20"/>
          <w:szCs w:val="20"/>
        </w:rPr>
      </w:pPr>
      <w:r w:rsidRPr="00D31BFB">
        <w:rPr>
          <w:rFonts w:ascii="Arial" w:eastAsia="Calibri" w:hAnsi="Arial" w:cs="Arial"/>
          <w:sz w:val="20"/>
          <w:szCs w:val="20"/>
        </w:rPr>
        <w:t>Are aged 18 years and above,</w:t>
      </w:r>
    </w:p>
    <w:p w14:paraId="72559C08" w14:textId="77777777" w:rsidR="00D31BFB" w:rsidRPr="00D31BFB" w:rsidRDefault="00D31BFB" w:rsidP="00CD59A5">
      <w:pPr>
        <w:numPr>
          <w:ilvl w:val="0"/>
          <w:numId w:val="6"/>
        </w:numPr>
        <w:spacing w:after="0" w:line="240" w:lineRule="auto"/>
        <w:ind w:right="0"/>
        <w:jc w:val="left"/>
        <w:rPr>
          <w:rFonts w:ascii="Arial" w:eastAsia="Calibri" w:hAnsi="Arial" w:cs="Arial"/>
          <w:sz w:val="20"/>
          <w:szCs w:val="20"/>
        </w:rPr>
      </w:pPr>
      <w:r w:rsidRPr="00D31BFB">
        <w:rPr>
          <w:rFonts w:ascii="Arial" w:eastAsia="Calibri" w:hAnsi="Arial" w:cs="Arial"/>
          <w:sz w:val="20"/>
          <w:szCs w:val="20"/>
        </w:rPr>
        <w:t>Have resided in the village for at least five years,</w:t>
      </w:r>
    </w:p>
    <w:p w14:paraId="594FD5E4" w14:textId="77777777" w:rsidR="00D31BFB" w:rsidRPr="00D31BFB" w:rsidRDefault="00D31BFB" w:rsidP="00CD59A5">
      <w:pPr>
        <w:numPr>
          <w:ilvl w:val="0"/>
          <w:numId w:val="6"/>
        </w:numPr>
        <w:spacing w:after="0" w:line="240" w:lineRule="auto"/>
        <w:ind w:right="0"/>
        <w:jc w:val="left"/>
        <w:rPr>
          <w:rFonts w:ascii="Arial" w:eastAsia="Calibri" w:hAnsi="Arial" w:cs="Arial"/>
          <w:sz w:val="20"/>
          <w:szCs w:val="20"/>
        </w:rPr>
      </w:pPr>
      <w:r w:rsidRPr="00D31BFB">
        <w:rPr>
          <w:rFonts w:ascii="Arial" w:eastAsia="Calibri" w:hAnsi="Arial" w:cs="Arial"/>
          <w:sz w:val="20"/>
          <w:szCs w:val="20"/>
        </w:rPr>
        <w:t>Are involved either directly or indirectly in mangrove tourism, fisheries, or conservation activities.</w:t>
      </w:r>
    </w:p>
    <w:p w14:paraId="66CD76C0"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Based on local demographic records and field estimates, the eligible population was approximately 2,500 individuals.</w:t>
      </w:r>
    </w:p>
    <w:p w14:paraId="7351854E" w14:textId="27024A36" w:rsidR="00D31BFB" w:rsidRPr="00D31BFB" w:rsidRDefault="00D31BFB" w:rsidP="00D31BFB">
      <w:pPr>
        <w:spacing w:after="0" w:line="240" w:lineRule="auto"/>
        <w:ind w:left="0" w:right="0" w:firstLine="0"/>
        <w:jc w:val="left"/>
        <w:rPr>
          <w:rFonts w:ascii="Arial" w:eastAsia="Calibri" w:hAnsi="Arial" w:cs="Arial"/>
          <w:sz w:val="20"/>
          <w:szCs w:val="20"/>
        </w:rPr>
      </w:pPr>
    </w:p>
    <w:p w14:paraId="0F863E40"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The study employed purposive sampling in combination with proportional area sampling, ensuring a balanced representation of key social groups:</w:t>
      </w:r>
    </w:p>
    <w:p w14:paraId="2C0ECC4E" w14:textId="77777777" w:rsidR="00D31BFB" w:rsidRPr="00D31BFB" w:rsidRDefault="00D31BFB" w:rsidP="00CD59A5">
      <w:pPr>
        <w:numPr>
          <w:ilvl w:val="0"/>
          <w:numId w:val="7"/>
        </w:numPr>
        <w:spacing w:after="0" w:line="240" w:lineRule="auto"/>
        <w:ind w:right="0"/>
        <w:jc w:val="left"/>
        <w:rPr>
          <w:rFonts w:ascii="Arial" w:eastAsia="Calibri" w:hAnsi="Arial" w:cs="Arial"/>
          <w:sz w:val="20"/>
          <w:szCs w:val="20"/>
        </w:rPr>
      </w:pPr>
      <w:r w:rsidRPr="00D31BFB">
        <w:rPr>
          <w:rFonts w:ascii="Arial" w:eastAsia="Calibri" w:hAnsi="Arial" w:cs="Arial"/>
          <w:sz w:val="20"/>
          <w:szCs w:val="20"/>
        </w:rPr>
        <w:t>Active fishermen</w:t>
      </w:r>
    </w:p>
    <w:p w14:paraId="4EC0A8DF" w14:textId="77777777" w:rsidR="00D31BFB" w:rsidRPr="00D31BFB" w:rsidRDefault="00D31BFB" w:rsidP="00CD59A5">
      <w:pPr>
        <w:numPr>
          <w:ilvl w:val="0"/>
          <w:numId w:val="7"/>
        </w:numPr>
        <w:spacing w:after="0" w:line="240" w:lineRule="auto"/>
        <w:ind w:right="0"/>
        <w:jc w:val="left"/>
        <w:rPr>
          <w:rFonts w:ascii="Arial" w:eastAsia="Calibri" w:hAnsi="Arial" w:cs="Arial"/>
          <w:sz w:val="20"/>
          <w:szCs w:val="20"/>
        </w:rPr>
      </w:pPr>
      <w:r w:rsidRPr="00D31BFB">
        <w:rPr>
          <w:rFonts w:ascii="Arial" w:eastAsia="Calibri" w:hAnsi="Arial" w:cs="Arial"/>
          <w:sz w:val="20"/>
          <w:szCs w:val="20"/>
        </w:rPr>
        <w:lastRenderedPageBreak/>
        <w:t>Tourism-related entrepreneurs and vendors</w:t>
      </w:r>
    </w:p>
    <w:p w14:paraId="501B595D" w14:textId="77777777" w:rsidR="00D31BFB" w:rsidRPr="00D31BFB" w:rsidRDefault="00D31BFB" w:rsidP="00CD59A5">
      <w:pPr>
        <w:numPr>
          <w:ilvl w:val="0"/>
          <w:numId w:val="7"/>
        </w:numPr>
        <w:spacing w:after="0" w:line="240" w:lineRule="auto"/>
        <w:ind w:right="0"/>
        <w:jc w:val="left"/>
        <w:rPr>
          <w:rFonts w:ascii="Arial" w:eastAsia="Calibri" w:hAnsi="Arial" w:cs="Arial"/>
          <w:sz w:val="20"/>
          <w:szCs w:val="20"/>
        </w:rPr>
      </w:pPr>
      <w:r w:rsidRPr="00D31BFB">
        <w:rPr>
          <w:rFonts w:ascii="Arial" w:eastAsia="Calibri" w:hAnsi="Arial" w:cs="Arial"/>
          <w:sz w:val="20"/>
          <w:szCs w:val="20"/>
        </w:rPr>
        <w:t>Community leaders and administrators</w:t>
      </w:r>
    </w:p>
    <w:p w14:paraId="44402345" w14:textId="77777777" w:rsidR="00D31BFB" w:rsidRPr="00D31BFB" w:rsidRDefault="00D31BFB" w:rsidP="00CD59A5">
      <w:pPr>
        <w:numPr>
          <w:ilvl w:val="0"/>
          <w:numId w:val="7"/>
        </w:numPr>
        <w:spacing w:after="0" w:line="240" w:lineRule="auto"/>
        <w:ind w:right="0"/>
        <w:jc w:val="left"/>
        <w:rPr>
          <w:rFonts w:ascii="Arial" w:eastAsia="Calibri" w:hAnsi="Arial" w:cs="Arial"/>
          <w:sz w:val="20"/>
          <w:szCs w:val="20"/>
        </w:rPr>
      </w:pPr>
      <w:r w:rsidRPr="00D31BFB">
        <w:rPr>
          <w:rFonts w:ascii="Arial" w:eastAsia="Calibri" w:hAnsi="Arial" w:cs="Arial"/>
          <w:sz w:val="20"/>
          <w:szCs w:val="20"/>
        </w:rPr>
        <w:t xml:space="preserve">Youth and ecotourism awareness groups (e.g., </w:t>
      </w:r>
      <w:proofErr w:type="spellStart"/>
      <w:r w:rsidRPr="00D31BFB">
        <w:rPr>
          <w:rFonts w:ascii="Arial" w:eastAsia="Calibri" w:hAnsi="Arial" w:cs="Arial"/>
          <w:sz w:val="20"/>
          <w:szCs w:val="20"/>
        </w:rPr>
        <w:t>Pokdarwis</w:t>
      </w:r>
      <w:proofErr w:type="spellEnd"/>
      <w:r w:rsidRPr="00D31BFB">
        <w:rPr>
          <w:rFonts w:ascii="Arial" w:eastAsia="Calibri" w:hAnsi="Arial" w:cs="Arial"/>
          <w:sz w:val="20"/>
          <w:szCs w:val="20"/>
        </w:rPr>
        <w:t>)</w:t>
      </w:r>
    </w:p>
    <w:p w14:paraId="6B95E9C7"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To determine sample size, Slovin’s formula was applied:</w:t>
      </w:r>
    </w:p>
    <w:p w14:paraId="72AD127C" w14:textId="77777777" w:rsidR="00925549" w:rsidRPr="004A3752" w:rsidRDefault="00925549" w:rsidP="00925549">
      <w:pPr>
        <w:spacing w:after="0" w:line="240" w:lineRule="auto"/>
        <w:ind w:left="0" w:right="0" w:firstLine="0"/>
        <w:jc w:val="center"/>
        <w:rPr>
          <w:rFonts w:ascii="Arial" w:eastAsia="Calibri" w:hAnsi="Arial" w:cs="Arial"/>
          <w:sz w:val="20"/>
          <w:szCs w:val="20"/>
        </w:rPr>
      </w:pPr>
      <w:r w:rsidRPr="004A3752">
        <w:rPr>
          <w:rFonts w:ascii="Arial" w:eastAsia="Calibri" w:hAnsi="Arial" w:cs="Arial"/>
          <w:noProof/>
          <w:sz w:val="20"/>
          <w:szCs w:val="20"/>
        </w:rPr>
        <w:drawing>
          <wp:inline distT="0" distB="0" distL="0" distR="0" wp14:anchorId="4EB7D228" wp14:editId="032F810E">
            <wp:extent cx="2128837" cy="780632"/>
            <wp:effectExtent l="0" t="0" r="5080" b="635"/>
            <wp:docPr id="355334484" name="Picture 1" descr="A math equations with numbers and symb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334484" name="Picture 1" descr="A math equations with numbers and symbols"/>
                    <pic:cNvPicPr/>
                  </pic:nvPicPr>
                  <pic:blipFill>
                    <a:blip r:embed="rId10"/>
                    <a:stretch>
                      <a:fillRect/>
                    </a:stretch>
                  </pic:blipFill>
                  <pic:spPr>
                    <a:xfrm>
                      <a:off x="0" y="0"/>
                      <a:ext cx="2153014" cy="789497"/>
                    </a:xfrm>
                    <a:prstGeom prst="rect">
                      <a:avLst/>
                    </a:prstGeom>
                  </pic:spPr>
                </pic:pic>
              </a:graphicData>
            </a:graphic>
          </wp:inline>
        </w:drawing>
      </w:r>
    </w:p>
    <w:p w14:paraId="4DB6415F" w14:textId="5076A537" w:rsidR="00D31BFB" w:rsidRPr="00D31BFB" w:rsidRDefault="00D31BFB" w:rsidP="00925549">
      <w:pPr>
        <w:spacing w:after="0" w:line="240" w:lineRule="auto"/>
        <w:ind w:left="0" w:right="0" w:firstLine="0"/>
        <w:jc w:val="center"/>
        <w:rPr>
          <w:rFonts w:ascii="Arial" w:eastAsia="Calibri" w:hAnsi="Arial" w:cs="Arial"/>
          <w:sz w:val="20"/>
          <w:szCs w:val="20"/>
        </w:rPr>
      </w:pPr>
      <w:r w:rsidRPr="00D31BFB">
        <w:rPr>
          <w:rFonts w:ascii="Arial" w:eastAsia="Calibri" w:hAnsi="Arial" w:cs="Arial"/>
          <w:sz w:val="20"/>
          <w:szCs w:val="20"/>
        </w:rPr>
        <w:t>Rounding up, a total of 100 respondents were surveyed, exceeding the minimum to improve representation and statistical reliability.</w:t>
      </w:r>
    </w:p>
    <w:p w14:paraId="6842C9B0" w14:textId="77777777" w:rsidR="002A4FAB" w:rsidRPr="004A3752" w:rsidRDefault="002A4FAB" w:rsidP="00D31BFB">
      <w:pPr>
        <w:spacing w:after="0" w:line="240" w:lineRule="auto"/>
        <w:ind w:left="0" w:right="0" w:firstLine="0"/>
        <w:jc w:val="left"/>
        <w:rPr>
          <w:rFonts w:ascii="Arial" w:eastAsia="Calibri" w:hAnsi="Arial" w:cs="Arial"/>
          <w:b/>
          <w:bCs/>
          <w:sz w:val="20"/>
          <w:szCs w:val="20"/>
        </w:rPr>
      </w:pPr>
    </w:p>
    <w:p w14:paraId="0B034D18" w14:textId="14A064AC"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b/>
          <w:bCs/>
          <w:sz w:val="20"/>
          <w:szCs w:val="20"/>
        </w:rPr>
        <w:t>3. Respondent Distribution</w:t>
      </w:r>
    </w:p>
    <w:p w14:paraId="2527742A" w14:textId="77777777" w:rsidR="00D97C2C" w:rsidRPr="004A3752" w:rsidRDefault="00D97C2C" w:rsidP="00925549">
      <w:pPr>
        <w:spacing w:after="0" w:line="240" w:lineRule="auto"/>
        <w:ind w:left="0" w:right="0" w:firstLine="0"/>
        <w:jc w:val="center"/>
        <w:rPr>
          <w:rFonts w:ascii="Arial" w:eastAsia="Calibri" w:hAnsi="Arial" w:cs="Arial"/>
          <w:sz w:val="20"/>
          <w:szCs w:val="20"/>
        </w:rPr>
      </w:pPr>
    </w:p>
    <w:p w14:paraId="18B1498B" w14:textId="642285BF" w:rsidR="00D31BFB" w:rsidRPr="00D31BFB" w:rsidRDefault="004A3752" w:rsidP="00925549">
      <w:pPr>
        <w:spacing w:after="0" w:line="240" w:lineRule="auto"/>
        <w:ind w:left="0" w:right="0" w:firstLine="0"/>
        <w:jc w:val="center"/>
        <w:rPr>
          <w:rFonts w:ascii="Arial" w:eastAsia="Calibri" w:hAnsi="Arial" w:cs="Arial"/>
          <w:sz w:val="20"/>
          <w:szCs w:val="20"/>
        </w:rPr>
      </w:pPr>
      <w:r>
        <w:rPr>
          <w:rFonts w:ascii="Arial" w:eastAsia="Calibri" w:hAnsi="Arial" w:cs="Arial"/>
          <w:sz w:val="20"/>
          <w:szCs w:val="20"/>
        </w:rPr>
        <w:t xml:space="preserve">Table 1. </w:t>
      </w:r>
      <w:r w:rsidR="00D31BFB" w:rsidRPr="00D31BFB">
        <w:rPr>
          <w:rFonts w:ascii="Arial" w:eastAsia="Calibri" w:hAnsi="Arial" w:cs="Arial"/>
          <w:sz w:val="20"/>
          <w:szCs w:val="20"/>
        </w:rPr>
        <w:t>The demographic breakdown of the sample is as follows:</w:t>
      </w:r>
    </w:p>
    <w:tbl>
      <w:tblPr>
        <w:tblStyle w:val="TableGridLight"/>
        <w:tblW w:w="0" w:type="auto"/>
        <w:jc w:val="center"/>
        <w:tblLook w:val="04A0" w:firstRow="1" w:lastRow="0" w:firstColumn="1" w:lastColumn="0" w:noHBand="0" w:noVBand="1"/>
      </w:tblPr>
      <w:tblGrid>
        <w:gridCol w:w="3373"/>
        <w:gridCol w:w="928"/>
        <w:gridCol w:w="1606"/>
      </w:tblGrid>
      <w:tr w:rsidR="00D31BFB" w:rsidRPr="00D31BFB" w14:paraId="0B95B5EC" w14:textId="77777777" w:rsidTr="00925549">
        <w:trPr>
          <w:jc w:val="center"/>
        </w:trPr>
        <w:tc>
          <w:tcPr>
            <w:tcW w:w="0" w:type="auto"/>
            <w:hideMark/>
          </w:tcPr>
          <w:p w14:paraId="645F1955"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Category</w:t>
            </w:r>
          </w:p>
        </w:tc>
        <w:tc>
          <w:tcPr>
            <w:tcW w:w="0" w:type="auto"/>
            <w:hideMark/>
          </w:tcPr>
          <w:p w14:paraId="2F5BC8CB"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Number</w:t>
            </w:r>
          </w:p>
        </w:tc>
        <w:tc>
          <w:tcPr>
            <w:tcW w:w="0" w:type="auto"/>
            <w:hideMark/>
          </w:tcPr>
          <w:p w14:paraId="6F32D156"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Percentage (%)</w:t>
            </w:r>
          </w:p>
        </w:tc>
      </w:tr>
      <w:tr w:rsidR="00D31BFB" w:rsidRPr="00D31BFB" w14:paraId="2CA3D959" w14:textId="77777777" w:rsidTr="00925549">
        <w:trPr>
          <w:jc w:val="center"/>
        </w:trPr>
        <w:tc>
          <w:tcPr>
            <w:tcW w:w="0" w:type="auto"/>
            <w:hideMark/>
          </w:tcPr>
          <w:p w14:paraId="0970E4F2"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Active fishermen</w:t>
            </w:r>
          </w:p>
        </w:tc>
        <w:tc>
          <w:tcPr>
            <w:tcW w:w="0" w:type="auto"/>
            <w:hideMark/>
          </w:tcPr>
          <w:p w14:paraId="4B0BD2F5"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30</w:t>
            </w:r>
          </w:p>
        </w:tc>
        <w:tc>
          <w:tcPr>
            <w:tcW w:w="0" w:type="auto"/>
            <w:hideMark/>
          </w:tcPr>
          <w:p w14:paraId="1FA8DFF1"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30%</w:t>
            </w:r>
          </w:p>
        </w:tc>
      </w:tr>
      <w:tr w:rsidR="00D31BFB" w:rsidRPr="00D31BFB" w14:paraId="7F5EF49C" w14:textId="77777777" w:rsidTr="00925549">
        <w:trPr>
          <w:jc w:val="center"/>
        </w:trPr>
        <w:tc>
          <w:tcPr>
            <w:tcW w:w="0" w:type="auto"/>
            <w:hideMark/>
          </w:tcPr>
          <w:p w14:paraId="24D5F909"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Tourism vendors / local businesses</w:t>
            </w:r>
          </w:p>
        </w:tc>
        <w:tc>
          <w:tcPr>
            <w:tcW w:w="0" w:type="auto"/>
            <w:hideMark/>
          </w:tcPr>
          <w:p w14:paraId="3FBF8F9B"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25</w:t>
            </w:r>
          </w:p>
        </w:tc>
        <w:tc>
          <w:tcPr>
            <w:tcW w:w="0" w:type="auto"/>
            <w:hideMark/>
          </w:tcPr>
          <w:p w14:paraId="32F51622"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25%</w:t>
            </w:r>
          </w:p>
        </w:tc>
      </w:tr>
      <w:tr w:rsidR="00D31BFB" w:rsidRPr="00D31BFB" w14:paraId="7B750A3C" w14:textId="77777777" w:rsidTr="00925549">
        <w:trPr>
          <w:jc w:val="center"/>
        </w:trPr>
        <w:tc>
          <w:tcPr>
            <w:tcW w:w="0" w:type="auto"/>
            <w:hideMark/>
          </w:tcPr>
          <w:p w14:paraId="78DAF1D7"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Community leaders / RT-RW heads</w:t>
            </w:r>
          </w:p>
        </w:tc>
        <w:tc>
          <w:tcPr>
            <w:tcW w:w="0" w:type="auto"/>
            <w:hideMark/>
          </w:tcPr>
          <w:p w14:paraId="027CB7FA"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20</w:t>
            </w:r>
          </w:p>
        </w:tc>
        <w:tc>
          <w:tcPr>
            <w:tcW w:w="0" w:type="auto"/>
            <w:hideMark/>
          </w:tcPr>
          <w:p w14:paraId="05AA9078"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20%</w:t>
            </w:r>
          </w:p>
        </w:tc>
      </w:tr>
      <w:tr w:rsidR="00D31BFB" w:rsidRPr="00D31BFB" w14:paraId="4BA334D2" w14:textId="77777777" w:rsidTr="00925549">
        <w:trPr>
          <w:jc w:val="center"/>
        </w:trPr>
        <w:tc>
          <w:tcPr>
            <w:tcW w:w="0" w:type="auto"/>
            <w:hideMark/>
          </w:tcPr>
          <w:p w14:paraId="54168AEF"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Youth tourism groups (</w:t>
            </w:r>
            <w:proofErr w:type="spellStart"/>
            <w:r w:rsidRPr="00D31BFB">
              <w:rPr>
                <w:rFonts w:ascii="Arial" w:eastAsia="Calibri" w:hAnsi="Arial" w:cs="Arial"/>
                <w:sz w:val="20"/>
                <w:szCs w:val="20"/>
              </w:rPr>
              <w:t>Pokdarwis</w:t>
            </w:r>
            <w:proofErr w:type="spellEnd"/>
            <w:r w:rsidRPr="00D31BFB">
              <w:rPr>
                <w:rFonts w:ascii="Arial" w:eastAsia="Calibri" w:hAnsi="Arial" w:cs="Arial"/>
                <w:sz w:val="20"/>
                <w:szCs w:val="20"/>
              </w:rPr>
              <w:t>)</w:t>
            </w:r>
          </w:p>
        </w:tc>
        <w:tc>
          <w:tcPr>
            <w:tcW w:w="0" w:type="auto"/>
            <w:hideMark/>
          </w:tcPr>
          <w:p w14:paraId="7FDCDA26"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15</w:t>
            </w:r>
          </w:p>
        </w:tc>
        <w:tc>
          <w:tcPr>
            <w:tcW w:w="0" w:type="auto"/>
            <w:hideMark/>
          </w:tcPr>
          <w:p w14:paraId="56A9D026"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15%</w:t>
            </w:r>
          </w:p>
        </w:tc>
      </w:tr>
      <w:tr w:rsidR="00D31BFB" w:rsidRPr="00D31BFB" w14:paraId="72D7EF62" w14:textId="77777777" w:rsidTr="00925549">
        <w:trPr>
          <w:jc w:val="center"/>
        </w:trPr>
        <w:tc>
          <w:tcPr>
            <w:tcW w:w="0" w:type="auto"/>
            <w:hideMark/>
          </w:tcPr>
          <w:p w14:paraId="4F2E2F29"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General residents</w:t>
            </w:r>
          </w:p>
        </w:tc>
        <w:tc>
          <w:tcPr>
            <w:tcW w:w="0" w:type="auto"/>
            <w:hideMark/>
          </w:tcPr>
          <w:p w14:paraId="39D40DB0"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10</w:t>
            </w:r>
          </w:p>
        </w:tc>
        <w:tc>
          <w:tcPr>
            <w:tcW w:w="0" w:type="auto"/>
            <w:hideMark/>
          </w:tcPr>
          <w:p w14:paraId="171DF1F5"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10%</w:t>
            </w:r>
          </w:p>
        </w:tc>
      </w:tr>
      <w:tr w:rsidR="00D31BFB" w:rsidRPr="00D31BFB" w14:paraId="0CC9CF33" w14:textId="77777777" w:rsidTr="00925549">
        <w:trPr>
          <w:jc w:val="center"/>
        </w:trPr>
        <w:tc>
          <w:tcPr>
            <w:tcW w:w="0" w:type="auto"/>
            <w:hideMark/>
          </w:tcPr>
          <w:p w14:paraId="61078952"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Total</w:t>
            </w:r>
          </w:p>
        </w:tc>
        <w:tc>
          <w:tcPr>
            <w:tcW w:w="0" w:type="auto"/>
            <w:hideMark/>
          </w:tcPr>
          <w:p w14:paraId="792BFF67"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100</w:t>
            </w:r>
          </w:p>
        </w:tc>
        <w:tc>
          <w:tcPr>
            <w:tcW w:w="0" w:type="auto"/>
            <w:hideMark/>
          </w:tcPr>
          <w:p w14:paraId="27F212D9"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100%</w:t>
            </w:r>
          </w:p>
        </w:tc>
      </w:tr>
    </w:tbl>
    <w:p w14:paraId="1CB488B6" w14:textId="77777777" w:rsidR="00D97C2C" w:rsidRPr="004A3752" w:rsidRDefault="00D97C2C" w:rsidP="00D31BFB">
      <w:pPr>
        <w:spacing w:after="0" w:line="240" w:lineRule="auto"/>
        <w:ind w:left="0" w:right="0" w:firstLine="0"/>
        <w:jc w:val="left"/>
        <w:rPr>
          <w:rFonts w:ascii="Arial" w:eastAsia="Calibri" w:hAnsi="Arial" w:cs="Arial"/>
          <w:sz w:val="20"/>
          <w:szCs w:val="20"/>
        </w:rPr>
      </w:pPr>
    </w:p>
    <w:p w14:paraId="0BAA6DAA" w14:textId="3391C133" w:rsidR="00D31BFB" w:rsidRPr="00D31BFB" w:rsidRDefault="00D31BFB" w:rsidP="00D97C2C">
      <w:pPr>
        <w:spacing w:after="0" w:line="240" w:lineRule="auto"/>
        <w:ind w:left="0" w:right="0" w:firstLine="0"/>
        <w:rPr>
          <w:rFonts w:ascii="Arial" w:eastAsia="Calibri" w:hAnsi="Arial" w:cs="Arial"/>
          <w:sz w:val="20"/>
          <w:szCs w:val="20"/>
        </w:rPr>
      </w:pPr>
      <w:r w:rsidRPr="00D31BFB">
        <w:rPr>
          <w:rFonts w:ascii="Arial" w:eastAsia="Calibri" w:hAnsi="Arial" w:cs="Arial"/>
          <w:sz w:val="20"/>
          <w:szCs w:val="20"/>
        </w:rPr>
        <w:t>This stratified composition ensures that perspectives are balanced across stakeholder groups, enabling more nuanced analysis in the SWOT process.</w:t>
      </w:r>
      <w:r w:rsidR="00D97C2C" w:rsidRPr="004A3752">
        <w:rPr>
          <w:rFonts w:ascii="Arial" w:eastAsia="Calibri" w:hAnsi="Arial" w:cs="Arial"/>
          <w:sz w:val="20"/>
          <w:szCs w:val="20"/>
        </w:rPr>
        <w:t xml:space="preserve"> </w:t>
      </w:r>
      <w:r w:rsidRPr="00D31BFB">
        <w:rPr>
          <w:rFonts w:ascii="Arial" w:eastAsia="Calibri" w:hAnsi="Arial" w:cs="Arial"/>
          <w:sz w:val="20"/>
          <w:szCs w:val="20"/>
        </w:rPr>
        <w:t>To assess the reliability of generalizing from this sample, a margin of error was calculated using the standard formula:</w:t>
      </w:r>
    </w:p>
    <w:p w14:paraId="548D83E6" w14:textId="77777777" w:rsidR="00925549" w:rsidRPr="004A3752" w:rsidRDefault="00925549" w:rsidP="00925549">
      <w:pPr>
        <w:spacing w:after="0" w:line="240" w:lineRule="auto"/>
        <w:ind w:left="0" w:right="0" w:firstLine="0"/>
        <w:jc w:val="center"/>
        <w:rPr>
          <w:rFonts w:ascii="Arial" w:eastAsia="Calibri" w:hAnsi="Arial" w:cs="Arial"/>
          <w:sz w:val="20"/>
          <w:szCs w:val="20"/>
        </w:rPr>
      </w:pPr>
      <w:r w:rsidRPr="004A3752">
        <w:rPr>
          <w:rFonts w:ascii="Arial" w:eastAsia="Calibri" w:hAnsi="Arial" w:cs="Arial"/>
          <w:noProof/>
          <w:sz w:val="20"/>
          <w:szCs w:val="20"/>
        </w:rPr>
        <w:drawing>
          <wp:inline distT="0" distB="0" distL="0" distR="0" wp14:anchorId="1C13146C" wp14:editId="6A248ED2">
            <wp:extent cx="2562225" cy="424275"/>
            <wp:effectExtent l="0" t="0" r="0" b="0"/>
            <wp:docPr id="1337803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803916" name=""/>
                    <pic:cNvPicPr/>
                  </pic:nvPicPr>
                  <pic:blipFill>
                    <a:blip r:embed="rId11"/>
                    <a:stretch>
                      <a:fillRect/>
                    </a:stretch>
                  </pic:blipFill>
                  <pic:spPr>
                    <a:xfrm>
                      <a:off x="0" y="0"/>
                      <a:ext cx="2568767" cy="425358"/>
                    </a:xfrm>
                    <a:prstGeom prst="rect">
                      <a:avLst/>
                    </a:prstGeom>
                  </pic:spPr>
                </pic:pic>
              </a:graphicData>
            </a:graphic>
          </wp:inline>
        </w:drawing>
      </w:r>
    </w:p>
    <w:p w14:paraId="72634C86" w14:textId="1787ECA0" w:rsidR="00D31BFB" w:rsidRPr="00D31BFB" w:rsidRDefault="00D31BFB" w:rsidP="00D97C2C">
      <w:pPr>
        <w:spacing w:after="0" w:line="240" w:lineRule="auto"/>
        <w:ind w:left="0" w:right="0" w:firstLine="0"/>
        <w:rPr>
          <w:rFonts w:ascii="Arial" w:eastAsia="Calibri" w:hAnsi="Arial" w:cs="Arial"/>
          <w:sz w:val="20"/>
          <w:szCs w:val="20"/>
        </w:rPr>
      </w:pPr>
      <w:r w:rsidRPr="00D31BFB">
        <w:rPr>
          <w:rFonts w:ascii="Arial" w:eastAsia="Calibri" w:hAnsi="Arial" w:cs="Arial"/>
          <w:sz w:val="20"/>
          <w:szCs w:val="20"/>
        </w:rPr>
        <w:t>So, the margin of error is approximately ±9.8% at a 95% confidence level. This is acceptable for exploratory, community-scale research.</w:t>
      </w:r>
    </w:p>
    <w:p w14:paraId="22EFFD6F" w14:textId="77777777" w:rsidR="003605FA" w:rsidRPr="004A3752" w:rsidRDefault="003605FA" w:rsidP="00FA232C">
      <w:pPr>
        <w:spacing w:after="0" w:line="240" w:lineRule="auto"/>
        <w:ind w:left="0" w:right="0" w:firstLine="0"/>
        <w:jc w:val="left"/>
        <w:rPr>
          <w:rFonts w:ascii="Arial" w:eastAsia="Calibri" w:hAnsi="Arial" w:cs="Arial"/>
          <w:sz w:val="20"/>
          <w:szCs w:val="20"/>
        </w:rPr>
      </w:pPr>
    </w:p>
    <w:p w14:paraId="51AF14EB" w14:textId="13090404" w:rsidR="00FA232C" w:rsidRPr="00FA232C" w:rsidRDefault="00FA232C" w:rsidP="00FA232C">
      <w:pPr>
        <w:spacing w:after="0" w:line="240" w:lineRule="auto"/>
        <w:ind w:left="0" w:right="0" w:firstLine="0"/>
        <w:jc w:val="left"/>
        <w:rPr>
          <w:rFonts w:ascii="Arial" w:eastAsia="Calibri" w:hAnsi="Arial" w:cs="Arial"/>
          <w:b/>
          <w:bCs/>
          <w:sz w:val="20"/>
          <w:szCs w:val="20"/>
        </w:rPr>
      </w:pPr>
      <w:r w:rsidRPr="00FA232C">
        <w:rPr>
          <w:rFonts w:ascii="Arial" w:eastAsia="Calibri" w:hAnsi="Arial" w:cs="Arial"/>
          <w:b/>
          <w:bCs/>
          <w:sz w:val="20"/>
          <w:szCs w:val="20"/>
        </w:rPr>
        <w:t>3.</w:t>
      </w:r>
      <w:r w:rsidR="00D97C2C" w:rsidRPr="004A3752">
        <w:rPr>
          <w:rFonts w:ascii="Arial" w:eastAsia="Calibri" w:hAnsi="Arial" w:cs="Arial"/>
          <w:b/>
          <w:bCs/>
          <w:sz w:val="20"/>
          <w:szCs w:val="20"/>
        </w:rPr>
        <w:t>3</w:t>
      </w:r>
      <w:r w:rsidRPr="00FA232C">
        <w:rPr>
          <w:rFonts w:ascii="Arial" w:eastAsia="Calibri" w:hAnsi="Arial" w:cs="Arial"/>
          <w:b/>
          <w:bCs/>
          <w:sz w:val="20"/>
          <w:szCs w:val="20"/>
        </w:rPr>
        <w:t xml:space="preserve"> Internal Factor Evaluation (IFE) Matrix</w:t>
      </w:r>
    </w:p>
    <w:p w14:paraId="20532AA6" w14:textId="77777777" w:rsidR="00D97C2C" w:rsidRPr="004A3752" w:rsidRDefault="00D97C2C" w:rsidP="00D97C2C">
      <w:pPr>
        <w:spacing w:after="0" w:line="240" w:lineRule="auto"/>
        <w:ind w:left="0" w:right="0" w:firstLine="0"/>
        <w:rPr>
          <w:rFonts w:ascii="Arial" w:eastAsia="Calibri" w:hAnsi="Arial" w:cs="Arial"/>
          <w:sz w:val="20"/>
          <w:szCs w:val="20"/>
        </w:rPr>
      </w:pPr>
    </w:p>
    <w:p w14:paraId="44C25DD4" w14:textId="173D28CE" w:rsidR="00FA232C" w:rsidRPr="00FA232C" w:rsidRDefault="00FA232C" w:rsidP="00D97C2C">
      <w:pPr>
        <w:spacing w:after="0" w:line="240" w:lineRule="auto"/>
        <w:ind w:left="0" w:right="0" w:firstLine="0"/>
        <w:rPr>
          <w:rFonts w:ascii="Arial" w:eastAsia="Calibri" w:hAnsi="Arial" w:cs="Arial"/>
          <w:sz w:val="20"/>
          <w:szCs w:val="20"/>
        </w:rPr>
      </w:pPr>
      <w:r w:rsidRPr="00FA232C">
        <w:rPr>
          <w:rFonts w:ascii="Arial" w:eastAsia="Calibri" w:hAnsi="Arial" w:cs="Arial"/>
          <w:sz w:val="20"/>
          <w:szCs w:val="20"/>
        </w:rPr>
        <w:t>The IFE matrix identifies internal strengths and weaknesses affecting the potential of mangrove ecotourism in Tanjung Rejo. Scores are derived by multiplying each factor's weight with a rating on a scale from 1 (major weakness) to 4 (major strength). The results are shown below:</w:t>
      </w:r>
    </w:p>
    <w:p w14:paraId="7E04BFC0" w14:textId="77777777" w:rsidR="00D97C2C" w:rsidRPr="004A3752" w:rsidRDefault="00D97C2C" w:rsidP="00FA232C">
      <w:pPr>
        <w:spacing w:after="0" w:line="240" w:lineRule="auto"/>
        <w:ind w:left="0" w:right="0" w:firstLine="0"/>
        <w:jc w:val="left"/>
        <w:rPr>
          <w:rFonts w:ascii="Arial" w:eastAsia="Calibri" w:hAnsi="Arial" w:cs="Arial"/>
          <w:b/>
          <w:bCs/>
          <w:sz w:val="20"/>
          <w:szCs w:val="20"/>
        </w:rPr>
      </w:pPr>
    </w:p>
    <w:p w14:paraId="6F965B6A" w14:textId="77BE20DC" w:rsidR="00FA232C" w:rsidRPr="00FA232C" w:rsidRDefault="00FA232C" w:rsidP="00D97C2C">
      <w:pPr>
        <w:spacing w:after="0" w:line="240" w:lineRule="auto"/>
        <w:ind w:left="0" w:right="0" w:firstLine="0"/>
        <w:jc w:val="center"/>
        <w:rPr>
          <w:rFonts w:ascii="Arial" w:eastAsia="Calibri" w:hAnsi="Arial" w:cs="Arial"/>
          <w:b/>
          <w:bCs/>
          <w:sz w:val="20"/>
          <w:szCs w:val="20"/>
        </w:rPr>
      </w:pPr>
      <w:r w:rsidRPr="00FA232C">
        <w:rPr>
          <w:rFonts w:ascii="Arial" w:eastAsia="Calibri" w:hAnsi="Arial" w:cs="Arial"/>
          <w:b/>
          <w:bCs/>
          <w:sz w:val="20"/>
          <w:szCs w:val="20"/>
        </w:rPr>
        <w:t xml:space="preserve">Table </w:t>
      </w:r>
      <w:r w:rsidR="004A3752">
        <w:rPr>
          <w:rFonts w:ascii="Arial" w:eastAsia="Calibri" w:hAnsi="Arial" w:cs="Arial"/>
          <w:b/>
          <w:bCs/>
          <w:sz w:val="20"/>
          <w:szCs w:val="20"/>
        </w:rPr>
        <w:t>2</w:t>
      </w:r>
      <w:r w:rsidRPr="00FA232C">
        <w:rPr>
          <w:rFonts w:ascii="Arial" w:eastAsia="Calibri" w:hAnsi="Arial" w:cs="Arial"/>
          <w:b/>
          <w:bCs/>
          <w:sz w:val="20"/>
          <w:szCs w:val="20"/>
        </w:rPr>
        <w:t>. Internal Factors Evaluation (IFE) Matrix</w:t>
      </w:r>
    </w:p>
    <w:tbl>
      <w:tblPr>
        <w:tblStyle w:val="PlainTable1"/>
        <w:tblW w:w="0" w:type="auto"/>
        <w:jc w:val="center"/>
        <w:tblLook w:val="04A0" w:firstRow="1" w:lastRow="0" w:firstColumn="1" w:lastColumn="0" w:noHBand="0" w:noVBand="1"/>
      </w:tblPr>
      <w:tblGrid>
        <w:gridCol w:w="3840"/>
        <w:gridCol w:w="883"/>
        <w:gridCol w:w="839"/>
        <w:gridCol w:w="772"/>
      </w:tblGrid>
      <w:tr w:rsidR="00FA232C" w:rsidRPr="00FA232C" w14:paraId="4DAFF62C" w14:textId="77777777" w:rsidTr="00D97C2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63DE3B2" w14:textId="77777777" w:rsidR="00FA232C" w:rsidRPr="00FA232C" w:rsidRDefault="00FA232C" w:rsidP="00FA232C">
            <w:pPr>
              <w:spacing w:after="0" w:line="240" w:lineRule="auto"/>
              <w:ind w:left="0" w:right="0" w:firstLine="0"/>
              <w:jc w:val="left"/>
              <w:rPr>
                <w:rFonts w:ascii="Arial" w:eastAsia="Calibri" w:hAnsi="Arial" w:cs="Arial"/>
                <w:sz w:val="20"/>
                <w:szCs w:val="20"/>
              </w:rPr>
            </w:pPr>
            <w:r w:rsidRPr="00FA232C">
              <w:rPr>
                <w:rFonts w:ascii="Arial" w:eastAsia="Calibri" w:hAnsi="Arial" w:cs="Arial"/>
                <w:sz w:val="20"/>
                <w:szCs w:val="20"/>
              </w:rPr>
              <w:t>Internal Factors</w:t>
            </w:r>
          </w:p>
        </w:tc>
        <w:tc>
          <w:tcPr>
            <w:tcW w:w="0" w:type="auto"/>
            <w:hideMark/>
          </w:tcPr>
          <w:p w14:paraId="3F551CF9" w14:textId="77777777" w:rsidR="00FA232C" w:rsidRPr="00FA232C" w:rsidRDefault="00FA232C" w:rsidP="00FA232C">
            <w:pPr>
              <w:spacing w:after="0" w:line="240" w:lineRule="auto"/>
              <w:ind w:left="0" w:right="0" w:firstLine="0"/>
              <w:jc w:val="left"/>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Weight</w:t>
            </w:r>
          </w:p>
        </w:tc>
        <w:tc>
          <w:tcPr>
            <w:tcW w:w="0" w:type="auto"/>
            <w:hideMark/>
          </w:tcPr>
          <w:p w14:paraId="3F45594B" w14:textId="77777777" w:rsidR="00FA232C" w:rsidRPr="00FA232C" w:rsidRDefault="00FA232C" w:rsidP="00FA232C">
            <w:pPr>
              <w:spacing w:after="0" w:line="240" w:lineRule="auto"/>
              <w:ind w:left="0" w:right="0" w:firstLine="0"/>
              <w:jc w:val="left"/>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Rating</w:t>
            </w:r>
          </w:p>
        </w:tc>
        <w:tc>
          <w:tcPr>
            <w:tcW w:w="0" w:type="auto"/>
            <w:hideMark/>
          </w:tcPr>
          <w:p w14:paraId="627F6E1B" w14:textId="77777777" w:rsidR="00FA232C" w:rsidRPr="00FA232C" w:rsidRDefault="00FA232C" w:rsidP="00FA232C">
            <w:pPr>
              <w:spacing w:after="0" w:line="240" w:lineRule="auto"/>
              <w:ind w:left="0" w:right="0" w:firstLine="0"/>
              <w:jc w:val="left"/>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Score</w:t>
            </w:r>
          </w:p>
        </w:tc>
      </w:tr>
      <w:tr w:rsidR="00FA232C" w:rsidRPr="00FA232C" w14:paraId="6AFB2474" w14:textId="77777777" w:rsidTr="00D97C2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283D331" w14:textId="77777777" w:rsidR="00FA232C" w:rsidRPr="00FA232C" w:rsidRDefault="00FA232C" w:rsidP="00FA232C">
            <w:pPr>
              <w:spacing w:after="0" w:line="240" w:lineRule="auto"/>
              <w:ind w:left="0" w:right="0" w:firstLine="0"/>
              <w:jc w:val="left"/>
              <w:rPr>
                <w:rFonts w:ascii="Arial" w:eastAsia="Calibri" w:hAnsi="Arial" w:cs="Arial"/>
                <w:b w:val="0"/>
                <w:bCs w:val="0"/>
                <w:sz w:val="20"/>
                <w:szCs w:val="20"/>
              </w:rPr>
            </w:pPr>
            <w:r w:rsidRPr="00FA232C">
              <w:rPr>
                <w:rFonts w:ascii="Arial" w:eastAsia="Calibri" w:hAnsi="Arial" w:cs="Arial"/>
                <w:b w:val="0"/>
                <w:bCs w:val="0"/>
                <w:sz w:val="20"/>
                <w:szCs w:val="20"/>
              </w:rPr>
              <w:t>Rich biodiversity in mangrove ecosystem</w:t>
            </w:r>
          </w:p>
        </w:tc>
        <w:tc>
          <w:tcPr>
            <w:tcW w:w="0" w:type="auto"/>
            <w:hideMark/>
          </w:tcPr>
          <w:p w14:paraId="4649FD81" w14:textId="77777777" w:rsidR="00FA232C" w:rsidRPr="00FA232C" w:rsidRDefault="00FA232C" w:rsidP="00FA232C">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0.20</w:t>
            </w:r>
          </w:p>
        </w:tc>
        <w:tc>
          <w:tcPr>
            <w:tcW w:w="0" w:type="auto"/>
            <w:hideMark/>
          </w:tcPr>
          <w:p w14:paraId="1F8F1DB3" w14:textId="77777777" w:rsidR="00FA232C" w:rsidRPr="00FA232C" w:rsidRDefault="00FA232C" w:rsidP="00FA232C">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4</w:t>
            </w:r>
          </w:p>
        </w:tc>
        <w:tc>
          <w:tcPr>
            <w:tcW w:w="0" w:type="auto"/>
            <w:hideMark/>
          </w:tcPr>
          <w:p w14:paraId="50731BB7" w14:textId="77777777" w:rsidR="00FA232C" w:rsidRPr="00FA232C" w:rsidRDefault="00FA232C" w:rsidP="00FA232C">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0.80</w:t>
            </w:r>
          </w:p>
        </w:tc>
      </w:tr>
      <w:tr w:rsidR="00FA232C" w:rsidRPr="00FA232C" w14:paraId="3BE3B505" w14:textId="77777777" w:rsidTr="00D97C2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FB26256" w14:textId="77777777" w:rsidR="00FA232C" w:rsidRPr="00FA232C" w:rsidRDefault="00FA232C" w:rsidP="00FA232C">
            <w:pPr>
              <w:spacing w:after="0" w:line="240" w:lineRule="auto"/>
              <w:ind w:left="0" w:right="0" w:firstLine="0"/>
              <w:jc w:val="left"/>
              <w:rPr>
                <w:rFonts w:ascii="Arial" w:eastAsia="Calibri" w:hAnsi="Arial" w:cs="Arial"/>
                <w:b w:val="0"/>
                <w:bCs w:val="0"/>
                <w:sz w:val="20"/>
                <w:szCs w:val="20"/>
              </w:rPr>
            </w:pPr>
            <w:r w:rsidRPr="00FA232C">
              <w:rPr>
                <w:rFonts w:ascii="Arial" w:eastAsia="Calibri" w:hAnsi="Arial" w:cs="Arial"/>
                <w:b w:val="0"/>
                <w:bCs w:val="0"/>
                <w:sz w:val="20"/>
                <w:szCs w:val="20"/>
              </w:rPr>
              <w:t>Scenic natural beauty</w:t>
            </w:r>
          </w:p>
        </w:tc>
        <w:tc>
          <w:tcPr>
            <w:tcW w:w="0" w:type="auto"/>
            <w:hideMark/>
          </w:tcPr>
          <w:p w14:paraId="3973622C" w14:textId="77777777" w:rsidR="00FA232C" w:rsidRPr="00FA232C" w:rsidRDefault="00FA232C" w:rsidP="00FA232C">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0.15</w:t>
            </w:r>
          </w:p>
        </w:tc>
        <w:tc>
          <w:tcPr>
            <w:tcW w:w="0" w:type="auto"/>
            <w:hideMark/>
          </w:tcPr>
          <w:p w14:paraId="1A89FF2A" w14:textId="77777777" w:rsidR="00FA232C" w:rsidRPr="00FA232C" w:rsidRDefault="00FA232C" w:rsidP="00FA232C">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3</w:t>
            </w:r>
          </w:p>
        </w:tc>
        <w:tc>
          <w:tcPr>
            <w:tcW w:w="0" w:type="auto"/>
            <w:hideMark/>
          </w:tcPr>
          <w:p w14:paraId="3B0EA52E" w14:textId="77777777" w:rsidR="00FA232C" w:rsidRPr="00FA232C" w:rsidRDefault="00FA232C" w:rsidP="00FA232C">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0.45</w:t>
            </w:r>
          </w:p>
        </w:tc>
      </w:tr>
      <w:tr w:rsidR="00FA232C" w:rsidRPr="00FA232C" w14:paraId="48101AB6" w14:textId="77777777" w:rsidTr="00D97C2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9A45C75" w14:textId="77777777" w:rsidR="00FA232C" w:rsidRPr="00FA232C" w:rsidRDefault="00FA232C" w:rsidP="00FA232C">
            <w:pPr>
              <w:spacing w:after="0" w:line="240" w:lineRule="auto"/>
              <w:ind w:left="0" w:right="0" w:firstLine="0"/>
              <w:jc w:val="left"/>
              <w:rPr>
                <w:rFonts w:ascii="Arial" w:eastAsia="Calibri" w:hAnsi="Arial" w:cs="Arial"/>
                <w:b w:val="0"/>
                <w:bCs w:val="0"/>
                <w:sz w:val="20"/>
                <w:szCs w:val="20"/>
              </w:rPr>
            </w:pPr>
            <w:r w:rsidRPr="00FA232C">
              <w:rPr>
                <w:rFonts w:ascii="Arial" w:eastAsia="Calibri" w:hAnsi="Arial" w:cs="Arial"/>
                <w:b w:val="0"/>
                <w:bCs w:val="0"/>
                <w:sz w:val="20"/>
                <w:szCs w:val="20"/>
              </w:rPr>
              <w:t>Lack of tourism infrastructure</w:t>
            </w:r>
          </w:p>
        </w:tc>
        <w:tc>
          <w:tcPr>
            <w:tcW w:w="0" w:type="auto"/>
            <w:hideMark/>
          </w:tcPr>
          <w:p w14:paraId="217BAD9A" w14:textId="77777777" w:rsidR="00FA232C" w:rsidRPr="00FA232C" w:rsidRDefault="00FA232C" w:rsidP="00FA232C">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0.25</w:t>
            </w:r>
          </w:p>
        </w:tc>
        <w:tc>
          <w:tcPr>
            <w:tcW w:w="0" w:type="auto"/>
            <w:hideMark/>
          </w:tcPr>
          <w:p w14:paraId="20BFB029" w14:textId="77777777" w:rsidR="00FA232C" w:rsidRPr="00FA232C" w:rsidRDefault="00FA232C" w:rsidP="00FA232C">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2</w:t>
            </w:r>
          </w:p>
        </w:tc>
        <w:tc>
          <w:tcPr>
            <w:tcW w:w="0" w:type="auto"/>
            <w:hideMark/>
          </w:tcPr>
          <w:p w14:paraId="74D5C5BF" w14:textId="77777777" w:rsidR="00FA232C" w:rsidRPr="00FA232C" w:rsidRDefault="00FA232C" w:rsidP="00FA232C">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0.50</w:t>
            </w:r>
          </w:p>
        </w:tc>
      </w:tr>
      <w:tr w:rsidR="00FA232C" w:rsidRPr="00FA232C" w14:paraId="47A65B7C" w14:textId="77777777" w:rsidTr="00D97C2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CDD885E" w14:textId="77777777" w:rsidR="00FA232C" w:rsidRPr="00FA232C" w:rsidRDefault="00FA232C" w:rsidP="00FA232C">
            <w:pPr>
              <w:spacing w:after="0" w:line="240" w:lineRule="auto"/>
              <w:ind w:left="0" w:right="0" w:firstLine="0"/>
              <w:jc w:val="left"/>
              <w:rPr>
                <w:rFonts w:ascii="Arial" w:eastAsia="Calibri" w:hAnsi="Arial" w:cs="Arial"/>
                <w:b w:val="0"/>
                <w:bCs w:val="0"/>
                <w:sz w:val="20"/>
                <w:szCs w:val="20"/>
              </w:rPr>
            </w:pPr>
            <w:r w:rsidRPr="00FA232C">
              <w:rPr>
                <w:rFonts w:ascii="Arial" w:eastAsia="Calibri" w:hAnsi="Arial" w:cs="Arial"/>
                <w:b w:val="0"/>
                <w:bCs w:val="0"/>
                <w:sz w:val="20"/>
                <w:szCs w:val="20"/>
              </w:rPr>
              <w:t>Limited promotion and marketing</w:t>
            </w:r>
          </w:p>
        </w:tc>
        <w:tc>
          <w:tcPr>
            <w:tcW w:w="0" w:type="auto"/>
            <w:hideMark/>
          </w:tcPr>
          <w:p w14:paraId="49C5463B" w14:textId="77777777" w:rsidR="00FA232C" w:rsidRPr="00FA232C" w:rsidRDefault="00FA232C" w:rsidP="00FA232C">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0.25</w:t>
            </w:r>
          </w:p>
        </w:tc>
        <w:tc>
          <w:tcPr>
            <w:tcW w:w="0" w:type="auto"/>
            <w:hideMark/>
          </w:tcPr>
          <w:p w14:paraId="3024153C" w14:textId="77777777" w:rsidR="00FA232C" w:rsidRPr="00FA232C" w:rsidRDefault="00FA232C" w:rsidP="00FA232C">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2</w:t>
            </w:r>
          </w:p>
        </w:tc>
        <w:tc>
          <w:tcPr>
            <w:tcW w:w="0" w:type="auto"/>
            <w:hideMark/>
          </w:tcPr>
          <w:p w14:paraId="734F636E" w14:textId="77777777" w:rsidR="00FA232C" w:rsidRPr="00FA232C" w:rsidRDefault="00FA232C" w:rsidP="00FA232C">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0.50</w:t>
            </w:r>
          </w:p>
        </w:tc>
      </w:tr>
      <w:tr w:rsidR="00FA232C" w:rsidRPr="00FA232C" w14:paraId="07F9ABD3" w14:textId="77777777" w:rsidTr="00D97C2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4108CDF" w14:textId="77777777" w:rsidR="00FA232C" w:rsidRPr="00FA232C" w:rsidRDefault="00FA232C" w:rsidP="00FA232C">
            <w:pPr>
              <w:spacing w:after="0" w:line="240" w:lineRule="auto"/>
              <w:ind w:left="0" w:right="0" w:firstLine="0"/>
              <w:jc w:val="left"/>
              <w:rPr>
                <w:rFonts w:ascii="Arial" w:eastAsia="Calibri" w:hAnsi="Arial" w:cs="Arial"/>
                <w:b w:val="0"/>
                <w:bCs w:val="0"/>
                <w:sz w:val="20"/>
                <w:szCs w:val="20"/>
              </w:rPr>
            </w:pPr>
            <w:r w:rsidRPr="00FA232C">
              <w:rPr>
                <w:rFonts w:ascii="Arial" w:eastAsia="Calibri" w:hAnsi="Arial" w:cs="Arial"/>
                <w:b w:val="0"/>
                <w:bCs w:val="0"/>
                <w:sz w:val="20"/>
                <w:szCs w:val="20"/>
              </w:rPr>
              <w:t>Insufficient waste management</w:t>
            </w:r>
          </w:p>
        </w:tc>
        <w:tc>
          <w:tcPr>
            <w:tcW w:w="0" w:type="auto"/>
            <w:hideMark/>
          </w:tcPr>
          <w:p w14:paraId="19F92546" w14:textId="77777777" w:rsidR="00FA232C" w:rsidRPr="00FA232C" w:rsidRDefault="00FA232C" w:rsidP="00FA232C">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0.15</w:t>
            </w:r>
          </w:p>
        </w:tc>
        <w:tc>
          <w:tcPr>
            <w:tcW w:w="0" w:type="auto"/>
            <w:hideMark/>
          </w:tcPr>
          <w:p w14:paraId="0617B53E" w14:textId="77777777" w:rsidR="00FA232C" w:rsidRPr="00FA232C" w:rsidRDefault="00FA232C" w:rsidP="00FA232C">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1</w:t>
            </w:r>
          </w:p>
        </w:tc>
        <w:tc>
          <w:tcPr>
            <w:tcW w:w="0" w:type="auto"/>
            <w:hideMark/>
          </w:tcPr>
          <w:p w14:paraId="5690B196" w14:textId="77777777" w:rsidR="00FA232C" w:rsidRPr="00FA232C" w:rsidRDefault="00FA232C" w:rsidP="00FA232C">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0.15</w:t>
            </w:r>
          </w:p>
        </w:tc>
      </w:tr>
      <w:tr w:rsidR="00FA232C" w:rsidRPr="00FA232C" w14:paraId="66A35399" w14:textId="77777777" w:rsidTr="00D97C2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0417973" w14:textId="77777777" w:rsidR="00FA232C" w:rsidRPr="00FA232C" w:rsidRDefault="00FA232C" w:rsidP="00FA232C">
            <w:pPr>
              <w:spacing w:after="0" w:line="240" w:lineRule="auto"/>
              <w:ind w:left="0" w:right="0" w:firstLine="0"/>
              <w:jc w:val="left"/>
              <w:rPr>
                <w:rFonts w:ascii="Arial" w:eastAsia="Calibri" w:hAnsi="Arial" w:cs="Arial"/>
                <w:b w:val="0"/>
                <w:bCs w:val="0"/>
                <w:sz w:val="20"/>
                <w:szCs w:val="20"/>
              </w:rPr>
            </w:pPr>
            <w:r w:rsidRPr="00FA232C">
              <w:rPr>
                <w:rFonts w:ascii="Arial" w:eastAsia="Calibri" w:hAnsi="Arial" w:cs="Arial"/>
                <w:b w:val="0"/>
                <w:bCs w:val="0"/>
                <w:sz w:val="20"/>
                <w:szCs w:val="20"/>
              </w:rPr>
              <w:t>Total</w:t>
            </w:r>
          </w:p>
        </w:tc>
        <w:tc>
          <w:tcPr>
            <w:tcW w:w="0" w:type="auto"/>
            <w:hideMark/>
          </w:tcPr>
          <w:p w14:paraId="3ADCE24E" w14:textId="77777777" w:rsidR="00FA232C" w:rsidRPr="00FA232C" w:rsidRDefault="00FA232C" w:rsidP="00FA232C">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1.00</w:t>
            </w:r>
          </w:p>
        </w:tc>
        <w:tc>
          <w:tcPr>
            <w:tcW w:w="0" w:type="auto"/>
            <w:hideMark/>
          </w:tcPr>
          <w:p w14:paraId="46E2A6A6" w14:textId="77777777" w:rsidR="00FA232C" w:rsidRPr="00FA232C" w:rsidRDefault="00FA232C" w:rsidP="00FA232C">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w:t>
            </w:r>
          </w:p>
        </w:tc>
        <w:tc>
          <w:tcPr>
            <w:tcW w:w="0" w:type="auto"/>
            <w:hideMark/>
          </w:tcPr>
          <w:p w14:paraId="001FFFC2" w14:textId="77777777" w:rsidR="00FA232C" w:rsidRPr="00FA232C" w:rsidRDefault="00FA232C" w:rsidP="00FA232C">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2.40</w:t>
            </w:r>
          </w:p>
        </w:tc>
      </w:tr>
    </w:tbl>
    <w:p w14:paraId="0835C9D2" w14:textId="77777777" w:rsidR="00D97C2C" w:rsidRPr="004A3752" w:rsidRDefault="00D97C2C" w:rsidP="00FA232C">
      <w:pPr>
        <w:spacing w:after="0" w:line="240" w:lineRule="auto"/>
        <w:ind w:left="0" w:right="0" w:firstLine="0"/>
        <w:jc w:val="left"/>
        <w:rPr>
          <w:rFonts w:ascii="Arial" w:eastAsia="Calibri" w:hAnsi="Arial" w:cs="Arial"/>
          <w:sz w:val="20"/>
          <w:szCs w:val="20"/>
        </w:rPr>
      </w:pPr>
    </w:p>
    <w:p w14:paraId="22CAEF2D" w14:textId="12A6130E" w:rsidR="00FA232C" w:rsidRPr="00FA232C" w:rsidRDefault="00FA232C" w:rsidP="00FA232C">
      <w:pPr>
        <w:spacing w:after="0" w:line="240" w:lineRule="auto"/>
        <w:ind w:left="0" w:right="0" w:firstLine="0"/>
        <w:jc w:val="left"/>
        <w:rPr>
          <w:rFonts w:ascii="Arial" w:eastAsia="Calibri" w:hAnsi="Arial" w:cs="Arial"/>
          <w:sz w:val="20"/>
          <w:szCs w:val="20"/>
        </w:rPr>
      </w:pPr>
      <w:r w:rsidRPr="00FA232C">
        <w:rPr>
          <w:rFonts w:ascii="Arial" w:eastAsia="Calibri" w:hAnsi="Arial" w:cs="Arial"/>
          <w:sz w:val="20"/>
          <w:szCs w:val="20"/>
        </w:rPr>
        <w:t>The total IFE score of 2.40 indicates a slightly below-average internal position, meaning weaknesses are prominent, but some strengths exist to build upon.</w:t>
      </w:r>
    </w:p>
    <w:p w14:paraId="5E4643FF" w14:textId="128C2694" w:rsidR="00FA232C" w:rsidRPr="00FA232C" w:rsidRDefault="00FA232C" w:rsidP="00FA232C">
      <w:pPr>
        <w:spacing w:after="0" w:line="240" w:lineRule="auto"/>
        <w:ind w:left="0" w:right="0" w:firstLine="0"/>
        <w:jc w:val="left"/>
        <w:rPr>
          <w:rFonts w:ascii="Arial" w:eastAsia="Calibri" w:hAnsi="Arial" w:cs="Arial"/>
          <w:sz w:val="20"/>
          <w:szCs w:val="20"/>
        </w:rPr>
      </w:pPr>
    </w:p>
    <w:p w14:paraId="48AB85BF" w14:textId="77777777" w:rsidR="00FA232C" w:rsidRPr="00FA232C" w:rsidRDefault="00FA232C" w:rsidP="00FA232C">
      <w:pPr>
        <w:spacing w:after="0" w:line="240" w:lineRule="auto"/>
        <w:ind w:left="0" w:right="0" w:firstLine="0"/>
        <w:jc w:val="left"/>
        <w:rPr>
          <w:rFonts w:ascii="Arial" w:eastAsia="Calibri" w:hAnsi="Arial" w:cs="Arial"/>
          <w:b/>
          <w:bCs/>
          <w:sz w:val="20"/>
          <w:szCs w:val="20"/>
        </w:rPr>
      </w:pPr>
      <w:r w:rsidRPr="00FA232C">
        <w:rPr>
          <w:rFonts w:ascii="Arial" w:eastAsia="Calibri" w:hAnsi="Arial" w:cs="Arial"/>
          <w:b/>
          <w:bCs/>
          <w:sz w:val="20"/>
          <w:szCs w:val="20"/>
        </w:rPr>
        <w:t>3.2 External Factor Evaluation (EFE) Matrix</w:t>
      </w:r>
    </w:p>
    <w:p w14:paraId="06BB49A3" w14:textId="77777777" w:rsidR="00D97C2C" w:rsidRPr="004A3752" w:rsidRDefault="00D97C2C" w:rsidP="00FA232C">
      <w:pPr>
        <w:spacing w:after="0" w:line="240" w:lineRule="auto"/>
        <w:ind w:left="0" w:right="0" w:firstLine="0"/>
        <w:jc w:val="left"/>
        <w:rPr>
          <w:rFonts w:ascii="Arial" w:eastAsia="Calibri" w:hAnsi="Arial" w:cs="Arial"/>
          <w:sz w:val="20"/>
          <w:szCs w:val="20"/>
        </w:rPr>
      </w:pPr>
    </w:p>
    <w:p w14:paraId="7736D0BE" w14:textId="25B0B277" w:rsidR="00FA232C" w:rsidRPr="00FA232C" w:rsidRDefault="00FA232C" w:rsidP="00D97C2C">
      <w:pPr>
        <w:spacing w:after="0" w:line="240" w:lineRule="auto"/>
        <w:ind w:left="0" w:right="0" w:firstLine="0"/>
        <w:rPr>
          <w:rFonts w:ascii="Arial" w:eastAsia="Calibri" w:hAnsi="Arial" w:cs="Arial"/>
          <w:sz w:val="20"/>
          <w:szCs w:val="20"/>
        </w:rPr>
      </w:pPr>
      <w:r w:rsidRPr="00FA232C">
        <w:rPr>
          <w:rFonts w:ascii="Arial" w:eastAsia="Calibri" w:hAnsi="Arial" w:cs="Arial"/>
          <w:sz w:val="20"/>
          <w:szCs w:val="20"/>
        </w:rPr>
        <w:t>The EFE matrix evaluates opportunities and threats from external environments. A similar weighting and rating system was used.</w:t>
      </w:r>
    </w:p>
    <w:p w14:paraId="01749089" w14:textId="77777777" w:rsidR="00D97C2C" w:rsidRPr="004A3752" w:rsidRDefault="00D97C2C" w:rsidP="00FA232C">
      <w:pPr>
        <w:spacing w:after="0" w:line="240" w:lineRule="auto"/>
        <w:ind w:left="0" w:right="0" w:firstLine="0"/>
        <w:jc w:val="left"/>
        <w:rPr>
          <w:rFonts w:ascii="Arial" w:eastAsia="Calibri" w:hAnsi="Arial" w:cs="Arial"/>
          <w:b/>
          <w:bCs/>
          <w:sz w:val="20"/>
          <w:szCs w:val="20"/>
        </w:rPr>
      </w:pPr>
    </w:p>
    <w:p w14:paraId="0CF2F97F" w14:textId="0E22E4E5" w:rsidR="00FA232C" w:rsidRPr="00FA232C" w:rsidRDefault="00FA232C" w:rsidP="00D97C2C">
      <w:pPr>
        <w:spacing w:after="0" w:line="240" w:lineRule="auto"/>
        <w:ind w:left="0" w:right="0" w:firstLine="0"/>
        <w:jc w:val="center"/>
        <w:rPr>
          <w:rFonts w:ascii="Arial" w:eastAsia="Calibri" w:hAnsi="Arial" w:cs="Arial"/>
          <w:b/>
          <w:bCs/>
          <w:sz w:val="20"/>
          <w:szCs w:val="20"/>
        </w:rPr>
      </w:pPr>
      <w:r w:rsidRPr="00FA232C">
        <w:rPr>
          <w:rFonts w:ascii="Arial" w:eastAsia="Calibri" w:hAnsi="Arial" w:cs="Arial"/>
          <w:b/>
          <w:bCs/>
          <w:sz w:val="20"/>
          <w:szCs w:val="20"/>
        </w:rPr>
        <w:t xml:space="preserve">Table </w:t>
      </w:r>
      <w:r w:rsidR="004A3752">
        <w:rPr>
          <w:rFonts w:ascii="Arial" w:eastAsia="Calibri" w:hAnsi="Arial" w:cs="Arial"/>
          <w:b/>
          <w:bCs/>
          <w:sz w:val="20"/>
          <w:szCs w:val="20"/>
        </w:rPr>
        <w:t>3</w:t>
      </w:r>
      <w:r w:rsidRPr="00FA232C">
        <w:rPr>
          <w:rFonts w:ascii="Arial" w:eastAsia="Calibri" w:hAnsi="Arial" w:cs="Arial"/>
          <w:b/>
          <w:bCs/>
          <w:sz w:val="20"/>
          <w:szCs w:val="20"/>
        </w:rPr>
        <w:t>. External Factors Evaluation (EFE) Matrix</w:t>
      </w:r>
    </w:p>
    <w:tbl>
      <w:tblPr>
        <w:tblStyle w:val="PlainTable1"/>
        <w:tblW w:w="0" w:type="auto"/>
        <w:jc w:val="center"/>
        <w:tblLook w:val="04A0" w:firstRow="1" w:lastRow="0" w:firstColumn="1" w:lastColumn="0" w:noHBand="0" w:noVBand="1"/>
      </w:tblPr>
      <w:tblGrid>
        <w:gridCol w:w="3785"/>
        <w:gridCol w:w="883"/>
        <w:gridCol w:w="839"/>
        <w:gridCol w:w="772"/>
      </w:tblGrid>
      <w:tr w:rsidR="00FA232C" w:rsidRPr="00FA232C" w14:paraId="774EEC96" w14:textId="77777777" w:rsidTr="00D97C2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05A22F9" w14:textId="77777777" w:rsidR="00FA232C" w:rsidRPr="00FA232C" w:rsidRDefault="00FA232C" w:rsidP="00FA232C">
            <w:pPr>
              <w:spacing w:after="0" w:line="240" w:lineRule="auto"/>
              <w:ind w:left="0" w:right="0" w:firstLine="0"/>
              <w:jc w:val="left"/>
              <w:rPr>
                <w:rFonts w:ascii="Arial" w:eastAsia="Calibri" w:hAnsi="Arial" w:cs="Arial"/>
                <w:sz w:val="20"/>
                <w:szCs w:val="20"/>
              </w:rPr>
            </w:pPr>
            <w:r w:rsidRPr="00FA232C">
              <w:rPr>
                <w:rFonts w:ascii="Arial" w:eastAsia="Calibri" w:hAnsi="Arial" w:cs="Arial"/>
                <w:sz w:val="20"/>
                <w:szCs w:val="20"/>
              </w:rPr>
              <w:t>External Factors</w:t>
            </w:r>
          </w:p>
        </w:tc>
        <w:tc>
          <w:tcPr>
            <w:tcW w:w="0" w:type="auto"/>
            <w:hideMark/>
          </w:tcPr>
          <w:p w14:paraId="7CFCA03E" w14:textId="77777777" w:rsidR="00FA232C" w:rsidRPr="00FA232C" w:rsidRDefault="00FA232C" w:rsidP="00FA232C">
            <w:pPr>
              <w:spacing w:after="0" w:line="240" w:lineRule="auto"/>
              <w:ind w:left="0" w:right="0" w:firstLine="0"/>
              <w:jc w:val="left"/>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Weight</w:t>
            </w:r>
          </w:p>
        </w:tc>
        <w:tc>
          <w:tcPr>
            <w:tcW w:w="0" w:type="auto"/>
            <w:hideMark/>
          </w:tcPr>
          <w:p w14:paraId="029C590C" w14:textId="77777777" w:rsidR="00FA232C" w:rsidRPr="00FA232C" w:rsidRDefault="00FA232C" w:rsidP="00FA232C">
            <w:pPr>
              <w:spacing w:after="0" w:line="240" w:lineRule="auto"/>
              <w:ind w:left="0" w:right="0" w:firstLine="0"/>
              <w:jc w:val="left"/>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Rating</w:t>
            </w:r>
          </w:p>
        </w:tc>
        <w:tc>
          <w:tcPr>
            <w:tcW w:w="0" w:type="auto"/>
            <w:hideMark/>
          </w:tcPr>
          <w:p w14:paraId="4310D1D7" w14:textId="77777777" w:rsidR="00FA232C" w:rsidRPr="00FA232C" w:rsidRDefault="00FA232C" w:rsidP="00FA232C">
            <w:pPr>
              <w:spacing w:after="0" w:line="240" w:lineRule="auto"/>
              <w:ind w:left="0" w:right="0" w:firstLine="0"/>
              <w:jc w:val="left"/>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Score</w:t>
            </w:r>
          </w:p>
        </w:tc>
      </w:tr>
      <w:tr w:rsidR="00FA232C" w:rsidRPr="00FA232C" w14:paraId="3837F153" w14:textId="77777777" w:rsidTr="00D97C2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9D73247" w14:textId="77777777" w:rsidR="00FA232C" w:rsidRPr="00FA232C" w:rsidRDefault="00FA232C" w:rsidP="00FA232C">
            <w:pPr>
              <w:spacing w:after="0" w:line="240" w:lineRule="auto"/>
              <w:ind w:left="0" w:right="0" w:firstLine="0"/>
              <w:jc w:val="left"/>
              <w:rPr>
                <w:rFonts w:ascii="Arial" w:eastAsia="Calibri" w:hAnsi="Arial" w:cs="Arial"/>
                <w:b w:val="0"/>
                <w:bCs w:val="0"/>
                <w:sz w:val="20"/>
                <w:szCs w:val="20"/>
              </w:rPr>
            </w:pPr>
            <w:r w:rsidRPr="00FA232C">
              <w:rPr>
                <w:rFonts w:ascii="Arial" w:eastAsia="Calibri" w:hAnsi="Arial" w:cs="Arial"/>
                <w:b w:val="0"/>
                <w:bCs w:val="0"/>
                <w:sz w:val="20"/>
                <w:szCs w:val="20"/>
              </w:rPr>
              <w:t>Government support for ecotourism</w:t>
            </w:r>
          </w:p>
        </w:tc>
        <w:tc>
          <w:tcPr>
            <w:tcW w:w="0" w:type="auto"/>
            <w:hideMark/>
          </w:tcPr>
          <w:p w14:paraId="3FB083F7" w14:textId="77777777" w:rsidR="00FA232C" w:rsidRPr="00FA232C" w:rsidRDefault="00FA232C" w:rsidP="00FA232C">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0.25</w:t>
            </w:r>
          </w:p>
        </w:tc>
        <w:tc>
          <w:tcPr>
            <w:tcW w:w="0" w:type="auto"/>
            <w:hideMark/>
          </w:tcPr>
          <w:p w14:paraId="71C38114" w14:textId="77777777" w:rsidR="00FA232C" w:rsidRPr="00FA232C" w:rsidRDefault="00FA232C" w:rsidP="00FA232C">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4</w:t>
            </w:r>
          </w:p>
        </w:tc>
        <w:tc>
          <w:tcPr>
            <w:tcW w:w="0" w:type="auto"/>
            <w:hideMark/>
          </w:tcPr>
          <w:p w14:paraId="743BE11C" w14:textId="77777777" w:rsidR="00FA232C" w:rsidRPr="00FA232C" w:rsidRDefault="00FA232C" w:rsidP="00FA232C">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1.00</w:t>
            </w:r>
          </w:p>
        </w:tc>
      </w:tr>
      <w:tr w:rsidR="00FA232C" w:rsidRPr="00FA232C" w14:paraId="713593AF" w14:textId="77777777" w:rsidTr="00D97C2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531C442" w14:textId="77777777" w:rsidR="00FA232C" w:rsidRPr="00FA232C" w:rsidRDefault="00FA232C" w:rsidP="00FA232C">
            <w:pPr>
              <w:spacing w:after="0" w:line="240" w:lineRule="auto"/>
              <w:ind w:left="0" w:right="0" w:firstLine="0"/>
              <w:jc w:val="left"/>
              <w:rPr>
                <w:rFonts w:ascii="Arial" w:eastAsia="Calibri" w:hAnsi="Arial" w:cs="Arial"/>
                <w:b w:val="0"/>
                <w:bCs w:val="0"/>
                <w:sz w:val="20"/>
                <w:szCs w:val="20"/>
              </w:rPr>
            </w:pPr>
            <w:r w:rsidRPr="00FA232C">
              <w:rPr>
                <w:rFonts w:ascii="Arial" w:eastAsia="Calibri" w:hAnsi="Arial" w:cs="Arial"/>
                <w:b w:val="0"/>
                <w:bCs w:val="0"/>
                <w:sz w:val="20"/>
                <w:szCs w:val="20"/>
              </w:rPr>
              <w:lastRenderedPageBreak/>
              <w:t>Rising demand for nature-based tourism</w:t>
            </w:r>
          </w:p>
        </w:tc>
        <w:tc>
          <w:tcPr>
            <w:tcW w:w="0" w:type="auto"/>
            <w:hideMark/>
          </w:tcPr>
          <w:p w14:paraId="71430046" w14:textId="77777777" w:rsidR="00FA232C" w:rsidRPr="00FA232C" w:rsidRDefault="00FA232C" w:rsidP="00FA232C">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0.20</w:t>
            </w:r>
          </w:p>
        </w:tc>
        <w:tc>
          <w:tcPr>
            <w:tcW w:w="0" w:type="auto"/>
            <w:hideMark/>
          </w:tcPr>
          <w:p w14:paraId="326E77A4" w14:textId="77777777" w:rsidR="00FA232C" w:rsidRPr="00FA232C" w:rsidRDefault="00FA232C" w:rsidP="00FA232C">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3</w:t>
            </w:r>
          </w:p>
        </w:tc>
        <w:tc>
          <w:tcPr>
            <w:tcW w:w="0" w:type="auto"/>
            <w:hideMark/>
          </w:tcPr>
          <w:p w14:paraId="52F08BF2" w14:textId="77777777" w:rsidR="00FA232C" w:rsidRPr="00FA232C" w:rsidRDefault="00FA232C" w:rsidP="00FA232C">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0.60</w:t>
            </w:r>
          </w:p>
        </w:tc>
      </w:tr>
      <w:tr w:rsidR="00FA232C" w:rsidRPr="00FA232C" w14:paraId="62408034" w14:textId="77777777" w:rsidTr="00D97C2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F6F996F" w14:textId="77777777" w:rsidR="00FA232C" w:rsidRPr="00FA232C" w:rsidRDefault="00FA232C" w:rsidP="00FA232C">
            <w:pPr>
              <w:spacing w:after="0" w:line="240" w:lineRule="auto"/>
              <w:ind w:left="0" w:right="0" w:firstLine="0"/>
              <w:jc w:val="left"/>
              <w:rPr>
                <w:rFonts w:ascii="Arial" w:eastAsia="Calibri" w:hAnsi="Arial" w:cs="Arial"/>
                <w:b w:val="0"/>
                <w:bCs w:val="0"/>
                <w:sz w:val="20"/>
                <w:szCs w:val="20"/>
              </w:rPr>
            </w:pPr>
            <w:r w:rsidRPr="00FA232C">
              <w:rPr>
                <w:rFonts w:ascii="Arial" w:eastAsia="Calibri" w:hAnsi="Arial" w:cs="Arial"/>
                <w:b w:val="0"/>
                <w:bCs w:val="0"/>
                <w:sz w:val="20"/>
                <w:szCs w:val="20"/>
              </w:rPr>
              <w:t>Environmental degradation risk</w:t>
            </w:r>
          </w:p>
        </w:tc>
        <w:tc>
          <w:tcPr>
            <w:tcW w:w="0" w:type="auto"/>
            <w:hideMark/>
          </w:tcPr>
          <w:p w14:paraId="675E10B6" w14:textId="77777777" w:rsidR="00FA232C" w:rsidRPr="00FA232C" w:rsidRDefault="00FA232C" w:rsidP="00FA232C">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0.20</w:t>
            </w:r>
          </w:p>
        </w:tc>
        <w:tc>
          <w:tcPr>
            <w:tcW w:w="0" w:type="auto"/>
            <w:hideMark/>
          </w:tcPr>
          <w:p w14:paraId="1EB40AB5" w14:textId="77777777" w:rsidR="00FA232C" w:rsidRPr="00FA232C" w:rsidRDefault="00FA232C" w:rsidP="00FA232C">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2</w:t>
            </w:r>
          </w:p>
        </w:tc>
        <w:tc>
          <w:tcPr>
            <w:tcW w:w="0" w:type="auto"/>
            <w:hideMark/>
          </w:tcPr>
          <w:p w14:paraId="7C0B8D81" w14:textId="77777777" w:rsidR="00FA232C" w:rsidRPr="00FA232C" w:rsidRDefault="00FA232C" w:rsidP="00FA232C">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0.40</w:t>
            </w:r>
          </w:p>
        </w:tc>
      </w:tr>
      <w:tr w:rsidR="00FA232C" w:rsidRPr="00FA232C" w14:paraId="575D4BCA" w14:textId="77777777" w:rsidTr="00D97C2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F832BEC" w14:textId="77777777" w:rsidR="00FA232C" w:rsidRPr="00FA232C" w:rsidRDefault="00FA232C" w:rsidP="00FA232C">
            <w:pPr>
              <w:spacing w:after="0" w:line="240" w:lineRule="auto"/>
              <w:ind w:left="0" w:right="0" w:firstLine="0"/>
              <w:jc w:val="left"/>
              <w:rPr>
                <w:rFonts w:ascii="Arial" w:eastAsia="Calibri" w:hAnsi="Arial" w:cs="Arial"/>
                <w:b w:val="0"/>
                <w:bCs w:val="0"/>
                <w:sz w:val="20"/>
                <w:szCs w:val="20"/>
              </w:rPr>
            </w:pPr>
            <w:r w:rsidRPr="009B3D48">
              <w:rPr>
                <w:rFonts w:ascii="Arial" w:eastAsia="Calibri" w:hAnsi="Arial" w:cs="Arial"/>
                <w:b w:val="0"/>
                <w:bCs w:val="0"/>
                <w:sz w:val="20"/>
                <w:szCs w:val="20"/>
              </w:rPr>
              <w:t>Illegal mangrove logging</w:t>
            </w:r>
          </w:p>
        </w:tc>
        <w:tc>
          <w:tcPr>
            <w:tcW w:w="0" w:type="auto"/>
            <w:hideMark/>
          </w:tcPr>
          <w:p w14:paraId="4638DF31" w14:textId="77777777" w:rsidR="00FA232C" w:rsidRPr="00FA232C" w:rsidRDefault="00FA232C" w:rsidP="00FA232C">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0.20</w:t>
            </w:r>
          </w:p>
        </w:tc>
        <w:tc>
          <w:tcPr>
            <w:tcW w:w="0" w:type="auto"/>
            <w:hideMark/>
          </w:tcPr>
          <w:p w14:paraId="0ED72834" w14:textId="77777777" w:rsidR="00FA232C" w:rsidRPr="00FA232C" w:rsidRDefault="00FA232C" w:rsidP="00FA232C">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2</w:t>
            </w:r>
          </w:p>
        </w:tc>
        <w:tc>
          <w:tcPr>
            <w:tcW w:w="0" w:type="auto"/>
            <w:hideMark/>
          </w:tcPr>
          <w:p w14:paraId="6F2E1EB7" w14:textId="77777777" w:rsidR="00FA232C" w:rsidRPr="00FA232C" w:rsidRDefault="00FA232C" w:rsidP="00FA232C">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0.40</w:t>
            </w:r>
          </w:p>
        </w:tc>
      </w:tr>
      <w:tr w:rsidR="00FA232C" w:rsidRPr="00FA232C" w14:paraId="6B4CD0FE" w14:textId="77777777" w:rsidTr="00D97C2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1316138" w14:textId="77777777" w:rsidR="00FA232C" w:rsidRPr="00FA232C" w:rsidRDefault="00FA232C" w:rsidP="00FA232C">
            <w:pPr>
              <w:spacing w:after="0" w:line="240" w:lineRule="auto"/>
              <w:ind w:left="0" w:right="0" w:firstLine="0"/>
              <w:jc w:val="left"/>
              <w:rPr>
                <w:rFonts w:ascii="Arial" w:eastAsia="Calibri" w:hAnsi="Arial" w:cs="Arial"/>
                <w:b w:val="0"/>
                <w:bCs w:val="0"/>
                <w:sz w:val="20"/>
                <w:szCs w:val="20"/>
              </w:rPr>
            </w:pPr>
            <w:r w:rsidRPr="00FA232C">
              <w:rPr>
                <w:rFonts w:ascii="Arial" w:eastAsia="Calibri" w:hAnsi="Arial" w:cs="Arial"/>
                <w:b w:val="0"/>
                <w:bCs w:val="0"/>
                <w:sz w:val="20"/>
                <w:szCs w:val="20"/>
              </w:rPr>
              <w:t>Lack of inter-agency coordination</w:t>
            </w:r>
          </w:p>
        </w:tc>
        <w:tc>
          <w:tcPr>
            <w:tcW w:w="0" w:type="auto"/>
            <w:hideMark/>
          </w:tcPr>
          <w:p w14:paraId="4E6B7D35" w14:textId="77777777" w:rsidR="00FA232C" w:rsidRPr="00FA232C" w:rsidRDefault="00FA232C" w:rsidP="00FA232C">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0.15</w:t>
            </w:r>
          </w:p>
        </w:tc>
        <w:tc>
          <w:tcPr>
            <w:tcW w:w="0" w:type="auto"/>
            <w:hideMark/>
          </w:tcPr>
          <w:p w14:paraId="0CAF2842" w14:textId="77777777" w:rsidR="00FA232C" w:rsidRPr="00FA232C" w:rsidRDefault="00FA232C" w:rsidP="00FA232C">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2</w:t>
            </w:r>
          </w:p>
        </w:tc>
        <w:tc>
          <w:tcPr>
            <w:tcW w:w="0" w:type="auto"/>
            <w:hideMark/>
          </w:tcPr>
          <w:p w14:paraId="36A822D3" w14:textId="77777777" w:rsidR="00FA232C" w:rsidRPr="00FA232C" w:rsidRDefault="00FA232C" w:rsidP="00FA232C">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0.30</w:t>
            </w:r>
          </w:p>
        </w:tc>
      </w:tr>
      <w:tr w:rsidR="00FA232C" w:rsidRPr="00FA232C" w14:paraId="7A952BD1" w14:textId="77777777" w:rsidTr="00D97C2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CFA8007" w14:textId="77777777" w:rsidR="00FA232C" w:rsidRPr="00FA232C" w:rsidRDefault="00FA232C" w:rsidP="00FA232C">
            <w:pPr>
              <w:spacing w:after="0" w:line="240" w:lineRule="auto"/>
              <w:ind w:left="0" w:right="0" w:firstLine="0"/>
              <w:jc w:val="left"/>
              <w:rPr>
                <w:rFonts w:ascii="Arial" w:eastAsia="Calibri" w:hAnsi="Arial" w:cs="Arial"/>
                <w:b w:val="0"/>
                <w:bCs w:val="0"/>
                <w:sz w:val="20"/>
                <w:szCs w:val="20"/>
              </w:rPr>
            </w:pPr>
            <w:r w:rsidRPr="00FA232C">
              <w:rPr>
                <w:rFonts w:ascii="Arial" w:eastAsia="Calibri" w:hAnsi="Arial" w:cs="Arial"/>
                <w:b w:val="0"/>
                <w:bCs w:val="0"/>
                <w:sz w:val="20"/>
                <w:szCs w:val="20"/>
              </w:rPr>
              <w:t>Total</w:t>
            </w:r>
          </w:p>
        </w:tc>
        <w:tc>
          <w:tcPr>
            <w:tcW w:w="0" w:type="auto"/>
            <w:hideMark/>
          </w:tcPr>
          <w:p w14:paraId="310E9224" w14:textId="77777777" w:rsidR="00FA232C" w:rsidRPr="00FA232C" w:rsidRDefault="00FA232C" w:rsidP="00FA232C">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1.00</w:t>
            </w:r>
          </w:p>
        </w:tc>
        <w:tc>
          <w:tcPr>
            <w:tcW w:w="0" w:type="auto"/>
            <w:hideMark/>
          </w:tcPr>
          <w:p w14:paraId="170943D3" w14:textId="77777777" w:rsidR="00FA232C" w:rsidRPr="00FA232C" w:rsidRDefault="00FA232C" w:rsidP="00FA232C">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w:t>
            </w:r>
          </w:p>
        </w:tc>
        <w:tc>
          <w:tcPr>
            <w:tcW w:w="0" w:type="auto"/>
            <w:hideMark/>
          </w:tcPr>
          <w:p w14:paraId="597BB9D6" w14:textId="77777777" w:rsidR="00FA232C" w:rsidRPr="00FA232C" w:rsidRDefault="00FA232C" w:rsidP="00FA232C">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2.70</w:t>
            </w:r>
          </w:p>
        </w:tc>
      </w:tr>
    </w:tbl>
    <w:p w14:paraId="1772F458" w14:textId="77777777" w:rsidR="00D97C2C" w:rsidRPr="004A3752" w:rsidRDefault="00D97C2C" w:rsidP="00FA232C">
      <w:pPr>
        <w:spacing w:after="0" w:line="240" w:lineRule="auto"/>
        <w:ind w:left="0" w:right="0" w:firstLine="0"/>
        <w:jc w:val="left"/>
        <w:rPr>
          <w:rFonts w:ascii="Arial" w:eastAsia="Calibri" w:hAnsi="Arial" w:cs="Arial"/>
          <w:sz w:val="20"/>
          <w:szCs w:val="20"/>
        </w:rPr>
      </w:pPr>
    </w:p>
    <w:p w14:paraId="47BEF267" w14:textId="7D008172" w:rsidR="00FA232C" w:rsidRPr="00FA232C" w:rsidRDefault="00FA232C" w:rsidP="00FA232C">
      <w:pPr>
        <w:spacing w:after="0" w:line="240" w:lineRule="auto"/>
        <w:ind w:left="0" w:right="0" w:firstLine="0"/>
        <w:jc w:val="left"/>
        <w:rPr>
          <w:rFonts w:ascii="Arial" w:eastAsia="Calibri" w:hAnsi="Arial" w:cs="Arial"/>
          <w:sz w:val="20"/>
          <w:szCs w:val="20"/>
        </w:rPr>
      </w:pPr>
      <w:r w:rsidRPr="00FA232C">
        <w:rPr>
          <w:rFonts w:ascii="Arial" w:eastAsia="Calibri" w:hAnsi="Arial" w:cs="Arial"/>
          <w:sz w:val="20"/>
          <w:szCs w:val="20"/>
        </w:rPr>
        <w:t>The total EFE score of 2.70 suggests that external opportunities moderately outweigh threats, providing room for strategic development.</w:t>
      </w:r>
    </w:p>
    <w:p w14:paraId="03662E77" w14:textId="3014863F" w:rsidR="00FA232C" w:rsidRPr="00FA232C" w:rsidRDefault="00FA232C" w:rsidP="00FA232C">
      <w:pPr>
        <w:spacing w:after="0" w:line="240" w:lineRule="auto"/>
        <w:ind w:left="0" w:right="0" w:firstLine="0"/>
        <w:jc w:val="left"/>
        <w:rPr>
          <w:rFonts w:ascii="Arial" w:eastAsia="Calibri" w:hAnsi="Arial" w:cs="Arial"/>
          <w:sz w:val="20"/>
          <w:szCs w:val="20"/>
        </w:rPr>
      </w:pPr>
    </w:p>
    <w:p w14:paraId="021144EE" w14:textId="77777777" w:rsidR="00FA232C" w:rsidRPr="00FA232C" w:rsidRDefault="00FA232C" w:rsidP="00FA232C">
      <w:pPr>
        <w:spacing w:after="0" w:line="240" w:lineRule="auto"/>
        <w:ind w:left="0" w:right="0" w:firstLine="0"/>
        <w:jc w:val="left"/>
        <w:rPr>
          <w:rFonts w:ascii="Arial" w:eastAsia="Calibri" w:hAnsi="Arial" w:cs="Arial"/>
          <w:b/>
          <w:bCs/>
          <w:sz w:val="20"/>
          <w:szCs w:val="20"/>
        </w:rPr>
      </w:pPr>
      <w:r w:rsidRPr="00FA232C">
        <w:rPr>
          <w:rFonts w:ascii="Arial" w:eastAsia="Calibri" w:hAnsi="Arial" w:cs="Arial"/>
          <w:b/>
          <w:bCs/>
          <w:sz w:val="20"/>
          <w:szCs w:val="20"/>
        </w:rPr>
        <w:t>3.3 SWOT Quadrant Analysis</w:t>
      </w:r>
    </w:p>
    <w:p w14:paraId="6B8E0CB0" w14:textId="77777777" w:rsidR="00FA232C" w:rsidRPr="00FA232C" w:rsidRDefault="00FA232C" w:rsidP="00FA232C">
      <w:pPr>
        <w:spacing w:after="0" w:line="240" w:lineRule="auto"/>
        <w:ind w:left="0" w:right="0" w:firstLine="0"/>
        <w:jc w:val="left"/>
        <w:rPr>
          <w:rFonts w:ascii="Arial" w:eastAsia="Calibri" w:hAnsi="Arial" w:cs="Arial"/>
          <w:sz w:val="20"/>
          <w:szCs w:val="20"/>
        </w:rPr>
      </w:pPr>
      <w:r w:rsidRPr="00FA232C">
        <w:rPr>
          <w:rFonts w:ascii="Arial" w:eastAsia="Calibri" w:hAnsi="Arial" w:cs="Arial"/>
          <w:sz w:val="20"/>
          <w:szCs w:val="20"/>
        </w:rPr>
        <w:t>The IFE and EFE total scores were plotted in a SWOT quadrant to determine the strategic position:</w:t>
      </w:r>
    </w:p>
    <w:p w14:paraId="4389BEEA" w14:textId="77777777" w:rsidR="00FA232C" w:rsidRPr="00FA232C" w:rsidRDefault="00FA232C" w:rsidP="00CD59A5">
      <w:pPr>
        <w:numPr>
          <w:ilvl w:val="0"/>
          <w:numId w:val="3"/>
        </w:numPr>
        <w:spacing w:after="0" w:line="240" w:lineRule="auto"/>
        <w:ind w:right="0"/>
        <w:jc w:val="left"/>
        <w:rPr>
          <w:rFonts w:ascii="Arial" w:eastAsia="Calibri" w:hAnsi="Arial" w:cs="Arial"/>
          <w:sz w:val="20"/>
          <w:szCs w:val="20"/>
        </w:rPr>
      </w:pPr>
      <w:r w:rsidRPr="00FA232C">
        <w:rPr>
          <w:rFonts w:ascii="Arial" w:eastAsia="Calibri" w:hAnsi="Arial" w:cs="Arial"/>
          <w:sz w:val="20"/>
          <w:szCs w:val="20"/>
        </w:rPr>
        <w:t>IFE Total: 2.40</w:t>
      </w:r>
    </w:p>
    <w:p w14:paraId="166DF50C" w14:textId="77777777" w:rsidR="00FA232C" w:rsidRPr="00FA232C" w:rsidRDefault="00FA232C" w:rsidP="00CD59A5">
      <w:pPr>
        <w:numPr>
          <w:ilvl w:val="0"/>
          <w:numId w:val="3"/>
        </w:numPr>
        <w:spacing w:after="0" w:line="240" w:lineRule="auto"/>
        <w:ind w:right="0"/>
        <w:jc w:val="left"/>
        <w:rPr>
          <w:rFonts w:ascii="Arial" w:eastAsia="Calibri" w:hAnsi="Arial" w:cs="Arial"/>
          <w:sz w:val="20"/>
          <w:szCs w:val="20"/>
        </w:rPr>
      </w:pPr>
      <w:r w:rsidRPr="00FA232C">
        <w:rPr>
          <w:rFonts w:ascii="Arial" w:eastAsia="Calibri" w:hAnsi="Arial" w:cs="Arial"/>
          <w:sz w:val="20"/>
          <w:szCs w:val="20"/>
        </w:rPr>
        <w:t>EFE Total: 2.70</w:t>
      </w:r>
    </w:p>
    <w:p w14:paraId="135E7F44" w14:textId="77777777" w:rsidR="00FA232C" w:rsidRDefault="00FA232C" w:rsidP="00FA232C">
      <w:pPr>
        <w:spacing w:after="0" w:line="240" w:lineRule="auto"/>
        <w:ind w:left="0" w:right="0" w:firstLine="0"/>
        <w:jc w:val="left"/>
        <w:rPr>
          <w:rFonts w:ascii="Arial" w:eastAsia="Calibri" w:hAnsi="Arial" w:cs="Arial"/>
          <w:sz w:val="20"/>
          <w:szCs w:val="20"/>
        </w:rPr>
      </w:pPr>
      <w:r w:rsidRPr="00FA232C">
        <w:rPr>
          <w:rFonts w:ascii="Arial" w:eastAsia="Calibri" w:hAnsi="Arial" w:cs="Arial"/>
          <w:sz w:val="20"/>
          <w:szCs w:val="20"/>
        </w:rPr>
        <w:t>This combination places the strategy in Quadrant I (SO strategy), where internal strengths can be leveraged to take advantage of external opportunities.</w:t>
      </w:r>
    </w:p>
    <w:p w14:paraId="0A36EFED" w14:textId="77777777" w:rsidR="00344D40" w:rsidRDefault="00344D40" w:rsidP="00FA232C">
      <w:pPr>
        <w:spacing w:after="0" w:line="240" w:lineRule="auto"/>
        <w:ind w:left="0" w:right="0" w:firstLine="0"/>
        <w:jc w:val="left"/>
        <w:rPr>
          <w:rFonts w:ascii="Arial" w:eastAsia="Calibri" w:hAnsi="Arial" w:cs="Arial"/>
          <w:sz w:val="20"/>
          <w:szCs w:val="20"/>
        </w:rPr>
      </w:pPr>
    </w:p>
    <w:p w14:paraId="25276AE4" w14:textId="58BD75FC" w:rsidR="00344D40" w:rsidRPr="00FA232C" w:rsidRDefault="00344D40" w:rsidP="00FA232C">
      <w:pPr>
        <w:spacing w:after="0" w:line="240" w:lineRule="auto"/>
        <w:ind w:left="0" w:right="0" w:firstLine="0"/>
        <w:jc w:val="left"/>
        <w:rPr>
          <w:rFonts w:ascii="Arial" w:eastAsia="Calibri" w:hAnsi="Arial" w:cs="Arial"/>
          <w:sz w:val="20"/>
          <w:szCs w:val="20"/>
        </w:rPr>
      </w:pPr>
      <w:r>
        <w:rPr>
          <w:rFonts w:ascii="Arial" w:eastAsia="Calibri" w:hAnsi="Arial" w:cs="Arial"/>
          <w:sz w:val="20"/>
          <w:szCs w:val="20"/>
        </w:rPr>
        <w:t xml:space="preserve">Fig .2 </w:t>
      </w:r>
    </w:p>
    <w:p w14:paraId="07C3D9E7" w14:textId="11D7ADF5" w:rsidR="00D97C2C" w:rsidRPr="004A3752" w:rsidRDefault="00D97C2C" w:rsidP="00D97C2C">
      <w:pPr>
        <w:spacing w:after="0" w:line="240" w:lineRule="auto"/>
        <w:ind w:left="0" w:right="0" w:firstLine="0"/>
        <w:jc w:val="center"/>
        <w:rPr>
          <w:rFonts w:ascii="Arial" w:eastAsia="Calibri" w:hAnsi="Arial" w:cs="Arial"/>
          <w:sz w:val="20"/>
          <w:szCs w:val="20"/>
        </w:rPr>
      </w:pPr>
      <w:r w:rsidRPr="004A3752">
        <w:rPr>
          <w:rFonts w:ascii="Arial" w:hAnsi="Arial" w:cs="Arial"/>
          <w:noProof/>
          <w:sz w:val="20"/>
          <w:szCs w:val="20"/>
        </w:rPr>
        <w:drawing>
          <wp:inline distT="0" distB="0" distL="0" distR="0" wp14:anchorId="194F466A" wp14:editId="59178EB6">
            <wp:extent cx="3071813" cy="3071813"/>
            <wp:effectExtent l="0" t="0" r="0" b="0"/>
            <wp:docPr id="509580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78069" cy="3078069"/>
                    </a:xfrm>
                    <a:prstGeom prst="rect">
                      <a:avLst/>
                    </a:prstGeom>
                    <a:noFill/>
                    <a:ln>
                      <a:noFill/>
                    </a:ln>
                  </pic:spPr>
                </pic:pic>
              </a:graphicData>
            </a:graphic>
          </wp:inline>
        </w:drawing>
      </w:r>
    </w:p>
    <w:p w14:paraId="12090332" w14:textId="6BB3DAFD" w:rsidR="00FA232C" w:rsidRPr="00FA232C" w:rsidRDefault="00FA232C" w:rsidP="00FA232C">
      <w:pPr>
        <w:spacing w:after="0" w:line="240" w:lineRule="auto"/>
        <w:ind w:left="0" w:right="0" w:firstLine="0"/>
        <w:jc w:val="left"/>
        <w:rPr>
          <w:rFonts w:ascii="Arial" w:eastAsia="Calibri" w:hAnsi="Arial" w:cs="Arial"/>
          <w:sz w:val="20"/>
          <w:szCs w:val="20"/>
        </w:rPr>
      </w:pPr>
    </w:p>
    <w:p w14:paraId="7ECC5B85" w14:textId="77777777" w:rsidR="00FA232C" w:rsidRPr="00FA232C" w:rsidRDefault="00FA232C" w:rsidP="00FA232C">
      <w:pPr>
        <w:spacing w:after="0" w:line="240" w:lineRule="auto"/>
        <w:ind w:left="0" w:right="0" w:firstLine="0"/>
        <w:jc w:val="left"/>
        <w:rPr>
          <w:rFonts w:ascii="Arial" w:eastAsia="Calibri" w:hAnsi="Arial" w:cs="Arial"/>
          <w:b/>
          <w:bCs/>
          <w:sz w:val="20"/>
          <w:szCs w:val="20"/>
        </w:rPr>
      </w:pPr>
      <w:r w:rsidRPr="00FA232C">
        <w:rPr>
          <w:rFonts w:ascii="Arial" w:eastAsia="Calibri" w:hAnsi="Arial" w:cs="Arial"/>
          <w:b/>
          <w:bCs/>
          <w:sz w:val="20"/>
          <w:szCs w:val="20"/>
        </w:rPr>
        <w:t>3.4 Strategic Implications</w:t>
      </w:r>
    </w:p>
    <w:p w14:paraId="00DFECAA" w14:textId="77777777" w:rsidR="00FA232C" w:rsidRPr="00FA232C" w:rsidRDefault="00FA232C" w:rsidP="004A3752">
      <w:pPr>
        <w:spacing w:after="0" w:line="240" w:lineRule="auto"/>
        <w:ind w:left="0" w:right="0" w:firstLine="0"/>
        <w:rPr>
          <w:rFonts w:ascii="Arial" w:eastAsia="Calibri" w:hAnsi="Arial" w:cs="Arial"/>
          <w:sz w:val="20"/>
          <w:szCs w:val="20"/>
        </w:rPr>
      </w:pPr>
      <w:r w:rsidRPr="00FA232C">
        <w:rPr>
          <w:rFonts w:ascii="Arial" w:eastAsia="Calibri" w:hAnsi="Arial" w:cs="Arial"/>
          <w:sz w:val="20"/>
          <w:szCs w:val="20"/>
        </w:rPr>
        <w:t>The SO quadrant emphasizes aggressive strategies that capitalize on strengths and market trends. Recommended strategies include:</w:t>
      </w:r>
    </w:p>
    <w:p w14:paraId="2986E63D" w14:textId="77777777" w:rsidR="00FA232C" w:rsidRPr="00FA232C" w:rsidRDefault="00FA232C" w:rsidP="00CD59A5">
      <w:pPr>
        <w:numPr>
          <w:ilvl w:val="0"/>
          <w:numId w:val="4"/>
        </w:numPr>
        <w:spacing w:after="0" w:line="240" w:lineRule="auto"/>
        <w:ind w:right="0"/>
        <w:rPr>
          <w:rFonts w:ascii="Arial" w:eastAsia="Calibri" w:hAnsi="Arial" w:cs="Arial"/>
          <w:sz w:val="20"/>
          <w:szCs w:val="20"/>
        </w:rPr>
      </w:pPr>
      <w:r w:rsidRPr="00FA232C">
        <w:rPr>
          <w:rFonts w:ascii="Arial" w:eastAsia="Calibri" w:hAnsi="Arial" w:cs="Arial"/>
          <w:sz w:val="20"/>
          <w:szCs w:val="20"/>
        </w:rPr>
        <w:t>Developing ecotourism infrastructure while preserving environmental integrity.</w:t>
      </w:r>
    </w:p>
    <w:p w14:paraId="373B79A5" w14:textId="77777777" w:rsidR="00FA232C" w:rsidRPr="00FA232C" w:rsidRDefault="00FA232C" w:rsidP="00CD59A5">
      <w:pPr>
        <w:numPr>
          <w:ilvl w:val="0"/>
          <w:numId w:val="4"/>
        </w:numPr>
        <w:spacing w:after="0" w:line="240" w:lineRule="auto"/>
        <w:ind w:right="0"/>
        <w:rPr>
          <w:rFonts w:ascii="Arial" w:eastAsia="Calibri" w:hAnsi="Arial" w:cs="Arial"/>
          <w:sz w:val="20"/>
          <w:szCs w:val="20"/>
        </w:rPr>
      </w:pPr>
      <w:r w:rsidRPr="00FA232C">
        <w:rPr>
          <w:rFonts w:ascii="Arial" w:eastAsia="Calibri" w:hAnsi="Arial" w:cs="Arial"/>
          <w:sz w:val="20"/>
          <w:szCs w:val="20"/>
        </w:rPr>
        <w:t>Enhancing marketing through social media and tourism partnerships.</w:t>
      </w:r>
    </w:p>
    <w:p w14:paraId="7FB678DB" w14:textId="77777777" w:rsidR="00FA232C" w:rsidRPr="00FA232C" w:rsidRDefault="00FA232C" w:rsidP="00CD59A5">
      <w:pPr>
        <w:numPr>
          <w:ilvl w:val="0"/>
          <w:numId w:val="4"/>
        </w:numPr>
        <w:spacing w:after="0" w:line="240" w:lineRule="auto"/>
        <w:ind w:right="0"/>
        <w:rPr>
          <w:rFonts w:ascii="Arial" w:eastAsia="Calibri" w:hAnsi="Arial" w:cs="Arial"/>
          <w:sz w:val="20"/>
          <w:szCs w:val="20"/>
        </w:rPr>
      </w:pPr>
      <w:r w:rsidRPr="00FA232C">
        <w:rPr>
          <w:rFonts w:ascii="Arial" w:eastAsia="Calibri" w:hAnsi="Arial" w:cs="Arial"/>
          <w:sz w:val="20"/>
          <w:szCs w:val="20"/>
        </w:rPr>
        <w:t>Conducting community training programs on sustainable tourism and conservation.</w:t>
      </w:r>
    </w:p>
    <w:p w14:paraId="16475DDA" w14:textId="77777777" w:rsidR="00FA232C" w:rsidRPr="00FA232C" w:rsidRDefault="00FA232C" w:rsidP="00CD59A5">
      <w:pPr>
        <w:numPr>
          <w:ilvl w:val="0"/>
          <w:numId w:val="4"/>
        </w:numPr>
        <w:spacing w:after="0" w:line="240" w:lineRule="auto"/>
        <w:ind w:right="0"/>
        <w:rPr>
          <w:rFonts w:ascii="Arial" w:eastAsia="Calibri" w:hAnsi="Arial" w:cs="Arial"/>
          <w:sz w:val="20"/>
          <w:szCs w:val="20"/>
        </w:rPr>
      </w:pPr>
      <w:r w:rsidRPr="00FA232C">
        <w:rPr>
          <w:rFonts w:ascii="Arial" w:eastAsia="Calibri" w:hAnsi="Arial" w:cs="Arial"/>
          <w:sz w:val="20"/>
          <w:szCs w:val="20"/>
        </w:rPr>
        <w:t>Collaborating with government agencies for funding and capacity building.</w:t>
      </w:r>
    </w:p>
    <w:p w14:paraId="4AE82413" w14:textId="77777777" w:rsidR="00FA232C" w:rsidRPr="00FA232C" w:rsidRDefault="00FA232C" w:rsidP="004A3752">
      <w:pPr>
        <w:spacing w:after="0" w:line="240" w:lineRule="auto"/>
        <w:ind w:left="0" w:right="0" w:firstLine="0"/>
        <w:rPr>
          <w:rFonts w:ascii="Arial" w:eastAsia="Calibri" w:hAnsi="Arial" w:cs="Arial"/>
          <w:sz w:val="20"/>
          <w:szCs w:val="20"/>
        </w:rPr>
      </w:pPr>
      <w:r w:rsidRPr="00FA232C">
        <w:rPr>
          <w:rFonts w:ascii="Arial" w:eastAsia="Calibri" w:hAnsi="Arial" w:cs="Arial"/>
          <w:sz w:val="20"/>
          <w:szCs w:val="20"/>
        </w:rPr>
        <w:t>These strategies align with global best practices for ecotourism and local empowerment, ensuring that conservation and economic development proceed hand in hand.</w:t>
      </w:r>
    </w:p>
    <w:p w14:paraId="58B13B95" w14:textId="426753E4" w:rsidR="00C209F2" w:rsidRPr="004A3752" w:rsidRDefault="00C209F2" w:rsidP="00C209F2">
      <w:pPr>
        <w:spacing w:after="0" w:line="240" w:lineRule="auto"/>
        <w:ind w:left="0" w:right="0" w:firstLine="0"/>
        <w:jc w:val="left"/>
        <w:rPr>
          <w:rFonts w:ascii="Arial" w:eastAsia="Calibri" w:hAnsi="Arial" w:cs="Arial"/>
          <w:sz w:val="20"/>
          <w:szCs w:val="20"/>
        </w:rPr>
      </w:pPr>
    </w:p>
    <w:p w14:paraId="1DB91C1C" w14:textId="6493950E" w:rsidR="00FA232C" w:rsidRPr="004A3752" w:rsidRDefault="00E221F3" w:rsidP="00C209F2">
      <w:pPr>
        <w:spacing w:after="0" w:line="240" w:lineRule="auto"/>
        <w:ind w:left="0" w:right="0" w:firstLine="0"/>
        <w:jc w:val="left"/>
        <w:rPr>
          <w:rFonts w:ascii="Arial" w:eastAsia="Calibri" w:hAnsi="Arial" w:cs="Arial"/>
          <w:sz w:val="20"/>
          <w:szCs w:val="20"/>
        </w:rPr>
      </w:pPr>
      <w:r w:rsidRPr="004A3752">
        <w:rPr>
          <w:rFonts w:ascii="Arial" w:eastAsia="Calibri" w:hAnsi="Arial" w:cs="Arial"/>
          <w:b/>
          <w:bCs/>
          <w:sz w:val="20"/>
          <w:szCs w:val="20"/>
        </w:rPr>
        <w:t>3.5 Discussion</w:t>
      </w:r>
    </w:p>
    <w:p w14:paraId="4128C8B9" w14:textId="77777777" w:rsidR="00E221F3" w:rsidRPr="004A3752" w:rsidRDefault="00E221F3" w:rsidP="00C209F2">
      <w:pPr>
        <w:spacing w:after="0" w:line="240" w:lineRule="auto"/>
        <w:ind w:left="0" w:right="0" w:firstLine="0"/>
        <w:jc w:val="left"/>
        <w:rPr>
          <w:rFonts w:ascii="Arial" w:eastAsia="Calibri" w:hAnsi="Arial" w:cs="Arial"/>
          <w:sz w:val="20"/>
          <w:szCs w:val="20"/>
        </w:rPr>
      </w:pPr>
    </w:p>
    <w:p w14:paraId="04C5B28F" w14:textId="77777777" w:rsidR="00E221F3" w:rsidRPr="00E221F3" w:rsidRDefault="00E221F3" w:rsidP="004A3752">
      <w:pPr>
        <w:spacing w:after="0" w:line="240" w:lineRule="auto"/>
        <w:ind w:left="0" w:right="0" w:firstLine="720"/>
        <w:rPr>
          <w:rFonts w:ascii="Arial" w:eastAsia="Calibri" w:hAnsi="Arial" w:cs="Arial"/>
          <w:sz w:val="20"/>
          <w:szCs w:val="20"/>
        </w:rPr>
      </w:pPr>
      <w:r w:rsidRPr="00E221F3">
        <w:rPr>
          <w:rFonts w:ascii="Arial" w:eastAsia="Calibri" w:hAnsi="Arial" w:cs="Arial"/>
          <w:sz w:val="20"/>
          <w:szCs w:val="20"/>
        </w:rPr>
        <w:t xml:space="preserve">The results of the SWOT analysis place Tanjung Rejo in the Strength–Opportunity (SO) quadrant, suggesting an aggressive growth strategy is most suitable. This implies that the village should capitalize on its natural and cultural strengths, such as mangrove biodiversity and scenic beauty, while simultaneously harnessing external opportunities like increased government support and ecotourism demand. The presence of an active community engaged in mangrove </w:t>
      </w:r>
      <w:r w:rsidRPr="00E221F3">
        <w:rPr>
          <w:rFonts w:ascii="Arial" w:eastAsia="Calibri" w:hAnsi="Arial" w:cs="Arial"/>
          <w:sz w:val="20"/>
          <w:szCs w:val="20"/>
        </w:rPr>
        <w:lastRenderedPageBreak/>
        <w:t>planting and awareness initiatives further strengthens the village’s position to adopt sustainable tourism practices that are locally managed and environmentally responsible.</w:t>
      </w:r>
    </w:p>
    <w:p w14:paraId="2F5FD338" w14:textId="77777777" w:rsidR="00E221F3" w:rsidRPr="00E221F3" w:rsidRDefault="00E221F3" w:rsidP="004A3752">
      <w:pPr>
        <w:spacing w:after="0" w:line="240" w:lineRule="auto"/>
        <w:ind w:left="0" w:right="0" w:firstLine="720"/>
        <w:rPr>
          <w:rFonts w:ascii="Arial" w:eastAsia="Calibri" w:hAnsi="Arial" w:cs="Arial"/>
          <w:sz w:val="20"/>
          <w:szCs w:val="20"/>
        </w:rPr>
      </w:pPr>
      <w:r w:rsidRPr="00E221F3">
        <w:rPr>
          <w:rFonts w:ascii="Arial" w:eastAsia="Calibri" w:hAnsi="Arial" w:cs="Arial"/>
          <w:sz w:val="20"/>
          <w:szCs w:val="20"/>
        </w:rPr>
        <w:t xml:space="preserve">A major insight from the community perception data is the recognition of ecological assets as core tourism strengths. Respondents across different social categories consistently highlighted the area's biodiversity and coastal landscape as appealing features. However, these strengths are undermined by infrastructure gaps and weak promotion channels. As highlighted by </w:t>
      </w:r>
      <w:proofErr w:type="spellStart"/>
      <w:r w:rsidRPr="00E221F3">
        <w:rPr>
          <w:rFonts w:ascii="Arial" w:eastAsia="Calibri" w:hAnsi="Arial" w:cs="Arial"/>
          <w:sz w:val="20"/>
          <w:szCs w:val="20"/>
        </w:rPr>
        <w:t>Triyanti</w:t>
      </w:r>
      <w:proofErr w:type="spellEnd"/>
      <w:r w:rsidRPr="00E221F3">
        <w:rPr>
          <w:rFonts w:ascii="Arial" w:eastAsia="Calibri" w:hAnsi="Arial" w:cs="Arial"/>
          <w:sz w:val="20"/>
          <w:szCs w:val="20"/>
        </w:rPr>
        <w:t xml:space="preserve"> et al. (2025), similar cases in northern Java have shown that community-based tourism initiatives can only thrive when they are paired with logistical investments and visibility strategies. Thus, local and regional planning must address these operational bottlenecks to realize the full tourism potential of Tanjung Rejo.</w:t>
      </w:r>
    </w:p>
    <w:p w14:paraId="0A36D8D3" w14:textId="77777777" w:rsidR="00E221F3" w:rsidRPr="00E221F3" w:rsidRDefault="00E221F3" w:rsidP="004A3752">
      <w:pPr>
        <w:spacing w:after="0" w:line="240" w:lineRule="auto"/>
        <w:ind w:left="0" w:right="0" w:firstLine="720"/>
        <w:rPr>
          <w:rFonts w:ascii="Arial" w:eastAsia="Calibri" w:hAnsi="Arial" w:cs="Arial"/>
          <w:sz w:val="20"/>
          <w:szCs w:val="20"/>
        </w:rPr>
      </w:pPr>
      <w:r w:rsidRPr="00E221F3">
        <w:rPr>
          <w:rFonts w:ascii="Arial" w:eastAsia="Calibri" w:hAnsi="Arial" w:cs="Arial"/>
          <w:sz w:val="20"/>
          <w:szCs w:val="20"/>
        </w:rPr>
        <w:t xml:space="preserve">In terms of threats, the risk of environmental degradation, such as illegal mangrove cutting and waste mismanagement, was considered significant by the respondents. This aligns with findings from </w:t>
      </w:r>
      <w:proofErr w:type="spellStart"/>
      <w:r w:rsidRPr="00E221F3">
        <w:rPr>
          <w:rFonts w:ascii="Arial" w:eastAsia="Calibri" w:hAnsi="Arial" w:cs="Arial"/>
          <w:sz w:val="20"/>
          <w:szCs w:val="20"/>
        </w:rPr>
        <w:t>Khuluq</w:t>
      </w:r>
      <w:proofErr w:type="spellEnd"/>
      <w:r w:rsidRPr="00E221F3">
        <w:rPr>
          <w:rFonts w:ascii="Arial" w:eastAsia="Calibri" w:hAnsi="Arial" w:cs="Arial"/>
          <w:sz w:val="20"/>
          <w:szCs w:val="20"/>
        </w:rPr>
        <w:t xml:space="preserve"> et al. (2025), which stressed that without proper zoning and monitoring, mangrove ecotourism can become ecologically exploitative. Tanjung Rejo, therefore, needs a formal conservation framework integrated with tourism development plans. Empowering local monitoring groups and incorporating environmental education in tourist activities could offer dual benefits—raising awareness while enforcing sustainability.</w:t>
      </w:r>
    </w:p>
    <w:p w14:paraId="7528C315" w14:textId="77777777" w:rsidR="00E221F3" w:rsidRPr="00E221F3" w:rsidRDefault="00E221F3" w:rsidP="004A3752">
      <w:pPr>
        <w:spacing w:after="0" w:line="240" w:lineRule="auto"/>
        <w:ind w:left="0" w:right="0" w:firstLine="720"/>
        <w:rPr>
          <w:rFonts w:ascii="Arial" w:eastAsia="Calibri" w:hAnsi="Arial" w:cs="Arial"/>
          <w:sz w:val="20"/>
          <w:szCs w:val="20"/>
        </w:rPr>
      </w:pPr>
      <w:r w:rsidRPr="00E221F3">
        <w:rPr>
          <w:rFonts w:ascii="Arial" w:eastAsia="Calibri" w:hAnsi="Arial" w:cs="Arial"/>
          <w:sz w:val="20"/>
          <w:szCs w:val="20"/>
        </w:rPr>
        <w:t>An additional concern raised during qualitative interviews was the lack of coordination among institutions. While government programs and NGOs occasionally provide support, there is no consistent or unified management structure overseeing tourism activities. This fragmentation results in overlapping roles, inefficient resource use, and reduced accountability. As emphasized by Izudin &amp; Aditya (2025), successful ecotourism initiatives require clear governance models, often in the form of village-level tourism committees or cooperative management units.</w:t>
      </w:r>
    </w:p>
    <w:p w14:paraId="37D0F1D1" w14:textId="77777777" w:rsidR="00E221F3" w:rsidRPr="00E221F3" w:rsidRDefault="00E221F3" w:rsidP="004A3752">
      <w:pPr>
        <w:spacing w:after="0" w:line="240" w:lineRule="auto"/>
        <w:ind w:left="0" w:right="0" w:firstLine="720"/>
        <w:rPr>
          <w:rFonts w:ascii="Arial" w:eastAsia="Calibri" w:hAnsi="Arial" w:cs="Arial"/>
          <w:sz w:val="20"/>
          <w:szCs w:val="20"/>
        </w:rPr>
      </w:pPr>
      <w:r w:rsidRPr="00E221F3">
        <w:rPr>
          <w:rFonts w:ascii="Arial" w:eastAsia="Calibri" w:hAnsi="Arial" w:cs="Arial"/>
          <w:sz w:val="20"/>
          <w:szCs w:val="20"/>
        </w:rPr>
        <w:t>Interestingly, respondents showed a high willingness to participate in ecotourism-based economic activities—from homestay management to guiding and product sales. However, most lacked formal training and access to capital. This gap reveals a missed opportunity for targeted interventions, such as microfinance schemes, vocational training, and market linkage programs. Strengthening human capital and entrepreneurship at the grassroots level can ensure that tourism income remains within the community, thereby fulfilling the principles of community-based tourism (CBT).</w:t>
      </w:r>
    </w:p>
    <w:p w14:paraId="65D9BC0F" w14:textId="77777777" w:rsidR="00E221F3" w:rsidRPr="00E221F3" w:rsidRDefault="00E221F3" w:rsidP="004A3752">
      <w:pPr>
        <w:spacing w:after="0" w:line="240" w:lineRule="auto"/>
        <w:ind w:left="0" w:right="0" w:firstLine="720"/>
        <w:rPr>
          <w:rFonts w:ascii="Arial" w:eastAsia="Calibri" w:hAnsi="Arial" w:cs="Arial"/>
          <w:sz w:val="20"/>
          <w:szCs w:val="20"/>
        </w:rPr>
      </w:pPr>
      <w:r w:rsidRPr="00E221F3">
        <w:rPr>
          <w:rFonts w:ascii="Arial" w:eastAsia="Calibri" w:hAnsi="Arial" w:cs="Arial"/>
          <w:sz w:val="20"/>
          <w:szCs w:val="20"/>
        </w:rPr>
        <w:t>Finally, the findings confirm that a participatory and strategic approach—grounded in SWOT analysis and community insight—is not only methodologically sound but also practically effective for small-scale ecotourism planning. Tanjung Rejo serves as a microcosm of many rural Indonesian coastal villages, where tourism, conservation, and development intersect. Lessons learned here can inform broader policies and programs aimed at promoting decentralized, sustainable tourism models in other ecologically sensitive regions.</w:t>
      </w:r>
    </w:p>
    <w:p w14:paraId="620A7C6C" w14:textId="77777777" w:rsidR="00E221F3" w:rsidRPr="004A3752" w:rsidRDefault="00E221F3" w:rsidP="00C209F2">
      <w:pPr>
        <w:spacing w:after="0" w:line="240" w:lineRule="auto"/>
        <w:ind w:left="0" w:right="0" w:firstLine="0"/>
        <w:jc w:val="left"/>
        <w:rPr>
          <w:rFonts w:ascii="Arial" w:eastAsia="Calibri" w:hAnsi="Arial" w:cs="Arial"/>
          <w:sz w:val="20"/>
          <w:szCs w:val="20"/>
        </w:rPr>
      </w:pPr>
    </w:p>
    <w:bookmarkEnd w:id="0"/>
    <w:p w14:paraId="5B032F3E" w14:textId="25DDBB06" w:rsidR="00C209F2" w:rsidRPr="004A3752" w:rsidRDefault="00C209F2" w:rsidP="00C209F2">
      <w:pPr>
        <w:spacing w:after="0" w:line="240" w:lineRule="auto"/>
        <w:ind w:left="0" w:right="0" w:firstLine="0"/>
        <w:jc w:val="left"/>
        <w:outlineLvl w:val="2"/>
        <w:rPr>
          <w:rFonts w:ascii="Arial" w:hAnsi="Arial" w:cs="Arial"/>
          <w:b/>
          <w:bCs/>
          <w:color w:val="auto"/>
          <w:szCs w:val="24"/>
        </w:rPr>
      </w:pPr>
      <w:r w:rsidRPr="004A3752">
        <w:rPr>
          <w:rFonts w:ascii="Arial" w:hAnsi="Arial" w:cs="Arial"/>
          <w:b/>
          <w:bCs/>
          <w:color w:val="auto"/>
          <w:szCs w:val="24"/>
        </w:rPr>
        <w:t>IV. Conclusions and Recommendations</w:t>
      </w:r>
    </w:p>
    <w:p w14:paraId="061BBCD3" w14:textId="77777777" w:rsidR="004A3752" w:rsidRDefault="004A3752" w:rsidP="00E221F3">
      <w:pPr>
        <w:spacing w:after="0" w:line="240" w:lineRule="auto"/>
        <w:ind w:left="0" w:right="0" w:firstLine="720"/>
        <w:rPr>
          <w:rFonts w:ascii="Arial" w:hAnsi="Arial" w:cs="Arial"/>
          <w:color w:val="auto"/>
          <w:sz w:val="20"/>
          <w:szCs w:val="20"/>
        </w:rPr>
      </w:pPr>
    </w:p>
    <w:p w14:paraId="789AF6F0" w14:textId="6DE505C8" w:rsidR="00E221F3" w:rsidRPr="00E221F3" w:rsidRDefault="00E221F3" w:rsidP="00E221F3">
      <w:pPr>
        <w:spacing w:after="0" w:line="240" w:lineRule="auto"/>
        <w:ind w:left="0" w:right="0" w:firstLine="720"/>
        <w:rPr>
          <w:rFonts w:ascii="Arial" w:hAnsi="Arial" w:cs="Arial"/>
          <w:color w:val="auto"/>
          <w:sz w:val="20"/>
          <w:szCs w:val="20"/>
        </w:rPr>
      </w:pPr>
      <w:r w:rsidRPr="00E221F3">
        <w:rPr>
          <w:rFonts w:ascii="Arial" w:hAnsi="Arial" w:cs="Arial"/>
          <w:color w:val="auto"/>
          <w:sz w:val="20"/>
          <w:szCs w:val="20"/>
        </w:rPr>
        <w:t>This study explored the strategic development potential of mangrove ecotourism in Tanjung Rejo Village through SWOT analysis supported by community perception data. The findings place the village in a Strength–Opportunity quadrant, indicating readiness for an aggressive development strategy that leverages its ecological richness and growing tourism interest. However, the analysis also revealed critical internal weaknesses, including inadequate infrastructure and promotional activities, and external threats such as environmental degradation and governance fragmentation. These results affirm the value of integrating local stakeholder input with structured planning tools to ensure sustainable and community-centered tourism growth.</w:t>
      </w:r>
    </w:p>
    <w:p w14:paraId="1B5A8057" w14:textId="2840DC08" w:rsidR="00C209F2" w:rsidRPr="004A3752" w:rsidRDefault="00E221F3" w:rsidP="00E221F3">
      <w:pPr>
        <w:spacing w:after="0" w:line="240" w:lineRule="auto"/>
        <w:ind w:left="0" w:right="0" w:firstLine="720"/>
        <w:rPr>
          <w:rFonts w:ascii="Arial" w:hAnsi="Arial" w:cs="Arial"/>
          <w:color w:val="auto"/>
          <w:sz w:val="20"/>
          <w:szCs w:val="20"/>
        </w:rPr>
      </w:pPr>
      <w:r w:rsidRPr="00E221F3">
        <w:rPr>
          <w:rFonts w:ascii="Arial" w:hAnsi="Arial" w:cs="Arial"/>
          <w:color w:val="auto"/>
          <w:sz w:val="20"/>
          <w:szCs w:val="20"/>
        </w:rPr>
        <w:t>Based on these findings, several strategic recommendations are proposed. First, local authorities and partners should invest in basic tourism infrastructure—such as signage, sanitation, and access paths—while maintaining ecological sensitivity. Second, training programs in hospitality, conservation, and entrepreneurship should be launched to empower community members and diversify local income sources. Third, an institutional framework for collaborative governance involving local leaders, NGOs, and government agencies must be established to ensure coherent planning and monitoring. Finally, tourism development should be integrated with broader environmental education and conservation efforts to reinforce Tanjung Rejo’s identity as a responsible, nature-based tourism destination</w:t>
      </w:r>
      <w:r w:rsidR="00C209F2" w:rsidRPr="004A3752">
        <w:rPr>
          <w:rFonts w:ascii="Arial" w:hAnsi="Arial" w:cs="Arial"/>
          <w:color w:val="auto"/>
          <w:sz w:val="20"/>
          <w:szCs w:val="20"/>
        </w:rPr>
        <w:t>.</w:t>
      </w:r>
    </w:p>
    <w:p w14:paraId="53F44881" w14:textId="77777777" w:rsidR="00C2269B" w:rsidRPr="004A3752" w:rsidRDefault="00C2269B" w:rsidP="00C209F2">
      <w:pPr>
        <w:spacing w:after="0" w:line="240" w:lineRule="auto"/>
        <w:ind w:left="0" w:right="0" w:firstLine="720"/>
        <w:rPr>
          <w:rFonts w:ascii="Arial" w:hAnsi="Arial" w:cs="Arial"/>
          <w:color w:val="auto"/>
          <w:sz w:val="20"/>
          <w:szCs w:val="20"/>
        </w:rPr>
      </w:pPr>
    </w:p>
    <w:p w14:paraId="6988A12D" w14:textId="77777777" w:rsidR="00783E0D" w:rsidRPr="004A3752" w:rsidRDefault="00783E0D" w:rsidP="00783E0D">
      <w:pPr>
        <w:outlineLvl w:val="0"/>
        <w:rPr>
          <w:rFonts w:ascii="Arial" w:hAnsi="Arial" w:cs="Arial"/>
          <w:sz w:val="20"/>
          <w:szCs w:val="20"/>
        </w:rPr>
      </w:pPr>
      <w:r w:rsidRPr="004A3752">
        <w:rPr>
          <w:rFonts w:ascii="Arial" w:hAnsi="Arial" w:cs="Arial"/>
          <w:b/>
          <w:bCs/>
          <w:sz w:val="20"/>
          <w:szCs w:val="20"/>
        </w:rPr>
        <w:t>COMPETING INTERESTS DISCLAIMER:</w:t>
      </w:r>
    </w:p>
    <w:p w14:paraId="399C2F43" w14:textId="77777777" w:rsidR="00783E0D" w:rsidRPr="004A3752" w:rsidRDefault="00783E0D" w:rsidP="00783E0D">
      <w:pPr>
        <w:rPr>
          <w:rFonts w:ascii="Arial" w:hAnsi="Arial" w:cs="Arial"/>
          <w:sz w:val="20"/>
          <w:szCs w:val="20"/>
        </w:rPr>
      </w:pPr>
      <w:r w:rsidRPr="004A3752">
        <w:rPr>
          <w:rFonts w:ascii="Arial" w:hAnsi="Arial" w:cs="Arial"/>
          <w:sz w:val="20"/>
          <w:szCs w:val="20"/>
        </w:rPr>
        <w:lastRenderedPageBreak/>
        <w:t>Authors have declared that they have no known competing financial interests OR non-financial interests OR personal relationships that could have appeared to influence the work reported in this paper.</w:t>
      </w:r>
    </w:p>
    <w:p w14:paraId="52001DEB" w14:textId="77777777" w:rsidR="00783E0D" w:rsidRPr="004A3752" w:rsidRDefault="00783E0D" w:rsidP="00C209F2">
      <w:pPr>
        <w:spacing w:after="0" w:line="240" w:lineRule="auto"/>
        <w:ind w:left="0" w:right="0" w:firstLine="720"/>
        <w:rPr>
          <w:rFonts w:ascii="Arial" w:hAnsi="Arial" w:cs="Arial"/>
          <w:color w:val="auto"/>
          <w:sz w:val="20"/>
          <w:szCs w:val="20"/>
        </w:rPr>
      </w:pPr>
    </w:p>
    <w:p w14:paraId="4C910FE2" w14:textId="77777777" w:rsidR="00747113" w:rsidRPr="004A3752" w:rsidRDefault="00747113" w:rsidP="00C209F2">
      <w:pPr>
        <w:spacing w:after="0" w:line="240" w:lineRule="auto"/>
        <w:ind w:left="0" w:right="0" w:firstLine="720"/>
        <w:rPr>
          <w:rFonts w:ascii="Arial" w:hAnsi="Arial" w:cs="Arial"/>
          <w:color w:val="auto"/>
          <w:sz w:val="20"/>
          <w:szCs w:val="20"/>
        </w:rPr>
      </w:pPr>
    </w:p>
    <w:p w14:paraId="2F351F5E" w14:textId="77777777" w:rsidR="00747113" w:rsidRPr="004A3752" w:rsidRDefault="00747113" w:rsidP="00747113">
      <w:pPr>
        <w:spacing w:after="200" w:line="276" w:lineRule="auto"/>
        <w:ind w:left="0" w:right="0" w:firstLine="0"/>
        <w:jc w:val="left"/>
        <w:rPr>
          <w:rFonts w:ascii="Arial" w:eastAsia="Calibri" w:hAnsi="Arial" w:cs="Arial"/>
          <w:color w:val="auto"/>
          <w:kern w:val="2"/>
          <w:sz w:val="20"/>
          <w:szCs w:val="20"/>
        </w:rPr>
      </w:pPr>
      <w:bookmarkStart w:id="2" w:name="_Hlk180402183"/>
      <w:r w:rsidRPr="004A3752">
        <w:rPr>
          <w:rFonts w:ascii="Arial" w:eastAsia="Calibri" w:hAnsi="Arial" w:cs="Arial"/>
          <w:color w:val="auto"/>
          <w:kern w:val="2"/>
          <w:sz w:val="20"/>
          <w:szCs w:val="20"/>
        </w:rPr>
        <w:t>Disclaimer (Artificial intelligence)</w:t>
      </w:r>
    </w:p>
    <w:p w14:paraId="240124FA" w14:textId="77777777" w:rsidR="00747113" w:rsidRPr="004A3752" w:rsidRDefault="00747113" w:rsidP="00747113">
      <w:pPr>
        <w:spacing w:after="200" w:line="276" w:lineRule="auto"/>
        <w:ind w:left="0" w:right="0" w:firstLine="0"/>
        <w:jc w:val="left"/>
        <w:rPr>
          <w:rFonts w:ascii="Arial" w:eastAsia="Calibri" w:hAnsi="Arial" w:cs="Arial"/>
          <w:color w:val="auto"/>
          <w:kern w:val="2"/>
          <w:sz w:val="20"/>
          <w:szCs w:val="20"/>
        </w:rPr>
      </w:pPr>
      <w:r w:rsidRPr="004A3752">
        <w:rPr>
          <w:rFonts w:ascii="Arial" w:eastAsia="Calibri" w:hAnsi="Arial" w:cs="Arial"/>
          <w:color w:val="auto"/>
          <w:kern w:val="2"/>
          <w:sz w:val="20"/>
          <w:szCs w:val="20"/>
        </w:rPr>
        <w:t xml:space="preserve">Option 1: </w:t>
      </w:r>
    </w:p>
    <w:p w14:paraId="5AF45DC4" w14:textId="77777777" w:rsidR="00747113" w:rsidRPr="004A3752" w:rsidRDefault="00747113" w:rsidP="00747113">
      <w:pPr>
        <w:spacing w:after="200" w:line="276" w:lineRule="auto"/>
        <w:ind w:left="0" w:right="0" w:firstLine="0"/>
        <w:jc w:val="left"/>
        <w:rPr>
          <w:rFonts w:ascii="Arial" w:eastAsia="Calibri" w:hAnsi="Arial" w:cs="Arial"/>
          <w:color w:val="auto"/>
          <w:kern w:val="2"/>
          <w:sz w:val="20"/>
          <w:szCs w:val="20"/>
        </w:rPr>
      </w:pPr>
      <w:r w:rsidRPr="004A3752">
        <w:rPr>
          <w:rFonts w:ascii="Arial" w:eastAsia="Calibri" w:hAnsi="Arial" w:cs="Arial"/>
          <w:color w:val="auto"/>
          <w:kern w:val="2"/>
          <w:sz w:val="20"/>
          <w:szCs w:val="20"/>
        </w:rPr>
        <w:t xml:space="preserve">Author(s) hereby declare that NO generative AI technologies such as Large Language Models (ChatGPT, COPILOT, etc.) and text-to-image generators have been used during the writing or editing of this manuscript. </w:t>
      </w:r>
    </w:p>
    <w:bookmarkEnd w:id="2"/>
    <w:p w14:paraId="19244224" w14:textId="77777777" w:rsidR="00C209F2" w:rsidRPr="004A3752" w:rsidRDefault="00C209F2" w:rsidP="00C209F2">
      <w:pPr>
        <w:spacing w:after="0" w:line="240" w:lineRule="auto"/>
        <w:ind w:left="0" w:right="0" w:firstLine="0"/>
        <w:jc w:val="left"/>
        <w:outlineLvl w:val="2"/>
        <w:rPr>
          <w:rFonts w:ascii="Arial" w:hAnsi="Arial" w:cs="Arial"/>
          <w:b/>
          <w:bCs/>
          <w:color w:val="auto"/>
          <w:sz w:val="20"/>
          <w:szCs w:val="20"/>
        </w:rPr>
      </w:pPr>
    </w:p>
    <w:p w14:paraId="4C30B480" w14:textId="085DFFA0" w:rsidR="00C209F2" w:rsidRPr="004A3752" w:rsidRDefault="00C209F2" w:rsidP="00C209F2">
      <w:pPr>
        <w:spacing w:after="0" w:line="240" w:lineRule="auto"/>
        <w:ind w:left="0" w:right="0" w:firstLine="0"/>
        <w:jc w:val="left"/>
        <w:outlineLvl w:val="2"/>
        <w:rPr>
          <w:rFonts w:ascii="Arial" w:hAnsi="Arial" w:cs="Arial"/>
          <w:b/>
          <w:bCs/>
          <w:color w:val="auto"/>
          <w:sz w:val="20"/>
          <w:szCs w:val="20"/>
        </w:rPr>
      </w:pPr>
      <w:r w:rsidRPr="004A3752">
        <w:rPr>
          <w:rFonts w:ascii="Arial" w:hAnsi="Arial" w:cs="Arial"/>
          <w:b/>
          <w:bCs/>
          <w:color w:val="auto"/>
          <w:sz w:val="20"/>
          <w:szCs w:val="20"/>
        </w:rPr>
        <w:t>References</w:t>
      </w:r>
    </w:p>
    <w:p w14:paraId="42027B2B" w14:textId="77777777" w:rsidR="00D22F79" w:rsidRPr="004A3752" w:rsidRDefault="00D22F79" w:rsidP="00C209F2">
      <w:pPr>
        <w:spacing w:after="0" w:line="240" w:lineRule="auto"/>
        <w:ind w:left="0" w:right="0" w:firstLine="0"/>
        <w:jc w:val="left"/>
        <w:rPr>
          <w:rFonts w:ascii="Arial" w:eastAsia="Calibri" w:hAnsi="Arial" w:cs="Arial"/>
          <w:b/>
          <w:bCs/>
          <w:sz w:val="20"/>
          <w:szCs w:val="20"/>
        </w:rPr>
      </w:pPr>
    </w:p>
    <w:p w14:paraId="799C8F68" w14:textId="77777777" w:rsidR="0022444E" w:rsidRPr="0022444E" w:rsidRDefault="0022444E" w:rsidP="0022444E">
      <w:pPr>
        <w:spacing w:after="0" w:line="240" w:lineRule="auto"/>
        <w:ind w:left="709" w:right="0" w:hanging="709"/>
        <w:rPr>
          <w:rFonts w:ascii="Arial" w:eastAsia="Calibri" w:hAnsi="Arial" w:cs="Arial"/>
          <w:sz w:val="20"/>
          <w:szCs w:val="20"/>
        </w:rPr>
      </w:pPr>
      <w:r w:rsidRPr="0022444E">
        <w:rPr>
          <w:rFonts w:ascii="Arial" w:eastAsia="Calibri" w:hAnsi="Arial" w:cs="Arial"/>
          <w:sz w:val="20"/>
          <w:szCs w:val="20"/>
          <w:lang w:val="fi-FI"/>
        </w:rPr>
        <w:t xml:space="preserve">Alfiandri, A., Prasojo, E., Salomo, R. V., &amp; Wicaksono, A. (2024). </w:t>
      </w:r>
      <w:r w:rsidRPr="0022444E">
        <w:rPr>
          <w:rFonts w:ascii="Arial" w:eastAsia="Calibri" w:hAnsi="Arial" w:cs="Arial"/>
          <w:sz w:val="20"/>
          <w:szCs w:val="20"/>
        </w:rPr>
        <w:t xml:space="preserve">Beyond volatility: Harnessing VUCA methodology for sustainable collaboration in </w:t>
      </w:r>
      <w:proofErr w:type="spellStart"/>
      <w:r w:rsidRPr="0022444E">
        <w:rPr>
          <w:rFonts w:ascii="Arial" w:eastAsia="Calibri" w:hAnsi="Arial" w:cs="Arial"/>
          <w:sz w:val="20"/>
          <w:szCs w:val="20"/>
        </w:rPr>
        <w:t>Bintan</w:t>
      </w:r>
      <w:proofErr w:type="spellEnd"/>
      <w:r w:rsidRPr="0022444E">
        <w:rPr>
          <w:rFonts w:ascii="Arial" w:eastAsia="Calibri" w:hAnsi="Arial" w:cs="Arial"/>
          <w:sz w:val="20"/>
          <w:szCs w:val="20"/>
        </w:rPr>
        <w:t xml:space="preserve"> Island’s mangrove ecotourism governance. </w:t>
      </w:r>
      <w:r w:rsidRPr="0022444E">
        <w:rPr>
          <w:rFonts w:ascii="Arial" w:eastAsia="Calibri" w:hAnsi="Arial" w:cs="Arial"/>
          <w:i/>
          <w:iCs/>
          <w:sz w:val="20"/>
          <w:szCs w:val="20"/>
        </w:rPr>
        <w:t>Danube</w:t>
      </w:r>
      <w:r w:rsidRPr="0022444E">
        <w:rPr>
          <w:rFonts w:ascii="Arial" w:eastAsia="Calibri" w:hAnsi="Arial" w:cs="Arial"/>
          <w:sz w:val="20"/>
          <w:szCs w:val="20"/>
        </w:rPr>
        <w:t xml:space="preserve">, 12(1). </w:t>
      </w:r>
      <w:hyperlink r:id="rId13" w:tgtFrame="_new" w:history="1">
        <w:r w:rsidRPr="0022444E">
          <w:rPr>
            <w:rStyle w:val="Hyperlink"/>
            <w:rFonts w:ascii="Arial" w:eastAsia="Calibri" w:hAnsi="Arial" w:cs="Arial"/>
            <w:sz w:val="20"/>
            <w:szCs w:val="20"/>
          </w:rPr>
          <w:t>https://sciendo.com/pdf/10.2478/danb-2024-0010</w:t>
        </w:r>
      </w:hyperlink>
    </w:p>
    <w:p w14:paraId="06369187" w14:textId="77777777" w:rsidR="0022444E" w:rsidRPr="0022444E" w:rsidRDefault="0022444E" w:rsidP="0022444E">
      <w:pPr>
        <w:spacing w:after="0" w:line="240" w:lineRule="auto"/>
        <w:ind w:left="709" w:right="0" w:hanging="709"/>
        <w:rPr>
          <w:rFonts w:ascii="Arial" w:eastAsia="Calibri" w:hAnsi="Arial" w:cs="Arial"/>
          <w:sz w:val="20"/>
          <w:szCs w:val="20"/>
        </w:rPr>
      </w:pPr>
      <w:r w:rsidRPr="0022444E">
        <w:rPr>
          <w:rFonts w:ascii="Arial" w:eastAsia="Calibri" w:hAnsi="Arial" w:cs="Arial"/>
          <w:sz w:val="20"/>
          <w:szCs w:val="20"/>
          <w:lang w:val="fi-FI"/>
        </w:rPr>
        <w:t xml:space="preserve">Ampou, E., Prasetia, I. N. D., Amelia, J. M., &amp; Sitepu, G. S. B. R. (2024). </w:t>
      </w:r>
      <w:r w:rsidRPr="0022444E">
        <w:rPr>
          <w:rFonts w:ascii="Arial" w:eastAsia="Calibri" w:hAnsi="Arial" w:cs="Arial"/>
          <w:sz w:val="20"/>
          <w:szCs w:val="20"/>
        </w:rPr>
        <w:t xml:space="preserve">Assessment of coastal resources in </w:t>
      </w:r>
      <w:proofErr w:type="spellStart"/>
      <w:r w:rsidRPr="0022444E">
        <w:rPr>
          <w:rFonts w:ascii="Arial" w:eastAsia="Calibri" w:hAnsi="Arial" w:cs="Arial"/>
          <w:sz w:val="20"/>
          <w:szCs w:val="20"/>
        </w:rPr>
        <w:t>Sumberkima</w:t>
      </w:r>
      <w:proofErr w:type="spellEnd"/>
      <w:r w:rsidRPr="0022444E">
        <w:rPr>
          <w:rFonts w:ascii="Arial" w:eastAsia="Calibri" w:hAnsi="Arial" w:cs="Arial"/>
          <w:sz w:val="20"/>
          <w:szCs w:val="20"/>
        </w:rPr>
        <w:t xml:space="preserve"> Village, Bali: A foundation for sustainable aquaculture-based </w:t>
      </w:r>
      <w:proofErr w:type="spellStart"/>
      <w:r w:rsidRPr="0022444E">
        <w:rPr>
          <w:rFonts w:ascii="Arial" w:eastAsia="Calibri" w:hAnsi="Arial" w:cs="Arial"/>
          <w:sz w:val="20"/>
          <w:szCs w:val="20"/>
        </w:rPr>
        <w:t>minatourism</w:t>
      </w:r>
      <w:proofErr w:type="spellEnd"/>
      <w:r w:rsidRPr="0022444E">
        <w:rPr>
          <w:rFonts w:ascii="Arial" w:eastAsia="Calibri" w:hAnsi="Arial" w:cs="Arial"/>
          <w:sz w:val="20"/>
          <w:szCs w:val="20"/>
        </w:rPr>
        <w:t xml:space="preserve">. </w:t>
      </w:r>
      <w:r w:rsidRPr="0022444E">
        <w:rPr>
          <w:rFonts w:ascii="Arial" w:eastAsia="Calibri" w:hAnsi="Arial" w:cs="Arial"/>
          <w:i/>
          <w:iCs/>
          <w:sz w:val="20"/>
          <w:szCs w:val="20"/>
        </w:rPr>
        <w:t>ResearchGate</w:t>
      </w:r>
      <w:r w:rsidRPr="0022444E">
        <w:rPr>
          <w:rFonts w:ascii="Arial" w:eastAsia="Calibri" w:hAnsi="Arial" w:cs="Arial"/>
          <w:sz w:val="20"/>
          <w:szCs w:val="20"/>
        </w:rPr>
        <w:t xml:space="preserve">. </w:t>
      </w:r>
      <w:hyperlink r:id="rId14" w:tgtFrame="_new" w:history="1">
        <w:r w:rsidRPr="0022444E">
          <w:rPr>
            <w:rStyle w:val="Hyperlink"/>
            <w:rFonts w:ascii="Arial" w:eastAsia="Calibri" w:hAnsi="Arial" w:cs="Arial"/>
            <w:sz w:val="20"/>
            <w:szCs w:val="20"/>
          </w:rPr>
          <w:t>https://www.researchgate.net/publication/387137664</w:t>
        </w:r>
      </w:hyperlink>
    </w:p>
    <w:p w14:paraId="7679AE8C" w14:textId="77777777" w:rsidR="0022444E" w:rsidRPr="0022444E" w:rsidRDefault="0022444E" w:rsidP="0022444E">
      <w:pPr>
        <w:spacing w:after="0" w:line="240" w:lineRule="auto"/>
        <w:ind w:left="709" w:right="0" w:hanging="709"/>
        <w:rPr>
          <w:rFonts w:ascii="Arial" w:eastAsia="Calibri" w:hAnsi="Arial" w:cs="Arial"/>
          <w:sz w:val="20"/>
          <w:szCs w:val="20"/>
        </w:rPr>
      </w:pPr>
      <w:r w:rsidRPr="0022444E">
        <w:rPr>
          <w:rFonts w:ascii="Arial" w:eastAsia="Calibri" w:hAnsi="Arial" w:cs="Arial"/>
          <w:sz w:val="20"/>
          <w:szCs w:val="20"/>
          <w:lang w:val="fi-FI"/>
        </w:rPr>
        <w:t xml:space="preserve">Elfina, Y., Sukendi, S., &amp; Efriyeldi, E. (2025). </w:t>
      </w:r>
      <w:r w:rsidRPr="0022444E">
        <w:rPr>
          <w:rFonts w:ascii="Arial" w:eastAsia="Calibri" w:hAnsi="Arial" w:cs="Arial"/>
          <w:sz w:val="20"/>
          <w:szCs w:val="20"/>
        </w:rPr>
        <w:t xml:space="preserve">Community-based mangrove forest development as an ecotourism area to improve community welfare. </w:t>
      </w:r>
      <w:r w:rsidRPr="0022444E">
        <w:rPr>
          <w:rFonts w:ascii="Arial" w:eastAsia="Calibri" w:hAnsi="Arial" w:cs="Arial"/>
          <w:i/>
          <w:iCs/>
          <w:sz w:val="20"/>
          <w:szCs w:val="20"/>
        </w:rPr>
        <w:t>E3S Web of Conferences</w:t>
      </w:r>
      <w:r w:rsidRPr="0022444E">
        <w:rPr>
          <w:rFonts w:ascii="Arial" w:eastAsia="Calibri" w:hAnsi="Arial" w:cs="Arial"/>
          <w:sz w:val="20"/>
          <w:szCs w:val="20"/>
        </w:rPr>
        <w:t xml:space="preserve">. </w:t>
      </w:r>
      <w:hyperlink r:id="rId15" w:tgtFrame="_new" w:history="1">
        <w:r w:rsidRPr="0022444E">
          <w:rPr>
            <w:rStyle w:val="Hyperlink"/>
            <w:rFonts w:ascii="Arial" w:eastAsia="Calibri" w:hAnsi="Arial" w:cs="Arial"/>
            <w:sz w:val="20"/>
            <w:szCs w:val="20"/>
          </w:rPr>
          <w:t>https://www.e3s-conferences.org/articles/e3sconf/pdf/2025/11/e3sconf_iseep2025_04001.pdf</w:t>
        </w:r>
      </w:hyperlink>
    </w:p>
    <w:p w14:paraId="352A2E24" w14:textId="77777777" w:rsidR="0022444E" w:rsidRPr="0022444E" w:rsidRDefault="0022444E" w:rsidP="0022444E">
      <w:pPr>
        <w:spacing w:after="0" w:line="240" w:lineRule="auto"/>
        <w:ind w:left="709" w:right="0" w:hanging="709"/>
        <w:rPr>
          <w:rFonts w:ascii="Arial" w:eastAsia="Calibri" w:hAnsi="Arial" w:cs="Arial"/>
          <w:sz w:val="20"/>
          <w:szCs w:val="20"/>
        </w:rPr>
      </w:pPr>
      <w:r w:rsidRPr="0022444E">
        <w:rPr>
          <w:rFonts w:ascii="Arial" w:eastAsia="Calibri" w:hAnsi="Arial" w:cs="Arial"/>
          <w:sz w:val="20"/>
          <w:szCs w:val="20"/>
          <w:lang w:val="fi-FI"/>
        </w:rPr>
        <w:t xml:space="preserve">Hatani, L., Madi, R. A., &amp; Ittaqullah, N. (2024). </w:t>
      </w:r>
      <w:r w:rsidRPr="0022444E">
        <w:rPr>
          <w:rFonts w:ascii="Arial" w:eastAsia="Calibri" w:hAnsi="Arial" w:cs="Arial"/>
          <w:sz w:val="20"/>
          <w:szCs w:val="20"/>
        </w:rPr>
        <w:t>Sustainable ecotourism development strategy for Mina-</w:t>
      </w:r>
      <w:proofErr w:type="spellStart"/>
      <w:r w:rsidRPr="0022444E">
        <w:rPr>
          <w:rFonts w:ascii="Arial" w:eastAsia="Calibri" w:hAnsi="Arial" w:cs="Arial"/>
          <w:sz w:val="20"/>
          <w:szCs w:val="20"/>
        </w:rPr>
        <w:t>Minanga</w:t>
      </w:r>
      <w:proofErr w:type="spellEnd"/>
      <w:r w:rsidRPr="0022444E">
        <w:rPr>
          <w:rFonts w:ascii="Arial" w:eastAsia="Calibri" w:hAnsi="Arial" w:cs="Arial"/>
          <w:sz w:val="20"/>
          <w:szCs w:val="20"/>
        </w:rPr>
        <w:t xml:space="preserve"> Beach in North Buton. </w:t>
      </w:r>
      <w:r w:rsidRPr="0022444E">
        <w:rPr>
          <w:rFonts w:ascii="Arial" w:eastAsia="Calibri" w:hAnsi="Arial" w:cs="Arial"/>
          <w:i/>
          <w:iCs/>
          <w:sz w:val="20"/>
          <w:szCs w:val="20"/>
        </w:rPr>
        <w:t>Journal of Tourism and Environment</w:t>
      </w:r>
      <w:r w:rsidRPr="0022444E">
        <w:rPr>
          <w:rFonts w:ascii="Arial" w:eastAsia="Calibri" w:hAnsi="Arial" w:cs="Arial"/>
          <w:sz w:val="20"/>
          <w:szCs w:val="20"/>
        </w:rPr>
        <w:t xml:space="preserve">, 6(1). </w:t>
      </w:r>
      <w:hyperlink r:id="rId16" w:tgtFrame="_new" w:history="1">
        <w:r w:rsidRPr="0022444E">
          <w:rPr>
            <w:rStyle w:val="Hyperlink"/>
            <w:rFonts w:ascii="Arial" w:eastAsia="Calibri" w:hAnsi="Arial" w:cs="Arial"/>
            <w:sz w:val="20"/>
            <w:szCs w:val="20"/>
          </w:rPr>
          <w:t>https://journal.mediadigitalpublikasi.com/index.php/apollo/article/view/327</w:t>
        </w:r>
      </w:hyperlink>
    </w:p>
    <w:p w14:paraId="2E38E988" w14:textId="77777777" w:rsidR="0022444E" w:rsidRPr="0022444E" w:rsidRDefault="0022444E" w:rsidP="0022444E">
      <w:pPr>
        <w:spacing w:after="0" w:line="240" w:lineRule="auto"/>
        <w:ind w:left="709" w:right="0" w:hanging="709"/>
        <w:rPr>
          <w:rFonts w:ascii="Arial" w:eastAsia="Calibri" w:hAnsi="Arial" w:cs="Arial"/>
          <w:sz w:val="20"/>
          <w:szCs w:val="20"/>
        </w:rPr>
      </w:pPr>
      <w:r w:rsidRPr="0022444E">
        <w:rPr>
          <w:rFonts w:ascii="Arial" w:eastAsia="Calibri" w:hAnsi="Arial" w:cs="Arial"/>
          <w:sz w:val="20"/>
          <w:szCs w:val="20"/>
        </w:rPr>
        <w:t xml:space="preserve">Islam, D. (2024). Government policy, empowerment and community participation in sustainable tourism development in ecotourism mangrove </w:t>
      </w:r>
      <w:proofErr w:type="spellStart"/>
      <w:r w:rsidRPr="0022444E">
        <w:rPr>
          <w:rFonts w:ascii="Arial" w:eastAsia="Calibri" w:hAnsi="Arial" w:cs="Arial"/>
          <w:sz w:val="20"/>
          <w:szCs w:val="20"/>
        </w:rPr>
        <w:t>Lembung</w:t>
      </w:r>
      <w:proofErr w:type="spellEnd"/>
      <w:r w:rsidRPr="0022444E">
        <w:rPr>
          <w:rFonts w:ascii="Arial" w:eastAsia="Calibri" w:hAnsi="Arial" w:cs="Arial"/>
          <w:sz w:val="20"/>
          <w:szCs w:val="20"/>
        </w:rPr>
        <w:t xml:space="preserve">. </w:t>
      </w:r>
      <w:proofErr w:type="spellStart"/>
      <w:r w:rsidRPr="0022444E">
        <w:rPr>
          <w:rFonts w:ascii="Arial" w:eastAsia="Calibri" w:hAnsi="Arial" w:cs="Arial"/>
          <w:i/>
          <w:iCs/>
          <w:sz w:val="20"/>
          <w:szCs w:val="20"/>
        </w:rPr>
        <w:t>Jurnal</w:t>
      </w:r>
      <w:proofErr w:type="spellEnd"/>
      <w:r w:rsidRPr="0022444E">
        <w:rPr>
          <w:rFonts w:ascii="Arial" w:eastAsia="Calibri" w:hAnsi="Arial" w:cs="Arial"/>
          <w:i/>
          <w:iCs/>
          <w:sz w:val="20"/>
          <w:szCs w:val="20"/>
        </w:rPr>
        <w:t xml:space="preserve"> IBIK</w:t>
      </w:r>
      <w:r w:rsidRPr="0022444E">
        <w:rPr>
          <w:rFonts w:ascii="Arial" w:eastAsia="Calibri" w:hAnsi="Arial" w:cs="Arial"/>
          <w:sz w:val="20"/>
          <w:szCs w:val="20"/>
        </w:rPr>
        <w:t xml:space="preserve">, 6(2). </w:t>
      </w:r>
      <w:hyperlink r:id="rId17" w:tgtFrame="_new" w:history="1">
        <w:r w:rsidRPr="0022444E">
          <w:rPr>
            <w:rStyle w:val="Hyperlink"/>
            <w:rFonts w:ascii="Arial" w:eastAsia="Calibri" w:hAnsi="Arial" w:cs="Arial"/>
            <w:sz w:val="20"/>
            <w:szCs w:val="20"/>
          </w:rPr>
          <w:t>https://jurnal.ibik.ac.id/index.php/jimkes/article/view/2987</w:t>
        </w:r>
      </w:hyperlink>
    </w:p>
    <w:p w14:paraId="5863C0B3" w14:textId="77777777" w:rsidR="0022444E" w:rsidRPr="0022444E" w:rsidRDefault="0022444E" w:rsidP="0022444E">
      <w:pPr>
        <w:spacing w:after="0" w:line="240" w:lineRule="auto"/>
        <w:ind w:left="709" w:right="0" w:hanging="709"/>
        <w:rPr>
          <w:rFonts w:ascii="Arial" w:eastAsia="Calibri" w:hAnsi="Arial" w:cs="Arial"/>
          <w:sz w:val="20"/>
          <w:szCs w:val="20"/>
        </w:rPr>
      </w:pPr>
      <w:r w:rsidRPr="0022444E">
        <w:rPr>
          <w:rFonts w:ascii="Arial" w:eastAsia="Calibri" w:hAnsi="Arial" w:cs="Arial"/>
          <w:sz w:val="20"/>
          <w:szCs w:val="20"/>
        </w:rPr>
        <w:t xml:space="preserve">Izudin, A., &amp; Aditya, R. (2025). Reappraisal of ecotourism development in </w:t>
      </w:r>
      <w:proofErr w:type="spellStart"/>
      <w:r w:rsidRPr="0022444E">
        <w:rPr>
          <w:rFonts w:ascii="Arial" w:eastAsia="Calibri" w:hAnsi="Arial" w:cs="Arial"/>
          <w:sz w:val="20"/>
          <w:szCs w:val="20"/>
        </w:rPr>
        <w:t>Karangsong</w:t>
      </w:r>
      <w:proofErr w:type="spellEnd"/>
      <w:r w:rsidRPr="0022444E">
        <w:rPr>
          <w:rFonts w:ascii="Arial" w:eastAsia="Calibri" w:hAnsi="Arial" w:cs="Arial"/>
          <w:sz w:val="20"/>
          <w:szCs w:val="20"/>
        </w:rPr>
        <w:t xml:space="preserve"> communities in Indonesia: Debates on conservation and </w:t>
      </w:r>
      <w:proofErr w:type="spellStart"/>
      <w:r w:rsidRPr="0022444E">
        <w:rPr>
          <w:rFonts w:ascii="Arial" w:eastAsia="Calibri" w:hAnsi="Arial" w:cs="Arial"/>
          <w:sz w:val="20"/>
          <w:szCs w:val="20"/>
        </w:rPr>
        <w:t>touristification</w:t>
      </w:r>
      <w:proofErr w:type="spellEnd"/>
      <w:r w:rsidRPr="0022444E">
        <w:rPr>
          <w:rFonts w:ascii="Arial" w:eastAsia="Calibri" w:hAnsi="Arial" w:cs="Arial"/>
          <w:sz w:val="20"/>
          <w:szCs w:val="20"/>
        </w:rPr>
        <w:t xml:space="preserve">. </w:t>
      </w:r>
      <w:r w:rsidRPr="0022444E">
        <w:rPr>
          <w:rFonts w:ascii="Arial" w:eastAsia="Calibri" w:hAnsi="Arial" w:cs="Arial"/>
          <w:i/>
          <w:iCs/>
          <w:sz w:val="20"/>
          <w:szCs w:val="20"/>
        </w:rPr>
        <w:t>Tourism in Marine Environments</w:t>
      </w:r>
      <w:r w:rsidRPr="0022444E">
        <w:rPr>
          <w:rFonts w:ascii="Arial" w:eastAsia="Calibri" w:hAnsi="Arial" w:cs="Arial"/>
          <w:sz w:val="20"/>
          <w:szCs w:val="20"/>
        </w:rPr>
        <w:t xml:space="preserve">. </w:t>
      </w:r>
      <w:hyperlink r:id="rId18" w:tgtFrame="_new" w:history="1">
        <w:r w:rsidRPr="0022444E">
          <w:rPr>
            <w:rStyle w:val="Hyperlink"/>
            <w:rFonts w:ascii="Arial" w:eastAsia="Calibri" w:hAnsi="Arial" w:cs="Arial"/>
            <w:sz w:val="20"/>
            <w:szCs w:val="20"/>
          </w:rPr>
          <w:t>https://www.ingentaconnect.com/content/cog/tme/pre-prints/content-time_2480928_khuluq</w:t>
        </w:r>
      </w:hyperlink>
    </w:p>
    <w:p w14:paraId="05E47902" w14:textId="77777777" w:rsidR="0022444E" w:rsidRPr="0022444E" w:rsidRDefault="0022444E" w:rsidP="0022444E">
      <w:pPr>
        <w:spacing w:after="0" w:line="240" w:lineRule="auto"/>
        <w:ind w:left="709" w:right="0" w:hanging="709"/>
        <w:rPr>
          <w:rFonts w:ascii="Arial" w:eastAsia="Calibri" w:hAnsi="Arial" w:cs="Arial"/>
          <w:sz w:val="20"/>
          <w:szCs w:val="20"/>
        </w:rPr>
      </w:pPr>
      <w:proofErr w:type="spellStart"/>
      <w:r w:rsidRPr="0022444E">
        <w:rPr>
          <w:rFonts w:ascii="Arial" w:eastAsia="Calibri" w:hAnsi="Arial" w:cs="Arial"/>
          <w:sz w:val="20"/>
          <w:szCs w:val="20"/>
        </w:rPr>
        <w:t>Khuluq</w:t>
      </w:r>
      <w:proofErr w:type="spellEnd"/>
      <w:r w:rsidRPr="0022444E">
        <w:rPr>
          <w:rFonts w:ascii="Arial" w:eastAsia="Calibri" w:hAnsi="Arial" w:cs="Arial"/>
          <w:sz w:val="20"/>
          <w:szCs w:val="20"/>
        </w:rPr>
        <w:t xml:space="preserve">, L., Izudin, A., &amp; Aditya, R. (2025). Conservation and ecotourism synergy in </w:t>
      </w:r>
      <w:proofErr w:type="spellStart"/>
      <w:r w:rsidRPr="0022444E">
        <w:rPr>
          <w:rFonts w:ascii="Arial" w:eastAsia="Calibri" w:hAnsi="Arial" w:cs="Arial"/>
          <w:sz w:val="20"/>
          <w:szCs w:val="20"/>
        </w:rPr>
        <w:t>Karangsong</w:t>
      </w:r>
      <w:proofErr w:type="spellEnd"/>
      <w:r w:rsidRPr="0022444E">
        <w:rPr>
          <w:rFonts w:ascii="Arial" w:eastAsia="Calibri" w:hAnsi="Arial" w:cs="Arial"/>
          <w:sz w:val="20"/>
          <w:szCs w:val="20"/>
        </w:rPr>
        <w:t xml:space="preserve"> mangrove forest. </w:t>
      </w:r>
      <w:r w:rsidRPr="0022444E">
        <w:rPr>
          <w:rFonts w:ascii="Arial" w:eastAsia="Calibri" w:hAnsi="Arial" w:cs="Arial"/>
          <w:i/>
          <w:iCs/>
          <w:sz w:val="20"/>
          <w:szCs w:val="20"/>
        </w:rPr>
        <w:t>Tourism in Marine Environments</w:t>
      </w:r>
      <w:r w:rsidRPr="0022444E">
        <w:rPr>
          <w:rFonts w:ascii="Arial" w:eastAsia="Calibri" w:hAnsi="Arial" w:cs="Arial"/>
          <w:sz w:val="20"/>
          <w:szCs w:val="20"/>
        </w:rPr>
        <w:t xml:space="preserve">. </w:t>
      </w:r>
      <w:hyperlink r:id="rId19" w:tgtFrame="_new" w:history="1">
        <w:r w:rsidRPr="0022444E">
          <w:rPr>
            <w:rStyle w:val="Hyperlink"/>
            <w:rFonts w:ascii="Arial" w:eastAsia="Calibri" w:hAnsi="Arial" w:cs="Arial"/>
            <w:sz w:val="20"/>
            <w:szCs w:val="20"/>
          </w:rPr>
          <w:t>https://www.ingentaconnect.com/content/cog/tme/pre-prints/content-time_2480928_khuluq</w:t>
        </w:r>
      </w:hyperlink>
    </w:p>
    <w:p w14:paraId="2902FD5F" w14:textId="77777777" w:rsidR="0022444E" w:rsidRPr="0022444E" w:rsidRDefault="0022444E" w:rsidP="0022444E">
      <w:pPr>
        <w:spacing w:after="0" w:line="240" w:lineRule="auto"/>
        <w:ind w:left="709" w:right="0" w:hanging="709"/>
        <w:rPr>
          <w:rFonts w:ascii="Arial" w:eastAsia="Calibri" w:hAnsi="Arial" w:cs="Arial"/>
          <w:sz w:val="20"/>
          <w:szCs w:val="20"/>
        </w:rPr>
      </w:pPr>
      <w:r w:rsidRPr="0022444E">
        <w:rPr>
          <w:rFonts w:ascii="Arial" w:eastAsia="Calibri" w:hAnsi="Arial" w:cs="Arial"/>
          <w:sz w:val="20"/>
          <w:szCs w:val="20"/>
          <w:lang w:val="fi-FI"/>
        </w:rPr>
        <w:t xml:space="preserve">Prasetia, I. N. D., Amelia, J. M., &amp; Sitepu, G. S. B. R. (2024). </w:t>
      </w:r>
      <w:r w:rsidRPr="0022444E">
        <w:rPr>
          <w:rFonts w:ascii="Arial" w:eastAsia="Calibri" w:hAnsi="Arial" w:cs="Arial"/>
          <w:sz w:val="20"/>
          <w:szCs w:val="20"/>
        </w:rPr>
        <w:t xml:space="preserve">Coastal </w:t>
      </w:r>
      <w:proofErr w:type="spellStart"/>
      <w:r w:rsidRPr="0022444E">
        <w:rPr>
          <w:rFonts w:ascii="Arial" w:eastAsia="Calibri" w:hAnsi="Arial" w:cs="Arial"/>
          <w:sz w:val="20"/>
          <w:szCs w:val="20"/>
        </w:rPr>
        <w:t>minatourism</w:t>
      </w:r>
      <w:proofErr w:type="spellEnd"/>
      <w:r w:rsidRPr="0022444E">
        <w:rPr>
          <w:rFonts w:ascii="Arial" w:eastAsia="Calibri" w:hAnsi="Arial" w:cs="Arial"/>
          <w:sz w:val="20"/>
          <w:szCs w:val="20"/>
        </w:rPr>
        <w:t xml:space="preserve"> development in North Bali. </w:t>
      </w:r>
      <w:r w:rsidRPr="0022444E">
        <w:rPr>
          <w:rFonts w:ascii="Arial" w:eastAsia="Calibri" w:hAnsi="Arial" w:cs="Arial"/>
          <w:i/>
          <w:iCs/>
          <w:sz w:val="20"/>
          <w:szCs w:val="20"/>
        </w:rPr>
        <w:t>ResearchGate</w:t>
      </w:r>
      <w:r w:rsidRPr="0022444E">
        <w:rPr>
          <w:rFonts w:ascii="Arial" w:eastAsia="Calibri" w:hAnsi="Arial" w:cs="Arial"/>
          <w:sz w:val="20"/>
          <w:szCs w:val="20"/>
        </w:rPr>
        <w:t xml:space="preserve">. </w:t>
      </w:r>
      <w:hyperlink r:id="rId20" w:tgtFrame="_new" w:history="1">
        <w:r w:rsidRPr="0022444E">
          <w:rPr>
            <w:rStyle w:val="Hyperlink"/>
            <w:rFonts w:ascii="Arial" w:eastAsia="Calibri" w:hAnsi="Arial" w:cs="Arial"/>
            <w:sz w:val="20"/>
            <w:szCs w:val="20"/>
          </w:rPr>
          <w:t>https://www.researchgate.net/publication/387137664</w:t>
        </w:r>
      </w:hyperlink>
    </w:p>
    <w:p w14:paraId="72BEEF77" w14:textId="77777777" w:rsidR="0022444E" w:rsidRPr="0022444E" w:rsidRDefault="0022444E" w:rsidP="0022444E">
      <w:pPr>
        <w:spacing w:after="0" w:line="240" w:lineRule="auto"/>
        <w:ind w:left="709" w:right="0" w:hanging="709"/>
        <w:rPr>
          <w:rFonts w:ascii="Arial" w:eastAsia="Calibri" w:hAnsi="Arial" w:cs="Arial"/>
          <w:sz w:val="20"/>
          <w:szCs w:val="20"/>
        </w:rPr>
      </w:pPr>
      <w:proofErr w:type="spellStart"/>
      <w:r w:rsidRPr="0022444E">
        <w:rPr>
          <w:rFonts w:ascii="Arial" w:eastAsia="Calibri" w:hAnsi="Arial" w:cs="Arial"/>
          <w:sz w:val="20"/>
          <w:szCs w:val="20"/>
        </w:rPr>
        <w:t>Trianto</w:t>
      </w:r>
      <w:proofErr w:type="spellEnd"/>
      <w:r w:rsidRPr="0022444E">
        <w:rPr>
          <w:rFonts w:ascii="Arial" w:eastAsia="Calibri" w:hAnsi="Arial" w:cs="Arial"/>
          <w:sz w:val="20"/>
          <w:szCs w:val="20"/>
        </w:rPr>
        <w:t xml:space="preserve">, M., &amp; Adnan, B. A. (2024). Analysis of local community ecological knowledge on mangrove ecotourism in Central Sulawesi. </w:t>
      </w:r>
      <w:r w:rsidRPr="0022444E">
        <w:rPr>
          <w:rFonts w:ascii="Arial" w:eastAsia="Calibri" w:hAnsi="Arial" w:cs="Arial"/>
          <w:i/>
          <w:iCs/>
          <w:sz w:val="20"/>
          <w:szCs w:val="20"/>
        </w:rPr>
        <w:t>Interdisciplinary International Journal of Coastal Communities</w:t>
      </w:r>
      <w:r w:rsidRPr="0022444E">
        <w:rPr>
          <w:rFonts w:ascii="Arial" w:eastAsia="Calibri" w:hAnsi="Arial" w:cs="Arial"/>
          <w:sz w:val="20"/>
          <w:szCs w:val="20"/>
        </w:rPr>
        <w:t xml:space="preserve">, 2(1). </w:t>
      </w:r>
      <w:hyperlink r:id="rId21" w:tgtFrame="_new" w:history="1">
        <w:r w:rsidRPr="0022444E">
          <w:rPr>
            <w:rStyle w:val="Hyperlink"/>
            <w:rFonts w:ascii="Arial" w:eastAsia="Calibri" w:hAnsi="Arial" w:cs="Arial"/>
            <w:sz w:val="20"/>
            <w:szCs w:val="20"/>
          </w:rPr>
          <w:t>https://www.ojs.unigal.ac.id/index.php/iijcc/article/view/4062</w:t>
        </w:r>
      </w:hyperlink>
    </w:p>
    <w:p w14:paraId="21F58CC9" w14:textId="77777777" w:rsidR="0022444E" w:rsidRPr="0022444E" w:rsidRDefault="0022444E" w:rsidP="0022444E">
      <w:pPr>
        <w:spacing w:after="0" w:line="240" w:lineRule="auto"/>
        <w:ind w:left="709" w:right="0" w:hanging="709"/>
        <w:rPr>
          <w:rFonts w:ascii="Arial" w:eastAsia="Calibri" w:hAnsi="Arial" w:cs="Arial"/>
          <w:sz w:val="20"/>
          <w:szCs w:val="20"/>
        </w:rPr>
      </w:pPr>
      <w:proofErr w:type="spellStart"/>
      <w:r w:rsidRPr="0022444E">
        <w:rPr>
          <w:rFonts w:ascii="Arial" w:eastAsia="Calibri" w:hAnsi="Arial" w:cs="Arial"/>
          <w:sz w:val="20"/>
          <w:szCs w:val="20"/>
        </w:rPr>
        <w:t>Triyanti</w:t>
      </w:r>
      <w:proofErr w:type="spellEnd"/>
      <w:r w:rsidRPr="0022444E">
        <w:rPr>
          <w:rFonts w:ascii="Arial" w:eastAsia="Calibri" w:hAnsi="Arial" w:cs="Arial"/>
          <w:sz w:val="20"/>
          <w:szCs w:val="20"/>
        </w:rPr>
        <w:t xml:space="preserve">, R., Wijaya, R. A., &amp; </w:t>
      </w:r>
      <w:proofErr w:type="spellStart"/>
      <w:r w:rsidRPr="0022444E">
        <w:rPr>
          <w:rFonts w:ascii="Arial" w:eastAsia="Calibri" w:hAnsi="Arial" w:cs="Arial"/>
          <w:sz w:val="20"/>
          <w:szCs w:val="20"/>
        </w:rPr>
        <w:t>Priyatmoko</w:t>
      </w:r>
      <w:proofErr w:type="spellEnd"/>
      <w:r w:rsidRPr="0022444E">
        <w:rPr>
          <w:rFonts w:ascii="Arial" w:eastAsia="Calibri" w:hAnsi="Arial" w:cs="Arial"/>
          <w:sz w:val="20"/>
          <w:szCs w:val="20"/>
        </w:rPr>
        <w:t xml:space="preserve">, R. (2025). Transformation of community-based mangrove conservation into coastal tourism in northern Java. </w:t>
      </w:r>
      <w:r w:rsidRPr="0022444E">
        <w:rPr>
          <w:rFonts w:ascii="Arial" w:eastAsia="Calibri" w:hAnsi="Arial" w:cs="Arial"/>
          <w:i/>
          <w:iCs/>
          <w:sz w:val="20"/>
          <w:szCs w:val="20"/>
        </w:rPr>
        <w:t>International Journal of Conservation Science</w:t>
      </w:r>
      <w:r w:rsidRPr="0022444E">
        <w:rPr>
          <w:rFonts w:ascii="Arial" w:eastAsia="Calibri" w:hAnsi="Arial" w:cs="Arial"/>
          <w:sz w:val="20"/>
          <w:szCs w:val="20"/>
        </w:rPr>
        <w:t xml:space="preserve">, 25(1). </w:t>
      </w:r>
      <w:hyperlink r:id="rId22" w:tgtFrame="_new" w:history="1">
        <w:r w:rsidRPr="0022444E">
          <w:rPr>
            <w:rStyle w:val="Hyperlink"/>
            <w:rFonts w:ascii="Arial" w:eastAsia="Calibri" w:hAnsi="Arial" w:cs="Arial"/>
            <w:sz w:val="20"/>
            <w:szCs w:val="20"/>
          </w:rPr>
          <w:t>https://ijcs.ro/public/IJCS-25-01_14_Triyanti.pdf</w:t>
        </w:r>
      </w:hyperlink>
    </w:p>
    <w:p w14:paraId="58130FE3" w14:textId="77777777" w:rsidR="00ED71E0" w:rsidRPr="004A3752" w:rsidRDefault="00ED71E0" w:rsidP="0022444E">
      <w:pPr>
        <w:spacing w:after="0" w:line="240" w:lineRule="auto"/>
        <w:ind w:left="709" w:right="0" w:hanging="709"/>
        <w:rPr>
          <w:rFonts w:ascii="Arial" w:eastAsia="Calibri" w:hAnsi="Arial" w:cs="Arial"/>
          <w:sz w:val="20"/>
          <w:szCs w:val="20"/>
        </w:rPr>
      </w:pPr>
    </w:p>
    <w:p w14:paraId="5962176A" w14:textId="77777777" w:rsidR="00ED71E0" w:rsidRPr="004A3752" w:rsidRDefault="00ED71E0" w:rsidP="00C209F2">
      <w:pPr>
        <w:spacing w:after="0" w:line="240" w:lineRule="auto"/>
        <w:ind w:left="0" w:right="0" w:firstLine="0"/>
        <w:jc w:val="left"/>
        <w:rPr>
          <w:rFonts w:ascii="Arial" w:eastAsia="Calibri" w:hAnsi="Arial" w:cs="Arial"/>
          <w:sz w:val="20"/>
          <w:szCs w:val="20"/>
        </w:rPr>
      </w:pPr>
    </w:p>
    <w:p w14:paraId="7A4944D0" w14:textId="77777777" w:rsidR="00ED71E0" w:rsidRPr="004A3752" w:rsidRDefault="00ED71E0" w:rsidP="00C209F2">
      <w:pPr>
        <w:spacing w:after="0" w:line="240" w:lineRule="auto"/>
        <w:ind w:left="0" w:right="0" w:firstLine="0"/>
        <w:jc w:val="left"/>
        <w:rPr>
          <w:rFonts w:ascii="Arial" w:eastAsia="Calibri" w:hAnsi="Arial" w:cs="Arial"/>
          <w:sz w:val="20"/>
          <w:szCs w:val="20"/>
        </w:rPr>
      </w:pPr>
    </w:p>
    <w:p w14:paraId="5C66D593" w14:textId="77777777" w:rsidR="00ED71E0" w:rsidRPr="004A3752" w:rsidRDefault="00ED71E0" w:rsidP="00C209F2">
      <w:pPr>
        <w:spacing w:after="0" w:line="240" w:lineRule="auto"/>
        <w:ind w:left="0" w:right="0" w:firstLine="0"/>
        <w:jc w:val="left"/>
        <w:rPr>
          <w:rFonts w:ascii="Arial" w:eastAsia="Calibri" w:hAnsi="Arial" w:cs="Arial"/>
          <w:sz w:val="20"/>
          <w:szCs w:val="20"/>
        </w:rPr>
      </w:pPr>
    </w:p>
    <w:p w14:paraId="07B8AF9A" w14:textId="77777777" w:rsidR="00ED71E0" w:rsidRPr="004A3752" w:rsidRDefault="00ED71E0" w:rsidP="00C209F2">
      <w:pPr>
        <w:spacing w:after="0" w:line="240" w:lineRule="auto"/>
        <w:ind w:left="0" w:right="0" w:firstLine="0"/>
        <w:jc w:val="left"/>
        <w:rPr>
          <w:rFonts w:ascii="Arial" w:eastAsia="Calibri" w:hAnsi="Arial" w:cs="Arial"/>
          <w:sz w:val="20"/>
          <w:szCs w:val="20"/>
        </w:rPr>
      </w:pPr>
    </w:p>
    <w:sectPr w:rsidR="00ED71E0" w:rsidRPr="004A3752" w:rsidSect="0062430F">
      <w:headerReference w:type="even" r:id="rId23"/>
      <w:headerReference w:type="default" r:id="rId24"/>
      <w:footerReference w:type="even" r:id="rId25"/>
      <w:footerReference w:type="default" r:id="rId26"/>
      <w:headerReference w:type="first" r:id="rId27"/>
      <w:footerReference w:type="first" r:id="rId28"/>
      <w:pgSz w:w="11906" w:h="16838"/>
      <w:pgMar w:top="1701" w:right="1418" w:bottom="1418" w:left="1985"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410F2" w14:textId="77777777" w:rsidR="00CD59A5" w:rsidRDefault="00CD59A5">
      <w:pPr>
        <w:spacing w:line="240" w:lineRule="auto"/>
      </w:pPr>
      <w:r>
        <w:separator/>
      </w:r>
    </w:p>
  </w:endnote>
  <w:endnote w:type="continuationSeparator" w:id="0">
    <w:p w14:paraId="62922FDF" w14:textId="77777777" w:rsidR="00CD59A5" w:rsidRDefault="00CD59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5ACDE" w14:textId="77777777" w:rsidR="00C2269B" w:rsidRDefault="00C22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6212416"/>
      <w:docPartObj>
        <w:docPartGallery w:val="Page Numbers (Bottom of Page)"/>
        <w:docPartUnique/>
      </w:docPartObj>
    </w:sdtPr>
    <w:sdtEndPr>
      <w:rPr>
        <w:noProof/>
      </w:rPr>
    </w:sdtEndPr>
    <w:sdtContent>
      <w:p w14:paraId="2873BD90" w14:textId="1101C7BB" w:rsidR="00EF48A1" w:rsidRDefault="00EF48A1">
        <w:pPr>
          <w:pStyle w:val="Footer"/>
          <w:jc w:val="right"/>
        </w:pPr>
        <w:r>
          <w:fldChar w:fldCharType="begin"/>
        </w:r>
        <w:r>
          <w:instrText xml:space="preserve"> PAGE   \* MERGEFORMAT </w:instrText>
        </w:r>
        <w:r>
          <w:fldChar w:fldCharType="separate"/>
        </w:r>
        <w:r w:rsidR="00016246">
          <w:rPr>
            <w:noProof/>
          </w:rPr>
          <w:t>76</w:t>
        </w:r>
        <w:r>
          <w:rPr>
            <w:noProof/>
          </w:rPr>
          <w:fldChar w:fldCharType="end"/>
        </w:r>
      </w:p>
    </w:sdtContent>
  </w:sdt>
  <w:p w14:paraId="7B3BFF19" w14:textId="77777777" w:rsidR="00EF48A1" w:rsidRPr="00D167B3" w:rsidRDefault="00EF48A1" w:rsidP="00D167B3">
    <w:pPr>
      <w:pStyle w:val="Footer"/>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88D47" w14:textId="77777777" w:rsidR="00C2269B" w:rsidRDefault="00C22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28E21" w14:textId="77777777" w:rsidR="00CD59A5" w:rsidRDefault="00CD59A5">
      <w:pPr>
        <w:spacing w:after="0"/>
      </w:pPr>
      <w:r>
        <w:separator/>
      </w:r>
    </w:p>
  </w:footnote>
  <w:footnote w:type="continuationSeparator" w:id="0">
    <w:p w14:paraId="2F4F777F" w14:textId="77777777" w:rsidR="00CD59A5" w:rsidRDefault="00CD59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A7923" w14:textId="68F46ACC" w:rsidR="00C2269B" w:rsidRDefault="00C226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3FCAD" w14:textId="03B1F55F" w:rsidR="00C2269B" w:rsidRDefault="00C226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91027" w14:textId="5F29FDA4" w:rsidR="00C2269B" w:rsidRDefault="00C226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56694"/>
    <w:multiLevelType w:val="multilevel"/>
    <w:tmpl w:val="0244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E84DB7"/>
    <w:multiLevelType w:val="multilevel"/>
    <w:tmpl w:val="51B03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762F8C"/>
    <w:multiLevelType w:val="multilevel"/>
    <w:tmpl w:val="A74A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662702"/>
    <w:multiLevelType w:val="multilevel"/>
    <w:tmpl w:val="68F0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0B62D2"/>
    <w:multiLevelType w:val="multilevel"/>
    <w:tmpl w:val="9FCE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D24BDB"/>
    <w:multiLevelType w:val="hybridMultilevel"/>
    <w:tmpl w:val="D1484338"/>
    <w:lvl w:ilvl="0" w:tplc="0D28F7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E834CB"/>
    <w:multiLevelType w:val="multilevel"/>
    <w:tmpl w:val="064A9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0"/>
  </w:num>
  <w:num w:numId="4">
    <w:abstractNumId w:val="6"/>
  </w:num>
  <w:num w:numId="5">
    <w:abstractNumId w:val="3"/>
  </w:num>
  <w:num w:numId="6">
    <w:abstractNumId w:val="1"/>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18A"/>
    <w:rsid w:val="000003F0"/>
    <w:rsid w:val="000023CB"/>
    <w:rsid w:val="00010569"/>
    <w:rsid w:val="00016246"/>
    <w:rsid w:val="00021B43"/>
    <w:rsid w:val="00030A55"/>
    <w:rsid w:val="00046C87"/>
    <w:rsid w:val="00057654"/>
    <w:rsid w:val="00090F8D"/>
    <w:rsid w:val="000A1142"/>
    <w:rsid w:val="000A6D5D"/>
    <w:rsid w:val="000B184E"/>
    <w:rsid w:val="000B653E"/>
    <w:rsid w:val="000C133F"/>
    <w:rsid w:val="000C6252"/>
    <w:rsid w:val="000C6579"/>
    <w:rsid w:val="000F0F0C"/>
    <w:rsid w:val="000F3035"/>
    <w:rsid w:val="0010425A"/>
    <w:rsid w:val="0011268C"/>
    <w:rsid w:val="00126AD5"/>
    <w:rsid w:val="00127059"/>
    <w:rsid w:val="00164CF9"/>
    <w:rsid w:val="001806C4"/>
    <w:rsid w:val="00196FE4"/>
    <w:rsid w:val="001A1634"/>
    <w:rsid w:val="001A2431"/>
    <w:rsid w:val="001A6F10"/>
    <w:rsid w:val="001C4128"/>
    <w:rsid w:val="001C77E1"/>
    <w:rsid w:val="001E1625"/>
    <w:rsid w:val="001E3C78"/>
    <w:rsid w:val="001F3502"/>
    <w:rsid w:val="001F5472"/>
    <w:rsid w:val="0020606C"/>
    <w:rsid w:val="00215D3A"/>
    <w:rsid w:val="00216F91"/>
    <w:rsid w:val="00221AAD"/>
    <w:rsid w:val="0022444E"/>
    <w:rsid w:val="00224E82"/>
    <w:rsid w:val="00225469"/>
    <w:rsid w:val="00253224"/>
    <w:rsid w:val="002539F5"/>
    <w:rsid w:val="002600F8"/>
    <w:rsid w:val="002622FB"/>
    <w:rsid w:val="00264C53"/>
    <w:rsid w:val="00274246"/>
    <w:rsid w:val="0028202A"/>
    <w:rsid w:val="00285218"/>
    <w:rsid w:val="002901A6"/>
    <w:rsid w:val="002A275C"/>
    <w:rsid w:val="002A28BB"/>
    <w:rsid w:val="002A4907"/>
    <w:rsid w:val="002A4FAB"/>
    <w:rsid w:val="002A5A79"/>
    <w:rsid w:val="002A7E7A"/>
    <w:rsid w:val="002B2E17"/>
    <w:rsid w:val="002B7EAC"/>
    <w:rsid w:val="002C0EB8"/>
    <w:rsid w:val="002D46A4"/>
    <w:rsid w:val="002E6A38"/>
    <w:rsid w:val="0031018D"/>
    <w:rsid w:val="003117A1"/>
    <w:rsid w:val="00311DFD"/>
    <w:rsid w:val="00312D8E"/>
    <w:rsid w:val="00315093"/>
    <w:rsid w:val="00321B30"/>
    <w:rsid w:val="00344D40"/>
    <w:rsid w:val="0035020F"/>
    <w:rsid w:val="00355784"/>
    <w:rsid w:val="00355D59"/>
    <w:rsid w:val="003605FA"/>
    <w:rsid w:val="00362646"/>
    <w:rsid w:val="00374CDD"/>
    <w:rsid w:val="00377140"/>
    <w:rsid w:val="00381A2A"/>
    <w:rsid w:val="00385193"/>
    <w:rsid w:val="00387398"/>
    <w:rsid w:val="0039312C"/>
    <w:rsid w:val="00394F37"/>
    <w:rsid w:val="00397045"/>
    <w:rsid w:val="003A1F9E"/>
    <w:rsid w:val="003B2A3B"/>
    <w:rsid w:val="003C3F20"/>
    <w:rsid w:val="003D11F4"/>
    <w:rsid w:val="003E2AA2"/>
    <w:rsid w:val="00405979"/>
    <w:rsid w:val="004108FE"/>
    <w:rsid w:val="00426B1D"/>
    <w:rsid w:val="00431CA4"/>
    <w:rsid w:val="00432FBC"/>
    <w:rsid w:val="00440407"/>
    <w:rsid w:val="004444F4"/>
    <w:rsid w:val="004516F2"/>
    <w:rsid w:val="004553A3"/>
    <w:rsid w:val="00455B07"/>
    <w:rsid w:val="0046178A"/>
    <w:rsid w:val="00462B9A"/>
    <w:rsid w:val="00463192"/>
    <w:rsid w:val="00471AC6"/>
    <w:rsid w:val="00473CC1"/>
    <w:rsid w:val="00496BFF"/>
    <w:rsid w:val="004A3752"/>
    <w:rsid w:val="004A7DAA"/>
    <w:rsid w:val="004B030D"/>
    <w:rsid w:val="004B33AC"/>
    <w:rsid w:val="004B52E4"/>
    <w:rsid w:val="004C78C9"/>
    <w:rsid w:val="004D1A55"/>
    <w:rsid w:val="004D4E3A"/>
    <w:rsid w:val="004D552C"/>
    <w:rsid w:val="004E071F"/>
    <w:rsid w:val="004E3306"/>
    <w:rsid w:val="004E48A1"/>
    <w:rsid w:val="004F156A"/>
    <w:rsid w:val="004F3895"/>
    <w:rsid w:val="004F7F8D"/>
    <w:rsid w:val="00502878"/>
    <w:rsid w:val="005049BF"/>
    <w:rsid w:val="00516060"/>
    <w:rsid w:val="005163A1"/>
    <w:rsid w:val="00516F2E"/>
    <w:rsid w:val="005208AD"/>
    <w:rsid w:val="0052681F"/>
    <w:rsid w:val="005269EB"/>
    <w:rsid w:val="00530482"/>
    <w:rsid w:val="00537985"/>
    <w:rsid w:val="00555C4F"/>
    <w:rsid w:val="005625B5"/>
    <w:rsid w:val="005676BD"/>
    <w:rsid w:val="005757B3"/>
    <w:rsid w:val="00577811"/>
    <w:rsid w:val="00585775"/>
    <w:rsid w:val="005A63C6"/>
    <w:rsid w:val="005B5A6B"/>
    <w:rsid w:val="005C058E"/>
    <w:rsid w:val="005C7AA3"/>
    <w:rsid w:val="005D23F4"/>
    <w:rsid w:val="005D4069"/>
    <w:rsid w:val="005E2591"/>
    <w:rsid w:val="00602BBE"/>
    <w:rsid w:val="00612ADF"/>
    <w:rsid w:val="0062253E"/>
    <w:rsid w:val="0062430F"/>
    <w:rsid w:val="0063170D"/>
    <w:rsid w:val="00633663"/>
    <w:rsid w:val="006407C5"/>
    <w:rsid w:val="0064757C"/>
    <w:rsid w:val="00657AB0"/>
    <w:rsid w:val="00660255"/>
    <w:rsid w:val="00667487"/>
    <w:rsid w:val="006A1EF0"/>
    <w:rsid w:val="006A4822"/>
    <w:rsid w:val="006B5633"/>
    <w:rsid w:val="006C3994"/>
    <w:rsid w:val="006D5295"/>
    <w:rsid w:val="006D6A78"/>
    <w:rsid w:val="006E084E"/>
    <w:rsid w:val="006E5F42"/>
    <w:rsid w:val="006F0BDC"/>
    <w:rsid w:val="006F596B"/>
    <w:rsid w:val="007108FC"/>
    <w:rsid w:val="007228C1"/>
    <w:rsid w:val="0074039A"/>
    <w:rsid w:val="00742FE5"/>
    <w:rsid w:val="00746F9B"/>
    <w:rsid w:val="00747113"/>
    <w:rsid w:val="0075418A"/>
    <w:rsid w:val="007771D7"/>
    <w:rsid w:val="00777BCD"/>
    <w:rsid w:val="00783E0D"/>
    <w:rsid w:val="00783E22"/>
    <w:rsid w:val="007843B0"/>
    <w:rsid w:val="007934E1"/>
    <w:rsid w:val="007A2766"/>
    <w:rsid w:val="007A3BA0"/>
    <w:rsid w:val="007A666D"/>
    <w:rsid w:val="007A6C05"/>
    <w:rsid w:val="007B33B8"/>
    <w:rsid w:val="007B3B2A"/>
    <w:rsid w:val="007D27F6"/>
    <w:rsid w:val="007D54DE"/>
    <w:rsid w:val="007F0145"/>
    <w:rsid w:val="007F7285"/>
    <w:rsid w:val="007F7DFC"/>
    <w:rsid w:val="008025DF"/>
    <w:rsid w:val="00812999"/>
    <w:rsid w:val="00830390"/>
    <w:rsid w:val="0083341A"/>
    <w:rsid w:val="00836DFA"/>
    <w:rsid w:val="008413C3"/>
    <w:rsid w:val="00850CA8"/>
    <w:rsid w:val="00854122"/>
    <w:rsid w:val="00875EB1"/>
    <w:rsid w:val="008779FA"/>
    <w:rsid w:val="00883609"/>
    <w:rsid w:val="008936E0"/>
    <w:rsid w:val="008B208F"/>
    <w:rsid w:val="008D7AE4"/>
    <w:rsid w:val="008F291E"/>
    <w:rsid w:val="008F2EDB"/>
    <w:rsid w:val="008F6179"/>
    <w:rsid w:val="00900427"/>
    <w:rsid w:val="009004F6"/>
    <w:rsid w:val="00922D54"/>
    <w:rsid w:val="00925549"/>
    <w:rsid w:val="00932204"/>
    <w:rsid w:val="00943701"/>
    <w:rsid w:val="00956177"/>
    <w:rsid w:val="00965C25"/>
    <w:rsid w:val="009670FB"/>
    <w:rsid w:val="00972434"/>
    <w:rsid w:val="00973E0C"/>
    <w:rsid w:val="00974A59"/>
    <w:rsid w:val="009753D6"/>
    <w:rsid w:val="00981BB3"/>
    <w:rsid w:val="009869BE"/>
    <w:rsid w:val="0098734E"/>
    <w:rsid w:val="009969D4"/>
    <w:rsid w:val="009A23C7"/>
    <w:rsid w:val="009B0026"/>
    <w:rsid w:val="009B193B"/>
    <w:rsid w:val="009B3147"/>
    <w:rsid w:val="009B3D48"/>
    <w:rsid w:val="009B738F"/>
    <w:rsid w:val="009C0C19"/>
    <w:rsid w:val="009C30B4"/>
    <w:rsid w:val="009C790E"/>
    <w:rsid w:val="009F4516"/>
    <w:rsid w:val="00A01528"/>
    <w:rsid w:val="00A0328A"/>
    <w:rsid w:val="00A0354B"/>
    <w:rsid w:val="00A16742"/>
    <w:rsid w:val="00A20078"/>
    <w:rsid w:val="00A30FD0"/>
    <w:rsid w:val="00A31813"/>
    <w:rsid w:val="00A324B0"/>
    <w:rsid w:val="00A35947"/>
    <w:rsid w:val="00A3758A"/>
    <w:rsid w:val="00A40E7B"/>
    <w:rsid w:val="00A475E9"/>
    <w:rsid w:val="00A5295A"/>
    <w:rsid w:val="00A54BF4"/>
    <w:rsid w:val="00A54F67"/>
    <w:rsid w:val="00A66FF6"/>
    <w:rsid w:val="00A71AEC"/>
    <w:rsid w:val="00A7372A"/>
    <w:rsid w:val="00A8485D"/>
    <w:rsid w:val="00A8747E"/>
    <w:rsid w:val="00A96060"/>
    <w:rsid w:val="00AA38E1"/>
    <w:rsid w:val="00AA6E09"/>
    <w:rsid w:val="00AB1730"/>
    <w:rsid w:val="00AB1FF8"/>
    <w:rsid w:val="00AB41D5"/>
    <w:rsid w:val="00AB4657"/>
    <w:rsid w:val="00AB48C0"/>
    <w:rsid w:val="00AC46AB"/>
    <w:rsid w:val="00AC720F"/>
    <w:rsid w:val="00AF443D"/>
    <w:rsid w:val="00B3283A"/>
    <w:rsid w:val="00B36CC9"/>
    <w:rsid w:val="00B40F20"/>
    <w:rsid w:val="00B510EA"/>
    <w:rsid w:val="00B640CF"/>
    <w:rsid w:val="00B73970"/>
    <w:rsid w:val="00B779A8"/>
    <w:rsid w:val="00B83586"/>
    <w:rsid w:val="00B86223"/>
    <w:rsid w:val="00B957C4"/>
    <w:rsid w:val="00B960BD"/>
    <w:rsid w:val="00BA4CF7"/>
    <w:rsid w:val="00BB33ED"/>
    <w:rsid w:val="00BB5765"/>
    <w:rsid w:val="00BC005F"/>
    <w:rsid w:val="00BC22D6"/>
    <w:rsid w:val="00BD3429"/>
    <w:rsid w:val="00BD3951"/>
    <w:rsid w:val="00BD7490"/>
    <w:rsid w:val="00BE7F6B"/>
    <w:rsid w:val="00BF1F9F"/>
    <w:rsid w:val="00C036C9"/>
    <w:rsid w:val="00C064E1"/>
    <w:rsid w:val="00C10E7A"/>
    <w:rsid w:val="00C209F2"/>
    <w:rsid w:val="00C2269B"/>
    <w:rsid w:val="00C42811"/>
    <w:rsid w:val="00C500B4"/>
    <w:rsid w:val="00C51D1F"/>
    <w:rsid w:val="00C77038"/>
    <w:rsid w:val="00C93195"/>
    <w:rsid w:val="00CB3F38"/>
    <w:rsid w:val="00CD19C3"/>
    <w:rsid w:val="00CD59A5"/>
    <w:rsid w:val="00CD6B00"/>
    <w:rsid w:val="00CE3024"/>
    <w:rsid w:val="00D00AF8"/>
    <w:rsid w:val="00D167B3"/>
    <w:rsid w:val="00D22F79"/>
    <w:rsid w:val="00D24EA8"/>
    <w:rsid w:val="00D31BFB"/>
    <w:rsid w:val="00D4312D"/>
    <w:rsid w:val="00D5210D"/>
    <w:rsid w:val="00D52F5A"/>
    <w:rsid w:val="00D54FCD"/>
    <w:rsid w:val="00D63A4F"/>
    <w:rsid w:val="00D65FA9"/>
    <w:rsid w:val="00D741C9"/>
    <w:rsid w:val="00D742E9"/>
    <w:rsid w:val="00D83CE8"/>
    <w:rsid w:val="00D97C2C"/>
    <w:rsid w:val="00DC1B96"/>
    <w:rsid w:val="00DC381A"/>
    <w:rsid w:val="00DD2F6C"/>
    <w:rsid w:val="00DE0532"/>
    <w:rsid w:val="00DE3C96"/>
    <w:rsid w:val="00DE653A"/>
    <w:rsid w:val="00DE7CC7"/>
    <w:rsid w:val="00DF08D3"/>
    <w:rsid w:val="00DF0AE1"/>
    <w:rsid w:val="00DF2AFA"/>
    <w:rsid w:val="00DF4FCF"/>
    <w:rsid w:val="00E026A8"/>
    <w:rsid w:val="00E041AD"/>
    <w:rsid w:val="00E04D39"/>
    <w:rsid w:val="00E14672"/>
    <w:rsid w:val="00E221F3"/>
    <w:rsid w:val="00E24FA8"/>
    <w:rsid w:val="00E25B86"/>
    <w:rsid w:val="00E26524"/>
    <w:rsid w:val="00E36D36"/>
    <w:rsid w:val="00E552BF"/>
    <w:rsid w:val="00E711D9"/>
    <w:rsid w:val="00E74A94"/>
    <w:rsid w:val="00E7797F"/>
    <w:rsid w:val="00E83F2B"/>
    <w:rsid w:val="00E9361F"/>
    <w:rsid w:val="00E962D0"/>
    <w:rsid w:val="00EA3D41"/>
    <w:rsid w:val="00EA67CA"/>
    <w:rsid w:val="00EC7696"/>
    <w:rsid w:val="00ED71E0"/>
    <w:rsid w:val="00EE210B"/>
    <w:rsid w:val="00EF48A1"/>
    <w:rsid w:val="00EF7560"/>
    <w:rsid w:val="00F11ED2"/>
    <w:rsid w:val="00F1481E"/>
    <w:rsid w:val="00F17F4D"/>
    <w:rsid w:val="00F27A14"/>
    <w:rsid w:val="00F33249"/>
    <w:rsid w:val="00F33853"/>
    <w:rsid w:val="00F33ED3"/>
    <w:rsid w:val="00F3541C"/>
    <w:rsid w:val="00F35B6B"/>
    <w:rsid w:val="00F52A20"/>
    <w:rsid w:val="00F5678C"/>
    <w:rsid w:val="00F57E94"/>
    <w:rsid w:val="00F66BD1"/>
    <w:rsid w:val="00F764F6"/>
    <w:rsid w:val="00F87E0B"/>
    <w:rsid w:val="00FA232C"/>
    <w:rsid w:val="00FA3933"/>
    <w:rsid w:val="00FA7608"/>
    <w:rsid w:val="00FC2609"/>
    <w:rsid w:val="00FD07B5"/>
    <w:rsid w:val="00FD2CA3"/>
    <w:rsid w:val="00FE7B62"/>
    <w:rsid w:val="00FF7776"/>
    <w:rsid w:val="01BA32F6"/>
    <w:rsid w:val="0288005D"/>
    <w:rsid w:val="029F4AC0"/>
    <w:rsid w:val="02D335C0"/>
    <w:rsid w:val="032376D4"/>
    <w:rsid w:val="034E6E09"/>
    <w:rsid w:val="04232252"/>
    <w:rsid w:val="05460D4A"/>
    <w:rsid w:val="05686084"/>
    <w:rsid w:val="05DF20B2"/>
    <w:rsid w:val="061D4115"/>
    <w:rsid w:val="0724622F"/>
    <w:rsid w:val="07E039C3"/>
    <w:rsid w:val="08CB5FF3"/>
    <w:rsid w:val="097E4AF5"/>
    <w:rsid w:val="09A52081"/>
    <w:rsid w:val="0A4941EF"/>
    <w:rsid w:val="0A5559A2"/>
    <w:rsid w:val="0A65232D"/>
    <w:rsid w:val="0A921227"/>
    <w:rsid w:val="0B8A2D31"/>
    <w:rsid w:val="0C4665FF"/>
    <w:rsid w:val="0C96178A"/>
    <w:rsid w:val="0CC75506"/>
    <w:rsid w:val="0D981B71"/>
    <w:rsid w:val="0D9C4439"/>
    <w:rsid w:val="0DDD698C"/>
    <w:rsid w:val="0F576E3B"/>
    <w:rsid w:val="10782796"/>
    <w:rsid w:val="113371CA"/>
    <w:rsid w:val="11370BAC"/>
    <w:rsid w:val="11B12D1A"/>
    <w:rsid w:val="1295613A"/>
    <w:rsid w:val="13AD22B9"/>
    <w:rsid w:val="140573C7"/>
    <w:rsid w:val="140A2DF4"/>
    <w:rsid w:val="1432772F"/>
    <w:rsid w:val="14375946"/>
    <w:rsid w:val="14C51315"/>
    <w:rsid w:val="15152792"/>
    <w:rsid w:val="154C6888"/>
    <w:rsid w:val="17605A54"/>
    <w:rsid w:val="178E00A9"/>
    <w:rsid w:val="189D42EF"/>
    <w:rsid w:val="194C3A59"/>
    <w:rsid w:val="1A6F586F"/>
    <w:rsid w:val="1AD317FB"/>
    <w:rsid w:val="1B067919"/>
    <w:rsid w:val="1CE03A6F"/>
    <w:rsid w:val="1DA62AB3"/>
    <w:rsid w:val="1EA8168A"/>
    <w:rsid w:val="1FB37AB5"/>
    <w:rsid w:val="1FF70178"/>
    <w:rsid w:val="20080B41"/>
    <w:rsid w:val="20384DD1"/>
    <w:rsid w:val="20B375B6"/>
    <w:rsid w:val="20C27146"/>
    <w:rsid w:val="215D4173"/>
    <w:rsid w:val="217A5935"/>
    <w:rsid w:val="220E1B6A"/>
    <w:rsid w:val="22202036"/>
    <w:rsid w:val="22757345"/>
    <w:rsid w:val="228334F5"/>
    <w:rsid w:val="229473C8"/>
    <w:rsid w:val="22C20A9A"/>
    <w:rsid w:val="22EC714C"/>
    <w:rsid w:val="22EE7929"/>
    <w:rsid w:val="23937564"/>
    <w:rsid w:val="242768F4"/>
    <w:rsid w:val="24487DB4"/>
    <w:rsid w:val="24541F9A"/>
    <w:rsid w:val="245D5539"/>
    <w:rsid w:val="247526A3"/>
    <w:rsid w:val="25AA580C"/>
    <w:rsid w:val="25AD716A"/>
    <w:rsid w:val="263F38B9"/>
    <w:rsid w:val="265E05EC"/>
    <w:rsid w:val="26D44545"/>
    <w:rsid w:val="26ED37EA"/>
    <w:rsid w:val="27C77E5A"/>
    <w:rsid w:val="284550A0"/>
    <w:rsid w:val="287E2C7B"/>
    <w:rsid w:val="28BD1DA5"/>
    <w:rsid w:val="2AA45E84"/>
    <w:rsid w:val="2ACA2454"/>
    <w:rsid w:val="2C4C2190"/>
    <w:rsid w:val="2CAC6259"/>
    <w:rsid w:val="2CFE0E20"/>
    <w:rsid w:val="2D3A49D4"/>
    <w:rsid w:val="2D46639B"/>
    <w:rsid w:val="2E252E1B"/>
    <w:rsid w:val="2E695537"/>
    <w:rsid w:val="2EA86C47"/>
    <w:rsid w:val="2F624880"/>
    <w:rsid w:val="2F8F2CE2"/>
    <w:rsid w:val="2FF428C6"/>
    <w:rsid w:val="30BF2624"/>
    <w:rsid w:val="31144BA0"/>
    <w:rsid w:val="31D02857"/>
    <w:rsid w:val="32440E3B"/>
    <w:rsid w:val="328A7774"/>
    <w:rsid w:val="32D443C1"/>
    <w:rsid w:val="33950623"/>
    <w:rsid w:val="3493359C"/>
    <w:rsid w:val="34A73C1B"/>
    <w:rsid w:val="364F7B38"/>
    <w:rsid w:val="36E622E4"/>
    <w:rsid w:val="376D131B"/>
    <w:rsid w:val="379970E7"/>
    <w:rsid w:val="37F2545B"/>
    <w:rsid w:val="393A2C8F"/>
    <w:rsid w:val="39451D79"/>
    <w:rsid w:val="39FF46EB"/>
    <w:rsid w:val="3A034B90"/>
    <w:rsid w:val="3A2A5236"/>
    <w:rsid w:val="3A3C4C0C"/>
    <w:rsid w:val="3B4F55B0"/>
    <w:rsid w:val="3C710B39"/>
    <w:rsid w:val="3D446913"/>
    <w:rsid w:val="3D945769"/>
    <w:rsid w:val="3D960D58"/>
    <w:rsid w:val="3E7D136D"/>
    <w:rsid w:val="3F0C2558"/>
    <w:rsid w:val="40F804C3"/>
    <w:rsid w:val="41A05EB7"/>
    <w:rsid w:val="41C200E6"/>
    <w:rsid w:val="42CC44D4"/>
    <w:rsid w:val="43F66DFD"/>
    <w:rsid w:val="4571109B"/>
    <w:rsid w:val="45EE77CB"/>
    <w:rsid w:val="46654E8C"/>
    <w:rsid w:val="46AB48B8"/>
    <w:rsid w:val="46BF5A13"/>
    <w:rsid w:val="479204B8"/>
    <w:rsid w:val="47974A95"/>
    <w:rsid w:val="47EB3D8E"/>
    <w:rsid w:val="48FB18AB"/>
    <w:rsid w:val="498F08C4"/>
    <w:rsid w:val="49DF5835"/>
    <w:rsid w:val="4A113096"/>
    <w:rsid w:val="4B114136"/>
    <w:rsid w:val="4B9C543C"/>
    <w:rsid w:val="4BF8165D"/>
    <w:rsid w:val="4C2D2789"/>
    <w:rsid w:val="4D4C5E27"/>
    <w:rsid w:val="4E3F6736"/>
    <w:rsid w:val="4F2F65F9"/>
    <w:rsid w:val="4F360E47"/>
    <w:rsid w:val="4F871EEB"/>
    <w:rsid w:val="4FB244B3"/>
    <w:rsid w:val="506C7087"/>
    <w:rsid w:val="50AB4968"/>
    <w:rsid w:val="51045325"/>
    <w:rsid w:val="514F3995"/>
    <w:rsid w:val="5181200D"/>
    <w:rsid w:val="529B1081"/>
    <w:rsid w:val="52C5705F"/>
    <w:rsid w:val="53462A7C"/>
    <w:rsid w:val="5347566F"/>
    <w:rsid w:val="54346ED8"/>
    <w:rsid w:val="545952F2"/>
    <w:rsid w:val="54DF4F33"/>
    <w:rsid w:val="54F73128"/>
    <w:rsid w:val="55B320B7"/>
    <w:rsid w:val="55C573F5"/>
    <w:rsid w:val="581715A8"/>
    <w:rsid w:val="583F5260"/>
    <w:rsid w:val="585C3BC5"/>
    <w:rsid w:val="5A1F3E5B"/>
    <w:rsid w:val="5A6F50B4"/>
    <w:rsid w:val="5AAA37F6"/>
    <w:rsid w:val="5C4A194A"/>
    <w:rsid w:val="5CFB06F8"/>
    <w:rsid w:val="5D175A25"/>
    <w:rsid w:val="5D7960AC"/>
    <w:rsid w:val="5D8E7A68"/>
    <w:rsid w:val="5D8F3F53"/>
    <w:rsid w:val="5DB239C4"/>
    <w:rsid w:val="5E2A456E"/>
    <w:rsid w:val="5F700AE4"/>
    <w:rsid w:val="5F745C6B"/>
    <w:rsid w:val="60930394"/>
    <w:rsid w:val="614D1E12"/>
    <w:rsid w:val="6192240E"/>
    <w:rsid w:val="61D21384"/>
    <w:rsid w:val="62B971C4"/>
    <w:rsid w:val="630073FA"/>
    <w:rsid w:val="63AF6034"/>
    <w:rsid w:val="63BA1C4B"/>
    <w:rsid w:val="64643727"/>
    <w:rsid w:val="64BB30EB"/>
    <w:rsid w:val="650C30F6"/>
    <w:rsid w:val="65333705"/>
    <w:rsid w:val="664E0644"/>
    <w:rsid w:val="665E22FF"/>
    <w:rsid w:val="667224CD"/>
    <w:rsid w:val="66A81479"/>
    <w:rsid w:val="67BC5ABE"/>
    <w:rsid w:val="67C01548"/>
    <w:rsid w:val="67F51104"/>
    <w:rsid w:val="68F80F05"/>
    <w:rsid w:val="690D4166"/>
    <w:rsid w:val="69DB2A7D"/>
    <w:rsid w:val="6A041BA4"/>
    <w:rsid w:val="6A287C17"/>
    <w:rsid w:val="6A3E730D"/>
    <w:rsid w:val="6A446655"/>
    <w:rsid w:val="6BD741EE"/>
    <w:rsid w:val="6BDD2222"/>
    <w:rsid w:val="6C297F22"/>
    <w:rsid w:val="6C755D1A"/>
    <w:rsid w:val="6CEB2901"/>
    <w:rsid w:val="6D0B106B"/>
    <w:rsid w:val="6D2D3799"/>
    <w:rsid w:val="6D551E9D"/>
    <w:rsid w:val="6E337CDC"/>
    <w:rsid w:val="6EC51576"/>
    <w:rsid w:val="6F186216"/>
    <w:rsid w:val="6F2E56F2"/>
    <w:rsid w:val="6FE35454"/>
    <w:rsid w:val="701B5E32"/>
    <w:rsid w:val="7039132B"/>
    <w:rsid w:val="70A7734B"/>
    <w:rsid w:val="73214073"/>
    <w:rsid w:val="733C2471"/>
    <w:rsid w:val="73634E3F"/>
    <w:rsid w:val="73C86B65"/>
    <w:rsid w:val="746421C3"/>
    <w:rsid w:val="746F4C76"/>
    <w:rsid w:val="74E356F5"/>
    <w:rsid w:val="750F5452"/>
    <w:rsid w:val="76A10290"/>
    <w:rsid w:val="78E52E70"/>
    <w:rsid w:val="78F00B27"/>
    <w:rsid w:val="79224A93"/>
    <w:rsid w:val="792D62BA"/>
    <w:rsid w:val="79331824"/>
    <w:rsid w:val="7A471A2A"/>
    <w:rsid w:val="7A8C491B"/>
    <w:rsid w:val="7B461761"/>
    <w:rsid w:val="7B5E4E76"/>
    <w:rsid w:val="7BBC28EB"/>
    <w:rsid w:val="7C094B78"/>
    <w:rsid w:val="7D4E7FA1"/>
    <w:rsid w:val="7DDF0990"/>
    <w:rsid w:val="7E0272C8"/>
    <w:rsid w:val="7E512464"/>
    <w:rsid w:val="7E572496"/>
    <w:rsid w:val="7E5F5F8D"/>
    <w:rsid w:val="7E83694F"/>
    <w:rsid w:val="7F01100A"/>
    <w:rsid w:val="7F842698"/>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7DDA445"/>
  <w15:docId w15:val="{FCE47A0D-C4E2-4122-8BE6-26C055253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084E"/>
    <w:pPr>
      <w:spacing w:after="8" w:line="471" w:lineRule="auto"/>
      <w:ind w:left="10" w:right="2" w:hanging="10"/>
      <w:jc w:val="both"/>
    </w:pPr>
    <w:rPr>
      <w:rFonts w:eastAsia="Times New Roman"/>
      <w:color w:val="000000"/>
      <w:sz w:val="24"/>
      <w:szCs w:val="22"/>
    </w:rPr>
  </w:style>
  <w:style w:type="paragraph" w:styleId="Heading1">
    <w:name w:val="heading 1"/>
    <w:next w:val="Normal"/>
    <w:link w:val="Heading1Char"/>
    <w:uiPriority w:val="9"/>
    <w:unhideWhenUsed/>
    <w:qFormat/>
    <w:pPr>
      <w:keepNext/>
      <w:keepLines/>
      <w:spacing w:after="257" w:line="249" w:lineRule="auto"/>
      <w:ind w:left="10" w:right="5" w:hanging="10"/>
      <w:outlineLvl w:val="0"/>
    </w:pPr>
    <w:rPr>
      <w:rFonts w:eastAsia="Times New Roman"/>
      <w:b/>
      <w:color w:val="000000"/>
      <w:sz w:val="24"/>
      <w:szCs w:val="2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unhideWhenUsed/>
    <w:qFormat/>
    <w:pPr>
      <w:keepNext/>
      <w:keepLines/>
      <w:spacing w:before="320" w:after="120"/>
      <w:outlineLvl w:val="2"/>
    </w:pPr>
    <w:rPr>
      <w:rFonts w:eastAsiaTheme="majorEastAsia" w:cstheme="majorBidi"/>
      <w:b/>
      <w:bCs/>
    </w:rPr>
  </w:style>
  <w:style w:type="paragraph" w:styleId="Heading4">
    <w:name w:val="heading 4"/>
    <w:basedOn w:val="Normal"/>
    <w:next w:val="Normal"/>
    <w:uiPriority w:val="9"/>
    <w:unhideWhenUsed/>
    <w:qFormat/>
    <w:pPr>
      <w:keepNext/>
      <w:keepLines/>
      <w:spacing w:before="240" w:after="240" w:line="240" w:lineRule="auto"/>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D22F7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Cs w:val="24"/>
    </w:rPr>
  </w:style>
  <w:style w:type="paragraph" w:styleId="CommentText">
    <w:name w:val="annotation text"/>
    <w:basedOn w:val="Normal"/>
    <w:uiPriority w:val="99"/>
    <w:semiHidden/>
    <w:unhideWhenUsed/>
    <w:qFormat/>
    <w:pPr>
      <w:jc w:val="left"/>
    </w:p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uiPriority w:val="99"/>
    <w:unhideWhenUsed/>
    <w:qFormat/>
    <w:pPr>
      <w:tabs>
        <w:tab w:val="center" w:pos="4153"/>
        <w:tab w:val="right" w:pos="8306"/>
      </w:tabs>
      <w:snapToGrid w:val="0"/>
    </w:pPr>
    <w:rPr>
      <w:sz w:val="18"/>
      <w:szCs w:val="18"/>
    </w:rPr>
  </w:style>
  <w:style w:type="paragraph" w:styleId="HTMLPreformatted">
    <w:name w:val="HTML Preformatted"/>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paragraph" w:styleId="NormalWeb">
    <w:name w:val="Normal (Web)"/>
    <w:basedOn w:val="Normal"/>
    <w:uiPriority w:val="99"/>
    <w:semiHidden/>
    <w:unhideWhenUsed/>
    <w:qFormat/>
    <w:rPr>
      <w:szCs w:val="24"/>
    </w:rPr>
  </w:style>
  <w:style w:type="character" w:styleId="Strong">
    <w:name w:val="Strong"/>
    <w:basedOn w:val="DefaultParagraphFont"/>
    <w:uiPriority w:val="22"/>
    <w:qFormat/>
    <w:rPr>
      <w:b/>
      <w:bCs/>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color w:val="000000"/>
      <w:sz w:val="24"/>
      <w:lang w:val="en-US"/>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365F91" w:themeColor="accent1" w:themeShade="BF"/>
      <w:sz w:val="26"/>
      <w:szCs w:val="26"/>
      <w:lang w:val="en-US"/>
    </w:rPr>
  </w:style>
  <w:style w:type="paragraph" w:styleId="ListParagraph">
    <w:name w:val="List Paragraph"/>
    <w:basedOn w:val="Normal"/>
    <w:uiPriority w:val="34"/>
    <w:qFormat/>
    <w:pPr>
      <w:ind w:left="975" w:hanging="360"/>
    </w:pPr>
  </w:style>
  <w:style w:type="paragraph" w:customStyle="1" w:styleId="TableParagraph">
    <w:name w:val="Table Paragraph"/>
    <w:basedOn w:val="Normal"/>
    <w:uiPriority w:val="1"/>
    <w:qFormat/>
  </w:style>
  <w:style w:type="character" w:customStyle="1" w:styleId="FooterChar">
    <w:name w:val="Footer Char"/>
    <w:basedOn w:val="DefaultParagraphFont"/>
    <w:link w:val="Footer"/>
    <w:uiPriority w:val="99"/>
    <w:rsid w:val="00221AAD"/>
    <w:rPr>
      <w:rFonts w:eastAsia="Times New Roman"/>
      <w:color w:val="000000"/>
      <w:sz w:val="18"/>
      <w:szCs w:val="18"/>
    </w:rPr>
  </w:style>
  <w:style w:type="paragraph" w:styleId="BalloonText">
    <w:name w:val="Balloon Text"/>
    <w:basedOn w:val="Normal"/>
    <w:link w:val="BalloonTextChar"/>
    <w:uiPriority w:val="99"/>
    <w:semiHidden/>
    <w:unhideWhenUsed/>
    <w:rsid w:val="00F57E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E94"/>
    <w:rPr>
      <w:rFonts w:ascii="Segoe UI" w:eastAsia="Times New Roman" w:hAnsi="Segoe UI" w:cs="Segoe UI"/>
      <w:color w:val="000000"/>
      <w:sz w:val="18"/>
      <w:szCs w:val="18"/>
    </w:rPr>
  </w:style>
  <w:style w:type="character" w:styleId="Hyperlink">
    <w:name w:val="Hyperlink"/>
    <w:basedOn w:val="DefaultParagraphFont"/>
    <w:uiPriority w:val="99"/>
    <w:unhideWhenUsed/>
    <w:rsid w:val="000C6579"/>
    <w:rPr>
      <w:color w:val="0000FF" w:themeColor="hyperlink"/>
      <w:u w:val="single"/>
    </w:rPr>
  </w:style>
  <w:style w:type="character" w:styleId="FollowedHyperlink">
    <w:name w:val="FollowedHyperlink"/>
    <w:basedOn w:val="DefaultParagraphFont"/>
    <w:uiPriority w:val="99"/>
    <w:semiHidden/>
    <w:unhideWhenUsed/>
    <w:rsid w:val="00900427"/>
    <w:rPr>
      <w:color w:val="800080"/>
      <w:u w:val="single"/>
    </w:rPr>
  </w:style>
  <w:style w:type="character" w:customStyle="1" w:styleId="ts-alignment-element">
    <w:name w:val="ts-alignment-element"/>
    <w:basedOn w:val="DefaultParagraphFont"/>
    <w:rsid w:val="002622FB"/>
  </w:style>
  <w:style w:type="paragraph" w:styleId="TOCHeading">
    <w:name w:val="TOC Heading"/>
    <w:basedOn w:val="Heading1"/>
    <w:next w:val="Normal"/>
    <w:uiPriority w:val="39"/>
    <w:unhideWhenUsed/>
    <w:qFormat/>
    <w:rsid w:val="00667487"/>
    <w:pPr>
      <w:spacing w:before="240" w:after="0" w:line="259" w:lineRule="auto"/>
      <w:ind w:left="0" w:right="0" w:firstLine="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667487"/>
    <w:pPr>
      <w:tabs>
        <w:tab w:val="right" w:leader="dot" w:pos="8494"/>
      </w:tabs>
      <w:spacing w:after="0" w:line="240" w:lineRule="auto"/>
      <w:ind w:left="0" w:right="0" w:hanging="11"/>
    </w:pPr>
  </w:style>
  <w:style w:type="paragraph" w:styleId="TOC2">
    <w:name w:val="toc 2"/>
    <w:basedOn w:val="Normal"/>
    <w:next w:val="Normal"/>
    <w:autoRedefine/>
    <w:uiPriority w:val="39"/>
    <w:unhideWhenUsed/>
    <w:rsid w:val="00D52F5A"/>
    <w:pPr>
      <w:tabs>
        <w:tab w:val="left" w:pos="851"/>
        <w:tab w:val="right" w:leader="dot" w:pos="8494"/>
      </w:tabs>
      <w:spacing w:after="100"/>
      <w:ind w:left="240"/>
    </w:pPr>
  </w:style>
  <w:style w:type="paragraph" w:styleId="TOC3">
    <w:name w:val="toc 3"/>
    <w:basedOn w:val="Normal"/>
    <w:next w:val="Normal"/>
    <w:autoRedefine/>
    <w:uiPriority w:val="39"/>
    <w:unhideWhenUsed/>
    <w:rsid w:val="00667487"/>
    <w:pPr>
      <w:spacing w:after="100"/>
      <w:ind w:left="480"/>
    </w:pPr>
  </w:style>
  <w:style w:type="paragraph" w:styleId="Caption">
    <w:name w:val="caption"/>
    <w:basedOn w:val="Normal"/>
    <w:next w:val="Normal"/>
    <w:uiPriority w:val="35"/>
    <w:unhideWhenUsed/>
    <w:qFormat/>
    <w:rsid w:val="004108FE"/>
    <w:pPr>
      <w:spacing w:after="200" w:line="240" w:lineRule="auto"/>
    </w:pPr>
    <w:rPr>
      <w:i/>
      <w:iCs/>
      <w:color w:val="1F497D" w:themeColor="text2"/>
      <w:sz w:val="18"/>
      <w:szCs w:val="18"/>
    </w:rPr>
  </w:style>
  <w:style w:type="paragraph" w:styleId="TableofFigures">
    <w:name w:val="table of figures"/>
    <w:basedOn w:val="Normal"/>
    <w:next w:val="Normal"/>
    <w:uiPriority w:val="99"/>
    <w:unhideWhenUsed/>
    <w:rsid w:val="001F3502"/>
    <w:pPr>
      <w:spacing w:after="0"/>
      <w:ind w:left="0"/>
    </w:pPr>
  </w:style>
  <w:style w:type="table" w:styleId="TableGridLight">
    <w:name w:val="Grid Table Light"/>
    <w:basedOn w:val="TableNormal"/>
    <w:uiPriority w:val="40"/>
    <w:rsid w:val="006F596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471AC6"/>
    <w:rPr>
      <w:color w:val="605E5C"/>
      <w:shd w:val="clear" w:color="auto" w:fill="E1DFDD"/>
    </w:rPr>
  </w:style>
  <w:style w:type="character" w:customStyle="1" w:styleId="Heading5Char">
    <w:name w:val="Heading 5 Char"/>
    <w:basedOn w:val="DefaultParagraphFont"/>
    <w:link w:val="Heading5"/>
    <w:uiPriority w:val="9"/>
    <w:semiHidden/>
    <w:rsid w:val="00D22F79"/>
    <w:rPr>
      <w:rFonts w:asciiTheme="majorHAnsi" w:eastAsiaTheme="majorEastAsia" w:hAnsiTheme="majorHAnsi" w:cstheme="majorBidi"/>
      <w:color w:val="365F91" w:themeColor="accent1" w:themeShade="BF"/>
      <w:sz w:val="24"/>
      <w:szCs w:val="22"/>
    </w:rPr>
  </w:style>
  <w:style w:type="table" w:styleId="PlainTable1">
    <w:name w:val="Plain Table 1"/>
    <w:basedOn w:val="TableNormal"/>
    <w:uiPriority w:val="41"/>
    <w:rsid w:val="00D97C2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0297">
      <w:bodyDiv w:val="1"/>
      <w:marLeft w:val="0"/>
      <w:marRight w:val="0"/>
      <w:marTop w:val="0"/>
      <w:marBottom w:val="0"/>
      <w:divBdr>
        <w:top w:val="none" w:sz="0" w:space="0" w:color="auto"/>
        <w:left w:val="none" w:sz="0" w:space="0" w:color="auto"/>
        <w:bottom w:val="none" w:sz="0" w:space="0" w:color="auto"/>
        <w:right w:val="none" w:sz="0" w:space="0" w:color="auto"/>
      </w:divBdr>
    </w:div>
    <w:div w:id="16589492">
      <w:bodyDiv w:val="1"/>
      <w:marLeft w:val="0"/>
      <w:marRight w:val="0"/>
      <w:marTop w:val="0"/>
      <w:marBottom w:val="0"/>
      <w:divBdr>
        <w:top w:val="none" w:sz="0" w:space="0" w:color="auto"/>
        <w:left w:val="none" w:sz="0" w:space="0" w:color="auto"/>
        <w:bottom w:val="none" w:sz="0" w:space="0" w:color="auto"/>
        <w:right w:val="none" w:sz="0" w:space="0" w:color="auto"/>
      </w:divBdr>
    </w:div>
    <w:div w:id="53356798">
      <w:bodyDiv w:val="1"/>
      <w:marLeft w:val="0"/>
      <w:marRight w:val="0"/>
      <w:marTop w:val="0"/>
      <w:marBottom w:val="0"/>
      <w:divBdr>
        <w:top w:val="none" w:sz="0" w:space="0" w:color="auto"/>
        <w:left w:val="none" w:sz="0" w:space="0" w:color="auto"/>
        <w:bottom w:val="none" w:sz="0" w:space="0" w:color="auto"/>
        <w:right w:val="none" w:sz="0" w:space="0" w:color="auto"/>
      </w:divBdr>
    </w:div>
    <w:div w:id="64422968">
      <w:bodyDiv w:val="1"/>
      <w:marLeft w:val="0"/>
      <w:marRight w:val="0"/>
      <w:marTop w:val="0"/>
      <w:marBottom w:val="0"/>
      <w:divBdr>
        <w:top w:val="none" w:sz="0" w:space="0" w:color="auto"/>
        <w:left w:val="none" w:sz="0" w:space="0" w:color="auto"/>
        <w:bottom w:val="none" w:sz="0" w:space="0" w:color="auto"/>
        <w:right w:val="none" w:sz="0" w:space="0" w:color="auto"/>
      </w:divBdr>
    </w:div>
    <w:div w:id="107358322">
      <w:bodyDiv w:val="1"/>
      <w:marLeft w:val="0"/>
      <w:marRight w:val="0"/>
      <w:marTop w:val="0"/>
      <w:marBottom w:val="0"/>
      <w:divBdr>
        <w:top w:val="none" w:sz="0" w:space="0" w:color="auto"/>
        <w:left w:val="none" w:sz="0" w:space="0" w:color="auto"/>
        <w:bottom w:val="none" w:sz="0" w:space="0" w:color="auto"/>
        <w:right w:val="none" w:sz="0" w:space="0" w:color="auto"/>
      </w:divBdr>
    </w:div>
    <w:div w:id="118693487">
      <w:bodyDiv w:val="1"/>
      <w:marLeft w:val="0"/>
      <w:marRight w:val="0"/>
      <w:marTop w:val="0"/>
      <w:marBottom w:val="0"/>
      <w:divBdr>
        <w:top w:val="none" w:sz="0" w:space="0" w:color="auto"/>
        <w:left w:val="none" w:sz="0" w:space="0" w:color="auto"/>
        <w:bottom w:val="none" w:sz="0" w:space="0" w:color="auto"/>
        <w:right w:val="none" w:sz="0" w:space="0" w:color="auto"/>
      </w:divBdr>
    </w:div>
    <w:div w:id="131875877">
      <w:bodyDiv w:val="1"/>
      <w:marLeft w:val="0"/>
      <w:marRight w:val="0"/>
      <w:marTop w:val="0"/>
      <w:marBottom w:val="0"/>
      <w:divBdr>
        <w:top w:val="none" w:sz="0" w:space="0" w:color="auto"/>
        <w:left w:val="none" w:sz="0" w:space="0" w:color="auto"/>
        <w:bottom w:val="none" w:sz="0" w:space="0" w:color="auto"/>
        <w:right w:val="none" w:sz="0" w:space="0" w:color="auto"/>
      </w:divBdr>
    </w:div>
    <w:div w:id="152071532">
      <w:bodyDiv w:val="1"/>
      <w:marLeft w:val="0"/>
      <w:marRight w:val="0"/>
      <w:marTop w:val="0"/>
      <w:marBottom w:val="0"/>
      <w:divBdr>
        <w:top w:val="none" w:sz="0" w:space="0" w:color="auto"/>
        <w:left w:val="none" w:sz="0" w:space="0" w:color="auto"/>
        <w:bottom w:val="none" w:sz="0" w:space="0" w:color="auto"/>
        <w:right w:val="none" w:sz="0" w:space="0" w:color="auto"/>
      </w:divBdr>
    </w:div>
    <w:div w:id="217473970">
      <w:bodyDiv w:val="1"/>
      <w:marLeft w:val="0"/>
      <w:marRight w:val="0"/>
      <w:marTop w:val="0"/>
      <w:marBottom w:val="0"/>
      <w:divBdr>
        <w:top w:val="none" w:sz="0" w:space="0" w:color="auto"/>
        <w:left w:val="none" w:sz="0" w:space="0" w:color="auto"/>
        <w:bottom w:val="none" w:sz="0" w:space="0" w:color="auto"/>
        <w:right w:val="none" w:sz="0" w:space="0" w:color="auto"/>
      </w:divBdr>
      <w:divsChild>
        <w:div w:id="455027395">
          <w:marLeft w:val="0"/>
          <w:marRight w:val="0"/>
          <w:marTop w:val="0"/>
          <w:marBottom w:val="0"/>
          <w:divBdr>
            <w:top w:val="none" w:sz="0" w:space="0" w:color="auto"/>
            <w:left w:val="none" w:sz="0" w:space="0" w:color="auto"/>
            <w:bottom w:val="none" w:sz="0" w:space="0" w:color="auto"/>
            <w:right w:val="none" w:sz="0" w:space="0" w:color="auto"/>
          </w:divBdr>
          <w:divsChild>
            <w:div w:id="348874076">
              <w:marLeft w:val="0"/>
              <w:marRight w:val="0"/>
              <w:marTop w:val="0"/>
              <w:marBottom w:val="0"/>
              <w:divBdr>
                <w:top w:val="none" w:sz="0" w:space="0" w:color="auto"/>
                <w:left w:val="none" w:sz="0" w:space="0" w:color="auto"/>
                <w:bottom w:val="none" w:sz="0" w:space="0" w:color="auto"/>
                <w:right w:val="none" w:sz="0" w:space="0" w:color="auto"/>
              </w:divBdr>
            </w:div>
          </w:divsChild>
        </w:div>
        <w:div w:id="863907793">
          <w:marLeft w:val="0"/>
          <w:marRight w:val="0"/>
          <w:marTop w:val="0"/>
          <w:marBottom w:val="0"/>
          <w:divBdr>
            <w:top w:val="none" w:sz="0" w:space="0" w:color="auto"/>
            <w:left w:val="none" w:sz="0" w:space="0" w:color="auto"/>
            <w:bottom w:val="none" w:sz="0" w:space="0" w:color="auto"/>
            <w:right w:val="none" w:sz="0" w:space="0" w:color="auto"/>
          </w:divBdr>
          <w:divsChild>
            <w:div w:id="43209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79423">
      <w:bodyDiv w:val="1"/>
      <w:marLeft w:val="0"/>
      <w:marRight w:val="0"/>
      <w:marTop w:val="0"/>
      <w:marBottom w:val="0"/>
      <w:divBdr>
        <w:top w:val="none" w:sz="0" w:space="0" w:color="auto"/>
        <w:left w:val="none" w:sz="0" w:space="0" w:color="auto"/>
        <w:bottom w:val="none" w:sz="0" w:space="0" w:color="auto"/>
        <w:right w:val="none" w:sz="0" w:space="0" w:color="auto"/>
      </w:divBdr>
    </w:div>
    <w:div w:id="250623807">
      <w:bodyDiv w:val="1"/>
      <w:marLeft w:val="0"/>
      <w:marRight w:val="0"/>
      <w:marTop w:val="0"/>
      <w:marBottom w:val="0"/>
      <w:divBdr>
        <w:top w:val="none" w:sz="0" w:space="0" w:color="auto"/>
        <w:left w:val="none" w:sz="0" w:space="0" w:color="auto"/>
        <w:bottom w:val="none" w:sz="0" w:space="0" w:color="auto"/>
        <w:right w:val="none" w:sz="0" w:space="0" w:color="auto"/>
      </w:divBdr>
    </w:div>
    <w:div w:id="253129731">
      <w:bodyDiv w:val="1"/>
      <w:marLeft w:val="0"/>
      <w:marRight w:val="0"/>
      <w:marTop w:val="0"/>
      <w:marBottom w:val="0"/>
      <w:divBdr>
        <w:top w:val="none" w:sz="0" w:space="0" w:color="auto"/>
        <w:left w:val="none" w:sz="0" w:space="0" w:color="auto"/>
        <w:bottom w:val="none" w:sz="0" w:space="0" w:color="auto"/>
        <w:right w:val="none" w:sz="0" w:space="0" w:color="auto"/>
      </w:divBdr>
    </w:div>
    <w:div w:id="276104940">
      <w:bodyDiv w:val="1"/>
      <w:marLeft w:val="0"/>
      <w:marRight w:val="0"/>
      <w:marTop w:val="0"/>
      <w:marBottom w:val="0"/>
      <w:divBdr>
        <w:top w:val="none" w:sz="0" w:space="0" w:color="auto"/>
        <w:left w:val="none" w:sz="0" w:space="0" w:color="auto"/>
        <w:bottom w:val="none" w:sz="0" w:space="0" w:color="auto"/>
        <w:right w:val="none" w:sz="0" w:space="0" w:color="auto"/>
      </w:divBdr>
    </w:div>
    <w:div w:id="304701789">
      <w:bodyDiv w:val="1"/>
      <w:marLeft w:val="0"/>
      <w:marRight w:val="0"/>
      <w:marTop w:val="0"/>
      <w:marBottom w:val="0"/>
      <w:divBdr>
        <w:top w:val="none" w:sz="0" w:space="0" w:color="auto"/>
        <w:left w:val="none" w:sz="0" w:space="0" w:color="auto"/>
        <w:bottom w:val="none" w:sz="0" w:space="0" w:color="auto"/>
        <w:right w:val="none" w:sz="0" w:space="0" w:color="auto"/>
      </w:divBdr>
    </w:div>
    <w:div w:id="308289790">
      <w:bodyDiv w:val="1"/>
      <w:marLeft w:val="0"/>
      <w:marRight w:val="0"/>
      <w:marTop w:val="0"/>
      <w:marBottom w:val="0"/>
      <w:divBdr>
        <w:top w:val="none" w:sz="0" w:space="0" w:color="auto"/>
        <w:left w:val="none" w:sz="0" w:space="0" w:color="auto"/>
        <w:bottom w:val="none" w:sz="0" w:space="0" w:color="auto"/>
        <w:right w:val="none" w:sz="0" w:space="0" w:color="auto"/>
      </w:divBdr>
      <w:divsChild>
        <w:div w:id="680469999">
          <w:marLeft w:val="0"/>
          <w:marRight w:val="0"/>
          <w:marTop w:val="0"/>
          <w:marBottom w:val="0"/>
          <w:divBdr>
            <w:top w:val="none" w:sz="0" w:space="0" w:color="auto"/>
            <w:left w:val="none" w:sz="0" w:space="0" w:color="auto"/>
            <w:bottom w:val="none" w:sz="0" w:space="0" w:color="auto"/>
            <w:right w:val="none" w:sz="0" w:space="0" w:color="auto"/>
          </w:divBdr>
          <w:divsChild>
            <w:div w:id="820658442">
              <w:marLeft w:val="0"/>
              <w:marRight w:val="0"/>
              <w:marTop w:val="0"/>
              <w:marBottom w:val="0"/>
              <w:divBdr>
                <w:top w:val="none" w:sz="0" w:space="0" w:color="auto"/>
                <w:left w:val="none" w:sz="0" w:space="0" w:color="auto"/>
                <w:bottom w:val="none" w:sz="0" w:space="0" w:color="auto"/>
                <w:right w:val="none" w:sz="0" w:space="0" w:color="auto"/>
              </w:divBdr>
            </w:div>
          </w:divsChild>
        </w:div>
        <w:div w:id="1218978686">
          <w:marLeft w:val="0"/>
          <w:marRight w:val="0"/>
          <w:marTop w:val="0"/>
          <w:marBottom w:val="0"/>
          <w:divBdr>
            <w:top w:val="none" w:sz="0" w:space="0" w:color="auto"/>
            <w:left w:val="none" w:sz="0" w:space="0" w:color="auto"/>
            <w:bottom w:val="none" w:sz="0" w:space="0" w:color="auto"/>
            <w:right w:val="none" w:sz="0" w:space="0" w:color="auto"/>
          </w:divBdr>
          <w:divsChild>
            <w:div w:id="19512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03039">
      <w:bodyDiv w:val="1"/>
      <w:marLeft w:val="0"/>
      <w:marRight w:val="0"/>
      <w:marTop w:val="0"/>
      <w:marBottom w:val="0"/>
      <w:divBdr>
        <w:top w:val="none" w:sz="0" w:space="0" w:color="auto"/>
        <w:left w:val="none" w:sz="0" w:space="0" w:color="auto"/>
        <w:bottom w:val="none" w:sz="0" w:space="0" w:color="auto"/>
        <w:right w:val="none" w:sz="0" w:space="0" w:color="auto"/>
      </w:divBdr>
    </w:div>
    <w:div w:id="326203409">
      <w:bodyDiv w:val="1"/>
      <w:marLeft w:val="0"/>
      <w:marRight w:val="0"/>
      <w:marTop w:val="0"/>
      <w:marBottom w:val="0"/>
      <w:divBdr>
        <w:top w:val="none" w:sz="0" w:space="0" w:color="auto"/>
        <w:left w:val="none" w:sz="0" w:space="0" w:color="auto"/>
        <w:bottom w:val="none" w:sz="0" w:space="0" w:color="auto"/>
        <w:right w:val="none" w:sz="0" w:space="0" w:color="auto"/>
      </w:divBdr>
      <w:divsChild>
        <w:div w:id="1626427128">
          <w:marLeft w:val="0"/>
          <w:marRight w:val="0"/>
          <w:marTop w:val="0"/>
          <w:marBottom w:val="0"/>
          <w:divBdr>
            <w:top w:val="none" w:sz="0" w:space="0" w:color="auto"/>
            <w:left w:val="none" w:sz="0" w:space="0" w:color="auto"/>
            <w:bottom w:val="none" w:sz="0" w:space="0" w:color="auto"/>
            <w:right w:val="none" w:sz="0" w:space="0" w:color="auto"/>
          </w:divBdr>
          <w:divsChild>
            <w:div w:id="65249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39695">
      <w:bodyDiv w:val="1"/>
      <w:marLeft w:val="0"/>
      <w:marRight w:val="0"/>
      <w:marTop w:val="0"/>
      <w:marBottom w:val="0"/>
      <w:divBdr>
        <w:top w:val="none" w:sz="0" w:space="0" w:color="auto"/>
        <w:left w:val="none" w:sz="0" w:space="0" w:color="auto"/>
        <w:bottom w:val="none" w:sz="0" w:space="0" w:color="auto"/>
        <w:right w:val="none" w:sz="0" w:space="0" w:color="auto"/>
      </w:divBdr>
    </w:div>
    <w:div w:id="367335907">
      <w:bodyDiv w:val="1"/>
      <w:marLeft w:val="0"/>
      <w:marRight w:val="0"/>
      <w:marTop w:val="0"/>
      <w:marBottom w:val="0"/>
      <w:divBdr>
        <w:top w:val="none" w:sz="0" w:space="0" w:color="auto"/>
        <w:left w:val="none" w:sz="0" w:space="0" w:color="auto"/>
        <w:bottom w:val="none" w:sz="0" w:space="0" w:color="auto"/>
        <w:right w:val="none" w:sz="0" w:space="0" w:color="auto"/>
      </w:divBdr>
    </w:div>
    <w:div w:id="401373704">
      <w:bodyDiv w:val="1"/>
      <w:marLeft w:val="0"/>
      <w:marRight w:val="0"/>
      <w:marTop w:val="0"/>
      <w:marBottom w:val="0"/>
      <w:divBdr>
        <w:top w:val="none" w:sz="0" w:space="0" w:color="auto"/>
        <w:left w:val="none" w:sz="0" w:space="0" w:color="auto"/>
        <w:bottom w:val="none" w:sz="0" w:space="0" w:color="auto"/>
        <w:right w:val="none" w:sz="0" w:space="0" w:color="auto"/>
      </w:divBdr>
    </w:div>
    <w:div w:id="409156182">
      <w:bodyDiv w:val="1"/>
      <w:marLeft w:val="0"/>
      <w:marRight w:val="0"/>
      <w:marTop w:val="0"/>
      <w:marBottom w:val="0"/>
      <w:divBdr>
        <w:top w:val="none" w:sz="0" w:space="0" w:color="auto"/>
        <w:left w:val="none" w:sz="0" w:space="0" w:color="auto"/>
        <w:bottom w:val="none" w:sz="0" w:space="0" w:color="auto"/>
        <w:right w:val="none" w:sz="0" w:space="0" w:color="auto"/>
      </w:divBdr>
    </w:div>
    <w:div w:id="417168622">
      <w:bodyDiv w:val="1"/>
      <w:marLeft w:val="0"/>
      <w:marRight w:val="0"/>
      <w:marTop w:val="0"/>
      <w:marBottom w:val="0"/>
      <w:divBdr>
        <w:top w:val="none" w:sz="0" w:space="0" w:color="auto"/>
        <w:left w:val="none" w:sz="0" w:space="0" w:color="auto"/>
        <w:bottom w:val="none" w:sz="0" w:space="0" w:color="auto"/>
        <w:right w:val="none" w:sz="0" w:space="0" w:color="auto"/>
      </w:divBdr>
    </w:div>
    <w:div w:id="420183295">
      <w:bodyDiv w:val="1"/>
      <w:marLeft w:val="0"/>
      <w:marRight w:val="0"/>
      <w:marTop w:val="0"/>
      <w:marBottom w:val="0"/>
      <w:divBdr>
        <w:top w:val="none" w:sz="0" w:space="0" w:color="auto"/>
        <w:left w:val="none" w:sz="0" w:space="0" w:color="auto"/>
        <w:bottom w:val="none" w:sz="0" w:space="0" w:color="auto"/>
        <w:right w:val="none" w:sz="0" w:space="0" w:color="auto"/>
      </w:divBdr>
    </w:div>
    <w:div w:id="439952420">
      <w:bodyDiv w:val="1"/>
      <w:marLeft w:val="0"/>
      <w:marRight w:val="0"/>
      <w:marTop w:val="0"/>
      <w:marBottom w:val="0"/>
      <w:divBdr>
        <w:top w:val="none" w:sz="0" w:space="0" w:color="auto"/>
        <w:left w:val="none" w:sz="0" w:space="0" w:color="auto"/>
        <w:bottom w:val="none" w:sz="0" w:space="0" w:color="auto"/>
        <w:right w:val="none" w:sz="0" w:space="0" w:color="auto"/>
      </w:divBdr>
    </w:div>
    <w:div w:id="478351528">
      <w:bodyDiv w:val="1"/>
      <w:marLeft w:val="0"/>
      <w:marRight w:val="0"/>
      <w:marTop w:val="0"/>
      <w:marBottom w:val="0"/>
      <w:divBdr>
        <w:top w:val="none" w:sz="0" w:space="0" w:color="auto"/>
        <w:left w:val="none" w:sz="0" w:space="0" w:color="auto"/>
        <w:bottom w:val="none" w:sz="0" w:space="0" w:color="auto"/>
        <w:right w:val="none" w:sz="0" w:space="0" w:color="auto"/>
      </w:divBdr>
    </w:div>
    <w:div w:id="481852094">
      <w:bodyDiv w:val="1"/>
      <w:marLeft w:val="0"/>
      <w:marRight w:val="0"/>
      <w:marTop w:val="0"/>
      <w:marBottom w:val="0"/>
      <w:divBdr>
        <w:top w:val="none" w:sz="0" w:space="0" w:color="auto"/>
        <w:left w:val="none" w:sz="0" w:space="0" w:color="auto"/>
        <w:bottom w:val="none" w:sz="0" w:space="0" w:color="auto"/>
        <w:right w:val="none" w:sz="0" w:space="0" w:color="auto"/>
      </w:divBdr>
    </w:div>
    <w:div w:id="483007157">
      <w:bodyDiv w:val="1"/>
      <w:marLeft w:val="0"/>
      <w:marRight w:val="0"/>
      <w:marTop w:val="0"/>
      <w:marBottom w:val="0"/>
      <w:divBdr>
        <w:top w:val="none" w:sz="0" w:space="0" w:color="auto"/>
        <w:left w:val="none" w:sz="0" w:space="0" w:color="auto"/>
        <w:bottom w:val="none" w:sz="0" w:space="0" w:color="auto"/>
        <w:right w:val="none" w:sz="0" w:space="0" w:color="auto"/>
      </w:divBdr>
    </w:div>
    <w:div w:id="540242655">
      <w:bodyDiv w:val="1"/>
      <w:marLeft w:val="0"/>
      <w:marRight w:val="0"/>
      <w:marTop w:val="0"/>
      <w:marBottom w:val="0"/>
      <w:divBdr>
        <w:top w:val="none" w:sz="0" w:space="0" w:color="auto"/>
        <w:left w:val="none" w:sz="0" w:space="0" w:color="auto"/>
        <w:bottom w:val="none" w:sz="0" w:space="0" w:color="auto"/>
        <w:right w:val="none" w:sz="0" w:space="0" w:color="auto"/>
      </w:divBdr>
    </w:div>
    <w:div w:id="560141000">
      <w:bodyDiv w:val="1"/>
      <w:marLeft w:val="0"/>
      <w:marRight w:val="0"/>
      <w:marTop w:val="0"/>
      <w:marBottom w:val="0"/>
      <w:divBdr>
        <w:top w:val="none" w:sz="0" w:space="0" w:color="auto"/>
        <w:left w:val="none" w:sz="0" w:space="0" w:color="auto"/>
        <w:bottom w:val="none" w:sz="0" w:space="0" w:color="auto"/>
        <w:right w:val="none" w:sz="0" w:space="0" w:color="auto"/>
      </w:divBdr>
    </w:div>
    <w:div w:id="571358765">
      <w:bodyDiv w:val="1"/>
      <w:marLeft w:val="0"/>
      <w:marRight w:val="0"/>
      <w:marTop w:val="0"/>
      <w:marBottom w:val="0"/>
      <w:divBdr>
        <w:top w:val="none" w:sz="0" w:space="0" w:color="auto"/>
        <w:left w:val="none" w:sz="0" w:space="0" w:color="auto"/>
        <w:bottom w:val="none" w:sz="0" w:space="0" w:color="auto"/>
        <w:right w:val="none" w:sz="0" w:space="0" w:color="auto"/>
      </w:divBdr>
    </w:div>
    <w:div w:id="580607170">
      <w:bodyDiv w:val="1"/>
      <w:marLeft w:val="0"/>
      <w:marRight w:val="0"/>
      <w:marTop w:val="0"/>
      <w:marBottom w:val="0"/>
      <w:divBdr>
        <w:top w:val="none" w:sz="0" w:space="0" w:color="auto"/>
        <w:left w:val="none" w:sz="0" w:space="0" w:color="auto"/>
        <w:bottom w:val="none" w:sz="0" w:space="0" w:color="auto"/>
        <w:right w:val="none" w:sz="0" w:space="0" w:color="auto"/>
      </w:divBdr>
    </w:div>
    <w:div w:id="588540778">
      <w:bodyDiv w:val="1"/>
      <w:marLeft w:val="0"/>
      <w:marRight w:val="0"/>
      <w:marTop w:val="0"/>
      <w:marBottom w:val="0"/>
      <w:divBdr>
        <w:top w:val="none" w:sz="0" w:space="0" w:color="auto"/>
        <w:left w:val="none" w:sz="0" w:space="0" w:color="auto"/>
        <w:bottom w:val="none" w:sz="0" w:space="0" w:color="auto"/>
        <w:right w:val="none" w:sz="0" w:space="0" w:color="auto"/>
      </w:divBdr>
    </w:div>
    <w:div w:id="593711427">
      <w:bodyDiv w:val="1"/>
      <w:marLeft w:val="0"/>
      <w:marRight w:val="0"/>
      <w:marTop w:val="0"/>
      <w:marBottom w:val="0"/>
      <w:divBdr>
        <w:top w:val="none" w:sz="0" w:space="0" w:color="auto"/>
        <w:left w:val="none" w:sz="0" w:space="0" w:color="auto"/>
        <w:bottom w:val="none" w:sz="0" w:space="0" w:color="auto"/>
        <w:right w:val="none" w:sz="0" w:space="0" w:color="auto"/>
      </w:divBdr>
    </w:div>
    <w:div w:id="602957104">
      <w:bodyDiv w:val="1"/>
      <w:marLeft w:val="0"/>
      <w:marRight w:val="0"/>
      <w:marTop w:val="0"/>
      <w:marBottom w:val="0"/>
      <w:divBdr>
        <w:top w:val="none" w:sz="0" w:space="0" w:color="auto"/>
        <w:left w:val="none" w:sz="0" w:space="0" w:color="auto"/>
        <w:bottom w:val="none" w:sz="0" w:space="0" w:color="auto"/>
        <w:right w:val="none" w:sz="0" w:space="0" w:color="auto"/>
      </w:divBdr>
    </w:div>
    <w:div w:id="607392840">
      <w:bodyDiv w:val="1"/>
      <w:marLeft w:val="0"/>
      <w:marRight w:val="0"/>
      <w:marTop w:val="0"/>
      <w:marBottom w:val="0"/>
      <w:divBdr>
        <w:top w:val="none" w:sz="0" w:space="0" w:color="auto"/>
        <w:left w:val="none" w:sz="0" w:space="0" w:color="auto"/>
        <w:bottom w:val="none" w:sz="0" w:space="0" w:color="auto"/>
        <w:right w:val="none" w:sz="0" w:space="0" w:color="auto"/>
      </w:divBdr>
      <w:divsChild>
        <w:div w:id="592321826">
          <w:marLeft w:val="0"/>
          <w:marRight w:val="0"/>
          <w:marTop w:val="0"/>
          <w:marBottom w:val="0"/>
          <w:divBdr>
            <w:top w:val="none" w:sz="0" w:space="0" w:color="auto"/>
            <w:left w:val="none" w:sz="0" w:space="0" w:color="auto"/>
            <w:bottom w:val="none" w:sz="0" w:space="0" w:color="auto"/>
            <w:right w:val="none" w:sz="0" w:space="0" w:color="auto"/>
          </w:divBdr>
          <w:divsChild>
            <w:div w:id="610403192">
              <w:marLeft w:val="0"/>
              <w:marRight w:val="0"/>
              <w:marTop w:val="0"/>
              <w:marBottom w:val="0"/>
              <w:divBdr>
                <w:top w:val="none" w:sz="0" w:space="0" w:color="auto"/>
                <w:left w:val="none" w:sz="0" w:space="0" w:color="auto"/>
                <w:bottom w:val="none" w:sz="0" w:space="0" w:color="auto"/>
                <w:right w:val="none" w:sz="0" w:space="0" w:color="auto"/>
              </w:divBdr>
              <w:divsChild>
                <w:div w:id="1898012850">
                  <w:marLeft w:val="0"/>
                  <w:marRight w:val="0"/>
                  <w:marTop w:val="0"/>
                  <w:marBottom w:val="0"/>
                  <w:divBdr>
                    <w:top w:val="none" w:sz="0" w:space="0" w:color="auto"/>
                    <w:left w:val="none" w:sz="0" w:space="0" w:color="auto"/>
                    <w:bottom w:val="none" w:sz="0" w:space="0" w:color="auto"/>
                    <w:right w:val="none" w:sz="0" w:space="0" w:color="auto"/>
                  </w:divBdr>
                  <w:divsChild>
                    <w:div w:id="58157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139123">
      <w:bodyDiv w:val="1"/>
      <w:marLeft w:val="0"/>
      <w:marRight w:val="0"/>
      <w:marTop w:val="0"/>
      <w:marBottom w:val="0"/>
      <w:divBdr>
        <w:top w:val="none" w:sz="0" w:space="0" w:color="auto"/>
        <w:left w:val="none" w:sz="0" w:space="0" w:color="auto"/>
        <w:bottom w:val="none" w:sz="0" w:space="0" w:color="auto"/>
        <w:right w:val="none" w:sz="0" w:space="0" w:color="auto"/>
      </w:divBdr>
    </w:div>
    <w:div w:id="614406840">
      <w:bodyDiv w:val="1"/>
      <w:marLeft w:val="0"/>
      <w:marRight w:val="0"/>
      <w:marTop w:val="0"/>
      <w:marBottom w:val="0"/>
      <w:divBdr>
        <w:top w:val="none" w:sz="0" w:space="0" w:color="auto"/>
        <w:left w:val="none" w:sz="0" w:space="0" w:color="auto"/>
        <w:bottom w:val="none" w:sz="0" w:space="0" w:color="auto"/>
        <w:right w:val="none" w:sz="0" w:space="0" w:color="auto"/>
      </w:divBdr>
    </w:div>
    <w:div w:id="633607534">
      <w:bodyDiv w:val="1"/>
      <w:marLeft w:val="0"/>
      <w:marRight w:val="0"/>
      <w:marTop w:val="0"/>
      <w:marBottom w:val="0"/>
      <w:divBdr>
        <w:top w:val="none" w:sz="0" w:space="0" w:color="auto"/>
        <w:left w:val="none" w:sz="0" w:space="0" w:color="auto"/>
        <w:bottom w:val="none" w:sz="0" w:space="0" w:color="auto"/>
        <w:right w:val="none" w:sz="0" w:space="0" w:color="auto"/>
      </w:divBdr>
      <w:divsChild>
        <w:div w:id="1734691216">
          <w:marLeft w:val="0"/>
          <w:marRight w:val="0"/>
          <w:marTop w:val="0"/>
          <w:marBottom w:val="0"/>
          <w:divBdr>
            <w:top w:val="none" w:sz="0" w:space="0" w:color="auto"/>
            <w:left w:val="none" w:sz="0" w:space="0" w:color="auto"/>
            <w:bottom w:val="none" w:sz="0" w:space="0" w:color="auto"/>
            <w:right w:val="none" w:sz="0" w:space="0" w:color="auto"/>
          </w:divBdr>
          <w:divsChild>
            <w:div w:id="2010061288">
              <w:marLeft w:val="0"/>
              <w:marRight w:val="0"/>
              <w:marTop w:val="0"/>
              <w:marBottom w:val="0"/>
              <w:divBdr>
                <w:top w:val="none" w:sz="0" w:space="0" w:color="auto"/>
                <w:left w:val="none" w:sz="0" w:space="0" w:color="auto"/>
                <w:bottom w:val="none" w:sz="0" w:space="0" w:color="auto"/>
                <w:right w:val="none" w:sz="0" w:space="0" w:color="auto"/>
              </w:divBdr>
            </w:div>
          </w:divsChild>
        </w:div>
        <w:div w:id="2051031302">
          <w:marLeft w:val="0"/>
          <w:marRight w:val="0"/>
          <w:marTop w:val="0"/>
          <w:marBottom w:val="0"/>
          <w:divBdr>
            <w:top w:val="none" w:sz="0" w:space="0" w:color="auto"/>
            <w:left w:val="none" w:sz="0" w:space="0" w:color="auto"/>
            <w:bottom w:val="none" w:sz="0" w:space="0" w:color="auto"/>
            <w:right w:val="none" w:sz="0" w:space="0" w:color="auto"/>
          </w:divBdr>
          <w:divsChild>
            <w:div w:id="144476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477536">
      <w:bodyDiv w:val="1"/>
      <w:marLeft w:val="0"/>
      <w:marRight w:val="0"/>
      <w:marTop w:val="0"/>
      <w:marBottom w:val="0"/>
      <w:divBdr>
        <w:top w:val="none" w:sz="0" w:space="0" w:color="auto"/>
        <w:left w:val="none" w:sz="0" w:space="0" w:color="auto"/>
        <w:bottom w:val="none" w:sz="0" w:space="0" w:color="auto"/>
        <w:right w:val="none" w:sz="0" w:space="0" w:color="auto"/>
      </w:divBdr>
    </w:div>
    <w:div w:id="672411379">
      <w:bodyDiv w:val="1"/>
      <w:marLeft w:val="0"/>
      <w:marRight w:val="0"/>
      <w:marTop w:val="0"/>
      <w:marBottom w:val="0"/>
      <w:divBdr>
        <w:top w:val="none" w:sz="0" w:space="0" w:color="auto"/>
        <w:left w:val="none" w:sz="0" w:space="0" w:color="auto"/>
        <w:bottom w:val="none" w:sz="0" w:space="0" w:color="auto"/>
        <w:right w:val="none" w:sz="0" w:space="0" w:color="auto"/>
      </w:divBdr>
    </w:div>
    <w:div w:id="680157192">
      <w:bodyDiv w:val="1"/>
      <w:marLeft w:val="0"/>
      <w:marRight w:val="0"/>
      <w:marTop w:val="0"/>
      <w:marBottom w:val="0"/>
      <w:divBdr>
        <w:top w:val="none" w:sz="0" w:space="0" w:color="auto"/>
        <w:left w:val="none" w:sz="0" w:space="0" w:color="auto"/>
        <w:bottom w:val="none" w:sz="0" w:space="0" w:color="auto"/>
        <w:right w:val="none" w:sz="0" w:space="0" w:color="auto"/>
      </w:divBdr>
    </w:div>
    <w:div w:id="710500643">
      <w:bodyDiv w:val="1"/>
      <w:marLeft w:val="0"/>
      <w:marRight w:val="0"/>
      <w:marTop w:val="0"/>
      <w:marBottom w:val="0"/>
      <w:divBdr>
        <w:top w:val="none" w:sz="0" w:space="0" w:color="auto"/>
        <w:left w:val="none" w:sz="0" w:space="0" w:color="auto"/>
        <w:bottom w:val="none" w:sz="0" w:space="0" w:color="auto"/>
        <w:right w:val="none" w:sz="0" w:space="0" w:color="auto"/>
      </w:divBdr>
    </w:div>
    <w:div w:id="711542499">
      <w:bodyDiv w:val="1"/>
      <w:marLeft w:val="0"/>
      <w:marRight w:val="0"/>
      <w:marTop w:val="0"/>
      <w:marBottom w:val="0"/>
      <w:divBdr>
        <w:top w:val="none" w:sz="0" w:space="0" w:color="auto"/>
        <w:left w:val="none" w:sz="0" w:space="0" w:color="auto"/>
        <w:bottom w:val="none" w:sz="0" w:space="0" w:color="auto"/>
        <w:right w:val="none" w:sz="0" w:space="0" w:color="auto"/>
      </w:divBdr>
    </w:div>
    <w:div w:id="712929410">
      <w:bodyDiv w:val="1"/>
      <w:marLeft w:val="0"/>
      <w:marRight w:val="0"/>
      <w:marTop w:val="0"/>
      <w:marBottom w:val="0"/>
      <w:divBdr>
        <w:top w:val="none" w:sz="0" w:space="0" w:color="auto"/>
        <w:left w:val="none" w:sz="0" w:space="0" w:color="auto"/>
        <w:bottom w:val="none" w:sz="0" w:space="0" w:color="auto"/>
        <w:right w:val="none" w:sz="0" w:space="0" w:color="auto"/>
      </w:divBdr>
    </w:div>
    <w:div w:id="733352162">
      <w:bodyDiv w:val="1"/>
      <w:marLeft w:val="0"/>
      <w:marRight w:val="0"/>
      <w:marTop w:val="0"/>
      <w:marBottom w:val="0"/>
      <w:divBdr>
        <w:top w:val="none" w:sz="0" w:space="0" w:color="auto"/>
        <w:left w:val="none" w:sz="0" w:space="0" w:color="auto"/>
        <w:bottom w:val="none" w:sz="0" w:space="0" w:color="auto"/>
        <w:right w:val="none" w:sz="0" w:space="0" w:color="auto"/>
      </w:divBdr>
    </w:div>
    <w:div w:id="737216345">
      <w:bodyDiv w:val="1"/>
      <w:marLeft w:val="0"/>
      <w:marRight w:val="0"/>
      <w:marTop w:val="0"/>
      <w:marBottom w:val="0"/>
      <w:divBdr>
        <w:top w:val="none" w:sz="0" w:space="0" w:color="auto"/>
        <w:left w:val="none" w:sz="0" w:space="0" w:color="auto"/>
        <w:bottom w:val="none" w:sz="0" w:space="0" w:color="auto"/>
        <w:right w:val="none" w:sz="0" w:space="0" w:color="auto"/>
      </w:divBdr>
    </w:div>
    <w:div w:id="742070057">
      <w:bodyDiv w:val="1"/>
      <w:marLeft w:val="0"/>
      <w:marRight w:val="0"/>
      <w:marTop w:val="0"/>
      <w:marBottom w:val="0"/>
      <w:divBdr>
        <w:top w:val="none" w:sz="0" w:space="0" w:color="auto"/>
        <w:left w:val="none" w:sz="0" w:space="0" w:color="auto"/>
        <w:bottom w:val="none" w:sz="0" w:space="0" w:color="auto"/>
        <w:right w:val="none" w:sz="0" w:space="0" w:color="auto"/>
      </w:divBdr>
    </w:div>
    <w:div w:id="752512904">
      <w:bodyDiv w:val="1"/>
      <w:marLeft w:val="0"/>
      <w:marRight w:val="0"/>
      <w:marTop w:val="0"/>
      <w:marBottom w:val="0"/>
      <w:divBdr>
        <w:top w:val="none" w:sz="0" w:space="0" w:color="auto"/>
        <w:left w:val="none" w:sz="0" w:space="0" w:color="auto"/>
        <w:bottom w:val="none" w:sz="0" w:space="0" w:color="auto"/>
        <w:right w:val="none" w:sz="0" w:space="0" w:color="auto"/>
      </w:divBdr>
      <w:divsChild>
        <w:div w:id="1027372578">
          <w:marLeft w:val="0"/>
          <w:marRight w:val="0"/>
          <w:marTop w:val="0"/>
          <w:marBottom w:val="0"/>
          <w:divBdr>
            <w:top w:val="none" w:sz="0" w:space="0" w:color="auto"/>
            <w:left w:val="none" w:sz="0" w:space="0" w:color="auto"/>
            <w:bottom w:val="none" w:sz="0" w:space="0" w:color="auto"/>
            <w:right w:val="none" w:sz="0" w:space="0" w:color="auto"/>
          </w:divBdr>
          <w:divsChild>
            <w:div w:id="194880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393">
      <w:bodyDiv w:val="1"/>
      <w:marLeft w:val="0"/>
      <w:marRight w:val="0"/>
      <w:marTop w:val="0"/>
      <w:marBottom w:val="0"/>
      <w:divBdr>
        <w:top w:val="none" w:sz="0" w:space="0" w:color="auto"/>
        <w:left w:val="none" w:sz="0" w:space="0" w:color="auto"/>
        <w:bottom w:val="none" w:sz="0" w:space="0" w:color="auto"/>
        <w:right w:val="none" w:sz="0" w:space="0" w:color="auto"/>
      </w:divBdr>
    </w:div>
    <w:div w:id="770588749">
      <w:bodyDiv w:val="1"/>
      <w:marLeft w:val="0"/>
      <w:marRight w:val="0"/>
      <w:marTop w:val="0"/>
      <w:marBottom w:val="0"/>
      <w:divBdr>
        <w:top w:val="none" w:sz="0" w:space="0" w:color="auto"/>
        <w:left w:val="none" w:sz="0" w:space="0" w:color="auto"/>
        <w:bottom w:val="none" w:sz="0" w:space="0" w:color="auto"/>
        <w:right w:val="none" w:sz="0" w:space="0" w:color="auto"/>
      </w:divBdr>
    </w:div>
    <w:div w:id="783354114">
      <w:bodyDiv w:val="1"/>
      <w:marLeft w:val="0"/>
      <w:marRight w:val="0"/>
      <w:marTop w:val="0"/>
      <w:marBottom w:val="0"/>
      <w:divBdr>
        <w:top w:val="none" w:sz="0" w:space="0" w:color="auto"/>
        <w:left w:val="none" w:sz="0" w:space="0" w:color="auto"/>
        <w:bottom w:val="none" w:sz="0" w:space="0" w:color="auto"/>
        <w:right w:val="none" w:sz="0" w:space="0" w:color="auto"/>
      </w:divBdr>
    </w:div>
    <w:div w:id="793521715">
      <w:bodyDiv w:val="1"/>
      <w:marLeft w:val="0"/>
      <w:marRight w:val="0"/>
      <w:marTop w:val="0"/>
      <w:marBottom w:val="0"/>
      <w:divBdr>
        <w:top w:val="none" w:sz="0" w:space="0" w:color="auto"/>
        <w:left w:val="none" w:sz="0" w:space="0" w:color="auto"/>
        <w:bottom w:val="none" w:sz="0" w:space="0" w:color="auto"/>
        <w:right w:val="none" w:sz="0" w:space="0" w:color="auto"/>
      </w:divBdr>
    </w:div>
    <w:div w:id="826940454">
      <w:bodyDiv w:val="1"/>
      <w:marLeft w:val="0"/>
      <w:marRight w:val="0"/>
      <w:marTop w:val="0"/>
      <w:marBottom w:val="0"/>
      <w:divBdr>
        <w:top w:val="none" w:sz="0" w:space="0" w:color="auto"/>
        <w:left w:val="none" w:sz="0" w:space="0" w:color="auto"/>
        <w:bottom w:val="none" w:sz="0" w:space="0" w:color="auto"/>
        <w:right w:val="none" w:sz="0" w:space="0" w:color="auto"/>
      </w:divBdr>
    </w:div>
    <w:div w:id="852301451">
      <w:bodyDiv w:val="1"/>
      <w:marLeft w:val="0"/>
      <w:marRight w:val="0"/>
      <w:marTop w:val="0"/>
      <w:marBottom w:val="0"/>
      <w:divBdr>
        <w:top w:val="none" w:sz="0" w:space="0" w:color="auto"/>
        <w:left w:val="none" w:sz="0" w:space="0" w:color="auto"/>
        <w:bottom w:val="none" w:sz="0" w:space="0" w:color="auto"/>
        <w:right w:val="none" w:sz="0" w:space="0" w:color="auto"/>
      </w:divBdr>
    </w:div>
    <w:div w:id="868378224">
      <w:bodyDiv w:val="1"/>
      <w:marLeft w:val="0"/>
      <w:marRight w:val="0"/>
      <w:marTop w:val="0"/>
      <w:marBottom w:val="0"/>
      <w:divBdr>
        <w:top w:val="none" w:sz="0" w:space="0" w:color="auto"/>
        <w:left w:val="none" w:sz="0" w:space="0" w:color="auto"/>
        <w:bottom w:val="none" w:sz="0" w:space="0" w:color="auto"/>
        <w:right w:val="none" w:sz="0" w:space="0" w:color="auto"/>
      </w:divBdr>
    </w:div>
    <w:div w:id="879630098">
      <w:bodyDiv w:val="1"/>
      <w:marLeft w:val="0"/>
      <w:marRight w:val="0"/>
      <w:marTop w:val="0"/>
      <w:marBottom w:val="0"/>
      <w:divBdr>
        <w:top w:val="none" w:sz="0" w:space="0" w:color="auto"/>
        <w:left w:val="none" w:sz="0" w:space="0" w:color="auto"/>
        <w:bottom w:val="none" w:sz="0" w:space="0" w:color="auto"/>
        <w:right w:val="none" w:sz="0" w:space="0" w:color="auto"/>
      </w:divBdr>
    </w:div>
    <w:div w:id="892886625">
      <w:bodyDiv w:val="1"/>
      <w:marLeft w:val="0"/>
      <w:marRight w:val="0"/>
      <w:marTop w:val="0"/>
      <w:marBottom w:val="0"/>
      <w:divBdr>
        <w:top w:val="none" w:sz="0" w:space="0" w:color="auto"/>
        <w:left w:val="none" w:sz="0" w:space="0" w:color="auto"/>
        <w:bottom w:val="none" w:sz="0" w:space="0" w:color="auto"/>
        <w:right w:val="none" w:sz="0" w:space="0" w:color="auto"/>
      </w:divBdr>
    </w:div>
    <w:div w:id="912081674">
      <w:bodyDiv w:val="1"/>
      <w:marLeft w:val="0"/>
      <w:marRight w:val="0"/>
      <w:marTop w:val="0"/>
      <w:marBottom w:val="0"/>
      <w:divBdr>
        <w:top w:val="none" w:sz="0" w:space="0" w:color="auto"/>
        <w:left w:val="none" w:sz="0" w:space="0" w:color="auto"/>
        <w:bottom w:val="none" w:sz="0" w:space="0" w:color="auto"/>
        <w:right w:val="none" w:sz="0" w:space="0" w:color="auto"/>
      </w:divBdr>
    </w:div>
    <w:div w:id="941381568">
      <w:bodyDiv w:val="1"/>
      <w:marLeft w:val="0"/>
      <w:marRight w:val="0"/>
      <w:marTop w:val="0"/>
      <w:marBottom w:val="0"/>
      <w:divBdr>
        <w:top w:val="none" w:sz="0" w:space="0" w:color="auto"/>
        <w:left w:val="none" w:sz="0" w:space="0" w:color="auto"/>
        <w:bottom w:val="none" w:sz="0" w:space="0" w:color="auto"/>
        <w:right w:val="none" w:sz="0" w:space="0" w:color="auto"/>
      </w:divBdr>
    </w:div>
    <w:div w:id="965088706">
      <w:bodyDiv w:val="1"/>
      <w:marLeft w:val="0"/>
      <w:marRight w:val="0"/>
      <w:marTop w:val="0"/>
      <w:marBottom w:val="0"/>
      <w:divBdr>
        <w:top w:val="none" w:sz="0" w:space="0" w:color="auto"/>
        <w:left w:val="none" w:sz="0" w:space="0" w:color="auto"/>
        <w:bottom w:val="none" w:sz="0" w:space="0" w:color="auto"/>
        <w:right w:val="none" w:sz="0" w:space="0" w:color="auto"/>
      </w:divBdr>
    </w:div>
    <w:div w:id="980622698">
      <w:bodyDiv w:val="1"/>
      <w:marLeft w:val="0"/>
      <w:marRight w:val="0"/>
      <w:marTop w:val="0"/>
      <w:marBottom w:val="0"/>
      <w:divBdr>
        <w:top w:val="none" w:sz="0" w:space="0" w:color="auto"/>
        <w:left w:val="none" w:sz="0" w:space="0" w:color="auto"/>
        <w:bottom w:val="none" w:sz="0" w:space="0" w:color="auto"/>
        <w:right w:val="none" w:sz="0" w:space="0" w:color="auto"/>
      </w:divBdr>
    </w:div>
    <w:div w:id="982655711">
      <w:bodyDiv w:val="1"/>
      <w:marLeft w:val="0"/>
      <w:marRight w:val="0"/>
      <w:marTop w:val="0"/>
      <w:marBottom w:val="0"/>
      <w:divBdr>
        <w:top w:val="none" w:sz="0" w:space="0" w:color="auto"/>
        <w:left w:val="none" w:sz="0" w:space="0" w:color="auto"/>
        <w:bottom w:val="none" w:sz="0" w:space="0" w:color="auto"/>
        <w:right w:val="none" w:sz="0" w:space="0" w:color="auto"/>
      </w:divBdr>
    </w:div>
    <w:div w:id="993878886">
      <w:bodyDiv w:val="1"/>
      <w:marLeft w:val="0"/>
      <w:marRight w:val="0"/>
      <w:marTop w:val="0"/>
      <w:marBottom w:val="0"/>
      <w:divBdr>
        <w:top w:val="none" w:sz="0" w:space="0" w:color="auto"/>
        <w:left w:val="none" w:sz="0" w:space="0" w:color="auto"/>
        <w:bottom w:val="none" w:sz="0" w:space="0" w:color="auto"/>
        <w:right w:val="none" w:sz="0" w:space="0" w:color="auto"/>
      </w:divBdr>
    </w:div>
    <w:div w:id="998727586">
      <w:bodyDiv w:val="1"/>
      <w:marLeft w:val="0"/>
      <w:marRight w:val="0"/>
      <w:marTop w:val="0"/>
      <w:marBottom w:val="0"/>
      <w:divBdr>
        <w:top w:val="none" w:sz="0" w:space="0" w:color="auto"/>
        <w:left w:val="none" w:sz="0" w:space="0" w:color="auto"/>
        <w:bottom w:val="none" w:sz="0" w:space="0" w:color="auto"/>
        <w:right w:val="none" w:sz="0" w:space="0" w:color="auto"/>
      </w:divBdr>
    </w:div>
    <w:div w:id="1012103055">
      <w:bodyDiv w:val="1"/>
      <w:marLeft w:val="0"/>
      <w:marRight w:val="0"/>
      <w:marTop w:val="0"/>
      <w:marBottom w:val="0"/>
      <w:divBdr>
        <w:top w:val="none" w:sz="0" w:space="0" w:color="auto"/>
        <w:left w:val="none" w:sz="0" w:space="0" w:color="auto"/>
        <w:bottom w:val="none" w:sz="0" w:space="0" w:color="auto"/>
        <w:right w:val="none" w:sz="0" w:space="0" w:color="auto"/>
      </w:divBdr>
    </w:div>
    <w:div w:id="1022441116">
      <w:bodyDiv w:val="1"/>
      <w:marLeft w:val="0"/>
      <w:marRight w:val="0"/>
      <w:marTop w:val="0"/>
      <w:marBottom w:val="0"/>
      <w:divBdr>
        <w:top w:val="none" w:sz="0" w:space="0" w:color="auto"/>
        <w:left w:val="none" w:sz="0" w:space="0" w:color="auto"/>
        <w:bottom w:val="none" w:sz="0" w:space="0" w:color="auto"/>
        <w:right w:val="none" w:sz="0" w:space="0" w:color="auto"/>
      </w:divBdr>
    </w:div>
    <w:div w:id="1067731352">
      <w:bodyDiv w:val="1"/>
      <w:marLeft w:val="0"/>
      <w:marRight w:val="0"/>
      <w:marTop w:val="0"/>
      <w:marBottom w:val="0"/>
      <w:divBdr>
        <w:top w:val="none" w:sz="0" w:space="0" w:color="auto"/>
        <w:left w:val="none" w:sz="0" w:space="0" w:color="auto"/>
        <w:bottom w:val="none" w:sz="0" w:space="0" w:color="auto"/>
        <w:right w:val="none" w:sz="0" w:space="0" w:color="auto"/>
      </w:divBdr>
    </w:div>
    <w:div w:id="1078795803">
      <w:bodyDiv w:val="1"/>
      <w:marLeft w:val="0"/>
      <w:marRight w:val="0"/>
      <w:marTop w:val="0"/>
      <w:marBottom w:val="0"/>
      <w:divBdr>
        <w:top w:val="none" w:sz="0" w:space="0" w:color="auto"/>
        <w:left w:val="none" w:sz="0" w:space="0" w:color="auto"/>
        <w:bottom w:val="none" w:sz="0" w:space="0" w:color="auto"/>
        <w:right w:val="none" w:sz="0" w:space="0" w:color="auto"/>
      </w:divBdr>
    </w:div>
    <w:div w:id="1084650149">
      <w:bodyDiv w:val="1"/>
      <w:marLeft w:val="0"/>
      <w:marRight w:val="0"/>
      <w:marTop w:val="0"/>
      <w:marBottom w:val="0"/>
      <w:divBdr>
        <w:top w:val="none" w:sz="0" w:space="0" w:color="auto"/>
        <w:left w:val="none" w:sz="0" w:space="0" w:color="auto"/>
        <w:bottom w:val="none" w:sz="0" w:space="0" w:color="auto"/>
        <w:right w:val="none" w:sz="0" w:space="0" w:color="auto"/>
      </w:divBdr>
    </w:div>
    <w:div w:id="1098016806">
      <w:bodyDiv w:val="1"/>
      <w:marLeft w:val="0"/>
      <w:marRight w:val="0"/>
      <w:marTop w:val="0"/>
      <w:marBottom w:val="0"/>
      <w:divBdr>
        <w:top w:val="none" w:sz="0" w:space="0" w:color="auto"/>
        <w:left w:val="none" w:sz="0" w:space="0" w:color="auto"/>
        <w:bottom w:val="none" w:sz="0" w:space="0" w:color="auto"/>
        <w:right w:val="none" w:sz="0" w:space="0" w:color="auto"/>
      </w:divBdr>
    </w:div>
    <w:div w:id="1108893893">
      <w:bodyDiv w:val="1"/>
      <w:marLeft w:val="0"/>
      <w:marRight w:val="0"/>
      <w:marTop w:val="0"/>
      <w:marBottom w:val="0"/>
      <w:divBdr>
        <w:top w:val="none" w:sz="0" w:space="0" w:color="auto"/>
        <w:left w:val="none" w:sz="0" w:space="0" w:color="auto"/>
        <w:bottom w:val="none" w:sz="0" w:space="0" w:color="auto"/>
        <w:right w:val="none" w:sz="0" w:space="0" w:color="auto"/>
      </w:divBdr>
    </w:div>
    <w:div w:id="1119684747">
      <w:bodyDiv w:val="1"/>
      <w:marLeft w:val="0"/>
      <w:marRight w:val="0"/>
      <w:marTop w:val="0"/>
      <w:marBottom w:val="0"/>
      <w:divBdr>
        <w:top w:val="none" w:sz="0" w:space="0" w:color="auto"/>
        <w:left w:val="none" w:sz="0" w:space="0" w:color="auto"/>
        <w:bottom w:val="none" w:sz="0" w:space="0" w:color="auto"/>
        <w:right w:val="none" w:sz="0" w:space="0" w:color="auto"/>
      </w:divBdr>
    </w:div>
    <w:div w:id="1140927244">
      <w:bodyDiv w:val="1"/>
      <w:marLeft w:val="0"/>
      <w:marRight w:val="0"/>
      <w:marTop w:val="0"/>
      <w:marBottom w:val="0"/>
      <w:divBdr>
        <w:top w:val="none" w:sz="0" w:space="0" w:color="auto"/>
        <w:left w:val="none" w:sz="0" w:space="0" w:color="auto"/>
        <w:bottom w:val="none" w:sz="0" w:space="0" w:color="auto"/>
        <w:right w:val="none" w:sz="0" w:space="0" w:color="auto"/>
      </w:divBdr>
    </w:div>
    <w:div w:id="1158770839">
      <w:bodyDiv w:val="1"/>
      <w:marLeft w:val="0"/>
      <w:marRight w:val="0"/>
      <w:marTop w:val="0"/>
      <w:marBottom w:val="0"/>
      <w:divBdr>
        <w:top w:val="none" w:sz="0" w:space="0" w:color="auto"/>
        <w:left w:val="none" w:sz="0" w:space="0" w:color="auto"/>
        <w:bottom w:val="none" w:sz="0" w:space="0" w:color="auto"/>
        <w:right w:val="none" w:sz="0" w:space="0" w:color="auto"/>
      </w:divBdr>
    </w:div>
    <w:div w:id="1160776415">
      <w:bodyDiv w:val="1"/>
      <w:marLeft w:val="0"/>
      <w:marRight w:val="0"/>
      <w:marTop w:val="0"/>
      <w:marBottom w:val="0"/>
      <w:divBdr>
        <w:top w:val="none" w:sz="0" w:space="0" w:color="auto"/>
        <w:left w:val="none" w:sz="0" w:space="0" w:color="auto"/>
        <w:bottom w:val="none" w:sz="0" w:space="0" w:color="auto"/>
        <w:right w:val="none" w:sz="0" w:space="0" w:color="auto"/>
      </w:divBdr>
    </w:div>
    <w:div w:id="1175194019">
      <w:bodyDiv w:val="1"/>
      <w:marLeft w:val="0"/>
      <w:marRight w:val="0"/>
      <w:marTop w:val="0"/>
      <w:marBottom w:val="0"/>
      <w:divBdr>
        <w:top w:val="none" w:sz="0" w:space="0" w:color="auto"/>
        <w:left w:val="none" w:sz="0" w:space="0" w:color="auto"/>
        <w:bottom w:val="none" w:sz="0" w:space="0" w:color="auto"/>
        <w:right w:val="none" w:sz="0" w:space="0" w:color="auto"/>
      </w:divBdr>
      <w:divsChild>
        <w:div w:id="1246648981">
          <w:marLeft w:val="0"/>
          <w:marRight w:val="0"/>
          <w:marTop w:val="0"/>
          <w:marBottom w:val="0"/>
          <w:divBdr>
            <w:top w:val="none" w:sz="0" w:space="0" w:color="auto"/>
            <w:left w:val="none" w:sz="0" w:space="0" w:color="auto"/>
            <w:bottom w:val="none" w:sz="0" w:space="0" w:color="auto"/>
            <w:right w:val="none" w:sz="0" w:space="0" w:color="auto"/>
          </w:divBdr>
          <w:divsChild>
            <w:div w:id="1735856411">
              <w:marLeft w:val="0"/>
              <w:marRight w:val="0"/>
              <w:marTop w:val="0"/>
              <w:marBottom w:val="0"/>
              <w:divBdr>
                <w:top w:val="none" w:sz="0" w:space="0" w:color="auto"/>
                <w:left w:val="none" w:sz="0" w:space="0" w:color="auto"/>
                <w:bottom w:val="none" w:sz="0" w:space="0" w:color="auto"/>
                <w:right w:val="none" w:sz="0" w:space="0" w:color="auto"/>
              </w:divBdr>
            </w:div>
          </w:divsChild>
        </w:div>
        <w:div w:id="1880313933">
          <w:marLeft w:val="0"/>
          <w:marRight w:val="0"/>
          <w:marTop w:val="0"/>
          <w:marBottom w:val="0"/>
          <w:divBdr>
            <w:top w:val="none" w:sz="0" w:space="0" w:color="auto"/>
            <w:left w:val="none" w:sz="0" w:space="0" w:color="auto"/>
            <w:bottom w:val="none" w:sz="0" w:space="0" w:color="auto"/>
            <w:right w:val="none" w:sz="0" w:space="0" w:color="auto"/>
          </w:divBdr>
          <w:divsChild>
            <w:div w:id="206564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4729">
      <w:bodyDiv w:val="1"/>
      <w:marLeft w:val="0"/>
      <w:marRight w:val="0"/>
      <w:marTop w:val="0"/>
      <w:marBottom w:val="0"/>
      <w:divBdr>
        <w:top w:val="none" w:sz="0" w:space="0" w:color="auto"/>
        <w:left w:val="none" w:sz="0" w:space="0" w:color="auto"/>
        <w:bottom w:val="none" w:sz="0" w:space="0" w:color="auto"/>
        <w:right w:val="none" w:sz="0" w:space="0" w:color="auto"/>
      </w:divBdr>
    </w:div>
    <w:div w:id="1187987421">
      <w:bodyDiv w:val="1"/>
      <w:marLeft w:val="0"/>
      <w:marRight w:val="0"/>
      <w:marTop w:val="0"/>
      <w:marBottom w:val="0"/>
      <w:divBdr>
        <w:top w:val="none" w:sz="0" w:space="0" w:color="auto"/>
        <w:left w:val="none" w:sz="0" w:space="0" w:color="auto"/>
        <w:bottom w:val="none" w:sz="0" w:space="0" w:color="auto"/>
        <w:right w:val="none" w:sz="0" w:space="0" w:color="auto"/>
      </w:divBdr>
    </w:div>
    <w:div w:id="1206599204">
      <w:bodyDiv w:val="1"/>
      <w:marLeft w:val="0"/>
      <w:marRight w:val="0"/>
      <w:marTop w:val="0"/>
      <w:marBottom w:val="0"/>
      <w:divBdr>
        <w:top w:val="none" w:sz="0" w:space="0" w:color="auto"/>
        <w:left w:val="none" w:sz="0" w:space="0" w:color="auto"/>
        <w:bottom w:val="none" w:sz="0" w:space="0" w:color="auto"/>
        <w:right w:val="none" w:sz="0" w:space="0" w:color="auto"/>
      </w:divBdr>
    </w:div>
    <w:div w:id="1230725364">
      <w:bodyDiv w:val="1"/>
      <w:marLeft w:val="0"/>
      <w:marRight w:val="0"/>
      <w:marTop w:val="0"/>
      <w:marBottom w:val="0"/>
      <w:divBdr>
        <w:top w:val="none" w:sz="0" w:space="0" w:color="auto"/>
        <w:left w:val="none" w:sz="0" w:space="0" w:color="auto"/>
        <w:bottom w:val="none" w:sz="0" w:space="0" w:color="auto"/>
        <w:right w:val="none" w:sz="0" w:space="0" w:color="auto"/>
      </w:divBdr>
    </w:div>
    <w:div w:id="1252737246">
      <w:bodyDiv w:val="1"/>
      <w:marLeft w:val="0"/>
      <w:marRight w:val="0"/>
      <w:marTop w:val="0"/>
      <w:marBottom w:val="0"/>
      <w:divBdr>
        <w:top w:val="none" w:sz="0" w:space="0" w:color="auto"/>
        <w:left w:val="none" w:sz="0" w:space="0" w:color="auto"/>
        <w:bottom w:val="none" w:sz="0" w:space="0" w:color="auto"/>
        <w:right w:val="none" w:sz="0" w:space="0" w:color="auto"/>
      </w:divBdr>
    </w:div>
    <w:div w:id="1305816497">
      <w:bodyDiv w:val="1"/>
      <w:marLeft w:val="0"/>
      <w:marRight w:val="0"/>
      <w:marTop w:val="0"/>
      <w:marBottom w:val="0"/>
      <w:divBdr>
        <w:top w:val="none" w:sz="0" w:space="0" w:color="auto"/>
        <w:left w:val="none" w:sz="0" w:space="0" w:color="auto"/>
        <w:bottom w:val="none" w:sz="0" w:space="0" w:color="auto"/>
        <w:right w:val="none" w:sz="0" w:space="0" w:color="auto"/>
      </w:divBdr>
    </w:div>
    <w:div w:id="1352604217">
      <w:bodyDiv w:val="1"/>
      <w:marLeft w:val="0"/>
      <w:marRight w:val="0"/>
      <w:marTop w:val="0"/>
      <w:marBottom w:val="0"/>
      <w:divBdr>
        <w:top w:val="none" w:sz="0" w:space="0" w:color="auto"/>
        <w:left w:val="none" w:sz="0" w:space="0" w:color="auto"/>
        <w:bottom w:val="none" w:sz="0" w:space="0" w:color="auto"/>
        <w:right w:val="none" w:sz="0" w:space="0" w:color="auto"/>
      </w:divBdr>
    </w:div>
    <w:div w:id="1365016284">
      <w:bodyDiv w:val="1"/>
      <w:marLeft w:val="0"/>
      <w:marRight w:val="0"/>
      <w:marTop w:val="0"/>
      <w:marBottom w:val="0"/>
      <w:divBdr>
        <w:top w:val="none" w:sz="0" w:space="0" w:color="auto"/>
        <w:left w:val="none" w:sz="0" w:space="0" w:color="auto"/>
        <w:bottom w:val="none" w:sz="0" w:space="0" w:color="auto"/>
        <w:right w:val="none" w:sz="0" w:space="0" w:color="auto"/>
      </w:divBdr>
    </w:div>
    <w:div w:id="1368019767">
      <w:bodyDiv w:val="1"/>
      <w:marLeft w:val="0"/>
      <w:marRight w:val="0"/>
      <w:marTop w:val="0"/>
      <w:marBottom w:val="0"/>
      <w:divBdr>
        <w:top w:val="none" w:sz="0" w:space="0" w:color="auto"/>
        <w:left w:val="none" w:sz="0" w:space="0" w:color="auto"/>
        <w:bottom w:val="none" w:sz="0" w:space="0" w:color="auto"/>
        <w:right w:val="none" w:sz="0" w:space="0" w:color="auto"/>
      </w:divBdr>
    </w:div>
    <w:div w:id="1404718340">
      <w:bodyDiv w:val="1"/>
      <w:marLeft w:val="0"/>
      <w:marRight w:val="0"/>
      <w:marTop w:val="0"/>
      <w:marBottom w:val="0"/>
      <w:divBdr>
        <w:top w:val="none" w:sz="0" w:space="0" w:color="auto"/>
        <w:left w:val="none" w:sz="0" w:space="0" w:color="auto"/>
        <w:bottom w:val="none" w:sz="0" w:space="0" w:color="auto"/>
        <w:right w:val="none" w:sz="0" w:space="0" w:color="auto"/>
      </w:divBdr>
    </w:div>
    <w:div w:id="1416323564">
      <w:bodyDiv w:val="1"/>
      <w:marLeft w:val="0"/>
      <w:marRight w:val="0"/>
      <w:marTop w:val="0"/>
      <w:marBottom w:val="0"/>
      <w:divBdr>
        <w:top w:val="none" w:sz="0" w:space="0" w:color="auto"/>
        <w:left w:val="none" w:sz="0" w:space="0" w:color="auto"/>
        <w:bottom w:val="none" w:sz="0" w:space="0" w:color="auto"/>
        <w:right w:val="none" w:sz="0" w:space="0" w:color="auto"/>
      </w:divBdr>
    </w:div>
    <w:div w:id="1426153719">
      <w:bodyDiv w:val="1"/>
      <w:marLeft w:val="0"/>
      <w:marRight w:val="0"/>
      <w:marTop w:val="0"/>
      <w:marBottom w:val="0"/>
      <w:divBdr>
        <w:top w:val="none" w:sz="0" w:space="0" w:color="auto"/>
        <w:left w:val="none" w:sz="0" w:space="0" w:color="auto"/>
        <w:bottom w:val="none" w:sz="0" w:space="0" w:color="auto"/>
        <w:right w:val="none" w:sz="0" w:space="0" w:color="auto"/>
      </w:divBdr>
    </w:div>
    <w:div w:id="1482893052">
      <w:bodyDiv w:val="1"/>
      <w:marLeft w:val="0"/>
      <w:marRight w:val="0"/>
      <w:marTop w:val="0"/>
      <w:marBottom w:val="0"/>
      <w:divBdr>
        <w:top w:val="none" w:sz="0" w:space="0" w:color="auto"/>
        <w:left w:val="none" w:sz="0" w:space="0" w:color="auto"/>
        <w:bottom w:val="none" w:sz="0" w:space="0" w:color="auto"/>
        <w:right w:val="none" w:sz="0" w:space="0" w:color="auto"/>
      </w:divBdr>
    </w:div>
    <w:div w:id="1507790384">
      <w:bodyDiv w:val="1"/>
      <w:marLeft w:val="0"/>
      <w:marRight w:val="0"/>
      <w:marTop w:val="0"/>
      <w:marBottom w:val="0"/>
      <w:divBdr>
        <w:top w:val="none" w:sz="0" w:space="0" w:color="auto"/>
        <w:left w:val="none" w:sz="0" w:space="0" w:color="auto"/>
        <w:bottom w:val="none" w:sz="0" w:space="0" w:color="auto"/>
        <w:right w:val="none" w:sz="0" w:space="0" w:color="auto"/>
      </w:divBdr>
    </w:div>
    <w:div w:id="1513032439">
      <w:bodyDiv w:val="1"/>
      <w:marLeft w:val="0"/>
      <w:marRight w:val="0"/>
      <w:marTop w:val="0"/>
      <w:marBottom w:val="0"/>
      <w:divBdr>
        <w:top w:val="none" w:sz="0" w:space="0" w:color="auto"/>
        <w:left w:val="none" w:sz="0" w:space="0" w:color="auto"/>
        <w:bottom w:val="none" w:sz="0" w:space="0" w:color="auto"/>
        <w:right w:val="none" w:sz="0" w:space="0" w:color="auto"/>
      </w:divBdr>
    </w:div>
    <w:div w:id="1522084721">
      <w:bodyDiv w:val="1"/>
      <w:marLeft w:val="0"/>
      <w:marRight w:val="0"/>
      <w:marTop w:val="0"/>
      <w:marBottom w:val="0"/>
      <w:divBdr>
        <w:top w:val="none" w:sz="0" w:space="0" w:color="auto"/>
        <w:left w:val="none" w:sz="0" w:space="0" w:color="auto"/>
        <w:bottom w:val="none" w:sz="0" w:space="0" w:color="auto"/>
        <w:right w:val="none" w:sz="0" w:space="0" w:color="auto"/>
      </w:divBdr>
    </w:div>
    <w:div w:id="1522208730">
      <w:bodyDiv w:val="1"/>
      <w:marLeft w:val="0"/>
      <w:marRight w:val="0"/>
      <w:marTop w:val="0"/>
      <w:marBottom w:val="0"/>
      <w:divBdr>
        <w:top w:val="none" w:sz="0" w:space="0" w:color="auto"/>
        <w:left w:val="none" w:sz="0" w:space="0" w:color="auto"/>
        <w:bottom w:val="none" w:sz="0" w:space="0" w:color="auto"/>
        <w:right w:val="none" w:sz="0" w:space="0" w:color="auto"/>
      </w:divBdr>
    </w:div>
    <w:div w:id="1526207637">
      <w:bodyDiv w:val="1"/>
      <w:marLeft w:val="0"/>
      <w:marRight w:val="0"/>
      <w:marTop w:val="0"/>
      <w:marBottom w:val="0"/>
      <w:divBdr>
        <w:top w:val="none" w:sz="0" w:space="0" w:color="auto"/>
        <w:left w:val="none" w:sz="0" w:space="0" w:color="auto"/>
        <w:bottom w:val="none" w:sz="0" w:space="0" w:color="auto"/>
        <w:right w:val="none" w:sz="0" w:space="0" w:color="auto"/>
      </w:divBdr>
    </w:div>
    <w:div w:id="1534491865">
      <w:bodyDiv w:val="1"/>
      <w:marLeft w:val="0"/>
      <w:marRight w:val="0"/>
      <w:marTop w:val="0"/>
      <w:marBottom w:val="0"/>
      <w:divBdr>
        <w:top w:val="none" w:sz="0" w:space="0" w:color="auto"/>
        <w:left w:val="none" w:sz="0" w:space="0" w:color="auto"/>
        <w:bottom w:val="none" w:sz="0" w:space="0" w:color="auto"/>
        <w:right w:val="none" w:sz="0" w:space="0" w:color="auto"/>
      </w:divBdr>
      <w:divsChild>
        <w:div w:id="1242183726">
          <w:marLeft w:val="0"/>
          <w:marRight w:val="0"/>
          <w:marTop w:val="0"/>
          <w:marBottom w:val="0"/>
          <w:divBdr>
            <w:top w:val="none" w:sz="0" w:space="0" w:color="auto"/>
            <w:left w:val="none" w:sz="0" w:space="0" w:color="auto"/>
            <w:bottom w:val="none" w:sz="0" w:space="0" w:color="auto"/>
            <w:right w:val="none" w:sz="0" w:space="0" w:color="auto"/>
          </w:divBdr>
          <w:divsChild>
            <w:div w:id="1086465769">
              <w:marLeft w:val="0"/>
              <w:marRight w:val="0"/>
              <w:marTop w:val="0"/>
              <w:marBottom w:val="0"/>
              <w:divBdr>
                <w:top w:val="none" w:sz="0" w:space="0" w:color="auto"/>
                <w:left w:val="none" w:sz="0" w:space="0" w:color="auto"/>
                <w:bottom w:val="none" w:sz="0" w:space="0" w:color="auto"/>
                <w:right w:val="none" w:sz="0" w:space="0" w:color="auto"/>
              </w:divBdr>
              <w:divsChild>
                <w:div w:id="905382691">
                  <w:marLeft w:val="0"/>
                  <w:marRight w:val="0"/>
                  <w:marTop w:val="0"/>
                  <w:marBottom w:val="0"/>
                  <w:divBdr>
                    <w:top w:val="none" w:sz="0" w:space="0" w:color="auto"/>
                    <w:left w:val="none" w:sz="0" w:space="0" w:color="auto"/>
                    <w:bottom w:val="none" w:sz="0" w:space="0" w:color="auto"/>
                    <w:right w:val="none" w:sz="0" w:space="0" w:color="auto"/>
                  </w:divBdr>
                  <w:divsChild>
                    <w:div w:id="1875189837">
                      <w:marLeft w:val="0"/>
                      <w:marRight w:val="0"/>
                      <w:marTop w:val="0"/>
                      <w:marBottom w:val="0"/>
                      <w:divBdr>
                        <w:top w:val="none" w:sz="0" w:space="0" w:color="auto"/>
                        <w:left w:val="none" w:sz="0" w:space="0" w:color="auto"/>
                        <w:bottom w:val="none" w:sz="0" w:space="0" w:color="auto"/>
                        <w:right w:val="none" w:sz="0" w:space="0" w:color="auto"/>
                      </w:divBdr>
                      <w:divsChild>
                        <w:div w:id="1131244251">
                          <w:marLeft w:val="0"/>
                          <w:marRight w:val="0"/>
                          <w:marTop w:val="0"/>
                          <w:marBottom w:val="0"/>
                          <w:divBdr>
                            <w:top w:val="none" w:sz="0" w:space="0" w:color="auto"/>
                            <w:left w:val="none" w:sz="0" w:space="0" w:color="auto"/>
                            <w:bottom w:val="none" w:sz="0" w:space="0" w:color="auto"/>
                            <w:right w:val="none" w:sz="0" w:space="0" w:color="auto"/>
                          </w:divBdr>
                          <w:divsChild>
                            <w:div w:id="64962259">
                              <w:marLeft w:val="0"/>
                              <w:marRight w:val="0"/>
                              <w:marTop w:val="0"/>
                              <w:marBottom w:val="0"/>
                              <w:divBdr>
                                <w:top w:val="none" w:sz="0" w:space="0" w:color="auto"/>
                                <w:left w:val="none" w:sz="0" w:space="0" w:color="auto"/>
                                <w:bottom w:val="none" w:sz="0" w:space="0" w:color="auto"/>
                                <w:right w:val="none" w:sz="0" w:space="0" w:color="auto"/>
                              </w:divBdr>
                              <w:divsChild>
                                <w:div w:id="776944027">
                                  <w:marLeft w:val="0"/>
                                  <w:marRight w:val="0"/>
                                  <w:marTop w:val="0"/>
                                  <w:marBottom w:val="0"/>
                                  <w:divBdr>
                                    <w:top w:val="none" w:sz="0" w:space="0" w:color="auto"/>
                                    <w:left w:val="none" w:sz="0" w:space="0" w:color="auto"/>
                                    <w:bottom w:val="none" w:sz="0" w:space="0" w:color="auto"/>
                                    <w:right w:val="none" w:sz="0" w:space="0" w:color="auto"/>
                                  </w:divBdr>
                                  <w:divsChild>
                                    <w:div w:id="76487590">
                                      <w:marLeft w:val="0"/>
                                      <w:marRight w:val="0"/>
                                      <w:marTop w:val="0"/>
                                      <w:marBottom w:val="0"/>
                                      <w:divBdr>
                                        <w:top w:val="none" w:sz="0" w:space="0" w:color="auto"/>
                                        <w:left w:val="none" w:sz="0" w:space="0" w:color="auto"/>
                                        <w:bottom w:val="none" w:sz="0" w:space="0" w:color="auto"/>
                                        <w:right w:val="none" w:sz="0" w:space="0" w:color="auto"/>
                                      </w:divBdr>
                                      <w:divsChild>
                                        <w:div w:id="678702413">
                                          <w:marLeft w:val="0"/>
                                          <w:marRight w:val="0"/>
                                          <w:marTop w:val="0"/>
                                          <w:marBottom w:val="0"/>
                                          <w:divBdr>
                                            <w:top w:val="none" w:sz="0" w:space="0" w:color="auto"/>
                                            <w:left w:val="none" w:sz="0" w:space="0" w:color="auto"/>
                                            <w:bottom w:val="none" w:sz="0" w:space="0" w:color="auto"/>
                                            <w:right w:val="none" w:sz="0" w:space="0" w:color="auto"/>
                                          </w:divBdr>
                                          <w:divsChild>
                                            <w:div w:id="592512728">
                                              <w:marLeft w:val="0"/>
                                              <w:marRight w:val="0"/>
                                              <w:marTop w:val="0"/>
                                              <w:marBottom w:val="0"/>
                                              <w:divBdr>
                                                <w:top w:val="none" w:sz="0" w:space="0" w:color="auto"/>
                                                <w:left w:val="none" w:sz="0" w:space="0" w:color="auto"/>
                                                <w:bottom w:val="none" w:sz="0" w:space="0" w:color="auto"/>
                                                <w:right w:val="none" w:sz="0" w:space="0" w:color="auto"/>
                                              </w:divBdr>
                                              <w:divsChild>
                                                <w:div w:id="57048801">
                                                  <w:marLeft w:val="0"/>
                                                  <w:marRight w:val="0"/>
                                                  <w:marTop w:val="0"/>
                                                  <w:marBottom w:val="0"/>
                                                  <w:divBdr>
                                                    <w:top w:val="none" w:sz="0" w:space="0" w:color="auto"/>
                                                    <w:left w:val="none" w:sz="0" w:space="0" w:color="auto"/>
                                                    <w:bottom w:val="none" w:sz="0" w:space="0" w:color="auto"/>
                                                    <w:right w:val="none" w:sz="0" w:space="0" w:color="auto"/>
                                                  </w:divBdr>
                                                  <w:divsChild>
                                                    <w:div w:id="1918897727">
                                                      <w:marLeft w:val="0"/>
                                                      <w:marRight w:val="0"/>
                                                      <w:marTop w:val="0"/>
                                                      <w:marBottom w:val="0"/>
                                                      <w:divBdr>
                                                        <w:top w:val="none" w:sz="0" w:space="0" w:color="auto"/>
                                                        <w:left w:val="none" w:sz="0" w:space="0" w:color="auto"/>
                                                        <w:bottom w:val="none" w:sz="0" w:space="0" w:color="auto"/>
                                                        <w:right w:val="none" w:sz="0" w:space="0" w:color="auto"/>
                                                      </w:divBdr>
                                                      <w:divsChild>
                                                        <w:div w:id="209905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1043238">
      <w:bodyDiv w:val="1"/>
      <w:marLeft w:val="0"/>
      <w:marRight w:val="0"/>
      <w:marTop w:val="0"/>
      <w:marBottom w:val="0"/>
      <w:divBdr>
        <w:top w:val="none" w:sz="0" w:space="0" w:color="auto"/>
        <w:left w:val="none" w:sz="0" w:space="0" w:color="auto"/>
        <w:bottom w:val="none" w:sz="0" w:space="0" w:color="auto"/>
        <w:right w:val="none" w:sz="0" w:space="0" w:color="auto"/>
      </w:divBdr>
    </w:div>
    <w:div w:id="1555581497">
      <w:bodyDiv w:val="1"/>
      <w:marLeft w:val="0"/>
      <w:marRight w:val="0"/>
      <w:marTop w:val="0"/>
      <w:marBottom w:val="0"/>
      <w:divBdr>
        <w:top w:val="none" w:sz="0" w:space="0" w:color="auto"/>
        <w:left w:val="none" w:sz="0" w:space="0" w:color="auto"/>
        <w:bottom w:val="none" w:sz="0" w:space="0" w:color="auto"/>
        <w:right w:val="none" w:sz="0" w:space="0" w:color="auto"/>
      </w:divBdr>
    </w:div>
    <w:div w:id="1562862022">
      <w:bodyDiv w:val="1"/>
      <w:marLeft w:val="0"/>
      <w:marRight w:val="0"/>
      <w:marTop w:val="0"/>
      <w:marBottom w:val="0"/>
      <w:divBdr>
        <w:top w:val="none" w:sz="0" w:space="0" w:color="auto"/>
        <w:left w:val="none" w:sz="0" w:space="0" w:color="auto"/>
        <w:bottom w:val="none" w:sz="0" w:space="0" w:color="auto"/>
        <w:right w:val="none" w:sz="0" w:space="0" w:color="auto"/>
      </w:divBdr>
    </w:div>
    <w:div w:id="1606235066">
      <w:bodyDiv w:val="1"/>
      <w:marLeft w:val="0"/>
      <w:marRight w:val="0"/>
      <w:marTop w:val="0"/>
      <w:marBottom w:val="0"/>
      <w:divBdr>
        <w:top w:val="none" w:sz="0" w:space="0" w:color="auto"/>
        <w:left w:val="none" w:sz="0" w:space="0" w:color="auto"/>
        <w:bottom w:val="none" w:sz="0" w:space="0" w:color="auto"/>
        <w:right w:val="none" w:sz="0" w:space="0" w:color="auto"/>
      </w:divBdr>
    </w:div>
    <w:div w:id="1613365497">
      <w:bodyDiv w:val="1"/>
      <w:marLeft w:val="0"/>
      <w:marRight w:val="0"/>
      <w:marTop w:val="0"/>
      <w:marBottom w:val="0"/>
      <w:divBdr>
        <w:top w:val="none" w:sz="0" w:space="0" w:color="auto"/>
        <w:left w:val="none" w:sz="0" w:space="0" w:color="auto"/>
        <w:bottom w:val="none" w:sz="0" w:space="0" w:color="auto"/>
        <w:right w:val="none" w:sz="0" w:space="0" w:color="auto"/>
      </w:divBdr>
    </w:div>
    <w:div w:id="1641497526">
      <w:bodyDiv w:val="1"/>
      <w:marLeft w:val="0"/>
      <w:marRight w:val="0"/>
      <w:marTop w:val="0"/>
      <w:marBottom w:val="0"/>
      <w:divBdr>
        <w:top w:val="none" w:sz="0" w:space="0" w:color="auto"/>
        <w:left w:val="none" w:sz="0" w:space="0" w:color="auto"/>
        <w:bottom w:val="none" w:sz="0" w:space="0" w:color="auto"/>
        <w:right w:val="none" w:sz="0" w:space="0" w:color="auto"/>
      </w:divBdr>
    </w:div>
    <w:div w:id="1652905862">
      <w:bodyDiv w:val="1"/>
      <w:marLeft w:val="0"/>
      <w:marRight w:val="0"/>
      <w:marTop w:val="0"/>
      <w:marBottom w:val="0"/>
      <w:divBdr>
        <w:top w:val="none" w:sz="0" w:space="0" w:color="auto"/>
        <w:left w:val="none" w:sz="0" w:space="0" w:color="auto"/>
        <w:bottom w:val="none" w:sz="0" w:space="0" w:color="auto"/>
        <w:right w:val="none" w:sz="0" w:space="0" w:color="auto"/>
      </w:divBdr>
    </w:div>
    <w:div w:id="1684700624">
      <w:bodyDiv w:val="1"/>
      <w:marLeft w:val="0"/>
      <w:marRight w:val="0"/>
      <w:marTop w:val="0"/>
      <w:marBottom w:val="0"/>
      <w:divBdr>
        <w:top w:val="none" w:sz="0" w:space="0" w:color="auto"/>
        <w:left w:val="none" w:sz="0" w:space="0" w:color="auto"/>
        <w:bottom w:val="none" w:sz="0" w:space="0" w:color="auto"/>
        <w:right w:val="none" w:sz="0" w:space="0" w:color="auto"/>
      </w:divBdr>
    </w:div>
    <w:div w:id="1692486293">
      <w:bodyDiv w:val="1"/>
      <w:marLeft w:val="0"/>
      <w:marRight w:val="0"/>
      <w:marTop w:val="0"/>
      <w:marBottom w:val="0"/>
      <w:divBdr>
        <w:top w:val="none" w:sz="0" w:space="0" w:color="auto"/>
        <w:left w:val="none" w:sz="0" w:space="0" w:color="auto"/>
        <w:bottom w:val="none" w:sz="0" w:space="0" w:color="auto"/>
        <w:right w:val="none" w:sz="0" w:space="0" w:color="auto"/>
      </w:divBdr>
    </w:div>
    <w:div w:id="1702972545">
      <w:bodyDiv w:val="1"/>
      <w:marLeft w:val="0"/>
      <w:marRight w:val="0"/>
      <w:marTop w:val="0"/>
      <w:marBottom w:val="0"/>
      <w:divBdr>
        <w:top w:val="none" w:sz="0" w:space="0" w:color="auto"/>
        <w:left w:val="none" w:sz="0" w:space="0" w:color="auto"/>
        <w:bottom w:val="none" w:sz="0" w:space="0" w:color="auto"/>
        <w:right w:val="none" w:sz="0" w:space="0" w:color="auto"/>
      </w:divBdr>
    </w:div>
    <w:div w:id="1715353339">
      <w:bodyDiv w:val="1"/>
      <w:marLeft w:val="0"/>
      <w:marRight w:val="0"/>
      <w:marTop w:val="0"/>
      <w:marBottom w:val="0"/>
      <w:divBdr>
        <w:top w:val="none" w:sz="0" w:space="0" w:color="auto"/>
        <w:left w:val="none" w:sz="0" w:space="0" w:color="auto"/>
        <w:bottom w:val="none" w:sz="0" w:space="0" w:color="auto"/>
        <w:right w:val="none" w:sz="0" w:space="0" w:color="auto"/>
      </w:divBdr>
    </w:div>
    <w:div w:id="1728527189">
      <w:bodyDiv w:val="1"/>
      <w:marLeft w:val="0"/>
      <w:marRight w:val="0"/>
      <w:marTop w:val="0"/>
      <w:marBottom w:val="0"/>
      <w:divBdr>
        <w:top w:val="none" w:sz="0" w:space="0" w:color="auto"/>
        <w:left w:val="none" w:sz="0" w:space="0" w:color="auto"/>
        <w:bottom w:val="none" w:sz="0" w:space="0" w:color="auto"/>
        <w:right w:val="none" w:sz="0" w:space="0" w:color="auto"/>
      </w:divBdr>
    </w:div>
    <w:div w:id="1758673577">
      <w:bodyDiv w:val="1"/>
      <w:marLeft w:val="0"/>
      <w:marRight w:val="0"/>
      <w:marTop w:val="0"/>
      <w:marBottom w:val="0"/>
      <w:divBdr>
        <w:top w:val="none" w:sz="0" w:space="0" w:color="auto"/>
        <w:left w:val="none" w:sz="0" w:space="0" w:color="auto"/>
        <w:bottom w:val="none" w:sz="0" w:space="0" w:color="auto"/>
        <w:right w:val="none" w:sz="0" w:space="0" w:color="auto"/>
      </w:divBdr>
    </w:div>
    <w:div w:id="1774402138">
      <w:bodyDiv w:val="1"/>
      <w:marLeft w:val="0"/>
      <w:marRight w:val="0"/>
      <w:marTop w:val="0"/>
      <w:marBottom w:val="0"/>
      <w:divBdr>
        <w:top w:val="none" w:sz="0" w:space="0" w:color="auto"/>
        <w:left w:val="none" w:sz="0" w:space="0" w:color="auto"/>
        <w:bottom w:val="none" w:sz="0" w:space="0" w:color="auto"/>
        <w:right w:val="none" w:sz="0" w:space="0" w:color="auto"/>
      </w:divBdr>
    </w:div>
    <w:div w:id="1778791999">
      <w:bodyDiv w:val="1"/>
      <w:marLeft w:val="0"/>
      <w:marRight w:val="0"/>
      <w:marTop w:val="0"/>
      <w:marBottom w:val="0"/>
      <w:divBdr>
        <w:top w:val="none" w:sz="0" w:space="0" w:color="auto"/>
        <w:left w:val="none" w:sz="0" w:space="0" w:color="auto"/>
        <w:bottom w:val="none" w:sz="0" w:space="0" w:color="auto"/>
        <w:right w:val="none" w:sz="0" w:space="0" w:color="auto"/>
      </w:divBdr>
    </w:div>
    <w:div w:id="1789815831">
      <w:bodyDiv w:val="1"/>
      <w:marLeft w:val="0"/>
      <w:marRight w:val="0"/>
      <w:marTop w:val="0"/>
      <w:marBottom w:val="0"/>
      <w:divBdr>
        <w:top w:val="none" w:sz="0" w:space="0" w:color="auto"/>
        <w:left w:val="none" w:sz="0" w:space="0" w:color="auto"/>
        <w:bottom w:val="none" w:sz="0" w:space="0" w:color="auto"/>
        <w:right w:val="none" w:sz="0" w:space="0" w:color="auto"/>
      </w:divBdr>
    </w:div>
    <w:div w:id="1797604672">
      <w:bodyDiv w:val="1"/>
      <w:marLeft w:val="0"/>
      <w:marRight w:val="0"/>
      <w:marTop w:val="0"/>
      <w:marBottom w:val="0"/>
      <w:divBdr>
        <w:top w:val="none" w:sz="0" w:space="0" w:color="auto"/>
        <w:left w:val="none" w:sz="0" w:space="0" w:color="auto"/>
        <w:bottom w:val="none" w:sz="0" w:space="0" w:color="auto"/>
        <w:right w:val="none" w:sz="0" w:space="0" w:color="auto"/>
      </w:divBdr>
    </w:div>
    <w:div w:id="1802726264">
      <w:bodyDiv w:val="1"/>
      <w:marLeft w:val="0"/>
      <w:marRight w:val="0"/>
      <w:marTop w:val="0"/>
      <w:marBottom w:val="0"/>
      <w:divBdr>
        <w:top w:val="none" w:sz="0" w:space="0" w:color="auto"/>
        <w:left w:val="none" w:sz="0" w:space="0" w:color="auto"/>
        <w:bottom w:val="none" w:sz="0" w:space="0" w:color="auto"/>
        <w:right w:val="none" w:sz="0" w:space="0" w:color="auto"/>
      </w:divBdr>
    </w:div>
    <w:div w:id="1817410018">
      <w:bodyDiv w:val="1"/>
      <w:marLeft w:val="0"/>
      <w:marRight w:val="0"/>
      <w:marTop w:val="0"/>
      <w:marBottom w:val="0"/>
      <w:divBdr>
        <w:top w:val="none" w:sz="0" w:space="0" w:color="auto"/>
        <w:left w:val="none" w:sz="0" w:space="0" w:color="auto"/>
        <w:bottom w:val="none" w:sz="0" w:space="0" w:color="auto"/>
        <w:right w:val="none" w:sz="0" w:space="0" w:color="auto"/>
      </w:divBdr>
    </w:div>
    <w:div w:id="1827698614">
      <w:bodyDiv w:val="1"/>
      <w:marLeft w:val="0"/>
      <w:marRight w:val="0"/>
      <w:marTop w:val="0"/>
      <w:marBottom w:val="0"/>
      <w:divBdr>
        <w:top w:val="none" w:sz="0" w:space="0" w:color="auto"/>
        <w:left w:val="none" w:sz="0" w:space="0" w:color="auto"/>
        <w:bottom w:val="none" w:sz="0" w:space="0" w:color="auto"/>
        <w:right w:val="none" w:sz="0" w:space="0" w:color="auto"/>
      </w:divBdr>
    </w:div>
    <w:div w:id="1879703666">
      <w:bodyDiv w:val="1"/>
      <w:marLeft w:val="0"/>
      <w:marRight w:val="0"/>
      <w:marTop w:val="0"/>
      <w:marBottom w:val="0"/>
      <w:divBdr>
        <w:top w:val="none" w:sz="0" w:space="0" w:color="auto"/>
        <w:left w:val="none" w:sz="0" w:space="0" w:color="auto"/>
        <w:bottom w:val="none" w:sz="0" w:space="0" w:color="auto"/>
        <w:right w:val="none" w:sz="0" w:space="0" w:color="auto"/>
      </w:divBdr>
    </w:div>
    <w:div w:id="1899709807">
      <w:bodyDiv w:val="1"/>
      <w:marLeft w:val="0"/>
      <w:marRight w:val="0"/>
      <w:marTop w:val="0"/>
      <w:marBottom w:val="0"/>
      <w:divBdr>
        <w:top w:val="none" w:sz="0" w:space="0" w:color="auto"/>
        <w:left w:val="none" w:sz="0" w:space="0" w:color="auto"/>
        <w:bottom w:val="none" w:sz="0" w:space="0" w:color="auto"/>
        <w:right w:val="none" w:sz="0" w:space="0" w:color="auto"/>
      </w:divBdr>
    </w:div>
    <w:div w:id="1908883832">
      <w:bodyDiv w:val="1"/>
      <w:marLeft w:val="0"/>
      <w:marRight w:val="0"/>
      <w:marTop w:val="0"/>
      <w:marBottom w:val="0"/>
      <w:divBdr>
        <w:top w:val="none" w:sz="0" w:space="0" w:color="auto"/>
        <w:left w:val="none" w:sz="0" w:space="0" w:color="auto"/>
        <w:bottom w:val="none" w:sz="0" w:space="0" w:color="auto"/>
        <w:right w:val="none" w:sz="0" w:space="0" w:color="auto"/>
      </w:divBdr>
    </w:div>
    <w:div w:id="1925070154">
      <w:bodyDiv w:val="1"/>
      <w:marLeft w:val="0"/>
      <w:marRight w:val="0"/>
      <w:marTop w:val="0"/>
      <w:marBottom w:val="0"/>
      <w:divBdr>
        <w:top w:val="none" w:sz="0" w:space="0" w:color="auto"/>
        <w:left w:val="none" w:sz="0" w:space="0" w:color="auto"/>
        <w:bottom w:val="none" w:sz="0" w:space="0" w:color="auto"/>
        <w:right w:val="none" w:sz="0" w:space="0" w:color="auto"/>
      </w:divBdr>
    </w:div>
    <w:div w:id="1927349450">
      <w:bodyDiv w:val="1"/>
      <w:marLeft w:val="0"/>
      <w:marRight w:val="0"/>
      <w:marTop w:val="0"/>
      <w:marBottom w:val="0"/>
      <w:divBdr>
        <w:top w:val="none" w:sz="0" w:space="0" w:color="auto"/>
        <w:left w:val="none" w:sz="0" w:space="0" w:color="auto"/>
        <w:bottom w:val="none" w:sz="0" w:space="0" w:color="auto"/>
        <w:right w:val="none" w:sz="0" w:space="0" w:color="auto"/>
      </w:divBdr>
    </w:div>
    <w:div w:id="1950429759">
      <w:bodyDiv w:val="1"/>
      <w:marLeft w:val="0"/>
      <w:marRight w:val="0"/>
      <w:marTop w:val="0"/>
      <w:marBottom w:val="0"/>
      <w:divBdr>
        <w:top w:val="none" w:sz="0" w:space="0" w:color="auto"/>
        <w:left w:val="none" w:sz="0" w:space="0" w:color="auto"/>
        <w:bottom w:val="none" w:sz="0" w:space="0" w:color="auto"/>
        <w:right w:val="none" w:sz="0" w:space="0" w:color="auto"/>
      </w:divBdr>
    </w:div>
    <w:div w:id="1953856538">
      <w:bodyDiv w:val="1"/>
      <w:marLeft w:val="0"/>
      <w:marRight w:val="0"/>
      <w:marTop w:val="0"/>
      <w:marBottom w:val="0"/>
      <w:divBdr>
        <w:top w:val="none" w:sz="0" w:space="0" w:color="auto"/>
        <w:left w:val="none" w:sz="0" w:space="0" w:color="auto"/>
        <w:bottom w:val="none" w:sz="0" w:space="0" w:color="auto"/>
        <w:right w:val="none" w:sz="0" w:space="0" w:color="auto"/>
      </w:divBdr>
      <w:divsChild>
        <w:div w:id="1957561851">
          <w:marLeft w:val="0"/>
          <w:marRight w:val="0"/>
          <w:marTop w:val="0"/>
          <w:marBottom w:val="0"/>
          <w:divBdr>
            <w:top w:val="none" w:sz="0" w:space="0" w:color="auto"/>
            <w:left w:val="none" w:sz="0" w:space="0" w:color="auto"/>
            <w:bottom w:val="none" w:sz="0" w:space="0" w:color="auto"/>
            <w:right w:val="none" w:sz="0" w:space="0" w:color="auto"/>
          </w:divBdr>
          <w:divsChild>
            <w:div w:id="2065595721">
              <w:marLeft w:val="0"/>
              <w:marRight w:val="0"/>
              <w:marTop w:val="0"/>
              <w:marBottom w:val="0"/>
              <w:divBdr>
                <w:top w:val="none" w:sz="0" w:space="0" w:color="auto"/>
                <w:left w:val="none" w:sz="0" w:space="0" w:color="auto"/>
                <w:bottom w:val="none" w:sz="0" w:space="0" w:color="auto"/>
                <w:right w:val="none" w:sz="0" w:space="0" w:color="auto"/>
              </w:divBdr>
              <w:divsChild>
                <w:div w:id="1157454841">
                  <w:marLeft w:val="0"/>
                  <w:marRight w:val="0"/>
                  <w:marTop w:val="0"/>
                  <w:marBottom w:val="0"/>
                  <w:divBdr>
                    <w:top w:val="none" w:sz="0" w:space="0" w:color="auto"/>
                    <w:left w:val="none" w:sz="0" w:space="0" w:color="auto"/>
                    <w:bottom w:val="none" w:sz="0" w:space="0" w:color="auto"/>
                    <w:right w:val="none" w:sz="0" w:space="0" w:color="auto"/>
                  </w:divBdr>
                  <w:divsChild>
                    <w:div w:id="100226326">
                      <w:marLeft w:val="0"/>
                      <w:marRight w:val="0"/>
                      <w:marTop w:val="0"/>
                      <w:marBottom w:val="0"/>
                      <w:divBdr>
                        <w:top w:val="none" w:sz="0" w:space="0" w:color="auto"/>
                        <w:left w:val="none" w:sz="0" w:space="0" w:color="auto"/>
                        <w:bottom w:val="none" w:sz="0" w:space="0" w:color="auto"/>
                        <w:right w:val="none" w:sz="0" w:space="0" w:color="auto"/>
                      </w:divBdr>
                      <w:divsChild>
                        <w:div w:id="1699500315">
                          <w:marLeft w:val="0"/>
                          <w:marRight w:val="0"/>
                          <w:marTop w:val="0"/>
                          <w:marBottom w:val="0"/>
                          <w:divBdr>
                            <w:top w:val="none" w:sz="0" w:space="0" w:color="auto"/>
                            <w:left w:val="none" w:sz="0" w:space="0" w:color="auto"/>
                            <w:bottom w:val="none" w:sz="0" w:space="0" w:color="auto"/>
                            <w:right w:val="none" w:sz="0" w:space="0" w:color="auto"/>
                          </w:divBdr>
                          <w:divsChild>
                            <w:div w:id="423188525">
                              <w:marLeft w:val="0"/>
                              <w:marRight w:val="0"/>
                              <w:marTop w:val="0"/>
                              <w:marBottom w:val="0"/>
                              <w:divBdr>
                                <w:top w:val="none" w:sz="0" w:space="0" w:color="auto"/>
                                <w:left w:val="none" w:sz="0" w:space="0" w:color="auto"/>
                                <w:bottom w:val="none" w:sz="0" w:space="0" w:color="auto"/>
                                <w:right w:val="none" w:sz="0" w:space="0" w:color="auto"/>
                              </w:divBdr>
                              <w:divsChild>
                                <w:div w:id="2099399466">
                                  <w:marLeft w:val="0"/>
                                  <w:marRight w:val="0"/>
                                  <w:marTop w:val="0"/>
                                  <w:marBottom w:val="0"/>
                                  <w:divBdr>
                                    <w:top w:val="none" w:sz="0" w:space="0" w:color="auto"/>
                                    <w:left w:val="none" w:sz="0" w:space="0" w:color="auto"/>
                                    <w:bottom w:val="none" w:sz="0" w:space="0" w:color="auto"/>
                                    <w:right w:val="none" w:sz="0" w:space="0" w:color="auto"/>
                                  </w:divBdr>
                                  <w:divsChild>
                                    <w:div w:id="1000350419">
                                      <w:marLeft w:val="0"/>
                                      <w:marRight w:val="0"/>
                                      <w:marTop w:val="0"/>
                                      <w:marBottom w:val="0"/>
                                      <w:divBdr>
                                        <w:top w:val="none" w:sz="0" w:space="0" w:color="auto"/>
                                        <w:left w:val="none" w:sz="0" w:space="0" w:color="auto"/>
                                        <w:bottom w:val="none" w:sz="0" w:space="0" w:color="auto"/>
                                        <w:right w:val="none" w:sz="0" w:space="0" w:color="auto"/>
                                      </w:divBdr>
                                      <w:divsChild>
                                        <w:div w:id="1497568646">
                                          <w:marLeft w:val="0"/>
                                          <w:marRight w:val="0"/>
                                          <w:marTop w:val="0"/>
                                          <w:marBottom w:val="0"/>
                                          <w:divBdr>
                                            <w:top w:val="none" w:sz="0" w:space="0" w:color="auto"/>
                                            <w:left w:val="none" w:sz="0" w:space="0" w:color="auto"/>
                                            <w:bottom w:val="none" w:sz="0" w:space="0" w:color="auto"/>
                                            <w:right w:val="none" w:sz="0" w:space="0" w:color="auto"/>
                                          </w:divBdr>
                                          <w:divsChild>
                                            <w:div w:id="1669869924">
                                              <w:marLeft w:val="0"/>
                                              <w:marRight w:val="0"/>
                                              <w:marTop w:val="0"/>
                                              <w:marBottom w:val="0"/>
                                              <w:divBdr>
                                                <w:top w:val="none" w:sz="0" w:space="0" w:color="auto"/>
                                                <w:left w:val="none" w:sz="0" w:space="0" w:color="auto"/>
                                                <w:bottom w:val="none" w:sz="0" w:space="0" w:color="auto"/>
                                                <w:right w:val="none" w:sz="0" w:space="0" w:color="auto"/>
                                              </w:divBdr>
                                              <w:divsChild>
                                                <w:div w:id="1785539489">
                                                  <w:marLeft w:val="0"/>
                                                  <w:marRight w:val="0"/>
                                                  <w:marTop w:val="0"/>
                                                  <w:marBottom w:val="0"/>
                                                  <w:divBdr>
                                                    <w:top w:val="none" w:sz="0" w:space="0" w:color="auto"/>
                                                    <w:left w:val="none" w:sz="0" w:space="0" w:color="auto"/>
                                                    <w:bottom w:val="none" w:sz="0" w:space="0" w:color="auto"/>
                                                    <w:right w:val="none" w:sz="0" w:space="0" w:color="auto"/>
                                                  </w:divBdr>
                                                  <w:divsChild>
                                                    <w:div w:id="669600149">
                                                      <w:marLeft w:val="0"/>
                                                      <w:marRight w:val="0"/>
                                                      <w:marTop w:val="0"/>
                                                      <w:marBottom w:val="0"/>
                                                      <w:divBdr>
                                                        <w:top w:val="none" w:sz="0" w:space="0" w:color="auto"/>
                                                        <w:left w:val="none" w:sz="0" w:space="0" w:color="auto"/>
                                                        <w:bottom w:val="none" w:sz="0" w:space="0" w:color="auto"/>
                                                        <w:right w:val="none" w:sz="0" w:space="0" w:color="auto"/>
                                                      </w:divBdr>
                                                      <w:divsChild>
                                                        <w:div w:id="3057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5233609">
      <w:bodyDiv w:val="1"/>
      <w:marLeft w:val="0"/>
      <w:marRight w:val="0"/>
      <w:marTop w:val="0"/>
      <w:marBottom w:val="0"/>
      <w:divBdr>
        <w:top w:val="none" w:sz="0" w:space="0" w:color="auto"/>
        <w:left w:val="none" w:sz="0" w:space="0" w:color="auto"/>
        <w:bottom w:val="none" w:sz="0" w:space="0" w:color="auto"/>
        <w:right w:val="none" w:sz="0" w:space="0" w:color="auto"/>
      </w:divBdr>
    </w:div>
    <w:div w:id="1967277100">
      <w:bodyDiv w:val="1"/>
      <w:marLeft w:val="0"/>
      <w:marRight w:val="0"/>
      <w:marTop w:val="0"/>
      <w:marBottom w:val="0"/>
      <w:divBdr>
        <w:top w:val="none" w:sz="0" w:space="0" w:color="auto"/>
        <w:left w:val="none" w:sz="0" w:space="0" w:color="auto"/>
        <w:bottom w:val="none" w:sz="0" w:space="0" w:color="auto"/>
        <w:right w:val="none" w:sz="0" w:space="0" w:color="auto"/>
      </w:divBdr>
    </w:div>
    <w:div w:id="2009480101">
      <w:bodyDiv w:val="1"/>
      <w:marLeft w:val="0"/>
      <w:marRight w:val="0"/>
      <w:marTop w:val="0"/>
      <w:marBottom w:val="0"/>
      <w:divBdr>
        <w:top w:val="none" w:sz="0" w:space="0" w:color="auto"/>
        <w:left w:val="none" w:sz="0" w:space="0" w:color="auto"/>
        <w:bottom w:val="none" w:sz="0" w:space="0" w:color="auto"/>
        <w:right w:val="none" w:sz="0" w:space="0" w:color="auto"/>
      </w:divBdr>
    </w:div>
    <w:div w:id="2032409055">
      <w:bodyDiv w:val="1"/>
      <w:marLeft w:val="0"/>
      <w:marRight w:val="0"/>
      <w:marTop w:val="0"/>
      <w:marBottom w:val="0"/>
      <w:divBdr>
        <w:top w:val="none" w:sz="0" w:space="0" w:color="auto"/>
        <w:left w:val="none" w:sz="0" w:space="0" w:color="auto"/>
        <w:bottom w:val="none" w:sz="0" w:space="0" w:color="auto"/>
        <w:right w:val="none" w:sz="0" w:space="0" w:color="auto"/>
      </w:divBdr>
    </w:div>
    <w:div w:id="2041389699">
      <w:bodyDiv w:val="1"/>
      <w:marLeft w:val="0"/>
      <w:marRight w:val="0"/>
      <w:marTop w:val="0"/>
      <w:marBottom w:val="0"/>
      <w:divBdr>
        <w:top w:val="none" w:sz="0" w:space="0" w:color="auto"/>
        <w:left w:val="none" w:sz="0" w:space="0" w:color="auto"/>
        <w:bottom w:val="none" w:sz="0" w:space="0" w:color="auto"/>
        <w:right w:val="none" w:sz="0" w:space="0" w:color="auto"/>
      </w:divBdr>
    </w:div>
    <w:div w:id="2048680219">
      <w:bodyDiv w:val="1"/>
      <w:marLeft w:val="0"/>
      <w:marRight w:val="0"/>
      <w:marTop w:val="0"/>
      <w:marBottom w:val="0"/>
      <w:divBdr>
        <w:top w:val="none" w:sz="0" w:space="0" w:color="auto"/>
        <w:left w:val="none" w:sz="0" w:space="0" w:color="auto"/>
        <w:bottom w:val="none" w:sz="0" w:space="0" w:color="auto"/>
        <w:right w:val="none" w:sz="0" w:space="0" w:color="auto"/>
      </w:divBdr>
    </w:div>
    <w:div w:id="2074156385">
      <w:bodyDiv w:val="1"/>
      <w:marLeft w:val="0"/>
      <w:marRight w:val="0"/>
      <w:marTop w:val="0"/>
      <w:marBottom w:val="0"/>
      <w:divBdr>
        <w:top w:val="none" w:sz="0" w:space="0" w:color="auto"/>
        <w:left w:val="none" w:sz="0" w:space="0" w:color="auto"/>
        <w:bottom w:val="none" w:sz="0" w:space="0" w:color="auto"/>
        <w:right w:val="none" w:sz="0" w:space="0" w:color="auto"/>
      </w:divBdr>
    </w:div>
    <w:div w:id="2102484566">
      <w:bodyDiv w:val="1"/>
      <w:marLeft w:val="0"/>
      <w:marRight w:val="0"/>
      <w:marTop w:val="0"/>
      <w:marBottom w:val="0"/>
      <w:divBdr>
        <w:top w:val="none" w:sz="0" w:space="0" w:color="auto"/>
        <w:left w:val="none" w:sz="0" w:space="0" w:color="auto"/>
        <w:bottom w:val="none" w:sz="0" w:space="0" w:color="auto"/>
        <w:right w:val="none" w:sz="0" w:space="0" w:color="auto"/>
      </w:divBdr>
    </w:div>
    <w:div w:id="2147315356">
      <w:bodyDiv w:val="1"/>
      <w:marLeft w:val="0"/>
      <w:marRight w:val="0"/>
      <w:marTop w:val="0"/>
      <w:marBottom w:val="0"/>
      <w:divBdr>
        <w:top w:val="none" w:sz="0" w:space="0" w:color="auto"/>
        <w:left w:val="none" w:sz="0" w:space="0" w:color="auto"/>
        <w:bottom w:val="none" w:sz="0" w:space="0" w:color="auto"/>
        <w:right w:val="none" w:sz="0" w:space="0" w:color="auto"/>
      </w:divBdr>
      <w:divsChild>
        <w:div w:id="2097706919">
          <w:marLeft w:val="0"/>
          <w:marRight w:val="0"/>
          <w:marTop w:val="0"/>
          <w:marBottom w:val="0"/>
          <w:divBdr>
            <w:top w:val="none" w:sz="0" w:space="0" w:color="auto"/>
            <w:left w:val="none" w:sz="0" w:space="0" w:color="auto"/>
            <w:bottom w:val="none" w:sz="0" w:space="0" w:color="auto"/>
            <w:right w:val="none" w:sz="0" w:space="0" w:color="auto"/>
          </w:divBdr>
          <w:divsChild>
            <w:div w:id="1500999801">
              <w:marLeft w:val="0"/>
              <w:marRight w:val="0"/>
              <w:marTop w:val="0"/>
              <w:marBottom w:val="0"/>
              <w:divBdr>
                <w:top w:val="none" w:sz="0" w:space="0" w:color="auto"/>
                <w:left w:val="none" w:sz="0" w:space="0" w:color="auto"/>
                <w:bottom w:val="none" w:sz="0" w:space="0" w:color="auto"/>
                <w:right w:val="none" w:sz="0" w:space="0" w:color="auto"/>
              </w:divBdr>
              <w:divsChild>
                <w:div w:id="705640544">
                  <w:marLeft w:val="0"/>
                  <w:marRight w:val="0"/>
                  <w:marTop w:val="0"/>
                  <w:marBottom w:val="0"/>
                  <w:divBdr>
                    <w:top w:val="none" w:sz="0" w:space="0" w:color="auto"/>
                    <w:left w:val="none" w:sz="0" w:space="0" w:color="auto"/>
                    <w:bottom w:val="none" w:sz="0" w:space="0" w:color="auto"/>
                    <w:right w:val="none" w:sz="0" w:space="0" w:color="auto"/>
                  </w:divBdr>
                  <w:divsChild>
                    <w:div w:id="18101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ciendo.com/pdf/10.2478/danb-2024-0010" TargetMode="External"/><Relationship Id="rId18" Type="http://schemas.openxmlformats.org/officeDocument/2006/relationships/hyperlink" Target="https://www.ingentaconnect.com/content/cog/tme/pre-prints/content-time_2480928_khuluq"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s://www.ojs.unigal.ac.id/index.php/iijcc/article/view/4062"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jurnal.ibik.ac.id/index.php/jimkes/article/view/2987"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journal.mediadigitalpublikasi.com/index.php/apollo/article/view/327" TargetMode="External"/><Relationship Id="rId20" Type="http://schemas.openxmlformats.org/officeDocument/2006/relationships/hyperlink" Target="https://www.researchgate.net/publication/38713766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e3s-conferences.org/articles/e3sconf/pdf/2025/11/e3sconf_iseep2025_04001.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yperlink" Target="https://www.ingentaconnect.com/content/cog/tme/pre-prints/content-time_2480928_khuluq"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researchgate.net/publication/387137664" TargetMode="External"/><Relationship Id="rId22" Type="http://schemas.openxmlformats.org/officeDocument/2006/relationships/hyperlink" Target="https://ijcs.ro/public/IJCS-25-01_14_Triyanti.pdf"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62F209-FAD2-4819-A5BD-D1F448F04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3813</Words>
  <Characters>21737</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SDI 1144</cp:lastModifiedBy>
  <cp:revision>8</cp:revision>
  <cp:lastPrinted>2025-01-02T04:52:00Z</cp:lastPrinted>
  <dcterms:created xsi:type="dcterms:W3CDTF">2025-05-09T18:12:00Z</dcterms:created>
  <dcterms:modified xsi:type="dcterms:W3CDTF">2025-05-22T12:00:00Z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D84CCAA992804758808E488FA9FD07DD_13</vt:lpwstr>
  </property>
</Properties>
</file>