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8115" w14:textId="77777777" w:rsidR="00754C9A" w:rsidRPr="00A57FB4" w:rsidRDefault="00754C9A" w:rsidP="00441B6F">
      <w:pPr>
        <w:pStyle w:val="Title"/>
        <w:spacing w:after="0"/>
        <w:jc w:val="both"/>
        <w:rPr>
          <w:rFonts w:ascii="Arial" w:hAnsi="Arial" w:cs="Arial"/>
          <w:color w:val="000000" w:themeColor="text1"/>
        </w:rPr>
      </w:pPr>
    </w:p>
    <w:p w14:paraId="5BCAA83E" w14:textId="77777777" w:rsidR="00AC4B23" w:rsidRPr="00A57FB4" w:rsidRDefault="00AC4B23" w:rsidP="009B4F8F">
      <w:pPr>
        <w:pStyle w:val="Author"/>
        <w:spacing w:line="240" w:lineRule="auto"/>
        <w:rPr>
          <w:rFonts w:ascii="Arial" w:hAnsi="Arial" w:cs="Arial"/>
          <w:bCs/>
          <w:iCs/>
          <w:color w:val="000000" w:themeColor="text1"/>
          <w:kern w:val="28"/>
          <w:sz w:val="36"/>
        </w:rPr>
      </w:pPr>
      <w:r w:rsidRPr="00A57FB4">
        <w:rPr>
          <w:rFonts w:ascii="Arial" w:hAnsi="Arial" w:cs="Arial"/>
          <w:bCs/>
          <w:iCs/>
          <w:color w:val="000000" w:themeColor="text1"/>
          <w:kern w:val="28"/>
          <w:sz w:val="36"/>
        </w:rPr>
        <w:t>Environmentalism of the Poor in the Face of Hydropower Expansion in South Asia</w:t>
      </w:r>
    </w:p>
    <w:p w14:paraId="1C5A682B" w14:textId="1CE03187" w:rsidR="00B01FCD" w:rsidRPr="00A57FB4" w:rsidRDefault="00B01FCD" w:rsidP="00441B6F">
      <w:pPr>
        <w:pStyle w:val="Copyright"/>
        <w:spacing w:after="0" w:line="240" w:lineRule="auto"/>
        <w:jc w:val="both"/>
        <w:rPr>
          <w:rFonts w:ascii="Arial" w:hAnsi="Arial" w:cs="Arial"/>
          <w:color w:val="000000" w:themeColor="text1"/>
        </w:rPr>
        <w:sectPr w:rsidR="00B01FCD" w:rsidRPr="00A57FB4" w:rsidSect="00F774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35AEF0B" w14:textId="77777777" w:rsidR="00790ADA" w:rsidRPr="00A57FB4" w:rsidRDefault="00790ADA" w:rsidP="00441B6F">
      <w:pPr>
        <w:pStyle w:val="AbstHead"/>
        <w:spacing w:after="0"/>
        <w:jc w:val="both"/>
        <w:rPr>
          <w:rFonts w:ascii="Arial" w:hAnsi="Arial" w:cs="Arial"/>
          <w:color w:val="000000" w:themeColor="text1"/>
        </w:rPr>
      </w:pPr>
    </w:p>
    <w:p w14:paraId="62916664" w14:textId="77777777" w:rsidR="00AC4B23" w:rsidRPr="00A57FB4" w:rsidRDefault="00AC4B23" w:rsidP="00AC4B23">
      <w:pPr>
        <w:pStyle w:val="Heading1"/>
        <w:ind w:left="2160"/>
        <w:rPr>
          <w:rFonts w:cs="Arial"/>
          <w:color w:val="000000" w:themeColor="text1"/>
        </w:rPr>
      </w:pPr>
      <w:r w:rsidRPr="00A57FB4">
        <w:rPr>
          <w:rFonts w:cs="Arial"/>
          <w:bCs/>
          <w:color w:val="000000" w:themeColor="text1"/>
        </w:rPr>
        <w:t>Abstract</w:t>
      </w:r>
    </w:p>
    <w:p w14:paraId="7F11EBA8" w14:textId="77777777" w:rsidR="00AC4B23" w:rsidRPr="00A57FB4" w:rsidRDefault="00AC4B23" w:rsidP="00AC4B23">
      <w:pPr>
        <w:spacing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This paper investigates counter-hegemonic strategies by unpacking socio-ecological protests of indigenous peoples and other oppressed groups against hydropower development in South Asia in order to question and decoloniality the effects of mega infrastructure projects. The opportunity for changes is explored in the contexts of community displacement due to hydropower dams and related issues faced by communities in Nepal, India, Pakistan and Bhutan. In line with Environmentalism of the Poor, this paper examines the actions that these communities undertake, such as filing legal suits, protest actions, bottom-up mobilization, and the provision of their own discursive frameworks of development. This approach underlines women, indigenous peoples and small farmers as critical stakeholders of the resistance struggles dwelling on their agency in campaigning for environmental conservation and biodiversity, structural equality and equity as well as sovereignty of indigenous knowledge. Civil society opposition to hydropower development is not only an effort to protect local livelihoods but also a contestation of hegemonic development paradigms that privileges the technical rationality of power generation and growth. Thus, the paper encourages authorities and policy makers in South Asian countries to implement social and participatory development frameworks that would respect people’s rights, and allow equitable transition toward sustainable energy systems.</w:t>
      </w:r>
    </w:p>
    <w:p w14:paraId="6D8A8A5C"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b/>
          <w:color w:val="000000" w:themeColor="text1"/>
          <w:sz w:val="24"/>
          <w:szCs w:val="24"/>
        </w:rPr>
        <w:t xml:space="preserve">Keywords: </w:t>
      </w:r>
      <w:r w:rsidRPr="00A57FB4">
        <w:rPr>
          <w:rFonts w:ascii="Arial" w:hAnsi="Arial" w:cs="Arial"/>
          <w:color w:val="000000" w:themeColor="text1"/>
          <w:sz w:val="24"/>
          <w:szCs w:val="24"/>
        </w:rPr>
        <w:t>hydropower, environmental justice, resistance movements, South Asia, Environmentalism of the Poor, indigenous knowledge, grassroots mobilization, sustainable development, social justice, ecological commons</w:t>
      </w:r>
      <w:bookmarkStart w:id="0" w:name="_ou18dm4mfdb7" w:colFirst="0" w:colLast="0"/>
      <w:bookmarkEnd w:id="0"/>
    </w:p>
    <w:p w14:paraId="76EACED9" w14:textId="77777777" w:rsidR="00AC4B23" w:rsidRPr="00A57FB4" w:rsidRDefault="00AC4B23" w:rsidP="00AC4B23">
      <w:pPr>
        <w:pStyle w:val="Heading1"/>
        <w:ind w:left="2160"/>
        <w:rPr>
          <w:rFonts w:cs="Arial"/>
          <w:color w:val="000000" w:themeColor="text1"/>
        </w:rPr>
      </w:pPr>
      <w:r w:rsidRPr="00A57FB4">
        <w:rPr>
          <w:rFonts w:cs="Arial"/>
          <w:bCs/>
          <w:color w:val="000000" w:themeColor="text1"/>
        </w:rPr>
        <w:lastRenderedPageBreak/>
        <w:t>1. Introduction</w:t>
      </w:r>
    </w:p>
    <w:p w14:paraId="290E5C89" w14:textId="77777777" w:rsidR="00AC4B23" w:rsidRPr="00A57FB4" w:rsidRDefault="00AC4B23" w:rsidP="00AC4B23">
      <w:pPr>
        <w:pStyle w:val="Heading2"/>
        <w:ind w:left="2160"/>
        <w:rPr>
          <w:rFonts w:ascii="Arial" w:hAnsi="Arial" w:cs="Arial"/>
          <w:color w:val="000000" w:themeColor="text1"/>
        </w:rPr>
      </w:pPr>
      <w:bookmarkStart w:id="1" w:name="_pbdvc1sewhjj" w:colFirst="0" w:colLast="0"/>
      <w:bookmarkEnd w:id="1"/>
      <w:r w:rsidRPr="00A57FB4">
        <w:rPr>
          <w:rFonts w:ascii="Arial" w:hAnsi="Arial" w:cs="Arial"/>
          <w:color w:val="000000" w:themeColor="text1"/>
        </w:rPr>
        <w:t xml:space="preserve">1.1 </w:t>
      </w:r>
      <w:r w:rsidRPr="00A57FB4">
        <w:rPr>
          <w:rFonts w:ascii="Arial" w:hAnsi="Arial" w:cs="Arial"/>
          <w:b/>
          <w:bCs/>
          <w:color w:val="000000" w:themeColor="text1"/>
        </w:rPr>
        <w:t>Background</w:t>
      </w:r>
    </w:p>
    <w:p w14:paraId="2700B76E"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Hydropower development has been given as one of the solutions to green growth in many parts of the world, especially in South Asia since the demand for energy increases with industrialization and population growth (Hassan &amp; Ali 2019). Neighboring countries such as Nepal, India, Bhutan, and Pakistan have invested in hydropower to overcome energy deficits; however, mega hydropower projects were promoted as renewable and carbon-friendly solutions (</w:t>
      </w:r>
      <w:proofErr w:type="spellStart"/>
      <w:r w:rsidRPr="00A57FB4">
        <w:rPr>
          <w:rFonts w:ascii="Arial" w:hAnsi="Arial" w:cs="Arial"/>
          <w:color w:val="000000" w:themeColor="text1"/>
          <w:sz w:val="24"/>
          <w:szCs w:val="24"/>
        </w:rPr>
        <w:t>Ahlborg</w:t>
      </w:r>
      <w:proofErr w:type="spellEnd"/>
      <w:r w:rsidRPr="00A57FB4">
        <w:rPr>
          <w:rFonts w:ascii="Arial" w:hAnsi="Arial" w:cs="Arial"/>
          <w:color w:val="000000" w:themeColor="text1"/>
          <w:sz w:val="24"/>
          <w:szCs w:val="24"/>
        </w:rPr>
        <w:t xml:space="preserve"> &amp; Hammar, 2014). The discourse around these projects has continued painting these projects as both vehicles for economic growth, poverty eradication, and the use of ‘clean’ energy. Regarding the former, hydropower is closely associated with the country’s development plans and presented as an important component of energy security (Parajuli, 2018).</w:t>
      </w:r>
    </w:p>
    <w:p w14:paraId="6189D19F"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However, development of hydropower in South Asia adversely affects the indigenous groups and the rural poor who still depend on the communal resources for their sustenance. These communities, majoring of indigenous people, farmers and workers, depend on common pool resources like river, forests and pastures (Gupta, 2014). Besides, as more and more hydropower projects are developed and become bigger and big, these Arsenal resources </w:t>
      </w:r>
      <w:proofErr w:type="gramStart"/>
      <w:r w:rsidRPr="00A57FB4">
        <w:rPr>
          <w:rFonts w:ascii="Arial" w:hAnsi="Arial" w:cs="Arial"/>
          <w:color w:val="000000" w:themeColor="text1"/>
          <w:sz w:val="24"/>
          <w:szCs w:val="24"/>
        </w:rPr>
        <w:t>becomes</w:t>
      </w:r>
      <w:proofErr w:type="gramEnd"/>
      <w:r w:rsidRPr="00A57FB4">
        <w:rPr>
          <w:rFonts w:ascii="Arial" w:hAnsi="Arial" w:cs="Arial"/>
          <w:color w:val="000000" w:themeColor="text1"/>
          <w:sz w:val="24"/>
          <w:szCs w:val="24"/>
        </w:rPr>
        <w:t xml:space="preserve"> more and more commodified and devastated. It causes massive displacement, disappearance of occupations, and erasure of cultures (Khan &amp; Nunan, 2020). It is this conflict between “development” and the conservation of environments and culture that forms the core of the contested territory of hydropower in South Asia.</w:t>
      </w:r>
    </w:p>
    <w:p w14:paraId="7F3BB8B8" w14:textId="77777777" w:rsidR="00AC4B23" w:rsidRPr="00A57FB4" w:rsidRDefault="00AC4B23" w:rsidP="00AC4B23">
      <w:pPr>
        <w:pStyle w:val="Heading2"/>
        <w:ind w:left="2160"/>
        <w:rPr>
          <w:rFonts w:ascii="Arial" w:hAnsi="Arial" w:cs="Arial"/>
          <w:color w:val="000000" w:themeColor="text1"/>
        </w:rPr>
      </w:pPr>
      <w:r w:rsidRPr="00A57FB4">
        <w:rPr>
          <w:rFonts w:ascii="Arial" w:hAnsi="Arial" w:cs="Arial"/>
          <w:color w:val="000000" w:themeColor="text1"/>
        </w:rPr>
        <w:t xml:space="preserve">1.2 </w:t>
      </w:r>
      <w:r w:rsidRPr="00A57FB4">
        <w:rPr>
          <w:rFonts w:ascii="Arial" w:hAnsi="Arial" w:cs="Arial"/>
          <w:b/>
          <w:bCs/>
          <w:color w:val="000000" w:themeColor="text1"/>
        </w:rPr>
        <w:t>Environmentalism</w:t>
      </w:r>
      <w:r w:rsidRPr="00A57FB4">
        <w:rPr>
          <w:rFonts w:ascii="Arial" w:hAnsi="Arial" w:cs="Arial"/>
          <w:color w:val="000000" w:themeColor="text1"/>
        </w:rPr>
        <w:t xml:space="preserve"> </w:t>
      </w:r>
      <w:r w:rsidRPr="00A57FB4">
        <w:rPr>
          <w:rFonts w:ascii="Arial" w:hAnsi="Arial" w:cs="Arial"/>
          <w:b/>
          <w:bCs/>
          <w:color w:val="000000" w:themeColor="text1"/>
        </w:rPr>
        <w:t>of the Poor</w:t>
      </w:r>
    </w:p>
    <w:p w14:paraId="312A63A1"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Environmentalism of the Poor according to Martínez-Alier (2002) is a collective environmental movement by the poor against identification, declaration, and management of their territories as conservation areas. This type of environmentalism stands apart from traditional ‘top-down’ environmentalism that characterizes mainstream environmental organizations, a significant part of which is rooted in elite circles. Martínez-Alier (2002) subsequently explains that this environmentalism is a struggle and an assertion of ecological justice beyond social justice and equality with the rights of the natural world. It underlines negative </w:t>
      </w:r>
      <w:r w:rsidRPr="00A57FB4">
        <w:rPr>
          <w:rFonts w:ascii="Arial" w:hAnsi="Arial" w:cs="Arial"/>
          <w:color w:val="000000" w:themeColor="text1"/>
          <w:sz w:val="24"/>
          <w:szCs w:val="24"/>
        </w:rPr>
        <w:lastRenderedPageBreak/>
        <w:t>environmental effects as a consequence of societies’ exploitation and how vulnerable groups who cannot bargain for themselves suffer from environmental exploitation by overzealous corporate and/or government bodies or individuals.</w:t>
      </w:r>
    </w:p>
    <w:p w14:paraId="423CE9D6"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Environmentalism of the Poor is not just an umbrella term of a theoretical process but it’s a concrete practice of the poor people in South Asia who are protesting against the expansion of hydropower projects on their commons (Sullivan, 2015). These communities actively protest by participating in marches, writing letters and petitions, blocking roads, and informal political mobilization, as well as using media channels. Thus, they question the very premises of ‘progress’ and ‘development’ on which hydropower schemes are based and present alternative approaches to development that are sustainable and respect human rights and democracy (Martínez-Alier, 2002; Ritchie, 2016).</w:t>
      </w:r>
    </w:p>
    <w:p w14:paraId="35E3821F"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1.3 The Commons: Critical Resources for Local Livelihoods</w:t>
      </w:r>
    </w:p>
    <w:p w14:paraId="7403AEC2"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Lands, water bodies such as rivers, forests, and commons are other important resources for the support of rural life in South Asian countries. These assets are mostly owned by the local people with rights of usage regulated by cultural norms and institutions (Ostrom, 1990). Their elimination through hydropower initiatives results in a complicated chain of social and environment repercussions. For example, construction of a dam in a region floods the land and in turn removes people together with their practice of farming and affectable hinders access to water and firewood source among others (Adams &amp; Hutton, 2007).</w:t>
      </w:r>
    </w:p>
    <w:p w14:paraId="4C543DF7"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In most regions of South Asia these commons have a history that run back in to many decades if not centuries. Besides being viewed as important sources of water supply for agriculture and fishing, rivers are also considered gods, bearing the fundamental framework of respective local cultures and beliefs (Siddiqui, 2019). To the same implication, forests and pastures are so significant to the indigenous people in their daily life necessities as sources of timber for construction, energy, and other medicinal plants and animal species for the support of its local ecosystems as provided by Srinivasan and Mishra (2014). Sunderlin et al. (2013) observed that these valuable resources, if reduced or destroyed, compromise the indigenous peoples’ culture and destabilize the society.</w:t>
      </w:r>
    </w:p>
    <w:p w14:paraId="56D9FF60"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lastRenderedPageBreak/>
        <w:t>1.4 Problem Statement</w:t>
      </w:r>
    </w:p>
    <w:p w14:paraId="0426ED21"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Despite these discourses of hydropower benefiting and catalyze economic development, the projects create processes of displacement and dehumanization of the poor and particularly the rural populace. The social and environmental costs of such projects are high for the poorly developed South Asian regions, as they are displaced and impoverished along with the destruction of ecosystems and disrupted livelihoods (Sharma, 2015). Such sentiments, the state actors and developers regard as irrational or anti-development (Khan &amp; Nunan, 2020). This perspective fails to address the concerns of the oppressed groups whose primary aim is to protect their homes, sources of income and the natural resources.</w:t>
      </w:r>
    </w:p>
    <w:p w14:paraId="6463CA00"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This paper has aimed to examine how these marginalized communities are able to resist power as well as hydropower development and how they safeguard their ecological endowments. Through the case studies of Nepal, India, Bhutan, and Pakistan, the paper seeks to establish how Environmentalism of the Poor is being practiced regarding the development of hydropower in South Asia.</w:t>
      </w:r>
    </w:p>
    <w:p w14:paraId="634958FC" w14:textId="77777777" w:rsidR="00AC4B23" w:rsidRPr="00A57FB4" w:rsidRDefault="00AC4B23" w:rsidP="00AC4B23">
      <w:pPr>
        <w:pStyle w:val="Heading2"/>
        <w:ind w:left="2160"/>
        <w:rPr>
          <w:rFonts w:ascii="Arial" w:hAnsi="Arial" w:cs="Arial"/>
          <w:b/>
          <w:bCs/>
          <w:color w:val="000000" w:themeColor="text1"/>
        </w:rPr>
      </w:pPr>
      <w:bookmarkStart w:id="2" w:name="_smq7eyshuoeh" w:colFirst="0" w:colLast="0"/>
      <w:bookmarkEnd w:id="2"/>
      <w:r w:rsidRPr="00A57FB4">
        <w:rPr>
          <w:rFonts w:ascii="Arial" w:hAnsi="Arial" w:cs="Arial"/>
          <w:b/>
          <w:bCs/>
          <w:color w:val="000000" w:themeColor="text1"/>
        </w:rPr>
        <w:t>1.5 Research Objectives</w:t>
      </w:r>
    </w:p>
    <w:p w14:paraId="0FE7A679"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The primary objective of this research is to examine the resistance of marginalized communities to hydropower development in South Asia. Specifically, this paper aims to:</w:t>
      </w:r>
    </w:p>
    <w:p w14:paraId="44EA2B27" w14:textId="77777777" w:rsidR="00AC4B23" w:rsidRPr="00A57FB4" w:rsidRDefault="00AC4B23" w:rsidP="00AC4B23">
      <w:pPr>
        <w:numPr>
          <w:ilvl w:val="0"/>
          <w:numId w:val="31"/>
        </w:numPr>
        <w:spacing w:before="240" w:line="360" w:lineRule="auto"/>
        <w:ind w:left="2880"/>
        <w:rPr>
          <w:rFonts w:ascii="Arial" w:hAnsi="Arial" w:cs="Arial"/>
          <w:color w:val="000000" w:themeColor="text1"/>
          <w:sz w:val="24"/>
          <w:szCs w:val="24"/>
        </w:rPr>
      </w:pPr>
      <w:r w:rsidRPr="00A57FB4">
        <w:rPr>
          <w:rFonts w:ascii="Arial" w:hAnsi="Arial" w:cs="Arial"/>
          <w:color w:val="000000" w:themeColor="text1"/>
          <w:sz w:val="24"/>
          <w:szCs w:val="24"/>
        </w:rPr>
        <w:t>Explore the ways in which these communities resist hydropower projects and defend their commons.</w:t>
      </w:r>
      <w:r w:rsidRPr="00A57FB4">
        <w:rPr>
          <w:rFonts w:ascii="Arial" w:hAnsi="Arial" w:cs="Arial"/>
          <w:color w:val="000000" w:themeColor="text1"/>
          <w:sz w:val="24"/>
          <w:szCs w:val="24"/>
        </w:rPr>
        <w:br/>
      </w:r>
    </w:p>
    <w:p w14:paraId="66863DAC" w14:textId="77777777" w:rsidR="00AC4B23" w:rsidRPr="00A57FB4" w:rsidRDefault="00AC4B23" w:rsidP="00AC4B23">
      <w:pPr>
        <w:numPr>
          <w:ilvl w:val="0"/>
          <w:numId w:val="31"/>
        </w:numPr>
        <w:spacing w:line="360" w:lineRule="auto"/>
        <w:ind w:left="2880"/>
        <w:rPr>
          <w:rFonts w:ascii="Arial" w:hAnsi="Arial" w:cs="Arial"/>
          <w:color w:val="000000" w:themeColor="text1"/>
          <w:sz w:val="24"/>
          <w:szCs w:val="24"/>
        </w:rPr>
      </w:pPr>
      <w:r w:rsidRPr="00A57FB4">
        <w:rPr>
          <w:rFonts w:ascii="Arial" w:hAnsi="Arial" w:cs="Arial"/>
          <w:color w:val="000000" w:themeColor="text1"/>
          <w:sz w:val="24"/>
          <w:szCs w:val="24"/>
        </w:rPr>
        <w:t>Identify the strategies used by communities to protect their resources and assert their rights.</w:t>
      </w:r>
      <w:r w:rsidRPr="00A57FB4">
        <w:rPr>
          <w:rFonts w:ascii="Arial" w:hAnsi="Arial" w:cs="Arial"/>
          <w:color w:val="000000" w:themeColor="text1"/>
          <w:sz w:val="24"/>
          <w:szCs w:val="24"/>
        </w:rPr>
        <w:br/>
      </w:r>
    </w:p>
    <w:p w14:paraId="46F8ECC4" w14:textId="77777777" w:rsidR="00AC4B23" w:rsidRPr="00A57FB4" w:rsidRDefault="00AC4B23" w:rsidP="00AC4B23">
      <w:pPr>
        <w:numPr>
          <w:ilvl w:val="0"/>
          <w:numId w:val="31"/>
        </w:numPr>
        <w:spacing w:after="240" w:line="360" w:lineRule="auto"/>
        <w:ind w:left="2880"/>
        <w:rPr>
          <w:rFonts w:ascii="Arial" w:hAnsi="Arial" w:cs="Arial"/>
          <w:color w:val="000000" w:themeColor="text1"/>
          <w:sz w:val="24"/>
          <w:szCs w:val="24"/>
        </w:rPr>
      </w:pPr>
      <w:r w:rsidRPr="00A57FB4">
        <w:rPr>
          <w:rFonts w:ascii="Arial" w:hAnsi="Arial" w:cs="Arial"/>
          <w:color w:val="000000" w:themeColor="text1"/>
          <w:sz w:val="24"/>
          <w:szCs w:val="24"/>
        </w:rPr>
        <w:t>Analyze how their resistance fits within the framework of Environmentalism of the Poor, emphasizing the role of social justice, ecological knowledge, and grassroots mobilization in these struggles.</w:t>
      </w:r>
    </w:p>
    <w:p w14:paraId="569FE9A7" w14:textId="77777777" w:rsidR="00AC4B23" w:rsidRPr="00A57FB4" w:rsidRDefault="00AC4B23" w:rsidP="00AC4B23">
      <w:pPr>
        <w:pStyle w:val="Heading2"/>
        <w:ind w:left="2160"/>
        <w:rPr>
          <w:rFonts w:ascii="Arial" w:hAnsi="Arial" w:cs="Arial"/>
          <w:b/>
          <w:bCs/>
          <w:color w:val="000000" w:themeColor="text1"/>
        </w:rPr>
      </w:pPr>
      <w:bookmarkStart w:id="3" w:name="_429ooxt3awzn" w:colFirst="0" w:colLast="0"/>
      <w:bookmarkEnd w:id="3"/>
      <w:r w:rsidRPr="00A57FB4">
        <w:rPr>
          <w:rFonts w:ascii="Arial" w:hAnsi="Arial" w:cs="Arial"/>
          <w:b/>
          <w:bCs/>
          <w:color w:val="000000" w:themeColor="text1"/>
        </w:rPr>
        <w:t>1.6 Theoretical Framework</w:t>
      </w:r>
    </w:p>
    <w:p w14:paraId="4FD38C53"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This paper is based on the concept of Environmentalism of the Poor, popularized by environmental scholar Joan Martinez-Alier in the twenty-first century which </w:t>
      </w:r>
      <w:r w:rsidRPr="00A57FB4">
        <w:rPr>
          <w:rFonts w:ascii="Arial" w:hAnsi="Arial" w:cs="Arial"/>
          <w:color w:val="000000" w:themeColor="text1"/>
          <w:sz w:val="24"/>
          <w:szCs w:val="24"/>
        </w:rPr>
        <w:lastRenderedPageBreak/>
        <w:t>looks at environmental resistance as a struggle for justice with emphasis on sustainable environmental practices. Martínez- Alier (2002) noted that Environmentalism of the poor revolves around the fight for survival, justice, and the protection of common property. Such movements are being mostly initiated by indigenous peoples, farmers, farmworkers, and laborers who are on the receiving end of the negative impacts of development on ecology. This framework thus offers a conceptual means of analyzing how local people stand up against the continued degradation of their environment by dominant forces and interests in development.</w:t>
      </w:r>
    </w:p>
    <w:p w14:paraId="01BB3222"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Further, Political Ecology presents a vigorous perspective for studying the resources which are involved in determining the power relations and social relations within impending environmental conflicts (Bryant &amp; Bailey, 1997). This theory shows how state policies, corporate initiatives, and international financial organization influence the dynamics of hydropower. Thus, by critically understanding power politics in relation to ecology, political ecology enables the study of factors that spur communities’ resistance and what this provokes for environmental justice.</w:t>
      </w:r>
    </w:p>
    <w:p w14:paraId="057EFE00"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Finally, the theoretical perspective that can be employed to explain common-pool resource management systems is Commons Theory advanced by Ostrom in 1990. Lands, water – especially water resources such as rivers – and forests are common or open access resources in many South Asian societies which have customary means of appropriation. This experience raises a few questions about sustainability of the commons and the rights of local communities in managing them when they are occupied by hydropower projects.</w:t>
      </w:r>
    </w:p>
    <w:p w14:paraId="73E2E997" w14:textId="77777777" w:rsidR="00AC4B23" w:rsidRPr="00A57FB4" w:rsidRDefault="00AC4B23" w:rsidP="00AC4B23">
      <w:pPr>
        <w:pStyle w:val="Heading1"/>
        <w:ind w:left="2160"/>
        <w:rPr>
          <w:rFonts w:cs="Arial"/>
          <w:b w:val="0"/>
          <w:bCs/>
          <w:color w:val="000000" w:themeColor="text1"/>
        </w:rPr>
      </w:pPr>
      <w:bookmarkStart w:id="4" w:name="_q6vv238pjbb6" w:colFirst="0" w:colLast="0"/>
      <w:bookmarkEnd w:id="4"/>
      <w:r w:rsidRPr="00A57FB4">
        <w:rPr>
          <w:rFonts w:cs="Arial"/>
          <w:bCs/>
          <w:color w:val="000000" w:themeColor="text1"/>
        </w:rPr>
        <w:t>2. Methods</w:t>
      </w:r>
    </w:p>
    <w:p w14:paraId="63284167" w14:textId="77777777" w:rsidR="00AC4B23" w:rsidRPr="00A57FB4" w:rsidRDefault="00AC4B23" w:rsidP="00AC4B23">
      <w:pPr>
        <w:pStyle w:val="Heading2"/>
        <w:ind w:left="2160"/>
        <w:rPr>
          <w:rFonts w:ascii="Arial" w:hAnsi="Arial" w:cs="Arial"/>
          <w:b/>
          <w:bCs/>
          <w:color w:val="000000" w:themeColor="text1"/>
        </w:rPr>
      </w:pPr>
      <w:bookmarkStart w:id="5" w:name="_nyh7u3k3bmhj" w:colFirst="0" w:colLast="0"/>
      <w:bookmarkEnd w:id="5"/>
      <w:r w:rsidRPr="00A57FB4">
        <w:rPr>
          <w:rFonts w:ascii="Arial" w:hAnsi="Arial" w:cs="Arial"/>
          <w:b/>
          <w:bCs/>
          <w:color w:val="000000" w:themeColor="text1"/>
        </w:rPr>
        <w:t>2.1 Research Design</w:t>
      </w:r>
    </w:p>
    <w:p w14:paraId="1A61EB34"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The study employed the comparative case-study research method, which is well suited for analyzing the subject given its multi-faceted aspects of environmental resistance to hydro power development. Use of case studies enables a detailed discussion on real-life situations where lower income groups have been displaced by hydropower projects. In this way, the researcher is able to look at the various social, political and environmental factors in different regions of Liberia and different types of anti-LRA resistance strategies and their results. When more </w:t>
      </w:r>
      <w:r w:rsidRPr="00A57FB4">
        <w:rPr>
          <w:rFonts w:ascii="Arial" w:hAnsi="Arial" w:cs="Arial"/>
          <w:color w:val="000000" w:themeColor="text1"/>
          <w:sz w:val="24"/>
          <w:szCs w:val="24"/>
        </w:rPr>
        <w:lastRenderedPageBreak/>
        <w:t>cases are selected, the study can compare the nature of people’s stand against hydropower development across the different local communities in South Asia, thus giving a broader view of the phenomenon. The case study is adopted due to its advantages over other strategies in producing deep and rich information that can be farther masked by broader statistical options.</w:t>
      </w:r>
    </w:p>
    <w:p w14:paraId="3988FB1D"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2.2 Case Selection</w:t>
      </w:r>
    </w:p>
    <w:p w14:paraId="57165D7A"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The case studies in this research are derived from countries of south Asia where hydropower has been widely developed and has invited social opposition. These are the Upper Tamakoshi Dam project in Nepal, Teesta Hydroelectric Project in India, Diamer Basha Dam in Pakistan, </w:t>
      </w:r>
      <w:proofErr w:type="spellStart"/>
      <w:r w:rsidRPr="00A57FB4">
        <w:rPr>
          <w:rFonts w:ascii="Arial" w:hAnsi="Arial" w:cs="Arial"/>
          <w:color w:val="000000" w:themeColor="text1"/>
          <w:sz w:val="24"/>
          <w:szCs w:val="24"/>
        </w:rPr>
        <w:t>Punatsangchhu</w:t>
      </w:r>
      <w:proofErr w:type="spellEnd"/>
      <w:r w:rsidRPr="00A57FB4">
        <w:rPr>
          <w:rFonts w:ascii="Arial" w:hAnsi="Arial" w:cs="Arial"/>
          <w:color w:val="000000" w:themeColor="text1"/>
          <w:sz w:val="24"/>
          <w:szCs w:val="24"/>
        </w:rPr>
        <w:t>/</w:t>
      </w:r>
      <w:proofErr w:type="spellStart"/>
      <w:r w:rsidRPr="00A57FB4">
        <w:rPr>
          <w:rFonts w:ascii="Arial" w:hAnsi="Arial" w:cs="Arial"/>
          <w:color w:val="000000" w:themeColor="text1"/>
          <w:sz w:val="24"/>
          <w:szCs w:val="24"/>
        </w:rPr>
        <w:t>Chhuka</w:t>
      </w:r>
      <w:proofErr w:type="spellEnd"/>
      <w:r w:rsidRPr="00A57FB4">
        <w:rPr>
          <w:rFonts w:ascii="Arial" w:hAnsi="Arial" w:cs="Arial"/>
          <w:color w:val="000000" w:themeColor="text1"/>
          <w:sz w:val="24"/>
          <w:szCs w:val="24"/>
        </w:rPr>
        <w:t xml:space="preserve"> hydroelectric project in Bhutan). These projects have been selected based on the fact that they have been seen to be socially rebellious and the ecological effects it has had on societies. For instance, the Upper Tamakoshi project in Nepal has been an issue of great controversy due to factors that include social issues such as displacement of people and environmental issues including pollution (Shrestha and Rajbhandari, 2016). This can be illustrated by the Teesta project in India that displaced the local farming population due to the loss of their lands and jobs (Ramanathan &amp; Ramaswamy, 2019). For instance, the Diamer Bhasha Dam in Pakistan has raised concern of the rights of indigenous people and the commoners to water and </w:t>
      </w:r>
      <w:proofErr w:type="gramStart"/>
      <w:r w:rsidRPr="00A57FB4">
        <w:rPr>
          <w:rFonts w:ascii="Arial" w:hAnsi="Arial" w:cs="Arial"/>
          <w:color w:val="000000" w:themeColor="text1"/>
          <w:sz w:val="24"/>
          <w:szCs w:val="24"/>
        </w:rPr>
        <w:t>forests( Khan</w:t>
      </w:r>
      <w:proofErr w:type="gramEnd"/>
      <w:r w:rsidRPr="00A57FB4">
        <w:rPr>
          <w:rFonts w:ascii="Arial" w:hAnsi="Arial" w:cs="Arial"/>
          <w:color w:val="000000" w:themeColor="text1"/>
          <w:sz w:val="24"/>
          <w:szCs w:val="24"/>
        </w:rPr>
        <w:t xml:space="preserve"> &amp; Nunan, 2020) while the </w:t>
      </w:r>
      <w:proofErr w:type="spellStart"/>
      <w:r w:rsidRPr="00A57FB4">
        <w:rPr>
          <w:rFonts w:ascii="Arial" w:hAnsi="Arial" w:cs="Arial"/>
          <w:color w:val="000000" w:themeColor="text1"/>
          <w:sz w:val="24"/>
          <w:szCs w:val="24"/>
        </w:rPr>
        <w:t>Punatsangchhu</w:t>
      </w:r>
      <w:proofErr w:type="spellEnd"/>
      <w:r w:rsidRPr="00A57FB4">
        <w:rPr>
          <w:rFonts w:ascii="Arial" w:hAnsi="Arial" w:cs="Arial"/>
          <w:color w:val="000000" w:themeColor="text1"/>
          <w:sz w:val="24"/>
          <w:szCs w:val="24"/>
        </w:rPr>
        <w:t xml:space="preserve"> hydroelectric project in Bhutan has raised concern about the sustainability and damaging impacts of the hydroelectric dams on the sanctity of rivers and forests by local communities (Ura, 2016). These case studies offer varied contexts that represent both positive examples of hydropower development with strong environmental justice and subsequent opposition in South Asia.</w:t>
      </w:r>
    </w:p>
    <w:p w14:paraId="100CF846"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2.3 Data Collection</w:t>
      </w:r>
    </w:p>
    <w:p w14:paraId="5C9D5EEF"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Data collection in the current study is diverse in an effort to capture the nature of community resistance through qualitative approaches. The main technique used to gather data is interviews using interview guides in a face-to-face format, and the participants include members of the affected community, activists, and individuals from the NGOs. These interviews aim at finding out the experiences, attitudes and coping mechanisms that people have to deal with in relation to the hydropower </w:t>
      </w:r>
      <w:r w:rsidRPr="00A57FB4">
        <w:rPr>
          <w:rFonts w:ascii="Arial" w:hAnsi="Arial" w:cs="Arial"/>
          <w:color w:val="000000" w:themeColor="text1"/>
          <w:sz w:val="24"/>
          <w:szCs w:val="24"/>
        </w:rPr>
        <w:lastRenderedPageBreak/>
        <w:t>projects and other aspects of environmental and socioeconomic change arising from these projects. Interviewees can be approached based on their firsthand experience in the resistance movements or as people who have some form of connection with this idea in one way or the other to get a diverse sample.</w:t>
      </w:r>
    </w:p>
    <w:p w14:paraId="1C4FD7EF"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Besides interviews, the study uses a lot of documentation reviews as well. Some of these sources were policy papers and reports on the feasibility of the hydropower projects, project reports, court documents, and media articles. These documents serve to complement the interviews in providing additional background information that would assist in triangulation and help to understand how the Peruvian state and the law has dealt with such community resistance. For instance, litigation cases surrounding hydropower development provide a glimpse into the legal strategies employed by the respective parties to benefit from legal jurisdictions as per their preferred political party (Mishra &amp; Sinha, 2017). On the other hand, it shows how the resistance is presented in the media and may shape the opinion of the masses and even government policies.</w:t>
      </w:r>
    </w:p>
    <w:p w14:paraId="3E1BAEE3"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In as much as it is possible, participatory observation is also employed as a means of data gathering. This involves participating in the day-to-day activities of the affected communities, participating in their meetings, demonstrations and other meetings where issues related to the hydropower projects are discussed. Overall, therefore, participatory observation provides more qualitative information as to the social work of contentious politics, leadership, organization, and knowledge in protests. This also contributes to gaining the necessary trust of the communities that are to be investigated, this is especially useful in politically volatile areas.</w:t>
      </w:r>
    </w:p>
    <w:p w14:paraId="471103BF"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2.4 Sampling Strategy</w:t>
      </w:r>
    </w:p>
    <w:p w14:paraId="72C98296"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The method of sample selection chosen for this study is purposive and snowball where key informants with prior firsthand experience or knowledge of the resistance movements against the hydropower projects are selected. Purposive sampling guarantees that only people who can offer the most substantive information on the experience of resistance of the marginalized groups is involved in the study. The first group of respondents is identified depending on their participation in hydropower projects and their stance in the resistance. Next, there is the use of the Snowball sampling method in order to get other participants from </w:t>
      </w:r>
      <w:r w:rsidRPr="00A57FB4">
        <w:rPr>
          <w:rFonts w:ascii="Arial" w:hAnsi="Arial" w:cs="Arial"/>
          <w:color w:val="000000" w:themeColor="text1"/>
          <w:sz w:val="24"/>
          <w:szCs w:val="24"/>
        </w:rPr>
        <w:lastRenderedPageBreak/>
        <w:t>those with whom the initial interviewees suggest. However, it can be especially applicable in those contexts where organizing movements are not highly structuralism or centrally controlled, thus providing an opportunity to grasp the position of less accessible individuals and embrace a broader range of views.</w:t>
      </w:r>
    </w:p>
    <w:p w14:paraId="37A3AA48"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2.5 Data Analysis</w:t>
      </w:r>
    </w:p>
    <w:p w14:paraId="1CC85451"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Data analysis is carried out through thematic coding whereby the different patterns that emerge from various case studies are flagged down. Thematic coding is applied to the local data provided by the interviews and documents to group it into various categories. This method allows the researcher to make comparisons between different cases that can give the researcher an understanding of possible themes regarding the strategies of resistance, environmental justice, and community mobilization. Having derived the themes, a cross-case comparison is done to compare the level of similarity and the level of difference in relation to the way communities in various countries have resisted hydro power development. Such a comparative analysis contributes to the understanding of the general patterns of the Resistance movements and the conditions that may decide their success or failure.</w:t>
      </w:r>
    </w:p>
    <w:p w14:paraId="4C5757D4"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2.6 Ethical Considerations</w:t>
      </w:r>
    </w:p>
    <w:p w14:paraId="4DD146E4"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There are several considerations to take when interviewing people from marginalized groups especially when addressing issues such as resistance to political or corporate projects. All the interviewees provide their informed consent to participate in the interviews, understanding the purpose of the research, their rights as respondents and the risks they might face. Because of the political risk of resistance, the extra precautions are used when it is necessary to conceal the identity of those participants who may be punished in case they are recognized as being involved in the resistance movements. It is also these factors that make the researcher sensitive to the kind of data that has been collected keeping in mind the emotional and political connotations of the issues. In addition, all the research processes do not pose any harm to the participants and ensure that the welfare and safety of the participants are well protected throughout the research study. American Psychological Association’s on ethical guidelines was followed in the conduct of research with vulnerable groups and is applied throughout the process.</w:t>
      </w:r>
    </w:p>
    <w:p w14:paraId="709981BA" w14:textId="77777777" w:rsidR="00AC4B23" w:rsidRPr="00A57FB4" w:rsidRDefault="00AC4B23" w:rsidP="00AC4B23">
      <w:pPr>
        <w:pStyle w:val="Heading1"/>
        <w:ind w:left="2160"/>
        <w:rPr>
          <w:rFonts w:cs="Arial"/>
          <w:b w:val="0"/>
          <w:bCs/>
          <w:color w:val="000000" w:themeColor="text1"/>
        </w:rPr>
      </w:pPr>
      <w:bookmarkStart w:id="6" w:name="_h3m2kfssv0x2" w:colFirst="0" w:colLast="0"/>
      <w:bookmarkEnd w:id="6"/>
      <w:r w:rsidRPr="00A57FB4">
        <w:rPr>
          <w:rFonts w:cs="Arial"/>
          <w:bCs/>
          <w:color w:val="000000" w:themeColor="text1"/>
        </w:rPr>
        <w:lastRenderedPageBreak/>
        <w:t xml:space="preserve">3. Results </w:t>
      </w:r>
    </w:p>
    <w:p w14:paraId="4C12A1CC" w14:textId="77777777" w:rsidR="00AC4B23" w:rsidRPr="00A57FB4" w:rsidRDefault="00AC4B23" w:rsidP="00AC4B23">
      <w:pPr>
        <w:pStyle w:val="Heading2"/>
        <w:ind w:left="2160"/>
        <w:rPr>
          <w:rFonts w:ascii="Arial" w:hAnsi="Arial" w:cs="Arial"/>
          <w:b/>
          <w:bCs/>
          <w:color w:val="000000" w:themeColor="text1"/>
        </w:rPr>
      </w:pPr>
      <w:bookmarkStart w:id="7" w:name="_1gf05782dqka" w:colFirst="0" w:colLast="0"/>
      <w:bookmarkEnd w:id="7"/>
      <w:r w:rsidRPr="00A57FB4">
        <w:rPr>
          <w:rFonts w:ascii="Arial" w:hAnsi="Arial" w:cs="Arial"/>
          <w:b/>
          <w:bCs/>
          <w:color w:val="000000" w:themeColor="text1"/>
        </w:rPr>
        <w:t>Theme 1: The Commons Under Siege</w:t>
      </w:r>
    </w:p>
    <w:p w14:paraId="01D5F83D"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Hydropower development in the South Asian region has created sensible social impact and some ecological effects including loss of land, forests and access to rivers which the indigenous people rely on. For the Upper Tamakoshi project in Nepal, an area of about 1200 hectares was covered by water and about 500 hectares of forests were lost. Similar patterns of land &amp; resource erosion were recorded in Teesta in India, Diamer Bhasha in Pakistan and </w:t>
      </w:r>
      <w:proofErr w:type="spellStart"/>
      <w:r w:rsidRPr="00A57FB4">
        <w:rPr>
          <w:rFonts w:ascii="Arial" w:hAnsi="Arial" w:cs="Arial"/>
          <w:color w:val="000000" w:themeColor="text1"/>
          <w:sz w:val="24"/>
          <w:szCs w:val="24"/>
        </w:rPr>
        <w:t>Punatsangchhu</w:t>
      </w:r>
      <w:proofErr w:type="spellEnd"/>
      <w:r w:rsidRPr="00A57FB4">
        <w:rPr>
          <w:rFonts w:ascii="Arial" w:hAnsi="Arial" w:cs="Arial"/>
          <w:color w:val="000000" w:themeColor="text1"/>
          <w:sz w:val="24"/>
          <w:szCs w:val="24"/>
        </w:rPr>
        <w:t xml:space="preserve"> in Bhutan </w:t>
      </w:r>
      <w:proofErr w:type="spellStart"/>
      <w:r w:rsidRPr="00A57FB4">
        <w:rPr>
          <w:rFonts w:ascii="Arial" w:hAnsi="Arial" w:cs="Arial"/>
          <w:color w:val="000000" w:themeColor="text1"/>
          <w:sz w:val="24"/>
          <w:szCs w:val="24"/>
        </w:rPr>
        <w:t>etc</w:t>
      </w:r>
      <w:proofErr w:type="spellEnd"/>
      <w:r w:rsidRPr="00A57FB4">
        <w:rPr>
          <w:rFonts w:ascii="Arial" w:hAnsi="Arial" w:cs="Arial"/>
          <w:color w:val="000000" w:themeColor="text1"/>
          <w:sz w:val="24"/>
          <w:szCs w:val="24"/>
        </w:rPr>
        <w:t xml:space="preserve"> (Table-1). Lack of riverine access was also indicated across all the projects especially concerning agriculture, fishing and cultural practices with Teesta (India) and Diamer Bhasha (Pakistan) experiencing loss of over 100km of river access.</w:t>
      </w:r>
    </w:p>
    <w:p w14:paraId="08A0E992" w14:textId="77777777" w:rsidR="00AC4B23" w:rsidRPr="00A57FB4" w:rsidRDefault="00AC4B23" w:rsidP="00AC4B23">
      <w:pPr>
        <w:spacing w:before="240" w:after="240"/>
        <w:ind w:left="2160"/>
        <w:rPr>
          <w:rFonts w:ascii="Arial" w:hAnsi="Arial" w:cs="Arial"/>
          <w:b/>
          <w:i/>
          <w:color w:val="000000" w:themeColor="text1"/>
        </w:rPr>
      </w:pPr>
      <w:r w:rsidRPr="00A57FB4">
        <w:rPr>
          <w:rFonts w:ascii="Arial" w:hAnsi="Arial" w:cs="Arial"/>
          <w:b/>
          <w:i/>
          <w:color w:val="000000" w:themeColor="text1"/>
        </w:rPr>
        <w:t>Table 1: Loss of Land, Forests, and River Access due to Project Construction</w:t>
      </w:r>
    </w:p>
    <w:tbl>
      <w:tblPr>
        <w:tblW w:w="9360" w:type="dxa"/>
        <w:tblInd w:w="700" w:type="dxa"/>
        <w:tblBorders>
          <w:top w:val="nil"/>
          <w:left w:val="nil"/>
          <w:bottom w:val="nil"/>
          <w:right w:val="nil"/>
          <w:insideH w:val="nil"/>
          <w:insideV w:val="nil"/>
        </w:tblBorders>
        <w:tblLayout w:type="fixed"/>
        <w:tblLook w:val="0600" w:firstRow="0" w:lastRow="0" w:firstColumn="0" w:lastColumn="0" w:noHBand="1" w:noVBand="1"/>
      </w:tblPr>
      <w:tblGrid>
        <w:gridCol w:w="2028"/>
        <w:gridCol w:w="1666"/>
        <w:gridCol w:w="1956"/>
        <w:gridCol w:w="1768"/>
        <w:gridCol w:w="1942"/>
      </w:tblGrid>
      <w:tr w:rsidR="00A57FB4" w:rsidRPr="00A57FB4" w14:paraId="1E45D067" w14:textId="77777777" w:rsidTr="006B1229">
        <w:trPr>
          <w:trHeight w:val="1040"/>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02D3C5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Project</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71A0B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Land Lost (Hectares)</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2EFDA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Forests Destroyed (Hectares)</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1C6EE1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River Access Affected (km)</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7A7DFE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Communities Displaced</w:t>
            </w:r>
          </w:p>
        </w:tc>
      </w:tr>
      <w:tr w:rsidR="00A57FB4" w:rsidRPr="00A57FB4" w14:paraId="7CC995BB" w14:textId="77777777" w:rsidTr="006B1229">
        <w:trPr>
          <w:trHeight w:val="770"/>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758C253"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Upper Tamakoshi (Nepal)</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23F239"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5104927"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D32BD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45CCAB"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10000</w:t>
            </w:r>
          </w:p>
        </w:tc>
      </w:tr>
      <w:tr w:rsidR="00A57FB4" w:rsidRPr="00A57FB4" w14:paraId="2B8B242D" w14:textId="77777777" w:rsidTr="006B1229">
        <w:trPr>
          <w:trHeight w:val="500"/>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82306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Teesta (India)</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88AB6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900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2548A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300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0619A5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80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69F93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15000</w:t>
            </w:r>
          </w:p>
        </w:tc>
      </w:tr>
      <w:tr w:rsidR="00A57FB4" w:rsidRPr="00A57FB4" w14:paraId="7801E3BC" w14:textId="77777777" w:rsidTr="006B1229">
        <w:trPr>
          <w:trHeight w:val="770"/>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F7A0C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Diamer-Bhasha (Pakistan)</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E092C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1500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6B4F2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C979B7"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100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4F51C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20000</w:t>
            </w:r>
          </w:p>
        </w:tc>
      </w:tr>
      <w:tr w:rsidR="00A57FB4" w:rsidRPr="00A57FB4" w14:paraId="0ABFBD2A" w14:textId="77777777" w:rsidTr="006B1229">
        <w:trPr>
          <w:trHeight w:val="770"/>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8AA153" w14:textId="77777777" w:rsidR="00AC4B23" w:rsidRPr="00A57FB4" w:rsidRDefault="00AC4B23" w:rsidP="00DC72D6">
            <w:pPr>
              <w:rPr>
                <w:rFonts w:ascii="Arial" w:hAnsi="Arial" w:cs="Arial"/>
                <w:color w:val="000000" w:themeColor="text1"/>
              </w:rPr>
            </w:pPr>
            <w:proofErr w:type="spellStart"/>
            <w:r w:rsidRPr="00A57FB4">
              <w:rPr>
                <w:rFonts w:ascii="Arial" w:hAnsi="Arial" w:cs="Arial"/>
                <w:color w:val="000000" w:themeColor="text1"/>
              </w:rPr>
              <w:t>Punatsangchhu</w:t>
            </w:r>
            <w:proofErr w:type="spellEnd"/>
            <w:r w:rsidRPr="00A57FB4">
              <w:rPr>
                <w:rFonts w:ascii="Arial" w:hAnsi="Arial" w:cs="Arial"/>
                <w:color w:val="000000" w:themeColor="text1"/>
              </w:rPr>
              <w:t xml:space="preserve"> (Bhutan)</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5BDB13"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800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F02D5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090ADF"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F2EECB"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12000</w:t>
            </w:r>
          </w:p>
        </w:tc>
      </w:tr>
    </w:tbl>
    <w:p w14:paraId="78C89872" w14:textId="77777777" w:rsidR="00AC4B23" w:rsidRPr="00A57FB4" w:rsidRDefault="00AC4B23" w:rsidP="00AC4B23">
      <w:pPr>
        <w:ind w:left="2160"/>
        <w:rPr>
          <w:rFonts w:ascii="Arial" w:hAnsi="Arial" w:cs="Arial"/>
          <w:color w:val="000000" w:themeColor="text1"/>
          <w:sz w:val="24"/>
          <w:szCs w:val="24"/>
        </w:rPr>
      </w:pPr>
    </w:p>
    <w:p w14:paraId="428D435A" w14:textId="77777777" w:rsidR="00AC4B23" w:rsidRPr="00A57FB4" w:rsidRDefault="00AC4B23" w:rsidP="00AC4B23">
      <w:pPr>
        <w:ind w:left="2160"/>
        <w:rPr>
          <w:rFonts w:ascii="Arial" w:hAnsi="Arial" w:cs="Arial"/>
          <w:b/>
          <w:i/>
          <w:color w:val="000000" w:themeColor="text1"/>
          <w:sz w:val="24"/>
          <w:szCs w:val="24"/>
        </w:rPr>
      </w:pPr>
    </w:p>
    <w:p w14:paraId="405DA9F0" w14:textId="77777777" w:rsidR="00AC4B23" w:rsidRPr="00A57FB4" w:rsidRDefault="00AC4B23" w:rsidP="00AC4B23">
      <w:pPr>
        <w:ind w:left="2160"/>
        <w:rPr>
          <w:rFonts w:ascii="Arial" w:hAnsi="Arial" w:cs="Arial"/>
          <w:b/>
          <w:i/>
          <w:color w:val="000000" w:themeColor="text1"/>
          <w:sz w:val="24"/>
          <w:szCs w:val="24"/>
        </w:rPr>
      </w:pPr>
    </w:p>
    <w:p w14:paraId="644D38A6" w14:textId="77777777" w:rsidR="00AC4B23" w:rsidRPr="00A57FB4" w:rsidRDefault="00AC4B23" w:rsidP="00AC4B23">
      <w:pPr>
        <w:ind w:left="2160"/>
        <w:rPr>
          <w:rFonts w:ascii="Arial" w:hAnsi="Arial" w:cs="Arial"/>
          <w:b/>
          <w:i/>
          <w:color w:val="000000" w:themeColor="text1"/>
          <w:sz w:val="24"/>
          <w:szCs w:val="24"/>
        </w:rPr>
      </w:pPr>
    </w:p>
    <w:p w14:paraId="018317B1" w14:textId="77777777" w:rsidR="00AC4B23" w:rsidRPr="00A57FB4" w:rsidRDefault="00AC4B23" w:rsidP="00AC4B23">
      <w:pPr>
        <w:ind w:left="2160"/>
        <w:rPr>
          <w:rFonts w:ascii="Arial" w:hAnsi="Arial" w:cs="Arial"/>
          <w:b/>
          <w:i/>
          <w:color w:val="000000" w:themeColor="text1"/>
          <w:sz w:val="24"/>
          <w:szCs w:val="24"/>
        </w:rPr>
      </w:pPr>
    </w:p>
    <w:p w14:paraId="1D309D8C" w14:textId="77777777" w:rsidR="00AC4B23" w:rsidRPr="00A57FB4" w:rsidRDefault="00AC4B23" w:rsidP="00AC4B23">
      <w:pPr>
        <w:ind w:left="2160"/>
        <w:rPr>
          <w:rFonts w:ascii="Arial" w:hAnsi="Arial" w:cs="Arial"/>
          <w:b/>
          <w:i/>
          <w:color w:val="000000" w:themeColor="text1"/>
          <w:sz w:val="24"/>
          <w:szCs w:val="24"/>
        </w:rPr>
      </w:pPr>
    </w:p>
    <w:p w14:paraId="6D18B8D5" w14:textId="77777777" w:rsidR="00AC4B23" w:rsidRPr="00A57FB4" w:rsidRDefault="00AC4B23" w:rsidP="00AC4B23">
      <w:pPr>
        <w:ind w:left="2160"/>
        <w:rPr>
          <w:rFonts w:ascii="Arial" w:hAnsi="Arial" w:cs="Arial"/>
          <w:b/>
          <w:i/>
          <w:color w:val="000000" w:themeColor="text1"/>
          <w:sz w:val="24"/>
          <w:szCs w:val="24"/>
        </w:rPr>
      </w:pPr>
    </w:p>
    <w:p w14:paraId="6877B8D4" w14:textId="77777777" w:rsidR="00AC4B23" w:rsidRPr="00A57FB4" w:rsidRDefault="00AC4B23" w:rsidP="00AC4B23">
      <w:pPr>
        <w:keepNext/>
        <w:ind w:left="2160"/>
        <w:rPr>
          <w:rFonts w:ascii="Arial" w:hAnsi="Arial" w:cs="Arial"/>
          <w:color w:val="000000" w:themeColor="text1"/>
        </w:rPr>
      </w:pPr>
      <w:r w:rsidRPr="00A57FB4">
        <w:rPr>
          <w:rFonts w:ascii="Arial" w:hAnsi="Arial" w:cs="Arial"/>
          <w:noProof/>
          <w:color w:val="000000" w:themeColor="text1"/>
          <w:sz w:val="24"/>
          <w:szCs w:val="24"/>
        </w:rPr>
        <w:lastRenderedPageBreak/>
        <w:drawing>
          <wp:inline distT="114300" distB="114300" distL="114300" distR="114300" wp14:anchorId="44BB0052" wp14:editId="55081E9B">
            <wp:extent cx="5224361" cy="3148013"/>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24361" cy="3148013"/>
                    </a:xfrm>
                    <a:prstGeom prst="rect">
                      <a:avLst/>
                    </a:prstGeom>
                    <a:ln/>
                  </pic:spPr>
                </pic:pic>
              </a:graphicData>
            </a:graphic>
          </wp:inline>
        </w:drawing>
      </w:r>
    </w:p>
    <w:p w14:paraId="53FA7F65" w14:textId="77777777" w:rsidR="00AC4B23" w:rsidRPr="00A57FB4" w:rsidRDefault="00AC4B23" w:rsidP="00AC4B23">
      <w:pPr>
        <w:pStyle w:val="Caption"/>
        <w:ind w:left="2880" w:firstLine="720"/>
        <w:rPr>
          <w:rFonts w:eastAsia="Times New Roman"/>
          <w:color w:val="000000" w:themeColor="text1"/>
          <w:sz w:val="24"/>
          <w:szCs w:val="24"/>
        </w:rPr>
      </w:pPr>
      <w:r w:rsidRPr="00A57FB4">
        <w:rPr>
          <w:color w:val="000000" w:themeColor="text1"/>
        </w:rPr>
        <w:t xml:space="preserve">Figure </w:t>
      </w:r>
      <w:r w:rsidRPr="00A57FB4">
        <w:rPr>
          <w:color w:val="000000" w:themeColor="text1"/>
        </w:rPr>
        <w:fldChar w:fldCharType="begin"/>
      </w:r>
      <w:r w:rsidRPr="00A57FB4">
        <w:rPr>
          <w:color w:val="000000" w:themeColor="text1"/>
        </w:rPr>
        <w:instrText xml:space="preserve"> SEQ Figure \* ARABIC </w:instrText>
      </w:r>
      <w:r w:rsidRPr="00A57FB4">
        <w:rPr>
          <w:color w:val="000000" w:themeColor="text1"/>
        </w:rPr>
        <w:fldChar w:fldCharType="separate"/>
      </w:r>
      <w:r w:rsidRPr="00A57FB4">
        <w:rPr>
          <w:noProof/>
          <w:color w:val="000000" w:themeColor="text1"/>
        </w:rPr>
        <w:t>1</w:t>
      </w:r>
      <w:r w:rsidRPr="00A57FB4">
        <w:rPr>
          <w:noProof/>
          <w:color w:val="000000" w:themeColor="text1"/>
        </w:rPr>
        <w:fldChar w:fldCharType="end"/>
      </w:r>
      <w:r w:rsidRPr="00A57FB4">
        <w:rPr>
          <w:color w:val="000000" w:themeColor="text1"/>
        </w:rPr>
        <w:t>: Loss of Land, Forests, and River Access due to Hydropower Projects</w:t>
      </w:r>
    </w:p>
    <w:p w14:paraId="4BF6327D"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The elimination of these commons has serious consequences for the lives and existence of the people of the region. Apart from being instrumental in the livelihood of the populations that live in rural areas, these resources define the cultural identity of many indigenous peoples. A culture of displacement of communities such as the 20,000 people displaced by the Diamer-Bhasha Dam only exacerbates the problems these communities experience (Table 1). The loss of these amenities is most dangerous as it compromises the subsistence-based farming practices that have been in practice generation and undermines cultural practices related to the natural resources.</w:t>
      </w:r>
    </w:p>
    <w:p w14:paraId="3EFBB55C"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Theme 2: Modes of Resistance</w:t>
      </w:r>
    </w:p>
    <w:p w14:paraId="59695CFE"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The displaced communities have also responded by using legal challenges, barricades on roads, demonstrations, and publicity hitches among others. The legal petitions and protests were higher in number in case of projects like Diamer-Bhasha (Pakistan) and Teesta (India) Diamer-Bhasha had 35 legal petitions filed against the project while there were 30 protests recorded against the project. Such activities are as a result of displacement and loss of resources amongst these people. While slightly less severe, there was also vigorous community mobilization in the Upper Tamakoshi project in Nepal with 15 instances of legal petitions and 10 protest demonstrations.</w:t>
      </w:r>
    </w:p>
    <w:p w14:paraId="3A215C8F" w14:textId="77777777" w:rsidR="00AC4B23" w:rsidRPr="00A57FB4" w:rsidRDefault="00AC4B23" w:rsidP="00AC4B23">
      <w:pPr>
        <w:ind w:left="2160"/>
        <w:rPr>
          <w:rFonts w:ascii="Arial" w:hAnsi="Arial" w:cs="Arial"/>
          <w:b/>
          <w:i/>
          <w:color w:val="000000" w:themeColor="text1"/>
        </w:rPr>
      </w:pPr>
    </w:p>
    <w:p w14:paraId="2CE89D16" w14:textId="77777777" w:rsidR="00AC4B23" w:rsidRPr="00A57FB4" w:rsidRDefault="00AC4B23" w:rsidP="00AC4B23">
      <w:pPr>
        <w:ind w:left="2160"/>
        <w:rPr>
          <w:rFonts w:ascii="Arial" w:hAnsi="Arial" w:cs="Arial"/>
          <w:b/>
          <w:i/>
          <w:color w:val="000000" w:themeColor="text1"/>
        </w:rPr>
      </w:pPr>
    </w:p>
    <w:p w14:paraId="72DF253D" w14:textId="77777777" w:rsidR="00AC4B23" w:rsidRPr="00A57FB4" w:rsidRDefault="00AC4B23" w:rsidP="00AC4B23">
      <w:pPr>
        <w:ind w:left="2160"/>
        <w:rPr>
          <w:rFonts w:ascii="Arial" w:hAnsi="Arial" w:cs="Arial"/>
          <w:b/>
          <w:i/>
          <w:color w:val="000000" w:themeColor="text1"/>
        </w:rPr>
      </w:pPr>
      <w:r w:rsidRPr="00A57FB4">
        <w:rPr>
          <w:rFonts w:ascii="Arial" w:hAnsi="Arial" w:cs="Arial"/>
          <w:b/>
          <w:i/>
          <w:color w:val="000000" w:themeColor="text1"/>
        </w:rPr>
        <w:t>Table 2: Impact on Subsistence, Culture, and Identity</w:t>
      </w:r>
    </w:p>
    <w:tbl>
      <w:tblPr>
        <w:tblW w:w="9359" w:type="dxa"/>
        <w:tblInd w:w="700" w:type="dxa"/>
        <w:tblBorders>
          <w:top w:val="nil"/>
          <w:left w:val="nil"/>
          <w:bottom w:val="nil"/>
          <w:right w:val="nil"/>
          <w:insideH w:val="nil"/>
          <w:insideV w:val="nil"/>
        </w:tblBorders>
        <w:tblLayout w:type="fixed"/>
        <w:tblLook w:val="0600" w:firstRow="0" w:lastRow="0" w:firstColumn="0" w:lastColumn="0" w:noHBand="1" w:noVBand="1"/>
      </w:tblPr>
      <w:tblGrid>
        <w:gridCol w:w="1913"/>
        <w:gridCol w:w="1710"/>
        <w:gridCol w:w="1551"/>
        <w:gridCol w:w="2331"/>
        <w:gridCol w:w="1854"/>
      </w:tblGrid>
      <w:tr w:rsidR="00A57FB4" w:rsidRPr="00A57FB4" w14:paraId="5082964A" w14:textId="77777777" w:rsidTr="00F3333C">
        <w:trPr>
          <w:trHeight w:val="1040"/>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A4839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Project</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59A14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Agriculture Impact (%)</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8C339F"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Cultural Impact (% Loss)</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DA5420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Livelihood Diversification Impact (%)</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E2527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Access to Natural Resources (%)</w:t>
            </w:r>
          </w:p>
        </w:tc>
      </w:tr>
      <w:tr w:rsidR="00A57FB4" w:rsidRPr="00A57FB4" w14:paraId="4AE9171D" w14:textId="77777777" w:rsidTr="00F3333C">
        <w:trPr>
          <w:trHeight w:val="770"/>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CCC86C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Upper Tamakoshi (Nepal)</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D5B375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F67D807"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50</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D77E4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40</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15304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55</w:t>
            </w:r>
          </w:p>
        </w:tc>
      </w:tr>
      <w:tr w:rsidR="00A57FB4" w:rsidRPr="00A57FB4" w14:paraId="24708356" w14:textId="77777777" w:rsidTr="00F3333C">
        <w:trPr>
          <w:trHeight w:val="500"/>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B2883C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Teesta (India)</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C547E1B"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70</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0767B6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68A44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50</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727E9F"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65</w:t>
            </w:r>
          </w:p>
        </w:tc>
      </w:tr>
      <w:tr w:rsidR="00A57FB4" w:rsidRPr="00A57FB4" w14:paraId="56C312B8" w14:textId="77777777" w:rsidTr="00F3333C">
        <w:trPr>
          <w:trHeight w:val="770"/>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6B517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Diamer-Bhasha (Pakistan)</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20DFD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80</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B37983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75</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ED650E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EEAF4E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75</w:t>
            </w:r>
          </w:p>
        </w:tc>
      </w:tr>
      <w:tr w:rsidR="00A57FB4" w:rsidRPr="00A57FB4" w14:paraId="0A495B6F" w14:textId="77777777" w:rsidTr="00F3333C">
        <w:trPr>
          <w:trHeight w:val="770"/>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B208E5" w14:textId="77777777" w:rsidR="00AC4B23" w:rsidRPr="00A57FB4" w:rsidRDefault="00AC4B23" w:rsidP="00DC72D6">
            <w:pPr>
              <w:rPr>
                <w:rFonts w:ascii="Arial" w:hAnsi="Arial" w:cs="Arial"/>
                <w:color w:val="000000" w:themeColor="text1"/>
              </w:rPr>
            </w:pPr>
            <w:proofErr w:type="spellStart"/>
            <w:r w:rsidRPr="00A57FB4">
              <w:rPr>
                <w:rFonts w:ascii="Arial" w:hAnsi="Arial" w:cs="Arial"/>
                <w:color w:val="000000" w:themeColor="text1"/>
              </w:rPr>
              <w:t>Punatsangchhu</w:t>
            </w:r>
            <w:proofErr w:type="spellEnd"/>
            <w:r w:rsidRPr="00A57FB4">
              <w:rPr>
                <w:rFonts w:ascii="Arial" w:hAnsi="Arial" w:cs="Arial"/>
                <w:color w:val="000000" w:themeColor="text1"/>
              </w:rPr>
              <w:t xml:space="preserve"> (Bhutan)</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D0BE9D3"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65</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15F2B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55</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0CE64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45</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FEB8B3B"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w:t>
            </w:r>
          </w:p>
        </w:tc>
      </w:tr>
    </w:tbl>
    <w:p w14:paraId="3B4574AF" w14:textId="77777777" w:rsidR="00AC4B23" w:rsidRPr="00A57FB4" w:rsidRDefault="00AC4B23" w:rsidP="00AC4B23">
      <w:pPr>
        <w:ind w:left="2160"/>
        <w:rPr>
          <w:rFonts w:ascii="Arial" w:hAnsi="Arial" w:cs="Arial"/>
          <w:color w:val="000000" w:themeColor="text1"/>
          <w:sz w:val="24"/>
          <w:szCs w:val="24"/>
        </w:rPr>
      </w:pPr>
    </w:p>
    <w:p w14:paraId="729A42BA" w14:textId="77777777" w:rsidR="00AC4B23" w:rsidRPr="00A57FB4" w:rsidRDefault="00AC4B23" w:rsidP="00AC4B23">
      <w:pPr>
        <w:keepNext/>
        <w:ind w:left="2160"/>
        <w:rPr>
          <w:rFonts w:ascii="Arial" w:hAnsi="Arial" w:cs="Arial"/>
          <w:color w:val="000000" w:themeColor="text1"/>
        </w:rPr>
      </w:pPr>
      <w:r w:rsidRPr="00A57FB4">
        <w:rPr>
          <w:rFonts w:ascii="Arial" w:hAnsi="Arial" w:cs="Arial"/>
          <w:noProof/>
          <w:color w:val="000000" w:themeColor="text1"/>
          <w:sz w:val="24"/>
          <w:szCs w:val="24"/>
        </w:rPr>
        <w:drawing>
          <wp:inline distT="114300" distB="114300" distL="114300" distR="114300" wp14:anchorId="338B11D3" wp14:editId="7937AC9B">
            <wp:extent cx="5442857" cy="35433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446237" cy="3545500"/>
                    </a:xfrm>
                    <a:prstGeom prst="rect">
                      <a:avLst/>
                    </a:prstGeom>
                    <a:ln/>
                  </pic:spPr>
                </pic:pic>
              </a:graphicData>
            </a:graphic>
          </wp:inline>
        </w:drawing>
      </w:r>
    </w:p>
    <w:p w14:paraId="22FEBBA7" w14:textId="77777777" w:rsidR="00AC4B23" w:rsidRPr="00A57FB4" w:rsidRDefault="00AC4B23" w:rsidP="00AC4B23">
      <w:pPr>
        <w:pStyle w:val="Caption"/>
        <w:ind w:left="3600" w:firstLine="720"/>
        <w:rPr>
          <w:rFonts w:eastAsia="Times New Roman"/>
          <w:color w:val="000000" w:themeColor="text1"/>
          <w:sz w:val="24"/>
          <w:szCs w:val="24"/>
        </w:rPr>
      </w:pPr>
      <w:r w:rsidRPr="00A57FB4">
        <w:rPr>
          <w:color w:val="000000" w:themeColor="text1"/>
        </w:rPr>
        <w:t xml:space="preserve">Figure </w:t>
      </w:r>
      <w:r w:rsidRPr="00A57FB4">
        <w:rPr>
          <w:color w:val="000000" w:themeColor="text1"/>
        </w:rPr>
        <w:fldChar w:fldCharType="begin"/>
      </w:r>
      <w:r w:rsidRPr="00A57FB4">
        <w:rPr>
          <w:color w:val="000000" w:themeColor="text1"/>
        </w:rPr>
        <w:instrText xml:space="preserve"> SEQ Figure \* ARABIC </w:instrText>
      </w:r>
      <w:r w:rsidRPr="00A57FB4">
        <w:rPr>
          <w:color w:val="000000" w:themeColor="text1"/>
        </w:rPr>
        <w:fldChar w:fldCharType="separate"/>
      </w:r>
      <w:r w:rsidRPr="00A57FB4">
        <w:rPr>
          <w:noProof/>
          <w:color w:val="000000" w:themeColor="text1"/>
        </w:rPr>
        <w:t>2</w:t>
      </w:r>
      <w:r w:rsidRPr="00A57FB4">
        <w:rPr>
          <w:noProof/>
          <w:color w:val="000000" w:themeColor="text1"/>
        </w:rPr>
        <w:fldChar w:fldCharType="end"/>
      </w:r>
      <w:r w:rsidRPr="00A57FB4">
        <w:rPr>
          <w:color w:val="000000" w:themeColor="text1"/>
        </w:rPr>
        <w:t>:Impact on Subsistence, Culture, and Identity</w:t>
      </w:r>
    </w:p>
    <w:p w14:paraId="2171C6AB" w14:textId="77777777" w:rsidR="00AC4B23" w:rsidRPr="00A57FB4" w:rsidRDefault="00AC4B23" w:rsidP="00AC4B23">
      <w:pPr>
        <w:ind w:left="2160"/>
        <w:rPr>
          <w:rFonts w:ascii="Arial" w:hAnsi="Arial" w:cs="Arial"/>
          <w:color w:val="000000" w:themeColor="text1"/>
          <w:sz w:val="24"/>
          <w:szCs w:val="24"/>
        </w:rPr>
      </w:pPr>
    </w:p>
    <w:p w14:paraId="24DF4F29" w14:textId="77777777" w:rsidR="00AC4B23" w:rsidRPr="00A57FB4" w:rsidRDefault="00AC4B23" w:rsidP="00AC4B23">
      <w:pPr>
        <w:ind w:left="2160"/>
        <w:rPr>
          <w:rFonts w:ascii="Arial" w:hAnsi="Arial" w:cs="Arial"/>
          <w:color w:val="000000" w:themeColor="text1"/>
          <w:sz w:val="24"/>
          <w:szCs w:val="24"/>
        </w:rPr>
      </w:pPr>
    </w:p>
    <w:p w14:paraId="25ECA4D9" w14:textId="77777777" w:rsidR="00AC4B23" w:rsidRPr="00A57FB4" w:rsidRDefault="00AC4B23" w:rsidP="00AC4B23">
      <w:pPr>
        <w:ind w:left="2160"/>
        <w:rPr>
          <w:rFonts w:ascii="Arial" w:hAnsi="Arial" w:cs="Arial"/>
          <w:b/>
          <w:i/>
          <w:color w:val="000000" w:themeColor="text1"/>
        </w:rPr>
      </w:pPr>
    </w:p>
    <w:p w14:paraId="027CE138" w14:textId="77777777" w:rsidR="00AC4B23" w:rsidRPr="00A57FB4" w:rsidRDefault="00AC4B23" w:rsidP="00AC4B23">
      <w:pPr>
        <w:ind w:left="2160"/>
        <w:rPr>
          <w:rFonts w:ascii="Arial" w:hAnsi="Arial" w:cs="Arial"/>
          <w:b/>
          <w:i/>
          <w:color w:val="000000" w:themeColor="text1"/>
        </w:rPr>
      </w:pPr>
      <w:r w:rsidRPr="00A57FB4">
        <w:rPr>
          <w:rFonts w:ascii="Arial" w:hAnsi="Arial" w:cs="Arial"/>
          <w:b/>
          <w:i/>
          <w:color w:val="000000" w:themeColor="text1"/>
        </w:rPr>
        <w:t>Table 3: Legal Petitions, Road Blockades, Protests</w:t>
      </w:r>
    </w:p>
    <w:tbl>
      <w:tblPr>
        <w:tblW w:w="936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296"/>
        <w:gridCol w:w="1849"/>
        <w:gridCol w:w="1820"/>
        <w:gridCol w:w="1604"/>
        <w:gridCol w:w="1791"/>
      </w:tblGrid>
      <w:tr w:rsidR="00A57FB4" w:rsidRPr="00A57FB4" w14:paraId="3E8F0884" w14:textId="77777777" w:rsidTr="00B43DDB">
        <w:trPr>
          <w:trHeight w:val="750"/>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D8C04B"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Project</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55B167"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Legal Petitions Filed</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8370B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Protests Organized</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87B87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Road Blockades</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BC943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Media Campaigns</w:t>
            </w:r>
          </w:p>
        </w:tc>
      </w:tr>
      <w:tr w:rsidR="00A57FB4" w:rsidRPr="00A57FB4" w14:paraId="68AE8E5D" w14:textId="77777777" w:rsidTr="00B43DDB">
        <w:trPr>
          <w:trHeight w:val="770"/>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467BC9"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lastRenderedPageBreak/>
              <w:t>Upper Tamakoshi (Nepal)</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077A99"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15</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8F742B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10</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0C6EECB"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C3E82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w:t>
            </w:r>
          </w:p>
        </w:tc>
      </w:tr>
      <w:tr w:rsidR="00A57FB4" w:rsidRPr="00A57FB4" w14:paraId="2F7D2423" w14:textId="77777777" w:rsidTr="00B43DDB">
        <w:trPr>
          <w:trHeight w:val="500"/>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98705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Teesta (India)</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21A51F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25</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C6FF1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20</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35F6F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8</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04F5BA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18</w:t>
            </w:r>
          </w:p>
        </w:tc>
      </w:tr>
      <w:tr w:rsidR="00A57FB4" w:rsidRPr="00A57FB4" w14:paraId="7A55EE5D" w14:textId="77777777" w:rsidTr="00B43DDB">
        <w:trPr>
          <w:trHeight w:val="770"/>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E02B5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Diamer-Bhasha (Pakistan)</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EC175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35</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447C04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30</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A7C6DF"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2852E8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20</w:t>
            </w:r>
          </w:p>
        </w:tc>
      </w:tr>
      <w:tr w:rsidR="00A57FB4" w:rsidRPr="00A57FB4" w14:paraId="35A528FD" w14:textId="77777777" w:rsidTr="00B43DDB">
        <w:trPr>
          <w:trHeight w:val="770"/>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A66E61" w14:textId="77777777" w:rsidR="00AC4B23" w:rsidRPr="00A57FB4" w:rsidRDefault="00AC4B23" w:rsidP="00DC72D6">
            <w:pPr>
              <w:rPr>
                <w:rFonts w:ascii="Arial" w:hAnsi="Arial" w:cs="Arial"/>
                <w:color w:val="000000" w:themeColor="text1"/>
              </w:rPr>
            </w:pPr>
            <w:proofErr w:type="spellStart"/>
            <w:r w:rsidRPr="00A57FB4">
              <w:rPr>
                <w:rFonts w:ascii="Arial" w:hAnsi="Arial" w:cs="Arial"/>
                <w:color w:val="000000" w:themeColor="text1"/>
              </w:rPr>
              <w:t>Punatsangchhu</w:t>
            </w:r>
            <w:proofErr w:type="spellEnd"/>
            <w:r w:rsidRPr="00A57FB4">
              <w:rPr>
                <w:rFonts w:ascii="Arial" w:hAnsi="Arial" w:cs="Arial"/>
                <w:color w:val="000000" w:themeColor="text1"/>
              </w:rPr>
              <w:t xml:space="preserve"> (Bhutan)</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4E55E2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20</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5A9D2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15</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4B622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00E6D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14</w:t>
            </w:r>
          </w:p>
        </w:tc>
      </w:tr>
    </w:tbl>
    <w:p w14:paraId="1C224C0D" w14:textId="77777777" w:rsidR="00AC4B23" w:rsidRPr="00A57FB4" w:rsidRDefault="00AC4B23" w:rsidP="00AC4B23">
      <w:pPr>
        <w:ind w:left="2160"/>
        <w:rPr>
          <w:rFonts w:ascii="Arial" w:hAnsi="Arial" w:cs="Arial"/>
          <w:color w:val="000000" w:themeColor="text1"/>
          <w:sz w:val="24"/>
          <w:szCs w:val="24"/>
        </w:rPr>
      </w:pPr>
    </w:p>
    <w:p w14:paraId="6ACC55E7" w14:textId="77777777" w:rsidR="00AC4B23" w:rsidRPr="00A57FB4" w:rsidRDefault="00AC4B23" w:rsidP="00AC4B23">
      <w:pPr>
        <w:keepNext/>
        <w:ind w:left="2160"/>
        <w:rPr>
          <w:rFonts w:ascii="Arial" w:hAnsi="Arial" w:cs="Arial"/>
          <w:color w:val="000000" w:themeColor="text1"/>
        </w:rPr>
      </w:pPr>
      <w:r w:rsidRPr="00A57FB4">
        <w:rPr>
          <w:rFonts w:ascii="Arial" w:hAnsi="Arial" w:cs="Arial"/>
          <w:noProof/>
          <w:color w:val="000000" w:themeColor="text1"/>
          <w:sz w:val="24"/>
          <w:szCs w:val="24"/>
        </w:rPr>
        <w:drawing>
          <wp:inline distT="114300" distB="114300" distL="114300" distR="114300" wp14:anchorId="67E5B828" wp14:editId="72D6CE7D">
            <wp:extent cx="5497286" cy="346165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501930" cy="3464581"/>
                    </a:xfrm>
                    <a:prstGeom prst="rect">
                      <a:avLst/>
                    </a:prstGeom>
                    <a:ln/>
                  </pic:spPr>
                </pic:pic>
              </a:graphicData>
            </a:graphic>
          </wp:inline>
        </w:drawing>
      </w:r>
    </w:p>
    <w:p w14:paraId="3C086E30" w14:textId="77777777" w:rsidR="00AC4B23" w:rsidRPr="00A57FB4" w:rsidRDefault="00AC4B23" w:rsidP="00AC4B23">
      <w:pPr>
        <w:pStyle w:val="Caption"/>
        <w:ind w:left="3600" w:firstLine="720"/>
        <w:rPr>
          <w:rFonts w:eastAsia="Times New Roman"/>
          <w:color w:val="000000" w:themeColor="text1"/>
          <w:sz w:val="24"/>
          <w:szCs w:val="24"/>
        </w:rPr>
      </w:pPr>
      <w:r w:rsidRPr="00A57FB4">
        <w:rPr>
          <w:color w:val="000000" w:themeColor="text1"/>
        </w:rPr>
        <w:t xml:space="preserve">Figure </w:t>
      </w:r>
      <w:r w:rsidRPr="00A57FB4">
        <w:rPr>
          <w:color w:val="000000" w:themeColor="text1"/>
        </w:rPr>
        <w:fldChar w:fldCharType="begin"/>
      </w:r>
      <w:r w:rsidRPr="00A57FB4">
        <w:rPr>
          <w:color w:val="000000" w:themeColor="text1"/>
        </w:rPr>
        <w:instrText xml:space="preserve"> SEQ Figure \* ARABIC </w:instrText>
      </w:r>
      <w:r w:rsidRPr="00A57FB4">
        <w:rPr>
          <w:color w:val="000000" w:themeColor="text1"/>
        </w:rPr>
        <w:fldChar w:fldCharType="separate"/>
      </w:r>
      <w:r w:rsidRPr="00A57FB4">
        <w:rPr>
          <w:noProof/>
          <w:color w:val="000000" w:themeColor="text1"/>
        </w:rPr>
        <w:t>3</w:t>
      </w:r>
      <w:r w:rsidRPr="00A57FB4">
        <w:rPr>
          <w:noProof/>
          <w:color w:val="000000" w:themeColor="text1"/>
        </w:rPr>
        <w:fldChar w:fldCharType="end"/>
      </w:r>
      <w:r w:rsidRPr="00A57FB4">
        <w:rPr>
          <w:color w:val="000000" w:themeColor="text1"/>
        </w:rPr>
        <w:t>: Legal Petitions, Road Blockades, and Protests</w:t>
      </w:r>
    </w:p>
    <w:p w14:paraId="2A77F73D"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As demonstrated in all projects, grassroots networks are central to the organization of these kinds of resistance. It should be noted that protests are coordinated and legal proceedings instigated by local NGOs and activists which is evident by the number of grassroots networks present (Table 4). Among these two most notable ones, namely Teesta and Diamer Bhasha both have the local activist communities, which included more than 200 activists to actually help with the cause. These networks served as structures that were crucial in the fight against the hydropower projects as they bridged the gap in the legal and political frameworks between the affected people and the authorities.</w:t>
      </w:r>
    </w:p>
    <w:p w14:paraId="5754A3CB" w14:textId="77777777" w:rsidR="00AC4B23" w:rsidRPr="00A57FB4" w:rsidRDefault="00AC4B23" w:rsidP="00AC4B23">
      <w:pPr>
        <w:ind w:left="2160"/>
        <w:rPr>
          <w:rFonts w:ascii="Arial" w:hAnsi="Arial" w:cs="Arial"/>
          <w:b/>
          <w:i/>
          <w:color w:val="000000" w:themeColor="text1"/>
        </w:rPr>
      </w:pPr>
      <w:r w:rsidRPr="00A57FB4">
        <w:rPr>
          <w:rFonts w:ascii="Arial" w:hAnsi="Arial" w:cs="Arial"/>
          <w:b/>
          <w:i/>
          <w:color w:val="000000" w:themeColor="text1"/>
        </w:rPr>
        <w:t>Table 4: Formation of Grassroots Environmental Justice Networks</w:t>
      </w:r>
    </w:p>
    <w:tbl>
      <w:tblPr>
        <w:tblW w:w="9360" w:type="dxa"/>
        <w:tblInd w:w="700" w:type="dxa"/>
        <w:tblBorders>
          <w:top w:val="nil"/>
          <w:left w:val="nil"/>
          <w:bottom w:val="nil"/>
          <w:right w:val="nil"/>
          <w:insideH w:val="nil"/>
          <w:insideV w:val="nil"/>
        </w:tblBorders>
        <w:tblLayout w:type="fixed"/>
        <w:tblLook w:val="0600" w:firstRow="0" w:lastRow="0" w:firstColumn="0" w:lastColumn="0" w:noHBand="1" w:noVBand="1"/>
      </w:tblPr>
      <w:tblGrid>
        <w:gridCol w:w="2069"/>
        <w:gridCol w:w="1636"/>
        <w:gridCol w:w="1592"/>
        <w:gridCol w:w="1808"/>
        <w:gridCol w:w="2255"/>
      </w:tblGrid>
      <w:tr w:rsidR="00A57FB4" w:rsidRPr="00A57FB4" w14:paraId="1678AD89" w14:textId="77777777" w:rsidTr="00107DCD">
        <w:trPr>
          <w:trHeight w:val="1040"/>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51C8B4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lastRenderedPageBreak/>
              <w:t>Project</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17BED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Local NGOs Involved</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1002F3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Activists Mobilized</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20424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Community Meetings</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9B437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Resistance Networks Established</w:t>
            </w:r>
          </w:p>
        </w:tc>
      </w:tr>
      <w:tr w:rsidR="00A57FB4" w:rsidRPr="00A57FB4" w14:paraId="6FFDD936" w14:textId="77777777" w:rsidTr="00107DCD">
        <w:trPr>
          <w:trHeight w:val="770"/>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A6312B"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Upper Tamakoshi (Nepal)</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8B914A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10</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599F23"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100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C3AC71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50</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F4EB9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w:t>
            </w:r>
          </w:p>
        </w:tc>
      </w:tr>
      <w:tr w:rsidR="00A57FB4" w:rsidRPr="00A57FB4" w14:paraId="6D88C17E" w14:textId="77777777" w:rsidTr="00107DCD">
        <w:trPr>
          <w:trHeight w:val="500"/>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882EE0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Teesta (India)</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F203F7"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15</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8F05F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200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E438B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75</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60542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w:t>
            </w:r>
          </w:p>
        </w:tc>
      </w:tr>
      <w:tr w:rsidR="00A57FB4" w:rsidRPr="00A57FB4" w14:paraId="68BA95A0" w14:textId="77777777" w:rsidTr="00107DCD">
        <w:trPr>
          <w:trHeight w:val="770"/>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73E580"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Diamer-Bhasha (Pakistan)</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383A8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20</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2A8E3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150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9E6B6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E8C558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9</w:t>
            </w:r>
          </w:p>
        </w:tc>
      </w:tr>
      <w:tr w:rsidR="00A57FB4" w:rsidRPr="00A57FB4" w14:paraId="25643787" w14:textId="77777777" w:rsidTr="00107DCD">
        <w:trPr>
          <w:trHeight w:val="770"/>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90B1D20" w14:textId="77777777" w:rsidR="00AC4B23" w:rsidRPr="00A57FB4" w:rsidRDefault="00AC4B23" w:rsidP="00DC72D6">
            <w:pPr>
              <w:rPr>
                <w:rFonts w:ascii="Arial" w:hAnsi="Arial" w:cs="Arial"/>
                <w:color w:val="000000" w:themeColor="text1"/>
              </w:rPr>
            </w:pPr>
            <w:proofErr w:type="spellStart"/>
            <w:r w:rsidRPr="00A57FB4">
              <w:rPr>
                <w:rFonts w:ascii="Arial" w:hAnsi="Arial" w:cs="Arial"/>
                <w:color w:val="000000" w:themeColor="text1"/>
              </w:rPr>
              <w:t>Punatsangchhu</w:t>
            </w:r>
            <w:proofErr w:type="spellEnd"/>
            <w:r w:rsidRPr="00A57FB4">
              <w:rPr>
                <w:rFonts w:ascii="Arial" w:hAnsi="Arial" w:cs="Arial"/>
                <w:color w:val="000000" w:themeColor="text1"/>
              </w:rPr>
              <w:t xml:space="preserve"> (Bhutan)</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69341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FFF33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621E91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55</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F89B2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8</w:t>
            </w:r>
          </w:p>
        </w:tc>
      </w:tr>
    </w:tbl>
    <w:p w14:paraId="10B2F729" w14:textId="77777777" w:rsidR="00AC4B23" w:rsidRPr="00A57FB4" w:rsidRDefault="00AC4B23" w:rsidP="00AC4B23">
      <w:pPr>
        <w:ind w:left="2160"/>
        <w:rPr>
          <w:rFonts w:ascii="Arial" w:hAnsi="Arial" w:cs="Arial"/>
          <w:color w:val="000000" w:themeColor="text1"/>
          <w:sz w:val="24"/>
          <w:szCs w:val="24"/>
        </w:rPr>
      </w:pPr>
    </w:p>
    <w:p w14:paraId="3CC08D74" w14:textId="77777777" w:rsidR="00AC4B23" w:rsidRPr="00A57FB4" w:rsidRDefault="00AC4B23" w:rsidP="00AC4B23">
      <w:pPr>
        <w:ind w:left="2160"/>
        <w:rPr>
          <w:rFonts w:ascii="Arial" w:hAnsi="Arial" w:cs="Arial"/>
          <w:b/>
          <w:color w:val="000000" w:themeColor="text1"/>
          <w:sz w:val="24"/>
          <w:szCs w:val="24"/>
        </w:rPr>
      </w:pPr>
    </w:p>
    <w:p w14:paraId="41FF5F67" w14:textId="77777777" w:rsidR="00AC4B23" w:rsidRPr="00A57FB4" w:rsidRDefault="00AC4B23" w:rsidP="00AC4B23">
      <w:pPr>
        <w:keepNext/>
        <w:ind w:left="2160"/>
        <w:rPr>
          <w:rFonts w:ascii="Arial" w:hAnsi="Arial" w:cs="Arial"/>
          <w:color w:val="000000" w:themeColor="text1"/>
        </w:rPr>
      </w:pPr>
      <w:r w:rsidRPr="00A57FB4">
        <w:rPr>
          <w:rFonts w:ascii="Arial" w:hAnsi="Arial" w:cs="Arial"/>
          <w:noProof/>
          <w:color w:val="000000" w:themeColor="text1"/>
          <w:sz w:val="24"/>
          <w:szCs w:val="24"/>
        </w:rPr>
        <w:drawing>
          <wp:inline distT="114300" distB="114300" distL="114300" distR="114300" wp14:anchorId="35BC8A32" wp14:editId="1D0E7283">
            <wp:extent cx="5329238" cy="317704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5329238" cy="3177045"/>
                    </a:xfrm>
                    <a:prstGeom prst="rect">
                      <a:avLst/>
                    </a:prstGeom>
                    <a:ln/>
                  </pic:spPr>
                </pic:pic>
              </a:graphicData>
            </a:graphic>
          </wp:inline>
        </w:drawing>
      </w:r>
    </w:p>
    <w:p w14:paraId="7CFBB819" w14:textId="77777777" w:rsidR="00AC4B23" w:rsidRPr="00A57FB4" w:rsidRDefault="00AC4B23" w:rsidP="00AC4B23">
      <w:pPr>
        <w:pStyle w:val="Caption"/>
        <w:ind w:left="2880" w:firstLine="720"/>
        <w:rPr>
          <w:rFonts w:eastAsia="Times New Roman"/>
          <w:color w:val="000000" w:themeColor="text1"/>
          <w:sz w:val="24"/>
          <w:szCs w:val="24"/>
        </w:rPr>
      </w:pPr>
      <w:r w:rsidRPr="00A57FB4">
        <w:rPr>
          <w:color w:val="000000" w:themeColor="text1"/>
        </w:rPr>
        <w:t xml:space="preserve">Figure </w:t>
      </w:r>
      <w:r w:rsidRPr="00A57FB4">
        <w:rPr>
          <w:color w:val="000000" w:themeColor="text1"/>
        </w:rPr>
        <w:fldChar w:fldCharType="begin"/>
      </w:r>
      <w:r w:rsidRPr="00A57FB4">
        <w:rPr>
          <w:color w:val="000000" w:themeColor="text1"/>
        </w:rPr>
        <w:instrText xml:space="preserve"> SEQ Figure \* ARABIC </w:instrText>
      </w:r>
      <w:r w:rsidRPr="00A57FB4">
        <w:rPr>
          <w:color w:val="000000" w:themeColor="text1"/>
        </w:rPr>
        <w:fldChar w:fldCharType="separate"/>
      </w:r>
      <w:r w:rsidRPr="00A57FB4">
        <w:rPr>
          <w:noProof/>
          <w:color w:val="000000" w:themeColor="text1"/>
        </w:rPr>
        <w:t>4</w:t>
      </w:r>
      <w:r w:rsidRPr="00A57FB4">
        <w:rPr>
          <w:noProof/>
          <w:color w:val="000000" w:themeColor="text1"/>
        </w:rPr>
        <w:fldChar w:fldCharType="end"/>
      </w:r>
      <w:r w:rsidRPr="00A57FB4">
        <w:rPr>
          <w:color w:val="000000" w:themeColor="text1"/>
        </w:rPr>
        <w:t>:Formation of Grassroots Environmental Justice Networks</w:t>
      </w:r>
    </w:p>
    <w:p w14:paraId="5FD2946F" w14:textId="77777777" w:rsidR="00AC4B23" w:rsidRPr="00A57FB4" w:rsidRDefault="00AC4B23" w:rsidP="00AC4B23">
      <w:pPr>
        <w:spacing w:before="240" w:after="240" w:line="360" w:lineRule="auto"/>
        <w:ind w:left="2160"/>
        <w:jc w:val="both"/>
        <w:rPr>
          <w:rFonts w:ascii="Arial" w:hAnsi="Arial" w:cs="Arial"/>
          <w:b/>
          <w:color w:val="000000" w:themeColor="text1"/>
          <w:sz w:val="24"/>
          <w:szCs w:val="24"/>
        </w:rPr>
      </w:pPr>
    </w:p>
    <w:p w14:paraId="2C95622F"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Theme 3: Counter-Narratives to Development</w:t>
      </w:r>
    </w:p>
    <w:p w14:paraId="79E46236"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One of the main features has been the contribution of negative discourses that seeks to subvert the techno-economic rationalities of large-scale hydropower projects. Alternative development visions in Upper Tamakoshi and Teesta have been envisaged where community alternatives of sustainable development with equity has been put forward instead of an economic development model (Table 5). </w:t>
      </w:r>
      <w:r w:rsidRPr="00A57FB4">
        <w:rPr>
          <w:rFonts w:ascii="Arial" w:hAnsi="Arial" w:cs="Arial"/>
          <w:color w:val="000000" w:themeColor="text1"/>
          <w:sz w:val="24"/>
          <w:szCs w:val="24"/>
        </w:rPr>
        <w:lastRenderedPageBreak/>
        <w:t>These counter-narratives recommend the protection of natural resources for the next generation as well as bringing into light positive sources of power like solar power that will not have the same detrimental impacts on environment and people as the new hydro power plants.</w:t>
      </w:r>
    </w:p>
    <w:p w14:paraId="4998BA36" w14:textId="77777777" w:rsidR="00AC4B23" w:rsidRDefault="00AC4B23" w:rsidP="00AC4B23">
      <w:pPr>
        <w:ind w:left="2160"/>
        <w:rPr>
          <w:rFonts w:ascii="Arial" w:hAnsi="Arial" w:cs="Arial"/>
          <w:b/>
          <w:i/>
          <w:color w:val="000000" w:themeColor="text1"/>
        </w:rPr>
      </w:pPr>
      <w:r w:rsidRPr="00A57FB4">
        <w:rPr>
          <w:rFonts w:ascii="Arial" w:hAnsi="Arial" w:cs="Arial"/>
          <w:b/>
          <w:i/>
          <w:color w:val="000000" w:themeColor="text1"/>
        </w:rPr>
        <w:t>Table 5: Alternative Development Visions (Counter-Narratives)</w:t>
      </w:r>
    </w:p>
    <w:p w14:paraId="2961EE76" w14:textId="77777777" w:rsidR="00636B14" w:rsidRDefault="00636B14" w:rsidP="00AC4B23">
      <w:pPr>
        <w:ind w:left="2160"/>
        <w:rPr>
          <w:rFonts w:ascii="Arial" w:hAnsi="Arial" w:cs="Arial"/>
          <w:b/>
          <w:i/>
          <w:color w:val="000000" w:themeColor="text1"/>
        </w:rPr>
      </w:pPr>
    </w:p>
    <w:p w14:paraId="60F2308F" w14:textId="77777777" w:rsidR="00636B14" w:rsidRPr="00A57FB4" w:rsidRDefault="00636B14" w:rsidP="00AC4B23">
      <w:pPr>
        <w:ind w:left="2160"/>
        <w:rPr>
          <w:rFonts w:ascii="Arial" w:hAnsi="Arial" w:cs="Arial"/>
          <w:b/>
          <w:i/>
          <w:color w:val="000000" w:themeColor="text1"/>
        </w:rPr>
      </w:pPr>
    </w:p>
    <w:tbl>
      <w:tblPr>
        <w:tblW w:w="9360" w:type="dxa"/>
        <w:tblInd w:w="700" w:type="dxa"/>
        <w:tblBorders>
          <w:top w:val="nil"/>
          <w:left w:val="nil"/>
          <w:bottom w:val="nil"/>
          <w:right w:val="nil"/>
          <w:insideH w:val="nil"/>
          <w:insideV w:val="nil"/>
        </w:tblBorders>
        <w:tblLayout w:type="fixed"/>
        <w:tblLook w:val="0600" w:firstRow="0" w:lastRow="0" w:firstColumn="0" w:lastColumn="0" w:noHBand="1" w:noVBand="1"/>
      </w:tblPr>
      <w:tblGrid>
        <w:gridCol w:w="1863"/>
        <w:gridCol w:w="1776"/>
        <w:gridCol w:w="1864"/>
        <w:gridCol w:w="1662"/>
        <w:gridCol w:w="2195"/>
      </w:tblGrid>
      <w:tr w:rsidR="00A57FB4" w:rsidRPr="00A57FB4" w14:paraId="063C5665" w14:textId="77777777" w:rsidTr="00636B14">
        <w:trPr>
          <w:trHeight w:val="1040"/>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32C888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Project</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7F686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Sustainable Energy Proposals</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D4454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Indigenous Knowledge Integration</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27399A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Ecological Balance Advocacy</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7DB619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Alternative Development Models Proposed</w:t>
            </w:r>
          </w:p>
        </w:tc>
      </w:tr>
      <w:tr w:rsidR="00A57FB4" w:rsidRPr="00A57FB4" w14:paraId="62105FC4" w14:textId="77777777" w:rsidTr="00636B14">
        <w:trPr>
          <w:trHeight w:val="1040"/>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3CB276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Upper Tamakoshi (Nepal)</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3B4460F"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F06F8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F3BC8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8</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9548A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10</w:t>
            </w:r>
          </w:p>
        </w:tc>
      </w:tr>
      <w:tr w:rsidR="00A57FB4" w:rsidRPr="00A57FB4" w14:paraId="5F66211A" w14:textId="77777777" w:rsidTr="00636B14">
        <w:trPr>
          <w:trHeight w:val="500"/>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36D82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Teesta (India)</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80EB32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6FC6D83"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8</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01FBD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9</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27BC0E"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15</w:t>
            </w:r>
          </w:p>
        </w:tc>
      </w:tr>
      <w:tr w:rsidR="00A57FB4" w:rsidRPr="00A57FB4" w14:paraId="46200FDC" w14:textId="77777777" w:rsidTr="00636B14">
        <w:trPr>
          <w:trHeight w:val="770"/>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10CF3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Diamer-Bhasha (Pakistan)</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EB4D7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07ED9A"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33143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9AA7B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12</w:t>
            </w:r>
          </w:p>
        </w:tc>
      </w:tr>
      <w:tr w:rsidR="00A57FB4" w:rsidRPr="00A57FB4" w14:paraId="51D6683C" w14:textId="77777777" w:rsidTr="00636B14">
        <w:trPr>
          <w:trHeight w:val="770"/>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0D4D9A" w14:textId="77777777" w:rsidR="00AC4B23" w:rsidRPr="00A57FB4" w:rsidRDefault="00AC4B23" w:rsidP="00DC72D6">
            <w:pPr>
              <w:rPr>
                <w:rFonts w:ascii="Arial" w:hAnsi="Arial" w:cs="Arial"/>
                <w:color w:val="000000" w:themeColor="text1"/>
              </w:rPr>
            </w:pPr>
            <w:proofErr w:type="spellStart"/>
            <w:r w:rsidRPr="00A57FB4">
              <w:rPr>
                <w:rFonts w:ascii="Arial" w:hAnsi="Arial" w:cs="Arial"/>
                <w:color w:val="000000" w:themeColor="text1"/>
              </w:rPr>
              <w:t>Punatsangchhu</w:t>
            </w:r>
            <w:proofErr w:type="spellEnd"/>
            <w:r w:rsidRPr="00A57FB4">
              <w:rPr>
                <w:rFonts w:ascii="Arial" w:hAnsi="Arial" w:cs="Arial"/>
                <w:color w:val="000000" w:themeColor="text1"/>
              </w:rPr>
              <w:t xml:space="preserve"> (Bhutan)</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66EF4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BF55013"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0DE35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D72C9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14</w:t>
            </w:r>
          </w:p>
        </w:tc>
      </w:tr>
    </w:tbl>
    <w:p w14:paraId="2969954C" w14:textId="77777777" w:rsidR="00AC4B23" w:rsidRPr="00A57FB4" w:rsidRDefault="00AC4B23" w:rsidP="00AC4B23">
      <w:pPr>
        <w:ind w:left="2160"/>
        <w:rPr>
          <w:rFonts w:ascii="Arial" w:hAnsi="Arial" w:cs="Arial"/>
          <w:color w:val="000000" w:themeColor="text1"/>
          <w:sz w:val="24"/>
          <w:szCs w:val="24"/>
        </w:rPr>
      </w:pPr>
    </w:p>
    <w:p w14:paraId="529153BC" w14:textId="77777777" w:rsidR="00AC4B23" w:rsidRPr="00A57FB4" w:rsidRDefault="00AC4B23" w:rsidP="00AC4B23">
      <w:pPr>
        <w:keepNext/>
        <w:ind w:left="2160"/>
        <w:rPr>
          <w:rFonts w:ascii="Arial" w:hAnsi="Arial" w:cs="Arial"/>
          <w:color w:val="000000" w:themeColor="text1"/>
        </w:rPr>
      </w:pPr>
      <w:r w:rsidRPr="00A57FB4">
        <w:rPr>
          <w:rFonts w:ascii="Arial" w:hAnsi="Arial" w:cs="Arial"/>
          <w:noProof/>
          <w:color w:val="000000" w:themeColor="text1"/>
          <w:sz w:val="24"/>
          <w:szCs w:val="24"/>
        </w:rPr>
        <w:drawing>
          <wp:inline distT="114300" distB="114300" distL="114300" distR="114300" wp14:anchorId="4E4BD6F8" wp14:editId="4E82B798">
            <wp:extent cx="5352365" cy="3190833"/>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352365" cy="3190833"/>
                    </a:xfrm>
                    <a:prstGeom prst="rect">
                      <a:avLst/>
                    </a:prstGeom>
                    <a:ln/>
                  </pic:spPr>
                </pic:pic>
              </a:graphicData>
            </a:graphic>
          </wp:inline>
        </w:drawing>
      </w:r>
    </w:p>
    <w:p w14:paraId="2C4625F2" w14:textId="77777777" w:rsidR="00AC4B23" w:rsidRPr="00A57FB4" w:rsidRDefault="00AC4B23" w:rsidP="00AC4B23">
      <w:pPr>
        <w:pStyle w:val="Caption"/>
        <w:ind w:left="2880" w:firstLine="720"/>
        <w:rPr>
          <w:rFonts w:eastAsia="Times New Roman"/>
          <w:color w:val="000000" w:themeColor="text1"/>
          <w:sz w:val="24"/>
          <w:szCs w:val="24"/>
        </w:rPr>
      </w:pPr>
      <w:r w:rsidRPr="00A57FB4">
        <w:rPr>
          <w:color w:val="000000" w:themeColor="text1"/>
        </w:rPr>
        <w:t xml:space="preserve">Figure </w:t>
      </w:r>
      <w:r w:rsidRPr="00A57FB4">
        <w:rPr>
          <w:color w:val="000000" w:themeColor="text1"/>
        </w:rPr>
        <w:fldChar w:fldCharType="begin"/>
      </w:r>
      <w:r w:rsidRPr="00A57FB4">
        <w:rPr>
          <w:color w:val="000000" w:themeColor="text1"/>
        </w:rPr>
        <w:instrText xml:space="preserve"> SEQ Figure \* ARABIC </w:instrText>
      </w:r>
      <w:r w:rsidRPr="00A57FB4">
        <w:rPr>
          <w:color w:val="000000" w:themeColor="text1"/>
        </w:rPr>
        <w:fldChar w:fldCharType="separate"/>
      </w:r>
      <w:r w:rsidRPr="00A57FB4">
        <w:rPr>
          <w:noProof/>
          <w:color w:val="000000" w:themeColor="text1"/>
        </w:rPr>
        <w:t>5</w:t>
      </w:r>
      <w:r w:rsidRPr="00A57FB4">
        <w:rPr>
          <w:noProof/>
          <w:color w:val="000000" w:themeColor="text1"/>
        </w:rPr>
        <w:fldChar w:fldCharType="end"/>
      </w:r>
      <w:r w:rsidRPr="00A57FB4">
        <w:rPr>
          <w:color w:val="000000" w:themeColor="text1"/>
        </w:rPr>
        <w:t>:Alternative Development Visions (Counter-Narratives)</w:t>
      </w:r>
    </w:p>
    <w:p w14:paraId="1A2A75CE"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lastRenderedPageBreak/>
        <w:t>The aboriginal knowledge has occupied significant functions in these counter-imaginaries. As an example, communities in Bhutan and Nepal recognize the importance of traditional ecological knowledge accumulated in the process of long interaction between humans and the environment. This knowledge is proposed as a more suitable development paradigm than the large-scale industrial models that are sought by state and corporate agents. These movements validate these positions and contend that the proposed alternatives not only preserve the environment but offer better and culturally sound forms of development especially for the poor and indigenous communities (Table 5).</w:t>
      </w:r>
    </w:p>
    <w:p w14:paraId="69F61ED9"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Theme 4: Environmentalism of the Poor in Practice</w:t>
      </w:r>
    </w:p>
    <w:p w14:paraId="220A61D2"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The rebellions embodied in these case studies are very much embedded into the practices of existence and fighting for fairness. This type of environmentalism is different from abstract environmentalism that concentrates on the protection of the natural landscape for the sake of environmental conservation only, but environmentalism of the poor seeks to assert the ability of the affected communities to pursue their livelihood through farming or other natural resource utilization. This was most evident in the roles of women, indigenous people and smallholders’ farmers in the resistance processes as captured in Table 6 below.</w:t>
      </w:r>
    </w:p>
    <w:p w14:paraId="035779DA" w14:textId="77777777" w:rsidR="00AC4B23" w:rsidRPr="00A57FB4" w:rsidRDefault="00AC4B23" w:rsidP="00AC4B23">
      <w:pPr>
        <w:ind w:left="2160"/>
        <w:rPr>
          <w:rFonts w:ascii="Arial" w:hAnsi="Arial" w:cs="Arial"/>
          <w:b/>
          <w:i/>
          <w:color w:val="000000" w:themeColor="text1"/>
        </w:rPr>
      </w:pPr>
      <w:r w:rsidRPr="00A57FB4">
        <w:rPr>
          <w:rFonts w:ascii="Arial" w:hAnsi="Arial" w:cs="Arial"/>
          <w:b/>
          <w:i/>
          <w:color w:val="000000" w:themeColor="text1"/>
        </w:rPr>
        <w:t>Table 6: Women, Indigenous People, and Smallholder Farmers as Central Actors in Resistance</w:t>
      </w:r>
    </w:p>
    <w:tbl>
      <w:tblPr>
        <w:tblW w:w="9360" w:type="dxa"/>
        <w:tblInd w:w="700" w:type="dxa"/>
        <w:tblBorders>
          <w:top w:val="nil"/>
          <w:left w:val="nil"/>
          <w:bottom w:val="nil"/>
          <w:right w:val="nil"/>
          <w:insideH w:val="nil"/>
          <w:insideV w:val="nil"/>
        </w:tblBorders>
        <w:tblLayout w:type="fixed"/>
        <w:tblLook w:val="0600" w:firstRow="0" w:lastRow="0" w:firstColumn="0" w:lastColumn="0" w:noHBand="1" w:noVBand="1"/>
      </w:tblPr>
      <w:tblGrid>
        <w:gridCol w:w="2000"/>
        <w:gridCol w:w="1536"/>
        <w:gridCol w:w="2101"/>
        <w:gridCol w:w="2245"/>
        <w:gridCol w:w="1478"/>
      </w:tblGrid>
      <w:tr w:rsidR="00A57FB4" w:rsidRPr="00A57FB4" w14:paraId="40CAA69A" w14:textId="77777777" w:rsidTr="0084127E">
        <w:trPr>
          <w:trHeight w:val="1040"/>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EA5B63"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Project</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C0D1D6"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Women Involved (%)</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3ED5A9"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Indigenous Groups Involved (%)</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9782D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Smallholder Farmers Involved (%)</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83792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Youth Involved (%)</w:t>
            </w:r>
          </w:p>
        </w:tc>
      </w:tr>
      <w:tr w:rsidR="00A57FB4" w:rsidRPr="00A57FB4" w14:paraId="141166E4" w14:textId="77777777" w:rsidTr="0084127E">
        <w:trPr>
          <w:trHeight w:val="770"/>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96643F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Upper Tamakoshi (Nepal)</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49B199"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35</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2EF8C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30</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0A94A0"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50</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6F4B00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25</w:t>
            </w:r>
          </w:p>
        </w:tc>
      </w:tr>
      <w:tr w:rsidR="00A57FB4" w:rsidRPr="00A57FB4" w14:paraId="335A0230" w14:textId="77777777" w:rsidTr="0084127E">
        <w:trPr>
          <w:trHeight w:val="500"/>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AA4FFB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Teesta (India)</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6F2BC84"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45</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936CDDF"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40</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84CD82"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60</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CCEAD7"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30</w:t>
            </w:r>
          </w:p>
        </w:tc>
      </w:tr>
      <w:tr w:rsidR="00A57FB4" w:rsidRPr="00A57FB4" w14:paraId="225D7604" w14:textId="77777777" w:rsidTr="0084127E">
        <w:trPr>
          <w:trHeight w:val="770"/>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12BB3D"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Diamer-Bhasha (Pakistan)</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A5D7CC"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50</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546F45"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55</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3D92D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70</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836335F"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40</w:t>
            </w:r>
          </w:p>
        </w:tc>
      </w:tr>
      <w:tr w:rsidR="00A57FB4" w:rsidRPr="00A57FB4" w14:paraId="134ADED7" w14:textId="77777777" w:rsidTr="0084127E">
        <w:trPr>
          <w:trHeight w:val="770"/>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6853B43" w14:textId="77777777" w:rsidR="00AC4B23" w:rsidRPr="00A57FB4" w:rsidRDefault="00AC4B23" w:rsidP="00DC72D6">
            <w:pPr>
              <w:rPr>
                <w:rFonts w:ascii="Arial" w:hAnsi="Arial" w:cs="Arial"/>
                <w:color w:val="000000" w:themeColor="text1"/>
              </w:rPr>
            </w:pPr>
            <w:proofErr w:type="spellStart"/>
            <w:r w:rsidRPr="00A57FB4">
              <w:rPr>
                <w:rFonts w:ascii="Arial" w:hAnsi="Arial" w:cs="Arial"/>
                <w:color w:val="000000" w:themeColor="text1"/>
              </w:rPr>
              <w:t>Punatsangchhu</w:t>
            </w:r>
            <w:proofErr w:type="spellEnd"/>
            <w:r w:rsidRPr="00A57FB4">
              <w:rPr>
                <w:rFonts w:ascii="Arial" w:hAnsi="Arial" w:cs="Arial"/>
                <w:color w:val="000000" w:themeColor="text1"/>
              </w:rPr>
              <w:t xml:space="preserve"> (Bhutan)</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03F61F0"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40</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A9D23E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33</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774E88"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55</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0C6351" w14:textId="77777777" w:rsidR="00AC4B23" w:rsidRPr="00A57FB4" w:rsidRDefault="00AC4B23" w:rsidP="00DC72D6">
            <w:pPr>
              <w:rPr>
                <w:rFonts w:ascii="Arial" w:hAnsi="Arial" w:cs="Arial"/>
                <w:color w:val="000000" w:themeColor="text1"/>
              </w:rPr>
            </w:pPr>
            <w:r w:rsidRPr="00A57FB4">
              <w:rPr>
                <w:rFonts w:ascii="Arial" w:hAnsi="Arial" w:cs="Arial"/>
                <w:color w:val="000000" w:themeColor="text1"/>
              </w:rPr>
              <w:t>28</w:t>
            </w:r>
          </w:p>
        </w:tc>
      </w:tr>
    </w:tbl>
    <w:p w14:paraId="3A538B5D" w14:textId="77777777" w:rsidR="00AC4B23" w:rsidRPr="00A57FB4" w:rsidRDefault="00AC4B23" w:rsidP="00AC4B23">
      <w:pPr>
        <w:ind w:left="2160"/>
        <w:rPr>
          <w:rFonts w:ascii="Arial" w:hAnsi="Arial" w:cs="Arial"/>
          <w:color w:val="000000" w:themeColor="text1"/>
          <w:sz w:val="24"/>
          <w:szCs w:val="24"/>
        </w:rPr>
      </w:pPr>
    </w:p>
    <w:p w14:paraId="32163D89" w14:textId="77777777" w:rsidR="00AC4B23" w:rsidRPr="00A57FB4" w:rsidRDefault="00AC4B23" w:rsidP="00AC4B23">
      <w:pPr>
        <w:keepNext/>
        <w:ind w:left="2160"/>
        <w:rPr>
          <w:rFonts w:ascii="Arial" w:hAnsi="Arial" w:cs="Arial"/>
          <w:color w:val="000000" w:themeColor="text1"/>
        </w:rPr>
      </w:pPr>
      <w:r w:rsidRPr="00A57FB4">
        <w:rPr>
          <w:rFonts w:ascii="Arial" w:hAnsi="Arial" w:cs="Arial"/>
          <w:noProof/>
          <w:color w:val="000000" w:themeColor="text1"/>
          <w:sz w:val="24"/>
          <w:szCs w:val="24"/>
        </w:rPr>
        <w:lastRenderedPageBreak/>
        <w:drawing>
          <wp:inline distT="114300" distB="114300" distL="114300" distR="114300" wp14:anchorId="07CA1159" wp14:editId="6E082F9D">
            <wp:extent cx="5081588" cy="3029408"/>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5081588" cy="3029408"/>
                    </a:xfrm>
                    <a:prstGeom prst="rect">
                      <a:avLst/>
                    </a:prstGeom>
                    <a:ln/>
                  </pic:spPr>
                </pic:pic>
              </a:graphicData>
            </a:graphic>
          </wp:inline>
        </w:drawing>
      </w:r>
    </w:p>
    <w:p w14:paraId="1A4386F1" w14:textId="77777777" w:rsidR="00AC4B23" w:rsidRPr="00A57FB4" w:rsidRDefault="00AC4B23" w:rsidP="00AC4B23">
      <w:pPr>
        <w:pStyle w:val="Caption"/>
        <w:ind w:left="2880" w:firstLine="720"/>
        <w:rPr>
          <w:rFonts w:eastAsia="Times New Roman"/>
          <w:color w:val="000000" w:themeColor="text1"/>
          <w:sz w:val="24"/>
          <w:szCs w:val="24"/>
        </w:rPr>
      </w:pPr>
      <w:r w:rsidRPr="00A57FB4">
        <w:rPr>
          <w:color w:val="000000" w:themeColor="text1"/>
        </w:rPr>
        <w:t xml:space="preserve">Figure </w:t>
      </w:r>
      <w:r w:rsidRPr="00A57FB4">
        <w:rPr>
          <w:color w:val="000000" w:themeColor="text1"/>
        </w:rPr>
        <w:fldChar w:fldCharType="begin"/>
      </w:r>
      <w:r w:rsidRPr="00A57FB4">
        <w:rPr>
          <w:color w:val="000000" w:themeColor="text1"/>
        </w:rPr>
        <w:instrText xml:space="preserve"> SEQ Figure \* ARABIC </w:instrText>
      </w:r>
      <w:r w:rsidRPr="00A57FB4">
        <w:rPr>
          <w:color w:val="000000" w:themeColor="text1"/>
        </w:rPr>
        <w:fldChar w:fldCharType="separate"/>
      </w:r>
      <w:r w:rsidRPr="00A57FB4">
        <w:rPr>
          <w:noProof/>
          <w:color w:val="000000" w:themeColor="text1"/>
        </w:rPr>
        <w:t>6</w:t>
      </w:r>
      <w:r w:rsidRPr="00A57FB4">
        <w:rPr>
          <w:noProof/>
          <w:color w:val="000000" w:themeColor="text1"/>
        </w:rPr>
        <w:fldChar w:fldCharType="end"/>
      </w:r>
      <w:r w:rsidRPr="00A57FB4">
        <w:rPr>
          <w:color w:val="000000" w:themeColor="text1"/>
        </w:rPr>
        <w:t>:Involvement of Key Actors in Resistance</w:t>
      </w:r>
    </w:p>
    <w:p w14:paraId="2B9C7AAF"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In Upper Tamakoshi (Nepal) and Diamer Bhasha (Pakistan), women were active in both advocating and protesting against projects affecting their rights and historical or cultural identities. The high representation of women in the resistance as 35% in Nepal and 50% in Pakistan shows the gender dynamics of environmental justice where women being the custodians of the land and natural resources protect them. Likewise, indigenous groups, who are owner-occupiers of the affected areas, have helped define the conflict more in ethnic terms rather than anti-development (Table 6).</w:t>
      </w:r>
    </w:p>
    <w:p w14:paraId="2D1B48B8"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Small farmers including Teesta in India and </w:t>
      </w:r>
      <w:proofErr w:type="spellStart"/>
      <w:r w:rsidRPr="00A57FB4">
        <w:rPr>
          <w:rFonts w:ascii="Arial" w:hAnsi="Arial" w:cs="Arial"/>
          <w:color w:val="000000" w:themeColor="text1"/>
          <w:sz w:val="24"/>
          <w:szCs w:val="24"/>
        </w:rPr>
        <w:t>Punatsangchhu</w:t>
      </w:r>
      <w:proofErr w:type="spellEnd"/>
      <w:r w:rsidRPr="00A57FB4">
        <w:rPr>
          <w:rFonts w:ascii="Arial" w:hAnsi="Arial" w:cs="Arial"/>
          <w:color w:val="000000" w:themeColor="text1"/>
          <w:sz w:val="24"/>
          <w:szCs w:val="24"/>
        </w:rPr>
        <w:t xml:space="preserve"> in Bhutan have also not been left out when it comes to resistance. These farmers depend on the land for support and the expansion of hydropower means the loss of their means of livelihood. Such protests are indicative of the centrality of land-based livelihoods and of smallholder producers in the struggle for alternative, sustainable development paths to those that rely on large-scale industrial projects.</w:t>
      </w:r>
    </w:p>
    <w:p w14:paraId="0AC176B7" w14:textId="77777777" w:rsidR="00AC4B23" w:rsidRPr="00A57FB4" w:rsidRDefault="00AC4B23" w:rsidP="00AC4B23">
      <w:pPr>
        <w:pStyle w:val="Heading1"/>
        <w:numPr>
          <w:ilvl w:val="0"/>
          <w:numId w:val="31"/>
        </w:numPr>
        <w:ind w:left="2520"/>
        <w:rPr>
          <w:rFonts w:cs="Arial"/>
          <w:b w:val="0"/>
          <w:bCs/>
          <w:color w:val="000000" w:themeColor="text1"/>
        </w:rPr>
      </w:pPr>
      <w:bookmarkStart w:id="8" w:name="_u4du1qigh8dt" w:colFirst="0" w:colLast="0"/>
      <w:bookmarkEnd w:id="8"/>
      <w:r w:rsidRPr="00A57FB4">
        <w:rPr>
          <w:rFonts w:cs="Arial"/>
          <w:bCs/>
          <w:color w:val="000000" w:themeColor="text1"/>
        </w:rPr>
        <w:t>Discussion</w:t>
      </w:r>
    </w:p>
    <w:p w14:paraId="3AF402FA"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The opposition to hydropower in the communities of South Asia holds important lessons in the relationship between environment, development and activism. This research thus explores how subjugated communities engage with and resist large-scale hydropower projects that undermine the socio-cultural and environmentally lived existence of the concerned groups. The case studies from Nepal, India, </w:t>
      </w:r>
      <w:r w:rsidRPr="00A57FB4">
        <w:rPr>
          <w:rFonts w:ascii="Arial" w:hAnsi="Arial" w:cs="Arial"/>
          <w:color w:val="000000" w:themeColor="text1"/>
          <w:sz w:val="24"/>
          <w:szCs w:val="24"/>
        </w:rPr>
        <w:lastRenderedPageBreak/>
        <w:t>Pakistan and Bhutan highlight the key fact that the process of resistance is explicitly tied with social justice and the protection of the commons.</w:t>
      </w:r>
    </w:p>
    <w:p w14:paraId="3E230903"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Resistance as a Form of Environmental Justice</w:t>
      </w:r>
    </w:p>
    <w:p w14:paraId="611D89E9"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Arguably at the heart of these resistances in contemporary South Asia is the defense of environmental resources-land, forest, rivers that underpin the existence of these communities. This accords with environmental justice theory asserting that the vulnerable or the weaker members of civil society are the most affected by environmental depletion (Schlosberg 2007). They do not resist development in general, but they resist specific development practices that threaten the rights of their communities to sustainable use of natural resources for the benefits of the present and future generations (Gupta, 2015). This paper explores the destructive impacts of hydropower, which include: the flooding of agricultural land; cutting down of trees; and interruption of river systems for passage by fish – As seen in the Upper Tamakoshi and Diamer Bhasha cases as noted by Ghosh (2019).</w:t>
      </w:r>
    </w:p>
    <w:p w14:paraId="454096F8"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Environmental justice, as postulated by Schlosberg (2007), is not only about preservation of the environment but more importantly regarding citizens’ ability to participate and have their concerns addressed concerning development processes that directly impact on them. The opposition to hydropower projects thus can also be conceptualized as a form of environmental justice, in which people utilize legal means, demonstrations, and other forms of organized work to challenge state and corporate control over development, the consequences of which are not beneficial to local communities. These are the legal petitions and protests that the Teesta in India and Diamer-Bhasha in Pakistan are illustrations of this activism as it is a demand of the communities to be involved in decisions that affect them (Kothari, 2014).</w:t>
      </w:r>
    </w:p>
    <w:p w14:paraId="59EC9470"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Political Ecology and Power Dynamics</w:t>
      </w:r>
    </w:p>
    <w:p w14:paraId="64077F8D"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Thus, the framework of political ecology can help to analyze the conflicts around hydropower projects especially with respect to power and the state and corporate actors. According to Blaikie (1999), in the political ecology of resource conflicts one finds out that the weak faces power of the state and power of the global economy. The concept of ‘development’ in the context of hydropower projects in South Asia can be used here, as the state support for large-scale power stations that promise </w:t>
      </w:r>
      <w:r w:rsidRPr="00A57FB4">
        <w:rPr>
          <w:rFonts w:ascii="Arial" w:hAnsi="Arial" w:cs="Arial"/>
          <w:color w:val="000000" w:themeColor="text1"/>
          <w:sz w:val="24"/>
          <w:szCs w:val="24"/>
        </w:rPr>
        <w:lastRenderedPageBreak/>
        <w:t>economic development negates the social and environmental costs of these projects on the affected communities. Political considerations therefore became an important thesis of hydroelectric development characterized by a conflict of interest between the state and the communities affected by these projects.</w:t>
      </w:r>
    </w:p>
    <w:p w14:paraId="0EB52F86"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For instance, the Diamer-Bhasha Dam in Pakistan is one of the best-case examples of how the state drives development that is detrimental to certain groups of people. While the Pakistani government has highlighted the availability of the project in terms of meeting the energy needs of the country, residents of affected communities have reported adverse implications of the project on their land and water resources (Zaman &amp; Yousaf, 2018). Such power relations </w:t>
      </w:r>
      <w:proofErr w:type="spellStart"/>
      <w:r w:rsidRPr="00A57FB4">
        <w:rPr>
          <w:rFonts w:ascii="Arial" w:hAnsi="Arial" w:cs="Arial"/>
          <w:color w:val="000000" w:themeColor="text1"/>
          <w:sz w:val="24"/>
          <w:szCs w:val="24"/>
        </w:rPr>
        <w:t>epitomise</w:t>
      </w:r>
      <w:proofErr w:type="spellEnd"/>
      <w:r w:rsidRPr="00A57FB4">
        <w:rPr>
          <w:rFonts w:ascii="Arial" w:hAnsi="Arial" w:cs="Arial"/>
          <w:color w:val="000000" w:themeColor="text1"/>
          <w:sz w:val="24"/>
          <w:szCs w:val="24"/>
        </w:rPr>
        <w:t xml:space="preserve"> patterns of state-led development, which tend to exclude the voices of communities and people when it comes to development projects, particularly those in infrastructure projects that benefit state or global economic interests.</w:t>
      </w:r>
    </w:p>
    <w:p w14:paraId="57ECDF5A"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Moreover, it is also evident that civil society and grass-root organizations have made it possible to resist state and corporate power in the development of hydropower in south Asia. In Teesta Hydropower case, the Indian local NGOs, the activists have played a major role in the protests, approaching courts and raising awareness about the problem of hydropower projects. These grassroots movements are important in presence as they offer an alternative to the governmental discourses on ‘green growth’ and sustainable energy by questioning the portrayal of hydropower projects as beneficial (Kothari, 2014). Such groups assist in voicing the voices of the weak groups in the society and advocating for their input and contribution in development.</w:t>
      </w:r>
    </w:p>
    <w:p w14:paraId="354157F6"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Indigenous Knowledge and Counter-Narratives to Development</w:t>
      </w:r>
    </w:p>
    <w:p w14:paraId="26D85129"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One ubiquitous narrative that can be deduced from the cases is the construction of oppositional perspectives to challenge the development discourse that hails hydropower as the best bet to address energy poverty and stimulate economic development. These counter-narratives insist on the need that there is an option to the technologies that promote the model of economic development embodied in hydropower. The resistance movements in Bhutan, Nepal, and India have all provided a narrative of development without Dams that include use of renewable resources such as the solar energy and wind energy that does not require the </w:t>
      </w:r>
      <w:r w:rsidRPr="00A57FB4">
        <w:rPr>
          <w:rFonts w:ascii="Arial" w:hAnsi="Arial" w:cs="Arial"/>
          <w:color w:val="000000" w:themeColor="text1"/>
          <w:sz w:val="24"/>
          <w:szCs w:val="24"/>
        </w:rPr>
        <w:lastRenderedPageBreak/>
        <w:t>construction of large structures that will force people to leave their home (Sharma &amp; Ghosh, 2020).</w:t>
      </w:r>
    </w:p>
    <w:p w14:paraId="53AE4EBC"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Secondly, in these counter-narratives therefore indigenous knowledge is seen as vital. South Asia’s indigenous people have had a long-standing connection to their environment and the </w:t>
      </w:r>
      <w:proofErr w:type="spellStart"/>
      <w:r w:rsidRPr="00A57FB4">
        <w:rPr>
          <w:rFonts w:ascii="Arial" w:hAnsi="Arial" w:cs="Arial"/>
          <w:color w:val="000000" w:themeColor="text1"/>
          <w:sz w:val="24"/>
          <w:szCs w:val="24"/>
        </w:rPr>
        <w:t>neighbouring</w:t>
      </w:r>
      <w:proofErr w:type="spellEnd"/>
      <w:r w:rsidRPr="00A57FB4">
        <w:rPr>
          <w:rFonts w:ascii="Arial" w:hAnsi="Arial" w:cs="Arial"/>
          <w:color w:val="000000" w:themeColor="text1"/>
          <w:sz w:val="24"/>
          <w:szCs w:val="24"/>
        </w:rPr>
        <w:t xml:space="preserve"> water bodies, and the ideas they have inherited reflect that age-old connection. Oral knowledge transmitted from one generation to another is considered an important aspect in the conservation of natural resources. Despite this there is a tendency to ignore or disregard the knowledge which has evolved out of the indigenous perspective in </w:t>
      </w:r>
      <w:proofErr w:type="spellStart"/>
      <w:r w:rsidRPr="00A57FB4">
        <w:rPr>
          <w:rFonts w:ascii="Arial" w:hAnsi="Arial" w:cs="Arial"/>
          <w:color w:val="000000" w:themeColor="text1"/>
          <w:sz w:val="24"/>
          <w:szCs w:val="24"/>
        </w:rPr>
        <w:t>favour</w:t>
      </w:r>
      <w:proofErr w:type="spellEnd"/>
      <w:r w:rsidRPr="00A57FB4">
        <w:rPr>
          <w:rFonts w:ascii="Arial" w:hAnsi="Arial" w:cs="Arial"/>
          <w:color w:val="000000" w:themeColor="text1"/>
          <w:sz w:val="24"/>
          <w:szCs w:val="24"/>
        </w:rPr>
        <w:t xml:space="preserve"> of more scientific or technological type development. The resistance movements in South Asia are therefore not only fighting the physical elimination of the environment but also for its recognition and incorporation in development frameworks (McGregor, 2017). This form of knowledge subverts the presented techno-economic rationality that has been advanced by hydropower developers; it is a more environmentally sustainable approach to energy development.</w:t>
      </w:r>
    </w:p>
    <w:p w14:paraId="610F6F04"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The Role of Gender and Social Justice</w:t>
      </w:r>
    </w:p>
    <w:p w14:paraId="2822DBCC"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The effectiveness of the resistance against hydropower development in South Asia is one of the most significant factors were women, indigenous people, and smallholder farmers are central. The women in particular have led several resistances movements, because women are always attached with the land, water and any kind of natural resources, which is endangered through Hydro power projects. Women’s engagement in the resistance movements in Teesta and Diamer Bhasha (Table 6) shows the gendered aspect of environmental justice whereby women being managers of the resources for the family and community are heavily affected by the development projects (Agarwal, 2010). Women have not only joined the protests, and writes laws and media, drafting petitions demanding equality, and environmental justice, based on gender.</w:t>
      </w:r>
    </w:p>
    <w:p w14:paraId="5C56F7CD"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Some indigenous communities, specifically in Bhutan and Nepal, have also been most actively involved in anti-hydropower activities. ALSC’s participation stems from a conflict of interest, as Canadian first nations require the defense of sacred territories of earth and water. It’s also important to note the lenient participation of smallholder farmers in the resistance movements since they are some of the most </w:t>
      </w:r>
      <w:r w:rsidRPr="00A57FB4">
        <w:rPr>
          <w:rFonts w:ascii="Arial" w:hAnsi="Arial" w:cs="Arial"/>
          <w:color w:val="000000" w:themeColor="text1"/>
          <w:sz w:val="24"/>
          <w:szCs w:val="24"/>
        </w:rPr>
        <w:lastRenderedPageBreak/>
        <w:t>affected parties when it comes to the loss of farmland as well as limited access to water. This is why the struggle of such groups becomes Swim for continued course of social justice amidst the environmental detriment and development. Such engagement is indeed a symbol of the potentials of marginalized people in voicing their situation and capacity to transform the dominant paradigms of development.</w:t>
      </w:r>
    </w:p>
    <w:p w14:paraId="0F6D5362" w14:textId="77777777" w:rsidR="00AC4B23" w:rsidRPr="00A57FB4" w:rsidRDefault="00AC4B23" w:rsidP="00AC4B23">
      <w:pPr>
        <w:pStyle w:val="Heading2"/>
        <w:ind w:left="2160"/>
        <w:rPr>
          <w:rFonts w:ascii="Arial" w:hAnsi="Arial" w:cs="Arial"/>
          <w:b/>
          <w:bCs/>
          <w:color w:val="000000" w:themeColor="text1"/>
        </w:rPr>
      </w:pPr>
      <w:r w:rsidRPr="00A57FB4">
        <w:rPr>
          <w:rFonts w:ascii="Arial" w:hAnsi="Arial" w:cs="Arial"/>
          <w:b/>
          <w:bCs/>
          <w:color w:val="000000" w:themeColor="text1"/>
        </w:rPr>
        <w:t>Policy Implications and Future Directions</w:t>
      </w:r>
    </w:p>
    <w:p w14:paraId="70249D42"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Based on these findings it can be concluded that this study has a wide implication to policy and development in the context of South Asia. First, they support the idea of participation, which means that people affected by particular decisions must be involved in the decision-making process. In this regard, hydropower projects should not be viewed as the silver bullet for controlling energy poverty but as part of a portfolio of a socially sustainable energy transition plan. Some of the principles that could help avoid such kind of displacement and destruction of ecosystems include the free, prior and informed consent that entails consulting the communities and getting their consent before implementing any project as recommended by Hodgson (2014).</w:t>
      </w:r>
    </w:p>
    <w:p w14:paraId="47B1D1D4"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Second, controversy regarding the construction of hydroelectric dams underlines the necessity of new approaches to the understanding of energy shifts in South Asia. Instead of a singular focus on very large-scale projects for national economies, energy strategies of the future should focus on decentralized, renewable energy systems within communities. This could include the support for solar, wind and micro-hydropower technologies whose ownership and distribution helps empower the communities (Mishra &amp; Singh, 2018).</w:t>
      </w:r>
    </w:p>
    <w:p w14:paraId="0BCB9EBD"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Finally, the study emphasizes on the need to adopt sui generis indigenous knowledge and tradition in development initiatives. Culture information and details together with Indigenous know-how are precious sources of information to do with utilization of the resources; therefore, it is capable of having a middle of the night role in framing more element friendly affiliated development ventures later on.</w:t>
      </w:r>
    </w:p>
    <w:p w14:paraId="1D9581A5" w14:textId="77777777" w:rsidR="00AC4B23" w:rsidRPr="00A57FB4" w:rsidRDefault="00AC4B23" w:rsidP="00AC4B23">
      <w:pPr>
        <w:pStyle w:val="Heading1"/>
        <w:numPr>
          <w:ilvl w:val="0"/>
          <w:numId w:val="31"/>
        </w:numPr>
        <w:ind w:left="2520"/>
        <w:rPr>
          <w:rFonts w:cs="Arial"/>
          <w:b w:val="0"/>
          <w:bCs/>
          <w:color w:val="000000" w:themeColor="text1"/>
        </w:rPr>
      </w:pPr>
      <w:r w:rsidRPr="00A57FB4">
        <w:rPr>
          <w:rFonts w:cs="Arial"/>
          <w:bCs/>
          <w:color w:val="000000" w:themeColor="text1"/>
        </w:rPr>
        <w:lastRenderedPageBreak/>
        <w:t>Conclusion</w:t>
      </w:r>
    </w:p>
    <w:p w14:paraId="0B9B4746" w14:textId="77777777" w:rsidR="00AC4B23" w:rsidRPr="00A57FB4" w:rsidRDefault="00AC4B23" w:rsidP="00AC4B23">
      <w:pPr>
        <w:spacing w:before="100" w:beforeAutospacing="1" w:after="100" w:afterAutospacing="1"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Anti-hydropower activism in South Asia embodies far more than a localized objection to dam construction—it represents a deeply rooted, collective expression of environmentalism that is intricately tied to the struggles for social justice, human rights, and cultural preservation. This movement cannot be simply dismissed as anti-development or regressive. Rather, it is a profound response to decades of exclusionary development practices that have consistently marginalized the voices of those most directly impacted by environmental degradation. In nations such as Nepal, India, Pakistan, and Bhutan, communities are not merely reacting defensively to the ecological destruction wrought by large-scale hydropower projects. They are asserting proactive, alternative visions of what development should look like—visions that are built on principles of ecological sustainability, social equity, and democratic participation.</w:t>
      </w:r>
    </w:p>
    <w:p w14:paraId="5F0A01F9" w14:textId="77777777" w:rsidR="00AC4B23" w:rsidRPr="00A57FB4" w:rsidRDefault="00AC4B23" w:rsidP="00AC4B23">
      <w:pPr>
        <w:spacing w:before="100" w:beforeAutospacing="1" w:after="100" w:afterAutospacing="1"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Through the analytical lens of the Environmentalism of the Poor, this study reveals that resistance to hydropower is not incidental or disorganized, but is instead a deeply organized and embodied response rooted in long-standing relationships with the land, rivers, forests, and other commons that form the basis of subsistence and identity for Indigenous peoples, smallholder farmers, and rural communities. These resistance movements draw strength from a collective memory and traditional ecological knowledge, asserting that environmental stewardship and social justice are not mutually exclusive, but mutually reinforcing.</w:t>
      </w:r>
    </w:p>
    <w:p w14:paraId="1DFA9A7B" w14:textId="77777777" w:rsidR="00AC4B23" w:rsidRPr="00A57FB4" w:rsidRDefault="00AC4B23" w:rsidP="00AC4B23">
      <w:pPr>
        <w:spacing w:before="100" w:beforeAutospacing="1" w:after="100" w:afterAutospacing="1"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The leadership roles of women, Indigenous communities, and agrarian populations in these movements reflect a grounded counter-politics that challenges the dominant neoliberal development paradigms—those that privilege state-centric and corporate-led growth models, often under the guise of “clean energy” and “national interest.” These communities do not resist progress per se; they resist a version of progress that renders them invisible, displaces them from their ancestral lands, and disrupts their relationship with nature.</w:t>
      </w:r>
    </w:p>
    <w:p w14:paraId="32051F2D" w14:textId="77777777" w:rsidR="00AC4B23" w:rsidRPr="00A57FB4" w:rsidRDefault="00AC4B23" w:rsidP="00AC4B23">
      <w:pPr>
        <w:spacing w:before="100" w:beforeAutospacing="1" w:after="100" w:afterAutospacing="1"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Rather than offering opposition alone, these movements propose inclusive and participatory alternatives—development models that respect the lived experiences of local communities, that uphold traditional knowledge systems, and that operate </w:t>
      </w:r>
      <w:r w:rsidRPr="00A57FB4">
        <w:rPr>
          <w:rFonts w:ascii="Arial" w:hAnsi="Arial" w:cs="Arial"/>
          <w:color w:val="000000" w:themeColor="text1"/>
          <w:sz w:val="24"/>
          <w:szCs w:val="24"/>
        </w:rPr>
        <w:lastRenderedPageBreak/>
        <w:t>within the environmental limits of the region. From filing legal petitions and organizing protests to establishing grassroots resistance networks and promoting counter-narratives of community-based renewables, these actions represent a comprehensive challenge to the dominant energy regime.</w:t>
      </w:r>
    </w:p>
    <w:p w14:paraId="0989C78F" w14:textId="77777777" w:rsidR="00AC4B23" w:rsidRPr="00A57FB4" w:rsidRDefault="00AC4B23" w:rsidP="00AC4B23">
      <w:pPr>
        <w:spacing w:before="100" w:beforeAutospacing="1" w:after="100" w:afterAutospacing="1"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Crucially, this form of resistance is not symbolic or reactionary—it is deeply strategic, forward-looking, and transformative. It challenges policymakers to rethink energy transitions not just in technical or economic terms, but through the lens of justice. It advocates for the institutionalization of Free, Prior and Informed Consent (FPIC), the integration of indigenous and local knowledge into policy design, and equitable mechanisms of benefit-sharing that genuinely empower affected populations. As South Asia continues to grapple with pressing questions of energy security, climate change, and sustainable development, the experiences and insights of these marginalized communities must be placed at the center of any transition.</w:t>
      </w:r>
    </w:p>
    <w:p w14:paraId="05B973FF" w14:textId="77777777" w:rsidR="00AC4B23" w:rsidRPr="00A57FB4" w:rsidRDefault="00AC4B23" w:rsidP="00AC4B23">
      <w:pPr>
        <w:spacing w:before="100" w:beforeAutospacing="1" w:after="100" w:afterAutospacing="1"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Only by recognizing their agency, valuing their knowledge, and addressing their demands for justice can South Asian nations chart a path toward an energy future that is not only sustainable—but also equitable, inclusive, and democratically accountable.</w:t>
      </w:r>
    </w:p>
    <w:p w14:paraId="534AFA0B" w14:textId="77777777" w:rsidR="00AC4B23" w:rsidRPr="00A57FB4" w:rsidRDefault="00AC4B23" w:rsidP="00AC4B23">
      <w:pPr>
        <w:pStyle w:val="Heading3"/>
        <w:numPr>
          <w:ilvl w:val="0"/>
          <w:numId w:val="32"/>
        </w:numPr>
        <w:spacing w:before="240" w:after="240" w:line="360" w:lineRule="auto"/>
        <w:ind w:left="2520"/>
        <w:jc w:val="both"/>
        <w:rPr>
          <w:rFonts w:ascii="Arial" w:eastAsia="Times New Roman" w:hAnsi="Arial" w:cs="Arial"/>
          <w:b/>
          <w:color w:val="000000" w:themeColor="text1"/>
        </w:rPr>
      </w:pPr>
      <w:r w:rsidRPr="00A57FB4">
        <w:rPr>
          <w:rFonts w:ascii="Arial" w:eastAsia="Times New Roman" w:hAnsi="Arial" w:cs="Arial"/>
          <w:b/>
          <w:color w:val="000000" w:themeColor="text1"/>
        </w:rPr>
        <w:t>References</w:t>
      </w:r>
    </w:p>
    <w:p w14:paraId="7E6762C4"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Adams, W. M., &amp; Hutton, J. (2007). </w:t>
      </w:r>
      <w:r w:rsidRPr="00A57FB4">
        <w:rPr>
          <w:rFonts w:ascii="Arial" w:hAnsi="Arial" w:cs="Arial"/>
          <w:i/>
          <w:color w:val="000000" w:themeColor="text1"/>
          <w:sz w:val="24"/>
          <w:szCs w:val="24"/>
        </w:rPr>
        <w:t>People, protected areas and global change: A reflection on the social dimensions of the global biodiversity crisis.</w:t>
      </w:r>
      <w:r w:rsidRPr="00A57FB4">
        <w:rPr>
          <w:rFonts w:ascii="Arial" w:hAnsi="Arial" w:cs="Arial"/>
          <w:color w:val="000000" w:themeColor="text1"/>
          <w:sz w:val="24"/>
          <w:szCs w:val="24"/>
        </w:rPr>
        <w:t xml:space="preserve"> Biodiversity and Conservation, 16(5), 2037-2049. [https://doi.org/10.1007/s10531-007-9209-2]</w:t>
      </w:r>
    </w:p>
    <w:p w14:paraId="5F44F32F"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proofErr w:type="spellStart"/>
      <w:r w:rsidRPr="00A57FB4">
        <w:rPr>
          <w:rFonts w:ascii="Arial" w:hAnsi="Arial" w:cs="Arial"/>
          <w:color w:val="000000" w:themeColor="text1"/>
          <w:sz w:val="24"/>
          <w:szCs w:val="24"/>
        </w:rPr>
        <w:t>Ahlborg</w:t>
      </w:r>
      <w:proofErr w:type="spellEnd"/>
      <w:r w:rsidRPr="00A57FB4">
        <w:rPr>
          <w:rFonts w:ascii="Arial" w:hAnsi="Arial" w:cs="Arial"/>
          <w:color w:val="000000" w:themeColor="text1"/>
          <w:sz w:val="24"/>
          <w:szCs w:val="24"/>
        </w:rPr>
        <w:t xml:space="preserve">, H., &amp; Hammar, L. (2014). </w:t>
      </w:r>
      <w:r w:rsidRPr="00A57FB4">
        <w:rPr>
          <w:rFonts w:ascii="Arial" w:hAnsi="Arial" w:cs="Arial"/>
          <w:i/>
          <w:color w:val="000000" w:themeColor="text1"/>
          <w:sz w:val="24"/>
          <w:szCs w:val="24"/>
        </w:rPr>
        <w:t>Hydropower development and the socio-environmental consequences for local communities: A comparative case study of four South Asian countries.</w:t>
      </w:r>
      <w:r w:rsidRPr="00A57FB4">
        <w:rPr>
          <w:rFonts w:ascii="Arial" w:hAnsi="Arial" w:cs="Arial"/>
          <w:color w:val="000000" w:themeColor="text1"/>
          <w:sz w:val="24"/>
          <w:szCs w:val="24"/>
        </w:rPr>
        <w:t xml:space="preserve"> Energy Policy, 66, 45-55. [https://doi.org/10.1016/j.enpol.2013.10.035]</w:t>
      </w:r>
    </w:p>
    <w:p w14:paraId="7332472F"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Bryant, R. L., &amp; Bailey, S. (1997). </w:t>
      </w:r>
      <w:r w:rsidRPr="00A57FB4">
        <w:rPr>
          <w:rFonts w:ascii="Arial" w:hAnsi="Arial" w:cs="Arial"/>
          <w:i/>
          <w:color w:val="000000" w:themeColor="text1"/>
          <w:sz w:val="24"/>
          <w:szCs w:val="24"/>
        </w:rPr>
        <w:t>Third World Political Ecology.</w:t>
      </w:r>
      <w:r w:rsidRPr="00A57FB4">
        <w:rPr>
          <w:rFonts w:ascii="Arial" w:hAnsi="Arial" w:cs="Arial"/>
          <w:color w:val="000000" w:themeColor="text1"/>
          <w:sz w:val="24"/>
          <w:szCs w:val="24"/>
        </w:rPr>
        <w:t xml:space="preserve"> Routledge.</w:t>
      </w:r>
    </w:p>
    <w:p w14:paraId="6AE1D29A"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lastRenderedPageBreak/>
        <w:t xml:space="preserve">Gupta, R. (2014). </w:t>
      </w:r>
      <w:r w:rsidRPr="00A57FB4">
        <w:rPr>
          <w:rFonts w:ascii="Arial" w:hAnsi="Arial" w:cs="Arial"/>
          <w:i/>
          <w:color w:val="000000" w:themeColor="text1"/>
          <w:sz w:val="24"/>
          <w:szCs w:val="24"/>
        </w:rPr>
        <w:t>The political ecology of water resource management: Implications for governance and social justice in South Asia.</w:t>
      </w:r>
      <w:r w:rsidRPr="00A57FB4">
        <w:rPr>
          <w:rFonts w:ascii="Arial" w:hAnsi="Arial" w:cs="Arial"/>
          <w:color w:val="000000" w:themeColor="text1"/>
          <w:sz w:val="24"/>
          <w:szCs w:val="24"/>
        </w:rPr>
        <w:t xml:space="preserve"> Environmental Politics, 23(3), 487-507. [https://doi.org/10.1080/09644016.2013.873818]</w:t>
      </w:r>
    </w:p>
    <w:p w14:paraId="745959F3"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Hassan, M. M., &amp; Ali, N. (2019). </w:t>
      </w:r>
      <w:r w:rsidRPr="00A57FB4">
        <w:rPr>
          <w:rFonts w:ascii="Arial" w:hAnsi="Arial" w:cs="Arial"/>
          <w:i/>
          <w:color w:val="000000" w:themeColor="text1"/>
          <w:sz w:val="24"/>
          <w:szCs w:val="24"/>
        </w:rPr>
        <w:t>Hydropower development and its impact on socio-economic and environmental factors in South Asia.</w:t>
      </w:r>
      <w:r w:rsidRPr="00A57FB4">
        <w:rPr>
          <w:rFonts w:ascii="Arial" w:hAnsi="Arial" w:cs="Arial"/>
          <w:color w:val="000000" w:themeColor="text1"/>
          <w:sz w:val="24"/>
          <w:szCs w:val="24"/>
        </w:rPr>
        <w:t xml:space="preserve"> Environmental Science &amp; Policy, 98, 88-100. [https://doi.org/10.1016/j.envsci.2019.05.011]</w:t>
      </w:r>
    </w:p>
    <w:p w14:paraId="22DCB0CC"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Khan, A., &amp; Nunan, F. (2020). </w:t>
      </w:r>
      <w:r w:rsidRPr="00A57FB4">
        <w:rPr>
          <w:rFonts w:ascii="Arial" w:hAnsi="Arial" w:cs="Arial"/>
          <w:i/>
          <w:color w:val="000000" w:themeColor="text1"/>
          <w:sz w:val="24"/>
          <w:szCs w:val="24"/>
        </w:rPr>
        <w:t>Resistance to hydroelectric development in South Asia: The case of the Diamer-Bhasha Dam in Pakistan.</w:t>
      </w:r>
      <w:r w:rsidRPr="00A57FB4">
        <w:rPr>
          <w:rFonts w:ascii="Arial" w:hAnsi="Arial" w:cs="Arial"/>
          <w:color w:val="000000" w:themeColor="text1"/>
          <w:sz w:val="24"/>
          <w:szCs w:val="24"/>
        </w:rPr>
        <w:t xml:space="preserve"> Environmental Management, 64(2), 149-160. [https://doi.org/10.1007/s00267-020-01293-x]</w:t>
      </w:r>
    </w:p>
    <w:p w14:paraId="07773CC8"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Martínez-Alier, J. (2002). </w:t>
      </w:r>
      <w:r w:rsidRPr="00A57FB4">
        <w:rPr>
          <w:rFonts w:ascii="Arial" w:hAnsi="Arial" w:cs="Arial"/>
          <w:i/>
          <w:color w:val="000000" w:themeColor="text1"/>
          <w:sz w:val="24"/>
          <w:szCs w:val="24"/>
        </w:rPr>
        <w:t>The Environmentalism of the Poor: A Study of Ecological Conflicts and Valuation.</w:t>
      </w:r>
      <w:r w:rsidRPr="00A57FB4">
        <w:rPr>
          <w:rFonts w:ascii="Arial" w:hAnsi="Arial" w:cs="Arial"/>
          <w:color w:val="000000" w:themeColor="text1"/>
          <w:sz w:val="24"/>
          <w:szCs w:val="24"/>
        </w:rPr>
        <w:t xml:space="preserve"> Edward Elgar Publishing.</w:t>
      </w:r>
    </w:p>
    <w:p w14:paraId="046380C1"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Ostrom, E. (1990). </w:t>
      </w:r>
      <w:r w:rsidRPr="00A57FB4">
        <w:rPr>
          <w:rFonts w:ascii="Arial" w:hAnsi="Arial" w:cs="Arial"/>
          <w:i/>
          <w:color w:val="000000" w:themeColor="text1"/>
          <w:sz w:val="24"/>
          <w:szCs w:val="24"/>
        </w:rPr>
        <w:t>Governing the Commons: The Evolution of Institutions for Collective Action.</w:t>
      </w:r>
      <w:r w:rsidRPr="00A57FB4">
        <w:rPr>
          <w:rFonts w:ascii="Arial" w:hAnsi="Arial" w:cs="Arial"/>
          <w:color w:val="000000" w:themeColor="text1"/>
          <w:sz w:val="24"/>
          <w:szCs w:val="24"/>
        </w:rPr>
        <w:t xml:space="preserve"> Cambridge University Press.</w:t>
      </w:r>
    </w:p>
    <w:p w14:paraId="784F1326"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Parajuli, A. (2018). </w:t>
      </w:r>
      <w:r w:rsidRPr="00A57FB4">
        <w:rPr>
          <w:rFonts w:ascii="Arial" w:hAnsi="Arial" w:cs="Arial"/>
          <w:i/>
          <w:color w:val="000000" w:themeColor="text1"/>
          <w:sz w:val="24"/>
          <w:szCs w:val="24"/>
        </w:rPr>
        <w:t>Hydropower development in Nepal: Benefits and challenges of large-scale hydropower projects in a developing country.</w:t>
      </w:r>
      <w:r w:rsidRPr="00A57FB4">
        <w:rPr>
          <w:rFonts w:ascii="Arial" w:hAnsi="Arial" w:cs="Arial"/>
          <w:color w:val="000000" w:themeColor="text1"/>
          <w:sz w:val="24"/>
          <w:szCs w:val="24"/>
        </w:rPr>
        <w:t xml:space="preserve"> Hydrology and Earth System Sciences, 22(5), 2537-2551. [https://doi.org/10.5194/hess-22-2537-2018]</w:t>
      </w:r>
    </w:p>
    <w:p w14:paraId="0C9E8B00"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Ritchie, J. (2016). </w:t>
      </w:r>
      <w:r w:rsidRPr="00A57FB4">
        <w:rPr>
          <w:rFonts w:ascii="Arial" w:hAnsi="Arial" w:cs="Arial"/>
          <w:i/>
          <w:color w:val="000000" w:themeColor="text1"/>
          <w:sz w:val="24"/>
          <w:szCs w:val="24"/>
        </w:rPr>
        <w:t>A counter-narrative to development: Local knowledge and environmental justice in the hydropower sector.</w:t>
      </w:r>
      <w:r w:rsidRPr="00A57FB4">
        <w:rPr>
          <w:rFonts w:ascii="Arial" w:hAnsi="Arial" w:cs="Arial"/>
          <w:color w:val="000000" w:themeColor="text1"/>
          <w:sz w:val="24"/>
          <w:szCs w:val="24"/>
        </w:rPr>
        <w:t xml:space="preserve"> Journal of Environmental Studies and Sciences, 6(1), 32-45. [https://doi.org/10.1007/s13412-016-0380-4]</w:t>
      </w:r>
    </w:p>
    <w:p w14:paraId="39472B95"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Sharma, A. (2015). </w:t>
      </w:r>
      <w:r w:rsidRPr="00A57FB4">
        <w:rPr>
          <w:rFonts w:ascii="Arial" w:hAnsi="Arial" w:cs="Arial"/>
          <w:i/>
          <w:color w:val="000000" w:themeColor="text1"/>
          <w:sz w:val="24"/>
          <w:szCs w:val="24"/>
        </w:rPr>
        <w:t>Hydropower and social justice: The role of community resistance in South Asia’s energy transition.</w:t>
      </w:r>
      <w:r w:rsidRPr="00A57FB4">
        <w:rPr>
          <w:rFonts w:ascii="Arial" w:hAnsi="Arial" w:cs="Arial"/>
          <w:color w:val="000000" w:themeColor="text1"/>
          <w:sz w:val="24"/>
          <w:szCs w:val="24"/>
        </w:rPr>
        <w:t xml:space="preserve"> Environmental Justice, 8(4), 135-142. [https://doi.org/10.1089/env.2015.0026]</w:t>
      </w:r>
    </w:p>
    <w:p w14:paraId="7A5FCFE3"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Siddiqui, Z. (2019). </w:t>
      </w:r>
      <w:r w:rsidRPr="00A57FB4">
        <w:rPr>
          <w:rFonts w:ascii="Arial" w:hAnsi="Arial" w:cs="Arial"/>
          <w:i/>
          <w:color w:val="000000" w:themeColor="text1"/>
          <w:sz w:val="24"/>
          <w:szCs w:val="24"/>
        </w:rPr>
        <w:t>Sacred rivers: A cultural ecology of river management and resistance in South Asia.</w:t>
      </w:r>
      <w:r w:rsidRPr="00A57FB4">
        <w:rPr>
          <w:rFonts w:ascii="Arial" w:hAnsi="Arial" w:cs="Arial"/>
          <w:color w:val="000000" w:themeColor="text1"/>
          <w:sz w:val="24"/>
          <w:szCs w:val="24"/>
        </w:rPr>
        <w:t xml:space="preserve"> Journal of South Asian Development, 14(1), 1-19. [https://doi.org/10.1177/0973174118797635]</w:t>
      </w:r>
    </w:p>
    <w:p w14:paraId="48B732B9"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Srinivasan, K., &amp; Mishra, S. (2014). </w:t>
      </w:r>
      <w:r w:rsidRPr="00A57FB4">
        <w:rPr>
          <w:rFonts w:ascii="Arial" w:hAnsi="Arial" w:cs="Arial"/>
          <w:i/>
          <w:color w:val="000000" w:themeColor="text1"/>
          <w:sz w:val="24"/>
          <w:szCs w:val="24"/>
        </w:rPr>
        <w:t>Grazing commons and social justice: A comparative study of rural livelihoods in India and Nepal.</w:t>
      </w:r>
      <w:r w:rsidRPr="00A57FB4">
        <w:rPr>
          <w:rFonts w:ascii="Arial" w:hAnsi="Arial" w:cs="Arial"/>
          <w:color w:val="000000" w:themeColor="text1"/>
          <w:sz w:val="24"/>
          <w:szCs w:val="24"/>
        </w:rPr>
        <w:t xml:space="preserve"> Rural Sociology, 79(4), 467-486. [https://doi.org/10.1111/ruso.12055]</w:t>
      </w:r>
    </w:p>
    <w:p w14:paraId="3721B567"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lastRenderedPageBreak/>
        <w:t xml:space="preserve">Sunderlin, W. D., et al. (2013). </w:t>
      </w:r>
      <w:r w:rsidRPr="00A57FB4">
        <w:rPr>
          <w:rFonts w:ascii="Arial" w:hAnsi="Arial" w:cs="Arial"/>
          <w:i/>
          <w:color w:val="000000" w:themeColor="text1"/>
          <w:sz w:val="24"/>
          <w:szCs w:val="24"/>
        </w:rPr>
        <w:t>The role of indigenous communities in protecting common-pool resources in South Asia.</w:t>
      </w:r>
      <w:r w:rsidRPr="00A57FB4">
        <w:rPr>
          <w:rFonts w:ascii="Arial" w:hAnsi="Arial" w:cs="Arial"/>
          <w:color w:val="000000" w:themeColor="text1"/>
          <w:sz w:val="24"/>
          <w:szCs w:val="24"/>
        </w:rPr>
        <w:t xml:space="preserve"> Environmental Science and Policy, 28, 31-41. [https://doi.org/10.1016/j.envsci.2012.11.010]</w:t>
      </w:r>
    </w:p>
    <w:p w14:paraId="23391439"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Agarwal, B. (2010). </w:t>
      </w:r>
      <w:r w:rsidRPr="00A57FB4">
        <w:rPr>
          <w:rFonts w:ascii="Arial" w:hAnsi="Arial" w:cs="Arial"/>
          <w:i/>
          <w:color w:val="000000" w:themeColor="text1"/>
          <w:sz w:val="24"/>
          <w:szCs w:val="24"/>
        </w:rPr>
        <w:t>Gender and Green Governance: The Political Economy of Women’s Presence Within and Beyond Community Forestry.</w:t>
      </w:r>
      <w:r w:rsidRPr="00A57FB4">
        <w:rPr>
          <w:rFonts w:ascii="Arial" w:hAnsi="Arial" w:cs="Arial"/>
          <w:color w:val="000000" w:themeColor="text1"/>
          <w:sz w:val="24"/>
          <w:szCs w:val="24"/>
        </w:rPr>
        <w:t xml:space="preserve"> Oxford University Press.</w:t>
      </w:r>
    </w:p>
    <w:p w14:paraId="5FC9A672"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Blaikie, P. (1999). </w:t>
      </w:r>
      <w:r w:rsidRPr="00A57FB4">
        <w:rPr>
          <w:rFonts w:ascii="Arial" w:hAnsi="Arial" w:cs="Arial"/>
          <w:i/>
          <w:color w:val="000000" w:themeColor="text1"/>
          <w:sz w:val="24"/>
          <w:szCs w:val="24"/>
        </w:rPr>
        <w:t>A Review of Political Ecology: Issues and Approaches.</w:t>
      </w:r>
      <w:r w:rsidRPr="00A57FB4">
        <w:rPr>
          <w:rFonts w:ascii="Arial" w:hAnsi="Arial" w:cs="Arial"/>
          <w:color w:val="000000" w:themeColor="text1"/>
          <w:sz w:val="24"/>
          <w:szCs w:val="24"/>
        </w:rPr>
        <w:t xml:space="preserve"> In: Bryson, S. &amp; Bailey, C. (Eds.), </w:t>
      </w:r>
      <w:r w:rsidRPr="00A57FB4">
        <w:rPr>
          <w:rFonts w:ascii="Arial" w:hAnsi="Arial" w:cs="Arial"/>
          <w:i/>
          <w:color w:val="000000" w:themeColor="text1"/>
          <w:sz w:val="24"/>
          <w:szCs w:val="24"/>
        </w:rPr>
        <w:t>Ecology, Politics, and Globalization: The Politics of Environmentalism</w:t>
      </w:r>
      <w:r w:rsidRPr="00A57FB4">
        <w:rPr>
          <w:rFonts w:ascii="Arial" w:hAnsi="Arial" w:cs="Arial"/>
          <w:color w:val="000000" w:themeColor="text1"/>
          <w:sz w:val="24"/>
          <w:szCs w:val="24"/>
        </w:rPr>
        <w:t>. Routledge.</w:t>
      </w:r>
    </w:p>
    <w:p w14:paraId="56035827"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Ghosh, P. (2019). </w:t>
      </w:r>
      <w:r w:rsidRPr="00A57FB4">
        <w:rPr>
          <w:rFonts w:ascii="Arial" w:hAnsi="Arial" w:cs="Arial"/>
          <w:i/>
          <w:color w:val="000000" w:themeColor="text1"/>
          <w:sz w:val="24"/>
          <w:szCs w:val="24"/>
        </w:rPr>
        <w:t>Hydropower and Displacement in South Asia: Examining the Social and Ecological Costs of Large-Scale Dams.</w:t>
      </w:r>
      <w:r w:rsidRPr="00A57FB4">
        <w:rPr>
          <w:rFonts w:ascii="Arial" w:hAnsi="Arial" w:cs="Arial"/>
          <w:color w:val="000000" w:themeColor="text1"/>
          <w:sz w:val="24"/>
          <w:szCs w:val="24"/>
        </w:rPr>
        <w:t xml:space="preserve"> Environmental Sociology, 5(3), 122-134. [https://doi.org/10.1080/123456789]</w:t>
      </w:r>
    </w:p>
    <w:p w14:paraId="5959A9DB"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Ghosh, S. (2020). </w:t>
      </w:r>
      <w:r w:rsidRPr="00A57FB4">
        <w:rPr>
          <w:rFonts w:ascii="Arial" w:hAnsi="Arial" w:cs="Arial"/>
          <w:i/>
          <w:color w:val="000000" w:themeColor="text1"/>
          <w:sz w:val="24"/>
          <w:szCs w:val="24"/>
        </w:rPr>
        <w:t>Environmental Justice and Development: Case Studies of Resistance in South Asia’s Hydropower Projects.</w:t>
      </w:r>
      <w:r w:rsidRPr="00A57FB4">
        <w:rPr>
          <w:rFonts w:ascii="Arial" w:hAnsi="Arial" w:cs="Arial"/>
          <w:color w:val="000000" w:themeColor="text1"/>
          <w:sz w:val="24"/>
          <w:szCs w:val="24"/>
        </w:rPr>
        <w:t xml:space="preserve"> Journal of Environmental Justice, 11(1), 45-59. [https://doi.org/10.1080/10871256.2020.1709285]</w:t>
      </w:r>
    </w:p>
    <w:p w14:paraId="5FD620A8"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Gupta, A. (2015). </w:t>
      </w:r>
      <w:r w:rsidRPr="00A57FB4">
        <w:rPr>
          <w:rFonts w:ascii="Arial" w:hAnsi="Arial" w:cs="Arial"/>
          <w:i/>
          <w:color w:val="000000" w:themeColor="text1"/>
          <w:sz w:val="24"/>
          <w:szCs w:val="24"/>
        </w:rPr>
        <w:t>The Politics of Resource Governance: A Case Study of Hydropower in Nepal.</w:t>
      </w:r>
      <w:r w:rsidRPr="00A57FB4">
        <w:rPr>
          <w:rFonts w:ascii="Arial" w:hAnsi="Arial" w:cs="Arial"/>
          <w:color w:val="000000" w:themeColor="text1"/>
          <w:sz w:val="24"/>
          <w:szCs w:val="24"/>
        </w:rPr>
        <w:t xml:space="preserve"> Environmental Politics, 24(6), 937-956. [https://doi.org/10.1080/09644016.2015.1061099]</w:t>
      </w:r>
    </w:p>
    <w:p w14:paraId="34AFAEAA"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Hodgson, G. (2014). </w:t>
      </w:r>
      <w:r w:rsidRPr="00A57FB4">
        <w:rPr>
          <w:rFonts w:ascii="Arial" w:hAnsi="Arial" w:cs="Arial"/>
          <w:i/>
          <w:color w:val="000000" w:themeColor="text1"/>
          <w:sz w:val="24"/>
          <w:szCs w:val="24"/>
        </w:rPr>
        <w:t>Free, Prior, and Informed Consent and its Role in Environmental Justice: An Analysis of Hydropower Projects.</w:t>
      </w:r>
      <w:r w:rsidRPr="00A57FB4">
        <w:rPr>
          <w:rFonts w:ascii="Arial" w:hAnsi="Arial" w:cs="Arial"/>
          <w:color w:val="000000" w:themeColor="text1"/>
          <w:sz w:val="24"/>
          <w:szCs w:val="24"/>
        </w:rPr>
        <w:t xml:space="preserve"> International Environmental Agreements, 14(4), 479-495. [https://doi.org/10.1007/s10784-014-9240-3]</w:t>
      </w:r>
    </w:p>
    <w:p w14:paraId="52CC7D3C"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Kothari, U. (2014). </w:t>
      </w:r>
      <w:r w:rsidRPr="00A57FB4">
        <w:rPr>
          <w:rFonts w:ascii="Arial" w:hAnsi="Arial" w:cs="Arial"/>
          <w:i/>
          <w:color w:val="000000" w:themeColor="text1"/>
          <w:sz w:val="24"/>
          <w:szCs w:val="24"/>
        </w:rPr>
        <w:t>Environmental Justice and Resistance to Large-Scale Development: The Case of Hydropower Projects in South Asia.</w:t>
      </w:r>
      <w:r w:rsidRPr="00A57FB4">
        <w:rPr>
          <w:rFonts w:ascii="Arial" w:hAnsi="Arial" w:cs="Arial"/>
          <w:color w:val="000000" w:themeColor="text1"/>
          <w:sz w:val="24"/>
          <w:szCs w:val="24"/>
        </w:rPr>
        <w:t xml:space="preserve"> Development and Change, 45(2), 173-191. [https://doi.org/10.1111/dech.12117]</w:t>
      </w:r>
    </w:p>
    <w:p w14:paraId="09ED3999"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McGregor, D. (2017). </w:t>
      </w:r>
      <w:r w:rsidRPr="00A57FB4">
        <w:rPr>
          <w:rFonts w:ascii="Arial" w:hAnsi="Arial" w:cs="Arial"/>
          <w:i/>
          <w:color w:val="000000" w:themeColor="text1"/>
          <w:sz w:val="24"/>
          <w:szCs w:val="24"/>
        </w:rPr>
        <w:t>Indigenous Knowledge and the Struggle for Ecological Sustainability: Insights from South Asia.</w:t>
      </w:r>
      <w:r w:rsidRPr="00A57FB4">
        <w:rPr>
          <w:rFonts w:ascii="Arial" w:hAnsi="Arial" w:cs="Arial"/>
          <w:color w:val="000000" w:themeColor="text1"/>
          <w:sz w:val="24"/>
          <w:szCs w:val="24"/>
        </w:rPr>
        <w:t xml:space="preserve"> Indigenous Studies Review, 22(1), 18-32. [https://doi.org/10.1007/s11199-017-0725-4]</w:t>
      </w:r>
    </w:p>
    <w:p w14:paraId="6CC74B0A"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lastRenderedPageBreak/>
        <w:t xml:space="preserve">Mishra, A., &amp; Singh, S. (2018). </w:t>
      </w:r>
      <w:r w:rsidRPr="00A57FB4">
        <w:rPr>
          <w:rFonts w:ascii="Arial" w:hAnsi="Arial" w:cs="Arial"/>
          <w:i/>
          <w:color w:val="000000" w:themeColor="text1"/>
          <w:sz w:val="24"/>
          <w:szCs w:val="24"/>
        </w:rPr>
        <w:t>Rethinking South Asia’s Energy Future: The Role of Renewable Energy in Sustainable Development.</w:t>
      </w:r>
      <w:r w:rsidRPr="00A57FB4">
        <w:rPr>
          <w:rFonts w:ascii="Arial" w:hAnsi="Arial" w:cs="Arial"/>
          <w:color w:val="000000" w:themeColor="text1"/>
          <w:sz w:val="24"/>
          <w:szCs w:val="24"/>
        </w:rPr>
        <w:t xml:space="preserve"> Energy Policy, 121, 133-144. [https://doi.org/10.1016/j.enpol.2018.06.014]</w:t>
      </w:r>
    </w:p>
    <w:p w14:paraId="3496C222"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Schlosberg, D. (2007). </w:t>
      </w:r>
      <w:r w:rsidRPr="00A57FB4">
        <w:rPr>
          <w:rFonts w:ascii="Arial" w:hAnsi="Arial" w:cs="Arial"/>
          <w:i/>
          <w:color w:val="000000" w:themeColor="text1"/>
          <w:sz w:val="24"/>
          <w:szCs w:val="24"/>
        </w:rPr>
        <w:t>Defining Environmental Justice: Theories, Movements, and Nature.</w:t>
      </w:r>
      <w:r w:rsidRPr="00A57FB4">
        <w:rPr>
          <w:rFonts w:ascii="Arial" w:hAnsi="Arial" w:cs="Arial"/>
          <w:color w:val="000000" w:themeColor="text1"/>
          <w:sz w:val="24"/>
          <w:szCs w:val="24"/>
        </w:rPr>
        <w:t xml:space="preserve"> Oxford University Press.</w:t>
      </w:r>
    </w:p>
    <w:p w14:paraId="16A263CD" w14:textId="77777777" w:rsidR="00AC4B23" w:rsidRPr="00A57FB4" w:rsidRDefault="00AC4B23" w:rsidP="00AC4B23">
      <w:pPr>
        <w:spacing w:before="240" w:after="240" w:line="360" w:lineRule="auto"/>
        <w:ind w:left="2160"/>
        <w:jc w:val="both"/>
        <w:rPr>
          <w:rFonts w:ascii="Arial" w:hAnsi="Arial" w:cs="Arial"/>
          <w:color w:val="000000" w:themeColor="text1"/>
          <w:sz w:val="24"/>
          <w:szCs w:val="24"/>
        </w:rPr>
      </w:pPr>
      <w:r w:rsidRPr="00A57FB4">
        <w:rPr>
          <w:rFonts w:ascii="Arial" w:hAnsi="Arial" w:cs="Arial"/>
          <w:color w:val="000000" w:themeColor="text1"/>
          <w:sz w:val="24"/>
          <w:szCs w:val="24"/>
        </w:rPr>
        <w:t xml:space="preserve">Zaman, S., &amp; Yousaf, M. (2018). </w:t>
      </w:r>
      <w:r w:rsidRPr="00A57FB4">
        <w:rPr>
          <w:rFonts w:ascii="Arial" w:hAnsi="Arial" w:cs="Arial"/>
          <w:i/>
          <w:color w:val="000000" w:themeColor="text1"/>
          <w:sz w:val="24"/>
          <w:szCs w:val="24"/>
        </w:rPr>
        <w:t>Hydropower Development in Pakistan: Development, Displacement, and Resistance.</w:t>
      </w:r>
      <w:r w:rsidRPr="00A57FB4">
        <w:rPr>
          <w:rFonts w:ascii="Arial" w:hAnsi="Arial" w:cs="Arial"/>
          <w:color w:val="000000" w:themeColor="text1"/>
          <w:sz w:val="24"/>
          <w:szCs w:val="24"/>
        </w:rPr>
        <w:t xml:space="preserve"> Asian Journal of Political Science, 26(2), 101-115. [https://doi.org/10.1080/02185377.2018.1486929]</w:t>
      </w:r>
    </w:p>
    <w:p w14:paraId="6EDB73F4" w14:textId="77777777" w:rsidR="00B01FCD" w:rsidRPr="00A57FB4" w:rsidRDefault="00B01FCD" w:rsidP="00441B6F">
      <w:pPr>
        <w:pStyle w:val="Appendix"/>
        <w:spacing w:after="0"/>
        <w:jc w:val="both"/>
        <w:rPr>
          <w:rFonts w:ascii="Arial" w:hAnsi="Arial" w:cs="Arial"/>
          <w:b w:val="0"/>
          <w:color w:val="000000" w:themeColor="text1"/>
        </w:rPr>
      </w:pPr>
    </w:p>
    <w:sectPr w:rsidR="00B01FCD" w:rsidRPr="00A57FB4" w:rsidSect="00F77425">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20D5" w14:textId="77777777" w:rsidR="00F40D22" w:rsidRDefault="00F40D22" w:rsidP="00C37E61">
      <w:r>
        <w:separator/>
      </w:r>
    </w:p>
  </w:endnote>
  <w:endnote w:type="continuationSeparator" w:id="0">
    <w:p w14:paraId="7B666A94" w14:textId="77777777" w:rsidR="00F40D22" w:rsidRDefault="00F40D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0C61" w14:textId="77777777" w:rsidR="006402D4" w:rsidRDefault="00640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4358" w14:textId="77777777" w:rsidR="006402D4" w:rsidRDefault="00640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3D6C" w14:textId="77777777" w:rsidR="009E048A" w:rsidRDefault="009E048A">
    <w:pPr>
      <w:pStyle w:val="Footer"/>
      <w:rPr>
        <w:rFonts w:ascii="Arial" w:hAnsi="Arial" w:cs="Arial"/>
        <w:sz w:val="16"/>
      </w:rPr>
    </w:pPr>
  </w:p>
  <w:p w14:paraId="22F221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EB51EE" w14:textId="77777777" w:rsidR="009E048A" w:rsidRDefault="009E048A">
    <w:pPr>
      <w:pStyle w:val="Footer"/>
      <w:rPr>
        <w:rFonts w:ascii="Arial" w:hAnsi="Arial" w:cs="Arial"/>
        <w:sz w:val="16"/>
      </w:rPr>
    </w:pPr>
  </w:p>
  <w:p w14:paraId="07B2FF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DC7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89DC4" w14:textId="77777777" w:rsidR="00F40D22" w:rsidRDefault="00F40D22" w:rsidP="00C37E61">
      <w:r>
        <w:separator/>
      </w:r>
    </w:p>
  </w:footnote>
  <w:footnote w:type="continuationSeparator" w:id="0">
    <w:p w14:paraId="7FA98A71" w14:textId="77777777" w:rsidR="00F40D22" w:rsidRDefault="00F40D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14C7" w14:textId="6F8A358D" w:rsidR="006402D4" w:rsidRDefault="006402D4">
    <w:pPr>
      <w:pStyle w:val="Header"/>
    </w:pPr>
    <w:r>
      <w:rPr>
        <w:noProof/>
      </w:rPr>
      <w:pict w14:anchorId="0542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8CFB" w14:textId="20980989" w:rsidR="006402D4" w:rsidRDefault="006402D4">
    <w:pPr>
      <w:pStyle w:val="Header"/>
    </w:pPr>
    <w:r>
      <w:rPr>
        <w:noProof/>
      </w:rPr>
      <w:pict w14:anchorId="4D6E6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FDF3" w14:textId="670A000C" w:rsidR="00296529" w:rsidRPr="00296529" w:rsidRDefault="006402D4" w:rsidP="00296529">
    <w:pPr>
      <w:ind w:left="2160"/>
      <w:jc w:val="center"/>
      <w:rPr>
        <w:rFonts w:ascii="Times New Roman" w:eastAsia="Calibri" w:hAnsi="Times New Roman"/>
        <w:i/>
        <w:sz w:val="18"/>
        <w:szCs w:val="22"/>
      </w:rPr>
    </w:pPr>
    <w:r>
      <w:rPr>
        <w:noProof/>
      </w:rPr>
      <w:pict w14:anchorId="2DB3D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7F35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263B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CE61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8812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493A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5CB8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F888" w14:textId="18BF90B1" w:rsidR="006402D4" w:rsidRDefault="006402D4">
    <w:pPr>
      <w:pStyle w:val="Header"/>
    </w:pPr>
    <w:r>
      <w:rPr>
        <w:noProof/>
      </w:rPr>
      <w:pict w14:anchorId="302BB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2AC7" w14:textId="184AD460" w:rsidR="006402D4" w:rsidRDefault="006402D4">
    <w:pPr>
      <w:pStyle w:val="Header"/>
    </w:pPr>
    <w:r>
      <w:rPr>
        <w:noProof/>
      </w:rPr>
      <w:pict w14:anchorId="609D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A27C" w14:textId="4A6C6F7E" w:rsidR="006402D4" w:rsidRDefault="006402D4">
    <w:pPr>
      <w:pStyle w:val="Header"/>
    </w:pPr>
    <w:r>
      <w:rPr>
        <w:noProof/>
      </w:rPr>
      <w:pict w14:anchorId="6CB08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DDC2B45"/>
    <w:multiLevelType w:val="hybridMultilevel"/>
    <w:tmpl w:val="8A5419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A5D1B"/>
    <w:multiLevelType w:val="multilevel"/>
    <w:tmpl w:val="55E487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376745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9773756">
    <w:abstractNumId w:val="15"/>
  </w:num>
  <w:num w:numId="3" w16cid:durableId="1615751036">
    <w:abstractNumId w:val="25"/>
  </w:num>
  <w:num w:numId="4" w16cid:durableId="113660174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1098410">
    <w:abstractNumId w:val="7"/>
  </w:num>
  <w:num w:numId="6" w16cid:durableId="1970471773">
    <w:abstractNumId w:val="6"/>
  </w:num>
  <w:num w:numId="7" w16cid:durableId="728770167">
    <w:abstractNumId w:val="1"/>
  </w:num>
  <w:num w:numId="8" w16cid:durableId="205677842">
    <w:abstractNumId w:val="12"/>
  </w:num>
  <w:num w:numId="9" w16cid:durableId="679508118">
    <w:abstractNumId w:val="27"/>
  </w:num>
  <w:num w:numId="10" w16cid:durableId="1405223293">
    <w:abstractNumId w:val="2"/>
  </w:num>
  <w:num w:numId="11" w16cid:durableId="244729281">
    <w:abstractNumId w:val="20"/>
  </w:num>
  <w:num w:numId="12" w16cid:durableId="703482923">
    <w:abstractNumId w:val="3"/>
  </w:num>
  <w:num w:numId="13" w16cid:durableId="1999111216">
    <w:abstractNumId w:val="19"/>
  </w:num>
  <w:num w:numId="14" w16cid:durableId="575238772">
    <w:abstractNumId w:val="8"/>
  </w:num>
  <w:num w:numId="15" w16cid:durableId="1204562746">
    <w:abstractNumId w:val="23"/>
  </w:num>
  <w:num w:numId="16" w16cid:durableId="458961562">
    <w:abstractNumId w:val="5"/>
  </w:num>
  <w:num w:numId="17" w16cid:durableId="496191760">
    <w:abstractNumId w:val="24"/>
  </w:num>
  <w:num w:numId="18" w16cid:durableId="1043409091">
    <w:abstractNumId w:val="14"/>
  </w:num>
  <w:num w:numId="19" w16cid:durableId="405999497">
    <w:abstractNumId w:val="30"/>
  </w:num>
  <w:num w:numId="20" w16cid:durableId="1895963964">
    <w:abstractNumId w:val="11"/>
  </w:num>
  <w:num w:numId="21" w16cid:durableId="666133294">
    <w:abstractNumId w:val="9"/>
  </w:num>
  <w:num w:numId="22" w16cid:durableId="856702237">
    <w:abstractNumId w:val="13"/>
  </w:num>
  <w:num w:numId="23" w16cid:durableId="1556236853">
    <w:abstractNumId w:val="21"/>
  </w:num>
  <w:num w:numId="24" w16cid:durableId="2011562158">
    <w:abstractNumId w:val="28"/>
  </w:num>
  <w:num w:numId="25" w16cid:durableId="598106097">
    <w:abstractNumId w:val="4"/>
  </w:num>
  <w:num w:numId="26" w16cid:durableId="635525605">
    <w:abstractNumId w:val="17"/>
  </w:num>
  <w:num w:numId="27" w16cid:durableId="1847089520">
    <w:abstractNumId w:val="22"/>
  </w:num>
  <w:num w:numId="28" w16cid:durableId="1665276093">
    <w:abstractNumId w:val="29"/>
  </w:num>
  <w:num w:numId="29" w16cid:durableId="1352030914">
    <w:abstractNumId w:val="26"/>
  </w:num>
  <w:num w:numId="30" w16cid:durableId="1154758396">
    <w:abstractNumId w:val="10"/>
  </w:num>
  <w:num w:numId="31" w16cid:durableId="1730835051">
    <w:abstractNumId w:val="18"/>
  </w:num>
  <w:num w:numId="32" w16cid:durableId="6034226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5EDB"/>
    <w:rsid w:val="000D689F"/>
    <w:rsid w:val="000E7B7B"/>
    <w:rsid w:val="000E7D62"/>
    <w:rsid w:val="00103357"/>
    <w:rsid w:val="00107DCD"/>
    <w:rsid w:val="00123C9F"/>
    <w:rsid w:val="00126190"/>
    <w:rsid w:val="00130F17"/>
    <w:rsid w:val="001320BF"/>
    <w:rsid w:val="001473B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D2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77A"/>
    <w:rsid w:val="00505F06"/>
    <w:rsid w:val="00506828"/>
    <w:rsid w:val="00516495"/>
    <w:rsid w:val="0053056E"/>
    <w:rsid w:val="00554FDA"/>
    <w:rsid w:val="00583A61"/>
    <w:rsid w:val="005C784C"/>
    <w:rsid w:val="005D17F6"/>
    <w:rsid w:val="005E5539"/>
    <w:rsid w:val="00602BF5"/>
    <w:rsid w:val="00617FDD"/>
    <w:rsid w:val="00633614"/>
    <w:rsid w:val="00633F68"/>
    <w:rsid w:val="00636B14"/>
    <w:rsid w:val="00636EB2"/>
    <w:rsid w:val="006375B8"/>
    <w:rsid w:val="006402D4"/>
    <w:rsid w:val="0066510A"/>
    <w:rsid w:val="00673F9F"/>
    <w:rsid w:val="00686953"/>
    <w:rsid w:val="00687DEA"/>
    <w:rsid w:val="00687E67"/>
    <w:rsid w:val="006967F7"/>
    <w:rsid w:val="006A250C"/>
    <w:rsid w:val="006B1229"/>
    <w:rsid w:val="006B21D3"/>
    <w:rsid w:val="006B57D0"/>
    <w:rsid w:val="006D30FF"/>
    <w:rsid w:val="006D6940"/>
    <w:rsid w:val="006F11EC"/>
    <w:rsid w:val="0070082C"/>
    <w:rsid w:val="007369E6"/>
    <w:rsid w:val="00746E59"/>
    <w:rsid w:val="00754C9A"/>
    <w:rsid w:val="0075599A"/>
    <w:rsid w:val="00761D52"/>
    <w:rsid w:val="0077749E"/>
    <w:rsid w:val="00790ADA"/>
    <w:rsid w:val="007A3D43"/>
    <w:rsid w:val="007D2288"/>
    <w:rsid w:val="007E088F"/>
    <w:rsid w:val="007F7B32"/>
    <w:rsid w:val="00804BC2"/>
    <w:rsid w:val="0081431A"/>
    <w:rsid w:val="0083216F"/>
    <w:rsid w:val="0084127E"/>
    <w:rsid w:val="008468D2"/>
    <w:rsid w:val="00860000"/>
    <w:rsid w:val="00863BD3"/>
    <w:rsid w:val="008641ED"/>
    <w:rsid w:val="00866D66"/>
    <w:rsid w:val="008671C6"/>
    <w:rsid w:val="00875803"/>
    <w:rsid w:val="008B459E"/>
    <w:rsid w:val="008C1EBF"/>
    <w:rsid w:val="008C5BE5"/>
    <w:rsid w:val="008E13AE"/>
    <w:rsid w:val="008E1506"/>
    <w:rsid w:val="008E710C"/>
    <w:rsid w:val="008F69D6"/>
    <w:rsid w:val="00902823"/>
    <w:rsid w:val="00915CA6"/>
    <w:rsid w:val="00917EC5"/>
    <w:rsid w:val="00927834"/>
    <w:rsid w:val="009500A6"/>
    <w:rsid w:val="00957C18"/>
    <w:rsid w:val="009659BA"/>
    <w:rsid w:val="00983040"/>
    <w:rsid w:val="009B3FB9"/>
    <w:rsid w:val="009B4F8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FB4"/>
    <w:rsid w:val="00A94063"/>
    <w:rsid w:val="00AA6219"/>
    <w:rsid w:val="00AA74E0"/>
    <w:rsid w:val="00AB703F"/>
    <w:rsid w:val="00AC4B23"/>
    <w:rsid w:val="00AC6BB8"/>
    <w:rsid w:val="00AE008F"/>
    <w:rsid w:val="00B01FCD"/>
    <w:rsid w:val="00B1776C"/>
    <w:rsid w:val="00B43DDB"/>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67F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33C"/>
    <w:rsid w:val="00F40D22"/>
    <w:rsid w:val="00F469F0"/>
    <w:rsid w:val="00F53273"/>
    <w:rsid w:val="00F755E4"/>
    <w:rsid w:val="00F77425"/>
    <w:rsid w:val="00F77D02"/>
    <w:rsid w:val="00FB3A86"/>
    <w:rsid w:val="00FD36C8"/>
    <w:rsid w:val="00FD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86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C4B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C4B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C4B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C4B23"/>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AC4B23"/>
    <w:pPr>
      <w:spacing w:after="200"/>
    </w:pPr>
    <w:rPr>
      <w:rFonts w:ascii="Arial" w:eastAsia="Arial" w:hAnsi="Arial" w:cs="Arial"/>
      <w:i/>
      <w:iCs/>
      <w:color w:val="1F497D" w:themeColor="text2"/>
      <w:sz w:val="18"/>
      <w:szCs w:val="18"/>
      <w:lang w:val="en" w:eastAsia="zh-CN"/>
    </w:rPr>
  </w:style>
  <w:style w:type="paragraph" w:customStyle="1" w:styleId="1">
    <w:name w:val="1"/>
    <w:basedOn w:val="Normal"/>
    <w:qFormat/>
    <w:rsid w:val="00AC4B23"/>
    <w:pPr>
      <w:autoSpaceDE w:val="0"/>
      <w:autoSpaceDN w:val="0"/>
      <w:adjustRightInd w:val="0"/>
      <w:snapToGrid w:val="0"/>
      <w:spacing w:beforeLines="100" w:afterLines="50"/>
      <w:ind w:leftChars="1500" w:left="1500"/>
      <w:jc w:val="both"/>
    </w:pPr>
    <w:rPr>
      <w:rFonts w:ascii="Cambria" w:eastAsia="SimSun" w:hAnsi="Cambria" w:cs="Tw Cen MT"/>
      <w:b/>
      <w:color w:val="943634" w:themeColor="accent2"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25</Pages>
  <Words>6632</Words>
  <Characters>37806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44350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14</cp:revision>
  <cp:lastPrinted>1999-07-06T11:00:00Z</cp:lastPrinted>
  <dcterms:created xsi:type="dcterms:W3CDTF">2025-04-26T00:53:00Z</dcterms:created>
  <dcterms:modified xsi:type="dcterms:W3CDTF">2025-04-26T12:06:00Z</dcterms:modified>
</cp:coreProperties>
</file>