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7352B" w14:textId="77777777" w:rsidR="00E66F11" w:rsidRPr="002559AC" w:rsidRDefault="00E66F11" w:rsidP="002559AC">
      <w:pPr>
        <w:spacing w:line="360" w:lineRule="auto"/>
        <w:jc w:val="center"/>
        <w:rPr>
          <w:rFonts w:ascii="Times New Roman" w:hAnsi="Times New Roman" w:cs="Times New Roman"/>
          <w:b/>
          <w:bCs/>
          <w:sz w:val="24"/>
          <w:szCs w:val="24"/>
        </w:rPr>
      </w:pPr>
      <w:bookmarkStart w:id="0" w:name="_GoBack"/>
      <w:bookmarkEnd w:id="0"/>
      <w:r w:rsidRPr="002559AC">
        <w:rPr>
          <w:rFonts w:ascii="Times New Roman" w:hAnsi="Times New Roman" w:cs="Times New Roman"/>
          <w:b/>
          <w:bCs/>
          <w:sz w:val="24"/>
          <w:szCs w:val="24"/>
        </w:rPr>
        <w:t xml:space="preserve">PREVALENCE OF </w:t>
      </w:r>
      <w:r w:rsidRPr="002559AC">
        <w:rPr>
          <w:rFonts w:ascii="Times New Roman" w:hAnsi="Times New Roman" w:cs="Times New Roman"/>
          <w:b/>
          <w:bCs/>
          <w:i/>
          <w:iCs/>
          <w:sz w:val="24"/>
          <w:szCs w:val="24"/>
        </w:rPr>
        <w:t xml:space="preserve">Staphylococcus aureus </w:t>
      </w:r>
      <w:r w:rsidRPr="002559AC">
        <w:rPr>
          <w:rFonts w:ascii="Times New Roman" w:hAnsi="Times New Roman" w:cs="Times New Roman"/>
          <w:b/>
          <w:bCs/>
          <w:sz w:val="24"/>
          <w:szCs w:val="24"/>
        </w:rPr>
        <w:t xml:space="preserve">AND </w:t>
      </w:r>
      <w:r w:rsidRPr="002559AC">
        <w:rPr>
          <w:rFonts w:ascii="Times New Roman" w:hAnsi="Times New Roman" w:cs="Times New Roman"/>
          <w:b/>
          <w:bCs/>
          <w:i/>
          <w:iCs/>
          <w:sz w:val="24"/>
          <w:szCs w:val="24"/>
        </w:rPr>
        <w:t>Escherichia coli</w:t>
      </w:r>
      <w:r w:rsidRPr="002559AC">
        <w:rPr>
          <w:rFonts w:ascii="Times New Roman" w:hAnsi="Times New Roman" w:cs="Times New Roman"/>
          <w:b/>
          <w:bCs/>
          <w:sz w:val="24"/>
          <w:szCs w:val="24"/>
        </w:rPr>
        <w:t xml:space="preserve"> FROM URINE SAMPLES OF ASYMPTOMATIC UNDERGRADUATE STUDENTS AT BENSON IDAHOSA UNIVERSITY.</w:t>
      </w:r>
    </w:p>
    <w:p w14:paraId="62F00818" w14:textId="77777777" w:rsidR="00C927F1" w:rsidRPr="002559AC" w:rsidRDefault="00C927F1" w:rsidP="002559AC">
      <w:pPr>
        <w:spacing w:line="360" w:lineRule="auto"/>
        <w:jc w:val="center"/>
        <w:rPr>
          <w:rFonts w:ascii="Times New Roman" w:hAnsi="Times New Roman" w:cs="Times New Roman"/>
          <w:b/>
          <w:bCs/>
          <w:sz w:val="24"/>
          <w:szCs w:val="24"/>
        </w:rPr>
      </w:pPr>
    </w:p>
    <w:p w14:paraId="2D7365B9" w14:textId="77777777" w:rsidR="0004028F" w:rsidRPr="002559AC" w:rsidRDefault="0004028F" w:rsidP="002559AC">
      <w:pPr>
        <w:pStyle w:val="Heading1"/>
        <w:rPr>
          <w:color w:val="auto"/>
        </w:rPr>
      </w:pPr>
      <w:bookmarkStart w:id="1" w:name="_Toc172731234"/>
      <w:r w:rsidRPr="002559AC">
        <w:rPr>
          <w:color w:val="auto"/>
        </w:rPr>
        <w:t>Abstract</w:t>
      </w:r>
      <w:bookmarkEnd w:id="1"/>
    </w:p>
    <w:p w14:paraId="3F123E5A"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 xml:space="preserve">Escherichia coli </w:t>
      </w:r>
      <w:r w:rsidRPr="002559AC">
        <w:rPr>
          <w:rFonts w:ascii="Times New Roman" w:hAnsi="Times New Roman" w:cs="Times New Roman"/>
          <w:sz w:val="24"/>
          <w:szCs w:val="24"/>
        </w:rPr>
        <w:t xml:space="preserve">are common constituents of the human microbiome, often found as harmless commensals in various anatomical sites such as the nose, gut, and skin. However, their presence in asymptomatic individuals poses a risk of transmission and subsequent infection, especially in communal settings like universities. This study aims to determine the prevalence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undergraduate students at Benson Idahosa University, Benin City, Edo State, by identifying colonization rates and associated risk factors. Urine samples from 131 students, aged 19-23, were analyzed using urine microscopy, culture techniques, and various biochemical tests. The samples were cultured on CLED and MacConkey agar, followed by incubation under aerobic conditions. Gram staining and additional tests such as the catalase, coagulase, oxidase, and indole tests were performed for bacterial identification. Antibiotic susceptibility was assessed using the Kirby-Bauer disc diffusion method. Obtained data was subjected to Statistical package for social science (SPSS) and data wa</w:t>
      </w:r>
      <w:r w:rsidR="00FB3347" w:rsidRPr="002559AC">
        <w:rPr>
          <w:rFonts w:ascii="Times New Roman" w:hAnsi="Times New Roman" w:cs="Times New Roman"/>
          <w:sz w:val="24"/>
          <w:szCs w:val="24"/>
        </w:rPr>
        <w:t xml:space="preserve">s analyzed using </w:t>
      </w:r>
      <w:r w:rsidRPr="002559AC">
        <w:rPr>
          <w:rFonts w:ascii="Times New Roman" w:hAnsi="Times New Roman" w:cs="Times New Roman"/>
          <w:sz w:val="24"/>
          <w:szCs w:val="24"/>
        </w:rPr>
        <w:t xml:space="preserve">descriptive statistic. Results showed that 79 (60.31%) of the samples exhibited bacterial growth. Irrespective of other isolates the prevalence rate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identified was 39 (29.77%)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31 (23.66%) in the samples among the undergraduate student at Benson Idahosa university. Other bacteria such as </w:t>
      </w:r>
      <w:r w:rsidRPr="002559AC">
        <w:rPr>
          <w:rFonts w:ascii="Times New Roman" w:hAnsi="Times New Roman" w:cs="Times New Roman"/>
          <w:i/>
          <w:iCs/>
          <w:sz w:val="24"/>
          <w:szCs w:val="24"/>
        </w:rPr>
        <w:t>Proteus</w:t>
      </w:r>
      <w:r w:rsidRPr="002559AC">
        <w:rPr>
          <w:rFonts w:ascii="Times New Roman" w:hAnsi="Times New Roman" w:cs="Times New Roman"/>
          <w:sz w:val="24"/>
          <w:szCs w:val="24"/>
        </w:rPr>
        <w:t xml:space="preserve"> species, </w:t>
      </w:r>
      <w:r w:rsidRPr="002559AC">
        <w:rPr>
          <w:rFonts w:ascii="Times New Roman" w:hAnsi="Times New Roman" w:cs="Times New Roman"/>
          <w:i/>
          <w:iCs/>
          <w:sz w:val="24"/>
          <w:szCs w:val="24"/>
        </w:rPr>
        <w:t>Klebsiella pneumoniae,</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Pseudomonas aeruginosa</w:t>
      </w:r>
      <w:r w:rsidRPr="002559AC">
        <w:rPr>
          <w:rFonts w:ascii="Times New Roman" w:hAnsi="Times New Roman" w:cs="Times New Roman"/>
          <w:sz w:val="24"/>
          <w:szCs w:val="24"/>
        </w:rPr>
        <w:t xml:space="preserve"> were also detected. Notably, 52 (39.69%) samples showed no bacterial growth. The demographic analysis revealed higher colonization rates among females (75.95%) compared to males (24.05%), and the highest prevalence was observed in students aged 19-22 years. The antibiogram indicated significant resistance in both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with 40% of the isolates being multidrug-resistant. These findings highlight the critical need for regular screening, effective infection control measures, and robust antibiotic stewardship programs within the university to manage and mitigate the risks associated with bacterial colonization and transmission. The study underscores the importance of continuous monitoring and targeted interventions to safeguard public health in </w:t>
      </w:r>
      <w:r w:rsidRPr="002559AC">
        <w:rPr>
          <w:rFonts w:ascii="Times New Roman" w:hAnsi="Times New Roman" w:cs="Times New Roman"/>
          <w:sz w:val="24"/>
          <w:szCs w:val="24"/>
        </w:rPr>
        <w:lastRenderedPageBreak/>
        <w:t xml:space="preserve">University settings, addressing both the spread of these pathogens and the rising threat of antibiotic resistance. Further research should focus on the genetic mechanisms of resistance and exploring alternative treatment options to enhance infection management strategies. </w:t>
      </w:r>
      <w:r w:rsidRPr="002559AC">
        <w:rPr>
          <w:rFonts w:ascii="Times New Roman" w:hAnsi="Times New Roman" w:cs="Times New Roman"/>
          <w:i/>
          <w:iCs/>
          <w:sz w:val="24"/>
          <w:szCs w:val="24"/>
        </w:rPr>
        <w:t> </w:t>
      </w:r>
      <w:r w:rsidRPr="002559AC">
        <w:rPr>
          <w:rFonts w:ascii="Times New Roman" w:hAnsi="Times New Roman" w:cs="Times New Roman"/>
          <w:sz w:val="24"/>
          <w:szCs w:val="24"/>
        </w:rPr>
        <w:br w:type="page"/>
      </w:r>
    </w:p>
    <w:p w14:paraId="39EEDBDC" w14:textId="77777777" w:rsidR="00C51DCD" w:rsidRPr="002559AC" w:rsidRDefault="0004028F"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lastRenderedPageBreak/>
        <w:t>INTRODUCTION</w:t>
      </w:r>
    </w:p>
    <w:p w14:paraId="1B75669C" w14:textId="77777777" w:rsidR="009B319F" w:rsidRPr="002559AC" w:rsidRDefault="009B319F"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E. coli</w:t>
      </w:r>
      <w:r w:rsidRPr="002559AC">
        <w:rPr>
          <w:rFonts w:ascii="Times New Roman" w:hAnsi="Times New Roman" w:cs="Times New Roman"/>
          <w:iCs/>
          <w:sz w:val="24"/>
          <w:szCs w:val="24"/>
        </w:rPr>
        <w:t xml:space="preserve"> and </w:t>
      </w: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are frequent components of the human microbiome and are usually harmless commensals in different human anatomical sites, such as the skin, stomach, nose, etc.  Yet, under some conditions, those bacteria function as opportunistic pathogens and cause a variety of illnesses that put a burden on all the resources devoted to managing public health (Tong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2015;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2024; </w:t>
      </w:r>
      <w:proofErr w:type="spellStart"/>
      <w:r w:rsidRPr="002559AC">
        <w:rPr>
          <w:rFonts w:ascii="Times New Roman" w:hAnsi="Times New Roman" w:cs="Times New Roman"/>
          <w:iCs/>
          <w:sz w:val="24"/>
          <w:szCs w:val="24"/>
        </w:rPr>
        <w:t>Ehiaghe</w:t>
      </w:r>
      <w:proofErr w:type="spellEnd"/>
      <w:r w:rsidRPr="002559AC">
        <w:rPr>
          <w:rFonts w:ascii="Times New Roman" w:hAnsi="Times New Roman" w:cs="Times New Roman"/>
          <w:iCs/>
          <w:sz w:val="24"/>
          <w:szCs w:val="24"/>
        </w:rPr>
        <w:t xml:space="preserve">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2025).</w:t>
      </w:r>
    </w:p>
    <w:p w14:paraId="01EE206E" w14:textId="77777777" w:rsidR="00401CCD" w:rsidRPr="002559AC" w:rsidRDefault="00401CCD"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is a well-known pathogen that has a low morbidity rate.  Food poisoning, respiratory illnesses, and infections of the skin and soft tissues are all primarily caused by this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2024).  Multi-drug resistant Staphylococcus aureus (MRSA) and methicillin-resistant MRSA rates have also been found to be on the rise, which is concerning because it makes current treatment protocols more difficult (Abebe and Birhanu, 2023; Shoaib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2023).</w:t>
      </w:r>
    </w:p>
    <w:p w14:paraId="275EC074" w14:textId="77777777" w:rsidR="00E203B5" w:rsidRPr="002559AC" w:rsidRDefault="009B5F45"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The primary source of the bacterium's pathogenicity can generate a wide range of substances, including toxins and enzymes, many of which increase virulence. (</w:t>
      </w:r>
      <w:proofErr w:type="spellStart"/>
      <w:r w:rsidR="00982EC3" w:rsidRPr="002559AC">
        <w:rPr>
          <w:rFonts w:ascii="Times New Roman" w:hAnsi="Times New Roman" w:cs="Times New Roman"/>
          <w:sz w:val="24"/>
          <w:szCs w:val="24"/>
        </w:rPr>
        <w:t>Pakbin</w:t>
      </w:r>
      <w:proofErr w:type="spellEnd"/>
      <w:r w:rsidR="00982EC3" w:rsidRPr="002559AC">
        <w:rPr>
          <w:rFonts w:ascii="Times New Roman" w:hAnsi="Times New Roman" w:cs="Times New Roman"/>
          <w:sz w:val="24"/>
          <w:szCs w:val="24"/>
        </w:rPr>
        <w:t xml:space="preserve"> </w:t>
      </w:r>
      <w:r w:rsidR="00982EC3" w:rsidRPr="002559AC">
        <w:rPr>
          <w:rFonts w:ascii="Times New Roman" w:hAnsi="Times New Roman" w:cs="Times New Roman"/>
          <w:i/>
          <w:sz w:val="24"/>
          <w:szCs w:val="24"/>
        </w:rPr>
        <w:t>et al</w:t>
      </w:r>
      <w:r w:rsidR="00982EC3" w:rsidRPr="002559AC">
        <w:rPr>
          <w:rFonts w:ascii="Times New Roman" w:hAnsi="Times New Roman" w:cs="Times New Roman"/>
          <w:sz w:val="24"/>
          <w:szCs w:val="24"/>
        </w:rPr>
        <w:t xml:space="preserve">., 2021; </w:t>
      </w:r>
      <w:r w:rsidRPr="002559AC">
        <w:rPr>
          <w:rFonts w:ascii="Times New Roman" w:hAnsi="Times New Roman" w:cs="Times New Roman"/>
          <w:sz w:val="24"/>
          <w:szCs w:val="24"/>
        </w:rPr>
        <w:t xml:space="preserve">Soni </w:t>
      </w:r>
      <w:r w:rsidRPr="002559AC">
        <w:rPr>
          <w:rFonts w:ascii="Times New Roman" w:hAnsi="Times New Roman" w:cs="Times New Roman"/>
          <w:i/>
          <w:sz w:val="24"/>
          <w:szCs w:val="24"/>
        </w:rPr>
        <w:t>et al</w:t>
      </w:r>
      <w:r w:rsidRPr="002559AC">
        <w:rPr>
          <w:rFonts w:ascii="Times New Roman" w:hAnsi="Times New Roman" w:cs="Times New Roman"/>
          <w:sz w:val="24"/>
          <w:szCs w:val="24"/>
        </w:rPr>
        <w:t>., 2024)</w:t>
      </w:r>
      <w:r w:rsidR="0004028F" w:rsidRPr="002559AC">
        <w:rPr>
          <w:rFonts w:ascii="Times New Roman" w:hAnsi="Times New Roman" w:cs="Times New Roman"/>
          <w:sz w:val="24"/>
          <w:szCs w:val="24"/>
        </w:rPr>
        <w:t>.</w:t>
      </w:r>
    </w:p>
    <w:p w14:paraId="7909E739"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is a diverse species that includes harmless commensals and disease isolates. The large majority of strains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are harmless, though some are biotic agents and constitute a significant component of the gut microbiota. However, strains such as enterohemorrhagic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(EHEC) and </w:t>
      </w:r>
      <w:proofErr w:type="spellStart"/>
      <w:r w:rsidRPr="002559AC">
        <w:rPr>
          <w:rFonts w:ascii="Times New Roman" w:hAnsi="Times New Roman" w:cs="Times New Roman"/>
          <w:sz w:val="24"/>
          <w:szCs w:val="24"/>
        </w:rPr>
        <w:t>uropathogenic</w:t>
      </w:r>
      <w:proofErr w:type="spellEnd"/>
      <w:r w:rsidRPr="002559AC">
        <w:rPr>
          <w:rFonts w:ascii="Times New Roman" w:hAnsi="Times New Roman" w:cs="Times New Roman"/>
          <w:sz w:val="24"/>
          <w:szCs w:val="24"/>
        </w:rPr>
        <w:t xml:space="preserve"> E. A pathogen like </w:t>
      </w:r>
      <w:proofErr w:type="spellStart"/>
      <w:r w:rsidRPr="002559AC">
        <w:rPr>
          <w:rFonts w:ascii="Times New Roman" w:hAnsi="Times New Roman" w:cs="Times New Roman"/>
          <w:sz w:val="24"/>
          <w:szCs w:val="24"/>
        </w:rPr>
        <w:t>Uropathogenic</w:t>
      </w:r>
      <w:proofErr w:type="spell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(UPEC) can also cause serious diseases like gastroenteritis and urinary tract infections (</w:t>
      </w:r>
      <w:proofErr w:type="spellStart"/>
      <w:r w:rsidR="009B5F45" w:rsidRPr="002559AC">
        <w:rPr>
          <w:rFonts w:ascii="Times New Roman" w:hAnsi="Times New Roman" w:cs="Times New Roman"/>
          <w:sz w:val="24"/>
          <w:szCs w:val="24"/>
        </w:rPr>
        <w:t>Geurtsen</w:t>
      </w:r>
      <w:proofErr w:type="spellEnd"/>
      <w:r w:rsidR="009B5F45" w:rsidRPr="002559AC">
        <w:rPr>
          <w:rFonts w:ascii="Times New Roman" w:hAnsi="Times New Roman" w:cs="Times New Roman"/>
          <w:sz w:val="24"/>
          <w:szCs w:val="24"/>
        </w:rPr>
        <w:t xml:space="preserve"> </w:t>
      </w:r>
      <w:r w:rsidR="009B5F45" w:rsidRPr="002559AC">
        <w:rPr>
          <w:rFonts w:ascii="Times New Roman" w:hAnsi="Times New Roman" w:cs="Times New Roman"/>
          <w:i/>
          <w:sz w:val="24"/>
          <w:szCs w:val="24"/>
        </w:rPr>
        <w:t>et al</w:t>
      </w:r>
      <w:r w:rsidR="009B5F45" w:rsidRPr="002559AC">
        <w:rPr>
          <w:rFonts w:ascii="Times New Roman" w:hAnsi="Times New Roman" w:cs="Times New Roman"/>
          <w:sz w:val="24"/>
          <w:szCs w:val="24"/>
        </w:rPr>
        <w:t>., 2022</w:t>
      </w:r>
      <w:r w:rsidRPr="002559AC">
        <w:rPr>
          <w:rFonts w:ascii="Times New Roman" w:hAnsi="Times New Roman" w:cs="Times New Roman"/>
          <w:sz w:val="24"/>
          <w:szCs w:val="24"/>
        </w:rPr>
        <w:t xml:space="preserve">). Given the rampant resistance epidemic in </w:t>
      </w:r>
      <w:r w:rsidRPr="002559AC">
        <w:rPr>
          <w:rFonts w:ascii="Times New Roman" w:hAnsi="Times New Roman" w:cs="Times New Roman"/>
          <w:i/>
          <w:iCs/>
          <w:sz w:val="24"/>
          <w:szCs w:val="24"/>
        </w:rPr>
        <w:t>E. coli</w:t>
      </w:r>
      <w:r w:rsidR="00FF7119" w:rsidRPr="002559AC">
        <w:rPr>
          <w:rFonts w:ascii="Times New Roman" w:hAnsi="Times New Roman" w:cs="Times New Roman"/>
          <w:i/>
          <w:iCs/>
          <w:sz w:val="24"/>
          <w:szCs w:val="24"/>
        </w:rPr>
        <w:t xml:space="preserve"> </w:t>
      </w:r>
      <w:r w:rsidR="00FF7119" w:rsidRPr="002559AC">
        <w:rPr>
          <w:rFonts w:ascii="Times New Roman" w:hAnsi="Times New Roman" w:cs="Times New Roman"/>
          <w:iCs/>
          <w:sz w:val="24"/>
          <w:szCs w:val="24"/>
        </w:rPr>
        <w:t>(</w:t>
      </w:r>
      <w:proofErr w:type="spellStart"/>
      <w:r w:rsidR="00FF7119" w:rsidRPr="002559AC">
        <w:rPr>
          <w:rFonts w:ascii="Times New Roman" w:hAnsi="Times New Roman" w:cs="Times New Roman"/>
          <w:sz w:val="24"/>
          <w:szCs w:val="24"/>
        </w:rPr>
        <w:t>Ehiaghe</w:t>
      </w:r>
      <w:proofErr w:type="spellEnd"/>
      <w:r w:rsidR="00FF7119" w:rsidRPr="002559AC">
        <w:rPr>
          <w:rFonts w:ascii="Times New Roman" w:hAnsi="Times New Roman" w:cs="Times New Roman"/>
          <w:sz w:val="24"/>
          <w:szCs w:val="24"/>
        </w:rPr>
        <w:t xml:space="preserve"> </w:t>
      </w:r>
      <w:r w:rsidR="00FF7119" w:rsidRPr="002559AC">
        <w:rPr>
          <w:rFonts w:ascii="Times New Roman" w:hAnsi="Times New Roman" w:cs="Times New Roman"/>
          <w:i/>
          <w:sz w:val="24"/>
          <w:szCs w:val="24"/>
        </w:rPr>
        <w:t>et al</w:t>
      </w:r>
      <w:r w:rsidR="00FF7119" w:rsidRPr="002559AC">
        <w:rPr>
          <w:rFonts w:ascii="Times New Roman" w:hAnsi="Times New Roman" w:cs="Times New Roman"/>
          <w:sz w:val="24"/>
          <w:szCs w:val="24"/>
        </w:rPr>
        <w:t>., 2025</w:t>
      </w:r>
      <w:r w:rsidR="00CB20E0" w:rsidRPr="002559AC">
        <w:rPr>
          <w:rFonts w:ascii="Times New Roman" w:hAnsi="Times New Roman" w:cs="Times New Roman"/>
          <w:sz w:val="24"/>
          <w:szCs w:val="24"/>
        </w:rPr>
        <w:t xml:space="preserve">a; </w:t>
      </w:r>
      <w:proofErr w:type="spellStart"/>
      <w:r w:rsidR="00CB20E0" w:rsidRPr="002559AC">
        <w:rPr>
          <w:rFonts w:ascii="Times New Roman" w:hAnsi="Times New Roman" w:cs="Times New Roman"/>
          <w:sz w:val="24"/>
          <w:szCs w:val="24"/>
        </w:rPr>
        <w:t>Ehiaghe</w:t>
      </w:r>
      <w:proofErr w:type="spellEnd"/>
      <w:r w:rsidR="00CB20E0" w:rsidRPr="002559AC">
        <w:rPr>
          <w:rFonts w:ascii="Times New Roman" w:hAnsi="Times New Roman" w:cs="Times New Roman"/>
          <w:sz w:val="24"/>
          <w:szCs w:val="24"/>
        </w:rPr>
        <w:t xml:space="preserve"> </w:t>
      </w:r>
      <w:r w:rsidR="00CB20E0" w:rsidRPr="002559AC">
        <w:rPr>
          <w:rFonts w:ascii="Times New Roman" w:hAnsi="Times New Roman" w:cs="Times New Roman"/>
          <w:i/>
          <w:sz w:val="24"/>
          <w:szCs w:val="24"/>
        </w:rPr>
        <w:t>et al</w:t>
      </w:r>
      <w:r w:rsidR="00CB20E0" w:rsidRPr="002559AC">
        <w:rPr>
          <w:rFonts w:ascii="Times New Roman" w:hAnsi="Times New Roman" w:cs="Times New Roman"/>
          <w:sz w:val="24"/>
          <w:szCs w:val="24"/>
        </w:rPr>
        <w:t>., 2025b</w:t>
      </w:r>
      <w:r w:rsidR="00FF7119" w:rsidRPr="002559AC">
        <w:rPr>
          <w:rFonts w:ascii="Times New Roman" w:hAnsi="Times New Roman" w:cs="Times New Roman"/>
          <w:iCs/>
          <w:sz w:val="24"/>
          <w:szCs w:val="24"/>
        </w:rPr>
        <w:t>)</w:t>
      </w:r>
      <w:r w:rsidRPr="002559AC">
        <w:rPr>
          <w:rFonts w:ascii="Times New Roman" w:hAnsi="Times New Roman" w:cs="Times New Roman"/>
          <w:sz w:val="24"/>
          <w:szCs w:val="24"/>
        </w:rPr>
        <w:t>, which routinely acquires and disseminates resistance genes (</w:t>
      </w:r>
      <w:r w:rsidR="004E73BF" w:rsidRPr="002559AC">
        <w:rPr>
          <w:rFonts w:ascii="Times New Roman" w:hAnsi="Times New Roman" w:cs="Times New Roman"/>
          <w:sz w:val="24"/>
          <w:szCs w:val="24"/>
        </w:rPr>
        <w:t>van Duin and Paterson, 2016</w:t>
      </w:r>
      <w:r w:rsidR="00CB20E0" w:rsidRPr="002559AC">
        <w:rPr>
          <w:rFonts w:ascii="Times New Roman" w:hAnsi="Times New Roman" w:cs="Times New Roman"/>
          <w:sz w:val="24"/>
          <w:szCs w:val="24"/>
        </w:rPr>
        <w:t xml:space="preserve">), this </w:t>
      </w:r>
      <w:r w:rsidRPr="002559AC">
        <w:rPr>
          <w:rFonts w:ascii="Times New Roman" w:hAnsi="Times New Roman" w:cs="Times New Roman"/>
          <w:sz w:val="24"/>
          <w:szCs w:val="24"/>
        </w:rPr>
        <w:t>looms as a rather larger threat to health.</w:t>
      </w:r>
    </w:p>
    <w:p w14:paraId="0BF878AF"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Asymptomatic carriage of these bacteria is common, especially in community settings where close contact and shared facilities facilitate their spread. For instance, university students are at an increased risk due to social behaviors and living conditions that favor both colonization and transmission of these bacteria. Asymptomatic carriage serves as a reservoir for possible outbreaks, particularly in places where population density is high and there are frequent interpersonal interactions.</w:t>
      </w:r>
    </w:p>
    <w:p w14:paraId="563A9888"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Recent studies have also contributed to the debate due to their findings on the prevalence and transmission dynamics of bacteria in healthy individuals. For instance, high levels of asymptomatic colonizers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turn into gargantuan reservoirs, causing infectious severe cases in the community</w:t>
      </w:r>
      <w:r w:rsidR="004E73BF" w:rsidRPr="002559AC">
        <w:rPr>
          <w:rFonts w:ascii="Times New Roman" w:hAnsi="Times New Roman" w:cs="Times New Roman"/>
          <w:sz w:val="24"/>
          <w:szCs w:val="24"/>
        </w:rPr>
        <w:t xml:space="preserve"> (</w:t>
      </w:r>
      <w:r w:rsidR="004E73BF" w:rsidRPr="002559AC">
        <w:rPr>
          <w:rStyle w:val="HTMLCite"/>
          <w:rFonts w:ascii="Times New Roman" w:hAnsi="Times New Roman" w:cs="Times New Roman"/>
          <w:i w:val="0"/>
          <w:sz w:val="24"/>
          <w:szCs w:val="24"/>
        </w:rPr>
        <w:t xml:space="preserve">Wertheim </w:t>
      </w:r>
      <w:r w:rsidR="004E73BF" w:rsidRPr="002559AC">
        <w:rPr>
          <w:rStyle w:val="HTMLCite"/>
          <w:rFonts w:ascii="Times New Roman" w:hAnsi="Times New Roman" w:cs="Times New Roman"/>
          <w:sz w:val="24"/>
          <w:szCs w:val="24"/>
        </w:rPr>
        <w:t>et al</w:t>
      </w:r>
      <w:r w:rsidR="004E73BF" w:rsidRPr="002559AC">
        <w:rPr>
          <w:rStyle w:val="HTMLCite"/>
          <w:rFonts w:ascii="Times New Roman" w:hAnsi="Times New Roman" w:cs="Times New Roman"/>
          <w:i w:val="0"/>
          <w:sz w:val="24"/>
          <w:szCs w:val="24"/>
        </w:rPr>
        <w:t xml:space="preserve">., 2005; </w:t>
      </w:r>
      <w:r w:rsidR="00E30CDC" w:rsidRPr="002559AC">
        <w:rPr>
          <w:rFonts w:ascii="Times New Roman" w:hAnsi="Times New Roman" w:cs="Times New Roman"/>
          <w:sz w:val="24"/>
          <w:szCs w:val="24"/>
        </w:rPr>
        <w:t xml:space="preserve">Sakr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xml:space="preserve">., 2018; </w:t>
      </w:r>
      <w:r w:rsidR="004E73BF" w:rsidRPr="002559AC">
        <w:rPr>
          <w:rFonts w:ascii="Times New Roman" w:hAnsi="Times New Roman" w:cs="Times New Roman"/>
          <w:sz w:val="24"/>
          <w:szCs w:val="24"/>
        </w:rPr>
        <w:t>Kwiecinski and Horswill, 2020)</w:t>
      </w:r>
      <w:r w:rsidRPr="002559AC">
        <w:rPr>
          <w:rFonts w:ascii="Times New Roman" w:hAnsi="Times New Roman" w:cs="Times New Roman"/>
          <w:sz w:val="24"/>
          <w:szCs w:val="24"/>
        </w:rPr>
        <w:t xml:space="preserve">. Conversely, </w:t>
      </w:r>
      <w:r w:rsidR="00E30CDC" w:rsidRPr="002559AC">
        <w:rPr>
          <w:rFonts w:ascii="Times New Roman" w:hAnsi="Times New Roman" w:cs="Times New Roman"/>
          <w:sz w:val="24"/>
          <w:szCs w:val="24"/>
        </w:rPr>
        <w:t xml:space="preserve">other studies </w:t>
      </w:r>
      <w:r w:rsidRPr="002559AC">
        <w:rPr>
          <w:rFonts w:ascii="Times New Roman" w:hAnsi="Times New Roman" w:cs="Times New Roman"/>
          <w:sz w:val="24"/>
          <w:szCs w:val="24"/>
        </w:rPr>
        <w:t xml:space="preserve">showed that the asymptomatic carriers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are a significant source of disseminating antibiotic resistance in the community</w:t>
      </w:r>
      <w:r w:rsidR="00E30CDC" w:rsidRPr="002559AC">
        <w:rPr>
          <w:rFonts w:ascii="Times New Roman" w:hAnsi="Times New Roman" w:cs="Times New Roman"/>
          <w:sz w:val="24"/>
          <w:szCs w:val="24"/>
        </w:rPr>
        <w:t xml:space="preserve"> (Nicolle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2013)</w:t>
      </w:r>
      <w:r w:rsidRPr="002559AC">
        <w:rPr>
          <w:rFonts w:ascii="Times New Roman" w:hAnsi="Times New Roman" w:cs="Times New Roman"/>
          <w:sz w:val="24"/>
          <w:szCs w:val="24"/>
        </w:rPr>
        <w:t xml:space="preserve">. </w:t>
      </w:r>
    </w:p>
    <w:p w14:paraId="20FA73C6" w14:textId="77777777" w:rsidR="0004028F"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While these bacteria have been recognized for their clinical importance, there is a dearth of data on their frequency of occurrence among apparently healthy university students and, more so, in Benson Idahosa University. This, therefore, presents a knowledge gap, further hampering the development of effective control measures through rissole-targeting this population. Knowledge of the frequency of distribution of these bacteria, coupled with information relating to risk factors emanating from this study, then forms the basis upon which effective targeted interventions could be designed that would reduce the potential for infection and promote public health within the university environment. This justifies the potential health implications and the importance of maintaining a safe and healthy university community. The research was therefore aimed at determining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Thus, the identification of colonization rates and associated risk factors will yield appropriate practical implementation in developing preventive measures toward promoting a healthier campus environment.</w:t>
      </w:r>
    </w:p>
    <w:p w14:paraId="5CD41D73" w14:textId="52BE392A" w:rsidR="00340AC6" w:rsidRPr="002559AC" w:rsidRDefault="00340AC6" w:rsidP="002559AC">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w:t>
      </w:r>
    </w:p>
    <w:p w14:paraId="433828A7" w14:textId="77777777" w:rsidR="003F12D2" w:rsidRPr="002559AC" w:rsidRDefault="003F12D2" w:rsidP="002559AC">
      <w:pPr>
        <w:pStyle w:val="Heading3"/>
        <w:spacing w:line="360" w:lineRule="auto"/>
        <w:rPr>
          <w:rFonts w:ascii="Times New Roman" w:hAnsi="Times New Roman" w:cs="Times New Roman"/>
          <w:b/>
        </w:rPr>
      </w:pPr>
      <w:bookmarkStart w:id="2" w:name="_Toc172731272"/>
      <w:r w:rsidRPr="002559AC">
        <w:rPr>
          <w:rFonts w:ascii="Times New Roman" w:hAnsi="Times New Roman" w:cs="Times New Roman"/>
          <w:b/>
        </w:rPr>
        <w:t>Design of Study</w:t>
      </w:r>
      <w:bookmarkEnd w:id="2"/>
      <w:r w:rsidRPr="002559AC">
        <w:rPr>
          <w:rFonts w:ascii="Times New Roman" w:hAnsi="Times New Roman" w:cs="Times New Roman"/>
          <w:b/>
        </w:rPr>
        <w:t xml:space="preserve"> </w:t>
      </w:r>
    </w:p>
    <w:p w14:paraId="5C7C7192" w14:textId="77777777" w:rsidR="00E30CDC" w:rsidRPr="002559AC" w:rsidRDefault="00E30CDC"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hAnsi="Times New Roman" w:cs="Times New Roman"/>
          <w:sz w:val="24"/>
          <w:szCs w:val="24"/>
        </w:rPr>
        <w:t xml:space="preserve">This cross-sectional study was designed to assess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Benin City, Nigeria. </w:t>
      </w:r>
      <w:r w:rsidR="002C09D2" w:rsidRPr="002559AC">
        <w:rPr>
          <w:rFonts w:ascii="Times New Roman" w:hAnsi="Times New Roman" w:cs="Times New Roman"/>
          <w:sz w:val="24"/>
          <w:szCs w:val="24"/>
        </w:rPr>
        <w:t xml:space="preserve">A total of one hundred and thirty-one (131) participants were recruited using simple random sampling method. Participants (males and females) were aged between 19 and 30 years. </w:t>
      </w:r>
      <w:r w:rsidR="002C09D2" w:rsidRPr="002559AC">
        <w:rPr>
          <w:rFonts w:ascii="Times New Roman" w:eastAsia="Calibri" w:hAnsi="Times New Roman" w:cs="Times New Roman"/>
          <w:kern w:val="0"/>
          <w:sz w:val="24"/>
          <w:szCs w:val="24"/>
          <w:lang w:val="en-GB"/>
          <w14:ligatures w14:val="none"/>
        </w:rPr>
        <w:t>The study was conducted in the Department of Medical Microbiology Laboratory, Benson Idahosa University, Benin City, Edo State between November 2023 and May 2024.</w:t>
      </w:r>
    </w:p>
    <w:p w14:paraId="2D1DE540" w14:textId="77777777" w:rsidR="002C09D2" w:rsidRPr="002559AC" w:rsidRDefault="002C09D2" w:rsidP="002559AC">
      <w:pPr>
        <w:spacing w:after="0" w:line="360" w:lineRule="auto"/>
        <w:jc w:val="both"/>
        <w:rPr>
          <w:rFonts w:ascii="Times New Roman" w:eastAsia="Calibri" w:hAnsi="Times New Roman" w:cs="Times New Roman"/>
          <w:b/>
          <w:kern w:val="0"/>
          <w:sz w:val="24"/>
          <w:szCs w:val="24"/>
          <w:lang w:val="en-GB"/>
          <w14:ligatures w14:val="none"/>
        </w:rPr>
      </w:pPr>
    </w:p>
    <w:p w14:paraId="6EF0A1B6" w14:textId="77777777" w:rsidR="003F12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r w:rsidRPr="002559AC">
        <w:rPr>
          <w:rFonts w:ascii="Times New Roman" w:eastAsia="Calibri" w:hAnsi="Times New Roman" w:cs="Times New Roman"/>
          <w:b/>
          <w:i w:val="0"/>
          <w:color w:val="auto"/>
          <w:sz w:val="24"/>
          <w:szCs w:val="24"/>
          <w:lang w:val="en-GB"/>
        </w:rPr>
        <w:t>Study Location</w:t>
      </w:r>
    </w:p>
    <w:p w14:paraId="2078BEAD" w14:textId="77777777" w:rsidR="002C09D2" w:rsidRPr="002559AC" w:rsidRDefault="002C09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This study was carried out at </w:t>
      </w:r>
      <w:r w:rsidR="003F12D2" w:rsidRPr="002559AC">
        <w:rPr>
          <w:rFonts w:ascii="Times New Roman" w:eastAsia="Calibri" w:hAnsi="Times New Roman" w:cs="Times New Roman"/>
          <w:kern w:val="0"/>
          <w:sz w:val="24"/>
          <w:szCs w:val="24"/>
          <w:lang w:val="en-GB"/>
          <w14:ligatures w14:val="none"/>
        </w:rPr>
        <w:t>Benson Idahosa University</w:t>
      </w:r>
      <w:r w:rsidRPr="002559AC">
        <w:rPr>
          <w:rFonts w:ascii="Times New Roman" w:eastAsia="Calibri" w:hAnsi="Times New Roman" w:cs="Times New Roman"/>
          <w:kern w:val="0"/>
          <w:sz w:val="24"/>
          <w:szCs w:val="24"/>
          <w:lang w:val="en-GB"/>
          <w14:ligatures w14:val="none"/>
        </w:rPr>
        <w:t xml:space="preserve">, Benin City, Nigeria. </w:t>
      </w:r>
      <w:r w:rsidR="003F12D2" w:rsidRPr="002559AC">
        <w:rPr>
          <w:rFonts w:ascii="Times New Roman" w:eastAsia="Calibri" w:hAnsi="Times New Roman" w:cs="Times New Roman"/>
          <w:kern w:val="0"/>
          <w:sz w:val="24"/>
          <w:szCs w:val="24"/>
          <w:lang w:val="en-GB"/>
          <w14:ligatures w14:val="none"/>
        </w:rPr>
        <w:t xml:space="preserve"> </w:t>
      </w:r>
    </w:p>
    <w:p w14:paraId="5337BA8E"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3" w:name="_Toc172731276"/>
      <w:r w:rsidRPr="002559AC">
        <w:rPr>
          <w:rFonts w:ascii="Times New Roman" w:eastAsia="Times New Roman" w:hAnsi="Times New Roman" w:cs="Times New Roman"/>
          <w:b/>
          <w:color w:val="auto"/>
          <w:sz w:val="24"/>
          <w:szCs w:val="24"/>
          <w:lang w:val="en-GB" w:eastAsia="en-GB"/>
        </w:rPr>
        <w:lastRenderedPageBreak/>
        <w:t>Inclusion criteria</w:t>
      </w:r>
      <w:bookmarkEnd w:id="3"/>
      <w:r w:rsidRPr="002559AC">
        <w:rPr>
          <w:rFonts w:ascii="Times New Roman" w:eastAsia="Times New Roman" w:hAnsi="Times New Roman" w:cs="Times New Roman"/>
          <w:b/>
          <w:color w:val="auto"/>
          <w:sz w:val="24"/>
          <w:szCs w:val="24"/>
          <w:lang w:val="en-GB" w:eastAsia="en-GB"/>
        </w:rPr>
        <w:t xml:space="preserve"> </w:t>
      </w:r>
    </w:p>
    <w:p w14:paraId="1BFCACE9" w14:textId="77777777" w:rsidR="003F12D2" w:rsidRPr="002559AC" w:rsidRDefault="003F12D2" w:rsidP="002559AC">
      <w:pPr>
        <w:pStyle w:val="NoSpacing"/>
        <w:spacing w:line="360" w:lineRule="auto"/>
        <w:jc w:val="both"/>
        <w:rPr>
          <w:rFonts w:ascii="Times New Roman" w:hAnsi="Times New Roman" w:cs="Times New Roman"/>
          <w:sz w:val="24"/>
          <w:szCs w:val="24"/>
          <w:shd w:val="clear" w:color="auto" w:fill="FFFFFF"/>
          <w:lang w:eastAsia="en-GB"/>
        </w:rPr>
      </w:pPr>
      <w:r w:rsidRPr="002559AC">
        <w:rPr>
          <w:rFonts w:ascii="Times New Roman" w:hAnsi="Times New Roman" w:cs="Times New Roman"/>
          <w:sz w:val="24"/>
          <w:szCs w:val="24"/>
          <w:shd w:val="clear" w:color="auto" w:fill="FFFFFF"/>
          <w:lang w:eastAsia="en-GB"/>
        </w:rPr>
        <w:t>Asymptomatic healthy students of Benson Idahosa University w</w:t>
      </w:r>
      <w:r w:rsidR="002C09D2" w:rsidRPr="002559AC">
        <w:rPr>
          <w:rFonts w:ascii="Times New Roman" w:hAnsi="Times New Roman" w:cs="Times New Roman"/>
          <w:sz w:val="24"/>
          <w:szCs w:val="24"/>
          <w:shd w:val="clear" w:color="auto" w:fill="FFFFFF"/>
          <w:lang w:eastAsia="en-GB"/>
        </w:rPr>
        <w:t>ere recruited for the study</w:t>
      </w:r>
      <w:r w:rsidRPr="002559AC">
        <w:rPr>
          <w:rFonts w:ascii="Times New Roman" w:hAnsi="Times New Roman" w:cs="Times New Roman"/>
          <w:sz w:val="24"/>
          <w:szCs w:val="24"/>
          <w:shd w:val="clear" w:color="auto" w:fill="FFFFFF"/>
          <w:lang w:eastAsia="en-GB"/>
        </w:rPr>
        <w:t>.</w:t>
      </w:r>
    </w:p>
    <w:p w14:paraId="47821985"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4" w:name="_Toc172731277"/>
      <w:r w:rsidRPr="002559AC">
        <w:rPr>
          <w:rFonts w:ascii="Times New Roman" w:eastAsia="Times New Roman" w:hAnsi="Times New Roman" w:cs="Times New Roman"/>
          <w:b/>
          <w:color w:val="auto"/>
          <w:sz w:val="24"/>
          <w:szCs w:val="24"/>
          <w:lang w:val="en-GB" w:eastAsia="en-GB"/>
        </w:rPr>
        <w:t>Exclusion criteria</w:t>
      </w:r>
      <w:bookmarkEnd w:id="4"/>
      <w:r w:rsidRPr="002559AC">
        <w:rPr>
          <w:rFonts w:ascii="Times New Roman" w:eastAsia="Times New Roman" w:hAnsi="Times New Roman" w:cs="Times New Roman"/>
          <w:b/>
          <w:color w:val="auto"/>
          <w:sz w:val="24"/>
          <w:szCs w:val="24"/>
          <w:lang w:val="en-GB" w:eastAsia="en-GB"/>
        </w:rPr>
        <w:t xml:space="preserve"> </w:t>
      </w:r>
    </w:p>
    <w:p w14:paraId="6519E9F7" w14:textId="77777777"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Those currently on antibiotics</w:t>
      </w:r>
    </w:p>
    <w:p w14:paraId="2E31A317" w14:textId="77777777"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Symptomatic students were excluded</w:t>
      </w:r>
    </w:p>
    <w:p w14:paraId="414A7495" w14:textId="77777777" w:rsidR="002C09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bookmarkStart w:id="5" w:name="_Toc172731278"/>
      <w:r w:rsidRPr="002559AC">
        <w:rPr>
          <w:rFonts w:ascii="Times New Roman" w:eastAsia="Calibri" w:hAnsi="Times New Roman" w:cs="Times New Roman"/>
          <w:b/>
          <w:i w:val="0"/>
          <w:color w:val="auto"/>
          <w:sz w:val="24"/>
          <w:szCs w:val="24"/>
          <w:lang w:val="en-GB"/>
        </w:rPr>
        <w:t>Study Population</w:t>
      </w:r>
    </w:p>
    <w:p w14:paraId="6067600E" w14:textId="77777777" w:rsidR="002C09D2" w:rsidRPr="002559AC" w:rsidRDefault="002C09D2" w:rsidP="002559AC">
      <w:pPr>
        <w:spacing w:line="360" w:lineRule="auto"/>
        <w:rPr>
          <w:rFonts w:ascii="Times New Roman" w:hAnsi="Times New Roman" w:cs="Times New Roman"/>
          <w:sz w:val="24"/>
          <w:szCs w:val="24"/>
          <w:lang w:val="en-GB"/>
        </w:rPr>
      </w:pPr>
      <w:r w:rsidRPr="002559AC">
        <w:rPr>
          <w:rFonts w:ascii="Times New Roman" w:eastAsia="Calibri" w:hAnsi="Times New Roman" w:cs="Times New Roman"/>
          <w:kern w:val="0"/>
          <w:sz w:val="24"/>
          <w:szCs w:val="24"/>
          <w:shd w:val="clear" w:color="auto" w:fill="FFFFFF"/>
          <w:lang w:val="en-GB"/>
          <w14:ligatures w14:val="none"/>
        </w:rPr>
        <w:t xml:space="preserve">The study population consist of students of Benson Idahosa University, Benin City, Edo state, who showed no sign or symptoms of Urinary tract infection (UTI). </w:t>
      </w:r>
      <w:r w:rsidRPr="002559AC">
        <w:rPr>
          <w:rFonts w:ascii="Times New Roman" w:eastAsia="Calibri" w:hAnsi="Times New Roman" w:cs="Times New Roman"/>
          <w:kern w:val="0"/>
          <w:sz w:val="24"/>
          <w:szCs w:val="24"/>
          <w:lang w:val="en-GB"/>
          <w14:ligatures w14:val="none"/>
        </w:rPr>
        <w:t xml:space="preserve">A total of one hundred and thirty-one (131) male and female participants aged 19- 30 years were recruited for the study by simple random sampling method.  </w:t>
      </w:r>
    </w:p>
    <w:bookmarkEnd w:id="5"/>
    <w:p w14:paraId="78DCD073" w14:textId="77777777" w:rsidR="003F12D2" w:rsidRPr="00FA6035" w:rsidRDefault="00FA6035" w:rsidP="002559AC">
      <w:pPr>
        <w:pStyle w:val="Heading4"/>
        <w:spacing w:line="360" w:lineRule="auto"/>
        <w:rPr>
          <w:rFonts w:ascii="Times New Roman" w:eastAsia="Calibri" w:hAnsi="Times New Roman" w:cs="Times New Roman"/>
          <w:b/>
          <w:i w:val="0"/>
          <w:color w:val="auto"/>
          <w:sz w:val="24"/>
          <w:szCs w:val="24"/>
          <w:lang w:val="en-GB"/>
        </w:rPr>
      </w:pPr>
      <w:r w:rsidRPr="00FA6035">
        <w:rPr>
          <w:rFonts w:ascii="Times New Roman" w:eastAsia="Calibri" w:hAnsi="Times New Roman" w:cs="Times New Roman"/>
          <w:b/>
          <w:i w:val="0"/>
          <w:color w:val="auto"/>
          <w:sz w:val="24"/>
          <w:szCs w:val="24"/>
          <w:lang w:val="en-GB"/>
        </w:rPr>
        <w:t>Ethical Approval</w:t>
      </w:r>
    </w:p>
    <w:p w14:paraId="4A35C409" w14:textId="77777777" w:rsidR="002C09D2" w:rsidRPr="002559AC" w:rsidRDefault="002C09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Ethical approval was obtained from the ethics committees of Benson Idahosa University before the commencement of this study.</w:t>
      </w:r>
    </w:p>
    <w:p w14:paraId="0BAE7BA4"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p>
    <w:p w14:paraId="3FCA0B69" w14:textId="77777777" w:rsidR="003F12D2" w:rsidRPr="00FA6035" w:rsidRDefault="003F12D2" w:rsidP="002559AC">
      <w:pPr>
        <w:pStyle w:val="Heading4"/>
        <w:spacing w:line="360" w:lineRule="auto"/>
        <w:rPr>
          <w:rFonts w:ascii="Times New Roman" w:eastAsia="Calibri" w:hAnsi="Times New Roman" w:cs="Times New Roman"/>
          <w:b/>
          <w:i w:val="0"/>
          <w:color w:val="auto"/>
          <w:sz w:val="24"/>
          <w:szCs w:val="24"/>
          <w:lang w:val="en-GB"/>
        </w:rPr>
      </w:pPr>
      <w:bookmarkStart w:id="6" w:name="_Toc172731279"/>
      <w:r w:rsidRPr="00FA6035">
        <w:rPr>
          <w:rFonts w:ascii="Times New Roman" w:eastAsia="Calibri" w:hAnsi="Times New Roman" w:cs="Times New Roman"/>
          <w:b/>
          <w:i w:val="0"/>
          <w:color w:val="auto"/>
          <w:sz w:val="24"/>
          <w:szCs w:val="24"/>
          <w:lang w:val="en-GB"/>
        </w:rPr>
        <w:t>Sample collection</w:t>
      </w:r>
      <w:bookmarkEnd w:id="6"/>
    </w:p>
    <w:p w14:paraId="452483E6" w14:textId="77777777" w:rsidR="003F12D2" w:rsidRPr="002559AC" w:rsidRDefault="002B2964" w:rsidP="002559AC">
      <w:pPr>
        <w:spacing w:after="0" w:line="360" w:lineRule="auto"/>
        <w:jc w:val="both"/>
        <w:rPr>
          <w:rFonts w:ascii="Times New Roman" w:eastAsia="Calibri" w:hAnsi="Times New Roman" w:cs="Times New Roman"/>
          <w:kern w:val="0"/>
          <w:sz w:val="24"/>
          <w:szCs w:val="24"/>
          <w:shd w:val="clear" w:color="auto" w:fill="FFFFFF"/>
          <w:lang w:val="en-GB"/>
          <w14:ligatures w14:val="none"/>
        </w:rPr>
      </w:pPr>
      <w:r w:rsidRPr="002559AC">
        <w:rPr>
          <w:rFonts w:ascii="Times New Roman" w:hAnsi="Times New Roman" w:cs="Times New Roman"/>
          <w:sz w:val="24"/>
          <w:szCs w:val="24"/>
          <w:lang w:val="en-GB" w:eastAsia="en-GB"/>
        </w:rPr>
        <w:t xml:space="preserve">Clean-catch midstream urine samples </w:t>
      </w:r>
      <w:r w:rsidR="003F12D2" w:rsidRPr="002559AC">
        <w:rPr>
          <w:rFonts w:ascii="Times New Roman" w:eastAsia="Calibri" w:hAnsi="Times New Roman" w:cs="Times New Roman"/>
          <w:kern w:val="0"/>
          <w:sz w:val="24"/>
          <w:szCs w:val="24"/>
          <w:shd w:val="clear" w:color="auto" w:fill="FFFFFF"/>
          <w:lang w:val="en-GB"/>
          <w14:ligatures w14:val="none"/>
        </w:rPr>
        <w:t>from asymptomatic students was collected at Benson Idahosa University using sterile universal containers and the sample was transported to the Benson Idahosa University Medical Microbiology Laboratory for processing according to (</w:t>
      </w:r>
      <w:proofErr w:type="spellStart"/>
      <w:r w:rsidR="003F12D2" w:rsidRPr="002559AC">
        <w:rPr>
          <w:rFonts w:ascii="Times New Roman" w:eastAsia="Calibri" w:hAnsi="Times New Roman" w:cs="Times New Roman"/>
          <w:kern w:val="0"/>
          <w:sz w:val="24"/>
          <w:szCs w:val="24"/>
          <w:shd w:val="clear" w:color="auto" w:fill="FFFFFF"/>
          <w:lang w:val="en-GB"/>
          <w14:ligatures w14:val="none"/>
        </w:rPr>
        <w:t>Ochei</w:t>
      </w:r>
      <w:proofErr w:type="spellEnd"/>
      <w:r w:rsidR="003F12D2" w:rsidRPr="002559AC">
        <w:rPr>
          <w:rFonts w:ascii="Times New Roman" w:eastAsia="Calibri" w:hAnsi="Times New Roman" w:cs="Times New Roman"/>
          <w:kern w:val="0"/>
          <w:sz w:val="24"/>
          <w:szCs w:val="24"/>
          <w:shd w:val="clear" w:color="auto" w:fill="FFFFFF"/>
          <w:lang w:val="en-GB"/>
          <w14:ligatures w14:val="none"/>
        </w:rPr>
        <w:t xml:space="preserve"> and </w:t>
      </w:r>
      <w:proofErr w:type="spellStart"/>
      <w:r w:rsidR="003F12D2" w:rsidRPr="002559AC">
        <w:rPr>
          <w:rFonts w:ascii="Times New Roman" w:eastAsia="Calibri" w:hAnsi="Times New Roman" w:cs="Times New Roman"/>
          <w:kern w:val="0"/>
          <w:sz w:val="24"/>
          <w:szCs w:val="24"/>
          <w:shd w:val="clear" w:color="auto" w:fill="FFFFFF"/>
          <w:lang w:val="en-GB"/>
          <w14:ligatures w14:val="none"/>
        </w:rPr>
        <w:t>Kolhatktar</w:t>
      </w:r>
      <w:proofErr w:type="spellEnd"/>
      <w:r w:rsidR="003F12D2" w:rsidRPr="002559AC">
        <w:rPr>
          <w:rFonts w:ascii="Times New Roman" w:eastAsia="Calibri" w:hAnsi="Times New Roman" w:cs="Times New Roman"/>
          <w:kern w:val="0"/>
          <w:sz w:val="24"/>
          <w:szCs w:val="24"/>
          <w:shd w:val="clear" w:color="auto" w:fill="FFFFFF"/>
          <w:lang w:val="en-GB"/>
          <w14:ligatures w14:val="none"/>
        </w:rPr>
        <w:t>, 2000).</w:t>
      </w:r>
    </w:p>
    <w:p w14:paraId="24E4F6B5" w14:textId="77777777" w:rsidR="003F12D2" w:rsidRPr="00FA6035" w:rsidRDefault="003F12D2" w:rsidP="002559AC">
      <w:pPr>
        <w:pStyle w:val="Heading3"/>
        <w:spacing w:line="360" w:lineRule="auto"/>
        <w:rPr>
          <w:rFonts w:ascii="Times New Roman" w:hAnsi="Times New Roman" w:cs="Times New Roman"/>
          <w:b/>
          <w:color w:val="auto"/>
          <w:lang w:val="en-GB"/>
        </w:rPr>
      </w:pPr>
      <w:bookmarkStart w:id="7" w:name="_Toc172731280"/>
      <w:r w:rsidRPr="00FA6035">
        <w:rPr>
          <w:rFonts w:ascii="Times New Roman" w:hAnsi="Times New Roman" w:cs="Times New Roman"/>
          <w:b/>
          <w:color w:val="auto"/>
          <w:lang w:val="en-GB"/>
        </w:rPr>
        <w:t>Processing of Samples</w:t>
      </w:r>
      <w:bookmarkEnd w:id="7"/>
      <w:r w:rsidRPr="00FA6035">
        <w:rPr>
          <w:rFonts w:ascii="Times New Roman" w:hAnsi="Times New Roman" w:cs="Times New Roman"/>
          <w:b/>
          <w:color w:val="auto"/>
          <w:lang w:val="en-GB"/>
        </w:rPr>
        <w:t xml:space="preserve"> </w:t>
      </w:r>
    </w:p>
    <w:p w14:paraId="7ED943A9" w14:textId="77777777" w:rsidR="003F12D2" w:rsidRPr="00FA6035" w:rsidRDefault="003F12D2" w:rsidP="002559AC">
      <w:pPr>
        <w:pStyle w:val="Heading4"/>
        <w:spacing w:line="360" w:lineRule="auto"/>
        <w:rPr>
          <w:rFonts w:ascii="Times New Roman" w:eastAsia="Times New Roman" w:hAnsi="Times New Roman" w:cs="Times New Roman"/>
          <w:b/>
          <w:i w:val="0"/>
          <w:color w:val="auto"/>
          <w:sz w:val="24"/>
          <w:szCs w:val="24"/>
          <w:lang w:val="en-GB" w:eastAsia="en-GB"/>
        </w:rPr>
      </w:pPr>
      <w:bookmarkStart w:id="8" w:name="_Toc172731281"/>
      <w:r w:rsidRPr="00FA6035">
        <w:rPr>
          <w:rFonts w:ascii="Times New Roman" w:eastAsia="Times New Roman" w:hAnsi="Times New Roman" w:cs="Times New Roman"/>
          <w:b/>
          <w:i w:val="0"/>
          <w:color w:val="auto"/>
          <w:sz w:val="24"/>
          <w:szCs w:val="24"/>
          <w:lang w:val="en-GB" w:eastAsia="en-GB"/>
        </w:rPr>
        <w:t>Urine microscopy</w:t>
      </w:r>
      <w:bookmarkEnd w:id="8"/>
    </w:p>
    <w:p w14:paraId="7005964A" w14:textId="77777777" w:rsidR="003F12D2" w:rsidRPr="002559AC" w:rsidRDefault="003F12D2" w:rsidP="002559AC">
      <w:pPr>
        <w:spacing w:line="360" w:lineRule="auto"/>
        <w:jc w:val="both"/>
        <w:rPr>
          <w:rFonts w:ascii="Times New Roman" w:hAnsi="Times New Roman" w:cs="Times New Roman"/>
          <w:sz w:val="24"/>
          <w:szCs w:val="24"/>
          <w:lang w:val="en-GB" w:eastAsia="en-GB"/>
        </w:rPr>
      </w:pPr>
      <w:r w:rsidRPr="002559AC">
        <w:rPr>
          <w:rFonts w:ascii="Times New Roman" w:hAnsi="Times New Roman" w:cs="Times New Roman"/>
          <w:sz w:val="24"/>
          <w:szCs w:val="24"/>
          <w:lang w:val="en-GB" w:eastAsia="en-GB"/>
        </w:rPr>
        <w:t>Clean-catch midstream urine samples were collected and transferred to a clean, sterile con</w:t>
      </w:r>
      <w:r w:rsidR="002B2964" w:rsidRPr="002559AC">
        <w:rPr>
          <w:rFonts w:ascii="Times New Roman" w:hAnsi="Times New Roman" w:cs="Times New Roman"/>
          <w:sz w:val="24"/>
          <w:szCs w:val="24"/>
          <w:lang w:val="en-GB" w:eastAsia="en-GB"/>
        </w:rPr>
        <w:t>tainer for analysis. The urine sample was</w:t>
      </w:r>
      <w:r w:rsidRPr="002559AC">
        <w:rPr>
          <w:rFonts w:ascii="Times New Roman" w:hAnsi="Times New Roman" w:cs="Times New Roman"/>
          <w:sz w:val="24"/>
          <w:szCs w:val="24"/>
          <w:lang w:val="en-GB" w:eastAsia="en-GB"/>
        </w:rPr>
        <w:t xml:space="preserve"> then subjected to centrifugation, at 3000 revolutio</w:t>
      </w:r>
      <w:r w:rsidR="002B2964" w:rsidRPr="002559AC">
        <w:rPr>
          <w:rFonts w:ascii="Times New Roman" w:hAnsi="Times New Roman" w:cs="Times New Roman"/>
          <w:sz w:val="24"/>
          <w:szCs w:val="24"/>
          <w:lang w:val="en-GB" w:eastAsia="en-GB"/>
        </w:rPr>
        <w:t>ns per minute (RPM) for 10</w:t>
      </w:r>
      <w:r w:rsidRPr="002559AC">
        <w:rPr>
          <w:rFonts w:ascii="Times New Roman" w:hAnsi="Times New Roman" w:cs="Times New Roman"/>
          <w:sz w:val="24"/>
          <w:szCs w:val="24"/>
          <w:lang w:val="en-GB" w:eastAsia="en-GB"/>
        </w:rPr>
        <w:t xml:space="preserve"> minutes. The </w:t>
      </w:r>
      <w:r w:rsidR="002B2964" w:rsidRPr="002559AC">
        <w:rPr>
          <w:rFonts w:ascii="Times New Roman" w:hAnsi="Times New Roman" w:cs="Times New Roman"/>
          <w:sz w:val="24"/>
          <w:szCs w:val="24"/>
          <w:lang w:val="en-GB" w:eastAsia="en-GB"/>
        </w:rPr>
        <w:t xml:space="preserve">supernatant, or clear fluid was </w:t>
      </w:r>
      <w:r w:rsidRPr="002559AC">
        <w:rPr>
          <w:rFonts w:ascii="Times New Roman" w:hAnsi="Times New Roman" w:cs="Times New Roman"/>
          <w:sz w:val="24"/>
          <w:szCs w:val="24"/>
          <w:lang w:val="en-GB" w:eastAsia="en-GB"/>
        </w:rPr>
        <w:t>carefully decanted, leaving behind the concentrated sediment for micr</w:t>
      </w:r>
      <w:r w:rsidR="002B2964" w:rsidRPr="002559AC">
        <w:rPr>
          <w:rFonts w:ascii="Times New Roman" w:hAnsi="Times New Roman" w:cs="Times New Roman"/>
          <w:sz w:val="24"/>
          <w:szCs w:val="24"/>
          <w:lang w:val="en-GB" w:eastAsia="en-GB"/>
        </w:rPr>
        <w:t>oscopic examination</w:t>
      </w:r>
      <w:r w:rsidRPr="002559AC">
        <w:rPr>
          <w:rFonts w:ascii="Times New Roman" w:hAnsi="Times New Roman" w:cs="Times New Roman"/>
          <w:sz w:val="24"/>
          <w:szCs w:val="24"/>
          <w:lang w:val="en-GB" w:eastAsia="en-GB"/>
        </w:rPr>
        <w:t xml:space="preserve">. A small amount of the sediment was placed on a </w:t>
      </w:r>
      <w:r w:rsidR="002B2964" w:rsidRPr="002559AC">
        <w:rPr>
          <w:rFonts w:ascii="Times New Roman" w:hAnsi="Times New Roman" w:cs="Times New Roman"/>
          <w:sz w:val="24"/>
          <w:szCs w:val="24"/>
          <w:lang w:val="en-GB" w:eastAsia="en-GB"/>
        </w:rPr>
        <w:t xml:space="preserve">grease free </w:t>
      </w:r>
      <w:r w:rsidRPr="002559AC">
        <w:rPr>
          <w:rFonts w:ascii="Times New Roman" w:hAnsi="Times New Roman" w:cs="Times New Roman"/>
          <w:sz w:val="24"/>
          <w:szCs w:val="24"/>
          <w:lang w:val="en-GB" w:eastAsia="en-GB"/>
        </w:rPr>
        <w:t>glass slide and covered with a cover slip. The slide was then</w:t>
      </w:r>
      <w:r w:rsidR="002B2964" w:rsidRPr="002559AC">
        <w:rPr>
          <w:rFonts w:ascii="Times New Roman" w:hAnsi="Times New Roman" w:cs="Times New Roman"/>
          <w:sz w:val="24"/>
          <w:szCs w:val="24"/>
          <w:lang w:val="en-GB" w:eastAsia="en-GB"/>
        </w:rPr>
        <w:t xml:space="preserve"> examined under a microscope, focused with power magnification (1</w:t>
      </w:r>
      <w:r w:rsidRPr="002559AC">
        <w:rPr>
          <w:rFonts w:ascii="Times New Roman" w:hAnsi="Times New Roman" w:cs="Times New Roman"/>
          <w:sz w:val="24"/>
          <w:szCs w:val="24"/>
          <w:lang w:val="en-GB" w:eastAsia="en-GB"/>
        </w:rPr>
        <w:t xml:space="preserve">0x) </w:t>
      </w:r>
      <w:r w:rsidR="002B2964" w:rsidRPr="002559AC">
        <w:rPr>
          <w:rFonts w:ascii="Times New Roman" w:hAnsi="Times New Roman" w:cs="Times New Roman"/>
          <w:sz w:val="24"/>
          <w:szCs w:val="24"/>
          <w:lang w:val="en-GB" w:eastAsia="en-GB"/>
        </w:rPr>
        <w:t xml:space="preserve">and </w:t>
      </w:r>
      <w:r w:rsidRPr="002559AC">
        <w:rPr>
          <w:rFonts w:ascii="Times New Roman" w:hAnsi="Times New Roman" w:cs="Times New Roman"/>
          <w:sz w:val="24"/>
          <w:szCs w:val="24"/>
          <w:lang w:val="en-GB" w:eastAsia="en-GB"/>
        </w:rPr>
        <w:t>examine</w:t>
      </w:r>
      <w:r w:rsidR="002B2964" w:rsidRPr="002559AC">
        <w:rPr>
          <w:rFonts w:ascii="Times New Roman" w:hAnsi="Times New Roman" w:cs="Times New Roman"/>
          <w:sz w:val="24"/>
          <w:szCs w:val="24"/>
          <w:lang w:val="en-GB" w:eastAsia="en-GB"/>
        </w:rPr>
        <w:t>d with</w:t>
      </w:r>
      <w:r w:rsidRPr="002559AC">
        <w:rPr>
          <w:rFonts w:ascii="Times New Roman" w:hAnsi="Times New Roman" w:cs="Times New Roman"/>
          <w:sz w:val="24"/>
          <w:szCs w:val="24"/>
          <w:lang w:val="en-GB" w:eastAsia="en-GB"/>
        </w:rPr>
        <w:t xml:space="preserve"> </w:t>
      </w:r>
      <w:r w:rsidR="002B2964" w:rsidRPr="002559AC">
        <w:rPr>
          <w:rFonts w:ascii="Times New Roman" w:hAnsi="Times New Roman" w:cs="Times New Roman"/>
          <w:sz w:val="24"/>
          <w:szCs w:val="24"/>
          <w:lang w:val="en-GB" w:eastAsia="en-GB"/>
        </w:rPr>
        <w:t xml:space="preserve">power magnification (40x). </w:t>
      </w:r>
    </w:p>
    <w:p w14:paraId="2163844E"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9" w:name="_Toc172731282"/>
      <w:r w:rsidRPr="002559AC">
        <w:rPr>
          <w:rFonts w:ascii="Times New Roman" w:eastAsia="Times New Roman" w:hAnsi="Times New Roman" w:cs="Times New Roman"/>
          <w:b/>
          <w:color w:val="auto"/>
          <w:sz w:val="24"/>
          <w:szCs w:val="24"/>
          <w:lang w:val="en-GB" w:eastAsia="en-GB"/>
        </w:rPr>
        <w:lastRenderedPageBreak/>
        <w:t>Culture</w:t>
      </w:r>
      <w:bookmarkEnd w:id="9"/>
    </w:p>
    <w:p w14:paraId="01D75BB6" w14:textId="77777777" w:rsidR="003F12D2" w:rsidRPr="002559AC" w:rsidRDefault="003F12D2" w:rsidP="002559AC">
      <w:pPr>
        <w:spacing w:line="360" w:lineRule="auto"/>
        <w:jc w:val="both"/>
        <w:rPr>
          <w:rFonts w:ascii="Times New Roman" w:hAnsi="Times New Roman" w:cs="Times New Roman"/>
          <w:b/>
          <w:bCs/>
          <w:sz w:val="24"/>
          <w:szCs w:val="24"/>
          <w:lang w:val="en-GB" w:eastAsia="en-GB"/>
        </w:rPr>
      </w:pPr>
      <w:r w:rsidRPr="002559AC">
        <w:rPr>
          <w:rFonts w:ascii="Times New Roman" w:hAnsi="Times New Roman" w:cs="Times New Roman"/>
          <w:sz w:val="24"/>
          <w:szCs w:val="24"/>
          <w:lang w:val="en-GB" w:eastAsia="en-GB"/>
        </w:rPr>
        <w:t>The urine samples were inoculated on MacConkey agar, CLED then subcultures into nutrient plates and were incubated aerobically and anaerobically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C for 24 hours. Duplicate MacConkey agar plates were incubated 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 xml:space="preserve">C for </w:t>
      </w:r>
      <w:r w:rsidR="002B2964" w:rsidRPr="002559AC">
        <w:rPr>
          <w:rFonts w:ascii="Times New Roman" w:hAnsi="Times New Roman" w:cs="Times New Roman"/>
          <w:sz w:val="24"/>
          <w:szCs w:val="24"/>
          <w:lang w:val="en-GB" w:eastAsia="en-GB"/>
        </w:rPr>
        <w:t xml:space="preserve">24 hours. All the media </w:t>
      </w:r>
      <w:proofErr w:type="gramStart"/>
      <w:r w:rsidR="002B2964" w:rsidRPr="002559AC">
        <w:rPr>
          <w:rFonts w:ascii="Times New Roman" w:hAnsi="Times New Roman" w:cs="Times New Roman"/>
          <w:sz w:val="24"/>
          <w:szCs w:val="24"/>
          <w:lang w:val="en-GB" w:eastAsia="en-GB"/>
        </w:rPr>
        <w:t xml:space="preserve">used </w:t>
      </w:r>
      <w:r w:rsidRPr="002559AC">
        <w:rPr>
          <w:rFonts w:ascii="Times New Roman" w:hAnsi="Times New Roman" w:cs="Times New Roman"/>
          <w:sz w:val="24"/>
          <w:szCs w:val="24"/>
          <w:lang w:val="en-GB" w:eastAsia="en-GB"/>
        </w:rPr>
        <w:t xml:space="preserve"> (</w:t>
      </w:r>
      <w:proofErr w:type="gramEnd"/>
      <w:r w:rsidRPr="002559AC">
        <w:rPr>
          <w:rFonts w:ascii="Times New Roman" w:hAnsi="Times New Roman" w:cs="Times New Roman"/>
          <w:sz w:val="24"/>
          <w:szCs w:val="24"/>
          <w:lang w:val="en-GB" w:eastAsia="en-GB"/>
        </w:rPr>
        <w:t>MacConkey agar and CLED agar) were prepared according to the manufacturer's directives</w:t>
      </w:r>
      <w:r w:rsidRPr="002559AC">
        <w:rPr>
          <w:rFonts w:ascii="Times New Roman" w:hAnsi="Times New Roman" w:cs="Times New Roman"/>
          <w:bCs/>
          <w:sz w:val="24"/>
          <w:szCs w:val="24"/>
          <w:lang w:val="en-GB" w:eastAsia="en-GB"/>
        </w:rPr>
        <w:t>.</w:t>
      </w:r>
      <w:r w:rsidRPr="002559AC">
        <w:rPr>
          <w:rFonts w:ascii="Times New Roman" w:hAnsi="Times New Roman" w:cs="Times New Roman"/>
          <w:b/>
          <w:bCs/>
          <w:sz w:val="24"/>
          <w:szCs w:val="24"/>
          <w:lang w:val="en-GB" w:eastAsia="en-GB"/>
        </w:rPr>
        <w:t xml:space="preserve"> </w:t>
      </w:r>
    </w:p>
    <w:p w14:paraId="3DE61183"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0" w:name="_Toc172731283"/>
      <w:r w:rsidRPr="002559AC">
        <w:rPr>
          <w:rFonts w:ascii="Times New Roman" w:eastAsia="Calibri" w:hAnsi="Times New Roman" w:cs="Times New Roman"/>
          <w:b/>
          <w:color w:val="auto"/>
          <w:sz w:val="24"/>
          <w:szCs w:val="24"/>
          <w:lang w:val="en-GB"/>
        </w:rPr>
        <w:t>Primary Gram Stain</w:t>
      </w:r>
      <w:bookmarkEnd w:id="10"/>
      <w:r w:rsidRPr="002559AC">
        <w:rPr>
          <w:rFonts w:ascii="Times New Roman" w:eastAsia="Calibri" w:hAnsi="Times New Roman" w:cs="Times New Roman"/>
          <w:b/>
          <w:color w:val="auto"/>
          <w:sz w:val="24"/>
          <w:szCs w:val="24"/>
          <w:lang w:val="en-GB"/>
        </w:rPr>
        <w:t xml:space="preserve"> </w:t>
      </w:r>
    </w:p>
    <w:p w14:paraId="3E3A9181" w14:textId="77777777" w:rsidR="003F12D2" w:rsidRPr="002559AC" w:rsidRDefault="003F12D2" w:rsidP="002559AC">
      <w:pPr>
        <w:autoSpaceDE w:val="0"/>
        <w:autoSpaceDN w:val="0"/>
        <w:adjustRightInd w:val="0"/>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Smear was made from the urine samples after culturing and staining by Gram technique and examined at X100 objectives for bacterial morphology.  The Gram staining reaction was used to identify pathogens in cultures by their Gram reactions. </w:t>
      </w:r>
    </w:p>
    <w:p w14:paraId="67ECD435"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1" w:name="_Toc172731285"/>
      <w:r w:rsidRPr="002559AC">
        <w:rPr>
          <w:rFonts w:ascii="Times New Roman" w:eastAsia="Calibri" w:hAnsi="Times New Roman" w:cs="Times New Roman"/>
          <w:b/>
          <w:color w:val="auto"/>
          <w:sz w:val="24"/>
          <w:szCs w:val="24"/>
          <w:lang w:val="en-GB"/>
        </w:rPr>
        <w:t>Identifications and pure culture preparation of isolates</w:t>
      </w:r>
      <w:bookmarkEnd w:id="11"/>
      <w:r w:rsidRPr="002559AC">
        <w:rPr>
          <w:rFonts w:ascii="Times New Roman" w:eastAsia="Calibri" w:hAnsi="Times New Roman" w:cs="Times New Roman"/>
          <w:b/>
          <w:color w:val="auto"/>
          <w:sz w:val="24"/>
          <w:szCs w:val="24"/>
          <w:lang w:val="en-GB"/>
        </w:rPr>
        <w:t xml:space="preserve"> </w:t>
      </w:r>
    </w:p>
    <w:p w14:paraId="0395E700"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A subculture of the colonies of each isolate was made. This was done by picking portions of the colonies with a sterile wire loop and streaking them on freshly prepared nutrient agar plates. The plates were incubated at 37ºC for 24 hours. All isolates were identified phenotypically and biochemically following standard procedures. The colonies on the MacConkey agar were classified into lactose and non-lactose fermenting colonies. The non-lactose fermenting colonies and Lactose fermenting colonies were further subjected to the necessary conventional biochemical tests such as citrate utilization, urea production, indole production, Oxidase test, motility test, and sugar fermentation test. (Cowan and Steel,2017)</w:t>
      </w:r>
    </w:p>
    <w:p w14:paraId="28CB9423" w14:textId="77777777" w:rsidR="003F12D2" w:rsidRPr="002559AC" w:rsidRDefault="003F12D2" w:rsidP="002559AC">
      <w:pPr>
        <w:pStyle w:val="Heading4"/>
        <w:spacing w:line="360" w:lineRule="auto"/>
        <w:rPr>
          <w:rFonts w:ascii="Times New Roman" w:eastAsia="Calibri" w:hAnsi="Times New Roman" w:cs="Times New Roman"/>
          <w:b/>
          <w:sz w:val="24"/>
          <w:szCs w:val="24"/>
          <w:lang w:val="en-GB"/>
        </w:rPr>
      </w:pPr>
      <w:bookmarkStart w:id="12" w:name="_Toc172731286"/>
      <w:r w:rsidRPr="002559AC">
        <w:rPr>
          <w:rFonts w:ascii="Times New Roman" w:eastAsia="Calibri" w:hAnsi="Times New Roman" w:cs="Times New Roman"/>
          <w:b/>
          <w:color w:val="auto"/>
          <w:sz w:val="24"/>
          <w:szCs w:val="24"/>
          <w:lang w:val="en-GB"/>
        </w:rPr>
        <w:t>Oxidase</w:t>
      </w:r>
      <w:bookmarkEnd w:id="12"/>
      <w:r w:rsidRPr="002559AC">
        <w:rPr>
          <w:rFonts w:ascii="Times New Roman" w:eastAsia="Calibri" w:hAnsi="Times New Roman" w:cs="Times New Roman"/>
          <w:b/>
          <w:color w:val="auto"/>
          <w:sz w:val="24"/>
          <w:szCs w:val="24"/>
          <w:lang w:val="en-GB"/>
        </w:rPr>
        <w:t xml:space="preserve"> </w:t>
      </w:r>
      <w:r w:rsidR="00A8627B" w:rsidRPr="002559AC">
        <w:rPr>
          <w:rFonts w:ascii="Times New Roman" w:eastAsia="Calibri" w:hAnsi="Times New Roman" w:cs="Times New Roman"/>
          <w:b/>
          <w:color w:val="auto"/>
          <w:sz w:val="24"/>
          <w:szCs w:val="24"/>
          <w:lang w:val="en-GB"/>
        </w:rPr>
        <w:t>test</w:t>
      </w:r>
    </w:p>
    <w:p w14:paraId="24FED1D7"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A strip of filter paper (Whatman No.1) was soaked with a freshly prepared solution of 1% </w:t>
      </w:r>
      <w:proofErr w:type="spellStart"/>
      <w:r w:rsidRPr="002559AC">
        <w:rPr>
          <w:rFonts w:ascii="Times New Roman" w:eastAsia="Calibri" w:hAnsi="Times New Roman" w:cs="Times New Roman"/>
          <w:kern w:val="0"/>
          <w:sz w:val="24"/>
          <w:szCs w:val="24"/>
          <w:lang w:val="en-GB"/>
          <w14:ligatures w14:val="none"/>
        </w:rPr>
        <w:t>Tetramenthyl</w:t>
      </w:r>
      <w:proofErr w:type="spellEnd"/>
      <w:r w:rsidRPr="002559AC">
        <w:rPr>
          <w:rFonts w:ascii="Times New Roman" w:eastAsia="Calibri" w:hAnsi="Times New Roman" w:cs="Times New Roman"/>
          <w:kern w:val="0"/>
          <w:sz w:val="24"/>
          <w:szCs w:val="24"/>
          <w:lang w:val="en-GB"/>
          <w14:ligatures w14:val="none"/>
        </w:rPr>
        <w:t xml:space="preserve"> 1 para-</w:t>
      </w:r>
      <w:proofErr w:type="spellStart"/>
      <w:r w:rsidRPr="002559AC">
        <w:rPr>
          <w:rFonts w:ascii="Times New Roman" w:eastAsia="Calibri" w:hAnsi="Times New Roman" w:cs="Times New Roman"/>
          <w:kern w:val="0"/>
          <w:sz w:val="24"/>
          <w:szCs w:val="24"/>
          <w:lang w:val="en-GB"/>
          <w14:ligatures w14:val="none"/>
        </w:rPr>
        <w:t>phenylen</w:t>
      </w:r>
      <w:proofErr w:type="spellEnd"/>
      <w:r w:rsidRPr="002559AC">
        <w:rPr>
          <w:rFonts w:ascii="Times New Roman" w:eastAsia="Calibri" w:hAnsi="Times New Roman" w:cs="Times New Roman"/>
          <w:kern w:val="0"/>
          <w:sz w:val="24"/>
          <w:szCs w:val="24"/>
          <w:lang w:val="en-GB"/>
          <w14:ligatures w14:val="none"/>
        </w:rPr>
        <w:t xml:space="preserve">-diamine-dihydrochloride and with a clean slide edge, colonies of suspected organisms were streaked on it. Development of a blue-purple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within a few seconds indicated a positive test and where there was no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change indicated a negative test.</w:t>
      </w:r>
    </w:p>
    <w:p w14:paraId="5EC4F7C0"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3" w:name="_Toc172731287"/>
      <w:r w:rsidRPr="002559AC">
        <w:rPr>
          <w:rFonts w:ascii="Times New Roman" w:eastAsia="Calibri" w:hAnsi="Times New Roman" w:cs="Times New Roman"/>
          <w:b/>
          <w:color w:val="auto"/>
          <w:sz w:val="24"/>
          <w:szCs w:val="24"/>
          <w:lang w:val="en-GB"/>
        </w:rPr>
        <w:t>Indole Test</w:t>
      </w:r>
      <w:bookmarkEnd w:id="13"/>
      <w:r w:rsidRPr="002559AC">
        <w:rPr>
          <w:rFonts w:ascii="Times New Roman" w:eastAsia="Calibri" w:hAnsi="Times New Roman" w:cs="Times New Roman"/>
          <w:b/>
          <w:color w:val="auto"/>
          <w:sz w:val="24"/>
          <w:szCs w:val="24"/>
          <w:lang w:val="en-GB"/>
        </w:rPr>
        <w:t xml:space="preserve"> </w:t>
      </w:r>
    </w:p>
    <w:p w14:paraId="45616800"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Most strains of </w:t>
      </w:r>
      <w:r w:rsidRPr="002559AC">
        <w:rPr>
          <w:rFonts w:ascii="Times New Roman" w:eastAsia="Calibri" w:hAnsi="Times New Roman" w:cs="Times New Roman"/>
          <w:i/>
          <w:iCs/>
          <w:kern w:val="0"/>
          <w:sz w:val="24"/>
          <w:szCs w:val="24"/>
          <w:lang w:val="en-GB"/>
          <w14:ligatures w14:val="none"/>
        </w:rPr>
        <w:t>Escherichia coli</w:t>
      </w:r>
      <w:r w:rsidRPr="002559AC">
        <w:rPr>
          <w:rFonts w:ascii="Times New Roman" w:eastAsia="Calibri" w:hAnsi="Times New Roman" w:cs="Times New Roman"/>
          <w:i/>
          <w:kern w:val="0"/>
          <w:sz w:val="24"/>
          <w:szCs w:val="24"/>
          <w:lang w:val="en-GB"/>
          <w14:ligatures w14:val="none"/>
        </w:rPr>
        <w:t xml:space="preserve"> </w:t>
      </w:r>
      <w:r w:rsidR="00755071" w:rsidRPr="002559AC">
        <w:rPr>
          <w:rFonts w:ascii="Times New Roman" w:eastAsia="Calibri" w:hAnsi="Times New Roman" w:cs="Times New Roman"/>
          <w:kern w:val="0"/>
          <w:sz w:val="24"/>
          <w:szCs w:val="24"/>
          <w:lang w:val="en-GB"/>
          <w14:ligatures w14:val="none"/>
        </w:rPr>
        <w:t>are</w:t>
      </w:r>
      <w:r w:rsidRPr="002559AC">
        <w:rPr>
          <w:rFonts w:ascii="Times New Roman" w:eastAsia="Calibri" w:hAnsi="Times New Roman" w:cs="Times New Roman"/>
          <w:kern w:val="0"/>
          <w:sz w:val="24"/>
          <w:szCs w:val="24"/>
          <w:lang w:val="en-GB"/>
          <w14:ligatures w14:val="none"/>
        </w:rPr>
        <w:t xml:space="preserve"> capable of breaking down tryptophan (Amino acid). The test organisms were inoculated in sterile bijou bottles containing 3 ml of sterile peptone water and incubated for 24 hours at 37</w:t>
      </w:r>
      <w:r w:rsidRPr="002559AC">
        <w:rPr>
          <w:rFonts w:ascii="Times New Roman" w:eastAsia="Calibri" w:hAnsi="Times New Roman" w:cs="Times New Roman"/>
          <w:kern w:val="0"/>
          <w:sz w:val="24"/>
          <w:szCs w:val="24"/>
          <w:vertAlign w:val="superscript"/>
          <w:lang w:val="en-GB"/>
          <w14:ligatures w14:val="none"/>
        </w:rPr>
        <w:t>0</w:t>
      </w:r>
      <w:r w:rsidRPr="002559AC">
        <w:rPr>
          <w:rFonts w:ascii="Times New Roman" w:eastAsia="Calibri" w:hAnsi="Times New Roman" w:cs="Times New Roman"/>
          <w:kern w:val="0"/>
          <w:sz w:val="24"/>
          <w:szCs w:val="24"/>
          <w:lang w:val="en-GB"/>
          <w14:ligatures w14:val="none"/>
        </w:rPr>
        <w:t xml:space="preserve">c. Thereafter, 0.5ml of Kovac’s reagent was added and it was shaken gently. A red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ring was observed in the surface layer within one minute, which indicated a positive test while a yellow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indicates a negative test.  </w:t>
      </w:r>
    </w:p>
    <w:p w14:paraId="44DFAD61" w14:textId="77777777" w:rsidR="003F12D2" w:rsidRPr="002559AC" w:rsidRDefault="003F12D2" w:rsidP="002559AC">
      <w:pPr>
        <w:pStyle w:val="Heading4"/>
        <w:spacing w:line="360" w:lineRule="auto"/>
        <w:rPr>
          <w:rFonts w:ascii="Times New Roman" w:hAnsi="Times New Roman" w:cs="Times New Roman"/>
          <w:b/>
          <w:color w:val="auto"/>
          <w:sz w:val="24"/>
          <w:szCs w:val="24"/>
        </w:rPr>
      </w:pPr>
      <w:bookmarkStart w:id="14" w:name="_Toc172731288"/>
      <w:r w:rsidRPr="002559AC">
        <w:rPr>
          <w:rFonts w:ascii="Times New Roman" w:hAnsi="Times New Roman" w:cs="Times New Roman"/>
          <w:b/>
          <w:color w:val="auto"/>
          <w:sz w:val="24"/>
          <w:szCs w:val="24"/>
        </w:rPr>
        <w:lastRenderedPageBreak/>
        <w:t>Catalase Test</w:t>
      </w:r>
      <w:bookmarkEnd w:id="14"/>
    </w:p>
    <w:p w14:paraId="540B32DC" w14:textId="77777777"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small amount of bacterial isolate is placed on a clean glass slide. A drop of 3% hydrogen peroxide solution is then added to the bacterial smear. Observations are made immediately for the presence or absence of bubbling. Fresh cultures (18-24 hours old) were used to ensure the accuracy of the test, as older cultures may yield false-negative results due to the depletion of enzyme activity. A positive catalase test is characterized by the formation of vigorous bubbles upon the addition of hydrogen peroxide, indicating the presence of the catalase enzyme. In contrast, a negative catalase test shows no bubble formation, suggesting the absence of catalase.</w:t>
      </w:r>
    </w:p>
    <w:p w14:paraId="4CAB0CD8" w14:textId="77777777" w:rsidR="003F12D2" w:rsidRPr="002559AC" w:rsidRDefault="003F12D2" w:rsidP="002559AC">
      <w:pPr>
        <w:pStyle w:val="Heading4"/>
        <w:spacing w:line="360" w:lineRule="auto"/>
        <w:rPr>
          <w:rFonts w:ascii="Times New Roman" w:hAnsi="Times New Roman" w:cs="Times New Roman"/>
          <w:b/>
          <w:sz w:val="24"/>
          <w:szCs w:val="24"/>
        </w:rPr>
      </w:pPr>
      <w:bookmarkStart w:id="15" w:name="_Toc172731289"/>
      <w:r w:rsidRPr="002559AC">
        <w:rPr>
          <w:rFonts w:ascii="Times New Roman" w:hAnsi="Times New Roman" w:cs="Times New Roman"/>
          <w:b/>
          <w:color w:val="auto"/>
          <w:sz w:val="24"/>
          <w:szCs w:val="24"/>
        </w:rPr>
        <w:t>Coagulase Test</w:t>
      </w:r>
      <w:bookmarkEnd w:id="15"/>
    </w:p>
    <w:p w14:paraId="59189C06" w14:textId="77777777"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0.5 ml aliquot of human plasma was prepared in a test tube as described by Forbe</w:t>
      </w:r>
      <w:r w:rsidR="00755071" w:rsidRPr="002559AC">
        <w:rPr>
          <w:rFonts w:ascii="Times New Roman" w:hAnsi="Times New Roman" w:cs="Times New Roman"/>
          <w:sz w:val="24"/>
          <w:szCs w:val="24"/>
        </w:rPr>
        <w:t xml:space="preserve">s </w:t>
      </w:r>
      <w:r w:rsidR="00755071" w:rsidRPr="002559AC">
        <w:rPr>
          <w:rFonts w:ascii="Times New Roman" w:hAnsi="Times New Roman" w:cs="Times New Roman"/>
          <w:i/>
          <w:sz w:val="24"/>
          <w:szCs w:val="24"/>
        </w:rPr>
        <w:t>et al</w:t>
      </w:r>
      <w:r w:rsidR="00755071" w:rsidRPr="002559AC">
        <w:rPr>
          <w:rFonts w:ascii="Times New Roman" w:hAnsi="Times New Roman" w:cs="Times New Roman"/>
          <w:sz w:val="24"/>
          <w:szCs w:val="24"/>
        </w:rPr>
        <w:t xml:space="preserve">. (2017). </w:t>
      </w:r>
      <w:r w:rsidRPr="002559AC">
        <w:rPr>
          <w:rFonts w:ascii="Times New Roman" w:hAnsi="Times New Roman" w:cs="Times New Roman"/>
          <w:sz w:val="24"/>
          <w:szCs w:val="24"/>
        </w:rPr>
        <w:t xml:space="preserve">A few colonies of the urine </w:t>
      </w:r>
      <w:r w:rsidR="00755071" w:rsidRPr="002559AC">
        <w:rPr>
          <w:rFonts w:ascii="Times New Roman" w:hAnsi="Times New Roman" w:cs="Times New Roman"/>
          <w:sz w:val="24"/>
          <w:szCs w:val="24"/>
        </w:rPr>
        <w:t>were</w:t>
      </w:r>
      <w:r w:rsidRPr="002559AC">
        <w:rPr>
          <w:rFonts w:ascii="Times New Roman" w:hAnsi="Times New Roman" w:cs="Times New Roman"/>
          <w:sz w:val="24"/>
          <w:szCs w:val="24"/>
        </w:rPr>
        <w:t xml:space="preserve"> inoculated into the plasma. The tube is then incubated at 37°C and checked for clot formation at 1, 2, 4, and 24 hours. The formation of a clot that remains in place when the tube is gently tilted confirms a positive test, indicating the production of free coagulase. If no clot forms after 24 hours, the result is negative.</w:t>
      </w:r>
    </w:p>
    <w:p w14:paraId="20267F0E" w14:textId="77777777" w:rsidR="003F12D2" w:rsidRPr="002559AC" w:rsidRDefault="003F12D2" w:rsidP="002559AC">
      <w:pPr>
        <w:pStyle w:val="Heading3"/>
        <w:spacing w:line="360" w:lineRule="auto"/>
        <w:rPr>
          <w:rFonts w:ascii="Times New Roman" w:hAnsi="Times New Roman" w:cs="Times New Roman"/>
          <w:b/>
          <w:color w:val="auto"/>
          <w:lang w:val="en-GB"/>
        </w:rPr>
      </w:pPr>
      <w:bookmarkStart w:id="16" w:name="_Toc172731290"/>
      <w:r w:rsidRPr="002559AC">
        <w:rPr>
          <w:rFonts w:ascii="Times New Roman" w:hAnsi="Times New Roman" w:cs="Times New Roman"/>
          <w:b/>
          <w:color w:val="auto"/>
          <w:lang w:val="en-GB"/>
        </w:rPr>
        <w:t>Antibiotics Susceptibility Testing</w:t>
      </w:r>
      <w:bookmarkEnd w:id="16"/>
      <w:r w:rsidRPr="002559AC">
        <w:rPr>
          <w:rFonts w:ascii="Times New Roman" w:hAnsi="Times New Roman" w:cs="Times New Roman"/>
          <w:b/>
          <w:color w:val="auto"/>
          <w:lang w:val="en-GB"/>
        </w:rPr>
        <w:t xml:space="preserve"> </w:t>
      </w:r>
    </w:p>
    <w:p w14:paraId="7FE4ECA3" w14:textId="77777777" w:rsidR="003F12D2" w:rsidRPr="002559AC" w:rsidRDefault="003F12D2" w:rsidP="002559AC">
      <w:pPr>
        <w:spacing w:after="0" w:line="360" w:lineRule="auto"/>
        <w:jc w:val="both"/>
        <w:rPr>
          <w:rFonts w:ascii="Times New Roman" w:eastAsia="Times New Roman" w:hAnsi="Times New Roman" w:cs="Times New Roman"/>
          <w:kern w:val="0"/>
          <w:sz w:val="24"/>
          <w:szCs w:val="24"/>
          <w:lang w:val="en-GB" w:eastAsia="en-GB"/>
          <w14:ligatures w14:val="none"/>
        </w:rPr>
      </w:pPr>
      <w:r w:rsidRPr="002559AC">
        <w:rPr>
          <w:rFonts w:ascii="Times New Roman" w:eastAsia="Calibri" w:hAnsi="Times New Roman" w:cs="Times New Roman"/>
          <w:kern w:val="0"/>
          <w:sz w:val="24"/>
          <w:szCs w:val="24"/>
          <w:lang w:val="en-GB"/>
          <w14:ligatures w14:val="none"/>
        </w:rPr>
        <w:t xml:space="preserve">Antimicrobial susceptibility testing was carried out on each isolate by the disc diffusion method using the Kirby- Bauer disc diffusion method by </w:t>
      </w:r>
      <w:r w:rsidR="00C42CC9" w:rsidRPr="002559AC">
        <w:rPr>
          <w:rFonts w:ascii="Times New Roman" w:eastAsia="Calibri" w:hAnsi="Times New Roman" w:cs="Times New Roman"/>
          <w:kern w:val="0"/>
          <w:sz w:val="24"/>
          <w:szCs w:val="24"/>
          <w:lang w:val="en-GB"/>
          <w14:ligatures w14:val="none"/>
        </w:rPr>
        <w:t xml:space="preserve">Clinical and Laboratory Standards Institute guidelines (CLSI, 2020) </w:t>
      </w:r>
      <w:r w:rsidRPr="002559AC">
        <w:rPr>
          <w:rFonts w:ascii="Times New Roman" w:eastAsia="Calibri" w:hAnsi="Times New Roman" w:cs="Times New Roman"/>
          <w:kern w:val="0"/>
          <w:sz w:val="24"/>
          <w:szCs w:val="24"/>
          <w:lang w:val="en-GB"/>
          <w14:ligatures w14:val="none"/>
        </w:rPr>
        <w:t>to evaluate the sensitivity of the test organisms to the various antibiotics. Test isolates were grown on Nutrient agar and incubated at 37</w:t>
      </w:r>
      <w:r w:rsidRPr="002559AC">
        <w:rPr>
          <w:rFonts w:ascii="Times New Roman" w:eastAsia="Calibri" w:hAnsi="Times New Roman" w:cs="Times New Roman"/>
          <w:kern w:val="0"/>
          <w:sz w:val="24"/>
          <w:szCs w:val="24"/>
          <w:vertAlign w:val="superscript"/>
          <w:lang w:val="en-GB"/>
          <w14:ligatures w14:val="none"/>
        </w:rPr>
        <w:t>o</w:t>
      </w:r>
      <w:r w:rsidRPr="002559AC">
        <w:rPr>
          <w:rFonts w:ascii="Times New Roman" w:eastAsia="Calibri" w:hAnsi="Times New Roman" w:cs="Times New Roman"/>
          <w:kern w:val="0"/>
          <w:sz w:val="24"/>
          <w:szCs w:val="24"/>
          <w:lang w:val="en-GB"/>
          <w14:ligatures w14:val="none"/>
        </w:rPr>
        <w:t xml:space="preserve"> C for 24 hours. Colonies were suspended in sterile peptone water and the </w:t>
      </w:r>
      <w:proofErr w:type="spellStart"/>
      <w:r w:rsidRPr="002559AC">
        <w:rPr>
          <w:rFonts w:ascii="Times New Roman" w:eastAsia="Calibri" w:hAnsi="Times New Roman" w:cs="Times New Roman"/>
          <w:kern w:val="0"/>
          <w:sz w:val="24"/>
          <w:szCs w:val="24"/>
          <w:lang w:val="en-GB"/>
          <w14:ligatures w14:val="none"/>
        </w:rPr>
        <w:t>inocula</w:t>
      </w:r>
      <w:proofErr w:type="spellEnd"/>
      <w:r w:rsidRPr="002559AC">
        <w:rPr>
          <w:rFonts w:ascii="Times New Roman" w:eastAsia="Calibri" w:hAnsi="Times New Roman" w:cs="Times New Roman"/>
          <w:kern w:val="0"/>
          <w:sz w:val="24"/>
          <w:szCs w:val="24"/>
          <w:lang w:val="en-GB"/>
          <w14:ligatures w14:val="none"/>
        </w:rPr>
        <w:t xml:space="preserve"> density was adjusted to 0.5 McFarland turbidity standards. The inoculated broth suspension was used to flood the surface of a freshly prepared dried Mueller-Hinton agar plate. The antimicrobial disc used against the </w:t>
      </w:r>
      <w:r w:rsidRPr="002559AC">
        <w:rPr>
          <w:rFonts w:ascii="Times New Roman" w:eastAsia="Calibri" w:hAnsi="Times New Roman" w:cs="Times New Roman"/>
          <w:i/>
          <w:kern w:val="0"/>
          <w:sz w:val="24"/>
          <w:szCs w:val="24"/>
          <w:lang w:val="en-GB"/>
          <w14:ligatures w14:val="none"/>
        </w:rPr>
        <w:t>Staphylococcus aureus and E. coli</w:t>
      </w:r>
      <w:r w:rsidRPr="002559AC">
        <w:rPr>
          <w:rFonts w:ascii="Times New Roman" w:eastAsia="Calibri" w:hAnsi="Times New Roman" w:cs="Times New Roman"/>
          <w:kern w:val="0"/>
          <w:sz w:val="24"/>
          <w:szCs w:val="24"/>
          <w:lang w:val="en-GB"/>
          <w14:ligatures w14:val="none"/>
        </w:rPr>
        <w:t xml:space="preserve"> isolates were </w:t>
      </w:r>
      <w:r w:rsidRPr="002559AC">
        <w:rPr>
          <w:rFonts w:ascii="Times New Roman" w:eastAsia="Times New Roman" w:hAnsi="Times New Roman" w:cs="Times New Roman"/>
          <w:kern w:val="0"/>
          <w:sz w:val="24"/>
          <w:szCs w:val="24"/>
          <w:lang w:val="en-GB" w:eastAsia="en-GB"/>
          <w14:ligatures w14:val="none"/>
        </w:rPr>
        <w:t>Erythromycin (15</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Gentamicin (10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Ciprofloxacin (5</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Imipenem (10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Cefuroxime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Ceftriaxone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Cefepime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Augmentin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Oxacillin(1µg)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Calibri" w:hAnsi="Times New Roman" w:cs="Times New Roman"/>
          <w:kern w:val="0"/>
          <w:sz w:val="24"/>
          <w:szCs w:val="24"/>
          <w:lang w:val="en-GB"/>
          <w14:ligatures w14:val="none"/>
        </w:rPr>
        <w:t>The disc was placed on the surface of the inoculated Muller Hinton agar plate and incubated at 37</w:t>
      </w:r>
      <w:r w:rsidRPr="002559AC">
        <w:rPr>
          <w:rFonts w:ascii="Times New Roman" w:eastAsia="Calibri" w:hAnsi="Times New Roman" w:cs="Times New Roman"/>
          <w:kern w:val="0"/>
          <w:sz w:val="24"/>
          <w:szCs w:val="24"/>
          <w:vertAlign w:val="superscript"/>
          <w:lang w:val="en-GB"/>
          <w14:ligatures w14:val="none"/>
        </w:rPr>
        <w:t>0</w:t>
      </w:r>
      <w:r w:rsidRPr="002559AC">
        <w:rPr>
          <w:rFonts w:ascii="Times New Roman" w:eastAsia="Calibri" w:hAnsi="Times New Roman" w:cs="Times New Roman"/>
          <w:kern w:val="0"/>
          <w:sz w:val="24"/>
          <w:szCs w:val="24"/>
          <w:lang w:val="en-GB"/>
          <w14:ligatures w14:val="none"/>
        </w:rPr>
        <w:t xml:space="preserve">C for 24 hours. After incubation, the diameters of zones of inhibition were measured to the nearest </w:t>
      </w:r>
      <w:proofErr w:type="spellStart"/>
      <w:r w:rsidRPr="002559AC">
        <w:rPr>
          <w:rFonts w:ascii="Times New Roman" w:eastAsia="Calibri" w:hAnsi="Times New Roman" w:cs="Times New Roman"/>
          <w:kern w:val="0"/>
          <w:sz w:val="24"/>
          <w:szCs w:val="24"/>
          <w:lang w:val="en-GB"/>
          <w14:ligatures w14:val="none"/>
        </w:rPr>
        <w:t>millimeter</w:t>
      </w:r>
      <w:proofErr w:type="spellEnd"/>
      <w:r w:rsidRPr="002559AC">
        <w:rPr>
          <w:rFonts w:ascii="Times New Roman" w:eastAsia="Calibri" w:hAnsi="Times New Roman" w:cs="Times New Roman"/>
          <w:kern w:val="0"/>
          <w:sz w:val="24"/>
          <w:szCs w:val="24"/>
          <w:lang w:val="en-GB"/>
          <w14:ligatures w14:val="none"/>
        </w:rPr>
        <w:t xml:space="preserve"> using a transparent meter rule. The results were interpreted using the standard zone sizes of the Clinical and Laboratory Standards </w:t>
      </w:r>
      <w:r w:rsidR="00265A41" w:rsidRPr="002559AC">
        <w:rPr>
          <w:rFonts w:ascii="Times New Roman" w:eastAsia="Calibri" w:hAnsi="Times New Roman" w:cs="Times New Roman"/>
          <w:kern w:val="0"/>
          <w:sz w:val="24"/>
          <w:szCs w:val="24"/>
          <w:lang w:val="en-GB"/>
          <w14:ligatures w14:val="none"/>
        </w:rPr>
        <w:t>Institute guidelines (CLSI, 2020</w:t>
      </w:r>
      <w:r w:rsidRPr="002559AC">
        <w:rPr>
          <w:rFonts w:ascii="Times New Roman" w:eastAsia="Calibri" w:hAnsi="Times New Roman" w:cs="Times New Roman"/>
          <w:kern w:val="0"/>
          <w:sz w:val="24"/>
          <w:szCs w:val="24"/>
          <w:lang w:val="en-GB"/>
          <w14:ligatures w14:val="none"/>
        </w:rPr>
        <w:t>).</w:t>
      </w:r>
    </w:p>
    <w:p w14:paraId="0C571E08" w14:textId="77777777" w:rsidR="003F12D2" w:rsidRPr="002559AC" w:rsidRDefault="003F12D2" w:rsidP="002559AC">
      <w:pPr>
        <w:pStyle w:val="Heading2"/>
        <w:spacing w:before="320" w:after="120" w:line="360" w:lineRule="auto"/>
        <w:ind w:left="432" w:hanging="432"/>
        <w:rPr>
          <w:rFonts w:ascii="Times New Roman" w:eastAsia="Calibri" w:hAnsi="Times New Roman" w:cs="Times New Roman"/>
          <w:b/>
          <w:color w:val="auto"/>
          <w:sz w:val="24"/>
          <w:szCs w:val="24"/>
        </w:rPr>
      </w:pPr>
      <w:bookmarkStart w:id="17" w:name="_Toc172731292"/>
      <w:r w:rsidRPr="002559AC">
        <w:rPr>
          <w:rFonts w:ascii="Times New Roman" w:eastAsia="Calibri" w:hAnsi="Times New Roman" w:cs="Times New Roman"/>
          <w:b/>
          <w:color w:val="auto"/>
          <w:sz w:val="24"/>
          <w:szCs w:val="24"/>
        </w:rPr>
        <w:lastRenderedPageBreak/>
        <w:t>RESULTS</w:t>
      </w:r>
      <w:bookmarkEnd w:id="17"/>
      <w:r w:rsidRPr="002559AC">
        <w:rPr>
          <w:rFonts w:ascii="Times New Roman" w:eastAsia="Calibri" w:hAnsi="Times New Roman" w:cs="Times New Roman"/>
          <w:b/>
          <w:color w:val="auto"/>
          <w:sz w:val="24"/>
          <w:szCs w:val="24"/>
        </w:rPr>
        <w:t xml:space="preserve"> </w:t>
      </w:r>
    </w:p>
    <w:p w14:paraId="0527D348" w14:textId="77777777" w:rsidR="003F12D2" w:rsidRPr="002559AC" w:rsidRDefault="00BD6944"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 xml:space="preserve">Table </w:t>
      </w:r>
      <w:r w:rsidR="003F12D2" w:rsidRPr="002559AC">
        <w:rPr>
          <w:rFonts w:ascii="Times New Roman" w:eastAsia="Calibri" w:hAnsi="Times New Roman" w:cs="Times New Roman"/>
          <w:b/>
          <w:kern w:val="0"/>
          <w:sz w:val="24"/>
          <w:szCs w:val="24"/>
          <w14:ligatures w14:val="none"/>
        </w:rPr>
        <w:t>1:</w:t>
      </w:r>
      <w:r w:rsidR="003F12D2" w:rsidRPr="002559AC">
        <w:rPr>
          <w:rFonts w:ascii="Times New Roman" w:eastAsia="Calibri" w:hAnsi="Times New Roman" w:cs="Times New Roman"/>
          <w:bCs/>
          <w:kern w:val="0"/>
          <w:sz w:val="24"/>
          <w:szCs w:val="24"/>
          <w14:ligatures w14:val="none"/>
        </w:rPr>
        <w:t xml:space="preserve"> shows that out of the 131 urine samples taken, 79(60.3%) of them showed growth of bacteria which gave overall prevalence rate of (60.3%) among the undergraduate students. Also, out of the 79 isolates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was 31 (23.66</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Staphylococcus aureus </w:t>
      </w:r>
      <w:r w:rsidR="003F12D2" w:rsidRPr="002559AC">
        <w:rPr>
          <w:rFonts w:ascii="Times New Roman" w:eastAsia="Calibri" w:hAnsi="Times New Roman" w:cs="Times New Roman"/>
          <w:bCs/>
          <w:kern w:val="0"/>
          <w:sz w:val="24"/>
          <w:szCs w:val="24"/>
          <w14:ligatures w14:val="none"/>
        </w:rPr>
        <w:t>with 39(29.77</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Proteus species </w:t>
      </w:r>
      <w:r w:rsidR="003F12D2" w:rsidRPr="002559AC">
        <w:rPr>
          <w:rFonts w:ascii="Times New Roman" w:eastAsia="Calibri" w:hAnsi="Times New Roman" w:cs="Times New Roman"/>
          <w:bCs/>
          <w:kern w:val="0"/>
          <w:sz w:val="24"/>
          <w:szCs w:val="24"/>
          <w14:ligatures w14:val="none"/>
        </w:rPr>
        <w:t>with 2(1.53</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Klebsiella pneumoniae </w:t>
      </w:r>
      <w:r w:rsidR="003F12D2" w:rsidRPr="002559AC">
        <w:rPr>
          <w:rFonts w:ascii="Times New Roman" w:eastAsia="Calibri" w:hAnsi="Times New Roman" w:cs="Times New Roman"/>
          <w:bCs/>
          <w:kern w:val="0"/>
          <w:sz w:val="24"/>
          <w:szCs w:val="24"/>
          <w14:ligatures w14:val="none"/>
        </w:rPr>
        <w:t>with 5(3.82</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occurrence,</w:t>
      </w:r>
      <w:r w:rsidR="003F12D2" w:rsidRPr="002559AC">
        <w:rPr>
          <w:rFonts w:ascii="Times New Roman" w:eastAsia="Calibri" w:hAnsi="Times New Roman" w:cs="Times New Roman"/>
          <w:bCs/>
          <w:i/>
          <w:iCs/>
          <w:kern w:val="0"/>
          <w:sz w:val="24"/>
          <w:szCs w:val="24"/>
          <w14:ligatures w14:val="none"/>
        </w:rPr>
        <w:t xml:space="preserve"> Pseudomonas aeruginosa </w:t>
      </w:r>
      <w:r w:rsidR="003F12D2" w:rsidRPr="002559AC">
        <w:rPr>
          <w:rFonts w:ascii="Times New Roman" w:eastAsia="Calibri" w:hAnsi="Times New Roman" w:cs="Times New Roman"/>
          <w:bCs/>
          <w:kern w:val="0"/>
          <w:sz w:val="24"/>
          <w:szCs w:val="24"/>
          <w14:ligatures w14:val="none"/>
        </w:rPr>
        <w:t>with 2(1.53</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occurrences. Irrespective of the other isolates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had a prevalence rate of 31 (23.66</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had 39(29.77</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occurrence. However, 52(39.69</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showed no growth. Thus, most of the urine samples taken showed the growth of bacteria isolates.</w:t>
      </w:r>
    </w:p>
    <w:p w14:paraId="63E11160"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bCs/>
          <w:kern w:val="0"/>
          <w:sz w:val="24"/>
          <w:szCs w:val="24"/>
          <w14:ligatures w14:val="none"/>
        </w:rPr>
        <w:t xml:space="preserve">Table </w:t>
      </w:r>
      <w:r w:rsidR="003F12D2" w:rsidRPr="002559AC">
        <w:rPr>
          <w:rFonts w:ascii="Times New Roman" w:eastAsia="Calibri" w:hAnsi="Times New Roman" w:cs="Times New Roman"/>
          <w:b/>
          <w:bCs/>
          <w:kern w:val="0"/>
          <w:sz w:val="24"/>
          <w:szCs w:val="24"/>
          <w14:ligatures w14:val="none"/>
        </w:rPr>
        <w:t>2</w:t>
      </w:r>
      <w:r w:rsidR="003F12D2" w:rsidRPr="002559AC">
        <w:rPr>
          <w:rFonts w:ascii="Times New Roman" w:eastAsia="Calibri" w:hAnsi="Times New Roman" w:cs="Times New Roman"/>
          <w:bCs/>
          <w:kern w:val="0"/>
          <w:sz w:val="24"/>
          <w:szCs w:val="24"/>
          <w14:ligatures w14:val="none"/>
        </w:rPr>
        <w:t xml:space="preserve">: shows bacteria isolated and their percentage occurrence in the sampled urine of undergraduate students at Benson Idahosa University, Benin City. The table </w:t>
      </w:r>
      <w:r w:rsidRPr="002559AC">
        <w:rPr>
          <w:rFonts w:ascii="Times New Roman" w:eastAsia="Calibri" w:hAnsi="Times New Roman" w:cs="Times New Roman"/>
          <w:bCs/>
          <w:kern w:val="0"/>
          <w:sz w:val="24"/>
          <w:szCs w:val="24"/>
          <w14:ligatures w14:val="none"/>
        </w:rPr>
        <w:t>below</w:t>
      </w:r>
      <w:r w:rsidR="003F12D2" w:rsidRPr="002559AC">
        <w:rPr>
          <w:rFonts w:ascii="Times New Roman" w:eastAsia="Calibri" w:hAnsi="Times New Roman" w:cs="Times New Roman"/>
          <w:bCs/>
          <w:kern w:val="0"/>
          <w:sz w:val="24"/>
          <w:szCs w:val="24"/>
          <w14:ligatures w14:val="none"/>
        </w:rPr>
        <w:t xml:space="preserve"> showed that </w:t>
      </w:r>
      <w:r w:rsidR="003F12D2" w:rsidRPr="002559AC">
        <w:rPr>
          <w:rFonts w:ascii="Times New Roman" w:eastAsia="Calibri" w:hAnsi="Times New Roman" w:cs="Times New Roman"/>
          <w:bCs/>
          <w:i/>
          <w:iCs/>
          <w:kern w:val="0"/>
          <w:sz w:val="24"/>
          <w:szCs w:val="24"/>
          <w14:ligatures w14:val="none"/>
        </w:rPr>
        <w:t xml:space="preserve">Escherichia coli, Staphylococcus aureus, Proteus </w:t>
      </w:r>
      <w:proofErr w:type="spellStart"/>
      <w:r w:rsidR="003F12D2" w:rsidRPr="002559AC">
        <w:rPr>
          <w:rFonts w:ascii="Times New Roman" w:eastAsia="Calibri" w:hAnsi="Times New Roman" w:cs="Times New Roman"/>
          <w:bCs/>
          <w:i/>
          <w:iCs/>
          <w:kern w:val="0"/>
          <w:sz w:val="24"/>
          <w:szCs w:val="24"/>
          <w14:ligatures w14:val="none"/>
        </w:rPr>
        <w:t>spp</w:t>
      </w:r>
      <w:proofErr w:type="spellEnd"/>
      <w:r w:rsidR="003F12D2" w:rsidRPr="002559AC">
        <w:rPr>
          <w:rFonts w:ascii="Times New Roman" w:eastAsia="Calibri" w:hAnsi="Times New Roman" w:cs="Times New Roman"/>
          <w:bCs/>
          <w:i/>
          <w:iCs/>
          <w:kern w:val="0"/>
          <w:sz w:val="24"/>
          <w:szCs w:val="24"/>
          <w14:ligatures w14:val="none"/>
        </w:rPr>
        <w:t xml:space="preserve">, Klebsiella pneumoniae, </w:t>
      </w:r>
      <w:r w:rsidR="003F12D2" w:rsidRPr="002559AC">
        <w:rPr>
          <w:rFonts w:ascii="Times New Roman" w:eastAsia="Calibri" w:hAnsi="Times New Roman" w:cs="Times New Roman"/>
          <w:bCs/>
          <w:kern w:val="0"/>
          <w:sz w:val="24"/>
          <w:szCs w:val="24"/>
          <w14:ligatures w14:val="none"/>
        </w:rPr>
        <w:t>and</w:t>
      </w:r>
      <w:r w:rsidR="003F12D2" w:rsidRPr="002559AC">
        <w:rPr>
          <w:rFonts w:ascii="Times New Roman" w:eastAsia="Calibri" w:hAnsi="Times New Roman" w:cs="Times New Roman"/>
          <w:bCs/>
          <w:i/>
          <w:iCs/>
          <w:kern w:val="0"/>
          <w:sz w:val="24"/>
          <w:szCs w:val="24"/>
          <w14:ligatures w14:val="none"/>
        </w:rPr>
        <w:t xml:space="preserve"> Pseudomonas aeruginosa </w:t>
      </w:r>
      <w:r w:rsidR="003F12D2" w:rsidRPr="002559AC">
        <w:rPr>
          <w:rFonts w:ascii="Times New Roman" w:eastAsia="Calibri" w:hAnsi="Times New Roman" w:cs="Times New Roman"/>
          <w:bCs/>
          <w:kern w:val="0"/>
          <w:sz w:val="24"/>
          <w:szCs w:val="24"/>
          <w14:ligatures w14:val="none"/>
        </w:rPr>
        <w:t xml:space="preserve">were isolated with percentage occurrence of 39.2, 49.4, 2.5, 6.3, and 2.5 respectively. From the result of the study, the majority of the sampled urine had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this was followed by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followed by </w:t>
      </w:r>
      <w:r w:rsidR="003F12D2" w:rsidRPr="002559AC">
        <w:rPr>
          <w:rFonts w:ascii="Times New Roman" w:eastAsia="Calibri" w:hAnsi="Times New Roman" w:cs="Times New Roman"/>
          <w:bCs/>
          <w:i/>
          <w:iCs/>
          <w:kern w:val="0"/>
          <w:sz w:val="24"/>
          <w:szCs w:val="24"/>
          <w14:ligatures w14:val="none"/>
        </w:rPr>
        <w:t xml:space="preserve">Klebsiella </w:t>
      </w:r>
      <w:proofErr w:type="spellStart"/>
      <w:r w:rsidR="003F12D2" w:rsidRPr="002559AC">
        <w:rPr>
          <w:rFonts w:ascii="Times New Roman" w:eastAsia="Calibri" w:hAnsi="Times New Roman" w:cs="Times New Roman"/>
          <w:bCs/>
          <w:i/>
          <w:iCs/>
          <w:kern w:val="0"/>
          <w:sz w:val="24"/>
          <w:szCs w:val="24"/>
          <w14:ligatures w14:val="none"/>
        </w:rPr>
        <w:t>spp</w:t>
      </w:r>
      <w:proofErr w:type="spellEnd"/>
      <w:r w:rsidR="003F12D2" w:rsidRPr="002559AC">
        <w:rPr>
          <w:rFonts w:ascii="Times New Roman" w:eastAsia="Calibri" w:hAnsi="Times New Roman" w:cs="Times New Roman"/>
          <w:bCs/>
          <w:kern w:val="0"/>
          <w:sz w:val="24"/>
          <w:szCs w:val="24"/>
          <w14:ligatures w14:val="none"/>
        </w:rPr>
        <w:t xml:space="preserve">; however, only a few had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 xml:space="preserve">Proteus </w:t>
      </w:r>
      <w:proofErr w:type="spellStart"/>
      <w:r w:rsidR="003F12D2" w:rsidRPr="002559AC">
        <w:rPr>
          <w:rFonts w:ascii="Times New Roman" w:eastAsia="Calibri" w:hAnsi="Times New Roman" w:cs="Times New Roman"/>
          <w:bCs/>
          <w:i/>
          <w:iCs/>
          <w:kern w:val="0"/>
          <w:sz w:val="24"/>
          <w:szCs w:val="24"/>
          <w14:ligatures w14:val="none"/>
        </w:rPr>
        <w:t>spp</w:t>
      </w:r>
      <w:proofErr w:type="spellEnd"/>
      <w:r w:rsidR="003F12D2" w:rsidRPr="002559AC">
        <w:rPr>
          <w:rFonts w:ascii="Times New Roman" w:eastAsia="Calibri" w:hAnsi="Times New Roman" w:cs="Times New Roman"/>
          <w:bCs/>
          <w:i/>
          <w:iCs/>
          <w:kern w:val="0"/>
          <w:sz w:val="24"/>
          <w:szCs w:val="24"/>
          <w14:ligatures w14:val="none"/>
        </w:rPr>
        <w:t xml:space="preserve"> </w:t>
      </w:r>
      <w:r w:rsidR="003F12D2" w:rsidRPr="002559AC">
        <w:rPr>
          <w:rFonts w:ascii="Times New Roman" w:eastAsia="Calibri" w:hAnsi="Times New Roman" w:cs="Times New Roman"/>
          <w:bCs/>
          <w:kern w:val="0"/>
          <w:sz w:val="24"/>
          <w:szCs w:val="24"/>
          <w14:ligatures w14:val="none"/>
        </w:rPr>
        <w:t>isolated from the sampled urine</w:t>
      </w:r>
    </w:p>
    <w:p w14:paraId="4C646DC2"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43D39C2B"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18" w:name="_Toc172731301"/>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1</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Presence of Growth on Urine samples of Undergraduate Students’ Urine</w:t>
      </w:r>
      <w:bookmarkEnd w:id="18"/>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6AE8545E" w14:textId="77777777" w:rsidTr="00573C87">
        <w:tc>
          <w:tcPr>
            <w:tcW w:w="3573" w:type="dxa"/>
            <w:tcBorders>
              <w:top w:val="single" w:sz="4" w:space="0" w:color="auto"/>
              <w:bottom w:val="single" w:sz="4" w:space="0" w:color="auto"/>
            </w:tcBorders>
          </w:tcPr>
          <w:p w14:paraId="281AFEA8"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Urine Sample Outcome</w:t>
            </w:r>
          </w:p>
        </w:tc>
        <w:tc>
          <w:tcPr>
            <w:tcW w:w="2635" w:type="dxa"/>
            <w:tcBorders>
              <w:top w:val="single" w:sz="4" w:space="0" w:color="auto"/>
              <w:bottom w:val="single" w:sz="4" w:space="0" w:color="auto"/>
            </w:tcBorders>
          </w:tcPr>
          <w:p w14:paraId="2EA82F2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of Occurrence</w:t>
            </w:r>
          </w:p>
        </w:tc>
        <w:tc>
          <w:tcPr>
            <w:tcW w:w="3152" w:type="dxa"/>
            <w:tcBorders>
              <w:top w:val="single" w:sz="4" w:space="0" w:color="auto"/>
              <w:bottom w:val="single" w:sz="4" w:space="0" w:color="auto"/>
            </w:tcBorders>
          </w:tcPr>
          <w:p w14:paraId="0524AC08"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Percentages</w:t>
            </w:r>
          </w:p>
        </w:tc>
      </w:tr>
      <w:tr w:rsidR="003F12D2" w:rsidRPr="002559AC" w14:paraId="2BAE0677" w14:textId="77777777" w:rsidTr="00573C87">
        <w:tc>
          <w:tcPr>
            <w:tcW w:w="3573" w:type="dxa"/>
            <w:tcBorders>
              <w:top w:val="single" w:sz="4" w:space="0" w:color="auto"/>
            </w:tcBorders>
          </w:tcPr>
          <w:p w14:paraId="6DF99374"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1A9ACC58"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31</w:t>
            </w:r>
          </w:p>
        </w:tc>
        <w:tc>
          <w:tcPr>
            <w:tcW w:w="3152" w:type="dxa"/>
            <w:tcBorders>
              <w:top w:val="single" w:sz="4" w:space="0" w:color="auto"/>
            </w:tcBorders>
          </w:tcPr>
          <w:p w14:paraId="3F9E018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23.66</w:t>
            </w:r>
          </w:p>
        </w:tc>
      </w:tr>
      <w:tr w:rsidR="003F12D2" w:rsidRPr="002559AC" w14:paraId="46E47AED" w14:textId="77777777" w:rsidTr="00573C87">
        <w:tc>
          <w:tcPr>
            <w:tcW w:w="3573" w:type="dxa"/>
          </w:tcPr>
          <w:p w14:paraId="4E3ADC52"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Staphylococcus aureus </w:t>
            </w:r>
          </w:p>
        </w:tc>
        <w:tc>
          <w:tcPr>
            <w:tcW w:w="2635" w:type="dxa"/>
          </w:tcPr>
          <w:p w14:paraId="43230E8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w:t>
            </w:r>
          </w:p>
        </w:tc>
        <w:tc>
          <w:tcPr>
            <w:tcW w:w="3152" w:type="dxa"/>
          </w:tcPr>
          <w:p w14:paraId="32F0471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29.77</w:t>
            </w:r>
          </w:p>
        </w:tc>
      </w:tr>
      <w:tr w:rsidR="003F12D2" w:rsidRPr="002559AC" w14:paraId="6B601CA6" w14:textId="77777777" w:rsidTr="00573C87">
        <w:tc>
          <w:tcPr>
            <w:tcW w:w="3573" w:type="dxa"/>
          </w:tcPr>
          <w:p w14:paraId="464C9EB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Proteus species</w:t>
            </w:r>
          </w:p>
        </w:tc>
        <w:tc>
          <w:tcPr>
            <w:tcW w:w="2635" w:type="dxa"/>
          </w:tcPr>
          <w:p w14:paraId="0471399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06BBBD76"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1.53</w:t>
            </w:r>
          </w:p>
        </w:tc>
      </w:tr>
      <w:tr w:rsidR="003F12D2" w:rsidRPr="002559AC" w14:paraId="2EB6B9AC" w14:textId="77777777" w:rsidTr="00573C87">
        <w:tc>
          <w:tcPr>
            <w:tcW w:w="3573" w:type="dxa"/>
          </w:tcPr>
          <w:p w14:paraId="613802C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Klebsiella pneumoniae </w:t>
            </w:r>
          </w:p>
        </w:tc>
        <w:tc>
          <w:tcPr>
            <w:tcW w:w="2635" w:type="dxa"/>
          </w:tcPr>
          <w:p w14:paraId="3CCEF9C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w:t>
            </w:r>
          </w:p>
        </w:tc>
        <w:tc>
          <w:tcPr>
            <w:tcW w:w="3152" w:type="dxa"/>
          </w:tcPr>
          <w:p w14:paraId="6B51730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3.82</w:t>
            </w:r>
          </w:p>
        </w:tc>
      </w:tr>
      <w:tr w:rsidR="003F12D2" w:rsidRPr="002559AC" w14:paraId="12D0926D" w14:textId="77777777" w:rsidTr="00573C87">
        <w:tc>
          <w:tcPr>
            <w:tcW w:w="3573" w:type="dxa"/>
          </w:tcPr>
          <w:p w14:paraId="32FDC52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Pseudomonas aeruginosa</w:t>
            </w:r>
          </w:p>
        </w:tc>
        <w:tc>
          <w:tcPr>
            <w:tcW w:w="2635" w:type="dxa"/>
          </w:tcPr>
          <w:p w14:paraId="4C80BEC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0222F9A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1.53</w:t>
            </w:r>
          </w:p>
        </w:tc>
      </w:tr>
      <w:tr w:rsidR="003F12D2" w:rsidRPr="002559AC" w14:paraId="3B4E5F42" w14:textId="77777777" w:rsidTr="00573C87">
        <w:tc>
          <w:tcPr>
            <w:tcW w:w="3573" w:type="dxa"/>
          </w:tcPr>
          <w:p w14:paraId="668E24C2" w14:textId="77777777" w:rsidR="003F12D2" w:rsidRPr="002559AC" w:rsidRDefault="003F12D2" w:rsidP="002559AC">
            <w:pPr>
              <w:spacing w:after="0" w:line="360" w:lineRule="auto"/>
              <w:jc w:val="both"/>
              <w:rPr>
                <w:bCs/>
                <w:i/>
                <w:iCs/>
                <w:kern w:val="0"/>
                <w:sz w:val="24"/>
                <w:szCs w:val="24"/>
                <w14:ligatures w14:val="none"/>
              </w:rPr>
            </w:pPr>
            <w:r w:rsidRPr="002559AC">
              <w:rPr>
                <w:bCs/>
                <w:kern w:val="0"/>
                <w:sz w:val="24"/>
                <w:szCs w:val="24"/>
                <w14:ligatures w14:val="none"/>
              </w:rPr>
              <w:t>No Growth</w:t>
            </w:r>
            <w:r w:rsidRPr="002559AC">
              <w:rPr>
                <w:bCs/>
                <w:i/>
                <w:iCs/>
                <w:kern w:val="0"/>
                <w:sz w:val="24"/>
                <w:szCs w:val="24"/>
                <w14:ligatures w14:val="none"/>
              </w:rPr>
              <w:t xml:space="preserve"> </w:t>
            </w:r>
          </w:p>
        </w:tc>
        <w:tc>
          <w:tcPr>
            <w:tcW w:w="2635" w:type="dxa"/>
          </w:tcPr>
          <w:p w14:paraId="76250A0E"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52</w:t>
            </w:r>
          </w:p>
        </w:tc>
        <w:tc>
          <w:tcPr>
            <w:tcW w:w="3152" w:type="dxa"/>
          </w:tcPr>
          <w:p w14:paraId="05FFA44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39.69</w:t>
            </w:r>
          </w:p>
        </w:tc>
      </w:tr>
      <w:tr w:rsidR="003F12D2" w:rsidRPr="002559AC" w14:paraId="7C50743B" w14:textId="77777777" w:rsidTr="00573C87">
        <w:tc>
          <w:tcPr>
            <w:tcW w:w="3573" w:type="dxa"/>
            <w:tcBorders>
              <w:bottom w:val="single" w:sz="4" w:space="0" w:color="auto"/>
            </w:tcBorders>
          </w:tcPr>
          <w:p w14:paraId="48A93F8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Total</w:t>
            </w:r>
          </w:p>
        </w:tc>
        <w:tc>
          <w:tcPr>
            <w:tcW w:w="2635" w:type="dxa"/>
            <w:tcBorders>
              <w:bottom w:val="single" w:sz="4" w:space="0" w:color="auto"/>
            </w:tcBorders>
          </w:tcPr>
          <w:p w14:paraId="1FF785C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131</w:t>
            </w:r>
          </w:p>
        </w:tc>
        <w:tc>
          <w:tcPr>
            <w:tcW w:w="3152" w:type="dxa"/>
            <w:tcBorders>
              <w:bottom w:val="single" w:sz="4" w:space="0" w:color="auto"/>
            </w:tcBorders>
          </w:tcPr>
          <w:p w14:paraId="75D4B5D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100.00</w:t>
            </w:r>
          </w:p>
        </w:tc>
      </w:tr>
    </w:tbl>
    <w:p w14:paraId="35880321" w14:textId="77777777" w:rsidR="003F12D2" w:rsidRPr="002559AC" w:rsidRDefault="003F12D2" w:rsidP="002559AC">
      <w:pPr>
        <w:spacing w:after="0" w:line="360" w:lineRule="auto"/>
        <w:jc w:val="both"/>
        <w:rPr>
          <w:rFonts w:ascii="Times New Roman" w:eastAsia="Calibri" w:hAnsi="Times New Roman" w:cs="Times New Roman"/>
          <w:bCs/>
          <w:kern w:val="0"/>
          <w:sz w:val="24"/>
          <w:szCs w:val="24"/>
          <w14:ligatures w14:val="none"/>
        </w:rPr>
      </w:pPr>
    </w:p>
    <w:p w14:paraId="3DECE108"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w:t>
      </w:r>
    </w:p>
    <w:p w14:paraId="4381B3CB"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61DB3BF3"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19" w:name="_Toc172731302"/>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2</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Bacteria Isolated and their percentage occurrence in the urine samples</w:t>
      </w:r>
      <w:bookmarkEnd w:id="19"/>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6E736B3D" w14:textId="77777777" w:rsidTr="00573C87">
        <w:tc>
          <w:tcPr>
            <w:tcW w:w="3573" w:type="dxa"/>
            <w:tcBorders>
              <w:top w:val="single" w:sz="4" w:space="0" w:color="auto"/>
              <w:bottom w:val="single" w:sz="4" w:space="0" w:color="auto"/>
            </w:tcBorders>
          </w:tcPr>
          <w:p w14:paraId="3297C4E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Organisms Isolated</w:t>
            </w:r>
          </w:p>
        </w:tc>
        <w:tc>
          <w:tcPr>
            <w:tcW w:w="2635" w:type="dxa"/>
            <w:tcBorders>
              <w:top w:val="single" w:sz="4" w:space="0" w:color="auto"/>
              <w:bottom w:val="single" w:sz="4" w:space="0" w:color="auto"/>
            </w:tcBorders>
          </w:tcPr>
          <w:p w14:paraId="036898ED"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of Occurrence</w:t>
            </w:r>
          </w:p>
        </w:tc>
        <w:tc>
          <w:tcPr>
            <w:tcW w:w="3152" w:type="dxa"/>
            <w:tcBorders>
              <w:top w:val="single" w:sz="4" w:space="0" w:color="auto"/>
              <w:bottom w:val="single" w:sz="4" w:space="0" w:color="auto"/>
            </w:tcBorders>
          </w:tcPr>
          <w:p w14:paraId="5EBF5D84"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Percentages of Isolates</w:t>
            </w:r>
          </w:p>
        </w:tc>
      </w:tr>
      <w:tr w:rsidR="003F12D2" w:rsidRPr="002559AC" w14:paraId="2B2B37CB" w14:textId="77777777" w:rsidTr="00573C87">
        <w:tc>
          <w:tcPr>
            <w:tcW w:w="3573" w:type="dxa"/>
            <w:tcBorders>
              <w:top w:val="single" w:sz="4" w:space="0" w:color="auto"/>
            </w:tcBorders>
          </w:tcPr>
          <w:p w14:paraId="5CE5FEA4"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7E66C09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31</w:t>
            </w:r>
          </w:p>
        </w:tc>
        <w:tc>
          <w:tcPr>
            <w:tcW w:w="3152" w:type="dxa"/>
            <w:tcBorders>
              <w:top w:val="single" w:sz="4" w:space="0" w:color="auto"/>
            </w:tcBorders>
          </w:tcPr>
          <w:p w14:paraId="46F7CAC8"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39.24</w:t>
            </w:r>
          </w:p>
        </w:tc>
      </w:tr>
      <w:tr w:rsidR="003F12D2" w:rsidRPr="002559AC" w14:paraId="1BBE479F" w14:textId="77777777" w:rsidTr="00573C87">
        <w:tc>
          <w:tcPr>
            <w:tcW w:w="3573" w:type="dxa"/>
          </w:tcPr>
          <w:p w14:paraId="3408381F"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 xml:space="preserve">Staphylococcus aureus </w:t>
            </w:r>
          </w:p>
        </w:tc>
        <w:tc>
          <w:tcPr>
            <w:tcW w:w="2635" w:type="dxa"/>
          </w:tcPr>
          <w:p w14:paraId="3A5DBAC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w:t>
            </w:r>
          </w:p>
        </w:tc>
        <w:tc>
          <w:tcPr>
            <w:tcW w:w="3152" w:type="dxa"/>
          </w:tcPr>
          <w:p w14:paraId="38D3430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49.37</w:t>
            </w:r>
          </w:p>
        </w:tc>
      </w:tr>
      <w:tr w:rsidR="003F12D2" w:rsidRPr="002559AC" w14:paraId="59A34F45" w14:textId="77777777" w:rsidTr="00573C87">
        <w:tc>
          <w:tcPr>
            <w:tcW w:w="3573" w:type="dxa"/>
          </w:tcPr>
          <w:p w14:paraId="6DCE5276"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Proteus species</w:t>
            </w:r>
          </w:p>
        </w:tc>
        <w:tc>
          <w:tcPr>
            <w:tcW w:w="2635" w:type="dxa"/>
          </w:tcPr>
          <w:p w14:paraId="1F3E5F7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36E0658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2.53</w:t>
            </w:r>
          </w:p>
        </w:tc>
      </w:tr>
      <w:tr w:rsidR="003F12D2" w:rsidRPr="002559AC" w14:paraId="14530917" w14:textId="77777777" w:rsidTr="00573C87">
        <w:tc>
          <w:tcPr>
            <w:tcW w:w="3573" w:type="dxa"/>
          </w:tcPr>
          <w:p w14:paraId="6924ED7E"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Klebsiella pneumoniae </w:t>
            </w:r>
          </w:p>
        </w:tc>
        <w:tc>
          <w:tcPr>
            <w:tcW w:w="2635" w:type="dxa"/>
          </w:tcPr>
          <w:p w14:paraId="48B7FC66"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w:t>
            </w:r>
          </w:p>
        </w:tc>
        <w:tc>
          <w:tcPr>
            <w:tcW w:w="3152" w:type="dxa"/>
          </w:tcPr>
          <w:p w14:paraId="555AB80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6.33</w:t>
            </w:r>
          </w:p>
        </w:tc>
      </w:tr>
      <w:tr w:rsidR="003F12D2" w:rsidRPr="002559AC" w14:paraId="0021ED99" w14:textId="77777777" w:rsidTr="00573C87">
        <w:tc>
          <w:tcPr>
            <w:tcW w:w="3573" w:type="dxa"/>
          </w:tcPr>
          <w:p w14:paraId="50906656"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Pseudomonas aeruginosa</w:t>
            </w:r>
          </w:p>
        </w:tc>
        <w:tc>
          <w:tcPr>
            <w:tcW w:w="2635" w:type="dxa"/>
          </w:tcPr>
          <w:p w14:paraId="4EB2C6C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3B81DDA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2.53</w:t>
            </w:r>
          </w:p>
        </w:tc>
      </w:tr>
      <w:tr w:rsidR="003F12D2" w:rsidRPr="002559AC" w14:paraId="78BC0BA9" w14:textId="77777777" w:rsidTr="00573C87">
        <w:tc>
          <w:tcPr>
            <w:tcW w:w="3573" w:type="dxa"/>
            <w:tcBorders>
              <w:bottom w:val="single" w:sz="4" w:space="0" w:color="auto"/>
            </w:tcBorders>
          </w:tcPr>
          <w:p w14:paraId="30A4BF7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Total</w:t>
            </w:r>
          </w:p>
        </w:tc>
        <w:tc>
          <w:tcPr>
            <w:tcW w:w="2635" w:type="dxa"/>
            <w:tcBorders>
              <w:bottom w:val="single" w:sz="4" w:space="0" w:color="auto"/>
            </w:tcBorders>
          </w:tcPr>
          <w:p w14:paraId="3B5199D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79</w:t>
            </w:r>
          </w:p>
        </w:tc>
        <w:tc>
          <w:tcPr>
            <w:tcW w:w="3152" w:type="dxa"/>
            <w:tcBorders>
              <w:bottom w:val="single" w:sz="4" w:space="0" w:color="auto"/>
            </w:tcBorders>
          </w:tcPr>
          <w:p w14:paraId="44868C2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100</w:t>
            </w:r>
          </w:p>
        </w:tc>
      </w:tr>
    </w:tbl>
    <w:p w14:paraId="61183B84" w14:textId="77777777" w:rsidR="003F12D2" w:rsidRPr="002559AC" w:rsidRDefault="003F12D2" w:rsidP="002559AC">
      <w:pPr>
        <w:spacing w:after="0" w:line="360" w:lineRule="auto"/>
        <w:jc w:val="both"/>
        <w:rPr>
          <w:rFonts w:ascii="Times New Roman" w:eastAsia="Calibri" w:hAnsi="Times New Roman" w:cs="Times New Roman"/>
          <w:b/>
          <w:kern w:val="0"/>
          <w:sz w:val="24"/>
          <w:szCs w:val="24"/>
          <w14:ligatures w14:val="none"/>
        </w:rPr>
      </w:pPr>
    </w:p>
    <w:p w14:paraId="79B03128" w14:textId="77777777" w:rsidR="003F12D2" w:rsidRPr="002559AC" w:rsidRDefault="003F12D2" w:rsidP="002559AC">
      <w:pPr>
        <w:spacing w:line="360" w:lineRule="auto"/>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br w:type="page"/>
      </w:r>
    </w:p>
    <w:p w14:paraId="775AD58C"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lastRenderedPageBreak/>
        <w:t xml:space="preserve">Table </w:t>
      </w:r>
      <w:r w:rsidR="003F12D2" w:rsidRPr="002559AC">
        <w:rPr>
          <w:rFonts w:ascii="Times New Roman" w:eastAsia="Calibri" w:hAnsi="Times New Roman" w:cs="Times New Roman"/>
          <w:b/>
          <w:kern w:val="0"/>
          <w:sz w:val="24"/>
          <w:szCs w:val="24"/>
          <w14:ligatures w14:val="none"/>
        </w:rPr>
        <w:t>3:</w:t>
      </w:r>
      <w:r w:rsidR="003F12D2" w:rsidRPr="002559AC">
        <w:rPr>
          <w:rFonts w:ascii="Times New Roman" w:eastAsia="Calibri" w:hAnsi="Times New Roman" w:cs="Times New Roman"/>
          <w:bCs/>
          <w:kern w:val="0"/>
          <w:sz w:val="24"/>
          <w:szCs w:val="24"/>
          <w14:ligatures w14:val="none"/>
        </w:rPr>
        <w:t xml:space="preserve"> shows the demographic factors of urine samples collected from undergraduate students of Benson Idahosa University, Benin City. From the table, it showed that 57(43.5</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of the total sampled students were male while 19(24.1</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were the number of males whose urines contained bacteria isolates. On the other hand, 74(56.5</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formed the total number of females who were examined while 60(76.1</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formed the number of females whose urines contained bacteria isolates. Thus, the table, shows that there were females whose urines contained bacteria isolates than males. </w:t>
      </w:r>
      <w:r w:rsidR="003F12D2" w:rsidRPr="002559AC">
        <w:rPr>
          <w:rFonts w:ascii="Times New Roman" w:eastAsia="Times New Roman" w:hAnsi="Times New Roman" w:cs="Times New Roman"/>
          <w:bCs/>
          <w:kern w:val="0"/>
          <w:sz w:val="24"/>
          <w:szCs w:val="24"/>
          <w:lang w:val="en-GB" w:eastAsia="en-GB"/>
          <w14:ligatures w14:val="none"/>
        </w:rPr>
        <w:t>Also, the table contained the age range (in years) of students whose urines were sampled. From the table, it showed that out of the 79 urine samples showing positive for the presence of bacteria organisms, 28(35.4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the age of 15-18 years, 34 (43.0</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the age of 19-22years while 17(21.5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23-28 years of age.</w:t>
      </w:r>
    </w:p>
    <w:p w14:paraId="72BF4C2D" w14:textId="77777777"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14:ligatures w14:val="none"/>
        </w:rPr>
      </w:pPr>
      <w:r w:rsidRPr="002559AC">
        <w:rPr>
          <w:rFonts w:ascii="Times New Roman" w:eastAsia="Times New Roman" w:hAnsi="Times New Roman" w:cs="Times New Roman"/>
          <w:bCs/>
          <w:kern w:val="0"/>
          <w:sz w:val="24"/>
          <w:szCs w:val="24"/>
          <w:lang w:eastAsia="en-GB"/>
          <w14:ligatures w14:val="none"/>
        </w:rPr>
        <w:t>In Table 4</w:t>
      </w:r>
      <w:r w:rsidR="003F12D2" w:rsidRPr="002559AC">
        <w:rPr>
          <w:rFonts w:ascii="Times New Roman" w:eastAsia="Times New Roman" w:hAnsi="Times New Roman" w:cs="Times New Roman"/>
          <w:bCs/>
          <w:kern w:val="0"/>
          <w:sz w:val="24"/>
          <w:szCs w:val="24"/>
          <w:lang w:eastAsia="en-GB"/>
          <w14:ligatures w14:val="none"/>
        </w:rPr>
        <w:t xml:space="preserve">, out of a total of 79 Isolates for both males and females that were taken (comprising 19 males and 60 females) to test for the prevalence of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7(29.11</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males and 24(31.6</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females were found to contain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while 12(49.89</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males and 27(35.55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were found to contain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The result showed that there were more females whose urines contained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than males.</w:t>
      </w:r>
    </w:p>
    <w:p w14:paraId="2FDA3EFA" w14:textId="77777777"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14:ligatures w14:val="none"/>
        </w:rPr>
      </w:pPr>
      <w:r w:rsidRPr="002559AC">
        <w:rPr>
          <w:rFonts w:ascii="Times New Roman" w:eastAsia="Times New Roman" w:hAnsi="Times New Roman" w:cs="Times New Roman"/>
          <w:bCs/>
          <w:kern w:val="0"/>
          <w:sz w:val="24"/>
          <w:szCs w:val="24"/>
          <w:lang w:eastAsia="en-GB"/>
          <w14:ligatures w14:val="none"/>
        </w:rPr>
        <w:t xml:space="preserve">In Table </w:t>
      </w:r>
      <w:r w:rsidR="003F12D2" w:rsidRPr="002559AC">
        <w:rPr>
          <w:rFonts w:ascii="Times New Roman" w:eastAsia="Times New Roman" w:hAnsi="Times New Roman" w:cs="Times New Roman"/>
          <w:bCs/>
          <w:kern w:val="0"/>
          <w:sz w:val="24"/>
          <w:szCs w:val="24"/>
          <w:lang w:eastAsia="en-GB"/>
          <w14:ligatures w14:val="none"/>
        </w:rPr>
        <w:t xml:space="preserve">5 out of a total of 79 isolates for different age ranges (in years) to test for prevalence of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bacteria, age range 15-18years showed 14 (20.5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Staphylococcus aureus</w:t>
      </w:r>
      <w:r w:rsidR="003F12D2" w:rsidRPr="002559AC">
        <w:rPr>
          <w:rFonts w:ascii="Times New Roman" w:eastAsia="Times New Roman" w:hAnsi="Times New Roman" w:cs="Times New Roman"/>
          <w:bCs/>
          <w:kern w:val="0"/>
          <w:sz w:val="24"/>
          <w:szCs w:val="24"/>
          <w:lang w:eastAsia="en-GB"/>
          <w14:ligatures w14:val="none"/>
        </w:rPr>
        <w:t xml:space="preserve"> and 13(19.04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age range 19-22 years showed 12(22.4) for </w:t>
      </w:r>
      <w:r w:rsidR="003F12D2" w:rsidRPr="002559AC">
        <w:rPr>
          <w:rFonts w:ascii="Times New Roman" w:eastAsia="Times New Roman" w:hAnsi="Times New Roman" w:cs="Times New Roman"/>
          <w:bCs/>
          <w:i/>
          <w:iCs/>
          <w:kern w:val="0"/>
          <w:sz w:val="24"/>
          <w:szCs w:val="24"/>
          <w:lang w:eastAsia="en-GB"/>
          <w14:ligatures w14:val="none"/>
        </w:rPr>
        <w:t>Staphylococcus aureus</w:t>
      </w:r>
      <w:r w:rsidR="003F12D2" w:rsidRPr="002559AC">
        <w:rPr>
          <w:rFonts w:ascii="Times New Roman" w:eastAsia="Times New Roman" w:hAnsi="Times New Roman" w:cs="Times New Roman"/>
          <w:bCs/>
          <w:kern w:val="0"/>
          <w:sz w:val="24"/>
          <w:szCs w:val="24"/>
          <w:lang w:eastAsia="en-GB"/>
          <w14:ligatures w14:val="none"/>
        </w:rPr>
        <w:t xml:space="preserve"> and 16(29.65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while age range 23-28 years showed 5(7.94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and 10(15.88</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 xml:space="preserve">Escherichia coli </w:t>
      </w:r>
    </w:p>
    <w:p w14:paraId="62AED48F"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0" w:name="_Toc172731303"/>
      <w:r w:rsidRPr="002559AC">
        <w:rPr>
          <w:rFonts w:ascii="Times New Roman" w:hAnsi="Times New Roman" w:cs="Times New Roman"/>
          <w:b/>
          <w:bCs/>
          <w:i w:val="0"/>
          <w:iCs w:val="0"/>
          <w:color w:val="auto"/>
          <w:sz w:val="24"/>
          <w:szCs w:val="24"/>
        </w:rPr>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3</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Demographic factors of urine samples collected from undergraduate students of BIU</w:t>
      </w:r>
      <w:bookmarkEnd w:id="20"/>
    </w:p>
    <w:tbl>
      <w:tblPr>
        <w:tblStyle w:val="TableGrid"/>
        <w:tblW w:w="9900" w:type="dxa"/>
        <w:tblLook w:val="04A0" w:firstRow="1" w:lastRow="0" w:firstColumn="1" w:lastColumn="0" w:noHBand="0" w:noVBand="1"/>
      </w:tblPr>
      <w:tblGrid>
        <w:gridCol w:w="4050"/>
        <w:gridCol w:w="2970"/>
        <w:gridCol w:w="2880"/>
      </w:tblGrid>
      <w:tr w:rsidR="003F12D2" w:rsidRPr="002559AC" w14:paraId="5177FF56" w14:textId="77777777" w:rsidTr="00573C87">
        <w:tc>
          <w:tcPr>
            <w:tcW w:w="4050" w:type="dxa"/>
            <w:tcBorders>
              <w:left w:val="nil"/>
              <w:bottom w:val="single" w:sz="4" w:space="0" w:color="auto"/>
              <w:right w:val="nil"/>
            </w:tcBorders>
          </w:tcPr>
          <w:p w14:paraId="681D66AF"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Parameters</w:t>
            </w:r>
          </w:p>
        </w:tc>
        <w:tc>
          <w:tcPr>
            <w:tcW w:w="2970" w:type="dxa"/>
            <w:tcBorders>
              <w:left w:val="nil"/>
              <w:bottom w:val="single" w:sz="4" w:space="0" w:color="auto"/>
              <w:right w:val="nil"/>
            </w:tcBorders>
          </w:tcPr>
          <w:p w14:paraId="4AF947A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Examined</w:t>
            </w:r>
          </w:p>
        </w:tc>
        <w:tc>
          <w:tcPr>
            <w:tcW w:w="2880" w:type="dxa"/>
            <w:tcBorders>
              <w:left w:val="nil"/>
              <w:bottom w:val="single" w:sz="4" w:space="0" w:color="auto"/>
              <w:right w:val="nil"/>
            </w:tcBorders>
          </w:tcPr>
          <w:p w14:paraId="583DAF39"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 Positive</w:t>
            </w:r>
          </w:p>
        </w:tc>
      </w:tr>
      <w:tr w:rsidR="003F12D2" w:rsidRPr="002559AC" w14:paraId="19EA1FE3" w14:textId="77777777" w:rsidTr="00573C87">
        <w:tc>
          <w:tcPr>
            <w:tcW w:w="4050" w:type="dxa"/>
            <w:tcBorders>
              <w:top w:val="single" w:sz="4" w:space="0" w:color="auto"/>
              <w:left w:val="nil"/>
              <w:bottom w:val="nil"/>
              <w:right w:val="nil"/>
            </w:tcBorders>
          </w:tcPr>
          <w:p w14:paraId="038B7A16" w14:textId="77777777" w:rsidR="003F12D2" w:rsidRPr="002559AC" w:rsidRDefault="003F12D2" w:rsidP="002559AC">
            <w:pPr>
              <w:spacing w:after="0" w:line="360" w:lineRule="auto"/>
              <w:jc w:val="both"/>
              <w:rPr>
                <w:bCs/>
                <w:kern w:val="0"/>
                <w:sz w:val="24"/>
                <w:szCs w:val="24"/>
                <w14:ligatures w14:val="none"/>
              </w:rPr>
            </w:pPr>
            <w:r w:rsidRPr="002559AC">
              <w:rPr>
                <w:b/>
                <w:kern w:val="0"/>
                <w:sz w:val="24"/>
                <w:szCs w:val="24"/>
                <w14:ligatures w14:val="none"/>
              </w:rPr>
              <w:t>Overall</w:t>
            </w:r>
          </w:p>
        </w:tc>
        <w:tc>
          <w:tcPr>
            <w:tcW w:w="2970" w:type="dxa"/>
            <w:tcBorders>
              <w:top w:val="single" w:sz="4" w:space="0" w:color="auto"/>
              <w:left w:val="nil"/>
              <w:bottom w:val="nil"/>
              <w:right w:val="nil"/>
            </w:tcBorders>
          </w:tcPr>
          <w:p w14:paraId="18D74A6D"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131</w:t>
            </w:r>
          </w:p>
        </w:tc>
        <w:tc>
          <w:tcPr>
            <w:tcW w:w="2880" w:type="dxa"/>
            <w:tcBorders>
              <w:top w:val="single" w:sz="4" w:space="0" w:color="auto"/>
              <w:left w:val="nil"/>
              <w:bottom w:val="nil"/>
              <w:right w:val="nil"/>
            </w:tcBorders>
          </w:tcPr>
          <w:p w14:paraId="164F066D"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79 (60.31%)</w:t>
            </w:r>
          </w:p>
          <w:p w14:paraId="70B63A5E" w14:textId="77777777" w:rsidR="003F12D2" w:rsidRPr="002559AC" w:rsidRDefault="003F12D2" w:rsidP="002559AC">
            <w:pPr>
              <w:spacing w:after="0" w:line="360" w:lineRule="auto"/>
              <w:jc w:val="both"/>
              <w:rPr>
                <w:bCs/>
                <w:kern w:val="0"/>
                <w:sz w:val="24"/>
                <w:szCs w:val="24"/>
                <w14:ligatures w14:val="none"/>
              </w:rPr>
            </w:pPr>
          </w:p>
        </w:tc>
      </w:tr>
      <w:tr w:rsidR="003F12D2" w:rsidRPr="002559AC" w14:paraId="07789503" w14:textId="77777777" w:rsidTr="00573C87">
        <w:tc>
          <w:tcPr>
            <w:tcW w:w="4050" w:type="dxa"/>
            <w:tcBorders>
              <w:top w:val="nil"/>
              <w:left w:val="nil"/>
              <w:bottom w:val="single" w:sz="4" w:space="0" w:color="auto"/>
              <w:right w:val="nil"/>
            </w:tcBorders>
          </w:tcPr>
          <w:p w14:paraId="45D60521"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Gender</w:t>
            </w:r>
          </w:p>
          <w:p w14:paraId="3E8FAFA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Male</w:t>
            </w:r>
          </w:p>
          <w:p w14:paraId="2951C23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Female</w:t>
            </w:r>
          </w:p>
        </w:tc>
        <w:tc>
          <w:tcPr>
            <w:tcW w:w="2970" w:type="dxa"/>
            <w:tcBorders>
              <w:top w:val="nil"/>
              <w:left w:val="nil"/>
              <w:bottom w:val="single" w:sz="4" w:space="0" w:color="auto"/>
              <w:right w:val="nil"/>
            </w:tcBorders>
          </w:tcPr>
          <w:p w14:paraId="409505E2" w14:textId="77777777" w:rsidR="003F12D2" w:rsidRPr="002559AC" w:rsidRDefault="003F12D2" w:rsidP="002559AC">
            <w:pPr>
              <w:spacing w:after="0" w:line="360" w:lineRule="auto"/>
              <w:jc w:val="both"/>
              <w:rPr>
                <w:bCs/>
                <w:kern w:val="0"/>
                <w:sz w:val="24"/>
                <w:szCs w:val="24"/>
                <w14:ligatures w14:val="none"/>
              </w:rPr>
            </w:pPr>
          </w:p>
          <w:p w14:paraId="300F8EA3"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57 (43.51)</w:t>
            </w:r>
          </w:p>
          <w:p w14:paraId="5FDFCD64" w14:textId="77777777" w:rsidR="003F12D2" w:rsidRPr="002559AC" w:rsidRDefault="003F12D2" w:rsidP="002559AC">
            <w:pPr>
              <w:spacing w:after="0" w:line="360" w:lineRule="auto"/>
              <w:jc w:val="both"/>
              <w:rPr>
                <w:b/>
                <w:kern w:val="0"/>
                <w:sz w:val="24"/>
                <w:szCs w:val="24"/>
                <w14:ligatures w14:val="none"/>
              </w:rPr>
            </w:pPr>
            <w:r w:rsidRPr="002559AC">
              <w:rPr>
                <w:bCs/>
                <w:kern w:val="0"/>
                <w:sz w:val="24"/>
                <w:szCs w:val="24"/>
                <w14:ligatures w14:val="none"/>
              </w:rPr>
              <w:t>74 (56.49)</w:t>
            </w:r>
          </w:p>
        </w:tc>
        <w:tc>
          <w:tcPr>
            <w:tcW w:w="2880" w:type="dxa"/>
            <w:tcBorders>
              <w:top w:val="nil"/>
              <w:left w:val="nil"/>
              <w:bottom w:val="single" w:sz="4" w:space="0" w:color="auto"/>
              <w:right w:val="nil"/>
            </w:tcBorders>
          </w:tcPr>
          <w:p w14:paraId="27D76ECA" w14:textId="77777777" w:rsidR="003F12D2" w:rsidRPr="002559AC" w:rsidRDefault="003F12D2" w:rsidP="002559AC">
            <w:pPr>
              <w:spacing w:after="0" w:line="360" w:lineRule="auto"/>
              <w:jc w:val="both"/>
              <w:rPr>
                <w:b/>
                <w:kern w:val="0"/>
                <w:sz w:val="24"/>
                <w:szCs w:val="24"/>
                <w14:ligatures w14:val="none"/>
              </w:rPr>
            </w:pPr>
          </w:p>
          <w:p w14:paraId="0EC1FFB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19 (24.05)</w:t>
            </w:r>
          </w:p>
          <w:p w14:paraId="437C027F" w14:textId="77777777" w:rsidR="003F12D2" w:rsidRPr="002559AC" w:rsidRDefault="003F12D2" w:rsidP="002559AC">
            <w:pPr>
              <w:spacing w:after="0" w:line="360" w:lineRule="auto"/>
              <w:jc w:val="both"/>
              <w:rPr>
                <w:b/>
                <w:kern w:val="0"/>
                <w:sz w:val="24"/>
                <w:szCs w:val="24"/>
                <w14:ligatures w14:val="none"/>
              </w:rPr>
            </w:pPr>
            <w:r w:rsidRPr="002559AC">
              <w:rPr>
                <w:bCs/>
                <w:kern w:val="0"/>
                <w:sz w:val="24"/>
                <w:szCs w:val="24"/>
                <w14:ligatures w14:val="none"/>
              </w:rPr>
              <w:t>60 (75.95)</w:t>
            </w:r>
          </w:p>
        </w:tc>
      </w:tr>
      <w:tr w:rsidR="003F12D2" w:rsidRPr="002559AC" w14:paraId="6DC7115B" w14:textId="77777777" w:rsidTr="00573C87">
        <w:tc>
          <w:tcPr>
            <w:tcW w:w="4050" w:type="dxa"/>
            <w:tcBorders>
              <w:top w:val="nil"/>
              <w:left w:val="nil"/>
              <w:bottom w:val="single" w:sz="4" w:space="0" w:color="auto"/>
              <w:right w:val="nil"/>
            </w:tcBorders>
          </w:tcPr>
          <w:p w14:paraId="37F94385" w14:textId="77777777" w:rsidR="003F12D2" w:rsidRPr="002559AC" w:rsidRDefault="003F12D2" w:rsidP="002559AC">
            <w:pPr>
              <w:spacing w:after="0" w:line="360" w:lineRule="auto"/>
              <w:jc w:val="both"/>
              <w:rPr>
                <w:bCs/>
                <w:kern w:val="0"/>
                <w:sz w:val="24"/>
                <w:szCs w:val="24"/>
                <w14:ligatures w14:val="none"/>
              </w:rPr>
            </w:pPr>
            <w:r w:rsidRPr="002559AC">
              <w:rPr>
                <w:b/>
                <w:kern w:val="0"/>
                <w:sz w:val="24"/>
                <w:szCs w:val="24"/>
                <w14:ligatures w14:val="none"/>
              </w:rPr>
              <w:lastRenderedPageBreak/>
              <w:t>Age Range (Years)</w:t>
            </w:r>
          </w:p>
          <w:p w14:paraId="70A01E5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15-18</w:t>
            </w:r>
          </w:p>
          <w:p w14:paraId="49B874A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19-22</w:t>
            </w:r>
          </w:p>
          <w:p w14:paraId="445EFE8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23-28</w:t>
            </w:r>
          </w:p>
        </w:tc>
        <w:tc>
          <w:tcPr>
            <w:tcW w:w="2970" w:type="dxa"/>
            <w:tcBorders>
              <w:top w:val="nil"/>
              <w:left w:val="nil"/>
              <w:bottom w:val="single" w:sz="4" w:space="0" w:color="auto"/>
              <w:right w:val="nil"/>
            </w:tcBorders>
          </w:tcPr>
          <w:p w14:paraId="0B588506" w14:textId="77777777" w:rsidR="003F12D2" w:rsidRPr="002559AC" w:rsidRDefault="003F12D2" w:rsidP="002559AC">
            <w:pPr>
              <w:spacing w:after="0" w:line="360" w:lineRule="auto"/>
              <w:jc w:val="both"/>
              <w:rPr>
                <w:b/>
                <w:kern w:val="0"/>
                <w:sz w:val="24"/>
                <w:szCs w:val="24"/>
                <w14:ligatures w14:val="none"/>
              </w:rPr>
            </w:pPr>
          </w:p>
          <w:p w14:paraId="5DF3FF2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41 (31.30)</w:t>
            </w:r>
          </w:p>
          <w:p w14:paraId="74919D4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63 (48.09)</w:t>
            </w:r>
          </w:p>
          <w:p w14:paraId="114B28D3"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27 (20.61)</w:t>
            </w:r>
          </w:p>
        </w:tc>
        <w:tc>
          <w:tcPr>
            <w:tcW w:w="2880" w:type="dxa"/>
            <w:tcBorders>
              <w:top w:val="nil"/>
              <w:left w:val="nil"/>
              <w:bottom w:val="single" w:sz="4" w:space="0" w:color="auto"/>
              <w:right w:val="nil"/>
            </w:tcBorders>
          </w:tcPr>
          <w:p w14:paraId="0B69E885" w14:textId="77777777" w:rsidR="003F12D2" w:rsidRPr="002559AC" w:rsidRDefault="003F12D2" w:rsidP="002559AC">
            <w:pPr>
              <w:spacing w:after="0" w:line="360" w:lineRule="auto"/>
              <w:jc w:val="both"/>
              <w:rPr>
                <w:b/>
                <w:kern w:val="0"/>
                <w:sz w:val="24"/>
                <w:szCs w:val="24"/>
                <w14:ligatures w14:val="none"/>
              </w:rPr>
            </w:pPr>
          </w:p>
          <w:p w14:paraId="7909DCD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28 (35.44)</w:t>
            </w:r>
          </w:p>
          <w:p w14:paraId="0A6998C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34 (43.04)</w:t>
            </w:r>
          </w:p>
          <w:p w14:paraId="10176D4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17 (21.52)</w:t>
            </w:r>
          </w:p>
        </w:tc>
      </w:tr>
    </w:tbl>
    <w:p w14:paraId="08F1B97D"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3C659367"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1" w:name="_Toc172731304"/>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4</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Prevalence of Staphylococcus aureus and Escherichia coli with gender demographic factor</w:t>
      </w:r>
      <w:bookmarkEnd w:id="21"/>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57E65AD8" w14:textId="77777777" w:rsidTr="00573C87">
        <w:tc>
          <w:tcPr>
            <w:tcW w:w="3573" w:type="dxa"/>
            <w:tcBorders>
              <w:top w:val="single" w:sz="4" w:space="0" w:color="auto"/>
              <w:bottom w:val="single" w:sz="4" w:space="0" w:color="auto"/>
            </w:tcBorders>
          </w:tcPr>
          <w:p w14:paraId="1FD4A997" w14:textId="77777777" w:rsidR="003F12D2" w:rsidRPr="002559AC" w:rsidRDefault="003F12D2" w:rsidP="002559AC">
            <w:pPr>
              <w:spacing w:after="0" w:line="360" w:lineRule="auto"/>
              <w:jc w:val="both"/>
              <w:rPr>
                <w:b/>
                <w:kern w:val="0"/>
                <w:sz w:val="24"/>
                <w:szCs w:val="24"/>
                <w14:ligatures w14:val="none"/>
              </w:rPr>
            </w:pPr>
            <w:bookmarkStart w:id="22" w:name="_Hlk170809939"/>
            <w:r w:rsidRPr="002559AC">
              <w:rPr>
                <w:b/>
                <w:kern w:val="0"/>
                <w:sz w:val="24"/>
                <w:szCs w:val="24"/>
                <w14:ligatures w14:val="none"/>
              </w:rPr>
              <w:t>Bacteria Isolates</w:t>
            </w:r>
          </w:p>
        </w:tc>
        <w:tc>
          <w:tcPr>
            <w:tcW w:w="2635" w:type="dxa"/>
            <w:tcBorders>
              <w:top w:val="single" w:sz="4" w:space="0" w:color="auto"/>
              <w:bottom w:val="single" w:sz="4" w:space="0" w:color="auto"/>
            </w:tcBorders>
          </w:tcPr>
          <w:p w14:paraId="3C7AD129"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Males</w:t>
            </w:r>
          </w:p>
        </w:tc>
        <w:tc>
          <w:tcPr>
            <w:tcW w:w="3152" w:type="dxa"/>
            <w:tcBorders>
              <w:top w:val="single" w:sz="4" w:space="0" w:color="auto"/>
              <w:bottom w:val="single" w:sz="4" w:space="0" w:color="auto"/>
            </w:tcBorders>
          </w:tcPr>
          <w:p w14:paraId="4EB6DA6D"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Females</w:t>
            </w:r>
          </w:p>
        </w:tc>
      </w:tr>
      <w:tr w:rsidR="003F12D2" w:rsidRPr="002559AC" w14:paraId="3353E2AA" w14:textId="77777777" w:rsidTr="00573C87">
        <w:tc>
          <w:tcPr>
            <w:tcW w:w="3573" w:type="dxa"/>
            <w:tcBorders>
              <w:top w:val="single" w:sz="4" w:space="0" w:color="auto"/>
            </w:tcBorders>
          </w:tcPr>
          <w:p w14:paraId="3B37E2BE"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6A02576E"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 (29.11)</w:t>
            </w:r>
          </w:p>
        </w:tc>
        <w:tc>
          <w:tcPr>
            <w:tcW w:w="3152" w:type="dxa"/>
            <w:tcBorders>
              <w:top w:val="single" w:sz="4" w:space="0" w:color="auto"/>
            </w:tcBorders>
          </w:tcPr>
          <w:p w14:paraId="76E110F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24 (31.6)</w:t>
            </w:r>
          </w:p>
        </w:tc>
      </w:tr>
      <w:tr w:rsidR="003F12D2" w:rsidRPr="002559AC" w14:paraId="2B71DDDC" w14:textId="77777777" w:rsidTr="00573C87">
        <w:tc>
          <w:tcPr>
            <w:tcW w:w="3573" w:type="dxa"/>
            <w:tcBorders>
              <w:bottom w:val="single" w:sz="4" w:space="0" w:color="auto"/>
            </w:tcBorders>
          </w:tcPr>
          <w:p w14:paraId="342B6A00"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Staphylococcus aureus</w:t>
            </w:r>
          </w:p>
        </w:tc>
        <w:tc>
          <w:tcPr>
            <w:tcW w:w="2635" w:type="dxa"/>
            <w:tcBorders>
              <w:bottom w:val="single" w:sz="4" w:space="0" w:color="auto"/>
            </w:tcBorders>
          </w:tcPr>
          <w:p w14:paraId="008E5E7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12 (49.89)</w:t>
            </w:r>
          </w:p>
        </w:tc>
        <w:tc>
          <w:tcPr>
            <w:tcW w:w="3152" w:type="dxa"/>
            <w:tcBorders>
              <w:bottom w:val="single" w:sz="4" w:space="0" w:color="auto"/>
            </w:tcBorders>
          </w:tcPr>
          <w:p w14:paraId="70CAB44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27 (35.55)</w:t>
            </w:r>
          </w:p>
        </w:tc>
      </w:tr>
      <w:bookmarkEnd w:id="22"/>
    </w:tbl>
    <w:p w14:paraId="4A59016F" w14:textId="77777777" w:rsidR="003F12D2" w:rsidRPr="002559AC" w:rsidRDefault="003F12D2" w:rsidP="002559AC">
      <w:pPr>
        <w:pStyle w:val="Caption"/>
        <w:keepNext/>
        <w:spacing w:line="360" w:lineRule="auto"/>
        <w:rPr>
          <w:rFonts w:ascii="Times New Roman" w:hAnsi="Times New Roman" w:cs="Times New Roman"/>
          <w:b/>
          <w:bCs/>
          <w:i w:val="0"/>
          <w:iCs w:val="0"/>
          <w:color w:val="auto"/>
          <w:sz w:val="24"/>
          <w:szCs w:val="24"/>
        </w:rPr>
      </w:pPr>
    </w:p>
    <w:p w14:paraId="5398E839"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2C11B7F0"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3" w:name="_Toc172731305"/>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5</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Occurrence of </w:t>
      </w:r>
      <w:r w:rsidR="003F12D2" w:rsidRPr="002559AC">
        <w:rPr>
          <w:rFonts w:ascii="Times New Roman" w:hAnsi="Times New Roman" w:cs="Times New Roman"/>
          <w:b/>
          <w:bCs/>
          <w:color w:val="auto"/>
          <w:sz w:val="24"/>
          <w:szCs w:val="24"/>
        </w:rPr>
        <w:t>Staphylococcus aureus</w:t>
      </w:r>
      <w:r w:rsidR="003F12D2" w:rsidRPr="002559AC">
        <w:rPr>
          <w:rFonts w:ascii="Times New Roman" w:hAnsi="Times New Roman" w:cs="Times New Roman"/>
          <w:b/>
          <w:bCs/>
          <w:i w:val="0"/>
          <w:iCs w:val="0"/>
          <w:color w:val="auto"/>
          <w:sz w:val="24"/>
          <w:szCs w:val="24"/>
        </w:rPr>
        <w:t xml:space="preserve"> and </w:t>
      </w:r>
      <w:r w:rsidR="003F12D2" w:rsidRPr="002559AC">
        <w:rPr>
          <w:rFonts w:ascii="Times New Roman" w:hAnsi="Times New Roman" w:cs="Times New Roman"/>
          <w:b/>
          <w:bCs/>
          <w:color w:val="auto"/>
          <w:sz w:val="24"/>
          <w:szCs w:val="24"/>
        </w:rPr>
        <w:t>Escherichia coli</w:t>
      </w:r>
      <w:r w:rsidR="003F12D2" w:rsidRPr="002559AC">
        <w:rPr>
          <w:rFonts w:ascii="Times New Roman" w:hAnsi="Times New Roman" w:cs="Times New Roman"/>
          <w:b/>
          <w:bCs/>
          <w:i w:val="0"/>
          <w:iCs w:val="0"/>
          <w:color w:val="auto"/>
          <w:sz w:val="24"/>
          <w:szCs w:val="24"/>
        </w:rPr>
        <w:t xml:space="preserve"> Among Age Range</w:t>
      </w:r>
      <w:bookmarkEnd w:id="23"/>
    </w:p>
    <w:tbl>
      <w:tblPr>
        <w:tblStyle w:val="PlainTable21"/>
        <w:tblW w:w="0" w:type="auto"/>
        <w:tblLook w:val="04A0" w:firstRow="1" w:lastRow="0" w:firstColumn="1" w:lastColumn="0" w:noHBand="0" w:noVBand="1"/>
      </w:tblPr>
      <w:tblGrid>
        <w:gridCol w:w="2515"/>
        <w:gridCol w:w="2159"/>
        <w:gridCol w:w="2338"/>
        <w:gridCol w:w="2338"/>
      </w:tblGrid>
      <w:tr w:rsidR="003F12D2" w:rsidRPr="002559AC" w14:paraId="3E069928"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Merge w:val="restart"/>
          </w:tcPr>
          <w:p w14:paraId="3ECA34E0" w14:textId="77777777"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Bacteria Isolates</w:t>
            </w:r>
          </w:p>
        </w:tc>
        <w:tc>
          <w:tcPr>
            <w:tcW w:w="6835" w:type="dxa"/>
            <w:gridSpan w:val="3"/>
          </w:tcPr>
          <w:p w14:paraId="6E5B422D" w14:textId="77777777" w:rsidR="003F12D2" w:rsidRPr="002559AC" w:rsidRDefault="003F12D2" w:rsidP="002559A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Age Range (in Years)</w:t>
            </w:r>
          </w:p>
        </w:tc>
      </w:tr>
      <w:tr w:rsidR="003F12D2" w:rsidRPr="002559AC" w14:paraId="7695B99C" w14:textId="77777777" w:rsidTr="00573C87">
        <w:tc>
          <w:tcPr>
            <w:cnfStyle w:val="001000000000" w:firstRow="0" w:lastRow="0" w:firstColumn="1" w:lastColumn="0" w:oddVBand="0" w:evenVBand="0" w:oddHBand="0" w:evenHBand="0" w:firstRowFirstColumn="0" w:firstRowLastColumn="0" w:lastRowFirstColumn="0" w:lastRowLastColumn="0"/>
            <w:tcW w:w="2515" w:type="dxa"/>
            <w:vMerge/>
            <w:tcBorders>
              <w:top w:val="single" w:sz="4" w:space="0" w:color="7F7F7F" w:themeColor="text1" w:themeTint="80"/>
              <w:bottom w:val="single" w:sz="4" w:space="0" w:color="7F7F7F" w:themeColor="text1" w:themeTint="80"/>
            </w:tcBorders>
          </w:tcPr>
          <w:p w14:paraId="1E2E6116" w14:textId="77777777" w:rsidR="003F12D2" w:rsidRPr="002559AC" w:rsidRDefault="003F12D2" w:rsidP="002559AC">
            <w:pPr>
              <w:spacing w:after="0" w:line="360" w:lineRule="auto"/>
              <w:jc w:val="both"/>
              <w:rPr>
                <w:rFonts w:ascii="Times New Roman" w:hAnsi="Times New Roman" w:cs="Times New Roman"/>
                <w:bCs w:val="0"/>
                <w:sz w:val="24"/>
                <w:szCs w:val="24"/>
              </w:rPr>
            </w:pPr>
          </w:p>
        </w:tc>
        <w:tc>
          <w:tcPr>
            <w:tcW w:w="2159" w:type="dxa"/>
            <w:tcBorders>
              <w:top w:val="single" w:sz="4" w:space="0" w:color="7F7F7F" w:themeColor="text1" w:themeTint="80"/>
              <w:bottom w:val="single" w:sz="4" w:space="0" w:color="7F7F7F" w:themeColor="text1" w:themeTint="80"/>
            </w:tcBorders>
          </w:tcPr>
          <w:p w14:paraId="744F3C6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15-18 years</w:t>
            </w:r>
          </w:p>
        </w:tc>
        <w:tc>
          <w:tcPr>
            <w:tcW w:w="2338" w:type="dxa"/>
            <w:tcBorders>
              <w:top w:val="single" w:sz="4" w:space="0" w:color="7F7F7F" w:themeColor="text1" w:themeTint="80"/>
              <w:bottom w:val="single" w:sz="4" w:space="0" w:color="7F7F7F" w:themeColor="text1" w:themeTint="80"/>
            </w:tcBorders>
          </w:tcPr>
          <w:p w14:paraId="1ECCB96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19-22 years</w:t>
            </w:r>
          </w:p>
        </w:tc>
        <w:tc>
          <w:tcPr>
            <w:tcW w:w="2338" w:type="dxa"/>
            <w:tcBorders>
              <w:top w:val="single" w:sz="4" w:space="0" w:color="7F7F7F" w:themeColor="text1" w:themeTint="80"/>
              <w:bottom w:val="single" w:sz="4" w:space="0" w:color="7F7F7F" w:themeColor="text1" w:themeTint="80"/>
            </w:tcBorders>
          </w:tcPr>
          <w:p w14:paraId="2EF1354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23-28 years</w:t>
            </w:r>
          </w:p>
        </w:tc>
      </w:tr>
      <w:tr w:rsidR="003F12D2" w:rsidRPr="002559AC" w14:paraId="2A0C9A38" w14:textId="77777777" w:rsidTr="00573C87">
        <w:trPr>
          <w:trHeight w:val="1114"/>
        </w:trPr>
        <w:tc>
          <w:tcPr>
            <w:cnfStyle w:val="001000000000" w:firstRow="0" w:lastRow="0" w:firstColumn="1" w:lastColumn="0" w:oddVBand="0" w:evenVBand="0" w:oddHBand="0" w:evenHBand="0" w:firstRowFirstColumn="0" w:firstRowLastColumn="0" w:lastRowFirstColumn="0" w:lastRowLastColumn="0"/>
            <w:tcW w:w="2515" w:type="dxa"/>
          </w:tcPr>
          <w:p w14:paraId="68FE8730" w14:textId="77777777"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bCs w:val="0"/>
                <w:i/>
                <w:iCs/>
                <w:sz w:val="24"/>
                <w:szCs w:val="24"/>
              </w:rPr>
              <w:t>Staphylococcus aureus</w:t>
            </w:r>
          </w:p>
          <w:p w14:paraId="07951D79" w14:textId="77777777"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bCs w:val="0"/>
                <w:i/>
                <w:iCs/>
                <w:sz w:val="24"/>
                <w:szCs w:val="24"/>
              </w:rPr>
              <w:t>Escherichia coli</w:t>
            </w:r>
          </w:p>
        </w:tc>
        <w:tc>
          <w:tcPr>
            <w:tcW w:w="2159" w:type="dxa"/>
          </w:tcPr>
          <w:p w14:paraId="7E98670C"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14 (20.50)</w:t>
            </w:r>
          </w:p>
          <w:p w14:paraId="37B62B2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13 (19.04)</w:t>
            </w:r>
          </w:p>
        </w:tc>
        <w:tc>
          <w:tcPr>
            <w:tcW w:w="2338" w:type="dxa"/>
          </w:tcPr>
          <w:p w14:paraId="62A1368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12 (22.24)</w:t>
            </w:r>
          </w:p>
          <w:p w14:paraId="5DB5B2F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16 (29.65)</w:t>
            </w:r>
          </w:p>
        </w:tc>
        <w:tc>
          <w:tcPr>
            <w:tcW w:w="2338" w:type="dxa"/>
          </w:tcPr>
          <w:p w14:paraId="1E9F39A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5 (7.94)</w:t>
            </w:r>
          </w:p>
          <w:p w14:paraId="5D73443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10 (15.88)</w:t>
            </w:r>
          </w:p>
        </w:tc>
      </w:tr>
    </w:tbl>
    <w:p w14:paraId="40851E9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4DF2CB23" w14:textId="77777777" w:rsidR="003F12D2" w:rsidRPr="002559AC" w:rsidRDefault="003F12D2" w:rsidP="002559AC">
      <w:pPr>
        <w:spacing w:line="360" w:lineRule="auto"/>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br w:type="page"/>
      </w:r>
    </w:p>
    <w:p w14:paraId="7667E078"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lastRenderedPageBreak/>
        <w:t xml:space="preserve">Table </w:t>
      </w:r>
      <w:r w:rsidR="003F12D2" w:rsidRPr="002559AC">
        <w:rPr>
          <w:rFonts w:ascii="Times New Roman" w:eastAsia="Calibri" w:hAnsi="Times New Roman" w:cs="Times New Roman"/>
          <w:b/>
          <w:kern w:val="0"/>
          <w:sz w:val="24"/>
          <w:szCs w:val="24"/>
          <w14:ligatures w14:val="none"/>
        </w:rPr>
        <w:t>6</w:t>
      </w:r>
      <w:r w:rsidR="003F12D2" w:rsidRPr="002559AC">
        <w:rPr>
          <w:rFonts w:ascii="Times New Roman" w:eastAsia="Calibri" w:hAnsi="Times New Roman" w:cs="Times New Roman"/>
          <w:bCs/>
          <w:kern w:val="0"/>
          <w:sz w:val="24"/>
          <w:szCs w:val="24"/>
          <w14:ligatures w14:val="none"/>
        </w:rPr>
        <w:t xml:space="preserve">: shows the result of the antimicrobial susceptibility pattern test of bacteria isolates in which </w:t>
      </w:r>
      <w:r w:rsidR="003F12D2" w:rsidRPr="002559AC">
        <w:rPr>
          <w:rFonts w:ascii="Times New Roman" w:eastAsia="Calibri" w:hAnsi="Times New Roman" w:cs="Times New Roman"/>
          <w:bCs/>
          <w:i/>
          <w:iCs/>
          <w:kern w:val="0"/>
          <w:sz w:val="24"/>
          <w:szCs w:val="24"/>
          <w14:ligatures w14:val="none"/>
        </w:rPr>
        <w:t>E. coli</w:t>
      </w:r>
      <w:r w:rsidR="003F12D2" w:rsidRPr="002559AC">
        <w:rPr>
          <w:rFonts w:ascii="Times New Roman" w:eastAsia="Calibri" w:hAnsi="Times New Roman" w:cs="Times New Roman"/>
          <w:bCs/>
          <w:kern w:val="0"/>
          <w:sz w:val="24"/>
          <w:szCs w:val="24"/>
          <w14:ligatures w14:val="none"/>
        </w:rPr>
        <w:t xml:space="preserve"> was resistant to 4 (40%) and susceptible to 5 (50%) of the antibiotics. Also from the table, </w:t>
      </w:r>
      <w:r w:rsidR="003F12D2" w:rsidRPr="002559AC">
        <w:rPr>
          <w:rFonts w:ascii="Times New Roman" w:eastAsia="Calibri" w:hAnsi="Times New Roman" w:cs="Times New Roman"/>
          <w:bCs/>
          <w:i/>
          <w:iCs/>
          <w:kern w:val="0"/>
          <w:sz w:val="24"/>
          <w:szCs w:val="24"/>
          <w14:ligatures w14:val="none"/>
        </w:rPr>
        <w:t xml:space="preserve">S. aureus </w:t>
      </w:r>
      <w:r w:rsidR="003F12D2" w:rsidRPr="002559AC">
        <w:rPr>
          <w:rFonts w:ascii="Times New Roman" w:eastAsia="Calibri" w:hAnsi="Times New Roman" w:cs="Times New Roman"/>
          <w:bCs/>
          <w:kern w:val="0"/>
          <w:sz w:val="24"/>
          <w:szCs w:val="24"/>
          <w14:ligatures w14:val="none"/>
        </w:rPr>
        <w:t>was resistant to 4 (40%) and susceptible to 5 (50%).</w:t>
      </w:r>
    </w:p>
    <w:p w14:paraId="0A1B44DF"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 xml:space="preserve">Table </w:t>
      </w:r>
      <w:r w:rsidR="003F12D2" w:rsidRPr="002559AC">
        <w:rPr>
          <w:rFonts w:ascii="Times New Roman" w:eastAsia="Calibri" w:hAnsi="Times New Roman" w:cs="Times New Roman"/>
          <w:b/>
          <w:kern w:val="0"/>
          <w:sz w:val="24"/>
          <w:szCs w:val="24"/>
          <w14:ligatures w14:val="none"/>
        </w:rPr>
        <w:t>7</w:t>
      </w:r>
      <w:r w:rsidR="003F12D2" w:rsidRPr="002559AC">
        <w:rPr>
          <w:rFonts w:ascii="Times New Roman" w:eastAsia="Calibri" w:hAnsi="Times New Roman" w:cs="Times New Roman"/>
          <w:bCs/>
          <w:kern w:val="0"/>
          <w:sz w:val="24"/>
          <w:szCs w:val="24"/>
          <w14:ligatures w14:val="none"/>
        </w:rPr>
        <w:t xml:space="preserve">: illustrates the prevalence of antibiotic-resistant isolates among various bacterial species identified from urine samples of undergraduate students at Benson Idahosa University. The data reveals significant resistance patterns, particularly among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exhibited high resistance rates to Oxacillin (81%), Augmentin (65%), Cefuroxime (65%), and Erythromycin (74%), indicating a substantial presence of multidrug-resistant strains. Similarly,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showed high resistance to Oxacillin (82%), Augmentin (74%), Cefuroxime (74%), and Erythromycin (77%), suggesting a prevalent occurrence of methicillin-resistant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(MRSA). </w:t>
      </w:r>
      <w:r w:rsidR="003F12D2" w:rsidRPr="002559AC">
        <w:rPr>
          <w:rFonts w:ascii="Times New Roman" w:eastAsia="Calibri" w:hAnsi="Times New Roman" w:cs="Times New Roman"/>
          <w:bCs/>
          <w:i/>
          <w:iCs/>
          <w:kern w:val="0"/>
          <w:sz w:val="24"/>
          <w:szCs w:val="24"/>
          <w14:ligatures w14:val="none"/>
        </w:rPr>
        <w:t xml:space="preserve">Proteus species, Klebsiella pneumoniae, </w:t>
      </w:r>
      <w:r w:rsidR="003F12D2" w:rsidRPr="002559AC">
        <w:rPr>
          <w:rFonts w:ascii="Times New Roman" w:eastAsia="Calibri" w:hAnsi="Times New Roman" w:cs="Times New Roman"/>
          <w:bCs/>
          <w:kern w:val="0"/>
          <w:sz w:val="24"/>
          <w:szCs w:val="24"/>
          <w14:ligatures w14:val="none"/>
        </w:rPr>
        <w:t>and</w:t>
      </w:r>
      <w:r w:rsidR="003F12D2" w:rsidRPr="002559AC">
        <w:rPr>
          <w:rFonts w:ascii="Times New Roman" w:eastAsia="Calibri" w:hAnsi="Times New Roman" w:cs="Times New Roman"/>
          <w:bCs/>
          <w:i/>
          <w:iCs/>
          <w:kern w:val="0"/>
          <w:sz w:val="24"/>
          <w:szCs w:val="24"/>
          <w14:ligatures w14:val="none"/>
        </w:rPr>
        <w:t xml:space="preserve"> Pseudomonas aeruginosa</w:t>
      </w:r>
      <w:r w:rsidR="003F12D2" w:rsidRPr="002559AC">
        <w:rPr>
          <w:rFonts w:ascii="Times New Roman" w:eastAsia="Calibri" w:hAnsi="Times New Roman" w:cs="Times New Roman"/>
          <w:bCs/>
          <w:kern w:val="0"/>
          <w:sz w:val="24"/>
          <w:szCs w:val="24"/>
          <w14:ligatures w14:val="none"/>
        </w:rPr>
        <w:t xml:space="preserve"> also demonstrated notable resistance, particularly to Oxacillin, with all isolates showing 100% resistance, except for one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isolate. Additionally, resistance to Erythromycin was universal among </w:t>
      </w:r>
      <w:r w:rsidR="003F12D2" w:rsidRPr="002559AC">
        <w:rPr>
          <w:rFonts w:ascii="Times New Roman" w:eastAsia="Calibri" w:hAnsi="Times New Roman" w:cs="Times New Roman"/>
          <w:bCs/>
          <w:i/>
          <w:iCs/>
          <w:kern w:val="0"/>
          <w:sz w:val="24"/>
          <w:szCs w:val="24"/>
          <w14:ligatures w14:val="none"/>
        </w:rPr>
        <w:t>Klebsiella pneumoniae</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isolates. No resistance was observed for Imipenem across all bacterial species, highlighting its potential efficacy as a treatment option. The high levels of antibiotic resistance across these bacterial species underscore the critical need for effective antibiotic stewardship and infection control measures to mitigate the spread of resistant pathogens within the university community.</w:t>
      </w:r>
    </w:p>
    <w:p w14:paraId="532DDA6E"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21218960"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1E9FF26E" w14:textId="77777777"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24" w:name="_Toc172731306"/>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6</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Antimicrobial Susceptibility Pattern of Bacteria Isolates</w:t>
      </w:r>
      <w:bookmarkEnd w:id="24"/>
    </w:p>
    <w:tbl>
      <w:tblPr>
        <w:tblStyle w:val="PlainTable21"/>
        <w:tblW w:w="0" w:type="auto"/>
        <w:tblLook w:val="04A0" w:firstRow="1" w:lastRow="0" w:firstColumn="1" w:lastColumn="0" w:noHBand="0" w:noVBand="1"/>
      </w:tblPr>
      <w:tblGrid>
        <w:gridCol w:w="2852"/>
        <w:gridCol w:w="683"/>
        <w:gridCol w:w="749"/>
        <w:gridCol w:w="750"/>
        <w:gridCol w:w="739"/>
        <w:gridCol w:w="670"/>
        <w:gridCol w:w="750"/>
        <w:gridCol w:w="793"/>
        <w:gridCol w:w="790"/>
        <w:gridCol w:w="574"/>
      </w:tblGrid>
      <w:tr w:rsidR="003F12D2" w:rsidRPr="002559AC" w14:paraId="4ABAFDDF"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79243588" w14:textId="77777777"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Organisms</w:t>
            </w:r>
          </w:p>
        </w:tc>
        <w:tc>
          <w:tcPr>
            <w:tcW w:w="683" w:type="dxa"/>
          </w:tcPr>
          <w:p w14:paraId="7D269EDC"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IMP</w:t>
            </w:r>
          </w:p>
        </w:tc>
        <w:tc>
          <w:tcPr>
            <w:tcW w:w="749" w:type="dxa"/>
          </w:tcPr>
          <w:p w14:paraId="4DA952E2"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GM</w:t>
            </w:r>
          </w:p>
        </w:tc>
        <w:tc>
          <w:tcPr>
            <w:tcW w:w="750" w:type="dxa"/>
          </w:tcPr>
          <w:p w14:paraId="73DD96C5"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CRO</w:t>
            </w:r>
          </w:p>
        </w:tc>
        <w:tc>
          <w:tcPr>
            <w:tcW w:w="739" w:type="dxa"/>
          </w:tcPr>
          <w:p w14:paraId="16EDE846"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OX</w:t>
            </w:r>
          </w:p>
        </w:tc>
        <w:tc>
          <w:tcPr>
            <w:tcW w:w="670" w:type="dxa"/>
          </w:tcPr>
          <w:p w14:paraId="3FF47DB3"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CIP</w:t>
            </w:r>
          </w:p>
        </w:tc>
        <w:tc>
          <w:tcPr>
            <w:tcW w:w="750" w:type="dxa"/>
          </w:tcPr>
          <w:p w14:paraId="218725AE"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AUG</w:t>
            </w:r>
          </w:p>
        </w:tc>
        <w:tc>
          <w:tcPr>
            <w:tcW w:w="793" w:type="dxa"/>
          </w:tcPr>
          <w:p w14:paraId="58BD3C08"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CPM</w:t>
            </w:r>
          </w:p>
        </w:tc>
        <w:tc>
          <w:tcPr>
            <w:tcW w:w="790" w:type="dxa"/>
          </w:tcPr>
          <w:p w14:paraId="6EB4E51B"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CXM</w:t>
            </w:r>
          </w:p>
        </w:tc>
        <w:tc>
          <w:tcPr>
            <w:tcW w:w="574" w:type="dxa"/>
          </w:tcPr>
          <w:p w14:paraId="2CC633B9"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E</w:t>
            </w:r>
          </w:p>
        </w:tc>
      </w:tr>
      <w:tr w:rsidR="003F12D2" w:rsidRPr="002559AC" w14:paraId="551D7BE1" w14:textId="77777777" w:rsidTr="00573C87">
        <w:trPr>
          <w:trHeight w:val="1114"/>
        </w:trPr>
        <w:tc>
          <w:tcPr>
            <w:cnfStyle w:val="001000000000" w:firstRow="0" w:lastRow="0" w:firstColumn="1" w:lastColumn="0" w:oddVBand="0" w:evenVBand="0" w:oddHBand="0" w:evenHBand="0" w:firstRowFirstColumn="0" w:firstRowLastColumn="0" w:lastRowFirstColumn="0" w:lastRowLastColumn="0"/>
            <w:tcW w:w="2852" w:type="dxa"/>
            <w:tcBorders>
              <w:top w:val="single" w:sz="4" w:space="0" w:color="7F7F7F" w:themeColor="text1" w:themeTint="80"/>
              <w:bottom w:val="single" w:sz="4" w:space="0" w:color="7F7F7F" w:themeColor="text1" w:themeTint="80"/>
            </w:tcBorders>
          </w:tcPr>
          <w:p w14:paraId="02AA40A9" w14:textId="77777777"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i/>
                <w:iCs/>
                <w:sz w:val="24"/>
                <w:szCs w:val="24"/>
              </w:rPr>
              <w:t>E. coli</w:t>
            </w:r>
          </w:p>
          <w:p w14:paraId="587F5568" w14:textId="77777777"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i/>
                <w:iCs/>
                <w:sz w:val="24"/>
                <w:szCs w:val="24"/>
              </w:rPr>
              <w:t>S. aureus</w:t>
            </w:r>
          </w:p>
        </w:tc>
        <w:tc>
          <w:tcPr>
            <w:tcW w:w="683" w:type="dxa"/>
            <w:tcBorders>
              <w:top w:val="single" w:sz="4" w:space="0" w:color="7F7F7F" w:themeColor="text1" w:themeTint="80"/>
              <w:bottom w:val="single" w:sz="4" w:space="0" w:color="7F7F7F" w:themeColor="text1" w:themeTint="80"/>
            </w:tcBorders>
          </w:tcPr>
          <w:p w14:paraId="27FC519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15D32AC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49" w:type="dxa"/>
            <w:tcBorders>
              <w:top w:val="single" w:sz="4" w:space="0" w:color="7F7F7F" w:themeColor="text1" w:themeTint="80"/>
              <w:bottom w:val="single" w:sz="4" w:space="0" w:color="7F7F7F" w:themeColor="text1" w:themeTint="80"/>
            </w:tcBorders>
          </w:tcPr>
          <w:p w14:paraId="611C159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0D7515C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14:paraId="5FD1378D"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784D084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39" w:type="dxa"/>
            <w:tcBorders>
              <w:top w:val="single" w:sz="4" w:space="0" w:color="7F7F7F" w:themeColor="text1" w:themeTint="80"/>
              <w:bottom w:val="single" w:sz="4" w:space="0" w:color="7F7F7F" w:themeColor="text1" w:themeTint="80"/>
            </w:tcBorders>
          </w:tcPr>
          <w:p w14:paraId="3E43160F"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2EB212F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670" w:type="dxa"/>
            <w:tcBorders>
              <w:top w:val="single" w:sz="4" w:space="0" w:color="7F7F7F" w:themeColor="text1" w:themeTint="80"/>
              <w:bottom w:val="single" w:sz="4" w:space="0" w:color="7F7F7F" w:themeColor="text1" w:themeTint="80"/>
            </w:tcBorders>
          </w:tcPr>
          <w:p w14:paraId="008D8B0F"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511C7A51"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14:paraId="4C8D544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64E7582C"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793" w:type="dxa"/>
            <w:tcBorders>
              <w:top w:val="single" w:sz="4" w:space="0" w:color="7F7F7F" w:themeColor="text1" w:themeTint="80"/>
              <w:bottom w:val="single" w:sz="4" w:space="0" w:color="7F7F7F" w:themeColor="text1" w:themeTint="80"/>
            </w:tcBorders>
          </w:tcPr>
          <w:p w14:paraId="1A2E802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04F72EC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90" w:type="dxa"/>
            <w:tcBorders>
              <w:top w:val="single" w:sz="4" w:space="0" w:color="7F7F7F" w:themeColor="text1" w:themeTint="80"/>
              <w:bottom w:val="single" w:sz="4" w:space="0" w:color="7F7F7F" w:themeColor="text1" w:themeTint="80"/>
            </w:tcBorders>
          </w:tcPr>
          <w:p w14:paraId="19CAADF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0F80812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574" w:type="dxa"/>
            <w:tcBorders>
              <w:top w:val="single" w:sz="4" w:space="0" w:color="7F7F7F" w:themeColor="text1" w:themeTint="80"/>
              <w:bottom w:val="single" w:sz="4" w:space="0" w:color="7F7F7F" w:themeColor="text1" w:themeTint="80"/>
            </w:tcBorders>
          </w:tcPr>
          <w:p w14:paraId="4FE74CEB"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777EC37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r>
    </w:tbl>
    <w:p w14:paraId="672643DF"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Key:</w:t>
      </w:r>
      <w:r w:rsidRPr="002559AC">
        <w:rPr>
          <w:rFonts w:ascii="Times New Roman" w:eastAsia="Calibri" w:hAnsi="Times New Roman" w:cs="Times New Roman"/>
          <w:bCs/>
          <w:kern w:val="0"/>
          <w:sz w:val="24"/>
          <w:szCs w:val="24"/>
          <w14:ligatures w14:val="none"/>
        </w:rPr>
        <w:t xml:space="preserve"> R = Resistant; S = Sensitive; IMP = </w:t>
      </w:r>
      <w:bookmarkStart w:id="25" w:name="_Hlk170719133"/>
      <w:r w:rsidRPr="002559AC">
        <w:rPr>
          <w:rFonts w:ascii="Times New Roman" w:eastAsia="Calibri" w:hAnsi="Times New Roman" w:cs="Times New Roman"/>
          <w:bCs/>
          <w:kern w:val="0"/>
          <w:sz w:val="24"/>
          <w:szCs w:val="24"/>
          <w14:ligatures w14:val="none"/>
        </w:rPr>
        <w:t>Imipere</w:t>
      </w:r>
      <w:bookmarkEnd w:id="25"/>
      <w:r w:rsidRPr="002559AC">
        <w:rPr>
          <w:rFonts w:ascii="Times New Roman" w:eastAsia="Calibri" w:hAnsi="Times New Roman" w:cs="Times New Roman"/>
          <w:bCs/>
          <w:kern w:val="0"/>
          <w:sz w:val="24"/>
          <w:szCs w:val="24"/>
          <w14:ligatures w14:val="none"/>
        </w:rPr>
        <w:t xml:space="preserve">n; GM = </w:t>
      </w:r>
      <w:bookmarkStart w:id="26" w:name="_Hlk170819177"/>
      <w:r w:rsidRPr="002559AC">
        <w:rPr>
          <w:rFonts w:ascii="Times New Roman" w:eastAsia="Calibri" w:hAnsi="Times New Roman" w:cs="Times New Roman"/>
          <w:bCs/>
          <w:kern w:val="0"/>
          <w:sz w:val="24"/>
          <w:szCs w:val="24"/>
          <w14:ligatures w14:val="none"/>
        </w:rPr>
        <w:t>Gentamycin</w:t>
      </w:r>
      <w:bookmarkEnd w:id="26"/>
      <w:r w:rsidRPr="002559AC">
        <w:rPr>
          <w:rFonts w:ascii="Times New Roman" w:eastAsia="Calibri" w:hAnsi="Times New Roman" w:cs="Times New Roman"/>
          <w:bCs/>
          <w:kern w:val="0"/>
          <w:sz w:val="24"/>
          <w:szCs w:val="24"/>
          <w14:ligatures w14:val="none"/>
        </w:rPr>
        <w:t xml:space="preserve">, CRO = </w:t>
      </w:r>
      <w:bookmarkStart w:id="27" w:name="_Hlk170719087"/>
      <w:r w:rsidRPr="002559AC">
        <w:rPr>
          <w:rFonts w:ascii="Times New Roman" w:eastAsia="Calibri" w:hAnsi="Times New Roman" w:cs="Times New Roman"/>
          <w:bCs/>
          <w:kern w:val="0"/>
          <w:sz w:val="24"/>
          <w:szCs w:val="24"/>
          <w14:ligatures w14:val="none"/>
        </w:rPr>
        <w:t>Ceftriaxone</w:t>
      </w:r>
      <w:bookmarkEnd w:id="27"/>
      <w:r w:rsidRPr="002559AC">
        <w:rPr>
          <w:rFonts w:ascii="Times New Roman" w:eastAsia="Calibri" w:hAnsi="Times New Roman" w:cs="Times New Roman"/>
          <w:bCs/>
          <w:kern w:val="0"/>
          <w:sz w:val="24"/>
          <w:szCs w:val="24"/>
          <w14:ligatures w14:val="none"/>
        </w:rPr>
        <w:t xml:space="preserve">; OX = </w:t>
      </w:r>
      <w:bookmarkStart w:id="28" w:name="_Hlk170719078"/>
      <w:r w:rsidRPr="002559AC">
        <w:rPr>
          <w:rFonts w:ascii="Times New Roman" w:eastAsia="Calibri" w:hAnsi="Times New Roman" w:cs="Times New Roman"/>
          <w:bCs/>
          <w:kern w:val="0"/>
          <w:sz w:val="24"/>
          <w:szCs w:val="24"/>
          <w14:ligatures w14:val="none"/>
        </w:rPr>
        <w:t>Oxacillin</w:t>
      </w:r>
      <w:bookmarkEnd w:id="28"/>
      <w:r w:rsidRPr="002559AC">
        <w:rPr>
          <w:rFonts w:ascii="Times New Roman" w:eastAsia="Calibri" w:hAnsi="Times New Roman" w:cs="Times New Roman"/>
          <w:bCs/>
          <w:kern w:val="0"/>
          <w:sz w:val="24"/>
          <w:szCs w:val="24"/>
          <w14:ligatures w14:val="none"/>
        </w:rPr>
        <w:t xml:space="preserve">; CIP = </w:t>
      </w:r>
      <w:bookmarkStart w:id="29" w:name="_Hlk170719060"/>
      <w:r w:rsidRPr="002559AC">
        <w:rPr>
          <w:rFonts w:ascii="Times New Roman" w:eastAsia="Calibri" w:hAnsi="Times New Roman" w:cs="Times New Roman"/>
          <w:bCs/>
          <w:kern w:val="0"/>
          <w:sz w:val="24"/>
          <w:szCs w:val="24"/>
          <w14:ligatures w14:val="none"/>
        </w:rPr>
        <w:t>Ciprofloxacin</w:t>
      </w:r>
      <w:bookmarkEnd w:id="29"/>
      <w:r w:rsidRPr="002559AC">
        <w:rPr>
          <w:rFonts w:ascii="Times New Roman" w:eastAsia="Calibri" w:hAnsi="Times New Roman" w:cs="Times New Roman"/>
          <w:bCs/>
          <w:kern w:val="0"/>
          <w:sz w:val="24"/>
          <w:szCs w:val="24"/>
          <w14:ligatures w14:val="none"/>
        </w:rPr>
        <w:t xml:space="preserve">; AUG = </w:t>
      </w:r>
      <w:bookmarkStart w:id="30" w:name="_Hlk170719126"/>
      <w:r w:rsidRPr="002559AC">
        <w:rPr>
          <w:rFonts w:ascii="Times New Roman" w:eastAsia="Calibri" w:hAnsi="Times New Roman" w:cs="Times New Roman"/>
          <w:bCs/>
          <w:kern w:val="0"/>
          <w:sz w:val="24"/>
          <w:szCs w:val="24"/>
          <w14:ligatures w14:val="none"/>
        </w:rPr>
        <w:t>Augmentin</w:t>
      </w:r>
      <w:bookmarkEnd w:id="30"/>
      <w:r w:rsidRPr="002559AC">
        <w:rPr>
          <w:rFonts w:ascii="Times New Roman" w:eastAsia="Calibri" w:hAnsi="Times New Roman" w:cs="Times New Roman"/>
          <w:bCs/>
          <w:kern w:val="0"/>
          <w:sz w:val="24"/>
          <w:szCs w:val="24"/>
          <w14:ligatures w14:val="none"/>
        </w:rPr>
        <w:t xml:space="preserve">, CPM = </w:t>
      </w:r>
      <w:bookmarkStart w:id="31" w:name="_Hlk170819168"/>
      <w:r w:rsidRPr="002559AC">
        <w:rPr>
          <w:rFonts w:ascii="Times New Roman" w:eastAsia="Calibri" w:hAnsi="Times New Roman" w:cs="Times New Roman"/>
          <w:bCs/>
          <w:kern w:val="0"/>
          <w:sz w:val="24"/>
          <w:szCs w:val="24"/>
          <w14:ligatures w14:val="none"/>
        </w:rPr>
        <w:t>Cefepime</w:t>
      </w:r>
      <w:bookmarkEnd w:id="31"/>
      <w:r w:rsidRPr="002559AC">
        <w:rPr>
          <w:rFonts w:ascii="Times New Roman" w:eastAsia="Calibri" w:hAnsi="Times New Roman" w:cs="Times New Roman"/>
          <w:bCs/>
          <w:kern w:val="0"/>
          <w:sz w:val="24"/>
          <w:szCs w:val="24"/>
          <w14:ligatures w14:val="none"/>
        </w:rPr>
        <w:t xml:space="preserve">; CXM = </w:t>
      </w:r>
      <w:bookmarkStart w:id="32" w:name="_Hlk170719069"/>
      <w:r w:rsidRPr="002559AC">
        <w:rPr>
          <w:rFonts w:ascii="Times New Roman" w:eastAsia="Calibri" w:hAnsi="Times New Roman" w:cs="Times New Roman"/>
          <w:bCs/>
          <w:kern w:val="0"/>
          <w:sz w:val="24"/>
          <w:szCs w:val="24"/>
          <w14:ligatures w14:val="none"/>
        </w:rPr>
        <w:t>Cefuroxime</w:t>
      </w:r>
      <w:bookmarkEnd w:id="32"/>
      <w:r w:rsidRPr="002559AC">
        <w:rPr>
          <w:rFonts w:ascii="Times New Roman" w:eastAsia="Calibri" w:hAnsi="Times New Roman" w:cs="Times New Roman"/>
          <w:bCs/>
          <w:kern w:val="0"/>
          <w:sz w:val="24"/>
          <w:szCs w:val="24"/>
          <w14:ligatures w14:val="none"/>
        </w:rPr>
        <w:t xml:space="preserve">; E = </w:t>
      </w:r>
      <w:bookmarkStart w:id="33" w:name="_Hlk170719130"/>
      <w:r w:rsidRPr="002559AC">
        <w:rPr>
          <w:rFonts w:ascii="Times New Roman" w:eastAsia="Calibri" w:hAnsi="Times New Roman" w:cs="Times New Roman"/>
          <w:bCs/>
          <w:kern w:val="0"/>
          <w:sz w:val="24"/>
          <w:szCs w:val="24"/>
          <w14:ligatures w14:val="none"/>
        </w:rPr>
        <w:t>Erythromycin</w:t>
      </w:r>
      <w:bookmarkEnd w:id="33"/>
      <w:r w:rsidRPr="002559AC">
        <w:rPr>
          <w:rFonts w:ascii="Times New Roman" w:eastAsia="Calibri" w:hAnsi="Times New Roman" w:cs="Times New Roman"/>
          <w:bCs/>
          <w:kern w:val="0"/>
          <w:sz w:val="24"/>
          <w:szCs w:val="24"/>
          <w14:ligatures w14:val="none"/>
        </w:rPr>
        <w:t xml:space="preserve">; </w:t>
      </w:r>
    </w:p>
    <w:p w14:paraId="4206B9BF"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1710B845"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7779E769"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1AAF97C4" w14:textId="77777777"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34" w:name="_Toc172731307"/>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7</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Prevalence of antibiotic-resistant isolates</w:t>
      </w:r>
      <w:bookmarkEnd w:id="34"/>
    </w:p>
    <w:tbl>
      <w:tblPr>
        <w:tblStyle w:val="PlainTable21"/>
        <w:tblW w:w="0" w:type="auto"/>
        <w:tblLook w:val="04A0" w:firstRow="1" w:lastRow="0" w:firstColumn="1" w:lastColumn="0" w:noHBand="0" w:noVBand="1"/>
      </w:tblPr>
      <w:tblGrid>
        <w:gridCol w:w="1524"/>
        <w:gridCol w:w="1533"/>
        <w:gridCol w:w="1750"/>
      </w:tblGrid>
      <w:tr w:rsidR="003F12D2" w:rsidRPr="002559AC" w14:paraId="264E10E3"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5D5DEDFA"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eastAsia="Calibri" w:hAnsi="Times New Roman" w:cs="Times New Roman"/>
                <w:sz w:val="24"/>
                <w:szCs w:val="24"/>
              </w:rPr>
              <w:t>Antibiotics</w:t>
            </w:r>
          </w:p>
        </w:tc>
        <w:tc>
          <w:tcPr>
            <w:tcW w:w="1533" w:type="dxa"/>
          </w:tcPr>
          <w:p w14:paraId="777F7D5D"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2559AC">
              <w:rPr>
                <w:rFonts w:ascii="Times New Roman" w:hAnsi="Times New Roman" w:cs="Times New Roman"/>
                <w:i/>
                <w:iCs/>
                <w:sz w:val="24"/>
                <w:szCs w:val="24"/>
              </w:rPr>
              <w:t>Escherichia coli N=31</w:t>
            </w:r>
          </w:p>
        </w:tc>
        <w:tc>
          <w:tcPr>
            <w:tcW w:w="1750" w:type="dxa"/>
          </w:tcPr>
          <w:p w14:paraId="70F9480D"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2559AC">
              <w:rPr>
                <w:rFonts w:ascii="Times New Roman" w:hAnsi="Times New Roman" w:cs="Times New Roman"/>
                <w:i/>
                <w:iCs/>
                <w:sz w:val="24"/>
                <w:szCs w:val="24"/>
              </w:rPr>
              <w:t>Staphylococcus aureus N=39</w:t>
            </w:r>
          </w:p>
        </w:tc>
      </w:tr>
      <w:tr w:rsidR="003F12D2" w:rsidRPr="002559AC" w14:paraId="41E5A8D3" w14:textId="77777777" w:rsidTr="00573C87">
        <w:trPr>
          <w:trHeight w:val="5048"/>
        </w:trPr>
        <w:tc>
          <w:tcPr>
            <w:cnfStyle w:val="001000000000" w:firstRow="0" w:lastRow="0" w:firstColumn="1" w:lastColumn="0" w:oddVBand="0" w:evenVBand="0" w:oddHBand="0" w:evenHBand="0" w:firstRowFirstColumn="0" w:firstRowLastColumn="0" w:lastRowFirstColumn="0" w:lastRowLastColumn="0"/>
            <w:tcW w:w="1524" w:type="dxa"/>
            <w:tcBorders>
              <w:top w:val="single" w:sz="4" w:space="0" w:color="7F7F7F" w:themeColor="text1" w:themeTint="80"/>
              <w:bottom w:val="single" w:sz="4" w:space="0" w:color="7F7F7F" w:themeColor="text1" w:themeTint="80"/>
            </w:tcBorders>
          </w:tcPr>
          <w:p w14:paraId="1BEA992D"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IMP</w:t>
            </w:r>
          </w:p>
          <w:p w14:paraId="12031C7B"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GM</w:t>
            </w:r>
          </w:p>
          <w:p w14:paraId="1C6858F4"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CRO</w:t>
            </w:r>
          </w:p>
          <w:p w14:paraId="6A2939F1"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OX</w:t>
            </w:r>
          </w:p>
          <w:p w14:paraId="4AA0C052"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CIP</w:t>
            </w:r>
          </w:p>
          <w:p w14:paraId="13FEE79A"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AUG</w:t>
            </w:r>
          </w:p>
          <w:p w14:paraId="3507C24F"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CPM</w:t>
            </w:r>
          </w:p>
          <w:p w14:paraId="05B60F7E"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CXM</w:t>
            </w:r>
          </w:p>
          <w:p w14:paraId="347D107E" w14:textId="77777777" w:rsidR="003F12D2" w:rsidRPr="002559AC" w:rsidRDefault="003F12D2" w:rsidP="002559AC">
            <w:pPr>
              <w:spacing w:after="0" w:line="360" w:lineRule="auto"/>
              <w:jc w:val="both"/>
              <w:rPr>
                <w:rFonts w:ascii="Times New Roman" w:eastAsia="Calibri" w:hAnsi="Times New Roman" w:cs="Times New Roman"/>
                <w:b w:val="0"/>
                <w:sz w:val="24"/>
                <w:szCs w:val="24"/>
              </w:rPr>
            </w:pPr>
            <w:r w:rsidRPr="002559AC">
              <w:rPr>
                <w:rFonts w:ascii="Times New Roman" w:hAnsi="Times New Roman" w:cs="Times New Roman"/>
                <w:sz w:val="24"/>
                <w:szCs w:val="24"/>
              </w:rPr>
              <w:t>E</w:t>
            </w:r>
          </w:p>
        </w:tc>
        <w:tc>
          <w:tcPr>
            <w:tcW w:w="1533" w:type="dxa"/>
            <w:tcBorders>
              <w:top w:val="single" w:sz="4" w:space="0" w:color="7F7F7F" w:themeColor="text1" w:themeTint="80"/>
              <w:bottom w:val="single" w:sz="4" w:space="0" w:color="7F7F7F" w:themeColor="text1" w:themeTint="80"/>
            </w:tcBorders>
          </w:tcPr>
          <w:p w14:paraId="3CEE82B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14:paraId="2518C71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15(48%)</w:t>
            </w:r>
          </w:p>
          <w:p w14:paraId="429ADB2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14:paraId="49D6558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25(81%)</w:t>
            </w:r>
          </w:p>
          <w:p w14:paraId="3E9C57F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14:paraId="0EE7677D"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14:paraId="5E79E83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3(10%)</w:t>
            </w:r>
          </w:p>
          <w:p w14:paraId="05CDB27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14:paraId="3F43383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23(74%)</w:t>
            </w:r>
          </w:p>
        </w:tc>
        <w:tc>
          <w:tcPr>
            <w:tcW w:w="1750" w:type="dxa"/>
            <w:tcBorders>
              <w:top w:val="single" w:sz="4" w:space="0" w:color="7F7F7F" w:themeColor="text1" w:themeTint="80"/>
              <w:bottom w:val="single" w:sz="4" w:space="0" w:color="7F7F7F" w:themeColor="text1" w:themeTint="80"/>
            </w:tcBorders>
          </w:tcPr>
          <w:p w14:paraId="10D0ABC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14:paraId="305A358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0FC34B4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522C1CE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32(82%)</w:t>
            </w:r>
          </w:p>
          <w:p w14:paraId="015E1E5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12BEC793"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14:paraId="3BFB0F5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8(21%)</w:t>
            </w:r>
          </w:p>
          <w:p w14:paraId="2987959E"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14:paraId="5183A1DE"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30(77%)</w:t>
            </w:r>
          </w:p>
        </w:tc>
      </w:tr>
    </w:tbl>
    <w:p w14:paraId="228A8510"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bCs/>
          <w:kern w:val="0"/>
          <w:sz w:val="24"/>
          <w:szCs w:val="24"/>
          <w14:ligatures w14:val="none"/>
        </w:rPr>
        <w:t>Key:</w:t>
      </w:r>
      <w:r w:rsidRPr="002559AC">
        <w:rPr>
          <w:rFonts w:ascii="Times New Roman" w:eastAsia="Calibri" w:hAnsi="Times New Roman" w:cs="Times New Roman"/>
          <w:bCs/>
          <w:kern w:val="0"/>
          <w:sz w:val="24"/>
          <w:szCs w:val="24"/>
          <w14:ligatures w14:val="none"/>
        </w:rPr>
        <w:t xml:space="preserve"> R = Resistant; S = Sensitive; IMP = Imiperen; GM = Gentamycin, CRO = Ceftriaxone; OX = Oxacillin; CIP = Ciprofloxacin; AUG = Augmentin, CPM = Cefepime; CXM = Cefuroxime; E = Erythromycin, N = No of isolates;</w:t>
      </w:r>
    </w:p>
    <w:p w14:paraId="371F8B8F" w14:textId="77777777" w:rsidR="003F12D2" w:rsidRPr="002559AC" w:rsidRDefault="003F12D2" w:rsidP="002559AC">
      <w:pPr>
        <w:spacing w:after="160" w:line="360" w:lineRule="auto"/>
        <w:rPr>
          <w:rFonts w:ascii="Times New Roman" w:eastAsia="Calibri" w:hAnsi="Times New Roman" w:cs="Times New Roman"/>
          <w:bCs/>
          <w:kern w:val="0"/>
          <w:sz w:val="24"/>
          <w:szCs w:val="24"/>
          <w14:ligatures w14:val="none"/>
        </w:rPr>
      </w:pPr>
      <w:r w:rsidRPr="002559AC">
        <w:rPr>
          <w:rFonts w:ascii="Times New Roman" w:eastAsia="Times New Roman" w:hAnsi="Times New Roman" w:cs="Times New Roman"/>
          <w:bCs/>
          <w:kern w:val="0"/>
          <w:sz w:val="24"/>
          <w:szCs w:val="24"/>
          <w:lang w:val="en-GB" w:eastAsia="en-GB"/>
          <w14:ligatures w14:val="none"/>
        </w:rPr>
        <w:br w:type="page"/>
      </w:r>
    </w:p>
    <w:p w14:paraId="5039B122"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5" w:name="_Toc172731295"/>
      <w:r w:rsidRPr="002559AC">
        <w:rPr>
          <w:rFonts w:ascii="Times New Roman" w:eastAsia="Calibri" w:hAnsi="Times New Roman" w:cs="Times New Roman"/>
          <w:b/>
          <w:color w:val="auto"/>
        </w:rPr>
        <w:lastRenderedPageBreak/>
        <w:t>DISCUSSION</w:t>
      </w:r>
      <w:bookmarkEnd w:id="35"/>
    </w:p>
    <w:p w14:paraId="504D4A6E"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are known to be commensals in humans yet have potent health risks once they become opportunistic pathogens. The first objective of this study was to isolate and characterize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the urine samples of asymptomatic undergraduate students at Benson Idahosa University. This objective was crucial in understanding the prevalence and potential health risks posed by these bacteria within the university community. The successful isolation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the urine samples highlights the effectiveness of the microbiological methods used. </w:t>
      </w:r>
    </w:p>
    <w:p w14:paraId="402D391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use of CLED agar, a medium known for its efficiency in supporting the growth of urinary pathogens and differentiating lactose fermenters from non-fermenters, was pivotal in the isolation process. CLED agar helps in reducing the swarming of </w:t>
      </w:r>
      <w:r w:rsidRPr="002559AC">
        <w:rPr>
          <w:rFonts w:ascii="Times New Roman" w:eastAsia="Calibri" w:hAnsi="Times New Roman" w:cs="Times New Roman"/>
          <w:bCs/>
          <w:i/>
          <w:iCs/>
          <w:kern w:val="0"/>
          <w:sz w:val="24"/>
          <w:szCs w:val="24"/>
          <w14:ligatures w14:val="none"/>
        </w:rPr>
        <w:t>Proteus species</w:t>
      </w:r>
      <w:r w:rsidRPr="002559AC">
        <w:rPr>
          <w:rFonts w:ascii="Times New Roman" w:eastAsia="Calibri" w:hAnsi="Times New Roman" w:cs="Times New Roman"/>
          <w:bCs/>
          <w:kern w:val="0"/>
          <w:sz w:val="24"/>
          <w:szCs w:val="24"/>
          <w14:ligatures w14:val="none"/>
        </w:rPr>
        <w:t xml:space="preserve">, thereby providing clearer results for other pathogens (Mackie and McCartney, 2006). In this study, out of the 131 urine samples collected, 79 (60.31%) showed bacterial growth. Among these, 39 samples (29.77%) tested positive for </w:t>
      </w:r>
      <w:r w:rsidRPr="002559AC">
        <w:rPr>
          <w:rFonts w:ascii="Times New Roman" w:eastAsia="Calibri" w:hAnsi="Times New Roman" w:cs="Times New Roman"/>
          <w:bCs/>
          <w:i/>
          <w:iCs/>
          <w:kern w:val="0"/>
          <w:sz w:val="24"/>
          <w:szCs w:val="24"/>
          <w14:ligatures w14:val="none"/>
        </w:rPr>
        <w:t>Staphylococcus aureus</w:t>
      </w:r>
      <w:r w:rsidRPr="002559AC">
        <w:rPr>
          <w:rFonts w:ascii="Times New Roman" w:eastAsia="Calibri" w:hAnsi="Times New Roman" w:cs="Times New Roman"/>
          <w:bCs/>
          <w:kern w:val="0"/>
          <w:sz w:val="24"/>
          <w:szCs w:val="24"/>
          <w14:ligatures w14:val="none"/>
        </w:rPr>
        <w:t xml:space="preserve">, while 31 samples (23.66%) were positive for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The high prevalence of these bacteria aligns with global observations of their widespread presence in both clinical and community settings (Turner </w:t>
      </w:r>
      <w:r w:rsidRPr="002559AC">
        <w:rPr>
          <w:rFonts w:ascii="Times New Roman" w:eastAsia="Calibri" w:hAnsi="Times New Roman" w:cs="Times New Roman"/>
          <w:bCs/>
          <w:i/>
          <w:iCs/>
          <w:kern w:val="0"/>
          <w:sz w:val="24"/>
          <w:szCs w:val="24"/>
          <w14:ligatures w14:val="none"/>
        </w:rPr>
        <w:t>et al</w:t>
      </w:r>
      <w:r w:rsidR="00D1060D" w:rsidRPr="002559AC">
        <w:rPr>
          <w:rFonts w:ascii="Times New Roman" w:eastAsia="Calibri" w:hAnsi="Times New Roman" w:cs="Times New Roman"/>
          <w:bCs/>
          <w:kern w:val="0"/>
          <w:sz w:val="24"/>
          <w:szCs w:val="24"/>
          <w14:ligatures w14:val="none"/>
        </w:rPr>
        <w:t>., 2019</w:t>
      </w:r>
      <w:r w:rsidRPr="002559AC">
        <w:rPr>
          <w:rFonts w:ascii="Times New Roman" w:eastAsia="Calibri" w:hAnsi="Times New Roman" w:cs="Times New Roman"/>
          <w:bCs/>
          <w:kern w:val="0"/>
          <w:sz w:val="24"/>
          <w:szCs w:val="24"/>
          <w14:ligatures w14:val="none"/>
        </w:rPr>
        <w:t xml:space="preserve">; Zhang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2022</w:t>
      </w:r>
      <w:r w:rsidR="00524670" w:rsidRPr="002559AC">
        <w:rPr>
          <w:rFonts w:ascii="Times New Roman" w:eastAsia="Calibri" w:hAnsi="Times New Roman" w:cs="Times New Roman"/>
          <w:bCs/>
          <w:kern w:val="0"/>
          <w:sz w:val="24"/>
          <w:szCs w:val="24"/>
          <w14:ligatures w14:val="none"/>
        </w:rPr>
        <w:t xml:space="preserve">; </w:t>
      </w:r>
      <w:r w:rsidR="00524670" w:rsidRPr="002559AC">
        <w:rPr>
          <w:rFonts w:ascii="Times New Roman" w:hAnsi="Times New Roman" w:cs="Times New Roman"/>
          <w:sz w:val="24"/>
          <w:szCs w:val="24"/>
        </w:rPr>
        <w:t xml:space="preserve">Barua </w:t>
      </w:r>
      <w:r w:rsidR="00524670" w:rsidRPr="002559AC">
        <w:rPr>
          <w:rFonts w:ascii="Times New Roman" w:hAnsi="Times New Roman" w:cs="Times New Roman"/>
          <w:i/>
          <w:sz w:val="24"/>
          <w:szCs w:val="24"/>
        </w:rPr>
        <w:t>et al</w:t>
      </w:r>
      <w:r w:rsidR="00524670" w:rsidRPr="002559AC">
        <w:rPr>
          <w:rFonts w:ascii="Times New Roman" w:hAnsi="Times New Roman" w:cs="Times New Roman"/>
          <w:sz w:val="24"/>
          <w:szCs w:val="24"/>
        </w:rPr>
        <w:t>., 2024</w:t>
      </w:r>
      <w:r w:rsidRPr="002559AC">
        <w:rPr>
          <w:rFonts w:ascii="Times New Roman" w:eastAsia="Calibri" w:hAnsi="Times New Roman" w:cs="Times New Roman"/>
          <w:bCs/>
          <w:kern w:val="0"/>
          <w:sz w:val="24"/>
          <w:szCs w:val="24"/>
          <w14:ligatures w14:val="none"/>
        </w:rPr>
        <w:t xml:space="preserve">). </w:t>
      </w:r>
    </w:p>
    <w:p w14:paraId="21F362F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isolation and characterization of these bacteria from asymptomatic students are significant for several reasons. First, it indicates that these individuals can serve as reservoirs for potential pathogens, posing a risk for transmission within the university community. Asymptomatic carriers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can spread these bacteria through direct contact or contamination of shared surfaces, leading to infections among vulnerable individuals (</w:t>
      </w:r>
      <w:proofErr w:type="spellStart"/>
      <w:r w:rsidR="00BE6A48" w:rsidRPr="002559AC">
        <w:rPr>
          <w:rStyle w:val="text"/>
          <w:rFonts w:ascii="Times New Roman" w:hAnsi="Times New Roman" w:cs="Times New Roman"/>
          <w:sz w:val="24"/>
          <w:szCs w:val="24"/>
        </w:rPr>
        <w:t>Bencardino</w:t>
      </w:r>
      <w:proofErr w:type="spellEnd"/>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BE6A48"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Additionally, the presence of these bacteria in the urinary tract, even without symptoms, can lead to urinary tract infections (UTIs) if conditions change, such as during stress or immunosuppression. The detection of these bacteria underscores the need for regular screening and monitoring of student populations to prevent outbreaks and manage asymptomatic carriage effectively (Foxman, 20</w:t>
      </w:r>
      <w:r w:rsidR="00524670" w:rsidRPr="002559AC">
        <w:rPr>
          <w:rFonts w:ascii="Times New Roman" w:eastAsia="Calibri" w:hAnsi="Times New Roman" w:cs="Times New Roman"/>
          <w:bCs/>
          <w:kern w:val="0"/>
          <w:sz w:val="24"/>
          <w:szCs w:val="24"/>
          <w14:ligatures w14:val="none"/>
        </w:rPr>
        <w:t>14</w:t>
      </w:r>
      <w:r w:rsidRPr="002559AC">
        <w:rPr>
          <w:rFonts w:ascii="Times New Roman" w:eastAsia="Calibri" w:hAnsi="Times New Roman" w:cs="Times New Roman"/>
          <w:bCs/>
          <w:kern w:val="0"/>
          <w:sz w:val="24"/>
          <w:szCs w:val="24"/>
          <w14:ligatures w14:val="none"/>
        </w:rPr>
        <w:t xml:space="preserve">). This study's findings are consistent with other research conducted in similar settings. For example, a study by </w:t>
      </w:r>
      <w:proofErr w:type="spellStart"/>
      <w:r w:rsidR="003A795D" w:rsidRPr="002559AC">
        <w:rPr>
          <w:rFonts w:ascii="Times New Roman" w:hAnsi="Times New Roman" w:cs="Times New Roman"/>
          <w:sz w:val="24"/>
          <w:szCs w:val="24"/>
        </w:rPr>
        <w:t>Fowora</w:t>
      </w:r>
      <w:proofErr w:type="spellEnd"/>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xml:space="preserve">. (2021) reported the isolation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healthy individuals in a community setting, highlighting the role of asymptomatic carriers in the transmission of these pathogens. Furthermore, </w:t>
      </w:r>
      <w:r w:rsidRPr="002559AC">
        <w:rPr>
          <w:rFonts w:ascii="Times New Roman" w:eastAsia="Calibri" w:hAnsi="Times New Roman" w:cs="Times New Roman"/>
          <w:bCs/>
          <w:kern w:val="0"/>
          <w:sz w:val="24"/>
          <w:szCs w:val="24"/>
          <w14:ligatures w14:val="none"/>
        </w:rPr>
        <w:lastRenderedPageBreak/>
        <w:t xml:space="preserve">Turner </w:t>
      </w:r>
      <w:r w:rsidRPr="002559AC">
        <w:rPr>
          <w:rFonts w:ascii="Times New Roman" w:eastAsia="Calibri" w:hAnsi="Times New Roman" w:cs="Times New Roman"/>
          <w:bCs/>
          <w:i/>
          <w:iCs/>
          <w:kern w:val="0"/>
          <w:sz w:val="24"/>
          <w:szCs w:val="24"/>
          <w14:ligatures w14:val="none"/>
        </w:rPr>
        <w:t>et al</w:t>
      </w:r>
      <w:r w:rsidR="00764F3B"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764F3B"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emphasized the high colonization rates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 both hospital and community environments, which aligns with the prevalence observed in this study.</w:t>
      </w:r>
    </w:p>
    <w:p w14:paraId="1127BDFA"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second objective of this study was to determine the prevalence rate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Understanding the prevalence of these bacteria is critical for assessing potential health risks and developing targeted interventions to prevent infections and control their spread within the university community. The study found a significant prevalence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among the sampled students, with 39 out of 131 urine samples (29.77%) testing positive. This high prevalence is consistent with other studies that have reported similar colonization rates in both healthcare and community settings.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is a common colonizer of the skin and mucous membranes and can persist asymptomatically in healthy individuals (Turner </w:t>
      </w:r>
      <w:r w:rsidRPr="002559AC">
        <w:rPr>
          <w:rFonts w:ascii="Times New Roman" w:eastAsia="Calibri" w:hAnsi="Times New Roman" w:cs="Times New Roman"/>
          <w:bCs/>
          <w:i/>
          <w:iCs/>
          <w:kern w:val="0"/>
          <w:sz w:val="24"/>
          <w:szCs w:val="24"/>
          <w14:ligatures w14:val="none"/>
        </w:rPr>
        <w:t>et al</w:t>
      </w:r>
      <w:r w:rsidR="00955452"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955452"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The presence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 asymptomatic carriers is of particular concern due to its potential to cause a range of infections, from minor skin infections to severe invasive diseases such as bacteremia and endocarditis. Asymptomatic carriers can act as reservoirs, facilitating the spread of the bacteria to others, especially in densely populated environments like universities (</w:t>
      </w:r>
      <w:r w:rsidR="00955452" w:rsidRPr="002559AC">
        <w:rPr>
          <w:rFonts w:ascii="Times New Roman" w:hAnsi="Times New Roman" w:cs="Times New Roman"/>
          <w:sz w:val="24"/>
          <w:szCs w:val="24"/>
        </w:rPr>
        <w:t>Avire</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955452"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xml:space="preserve">). The findings highlight the need for routine surveillance and hygiene interventions to reduce the risk of transmission and subsequent infections. The study also revealed a notable prevalence of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with 31 out of 131 urine samples (23.66%) testing positive.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 a key component of the gut microbiota but can also colonize other body sites, including the urinary tract. The high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the urine samples underscores its role as a common </w:t>
      </w:r>
      <w:proofErr w:type="spellStart"/>
      <w:r w:rsidRPr="002559AC">
        <w:rPr>
          <w:rFonts w:ascii="Times New Roman" w:eastAsia="Calibri" w:hAnsi="Times New Roman" w:cs="Times New Roman"/>
          <w:bCs/>
          <w:kern w:val="0"/>
          <w:sz w:val="24"/>
          <w:szCs w:val="24"/>
          <w14:ligatures w14:val="none"/>
        </w:rPr>
        <w:t>uropathogen</w:t>
      </w:r>
      <w:proofErr w:type="spellEnd"/>
      <w:r w:rsidRPr="002559AC">
        <w:rPr>
          <w:rFonts w:ascii="Times New Roman" w:eastAsia="Calibri" w:hAnsi="Times New Roman" w:cs="Times New Roman"/>
          <w:bCs/>
          <w:kern w:val="0"/>
          <w:sz w:val="24"/>
          <w:szCs w:val="24"/>
          <w14:ligatures w14:val="none"/>
        </w:rPr>
        <w:t>, capable of causing urinar</w:t>
      </w:r>
      <w:r w:rsidR="00955452" w:rsidRPr="002559AC">
        <w:rPr>
          <w:rFonts w:ascii="Times New Roman" w:eastAsia="Calibri" w:hAnsi="Times New Roman" w:cs="Times New Roman"/>
          <w:bCs/>
          <w:kern w:val="0"/>
          <w:sz w:val="24"/>
          <w:szCs w:val="24"/>
          <w14:ligatures w14:val="none"/>
        </w:rPr>
        <w:t>y tract infections (Foxman, 2014</w:t>
      </w:r>
      <w:r w:rsidRPr="002559AC">
        <w:rPr>
          <w:rFonts w:ascii="Times New Roman" w:eastAsia="Calibri" w:hAnsi="Times New Roman" w:cs="Times New Roman"/>
          <w:bCs/>
          <w:kern w:val="0"/>
          <w:sz w:val="24"/>
          <w:szCs w:val="24"/>
          <w14:ligatures w14:val="none"/>
        </w:rPr>
        <w:t xml:space="preserve">). The asymptomatic carriage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can lead to infections if conditions change, such as during immunosuppression or following invasive procedures. Therefore, understanding the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 crucial for implementing preventive measures, including regular screening and education on hygiene practices.</w:t>
      </w:r>
    </w:p>
    <w:p w14:paraId="3CAFCE0D"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study also examined the prevalence of bacterial colonization by gender. It was found that female students had a higher prevalence of bacterial isolates compared to male students. Specifically, 75.95% of females had bacterial isolates in their urine compared to 24.05% of males. This gender disparity is consistent with existing literature, which suggests that females are more prone to urinary tract colonization and infections due to anatomical and physiological differences </w:t>
      </w:r>
      <w:r w:rsidRPr="002559AC">
        <w:rPr>
          <w:rFonts w:ascii="Times New Roman" w:eastAsia="Calibri" w:hAnsi="Times New Roman" w:cs="Times New Roman"/>
          <w:bCs/>
          <w:kern w:val="0"/>
          <w:sz w:val="24"/>
          <w:szCs w:val="24"/>
          <w14:ligatures w14:val="none"/>
        </w:rPr>
        <w:lastRenderedPageBreak/>
        <w:t>(Foxman, 20</w:t>
      </w:r>
      <w:r w:rsidR="0020275F" w:rsidRPr="002559AC">
        <w:rPr>
          <w:rFonts w:ascii="Times New Roman" w:eastAsia="Calibri" w:hAnsi="Times New Roman" w:cs="Times New Roman"/>
          <w:bCs/>
          <w:kern w:val="0"/>
          <w:sz w:val="24"/>
          <w:szCs w:val="24"/>
          <w14:ligatures w14:val="none"/>
        </w:rPr>
        <w:t>14</w:t>
      </w:r>
      <w:r w:rsidRPr="002559AC">
        <w:rPr>
          <w:rFonts w:ascii="Times New Roman" w:eastAsia="Calibri" w:hAnsi="Times New Roman" w:cs="Times New Roman"/>
          <w:bCs/>
          <w:kern w:val="0"/>
          <w:sz w:val="24"/>
          <w:szCs w:val="24"/>
          <w14:ligatures w14:val="none"/>
        </w:rPr>
        <w:t xml:space="preserve">). The higher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and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among female students emphasizes the need for gender-specific interventions to prevent bacterial colonization and subsequent infections. Educational programs focused on promoting good personal hygiene, proper urinary practices, and regular medical check-ups can help mitigate these risks. The study also explored the prevalence of bacterial isolates across different age groups. It was found that students aged 19-22 years had the highest prevalence of bacterial isolates, followed by those aged 15-18 years and 23-28 years. Specifically, 43.04% of students aged 19-22 years had bacterial isolates, suggesting that this age group might be at increased risk due to behavioral and environmental factors prevalent in university settings. The findings align with previous research indicating that young adults, particularly those in high-density living conditions such as dormitories, are more susceptible to bacterial colonization and transmission (</w:t>
      </w:r>
      <w:r w:rsidR="0020275F" w:rsidRPr="002559AC">
        <w:rPr>
          <w:rFonts w:ascii="Times New Roman" w:eastAsia="Calibri" w:hAnsi="Times New Roman" w:cs="Times New Roman"/>
          <w:bCs/>
          <w:kern w:val="0"/>
          <w:sz w:val="24"/>
          <w:szCs w:val="24"/>
          <w14:ligatures w14:val="none"/>
        </w:rPr>
        <w:t xml:space="preserve">Turner </w:t>
      </w:r>
      <w:r w:rsidR="0020275F"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2019</w:t>
      </w:r>
      <w:r w:rsidRPr="002559AC">
        <w:rPr>
          <w:rFonts w:ascii="Times New Roman" w:eastAsia="Calibri" w:hAnsi="Times New Roman" w:cs="Times New Roman"/>
          <w:bCs/>
          <w:kern w:val="0"/>
          <w:sz w:val="24"/>
          <w:szCs w:val="24"/>
          <w14:ligatures w14:val="none"/>
        </w:rPr>
        <w:t xml:space="preserve">). Understanding age-related differences in prevalence can help tailor interventions to specific groups, ensuring more effective prevention and control strategies. While this study provides valuable insights into the prevalence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further research is needed to explore the factors contributing to bacterial colonization and resistance patterns. Longitudinal studies that monitor changes in bacterial prevalence and resistance over time can provide a deeper understanding of the dynamics of bacterial colonization in university settings. Additionally, research on the effectiveness of various intervention strategies can help identify the most efficient methods for preventing and controlling bacterial infections (Laxminarayan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w:t>
      </w:r>
    </w:p>
    <w:p w14:paraId="3F80A556"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third objective of this study was to determine the antibiogram, or antibiotic susceptibility pattern,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isolates from asymptomatic undergraduate students at Benson Idahosa University. Understanding the resistance patterns of these bacterial isolates is crucial for guiding effective treatment strategies and informing public health policies to combat the spread of antibiotic-resistant bacteria. The study revealed that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isolates exhibited significant resistance to several antibiotics. Specifically, the isolates were resistant to 40% of the tested antibiotics, including Oxacillin (OX), which is indicative of methicillin-resistant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(MRSA). This finding aligns with global trends that show increasing resistance among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strains, particularly in community settings (Turner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20275F"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MRSA is known for its resistance to β-lactam antibiotics, which include </w:t>
      </w:r>
      <w:proofErr w:type="spellStart"/>
      <w:r w:rsidRPr="002559AC">
        <w:rPr>
          <w:rFonts w:ascii="Times New Roman" w:eastAsia="Calibri" w:hAnsi="Times New Roman" w:cs="Times New Roman"/>
          <w:bCs/>
          <w:kern w:val="0"/>
          <w:sz w:val="24"/>
          <w:szCs w:val="24"/>
          <w14:ligatures w14:val="none"/>
        </w:rPr>
        <w:t>penicillins</w:t>
      </w:r>
      <w:proofErr w:type="spellEnd"/>
      <w:r w:rsidRPr="002559AC">
        <w:rPr>
          <w:rFonts w:ascii="Times New Roman" w:eastAsia="Calibri" w:hAnsi="Times New Roman" w:cs="Times New Roman"/>
          <w:bCs/>
          <w:kern w:val="0"/>
          <w:sz w:val="24"/>
          <w:szCs w:val="24"/>
          <w14:ligatures w14:val="none"/>
        </w:rPr>
        <w:t xml:space="preserve"> and cephalosporins. The presence of MRSA among asymptomatic carriers in </w:t>
      </w:r>
      <w:r w:rsidRPr="002559AC">
        <w:rPr>
          <w:rFonts w:ascii="Times New Roman" w:eastAsia="Calibri" w:hAnsi="Times New Roman" w:cs="Times New Roman"/>
          <w:bCs/>
          <w:kern w:val="0"/>
          <w:sz w:val="24"/>
          <w:szCs w:val="24"/>
          <w14:ligatures w14:val="none"/>
        </w:rPr>
        <w:lastRenderedPageBreak/>
        <w:t xml:space="preserve">the university setting underscores the potential for these individuals to act as reservoirs for transmission, leading to outbreaks of difficult-to-treat infections. This highlights the importance of regular screening and decolonization strategies to manage MRSA colonization (Holmes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20275F"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Despite the resistance observed, the isolates remained susceptible to several key antibiotics, including Gentamicin (GM), Ciprofloxacin (CIP), and Imipenem (IMP). This susceptibility pattern provides valuable information for empirical treatment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infections, indicating that these antibiotics can still be effectively used in the university setting. However, continuous monitoring of antibiotic susceptibility is necessary to detect emerging resistance patterns and adjust treatment protocols accordingly (</w:t>
      </w:r>
      <w:r w:rsidR="00151001" w:rsidRPr="002559AC">
        <w:rPr>
          <w:rStyle w:val="text"/>
          <w:rFonts w:ascii="Times New Roman" w:hAnsi="Times New Roman" w:cs="Times New Roman"/>
          <w:sz w:val="24"/>
          <w:szCs w:val="24"/>
        </w:rPr>
        <w:t>Ahmed</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151001" w:rsidRPr="002559AC">
        <w:rPr>
          <w:rFonts w:ascii="Times New Roman" w:eastAsia="Calibri" w:hAnsi="Times New Roman" w:cs="Times New Roman"/>
          <w:bCs/>
          <w:kern w:val="0"/>
          <w:sz w:val="24"/>
          <w:szCs w:val="24"/>
          <w14:ligatures w14:val="none"/>
        </w:rPr>
        <w:t>., 2024</w:t>
      </w:r>
      <w:r w:rsidRPr="002559AC">
        <w:rPr>
          <w:rFonts w:ascii="Times New Roman" w:eastAsia="Calibri" w:hAnsi="Times New Roman" w:cs="Times New Roman"/>
          <w:bCs/>
          <w:kern w:val="0"/>
          <w:sz w:val="24"/>
          <w:szCs w:val="24"/>
          <w14:ligatures w14:val="none"/>
        </w:rPr>
        <w:t xml:space="preserve">). Similarly,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isolates demonstrated significant resistance to multiple antibiotics. The study found that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were resistant to 40% of the tested antibiotics, including Augmentin (AUG) and Erythromycin (E). The resistance to these commonly used antibiotics is concerning, as it limits the options for treating urinary tract infections and other infections caused by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The resistance observed in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is consistent with global reports of increasing antibiotic resistance among enteric bacteria. Factors contributing to this resistance include the overuse and misuse of antibiotics in both clinical and agricultural settings, which select resistant strains and facilitate their spread (Laxminarayan </w:t>
      </w:r>
      <w:r w:rsidRPr="002559AC">
        <w:rPr>
          <w:rFonts w:ascii="Times New Roman" w:eastAsia="Calibri" w:hAnsi="Times New Roman" w:cs="Times New Roman"/>
          <w:bCs/>
          <w:i/>
          <w:iCs/>
          <w:kern w:val="0"/>
          <w:sz w:val="24"/>
          <w:szCs w:val="24"/>
          <w14:ligatures w14:val="none"/>
        </w:rPr>
        <w:t>et al</w:t>
      </w:r>
      <w:r w:rsidR="003725D6"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study's findings highlight the need for antibiotic stewardship programs to promote the rational use of antibiotics and reduce the selection pressure for resistance. Despite the observed resistance,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remained susceptible to key antibiotics such as Ciprofloxacin (CIP), Ceftriaxone (CRO), and Gentamicin (GM). These antibiotics can be effectively used for treating infections caused by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the university population. However, the high prevalence of resistance to other antibiotics necessitates ongoing surveillance to detect shifts in resistance patterns and ensure the continued efficacy of empirical treatments (Holmes </w:t>
      </w:r>
      <w:r w:rsidRPr="002559AC">
        <w:rPr>
          <w:rFonts w:ascii="Times New Roman" w:eastAsia="Calibri" w:hAnsi="Times New Roman" w:cs="Times New Roman"/>
          <w:bCs/>
          <w:i/>
          <w:iCs/>
          <w:kern w:val="0"/>
          <w:sz w:val="24"/>
          <w:szCs w:val="24"/>
          <w14:ligatures w14:val="none"/>
        </w:rPr>
        <w:t>et al</w:t>
      </w:r>
      <w:r w:rsidR="00D53BED"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detection of multidrug-resistant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students has significant public health implications. MDR bacteria are resistant to multiple classes of antibiotics, making infections caused by these pathogens challenging to treat. The presence of MDR bacteria in a university setting poses a risk for transmission and outbreaks, particularly in high-density living conditions such as dormitories (</w:t>
      </w:r>
      <w:r w:rsidR="00D53BED" w:rsidRPr="002559AC">
        <w:rPr>
          <w:rFonts w:ascii="Times New Roman" w:hAnsi="Times New Roman" w:cs="Times New Roman"/>
          <w:sz w:val="24"/>
          <w:szCs w:val="24"/>
        </w:rPr>
        <w:t>Avire</w:t>
      </w:r>
      <w:r w:rsidR="00D53BED" w:rsidRPr="002559AC">
        <w:rPr>
          <w:rFonts w:ascii="Times New Roman" w:eastAsia="Calibri" w:hAnsi="Times New Roman" w:cs="Times New Roman"/>
          <w:bCs/>
          <w:kern w:val="0"/>
          <w:sz w:val="24"/>
          <w:szCs w:val="24"/>
          <w14:ligatures w14:val="none"/>
        </w:rPr>
        <w:t xml:space="preserve"> </w:t>
      </w:r>
      <w:r w:rsidR="00D53BED" w:rsidRPr="002559AC">
        <w:rPr>
          <w:rFonts w:ascii="Times New Roman" w:eastAsia="Calibri" w:hAnsi="Times New Roman" w:cs="Times New Roman"/>
          <w:bCs/>
          <w:i/>
          <w:iCs/>
          <w:kern w:val="0"/>
          <w:sz w:val="24"/>
          <w:szCs w:val="24"/>
          <w14:ligatures w14:val="none"/>
        </w:rPr>
        <w:t>et al</w:t>
      </w:r>
      <w:r w:rsidR="00D53BED"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xml:space="preserve">). While this study provides valuable insights into the antibiotic susceptibility patterns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further research is needed to explore the mechanisms underlying antibiotic resistance in these bacteria. Molecular </w:t>
      </w:r>
      <w:r w:rsidRPr="002559AC">
        <w:rPr>
          <w:rFonts w:ascii="Times New Roman" w:eastAsia="Calibri" w:hAnsi="Times New Roman" w:cs="Times New Roman"/>
          <w:bCs/>
          <w:kern w:val="0"/>
          <w:sz w:val="24"/>
          <w:szCs w:val="24"/>
          <w14:ligatures w14:val="none"/>
        </w:rPr>
        <w:lastRenderedPageBreak/>
        <w:t>studies that investigate the genetic determinants of resistance can provide a deeper understanding of how resistance evolves and spreads. Additionally, research on alternative treatment options, such as phage therapy and novel antimicrobial agents, is essential to address the growing challenge of antibiotic resistance (</w:t>
      </w:r>
      <w:r w:rsidR="00531AE6" w:rsidRPr="002559AC">
        <w:rPr>
          <w:rFonts w:ascii="Times New Roman" w:eastAsia="Calibri" w:hAnsi="Times New Roman" w:cs="Times New Roman"/>
          <w:bCs/>
          <w:kern w:val="0"/>
          <w:sz w:val="24"/>
          <w:szCs w:val="24"/>
          <w14:ligatures w14:val="none"/>
        </w:rPr>
        <w:t>Lin</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2017</w:t>
      </w:r>
      <w:r w:rsidRPr="002559AC">
        <w:rPr>
          <w:rFonts w:ascii="Times New Roman" w:eastAsia="Calibri" w:hAnsi="Times New Roman" w:cs="Times New Roman"/>
          <w:bCs/>
          <w:kern w:val="0"/>
          <w:sz w:val="24"/>
          <w:szCs w:val="24"/>
          <w14:ligatures w14:val="none"/>
        </w:rPr>
        <w:t>).</w:t>
      </w:r>
    </w:p>
    <w:p w14:paraId="45539B3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fourth objective of this study was to determine the prevalence of multidrug-resistant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The detection of MDR bacteria in this population has significant implications for public health, particularly in terms of infection control, treatment challenges, and the potential for widespread transmission. The study found a significant prevalence of multidrug-resistant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among the sampled students. The resistance to multiple antibiotics, including Oxacillin (OX), Gentamicin (GM), and Erythromycin (E), indicates the presence of methicillin-resistant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(MRSA). MRSA is particularly concerning due to its resistance to β-lactam antibiotics, which are commonly used to treat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infections (Turner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531AE6"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The high prevalence of MRSA among asymptomatic carriers in the university setting suggests that these individuals could act as reservoirs for MRSA transmission. This aligns with global trends indicating the spread of MRSA beyond healthcare settings into the community, where it can cause severe infections in otherwise healthy individuals (Holmes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531AE6"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The findings underscore the need for routine surveillance and targeted decolonization strategies to manage MRSA carriage and prevent outbreaks. </w:t>
      </w:r>
    </w:p>
    <w:p w14:paraId="3375CDE4"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  Similarly, the study revealed a significant prevalence of multidrug-resistant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The isolates exhibited resistance to several antibiotics, including Augmentin (AUG), Ceftriaxone (CRO), and Erythromycin (E). This resistance pattern is indicative of the presence of extended-spectrum beta-lactamase (ESBL)--producing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which are known for their resistance to third-generation cephalosporins and other beta-lactam antibiotics (Manges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xml:space="preserve">., 2019). The presence of ESBL-producing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among asymptomatic students is particularly concerning as these bacteria can cause difficult-to-treat urinary tract infections and other serious infections. The high prevalence of MDR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highlights the global challenge of antibiotic resistance, driven by factors such as overuse and misuse of antibiotics in both clinical and agricultural settings </w:t>
      </w:r>
      <w:r w:rsidRPr="002559AC">
        <w:rPr>
          <w:rFonts w:ascii="Times New Roman" w:eastAsia="Calibri" w:hAnsi="Times New Roman" w:cs="Times New Roman"/>
          <w:bCs/>
          <w:kern w:val="0"/>
          <w:sz w:val="24"/>
          <w:szCs w:val="24"/>
          <w14:ligatures w14:val="none"/>
        </w:rPr>
        <w:lastRenderedPageBreak/>
        <w:t xml:space="preserve">(Laxminarayan </w:t>
      </w:r>
      <w:r w:rsidRPr="002559AC">
        <w:rPr>
          <w:rFonts w:ascii="Times New Roman" w:eastAsia="Calibri" w:hAnsi="Times New Roman" w:cs="Times New Roman"/>
          <w:bCs/>
          <w:i/>
          <w:iCs/>
          <w:kern w:val="0"/>
          <w:sz w:val="24"/>
          <w:szCs w:val="24"/>
          <w14:ligatures w14:val="none"/>
        </w:rPr>
        <w:t>et al</w:t>
      </w:r>
      <w:r w:rsidR="00E62188"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findings emphasize the importance of implementing robust antibiotic stewardship programs to reduce the selection pressure for resistant strains. </w:t>
      </w:r>
    </w:p>
    <w:p w14:paraId="49687FEA"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  The study also examined the prevalence of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by gender and age. It was found that female students had a higher prevalence of MDR bacteria compared to males. Specifically, a larger proportion of females were carriers of both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MDR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This gender disparity may be attributed to anatomical and physiological differences that make females more susceptible to bacterial colonizat</w:t>
      </w:r>
      <w:r w:rsidR="00E62188" w:rsidRPr="002559AC">
        <w:rPr>
          <w:rFonts w:ascii="Times New Roman" w:eastAsia="Calibri" w:hAnsi="Times New Roman" w:cs="Times New Roman"/>
          <w:bCs/>
          <w:kern w:val="0"/>
          <w:sz w:val="24"/>
          <w:szCs w:val="24"/>
          <w14:ligatures w14:val="none"/>
        </w:rPr>
        <w:t>ion and infections (Foxman, 2014</w:t>
      </w:r>
      <w:r w:rsidRPr="002559AC">
        <w:rPr>
          <w:rFonts w:ascii="Times New Roman" w:eastAsia="Calibri" w:hAnsi="Times New Roman" w:cs="Times New Roman"/>
          <w:bCs/>
          <w:kern w:val="0"/>
          <w:sz w:val="24"/>
          <w:szCs w:val="24"/>
          <w14:ligatures w14:val="none"/>
        </w:rPr>
        <w:t>). Additionally, the prevalence of MDR bacteria varied across different age groups, with the highest prevalence observed in students aged 19-22 years. This age group, which constitutes the majority of the university population, may be at increased risk due to behavioral factors such as high social interaction and shared living spaces. Understanding these demographic differences is crucial for designing targeted interventions to reduce the spread of MDR bacteria.</w:t>
      </w:r>
    </w:p>
    <w:p w14:paraId="490016EA"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6" w:name="_Toc172731296"/>
      <w:r w:rsidRPr="002559AC">
        <w:rPr>
          <w:rFonts w:ascii="Times New Roman" w:eastAsia="Calibri" w:hAnsi="Times New Roman" w:cs="Times New Roman"/>
          <w:b/>
          <w:color w:val="auto"/>
        </w:rPr>
        <w:t>CONCLUSION</w:t>
      </w:r>
      <w:bookmarkEnd w:id="36"/>
    </w:p>
    <w:p w14:paraId="237BDFDC"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This research investigated the prevalence and antibiotic resistance patterns of </w:t>
      </w:r>
      <w:r w:rsidRPr="002559AC">
        <w:rPr>
          <w:rFonts w:ascii="Times New Roman" w:eastAsia="Calibri" w:hAnsi="Times New Roman" w:cs="Times New Roman"/>
          <w:bCs/>
          <w:i/>
          <w:iCs/>
          <w:kern w:val="0"/>
          <w:sz w:val="24"/>
          <w:szCs w:val="24"/>
          <w14:ligatures w14:val="none"/>
        </w:rPr>
        <w:t>Staphylococcus aureus</w:t>
      </w:r>
      <w:r w:rsidRPr="002559AC">
        <w:rPr>
          <w:rFonts w:ascii="Times New Roman" w:eastAsia="Calibri" w:hAnsi="Times New Roman" w:cs="Times New Roman"/>
          <w:bCs/>
          <w:kern w:val="0"/>
          <w:sz w:val="24"/>
          <w:szCs w:val="24"/>
          <w14:ligatures w14:val="none"/>
        </w:rPr>
        <w:t xml:space="preserve"> 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Significant bacterial prevalence was observed, with S. aureus in 29.77% and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23.66% of samples. Both bacteria exhibited high antibiotic resistance, particularly to Oxacillin and Augmentin, and the presence of multidrug-resistant strains was noted. Gender and age disparities showed higher colonization rates in female students and those aged 19-22 years. The findings highlight the need for infection control measures, regular screening, and decolonization of asymptomatic carriers. Implementing hand hygiene, environmental cleaning, and proper antibiotic use education can mitigate risks. The study calls for robust antibiotic stewardship programs to optimize antibiotic use and combat resistance. Further research on genetic mechanisms of resistance and alternative treatments is crucial. Continuous monitoring, effective infection control, and collaboration between health authorities and educational institutions are essential to reduce bacterial infections and address antibiotic resistance threats in the university community.</w:t>
      </w:r>
    </w:p>
    <w:p w14:paraId="6247AE05"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7" w:name="_Toc172731297"/>
      <w:r w:rsidRPr="002559AC">
        <w:rPr>
          <w:rFonts w:ascii="Times New Roman" w:eastAsia="Calibri" w:hAnsi="Times New Roman" w:cs="Times New Roman"/>
          <w:b/>
          <w:color w:val="auto"/>
        </w:rPr>
        <w:t>RECOMMENDATION</w:t>
      </w:r>
      <w:bookmarkEnd w:id="37"/>
    </w:p>
    <w:p w14:paraId="72EBF15F" w14:textId="77777777" w:rsidR="003F12D2" w:rsidRPr="002559AC" w:rsidRDefault="003F12D2" w:rsidP="002559AC">
      <w:pPr>
        <w:numPr>
          <w:ilvl w:val="0"/>
          <w:numId w:val="1"/>
        </w:numPr>
        <w:spacing w:after="0"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Further research should focus on exploring the genetic mechanisms underlying antibiotic resistance in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This includes investigating the </w:t>
      </w:r>
      <w:r w:rsidRPr="002559AC">
        <w:rPr>
          <w:rFonts w:ascii="Times New Roman" w:eastAsia="Calibri" w:hAnsi="Times New Roman" w:cs="Times New Roman"/>
          <w:bCs/>
          <w:kern w:val="0"/>
          <w:sz w:val="24"/>
          <w:szCs w:val="24"/>
          <w14:ligatures w14:val="none"/>
        </w:rPr>
        <w:lastRenderedPageBreak/>
        <w:t>specific genes and mutations that contribute to resistance, which can provide deeper insights into how these bacteria adapt and survive in the presence of antibiotics.</w:t>
      </w:r>
    </w:p>
    <w:p w14:paraId="6097B781" w14:textId="77777777" w:rsidR="003F12D2" w:rsidRDefault="003F12D2" w:rsidP="002559AC">
      <w:pPr>
        <w:numPr>
          <w:ilvl w:val="0"/>
          <w:numId w:val="1"/>
        </w:numPr>
        <w:spacing w:after="0"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There is a critical need for research into alternative treatment options, such as phage therapy and novel antimicrobial agents, to combat the rising threat of multidrug-resistant bacteria. These studies should evaluate the efficacy and safety of these alternative treatments in both clinical and community settings, offering new strategies to manage infections that are resistant to conventional antibiotics.</w:t>
      </w:r>
    </w:p>
    <w:p w14:paraId="703B608F" w14:textId="77777777" w:rsidR="00BD1782" w:rsidRDefault="00BD1782" w:rsidP="00BD1782">
      <w:pPr>
        <w:spacing w:after="0" w:line="360" w:lineRule="auto"/>
        <w:jc w:val="both"/>
        <w:rPr>
          <w:rFonts w:ascii="Times New Roman" w:eastAsia="Calibri" w:hAnsi="Times New Roman" w:cs="Times New Roman"/>
          <w:bCs/>
          <w:kern w:val="0"/>
          <w:sz w:val="24"/>
          <w:szCs w:val="24"/>
          <w14:ligatures w14:val="none"/>
        </w:rPr>
      </w:pPr>
    </w:p>
    <w:p w14:paraId="3767C294" w14:textId="77777777" w:rsidR="0004028F" w:rsidRPr="002559AC" w:rsidRDefault="002C0BF9"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t>REFERENCES</w:t>
      </w:r>
    </w:p>
    <w:p w14:paraId="22A0852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Abebe, A. A., &amp; Birhanu, A. G. (2023). Methicillin 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Molecular Mechanisms Underlying Drug Resistance Development and Novel Strategies to Combat. </w:t>
      </w:r>
      <w:r w:rsidRPr="002559AC">
        <w:rPr>
          <w:rFonts w:ascii="Times New Roman" w:hAnsi="Times New Roman" w:cs="Times New Roman"/>
          <w:i/>
          <w:iCs/>
          <w:sz w:val="24"/>
          <w:szCs w:val="24"/>
        </w:rPr>
        <w:t>Infection and Drug Resistance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16</w:t>
      </w:r>
      <w:r w:rsidRPr="002559AC">
        <w:rPr>
          <w:rFonts w:ascii="Times New Roman" w:hAnsi="Times New Roman" w:cs="Times New Roman"/>
          <w:sz w:val="24"/>
          <w:szCs w:val="24"/>
        </w:rPr>
        <w:t>, 7641–7662. https://doi.org/10.2147/IDR.S428103</w:t>
      </w:r>
    </w:p>
    <w:p w14:paraId="032002E8" w14:textId="77777777" w:rsidR="00844FC6" w:rsidRPr="002559AC" w:rsidRDefault="00844FC6" w:rsidP="002559AC">
      <w:pPr>
        <w:spacing w:line="360" w:lineRule="auto"/>
        <w:jc w:val="both"/>
        <w:rPr>
          <w:rFonts w:ascii="Times New Roman" w:hAnsi="Times New Roman" w:cs="Times New Roman"/>
          <w:sz w:val="24"/>
          <w:szCs w:val="24"/>
        </w:rPr>
      </w:pPr>
    </w:p>
    <w:p w14:paraId="7E1C2F6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eastAsiaTheme="majorEastAsia" w:hAnsi="Times New Roman" w:cs="Times New Roman"/>
          <w:sz w:val="24"/>
          <w:szCs w:val="24"/>
        </w:rPr>
        <w:t>Ahmed</w:t>
      </w:r>
      <w:r w:rsidRPr="002559AC">
        <w:rPr>
          <w:rFonts w:ascii="Times New Roman" w:hAnsi="Times New Roman" w:cs="Times New Roman"/>
          <w:sz w:val="24"/>
          <w:szCs w:val="24"/>
        </w:rPr>
        <w:t xml:space="preserve">, S.K., </w:t>
      </w:r>
      <w:r w:rsidRPr="002559AC">
        <w:rPr>
          <w:rFonts w:ascii="Times New Roman" w:eastAsiaTheme="majorEastAsia" w:hAnsi="Times New Roman" w:cs="Times New Roman"/>
          <w:sz w:val="24"/>
          <w:szCs w:val="24"/>
        </w:rPr>
        <w:t xml:space="preserve">Hussein, S., Qurbani, K., Ibrahim, R.H., Fareeq, A., Mahmood, K.A., </w:t>
      </w:r>
      <w:r w:rsidRPr="002559AC">
        <w:rPr>
          <w:rFonts w:ascii="Times New Roman" w:hAnsi="Times New Roman" w:cs="Times New Roman"/>
          <w:sz w:val="24"/>
          <w:szCs w:val="24"/>
        </w:rPr>
        <w:t xml:space="preserve">&amp; </w:t>
      </w:r>
      <w:r w:rsidRPr="002559AC">
        <w:rPr>
          <w:rFonts w:ascii="Times New Roman" w:eastAsiaTheme="majorEastAsia" w:hAnsi="Times New Roman" w:cs="Times New Roman"/>
          <w:sz w:val="24"/>
          <w:szCs w:val="24"/>
        </w:rPr>
        <w:t xml:space="preserve">Mohamed, M.G. (2024). </w:t>
      </w:r>
      <w:r w:rsidRPr="002559AC">
        <w:rPr>
          <w:rFonts w:ascii="Times New Roman" w:hAnsi="Times New Roman" w:cs="Times New Roman"/>
          <w:sz w:val="24"/>
          <w:szCs w:val="24"/>
        </w:rPr>
        <w:t xml:space="preserve">Antimicrobial resistance: Impacts, challenges, and future prospects. Journal of Medicine, Surgery and Public Health, 2, 100081. </w:t>
      </w:r>
      <w:hyperlink r:id="rId7" w:tgtFrame="_blank" w:tooltip="Persistent link using digital object identifier" w:history="1">
        <w:r w:rsidRPr="002559AC">
          <w:rPr>
            <w:rStyle w:val="Hyperlink"/>
            <w:rFonts w:ascii="Times New Roman" w:hAnsi="Times New Roman" w:cs="Times New Roman"/>
            <w:sz w:val="24"/>
            <w:szCs w:val="24"/>
          </w:rPr>
          <w:t>https://doi.org/10.1016/j.glmedi.2024.100081</w:t>
        </w:r>
      </w:hyperlink>
    </w:p>
    <w:p w14:paraId="1A54952A" w14:textId="77777777" w:rsidR="00844FC6" w:rsidRPr="002559AC" w:rsidRDefault="00844FC6" w:rsidP="002559AC">
      <w:pPr>
        <w:spacing w:line="360" w:lineRule="auto"/>
        <w:jc w:val="both"/>
        <w:rPr>
          <w:rFonts w:ascii="Times New Roman" w:hAnsi="Times New Roman" w:cs="Times New Roman"/>
          <w:sz w:val="24"/>
          <w:szCs w:val="24"/>
        </w:rPr>
      </w:pPr>
    </w:p>
    <w:p w14:paraId="39EB1C96"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Avire, N.J., Whiley, H., &amp; Ross, K. (2021). A Review of </w:t>
      </w:r>
      <w:r w:rsidRPr="002559AC">
        <w:rPr>
          <w:rFonts w:ascii="Times New Roman" w:hAnsi="Times New Roman" w:cs="Times New Roman"/>
          <w:i/>
          <w:iCs/>
          <w:sz w:val="24"/>
          <w:szCs w:val="24"/>
        </w:rPr>
        <w:t>Streptococcus pyogenes</w:t>
      </w:r>
      <w:r w:rsidRPr="002559AC">
        <w:rPr>
          <w:rFonts w:ascii="Times New Roman" w:hAnsi="Times New Roman" w:cs="Times New Roman"/>
          <w:sz w:val="24"/>
          <w:szCs w:val="24"/>
        </w:rPr>
        <w:t xml:space="preserve">: Public Health Risk Factors, Prevention and Control. </w:t>
      </w:r>
      <w:r w:rsidRPr="002559AC">
        <w:rPr>
          <w:rFonts w:ascii="Times New Roman" w:hAnsi="Times New Roman" w:cs="Times New Roman"/>
          <w:i/>
          <w:iCs/>
          <w:sz w:val="24"/>
          <w:szCs w:val="24"/>
        </w:rPr>
        <w:t>Pathogens (Basel, Switzerland)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(2), 248. https://doi.org/10.3390/pathogens10020248</w:t>
      </w:r>
    </w:p>
    <w:p w14:paraId="0BB48667" w14:textId="77777777" w:rsidR="00844FC6" w:rsidRPr="002559AC" w:rsidRDefault="00844FC6" w:rsidP="002559AC">
      <w:pPr>
        <w:spacing w:line="360" w:lineRule="auto"/>
        <w:jc w:val="both"/>
        <w:rPr>
          <w:rFonts w:ascii="Times New Roman" w:hAnsi="Times New Roman" w:cs="Times New Roman"/>
          <w:sz w:val="24"/>
          <w:szCs w:val="24"/>
        </w:rPr>
      </w:pPr>
    </w:p>
    <w:p w14:paraId="2794E414"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Barua, S., Sayeed, M. A., Rahman, M. A., Hassan, M. M., Chowdhury, M. Y. E., &amp; Rana, E. A. (2024). Isolation and antimicrobial resistance patterns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from caprine respiratory tract infections: A hospital-based clinical study. </w:t>
      </w:r>
      <w:r w:rsidRPr="002559AC">
        <w:rPr>
          <w:rFonts w:ascii="Times New Roman" w:hAnsi="Times New Roman" w:cs="Times New Roman"/>
          <w:i/>
          <w:iCs/>
          <w:sz w:val="24"/>
          <w:szCs w:val="24"/>
        </w:rPr>
        <w:t>Journal of Advanced Veterinary and Animal Research</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11</w:t>
      </w:r>
      <w:r w:rsidRPr="002559AC">
        <w:rPr>
          <w:rFonts w:ascii="Times New Roman" w:hAnsi="Times New Roman" w:cs="Times New Roman"/>
          <w:sz w:val="24"/>
          <w:szCs w:val="24"/>
        </w:rPr>
        <w:t xml:space="preserve">(4), 1037–1050. </w:t>
      </w:r>
      <w:hyperlink r:id="rId8" w:history="1">
        <w:r w:rsidRPr="002559AC">
          <w:rPr>
            <w:rStyle w:val="Hyperlink"/>
            <w:rFonts w:ascii="Times New Roman" w:hAnsi="Times New Roman" w:cs="Times New Roman"/>
            <w:sz w:val="24"/>
            <w:szCs w:val="24"/>
          </w:rPr>
          <w:t>https://doi.org/10.5455/javar.2024.k855</w:t>
        </w:r>
      </w:hyperlink>
    </w:p>
    <w:p w14:paraId="15FE91C2" w14:textId="77777777" w:rsidR="00844FC6" w:rsidRPr="002559AC" w:rsidRDefault="00844FC6" w:rsidP="002559AC">
      <w:pPr>
        <w:spacing w:line="360" w:lineRule="auto"/>
        <w:jc w:val="both"/>
        <w:rPr>
          <w:rFonts w:ascii="Times New Roman" w:hAnsi="Times New Roman" w:cs="Times New Roman"/>
          <w:sz w:val="24"/>
          <w:szCs w:val="24"/>
        </w:rPr>
      </w:pPr>
    </w:p>
    <w:p w14:paraId="622A85AF" w14:textId="77777777" w:rsidR="00844FC6" w:rsidRPr="002559AC" w:rsidRDefault="00844FC6" w:rsidP="002559AC">
      <w:pPr>
        <w:spacing w:line="360" w:lineRule="auto"/>
        <w:jc w:val="both"/>
        <w:rPr>
          <w:rFonts w:ascii="Times New Roman" w:hAnsi="Times New Roman" w:cs="Times New Roman"/>
          <w:i/>
          <w:sz w:val="24"/>
          <w:szCs w:val="24"/>
        </w:rPr>
      </w:pPr>
    </w:p>
    <w:p w14:paraId="14576BFC"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lastRenderedPageBreak/>
        <w:t>Bencardino</w:t>
      </w:r>
      <w:proofErr w:type="spellEnd"/>
      <w:r w:rsidRPr="002559AC">
        <w:rPr>
          <w:rFonts w:ascii="Times New Roman" w:hAnsi="Times New Roman" w:cs="Times New Roman"/>
          <w:sz w:val="24"/>
          <w:szCs w:val="24"/>
        </w:rPr>
        <w:t xml:space="preserve">, D., </w:t>
      </w:r>
      <w:proofErr w:type="spellStart"/>
      <w:r w:rsidRPr="002559AC">
        <w:rPr>
          <w:rFonts w:ascii="Times New Roman" w:hAnsi="Times New Roman" w:cs="Times New Roman"/>
          <w:sz w:val="24"/>
          <w:szCs w:val="24"/>
        </w:rPr>
        <w:t>Amagliani</w:t>
      </w:r>
      <w:proofErr w:type="spellEnd"/>
      <w:r w:rsidRPr="002559AC">
        <w:rPr>
          <w:rFonts w:ascii="Times New Roman" w:hAnsi="Times New Roman" w:cs="Times New Roman"/>
          <w:sz w:val="24"/>
          <w:szCs w:val="24"/>
        </w:rPr>
        <w:t xml:space="preserve">, G., &amp; Brandi, G. (2021). Carriage of Staphylococcus aureus among food handlers: An ongoing challenge in public health. </w:t>
      </w:r>
      <w:r w:rsidRPr="002559AC">
        <w:rPr>
          <w:rFonts w:ascii="Times New Roman" w:hAnsi="Times New Roman" w:cs="Times New Roman"/>
          <w:i/>
          <w:sz w:val="24"/>
          <w:szCs w:val="24"/>
        </w:rPr>
        <w:t>Food Control</w:t>
      </w:r>
      <w:r w:rsidRPr="002559AC">
        <w:rPr>
          <w:rFonts w:ascii="Times New Roman" w:hAnsi="Times New Roman" w:cs="Times New Roman"/>
          <w:sz w:val="24"/>
          <w:szCs w:val="24"/>
        </w:rPr>
        <w:t>, 130, 108362.</w:t>
      </w:r>
    </w:p>
    <w:p w14:paraId="78D65B1D" w14:textId="77777777" w:rsidR="00844FC6" w:rsidRPr="002559AC" w:rsidRDefault="00844FC6" w:rsidP="002559AC">
      <w:pPr>
        <w:spacing w:line="360" w:lineRule="auto"/>
        <w:jc w:val="both"/>
        <w:rPr>
          <w:rStyle w:val="text"/>
          <w:rFonts w:ascii="Times New Roman" w:hAnsi="Times New Roman" w:cs="Times New Roman"/>
          <w:sz w:val="24"/>
          <w:szCs w:val="24"/>
        </w:rPr>
      </w:pPr>
    </w:p>
    <w:p w14:paraId="52726D0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Clinical and Laboratory Standards Institute (CLSI). Performance standards for antimicrobial susceptibility testing. 30th ed. Wayne, PA: CLSI; 2020</w:t>
      </w:r>
    </w:p>
    <w:p w14:paraId="0ACEA64E" w14:textId="77777777" w:rsidR="00844FC6" w:rsidRPr="002559AC" w:rsidRDefault="00844FC6" w:rsidP="002559AC">
      <w:pPr>
        <w:spacing w:line="360" w:lineRule="auto"/>
        <w:jc w:val="both"/>
        <w:rPr>
          <w:rFonts w:ascii="Times New Roman" w:hAnsi="Times New Roman" w:cs="Times New Roman"/>
          <w:sz w:val="24"/>
          <w:szCs w:val="24"/>
        </w:rPr>
      </w:pPr>
    </w:p>
    <w:p w14:paraId="34CEA73F" w14:textId="77777777" w:rsidR="00844FC6" w:rsidRPr="002559AC" w:rsidRDefault="00844FC6" w:rsidP="002559AC">
      <w:pPr>
        <w:spacing w:line="360" w:lineRule="auto"/>
        <w:jc w:val="both"/>
        <w:rPr>
          <w:rStyle w:val="Hyperlink"/>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Ikhuemein</w:t>
      </w:r>
      <w:proofErr w:type="spellEnd"/>
      <w:r w:rsidRPr="002559AC">
        <w:rPr>
          <w:rFonts w:ascii="Times New Roman" w:hAnsi="Times New Roman" w:cs="Times New Roman"/>
          <w:sz w:val="24"/>
          <w:szCs w:val="24"/>
        </w:rPr>
        <w:t xml:space="preserve">, O., </w:t>
      </w:r>
      <w:proofErr w:type="spellStart"/>
      <w:r w:rsidRPr="002559AC">
        <w:rPr>
          <w:rFonts w:ascii="Times New Roman" w:hAnsi="Times New Roman" w:cs="Times New Roman"/>
          <w:sz w:val="24"/>
          <w:szCs w:val="24"/>
        </w:rPr>
        <w:t>Akpata</w:t>
      </w:r>
      <w:proofErr w:type="spellEnd"/>
      <w:r w:rsidRPr="002559AC">
        <w:rPr>
          <w:rFonts w:ascii="Times New Roman" w:hAnsi="Times New Roman" w:cs="Times New Roman"/>
          <w:sz w:val="24"/>
          <w:szCs w:val="24"/>
        </w:rPr>
        <w:t xml:space="preserve">, C.B.N., </w:t>
      </w: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F.A, &amp; </w:t>
      </w:r>
      <w:proofErr w:type="spellStart"/>
      <w:r w:rsidRPr="002559AC">
        <w:rPr>
          <w:rFonts w:ascii="Times New Roman" w:hAnsi="Times New Roman" w:cs="Times New Roman"/>
          <w:sz w:val="24"/>
          <w:szCs w:val="24"/>
        </w:rPr>
        <w:t>Ndekhedehe</w:t>
      </w:r>
      <w:proofErr w:type="spellEnd"/>
      <w:r w:rsidRPr="002559AC">
        <w:rPr>
          <w:rFonts w:ascii="Times New Roman" w:hAnsi="Times New Roman" w:cs="Times New Roman"/>
          <w:sz w:val="24"/>
          <w:szCs w:val="24"/>
        </w:rPr>
        <w:t xml:space="preserve">, I.E. (2025). Multi-Drug Resistance Profile of Bacteria Isolates from Urinary Tract Infections Amongst Hospitalized Male Patients in Benin City. </w:t>
      </w:r>
      <w:r w:rsidRPr="002559AC">
        <w:rPr>
          <w:rFonts w:ascii="Times New Roman" w:hAnsi="Times New Roman" w:cs="Times New Roman"/>
          <w:i/>
          <w:iCs/>
          <w:sz w:val="24"/>
          <w:szCs w:val="24"/>
        </w:rPr>
        <w:t>Asian Journal of Research in Infectious Diseases,</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16</w:t>
      </w:r>
      <w:r w:rsidRPr="002559AC">
        <w:rPr>
          <w:rFonts w:ascii="Times New Roman" w:hAnsi="Times New Roman" w:cs="Times New Roman"/>
          <w:sz w:val="24"/>
          <w:szCs w:val="24"/>
        </w:rPr>
        <w:t xml:space="preserve"> (5), 25-34. </w:t>
      </w:r>
      <w:hyperlink r:id="rId9" w:history="1">
        <w:r w:rsidRPr="002559AC">
          <w:rPr>
            <w:rStyle w:val="Hyperlink"/>
            <w:rFonts w:ascii="Times New Roman" w:hAnsi="Times New Roman" w:cs="Times New Roman"/>
            <w:sz w:val="24"/>
            <w:szCs w:val="24"/>
          </w:rPr>
          <w:t>https://doi.org/10.9734/ajrid/2025/v16i5444</w:t>
        </w:r>
      </w:hyperlink>
    </w:p>
    <w:p w14:paraId="76F2FC77" w14:textId="77777777" w:rsidR="00844FC6" w:rsidRPr="002559AC" w:rsidRDefault="00844FC6" w:rsidP="002559AC">
      <w:pPr>
        <w:spacing w:line="360" w:lineRule="auto"/>
        <w:jc w:val="both"/>
        <w:rPr>
          <w:rStyle w:val="Hyperlink"/>
          <w:rFonts w:ascii="Times New Roman" w:hAnsi="Times New Roman" w:cs="Times New Roman"/>
          <w:sz w:val="24"/>
          <w:szCs w:val="24"/>
        </w:rPr>
      </w:pPr>
    </w:p>
    <w:p w14:paraId="62CC669A"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Ogbebor</w:t>
      </w:r>
      <w:proofErr w:type="spellEnd"/>
      <w:r w:rsidRPr="002559AC">
        <w:rPr>
          <w:rFonts w:ascii="Times New Roman" w:hAnsi="Times New Roman" w:cs="Times New Roman"/>
          <w:sz w:val="24"/>
          <w:szCs w:val="24"/>
        </w:rPr>
        <w:t xml:space="preserve">, A.O., </w:t>
      </w:r>
      <w:proofErr w:type="spellStart"/>
      <w:r w:rsidRPr="002559AC">
        <w:rPr>
          <w:rFonts w:ascii="Times New Roman" w:hAnsi="Times New Roman" w:cs="Times New Roman"/>
          <w:sz w:val="24"/>
          <w:szCs w:val="24"/>
        </w:rPr>
        <w:t>Asiriuwa</w:t>
      </w:r>
      <w:proofErr w:type="spellEnd"/>
      <w:r w:rsidRPr="002559AC">
        <w:rPr>
          <w:rFonts w:ascii="Times New Roman" w:hAnsi="Times New Roman" w:cs="Times New Roman"/>
          <w:sz w:val="24"/>
          <w:szCs w:val="24"/>
        </w:rPr>
        <w:t xml:space="preserve">, I., </w:t>
      </w:r>
      <w:proofErr w:type="spellStart"/>
      <w:r w:rsidRPr="002559AC">
        <w:rPr>
          <w:rFonts w:ascii="Times New Roman" w:hAnsi="Times New Roman" w:cs="Times New Roman"/>
          <w:sz w:val="24"/>
          <w:szCs w:val="24"/>
        </w:rPr>
        <w:t>Erhunmwunse</w:t>
      </w:r>
      <w:proofErr w:type="spellEnd"/>
      <w:r w:rsidRPr="002559AC">
        <w:rPr>
          <w:rFonts w:ascii="Times New Roman" w:hAnsi="Times New Roman" w:cs="Times New Roman"/>
          <w:sz w:val="24"/>
          <w:szCs w:val="24"/>
        </w:rPr>
        <w:t xml:space="preserve">, R.U., </w:t>
      </w:r>
      <w:proofErr w:type="spellStart"/>
      <w:r w:rsidRPr="002559AC">
        <w:rPr>
          <w:rFonts w:ascii="Times New Roman" w:hAnsi="Times New Roman" w:cs="Times New Roman"/>
          <w:sz w:val="24"/>
          <w:szCs w:val="24"/>
        </w:rPr>
        <w:t>Ayanlere</w:t>
      </w:r>
      <w:proofErr w:type="spellEnd"/>
      <w:r w:rsidRPr="002559AC">
        <w:rPr>
          <w:rFonts w:ascii="Times New Roman" w:hAnsi="Times New Roman" w:cs="Times New Roman"/>
          <w:sz w:val="24"/>
          <w:szCs w:val="24"/>
        </w:rPr>
        <w:t xml:space="preserve">, K.M., </w:t>
      </w:r>
      <w:proofErr w:type="spellStart"/>
      <w:r w:rsidRPr="002559AC">
        <w:rPr>
          <w:rFonts w:ascii="Times New Roman" w:hAnsi="Times New Roman" w:cs="Times New Roman"/>
          <w:sz w:val="24"/>
          <w:szCs w:val="24"/>
        </w:rPr>
        <w:t>Amengialue</w:t>
      </w:r>
      <w:proofErr w:type="spellEnd"/>
      <w:r w:rsidRPr="002559AC">
        <w:rPr>
          <w:rFonts w:ascii="Times New Roman" w:hAnsi="Times New Roman" w:cs="Times New Roman"/>
          <w:sz w:val="24"/>
          <w:szCs w:val="24"/>
        </w:rPr>
        <w:t xml:space="preserve">, O.O, </w:t>
      </w: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F.A., Ogbodo, E.C. (2025). Effect of Misuse of Antibiotics on Cytokine Patterns and Antibiogram of Bacteria Isolates from Surgical Site Infection in Benin City, Edo State, Nigeria. </w:t>
      </w:r>
      <w:r w:rsidRPr="002559AC">
        <w:rPr>
          <w:rFonts w:ascii="Times New Roman" w:hAnsi="Times New Roman" w:cs="Times New Roman"/>
          <w:i/>
          <w:sz w:val="24"/>
          <w:szCs w:val="24"/>
        </w:rPr>
        <w:t>Asian Journal of Medicine and Health</w:t>
      </w:r>
      <w:r w:rsidRPr="002559AC">
        <w:rPr>
          <w:rFonts w:ascii="Times New Roman" w:hAnsi="Times New Roman" w:cs="Times New Roman"/>
          <w:sz w:val="24"/>
          <w:szCs w:val="24"/>
        </w:rPr>
        <w:t xml:space="preserve">, 23(4), 153-162. </w:t>
      </w:r>
      <w:hyperlink r:id="rId10" w:history="1">
        <w:r w:rsidRPr="002559AC">
          <w:rPr>
            <w:rStyle w:val="Hyperlink"/>
            <w:rFonts w:ascii="Times New Roman" w:hAnsi="Times New Roman" w:cs="Times New Roman"/>
            <w:sz w:val="24"/>
            <w:szCs w:val="24"/>
          </w:rPr>
          <w:t>https://doi.org/10.9734/ajmah/2025/v23i41216</w:t>
        </w:r>
      </w:hyperlink>
      <w:r w:rsidRPr="002559AC">
        <w:rPr>
          <w:rFonts w:ascii="Times New Roman" w:hAnsi="Times New Roman" w:cs="Times New Roman"/>
          <w:sz w:val="24"/>
          <w:szCs w:val="24"/>
        </w:rPr>
        <w:t>.</w:t>
      </w:r>
    </w:p>
    <w:p w14:paraId="56890812" w14:textId="77777777" w:rsidR="00844FC6" w:rsidRPr="002559AC" w:rsidRDefault="00844FC6" w:rsidP="002559AC">
      <w:pPr>
        <w:spacing w:line="360" w:lineRule="auto"/>
        <w:jc w:val="both"/>
        <w:rPr>
          <w:rFonts w:ascii="Times New Roman" w:hAnsi="Times New Roman" w:cs="Times New Roman"/>
          <w:sz w:val="24"/>
          <w:szCs w:val="24"/>
        </w:rPr>
      </w:pPr>
    </w:p>
    <w:p w14:paraId="62078A7B"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Usifoh</w:t>
      </w:r>
      <w:proofErr w:type="spellEnd"/>
      <w:r w:rsidRPr="002559AC">
        <w:rPr>
          <w:rFonts w:ascii="Times New Roman" w:hAnsi="Times New Roman" w:cs="Times New Roman"/>
          <w:sz w:val="24"/>
          <w:szCs w:val="24"/>
        </w:rPr>
        <w:t xml:space="preserve">, A., </w:t>
      </w:r>
      <w:proofErr w:type="spellStart"/>
      <w:r w:rsidRPr="002559AC">
        <w:rPr>
          <w:rFonts w:ascii="Times New Roman" w:hAnsi="Times New Roman" w:cs="Times New Roman"/>
          <w:sz w:val="24"/>
          <w:szCs w:val="24"/>
        </w:rPr>
        <w:t>Erhunmwunse</w:t>
      </w:r>
      <w:proofErr w:type="spellEnd"/>
      <w:r w:rsidRPr="002559AC">
        <w:rPr>
          <w:rFonts w:ascii="Times New Roman" w:hAnsi="Times New Roman" w:cs="Times New Roman"/>
          <w:sz w:val="24"/>
          <w:szCs w:val="24"/>
        </w:rPr>
        <w:t xml:space="preserve">, R.U., &amp; </w:t>
      </w:r>
      <w:proofErr w:type="spellStart"/>
      <w:r w:rsidRPr="002559AC">
        <w:rPr>
          <w:rFonts w:ascii="Times New Roman" w:hAnsi="Times New Roman" w:cs="Times New Roman"/>
          <w:sz w:val="24"/>
          <w:szCs w:val="24"/>
        </w:rPr>
        <w:t>Maduka</w:t>
      </w:r>
      <w:proofErr w:type="spellEnd"/>
      <w:r w:rsidRPr="002559AC">
        <w:rPr>
          <w:rFonts w:ascii="Times New Roman" w:hAnsi="Times New Roman" w:cs="Times New Roman"/>
          <w:sz w:val="24"/>
          <w:szCs w:val="24"/>
        </w:rPr>
        <w:t xml:space="preserve">, N. (2025). Multi-Drug Resistance Profile of Bacteria Isolates Associated </w:t>
      </w:r>
      <w:proofErr w:type="gramStart"/>
      <w:r w:rsidRPr="002559AC">
        <w:rPr>
          <w:rFonts w:ascii="Times New Roman" w:hAnsi="Times New Roman" w:cs="Times New Roman"/>
          <w:sz w:val="24"/>
          <w:szCs w:val="24"/>
        </w:rPr>
        <w:t>With</w:t>
      </w:r>
      <w:proofErr w:type="gramEnd"/>
      <w:r w:rsidRPr="002559AC">
        <w:rPr>
          <w:rFonts w:ascii="Times New Roman" w:hAnsi="Times New Roman" w:cs="Times New Roman"/>
          <w:sz w:val="24"/>
          <w:szCs w:val="24"/>
        </w:rPr>
        <w:t xml:space="preserve"> Urinary Tract Infections Amongst Hospitalized Female Patients in Benin City, Nigeria. </w:t>
      </w:r>
      <w:r w:rsidRPr="002559AC">
        <w:rPr>
          <w:rFonts w:ascii="Times New Roman" w:hAnsi="Times New Roman" w:cs="Times New Roman"/>
          <w:i/>
          <w:iCs/>
          <w:sz w:val="24"/>
          <w:szCs w:val="24"/>
        </w:rPr>
        <w:t>South Asian Journal of Research in Microbiology</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 xml:space="preserve">19 </w:t>
      </w:r>
      <w:r w:rsidRPr="002559AC">
        <w:rPr>
          <w:rFonts w:ascii="Times New Roman" w:hAnsi="Times New Roman" w:cs="Times New Roman"/>
          <w:sz w:val="24"/>
          <w:szCs w:val="24"/>
        </w:rPr>
        <w:t xml:space="preserve">(5), 1-8. </w:t>
      </w:r>
      <w:hyperlink r:id="rId11" w:history="1">
        <w:r w:rsidRPr="002559AC">
          <w:rPr>
            <w:rStyle w:val="Hyperlink"/>
            <w:rFonts w:ascii="Times New Roman" w:hAnsi="Times New Roman" w:cs="Times New Roman"/>
            <w:sz w:val="24"/>
            <w:szCs w:val="24"/>
          </w:rPr>
          <w:t>https://doi.org/10.9734/sajrm/2025/v19i5432</w:t>
        </w:r>
      </w:hyperlink>
      <w:r w:rsidRPr="002559AC">
        <w:rPr>
          <w:rFonts w:ascii="Times New Roman" w:hAnsi="Times New Roman" w:cs="Times New Roman"/>
          <w:sz w:val="24"/>
          <w:szCs w:val="24"/>
        </w:rPr>
        <w:t>.</w:t>
      </w:r>
    </w:p>
    <w:p w14:paraId="565878C2" w14:textId="77777777" w:rsidR="00844FC6" w:rsidRPr="002559AC" w:rsidRDefault="00844FC6" w:rsidP="002559AC">
      <w:pPr>
        <w:spacing w:line="360" w:lineRule="auto"/>
        <w:jc w:val="both"/>
        <w:rPr>
          <w:rFonts w:ascii="Times New Roman" w:hAnsi="Times New Roman" w:cs="Times New Roman"/>
          <w:sz w:val="24"/>
          <w:szCs w:val="24"/>
        </w:rPr>
      </w:pPr>
    </w:p>
    <w:p w14:paraId="1B1D8FC8"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Fowora</w:t>
      </w:r>
      <w:proofErr w:type="spellEnd"/>
      <w:r w:rsidRPr="002559AC">
        <w:rPr>
          <w:rFonts w:ascii="Times New Roman" w:hAnsi="Times New Roman" w:cs="Times New Roman"/>
          <w:sz w:val="24"/>
          <w:szCs w:val="24"/>
        </w:rPr>
        <w:t xml:space="preserve">, M.A., </w:t>
      </w:r>
      <w:proofErr w:type="spellStart"/>
      <w:r w:rsidRPr="002559AC">
        <w:rPr>
          <w:rFonts w:ascii="Times New Roman" w:hAnsi="Times New Roman" w:cs="Times New Roman"/>
          <w:sz w:val="24"/>
          <w:szCs w:val="24"/>
        </w:rPr>
        <w:t>Osuolale</w:t>
      </w:r>
      <w:proofErr w:type="spellEnd"/>
      <w:r w:rsidRPr="002559AC">
        <w:rPr>
          <w:rFonts w:ascii="Times New Roman" w:hAnsi="Times New Roman" w:cs="Times New Roman"/>
          <w:sz w:val="24"/>
          <w:szCs w:val="24"/>
        </w:rPr>
        <w:t xml:space="preserve">, K.A., Ogunsanya, J., </w:t>
      </w:r>
      <w:proofErr w:type="spellStart"/>
      <w:r w:rsidRPr="002559AC">
        <w:rPr>
          <w:rFonts w:ascii="Times New Roman" w:hAnsi="Times New Roman" w:cs="Times New Roman"/>
          <w:sz w:val="24"/>
          <w:szCs w:val="24"/>
        </w:rPr>
        <w:t>Onyeaghasiri</w:t>
      </w:r>
      <w:proofErr w:type="spellEnd"/>
      <w:r w:rsidRPr="002559AC">
        <w:rPr>
          <w:rFonts w:ascii="Times New Roman" w:hAnsi="Times New Roman" w:cs="Times New Roman"/>
          <w:sz w:val="24"/>
          <w:szCs w:val="24"/>
        </w:rPr>
        <w:t>, F.U., Edu-</w:t>
      </w:r>
      <w:proofErr w:type="spellStart"/>
      <w:r w:rsidRPr="002559AC">
        <w:rPr>
          <w:rFonts w:ascii="Times New Roman" w:hAnsi="Times New Roman" w:cs="Times New Roman"/>
          <w:sz w:val="24"/>
          <w:szCs w:val="24"/>
        </w:rPr>
        <w:t>Muyideen</w:t>
      </w:r>
      <w:proofErr w:type="spellEnd"/>
      <w:r w:rsidRPr="002559AC">
        <w:rPr>
          <w:rFonts w:ascii="Times New Roman" w:hAnsi="Times New Roman" w:cs="Times New Roman"/>
          <w:sz w:val="24"/>
          <w:szCs w:val="24"/>
        </w:rPr>
        <w:t xml:space="preserve">, I.O., Akintunde, G., &amp; </w:t>
      </w:r>
      <w:proofErr w:type="spellStart"/>
      <w:r w:rsidRPr="002559AC">
        <w:rPr>
          <w:rFonts w:ascii="Times New Roman" w:hAnsi="Times New Roman" w:cs="Times New Roman"/>
          <w:sz w:val="24"/>
          <w:szCs w:val="24"/>
        </w:rPr>
        <w:t>Iwalokun</w:t>
      </w:r>
      <w:proofErr w:type="spellEnd"/>
      <w:r w:rsidRPr="002559AC">
        <w:rPr>
          <w:rFonts w:ascii="Times New Roman" w:hAnsi="Times New Roman" w:cs="Times New Roman"/>
          <w:sz w:val="24"/>
          <w:szCs w:val="24"/>
        </w:rPr>
        <w:t xml:space="preserve">, B. (2021). Prevalence and Risk Factors of Asymptomatic Bacteriuria Among Apparently Healthy Women in Lagos, Nigeria. </w:t>
      </w:r>
      <w:r w:rsidRPr="002559AC">
        <w:rPr>
          <w:rFonts w:ascii="Times New Roman" w:hAnsi="Times New Roman" w:cs="Times New Roman"/>
          <w:i/>
          <w:sz w:val="24"/>
          <w:szCs w:val="24"/>
        </w:rPr>
        <w:t>World Journal of Public Health</w:t>
      </w:r>
      <w:r w:rsidRPr="002559AC">
        <w:rPr>
          <w:rFonts w:ascii="Times New Roman" w:hAnsi="Times New Roman" w:cs="Times New Roman"/>
          <w:sz w:val="24"/>
          <w:szCs w:val="24"/>
        </w:rPr>
        <w:t>, 6(4), 204-208. https://doi.org/10.11648/j.wjph.20210604.20</w:t>
      </w:r>
    </w:p>
    <w:p w14:paraId="5821B54F" w14:textId="77777777" w:rsidR="00844FC6" w:rsidRPr="002559AC" w:rsidRDefault="00844FC6" w:rsidP="002559AC">
      <w:pPr>
        <w:spacing w:line="360" w:lineRule="auto"/>
        <w:jc w:val="both"/>
        <w:rPr>
          <w:rFonts w:ascii="Times New Roman" w:hAnsi="Times New Roman" w:cs="Times New Roman"/>
          <w:sz w:val="24"/>
          <w:szCs w:val="24"/>
        </w:rPr>
      </w:pPr>
    </w:p>
    <w:p w14:paraId="203586B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Foxman, B. (2014). Urinary tract infection syndromes: occurrence, recurrence, bacteriology, risk factors, and disease burden.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(1), 1–13. https://doi.org/10.1016/j.idc.2013.09.003</w:t>
      </w:r>
    </w:p>
    <w:p w14:paraId="407F0835" w14:textId="77777777" w:rsidR="00844FC6" w:rsidRPr="002559AC" w:rsidRDefault="00844FC6" w:rsidP="002559AC">
      <w:pPr>
        <w:spacing w:line="360" w:lineRule="auto"/>
        <w:jc w:val="both"/>
        <w:rPr>
          <w:rFonts w:ascii="Times New Roman" w:hAnsi="Times New Roman" w:cs="Times New Roman"/>
          <w:sz w:val="24"/>
          <w:szCs w:val="24"/>
        </w:rPr>
      </w:pPr>
    </w:p>
    <w:p w14:paraId="646AA348"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Geurtsen</w:t>
      </w:r>
      <w:proofErr w:type="spellEnd"/>
      <w:r w:rsidRPr="002559AC">
        <w:rPr>
          <w:rFonts w:ascii="Times New Roman" w:hAnsi="Times New Roman" w:cs="Times New Roman"/>
          <w:sz w:val="24"/>
          <w:szCs w:val="24"/>
        </w:rPr>
        <w:t xml:space="preserve">, J., de Been, M., </w:t>
      </w:r>
      <w:proofErr w:type="spellStart"/>
      <w:r w:rsidRPr="002559AC">
        <w:rPr>
          <w:rFonts w:ascii="Times New Roman" w:hAnsi="Times New Roman" w:cs="Times New Roman"/>
          <w:sz w:val="24"/>
          <w:szCs w:val="24"/>
        </w:rPr>
        <w:t>Weerdenburg</w:t>
      </w:r>
      <w:proofErr w:type="spellEnd"/>
      <w:r w:rsidRPr="002559AC">
        <w:rPr>
          <w:rFonts w:ascii="Times New Roman" w:hAnsi="Times New Roman" w:cs="Times New Roman"/>
          <w:sz w:val="24"/>
          <w:szCs w:val="24"/>
        </w:rPr>
        <w:t xml:space="preserve">, E., Zomer, A., McNally, A., &amp; Poolman, J. (2022). Genomics and pathotypes of the many faces of Escherichia coli. </w:t>
      </w:r>
      <w:r w:rsidRPr="002559AC">
        <w:rPr>
          <w:rFonts w:ascii="Times New Roman" w:hAnsi="Times New Roman" w:cs="Times New Roman"/>
          <w:i/>
          <w:iCs/>
          <w:sz w:val="24"/>
          <w:szCs w:val="24"/>
        </w:rPr>
        <w:t>FEMS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46</w:t>
      </w:r>
      <w:r w:rsidRPr="002559AC">
        <w:rPr>
          <w:rFonts w:ascii="Times New Roman" w:hAnsi="Times New Roman" w:cs="Times New Roman"/>
          <w:sz w:val="24"/>
          <w:szCs w:val="24"/>
        </w:rPr>
        <w:t>(6), fuac031. https://doi.org/10.1093/femsre/fuac031</w:t>
      </w:r>
    </w:p>
    <w:p w14:paraId="6A06ECAD" w14:textId="77777777" w:rsidR="00844FC6" w:rsidRPr="002559AC" w:rsidRDefault="00844FC6" w:rsidP="002559AC">
      <w:pPr>
        <w:spacing w:line="360" w:lineRule="auto"/>
        <w:jc w:val="both"/>
        <w:rPr>
          <w:rFonts w:ascii="Times New Roman" w:hAnsi="Times New Roman" w:cs="Times New Roman"/>
          <w:sz w:val="24"/>
          <w:szCs w:val="24"/>
        </w:rPr>
      </w:pPr>
    </w:p>
    <w:p w14:paraId="26B29BCA"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Holmes, A. H., Moore, L. S., </w:t>
      </w:r>
      <w:proofErr w:type="spellStart"/>
      <w:r w:rsidRPr="002559AC">
        <w:rPr>
          <w:rFonts w:ascii="Times New Roman" w:hAnsi="Times New Roman" w:cs="Times New Roman"/>
          <w:sz w:val="24"/>
          <w:szCs w:val="24"/>
        </w:rPr>
        <w:t>Sundsfjord</w:t>
      </w:r>
      <w:proofErr w:type="spellEnd"/>
      <w:r w:rsidRPr="002559AC">
        <w:rPr>
          <w:rFonts w:ascii="Times New Roman" w:hAnsi="Times New Roman" w:cs="Times New Roman"/>
          <w:sz w:val="24"/>
          <w:szCs w:val="24"/>
        </w:rPr>
        <w:t xml:space="preserve">, A., Steinbakk, M., Regmi, S., </w:t>
      </w:r>
      <w:proofErr w:type="spellStart"/>
      <w:r w:rsidRPr="002559AC">
        <w:rPr>
          <w:rFonts w:ascii="Times New Roman" w:hAnsi="Times New Roman" w:cs="Times New Roman"/>
          <w:sz w:val="24"/>
          <w:szCs w:val="24"/>
        </w:rPr>
        <w:t>Karkey</w:t>
      </w:r>
      <w:proofErr w:type="spellEnd"/>
      <w:r w:rsidRPr="002559AC">
        <w:rPr>
          <w:rFonts w:ascii="Times New Roman" w:hAnsi="Times New Roman" w:cs="Times New Roman"/>
          <w:sz w:val="24"/>
          <w:szCs w:val="24"/>
        </w:rPr>
        <w:t xml:space="preserve">, A., Guerin, P. J., &amp; Piddock, L. J. (2016). Understanding the mechanisms and drivers of antimicrobial resistance.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176–187. https://doi.org/10.1016/S0140-6736(15)00473-0</w:t>
      </w:r>
    </w:p>
    <w:p w14:paraId="2D0F6049" w14:textId="77777777" w:rsidR="00844FC6" w:rsidRPr="002559AC" w:rsidRDefault="00844FC6" w:rsidP="002559AC">
      <w:pPr>
        <w:spacing w:line="360" w:lineRule="auto"/>
        <w:jc w:val="both"/>
        <w:rPr>
          <w:rFonts w:ascii="Times New Roman" w:hAnsi="Times New Roman" w:cs="Times New Roman"/>
          <w:sz w:val="24"/>
          <w:szCs w:val="24"/>
        </w:rPr>
      </w:pPr>
    </w:p>
    <w:p w14:paraId="41EDAA6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Kwiecinski, J. M., &amp; Horswill, A. R. (2020). Staphylococcus aureus bloodstream infections: pathogenesis and regulatory mechanisms. </w:t>
      </w:r>
      <w:r w:rsidRPr="002559AC">
        <w:rPr>
          <w:rFonts w:ascii="Times New Roman" w:hAnsi="Times New Roman" w:cs="Times New Roman"/>
          <w:i/>
          <w:iCs/>
          <w:sz w:val="24"/>
          <w:szCs w:val="24"/>
        </w:rPr>
        <w:t>Current Opinion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53</w:t>
      </w:r>
      <w:r w:rsidRPr="002559AC">
        <w:rPr>
          <w:rFonts w:ascii="Times New Roman" w:hAnsi="Times New Roman" w:cs="Times New Roman"/>
          <w:sz w:val="24"/>
          <w:szCs w:val="24"/>
        </w:rPr>
        <w:t xml:space="preserve">, 51–60. </w:t>
      </w:r>
      <w:hyperlink r:id="rId12" w:history="1">
        <w:r w:rsidRPr="002559AC">
          <w:rPr>
            <w:rStyle w:val="Hyperlink"/>
            <w:rFonts w:ascii="Times New Roman" w:hAnsi="Times New Roman" w:cs="Times New Roman"/>
            <w:sz w:val="24"/>
            <w:szCs w:val="24"/>
          </w:rPr>
          <w:t>https://doi.org/10.1016/j.mib.2020.02.005</w:t>
        </w:r>
      </w:hyperlink>
    </w:p>
    <w:p w14:paraId="55B03CF7" w14:textId="77777777" w:rsidR="00844FC6" w:rsidRPr="002559AC" w:rsidRDefault="00844FC6" w:rsidP="002559AC">
      <w:pPr>
        <w:spacing w:line="360" w:lineRule="auto"/>
        <w:jc w:val="both"/>
        <w:rPr>
          <w:rFonts w:ascii="Times New Roman" w:hAnsi="Times New Roman" w:cs="Times New Roman"/>
          <w:sz w:val="24"/>
          <w:szCs w:val="24"/>
        </w:rPr>
      </w:pPr>
    </w:p>
    <w:p w14:paraId="651FA4F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Laxminarayan, R., Matsoso, P., Pant, S., Brower, C., </w:t>
      </w:r>
      <w:proofErr w:type="spellStart"/>
      <w:r w:rsidRPr="002559AC">
        <w:rPr>
          <w:rFonts w:ascii="Times New Roman" w:hAnsi="Times New Roman" w:cs="Times New Roman"/>
          <w:sz w:val="24"/>
          <w:szCs w:val="24"/>
        </w:rPr>
        <w:t>Røttingen</w:t>
      </w:r>
      <w:proofErr w:type="spellEnd"/>
      <w:r w:rsidRPr="002559AC">
        <w:rPr>
          <w:rFonts w:ascii="Times New Roman" w:hAnsi="Times New Roman" w:cs="Times New Roman"/>
          <w:sz w:val="24"/>
          <w:szCs w:val="24"/>
        </w:rPr>
        <w:t xml:space="preserve">, J. A., Klugman, K., &amp; Davies, S. (2016). Access to effective antimicrobials: a worldwide challenge.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168–175. https://doi.org/10.1016/S0140-6736(15)00474-2</w:t>
      </w:r>
    </w:p>
    <w:p w14:paraId="0A09BF9A" w14:textId="77777777" w:rsidR="00844FC6" w:rsidRPr="002559AC" w:rsidRDefault="00844FC6" w:rsidP="002559AC">
      <w:pPr>
        <w:spacing w:line="360" w:lineRule="auto"/>
        <w:jc w:val="both"/>
        <w:rPr>
          <w:rFonts w:ascii="Times New Roman" w:hAnsi="Times New Roman" w:cs="Times New Roman"/>
          <w:sz w:val="24"/>
          <w:szCs w:val="24"/>
        </w:rPr>
      </w:pPr>
    </w:p>
    <w:p w14:paraId="33083F2D" w14:textId="77777777" w:rsidR="00844FC6" w:rsidRPr="002559AC" w:rsidRDefault="00844FC6" w:rsidP="002559AC">
      <w:pPr>
        <w:spacing w:line="360" w:lineRule="auto"/>
        <w:jc w:val="both"/>
        <w:rPr>
          <w:rFonts w:ascii="Times New Roman" w:hAnsi="Times New Roman" w:cs="Times New Roman"/>
          <w:sz w:val="24"/>
          <w:szCs w:val="24"/>
        </w:rPr>
      </w:pPr>
    </w:p>
    <w:p w14:paraId="5E6C7F15"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Lin, D. M., </w:t>
      </w:r>
      <w:proofErr w:type="spellStart"/>
      <w:r w:rsidRPr="002559AC">
        <w:rPr>
          <w:rFonts w:ascii="Times New Roman" w:hAnsi="Times New Roman" w:cs="Times New Roman"/>
          <w:sz w:val="24"/>
          <w:szCs w:val="24"/>
        </w:rPr>
        <w:t>Koskella</w:t>
      </w:r>
      <w:proofErr w:type="spellEnd"/>
      <w:r w:rsidRPr="002559AC">
        <w:rPr>
          <w:rFonts w:ascii="Times New Roman" w:hAnsi="Times New Roman" w:cs="Times New Roman"/>
          <w:sz w:val="24"/>
          <w:szCs w:val="24"/>
        </w:rPr>
        <w:t xml:space="preserve">, B., &amp; Lin, H. C. (2017). Phage therapy: An alternative to antibiotics in the age of multi-drug resistance. </w:t>
      </w:r>
      <w:r w:rsidRPr="002559AC">
        <w:rPr>
          <w:rFonts w:ascii="Times New Roman" w:hAnsi="Times New Roman" w:cs="Times New Roman"/>
          <w:i/>
          <w:iCs/>
          <w:sz w:val="24"/>
          <w:szCs w:val="24"/>
        </w:rPr>
        <w:t>World journal of Gastrointestinal Pharmacology and Therapeutics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8</w:t>
      </w:r>
      <w:r w:rsidRPr="002559AC">
        <w:rPr>
          <w:rFonts w:ascii="Times New Roman" w:hAnsi="Times New Roman" w:cs="Times New Roman"/>
          <w:sz w:val="24"/>
          <w:szCs w:val="24"/>
        </w:rPr>
        <w:t xml:space="preserve">(3), 162–173. </w:t>
      </w:r>
      <w:hyperlink r:id="rId13" w:history="1">
        <w:r w:rsidRPr="002559AC">
          <w:rPr>
            <w:rStyle w:val="Hyperlink"/>
            <w:rFonts w:ascii="Times New Roman" w:hAnsi="Times New Roman" w:cs="Times New Roman"/>
            <w:sz w:val="24"/>
            <w:szCs w:val="24"/>
          </w:rPr>
          <w:t>https://doi.org/10.4292/wjgpt.v8.i3.162</w:t>
        </w:r>
      </w:hyperlink>
    </w:p>
    <w:p w14:paraId="03542B63" w14:textId="77777777" w:rsidR="00844FC6" w:rsidRPr="002559AC" w:rsidRDefault="00844FC6" w:rsidP="002559AC">
      <w:pPr>
        <w:spacing w:line="360" w:lineRule="auto"/>
        <w:jc w:val="both"/>
        <w:rPr>
          <w:rFonts w:ascii="Times New Roman" w:hAnsi="Times New Roman" w:cs="Times New Roman"/>
          <w:sz w:val="24"/>
          <w:szCs w:val="24"/>
        </w:rPr>
      </w:pPr>
    </w:p>
    <w:p w14:paraId="4F1137E0"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Liu, A., Garrett, S., Hong, W., &amp; Zhang, J. (2024).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Infections and Human Intestinal Microbiota. </w:t>
      </w:r>
      <w:r w:rsidRPr="002559AC">
        <w:rPr>
          <w:rStyle w:val="Emphasis"/>
          <w:rFonts w:ascii="Times New Roman" w:hAnsi="Times New Roman" w:cs="Times New Roman"/>
          <w:sz w:val="24"/>
          <w:szCs w:val="24"/>
        </w:rPr>
        <w:t>Pathogens</w:t>
      </w:r>
      <w:r w:rsidRPr="002559AC">
        <w:rPr>
          <w:rFonts w:ascii="Times New Roman" w:hAnsi="Times New Roman" w:cs="Times New Roman"/>
          <w:sz w:val="24"/>
          <w:szCs w:val="24"/>
        </w:rPr>
        <w:t xml:space="preserve">, </w:t>
      </w:r>
      <w:r w:rsidRPr="002559AC">
        <w:rPr>
          <w:rStyle w:val="Emphasis"/>
          <w:rFonts w:ascii="Times New Roman" w:hAnsi="Times New Roman" w:cs="Times New Roman"/>
          <w:sz w:val="24"/>
          <w:szCs w:val="24"/>
        </w:rPr>
        <w:t>13</w:t>
      </w:r>
      <w:r w:rsidRPr="002559AC">
        <w:rPr>
          <w:rFonts w:ascii="Times New Roman" w:hAnsi="Times New Roman" w:cs="Times New Roman"/>
          <w:sz w:val="24"/>
          <w:szCs w:val="24"/>
        </w:rPr>
        <w:t xml:space="preserve">(4), 276. </w:t>
      </w:r>
      <w:hyperlink r:id="rId14" w:history="1">
        <w:r w:rsidRPr="002559AC">
          <w:rPr>
            <w:rStyle w:val="Hyperlink"/>
            <w:rFonts w:ascii="Times New Roman" w:hAnsi="Times New Roman" w:cs="Times New Roman"/>
            <w:sz w:val="24"/>
            <w:szCs w:val="24"/>
          </w:rPr>
          <w:t>https://doi.org/10.3390/pathogens13040276</w:t>
        </w:r>
      </w:hyperlink>
    </w:p>
    <w:p w14:paraId="62996E15" w14:textId="77777777" w:rsidR="00844FC6" w:rsidRPr="002559AC" w:rsidRDefault="00844FC6" w:rsidP="002559AC">
      <w:pPr>
        <w:spacing w:line="360" w:lineRule="auto"/>
        <w:jc w:val="both"/>
        <w:rPr>
          <w:rFonts w:ascii="Times New Roman" w:hAnsi="Times New Roman" w:cs="Times New Roman"/>
          <w:sz w:val="24"/>
          <w:szCs w:val="24"/>
        </w:rPr>
      </w:pPr>
    </w:p>
    <w:p w14:paraId="33210714"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Mackie, T. J., McCartney, J.E. (2006) </w:t>
      </w:r>
      <w:r w:rsidRPr="002559AC">
        <w:rPr>
          <w:rFonts w:ascii="Times New Roman" w:hAnsi="Times New Roman" w:cs="Times New Roman"/>
          <w:i/>
          <w:iCs/>
          <w:sz w:val="24"/>
          <w:szCs w:val="24"/>
        </w:rPr>
        <w:t>Mackie &amp; McCartney Practical Medical Microbiology</w:t>
      </w:r>
      <w:r w:rsidRPr="002559AC">
        <w:rPr>
          <w:rFonts w:ascii="Times New Roman" w:hAnsi="Times New Roman" w:cs="Times New Roman"/>
          <w:sz w:val="24"/>
          <w:szCs w:val="24"/>
        </w:rPr>
        <w:t>. 14th ed. Churchill Livingstone.</w:t>
      </w:r>
    </w:p>
    <w:p w14:paraId="15194FE1" w14:textId="77777777" w:rsidR="00844FC6" w:rsidRPr="002559AC" w:rsidRDefault="00844FC6" w:rsidP="002559AC">
      <w:pPr>
        <w:spacing w:line="360" w:lineRule="auto"/>
        <w:jc w:val="both"/>
        <w:rPr>
          <w:rFonts w:ascii="Times New Roman" w:hAnsi="Times New Roman" w:cs="Times New Roman"/>
          <w:sz w:val="24"/>
          <w:szCs w:val="24"/>
        </w:rPr>
      </w:pPr>
    </w:p>
    <w:p w14:paraId="071A1467"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Manges, A.R., Geum, H.M., Guo, A., </w:t>
      </w:r>
      <w:proofErr w:type="spellStart"/>
      <w:r w:rsidRPr="002559AC">
        <w:rPr>
          <w:rFonts w:ascii="Times New Roman" w:hAnsi="Times New Roman" w:cs="Times New Roman"/>
          <w:sz w:val="24"/>
          <w:szCs w:val="24"/>
        </w:rPr>
        <w:t>Edens</w:t>
      </w:r>
      <w:proofErr w:type="spellEnd"/>
      <w:r w:rsidRPr="002559AC">
        <w:rPr>
          <w:rFonts w:ascii="Times New Roman" w:hAnsi="Times New Roman" w:cs="Times New Roman"/>
          <w:sz w:val="24"/>
          <w:szCs w:val="24"/>
        </w:rPr>
        <w:t xml:space="preserve">, T.J., </w:t>
      </w:r>
      <w:proofErr w:type="spellStart"/>
      <w:r w:rsidRPr="002559AC">
        <w:rPr>
          <w:rFonts w:ascii="Times New Roman" w:hAnsi="Times New Roman" w:cs="Times New Roman"/>
          <w:sz w:val="24"/>
          <w:szCs w:val="24"/>
        </w:rPr>
        <w:t>Fibke</w:t>
      </w:r>
      <w:proofErr w:type="spellEnd"/>
      <w:r w:rsidRPr="002559AC">
        <w:rPr>
          <w:rFonts w:ascii="Times New Roman" w:hAnsi="Times New Roman" w:cs="Times New Roman"/>
          <w:sz w:val="24"/>
          <w:szCs w:val="24"/>
        </w:rPr>
        <w:t xml:space="preserve">, C.D., &amp; </w:t>
      </w:r>
      <w:proofErr w:type="spellStart"/>
      <w:r w:rsidRPr="002559AC">
        <w:rPr>
          <w:rFonts w:ascii="Times New Roman" w:hAnsi="Times New Roman" w:cs="Times New Roman"/>
          <w:sz w:val="24"/>
          <w:szCs w:val="24"/>
        </w:rPr>
        <w:t>Pitout</w:t>
      </w:r>
      <w:proofErr w:type="spellEnd"/>
      <w:r w:rsidRPr="002559AC">
        <w:rPr>
          <w:rFonts w:ascii="Times New Roman" w:hAnsi="Times New Roman" w:cs="Times New Roman"/>
          <w:sz w:val="24"/>
          <w:szCs w:val="24"/>
        </w:rPr>
        <w:t>, J.D.D. (2019). Global Extraintestinal Pathogenic Escherichia coli (</w:t>
      </w:r>
      <w:proofErr w:type="spellStart"/>
      <w:r w:rsidRPr="002559AC">
        <w:rPr>
          <w:rFonts w:ascii="Times New Roman" w:hAnsi="Times New Roman" w:cs="Times New Roman"/>
          <w:sz w:val="24"/>
          <w:szCs w:val="24"/>
        </w:rPr>
        <w:t>ExPEC</w:t>
      </w:r>
      <w:proofErr w:type="spellEnd"/>
      <w:r w:rsidRPr="002559AC">
        <w:rPr>
          <w:rFonts w:ascii="Times New Roman" w:hAnsi="Times New Roman" w:cs="Times New Roman"/>
          <w:sz w:val="24"/>
          <w:szCs w:val="24"/>
        </w:rPr>
        <w:t xml:space="preserve">) Lineages.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32</w:t>
      </w:r>
      <w:r w:rsidRPr="002559AC">
        <w:rPr>
          <w:rFonts w:ascii="Times New Roman" w:hAnsi="Times New Roman" w:cs="Times New Roman"/>
          <w:sz w:val="24"/>
          <w:szCs w:val="24"/>
        </w:rPr>
        <w:t>(3), e00135-18. https://doi.org/10.1128/CMR.00135-18</w:t>
      </w:r>
    </w:p>
    <w:p w14:paraId="0E8D6699" w14:textId="77777777" w:rsidR="00844FC6" w:rsidRPr="002559AC" w:rsidRDefault="00844FC6" w:rsidP="002559AC">
      <w:pPr>
        <w:spacing w:line="360" w:lineRule="auto"/>
        <w:jc w:val="both"/>
        <w:rPr>
          <w:rFonts w:ascii="Times New Roman" w:hAnsi="Times New Roman" w:cs="Times New Roman"/>
          <w:sz w:val="24"/>
          <w:szCs w:val="24"/>
        </w:rPr>
      </w:pPr>
    </w:p>
    <w:p w14:paraId="61A5B16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Nicolle, L.E. (2013). Antimicrobial resistance in community-acquired Escherichia coli isolated from urinary infection: Good news or </w:t>
      </w:r>
      <w:proofErr w:type="gramStart"/>
      <w:r w:rsidRPr="002559AC">
        <w:rPr>
          <w:rFonts w:ascii="Times New Roman" w:hAnsi="Times New Roman" w:cs="Times New Roman"/>
          <w:sz w:val="24"/>
          <w:szCs w:val="24"/>
        </w:rPr>
        <w:t>bad?.</w:t>
      </w:r>
      <w:proofErr w:type="gram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 xml:space="preserve">The Canadian Journal of Infectious Diseases &amp; Medical Microbiology = Journal </w:t>
      </w:r>
      <w:proofErr w:type="spellStart"/>
      <w:r w:rsidRPr="002559AC">
        <w:rPr>
          <w:rFonts w:ascii="Times New Roman" w:hAnsi="Times New Roman" w:cs="Times New Roman"/>
          <w:i/>
          <w:iCs/>
          <w:sz w:val="24"/>
          <w:szCs w:val="24"/>
        </w:rPr>
        <w:t>Canadien</w:t>
      </w:r>
      <w:proofErr w:type="spellEnd"/>
      <w:r w:rsidRPr="002559AC">
        <w:rPr>
          <w:rFonts w:ascii="Times New Roman" w:hAnsi="Times New Roman" w:cs="Times New Roman"/>
          <w:i/>
          <w:iCs/>
          <w:sz w:val="24"/>
          <w:szCs w:val="24"/>
        </w:rPr>
        <w:t xml:space="preserve"> des Maladies </w:t>
      </w:r>
      <w:proofErr w:type="spellStart"/>
      <w:r w:rsidRPr="002559AC">
        <w:rPr>
          <w:rFonts w:ascii="Times New Roman" w:hAnsi="Times New Roman" w:cs="Times New Roman"/>
          <w:i/>
          <w:iCs/>
          <w:sz w:val="24"/>
          <w:szCs w:val="24"/>
        </w:rPr>
        <w:t>Infectieuses</w:t>
      </w:r>
      <w:proofErr w:type="spellEnd"/>
      <w:r w:rsidRPr="002559AC">
        <w:rPr>
          <w:rFonts w:ascii="Times New Roman" w:hAnsi="Times New Roman" w:cs="Times New Roman"/>
          <w:i/>
          <w:iCs/>
          <w:sz w:val="24"/>
          <w:szCs w:val="24"/>
        </w:rPr>
        <w:t xml:space="preserve"> et de la </w:t>
      </w:r>
      <w:proofErr w:type="spellStart"/>
      <w:r w:rsidRPr="002559AC">
        <w:rPr>
          <w:rFonts w:ascii="Times New Roman" w:hAnsi="Times New Roman" w:cs="Times New Roman"/>
          <w:i/>
          <w:iCs/>
          <w:sz w:val="24"/>
          <w:szCs w:val="24"/>
        </w:rPr>
        <w:t>Microbiologie</w:t>
      </w:r>
      <w:proofErr w:type="spellEnd"/>
      <w:r w:rsidRPr="002559AC">
        <w:rPr>
          <w:rFonts w:ascii="Times New Roman" w:hAnsi="Times New Roman" w:cs="Times New Roman"/>
          <w:i/>
          <w:iCs/>
          <w:sz w:val="24"/>
          <w:szCs w:val="24"/>
        </w:rPr>
        <w:t xml:space="preserve"> </w:t>
      </w:r>
      <w:proofErr w:type="spellStart"/>
      <w:r w:rsidRPr="002559AC">
        <w:rPr>
          <w:rFonts w:ascii="Times New Roman" w:hAnsi="Times New Roman" w:cs="Times New Roman"/>
          <w:i/>
          <w:iCs/>
          <w:sz w:val="24"/>
          <w:szCs w:val="24"/>
        </w:rPr>
        <w:t>Medicale</w:t>
      </w:r>
      <w:proofErr w:type="spell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24</w:t>
      </w:r>
      <w:r w:rsidRPr="002559AC">
        <w:rPr>
          <w:rFonts w:ascii="Times New Roman" w:hAnsi="Times New Roman" w:cs="Times New Roman"/>
          <w:sz w:val="24"/>
          <w:szCs w:val="24"/>
        </w:rPr>
        <w:t>(3), 123–124. https://doi.org/10.1155/2013/182615</w:t>
      </w:r>
    </w:p>
    <w:p w14:paraId="2C92C01D" w14:textId="77777777" w:rsidR="00844FC6" w:rsidRPr="002559AC" w:rsidRDefault="00844FC6" w:rsidP="002559AC">
      <w:pPr>
        <w:spacing w:line="360" w:lineRule="auto"/>
        <w:jc w:val="both"/>
        <w:rPr>
          <w:rFonts w:ascii="Times New Roman" w:hAnsi="Times New Roman" w:cs="Times New Roman"/>
          <w:i/>
          <w:sz w:val="24"/>
          <w:szCs w:val="24"/>
        </w:rPr>
      </w:pPr>
    </w:p>
    <w:p w14:paraId="14E0E544"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Pakbin</w:t>
      </w:r>
      <w:proofErr w:type="spellEnd"/>
      <w:r w:rsidRPr="002559AC">
        <w:rPr>
          <w:rFonts w:ascii="Times New Roman" w:hAnsi="Times New Roman" w:cs="Times New Roman"/>
          <w:sz w:val="24"/>
          <w:szCs w:val="24"/>
        </w:rPr>
        <w:t xml:space="preserve">, B., Brück, W. M., &amp; Rossen, J.W. A. (2021). Virulence Factors of Enteric Pathogenic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 Review. </w:t>
      </w:r>
      <w:r w:rsidRPr="002559AC">
        <w:rPr>
          <w:rFonts w:ascii="Times New Roman" w:hAnsi="Times New Roman" w:cs="Times New Roman"/>
          <w:i/>
          <w:iCs/>
          <w:sz w:val="24"/>
          <w:szCs w:val="24"/>
        </w:rPr>
        <w:t>International Journal of Molecular Sciences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22</w:t>
      </w:r>
      <w:r w:rsidRPr="002559AC">
        <w:rPr>
          <w:rFonts w:ascii="Times New Roman" w:hAnsi="Times New Roman" w:cs="Times New Roman"/>
          <w:sz w:val="24"/>
          <w:szCs w:val="24"/>
        </w:rPr>
        <w:t>(18), 9922. https://doi.org/10.3390/ijms22189922</w:t>
      </w:r>
    </w:p>
    <w:p w14:paraId="12C8152F" w14:textId="77777777" w:rsidR="00844FC6" w:rsidRPr="002559AC" w:rsidRDefault="00844FC6" w:rsidP="002559AC">
      <w:pPr>
        <w:spacing w:line="360" w:lineRule="auto"/>
        <w:jc w:val="both"/>
        <w:rPr>
          <w:rFonts w:ascii="Times New Roman" w:hAnsi="Times New Roman" w:cs="Times New Roman"/>
          <w:sz w:val="24"/>
          <w:szCs w:val="24"/>
        </w:rPr>
      </w:pPr>
    </w:p>
    <w:p w14:paraId="20E15763" w14:textId="77777777" w:rsidR="00844FC6" w:rsidRPr="002559AC" w:rsidRDefault="00844FC6" w:rsidP="002559AC">
      <w:pPr>
        <w:spacing w:line="360" w:lineRule="auto"/>
        <w:jc w:val="both"/>
        <w:rPr>
          <w:rFonts w:ascii="Times New Roman" w:hAnsi="Times New Roman" w:cs="Times New Roman"/>
          <w:sz w:val="24"/>
          <w:szCs w:val="24"/>
        </w:rPr>
      </w:pPr>
    </w:p>
    <w:p w14:paraId="7FE223FD" w14:textId="77777777" w:rsidR="00844FC6" w:rsidRPr="002559AC" w:rsidRDefault="00844FC6" w:rsidP="002559AC">
      <w:pPr>
        <w:spacing w:line="360" w:lineRule="auto"/>
        <w:jc w:val="both"/>
        <w:rPr>
          <w:rFonts w:ascii="Times New Roman" w:hAnsi="Times New Roman" w:cs="Times New Roman"/>
          <w:sz w:val="24"/>
          <w:szCs w:val="24"/>
        </w:rPr>
      </w:pPr>
    </w:p>
    <w:p w14:paraId="218B9580"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Ramos, S., Silva, V., </w:t>
      </w:r>
      <w:proofErr w:type="spellStart"/>
      <w:r w:rsidRPr="002559AC">
        <w:rPr>
          <w:rFonts w:ascii="Times New Roman" w:hAnsi="Times New Roman" w:cs="Times New Roman"/>
          <w:sz w:val="24"/>
          <w:szCs w:val="24"/>
        </w:rPr>
        <w:t>Dapkevicius</w:t>
      </w:r>
      <w:proofErr w:type="spellEnd"/>
      <w:r w:rsidRPr="002559AC">
        <w:rPr>
          <w:rFonts w:ascii="Times New Roman" w:hAnsi="Times New Roman" w:cs="Times New Roman"/>
          <w:sz w:val="24"/>
          <w:szCs w:val="24"/>
        </w:rPr>
        <w:t xml:space="preserve">, M. L. E., Caniça, M., Tejedor-Junco, M. T., Igrejas, G., &amp; Poeta, P. (2020).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as Commensal and Pathogenic Bacteria Among Food-Producing Animals: Health Implications of Extended Spectrum β-lactamase (ESBL) Production. </w:t>
      </w:r>
      <w:r w:rsidRPr="002559AC">
        <w:rPr>
          <w:rFonts w:ascii="Times New Roman" w:hAnsi="Times New Roman" w:cs="Times New Roman"/>
          <w:i/>
          <w:iCs/>
          <w:sz w:val="24"/>
          <w:szCs w:val="24"/>
        </w:rPr>
        <w:t>Animals: an open access journal from MDPI</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(12), 2239. https://doi.org/10.3390/ani10122239</w:t>
      </w:r>
    </w:p>
    <w:p w14:paraId="02F31B42" w14:textId="77777777" w:rsidR="00844FC6" w:rsidRPr="002559AC" w:rsidRDefault="00844FC6" w:rsidP="002559AC">
      <w:pPr>
        <w:spacing w:line="360" w:lineRule="auto"/>
        <w:jc w:val="both"/>
        <w:rPr>
          <w:rFonts w:ascii="Times New Roman" w:hAnsi="Times New Roman" w:cs="Times New Roman"/>
          <w:sz w:val="24"/>
          <w:szCs w:val="24"/>
        </w:rPr>
      </w:pPr>
    </w:p>
    <w:p w14:paraId="43695897"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Sakr, A., </w:t>
      </w:r>
      <w:proofErr w:type="spellStart"/>
      <w:r w:rsidRPr="002559AC">
        <w:rPr>
          <w:rFonts w:ascii="Times New Roman" w:hAnsi="Times New Roman" w:cs="Times New Roman"/>
          <w:sz w:val="24"/>
          <w:szCs w:val="24"/>
        </w:rPr>
        <w:t>Brégeon</w:t>
      </w:r>
      <w:proofErr w:type="spellEnd"/>
      <w:r w:rsidRPr="002559AC">
        <w:rPr>
          <w:rFonts w:ascii="Times New Roman" w:hAnsi="Times New Roman" w:cs="Times New Roman"/>
          <w:sz w:val="24"/>
          <w:szCs w:val="24"/>
        </w:rPr>
        <w:t xml:space="preserve">, F., </w:t>
      </w:r>
      <w:proofErr w:type="spellStart"/>
      <w:r w:rsidRPr="002559AC">
        <w:rPr>
          <w:rFonts w:ascii="Times New Roman" w:hAnsi="Times New Roman" w:cs="Times New Roman"/>
          <w:sz w:val="24"/>
          <w:szCs w:val="24"/>
        </w:rPr>
        <w:t>Mège</w:t>
      </w:r>
      <w:proofErr w:type="spellEnd"/>
      <w:r w:rsidRPr="002559AC">
        <w:rPr>
          <w:rFonts w:ascii="Times New Roman" w:hAnsi="Times New Roman" w:cs="Times New Roman"/>
          <w:sz w:val="24"/>
          <w:szCs w:val="24"/>
        </w:rPr>
        <w:t xml:space="preserve">, J. L., Rolain, J. M., &amp; Blin, O. (2018).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Nasal Colonization: An Update on Mechanisms, Epidemiology, Risk Factors, and Subsequent Infections.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9</w:t>
      </w:r>
      <w:r w:rsidRPr="002559AC">
        <w:rPr>
          <w:rFonts w:ascii="Times New Roman" w:hAnsi="Times New Roman" w:cs="Times New Roman"/>
          <w:sz w:val="24"/>
          <w:szCs w:val="24"/>
        </w:rPr>
        <w:t>, 2419. https://doi.org/10.3389/fmicb.2018.02419</w:t>
      </w:r>
    </w:p>
    <w:p w14:paraId="3B7879BE" w14:textId="77777777" w:rsidR="00844FC6" w:rsidRPr="002559AC" w:rsidRDefault="00844FC6" w:rsidP="002559AC">
      <w:pPr>
        <w:spacing w:line="360" w:lineRule="auto"/>
        <w:jc w:val="both"/>
        <w:rPr>
          <w:rFonts w:ascii="Times New Roman" w:hAnsi="Times New Roman" w:cs="Times New Roman"/>
          <w:sz w:val="24"/>
          <w:szCs w:val="24"/>
        </w:rPr>
      </w:pPr>
    </w:p>
    <w:p w14:paraId="17E3332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Shoaib, M., Aqib, A. I., Muzammil, I., Majeed, N., Bhutta, Z. A., </w:t>
      </w:r>
      <w:proofErr w:type="spellStart"/>
      <w:r w:rsidRPr="002559AC">
        <w:rPr>
          <w:rFonts w:ascii="Times New Roman" w:hAnsi="Times New Roman" w:cs="Times New Roman"/>
          <w:sz w:val="24"/>
          <w:szCs w:val="24"/>
        </w:rPr>
        <w:t>Kulyar</w:t>
      </w:r>
      <w:proofErr w:type="spellEnd"/>
      <w:r w:rsidRPr="002559AC">
        <w:rPr>
          <w:rFonts w:ascii="Times New Roman" w:hAnsi="Times New Roman" w:cs="Times New Roman"/>
          <w:sz w:val="24"/>
          <w:szCs w:val="24"/>
        </w:rPr>
        <w:t xml:space="preserve">, M. F., Fatima, M., Zaheer, C. F., Muneer, A., Murtaza, M., Kashif, M., Shafqat, F., &amp; Pu, W. (2023). MRSA compendium of epidemiology, transmission, pathophysiology, treatment, and prevention within one health framework.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13</w:t>
      </w:r>
      <w:r w:rsidRPr="002559AC">
        <w:rPr>
          <w:rFonts w:ascii="Times New Roman" w:hAnsi="Times New Roman" w:cs="Times New Roman"/>
          <w:sz w:val="24"/>
          <w:szCs w:val="24"/>
        </w:rPr>
        <w:t xml:space="preserve">, 1067284. </w:t>
      </w:r>
      <w:hyperlink r:id="rId15" w:history="1">
        <w:r w:rsidRPr="002559AC">
          <w:rPr>
            <w:rStyle w:val="Hyperlink"/>
            <w:rFonts w:ascii="Times New Roman" w:hAnsi="Times New Roman" w:cs="Times New Roman"/>
            <w:sz w:val="24"/>
            <w:szCs w:val="24"/>
          </w:rPr>
          <w:t>https://doi.org/10.3389/fmicb.2022.1067284</w:t>
        </w:r>
      </w:hyperlink>
    </w:p>
    <w:p w14:paraId="022F5EA8" w14:textId="77777777" w:rsidR="00844FC6" w:rsidRPr="002559AC" w:rsidRDefault="00844FC6" w:rsidP="002559AC">
      <w:pPr>
        <w:spacing w:line="360" w:lineRule="auto"/>
        <w:jc w:val="both"/>
        <w:rPr>
          <w:rFonts w:ascii="Times New Roman" w:hAnsi="Times New Roman" w:cs="Times New Roman"/>
          <w:sz w:val="24"/>
          <w:szCs w:val="24"/>
        </w:rPr>
      </w:pPr>
    </w:p>
    <w:p w14:paraId="6E4EF89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Soni, J., Sinha, S., &amp; Pandey, R. (2024). Understanding bacterial pathogenicity: a closer look at the journey of harmful microbes.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15</w:t>
      </w:r>
      <w:r w:rsidRPr="002559AC">
        <w:rPr>
          <w:rFonts w:ascii="Times New Roman" w:hAnsi="Times New Roman" w:cs="Times New Roman"/>
          <w:sz w:val="24"/>
          <w:szCs w:val="24"/>
        </w:rPr>
        <w:t xml:space="preserve">, 1370818. </w:t>
      </w:r>
      <w:hyperlink r:id="rId16" w:history="1">
        <w:r w:rsidRPr="002559AC">
          <w:rPr>
            <w:rStyle w:val="Hyperlink"/>
            <w:rFonts w:ascii="Times New Roman" w:hAnsi="Times New Roman" w:cs="Times New Roman"/>
            <w:sz w:val="24"/>
            <w:szCs w:val="24"/>
          </w:rPr>
          <w:t>https://doi.org/10.3389/fmicb.2024.1370818</w:t>
        </w:r>
      </w:hyperlink>
    </w:p>
    <w:p w14:paraId="66A2D2F4" w14:textId="77777777" w:rsidR="00844FC6" w:rsidRPr="002559AC" w:rsidRDefault="00844FC6" w:rsidP="002559AC">
      <w:pPr>
        <w:spacing w:line="360" w:lineRule="auto"/>
        <w:jc w:val="both"/>
        <w:rPr>
          <w:rFonts w:ascii="Times New Roman" w:hAnsi="Times New Roman" w:cs="Times New Roman"/>
          <w:sz w:val="24"/>
          <w:szCs w:val="24"/>
        </w:rPr>
      </w:pPr>
    </w:p>
    <w:p w14:paraId="0F83CA5D"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Tong, S. Y., Davis, J. S., Eichenberger, E., Holland, T. L., &amp; Fowler, V. G., Jr (2015). Staphylococcus aureus infections: epidemiology, pathophysiology, clinical manifestations, and management.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(3), 603–661. https://doi.org/10.1128/CMR.00134-14</w:t>
      </w:r>
    </w:p>
    <w:p w14:paraId="4DF6FE97" w14:textId="77777777" w:rsidR="00844FC6" w:rsidRPr="002559AC" w:rsidRDefault="00844FC6" w:rsidP="002559AC">
      <w:pPr>
        <w:spacing w:line="360" w:lineRule="auto"/>
        <w:jc w:val="both"/>
        <w:rPr>
          <w:rFonts w:ascii="Times New Roman" w:hAnsi="Times New Roman" w:cs="Times New Roman"/>
          <w:sz w:val="24"/>
          <w:szCs w:val="24"/>
        </w:rPr>
      </w:pPr>
    </w:p>
    <w:p w14:paraId="1791D886" w14:textId="77777777" w:rsidR="00844FC6" w:rsidRPr="002559AC" w:rsidRDefault="00844FC6" w:rsidP="002559AC">
      <w:pPr>
        <w:spacing w:line="360" w:lineRule="auto"/>
        <w:jc w:val="both"/>
        <w:rPr>
          <w:rFonts w:ascii="Times New Roman" w:hAnsi="Times New Roman" w:cs="Times New Roman"/>
          <w:sz w:val="24"/>
          <w:szCs w:val="24"/>
        </w:rPr>
      </w:pPr>
    </w:p>
    <w:p w14:paraId="512C5536" w14:textId="77777777" w:rsidR="00844FC6" w:rsidRPr="002559AC" w:rsidRDefault="00844FC6" w:rsidP="002559AC">
      <w:pPr>
        <w:spacing w:line="360" w:lineRule="auto"/>
        <w:jc w:val="both"/>
        <w:rPr>
          <w:rFonts w:ascii="Times New Roman" w:hAnsi="Times New Roman" w:cs="Times New Roman"/>
          <w:sz w:val="24"/>
          <w:szCs w:val="24"/>
        </w:rPr>
      </w:pPr>
    </w:p>
    <w:p w14:paraId="2CCDCBDD"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Turner, N. A., Sharma-</w:t>
      </w:r>
      <w:proofErr w:type="spellStart"/>
      <w:r w:rsidRPr="002559AC">
        <w:rPr>
          <w:rFonts w:ascii="Times New Roman" w:hAnsi="Times New Roman" w:cs="Times New Roman"/>
          <w:sz w:val="24"/>
          <w:szCs w:val="24"/>
        </w:rPr>
        <w:t>Kuinkel</w:t>
      </w:r>
      <w:proofErr w:type="spellEnd"/>
      <w:r w:rsidRPr="002559AC">
        <w:rPr>
          <w:rFonts w:ascii="Times New Roman" w:hAnsi="Times New Roman" w:cs="Times New Roman"/>
          <w:sz w:val="24"/>
          <w:szCs w:val="24"/>
        </w:rPr>
        <w:t xml:space="preserve">, B. K., </w:t>
      </w:r>
      <w:proofErr w:type="spellStart"/>
      <w:r w:rsidRPr="002559AC">
        <w:rPr>
          <w:rFonts w:ascii="Times New Roman" w:hAnsi="Times New Roman" w:cs="Times New Roman"/>
          <w:sz w:val="24"/>
          <w:szCs w:val="24"/>
        </w:rPr>
        <w:t>Maskarinec</w:t>
      </w:r>
      <w:proofErr w:type="spellEnd"/>
      <w:r w:rsidRPr="002559AC">
        <w:rPr>
          <w:rFonts w:ascii="Times New Roman" w:hAnsi="Times New Roman" w:cs="Times New Roman"/>
          <w:sz w:val="24"/>
          <w:szCs w:val="24"/>
        </w:rPr>
        <w:t xml:space="preserve">, S. A., Eichenberger, E. M., Shah, P. P., </w:t>
      </w:r>
      <w:proofErr w:type="spellStart"/>
      <w:r w:rsidRPr="002559AC">
        <w:rPr>
          <w:rFonts w:ascii="Times New Roman" w:hAnsi="Times New Roman" w:cs="Times New Roman"/>
          <w:sz w:val="24"/>
          <w:szCs w:val="24"/>
        </w:rPr>
        <w:t>Carugati</w:t>
      </w:r>
      <w:proofErr w:type="spellEnd"/>
      <w:r w:rsidRPr="002559AC">
        <w:rPr>
          <w:rFonts w:ascii="Times New Roman" w:hAnsi="Times New Roman" w:cs="Times New Roman"/>
          <w:sz w:val="24"/>
          <w:szCs w:val="24"/>
        </w:rPr>
        <w:t xml:space="preserve">, M., Holland, T. L., &amp; Fowler, V. G., Jr (2019). Methicillin-resistant Staphylococcus aureus: an overview of basic and clinical research. </w:t>
      </w:r>
      <w:r w:rsidRPr="002559AC">
        <w:rPr>
          <w:rFonts w:ascii="Times New Roman" w:hAnsi="Times New Roman" w:cs="Times New Roman"/>
          <w:i/>
          <w:iCs/>
          <w:sz w:val="24"/>
          <w:szCs w:val="24"/>
        </w:rPr>
        <w:t>Nature Reviews.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17</w:t>
      </w:r>
      <w:r w:rsidRPr="002559AC">
        <w:rPr>
          <w:rFonts w:ascii="Times New Roman" w:hAnsi="Times New Roman" w:cs="Times New Roman"/>
          <w:sz w:val="24"/>
          <w:szCs w:val="24"/>
        </w:rPr>
        <w:t>(4), 203–218. https://doi.org/10.1038/s41579-018-0147-4</w:t>
      </w:r>
    </w:p>
    <w:p w14:paraId="6E12AF8E" w14:textId="77777777" w:rsidR="00844FC6" w:rsidRPr="002559AC" w:rsidRDefault="00844FC6" w:rsidP="002559AC">
      <w:pPr>
        <w:spacing w:line="360" w:lineRule="auto"/>
        <w:jc w:val="both"/>
        <w:rPr>
          <w:rFonts w:ascii="Times New Roman" w:hAnsi="Times New Roman" w:cs="Times New Roman"/>
          <w:sz w:val="24"/>
          <w:szCs w:val="24"/>
        </w:rPr>
      </w:pPr>
    </w:p>
    <w:p w14:paraId="5DE5C55B"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van Duin, D., &amp; Paterson, D. L. (2016). Multidrug-Resistant Bacteria in the Community: Trends and Lessons Learned.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30</w:t>
      </w:r>
      <w:r w:rsidRPr="002559AC">
        <w:rPr>
          <w:rFonts w:ascii="Times New Roman" w:hAnsi="Times New Roman" w:cs="Times New Roman"/>
          <w:sz w:val="24"/>
          <w:szCs w:val="24"/>
        </w:rPr>
        <w:t xml:space="preserve">(2), 377–390. </w:t>
      </w:r>
      <w:hyperlink r:id="rId17" w:history="1">
        <w:r w:rsidRPr="002559AC">
          <w:rPr>
            <w:rStyle w:val="Hyperlink"/>
            <w:rFonts w:ascii="Times New Roman" w:hAnsi="Times New Roman" w:cs="Times New Roman"/>
            <w:sz w:val="24"/>
            <w:szCs w:val="24"/>
          </w:rPr>
          <w:t>https://doi.org/10.1016/j.idc.2016.02.004</w:t>
        </w:r>
      </w:hyperlink>
    </w:p>
    <w:p w14:paraId="52D12E1E" w14:textId="77777777" w:rsidR="00844FC6" w:rsidRPr="002559AC" w:rsidRDefault="00844FC6" w:rsidP="002559AC">
      <w:pPr>
        <w:spacing w:line="360" w:lineRule="auto"/>
        <w:jc w:val="both"/>
        <w:rPr>
          <w:rFonts w:ascii="Times New Roman" w:hAnsi="Times New Roman" w:cs="Times New Roman"/>
          <w:sz w:val="24"/>
          <w:szCs w:val="24"/>
        </w:rPr>
      </w:pPr>
    </w:p>
    <w:p w14:paraId="3DE30A9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Wertheim, H. F., Melles, D. C., Vos, M. C., van Leeuwen, W., van </w:t>
      </w:r>
      <w:proofErr w:type="spellStart"/>
      <w:r w:rsidRPr="002559AC">
        <w:rPr>
          <w:rFonts w:ascii="Times New Roman" w:hAnsi="Times New Roman" w:cs="Times New Roman"/>
          <w:sz w:val="24"/>
          <w:szCs w:val="24"/>
        </w:rPr>
        <w:t>Belkum</w:t>
      </w:r>
      <w:proofErr w:type="spellEnd"/>
      <w:r w:rsidRPr="002559AC">
        <w:rPr>
          <w:rFonts w:ascii="Times New Roman" w:hAnsi="Times New Roman" w:cs="Times New Roman"/>
          <w:sz w:val="24"/>
          <w:szCs w:val="24"/>
        </w:rPr>
        <w:t xml:space="preserve">, A., </w:t>
      </w:r>
      <w:proofErr w:type="spellStart"/>
      <w:r w:rsidRPr="002559AC">
        <w:rPr>
          <w:rFonts w:ascii="Times New Roman" w:hAnsi="Times New Roman" w:cs="Times New Roman"/>
          <w:sz w:val="24"/>
          <w:szCs w:val="24"/>
        </w:rPr>
        <w:t>Verbrugh</w:t>
      </w:r>
      <w:proofErr w:type="spellEnd"/>
      <w:r w:rsidRPr="002559AC">
        <w:rPr>
          <w:rFonts w:ascii="Times New Roman" w:hAnsi="Times New Roman" w:cs="Times New Roman"/>
          <w:sz w:val="24"/>
          <w:szCs w:val="24"/>
        </w:rPr>
        <w:t xml:space="preserve">, H. A., &amp; Nouwen, J. L. (2005). The role of nasal carriage in Staphylococcus aureus infections. </w:t>
      </w:r>
      <w:r w:rsidRPr="002559AC">
        <w:rPr>
          <w:rFonts w:ascii="Times New Roman" w:hAnsi="Times New Roman" w:cs="Times New Roman"/>
          <w:i/>
          <w:iCs/>
          <w:sz w:val="24"/>
          <w:szCs w:val="24"/>
        </w:rPr>
        <w:t>The Lancet. Infectious Diseases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w:t>
      </w:r>
      <w:r w:rsidRPr="002559AC">
        <w:rPr>
          <w:rFonts w:ascii="Times New Roman" w:hAnsi="Times New Roman" w:cs="Times New Roman"/>
          <w:sz w:val="24"/>
          <w:szCs w:val="24"/>
        </w:rPr>
        <w:t xml:space="preserve">(12), 751–762. </w:t>
      </w:r>
      <w:hyperlink r:id="rId18" w:history="1">
        <w:r w:rsidRPr="002559AC">
          <w:rPr>
            <w:rStyle w:val="Hyperlink"/>
            <w:rFonts w:ascii="Times New Roman" w:hAnsi="Times New Roman" w:cs="Times New Roman"/>
            <w:sz w:val="24"/>
            <w:szCs w:val="24"/>
          </w:rPr>
          <w:t>https://doi.org/10.1016/S1473-3099(05)70295-4</w:t>
        </w:r>
      </w:hyperlink>
    </w:p>
    <w:p w14:paraId="4A1B2172" w14:textId="77777777" w:rsidR="00844FC6" w:rsidRPr="002559AC" w:rsidRDefault="00844FC6" w:rsidP="002559AC">
      <w:pPr>
        <w:spacing w:line="360" w:lineRule="auto"/>
        <w:jc w:val="both"/>
        <w:rPr>
          <w:rFonts w:ascii="Times New Roman" w:hAnsi="Times New Roman" w:cs="Times New Roman"/>
          <w:sz w:val="24"/>
          <w:szCs w:val="24"/>
        </w:rPr>
      </w:pPr>
    </w:p>
    <w:p w14:paraId="0DDEE849"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Zhang, P., Liu, X., Zhang, M., Kou, M., Chang, G., Wan, Y., Xu, X., Ruan, F., Wang, Y., &amp; Wang, X. (2022). Prevalence, Antimicrobial Resistance, and Molecular Characteristics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Methicillin-Resistant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from Retail Ice Cream in Shaanxi Province, China. </w:t>
      </w:r>
      <w:r w:rsidRPr="002559AC">
        <w:rPr>
          <w:rFonts w:ascii="Times New Roman" w:hAnsi="Times New Roman" w:cs="Times New Roman"/>
          <w:i/>
          <w:iCs/>
          <w:sz w:val="24"/>
          <w:szCs w:val="24"/>
        </w:rPr>
        <w:t>Foodborne Pathogens and Disease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19</w:t>
      </w:r>
      <w:r w:rsidRPr="002559AC">
        <w:rPr>
          <w:rFonts w:ascii="Times New Roman" w:hAnsi="Times New Roman" w:cs="Times New Roman"/>
          <w:sz w:val="24"/>
          <w:szCs w:val="24"/>
        </w:rPr>
        <w:t xml:space="preserve">(3), 217–225. </w:t>
      </w:r>
      <w:hyperlink r:id="rId19" w:history="1">
        <w:r w:rsidRPr="002559AC">
          <w:rPr>
            <w:rStyle w:val="Hyperlink"/>
            <w:rFonts w:ascii="Times New Roman" w:hAnsi="Times New Roman" w:cs="Times New Roman"/>
            <w:sz w:val="24"/>
            <w:szCs w:val="24"/>
          </w:rPr>
          <w:t>https://doi.org/10.1089/fpd.2021.0069</w:t>
        </w:r>
      </w:hyperlink>
    </w:p>
    <w:p w14:paraId="3B81F224" w14:textId="77777777" w:rsidR="00844FC6" w:rsidRPr="002559AC" w:rsidRDefault="00844FC6" w:rsidP="002559AC">
      <w:pPr>
        <w:spacing w:line="360" w:lineRule="auto"/>
        <w:jc w:val="both"/>
        <w:rPr>
          <w:rFonts w:ascii="Times New Roman" w:hAnsi="Times New Roman" w:cs="Times New Roman"/>
          <w:sz w:val="24"/>
          <w:szCs w:val="24"/>
        </w:rPr>
      </w:pPr>
    </w:p>
    <w:p w14:paraId="03331CB5" w14:textId="77777777" w:rsidR="00844FC6" w:rsidRPr="002559AC" w:rsidRDefault="00844FC6" w:rsidP="002559AC">
      <w:pPr>
        <w:spacing w:line="360" w:lineRule="auto"/>
        <w:jc w:val="both"/>
        <w:rPr>
          <w:rFonts w:ascii="Times New Roman" w:hAnsi="Times New Roman" w:cs="Times New Roman"/>
          <w:b/>
          <w:sz w:val="24"/>
          <w:szCs w:val="24"/>
        </w:rPr>
      </w:pPr>
    </w:p>
    <w:p w14:paraId="5AE1061F" w14:textId="77777777" w:rsidR="002C0BF9" w:rsidRPr="002559AC" w:rsidRDefault="002C0BF9" w:rsidP="002559AC">
      <w:pPr>
        <w:spacing w:line="360" w:lineRule="auto"/>
        <w:jc w:val="both"/>
        <w:rPr>
          <w:rFonts w:ascii="Times New Roman" w:hAnsi="Times New Roman" w:cs="Times New Roman"/>
          <w:sz w:val="24"/>
          <w:szCs w:val="24"/>
        </w:rPr>
      </w:pPr>
    </w:p>
    <w:sectPr w:rsidR="002C0BF9" w:rsidRPr="002559A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8A62F" w14:textId="77777777" w:rsidR="008073E7" w:rsidRDefault="008073E7" w:rsidP="00046F07">
      <w:pPr>
        <w:spacing w:after="0" w:line="240" w:lineRule="auto"/>
      </w:pPr>
      <w:r>
        <w:separator/>
      </w:r>
    </w:p>
  </w:endnote>
  <w:endnote w:type="continuationSeparator" w:id="0">
    <w:p w14:paraId="2808AC5A" w14:textId="77777777" w:rsidR="008073E7" w:rsidRDefault="008073E7" w:rsidP="0004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97C5" w14:textId="77777777" w:rsidR="00046F07" w:rsidRDefault="000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4DC7" w14:textId="77777777" w:rsidR="00046F07" w:rsidRDefault="0004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0049" w14:textId="77777777" w:rsidR="00046F07" w:rsidRDefault="00046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4C37" w14:textId="77777777" w:rsidR="008073E7" w:rsidRDefault="008073E7" w:rsidP="00046F07">
      <w:pPr>
        <w:spacing w:after="0" w:line="240" w:lineRule="auto"/>
      </w:pPr>
      <w:r>
        <w:separator/>
      </w:r>
    </w:p>
  </w:footnote>
  <w:footnote w:type="continuationSeparator" w:id="0">
    <w:p w14:paraId="05199666" w14:textId="77777777" w:rsidR="008073E7" w:rsidRDefault="008073E7" w:rsidP="00046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27E4" w14:textId="5689DFBE" w:rsidR="00046F07" w:rsidRDefault="00046F07">
    <w:pPr>
      <w:pStyle w:val="Header"/>
    </w:pPr>
    <w:r>
      <w:rPr>
        <w:noProof/>
      </w:rPr>
      <w:pict w14:anchorId="5DF9E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9FB1" w14:textId="36E6FE20" w:rsidR="00046F07" w:rsidRDefault="00046F07">
    <w:pPr>
      <w:pStyle w:val="Header"/>
    </w:pPr>
    <w:r>
      <w:rPr>
        <w:noProof/>
      </w:rPr>
      <w:pict w14:anchorId="3C522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5B6E" w14:textId="4E7EFB33" w:rsidR="00046F07" w:rsidRDefault="00046F07">
    <w:pPr>
      <w:pStyle w:val="Header"/>
    </w:pPr>
    <w:r>
      <w:rPr>
        <w:noProof/>
      </w:rPr>
      <w:pict w14:anchorId="304B2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739D8"/>
    <w:multiLevelType w:val="multilevel"/>
    <w:tmpl w:val="50773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11"/>
    <w:rsid w:val="0004028F"/>
    <w:rsid w:val="00046F07"/>
    <w:rsid w:val="00151001"/>
    <w:rsid w:val="0020275F"/>
    <w:rsid w:val="002559AC"/>
    <w:rsid w:val="00265A41"/>
    <w:rsid w:val="002B2964"/>
    <w:rsid w:val="002C09D2"/>
    <w:rsid w:val="002C0BF9"/>
    <w:rsid w:val="003279B3"/>
    <w:rsid w:val="003403D2"/>
    <w:rsid w:val="00340AC6"/>
    <w:rsid w:val="003725D6"/>
    <w:rsid w:val="00396DA7"/>
    <w:rsid w:val="003A795D"/>
    <w:rsid w:val="003F12D2"/>
    <w:rsid w:val="00401CCD"/>
    <w:rsid w:val="004E73BF"/>
    <w:rsid w:val="00524670"/>
    <w:rsid w:val="00531AE6"/>
    <w:rsid w:val="005F374F"/>
    <w:rsid w:val="0064111F"/>
    <w:rsid w:val="00651035"/>
    <w:rsid w:val="00661FCA"/>
    <w:rsid w:val="00672A71"/>
    <w:rsid w:val="00755071"/>
    <w:rsid w:val="00764F3B"/>
    <w:rsid w:val="008073E7"/>
    <w:rsid w:val="00844FC6"/>
    <w:rsid w:val="008C2002"/>
    <w:rsid w:val="009472AF"/>
    <w:rsid w:val="00955452"/>
    <w:rsid w:val="00982EC3"/>
    <w:rsid w:val="009B319F"/>
    <w:rsid w:val="009B5F45"/>
    <w:rsid w:val="00A7540C"/>
    <w:rsid w:val="00A8627B"/>
    <w:rsid w:val="00BD1782"/>
    <w:rsid w:val="00BD6944"/>
    <w:rsid w:val="00BE6A48"/>
    <w:rsid w:val="00C02648"/>
    <w:rsid w:val="00C42CC9"/>
    <w:rsid w:val="00C51DCD"/>
    <w:rsid w:val="00C927F1"/>
    <w:rsid w:val="00CB20E0"/>
    <w:rsid w:val="00D1060D"/>
    <w:rsid w:val="00D53BED"/>
    <w:rsid w:val="00D67AFD"/>
    <w:rsid w:val="00DD4903"/>
    <w:rsid w:val="00E203B5"/>
    <w:rsid w:val="00E30CDC"/>
    <w:rsid w:val="00E62188"/>
    <w:rsid w:val="00E66F11"/>
    <w:rsid w:val="00E72B38"/>
    <w:rsid w:val="00EB7144"/>
    <w:rsid w:val="00EE4CB1"/>
    <w:rsid w:val="00EF08D6"/>
    <w:rsid w:val="00FA6035"/>
    <w:rsid w:val="00FB3347"/>
    <w:rsid w:val="00FC1814"/>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789AB4"/>
  <w15:chartTrackingRefBased/>
  <w15:docId w15:val="{EF84EF64-35D4-41DB-B994-CB5324C1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F11"/>
    <w:pPr>
      <w:spacing w:after="200" w:line="276" w:lineRule="auto"/>
    </w:pPr>
    <w:rPr>
      <w:kern w:val="2"/>
      <w14:ligatures w14:val="standardContextual"/>
    </w:rPr>
  </w:style>
  <w:style w:type="paragraph" w:styleId="Heading1">
    <w:name w:val="heading 1"/>
    <w:basedOn w:val="Normal"/>
    <w:next w:val="Normal"/>
    <w:link w:val="Heading1Char"/>
    <w:autoRedefine/>
    <w:uiPriority w:val="9"/>
    <w:qFormat/>
    <w:rsid w:val="0004028F"/>
    <w:pPr>
      <w:keepNext/>
      <w:keepLines/>
      <w:spacing w:before="120" w:after="0" w:line="360" w:lineRule="auto"/>
      <w:ind w:right="5"/>
      <w:jc w:val="center"/>
      <w:outlineLvl w:val="0"/>
    </w:pPr>
    <w:rPr>
      <w:rFonts w:ascii="Times New Roman" w:eastAsiaTheme="majorEastAsia" w:hAnsi="Times New Roman" w:cs="Times New Roman"/>
      <w:b/>
      <w:caps/>
      <w:color w:val="000000"/>
      <w:kern w:val="0"/>
      <w:sz w:val="24"/>
      <w:szCs w:val="24"/>
    </w:rPr>
  </w:style>
  <w:style w:type="paragraph" w:styleId="Heading2">
    <w:name w:val="heading 2"/>
    <w:basedOn w:val="Normal"/>
    <w:next w:val="Normal"/>
    <w:link w:val="Heading2Char"/>
    <w:uiPriority w:val="9"/>
    <w:semiHidden/>
    <w:unhideWhenUsed/>
    <w:qFormat/>
    <w:rsid w:val="003F12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0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F1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8F"/>
    <w:rPr>
      <w:rFonts w:ascii="Times New Roman" w:eastAsiaTheme="majorEastAsia" w:hAnsi="Times New Roman" w:cs="Times New Roman"/>
      <w:b/>
      <w:caps/>
      <w:color w:val="000000"/>
      <w:sz w:val="24"/>
      <w:szCs w:val="24"/>
      <w14:ligatures w14:val="standardContextual"/>
    </w:rPr>
  </w:style>
  <w:style w:type="character" w:customStyle="1" w:styleId="Heading3Char">
    <w:name w:val="Heading 3 Char"/>
    <w:basedOn w:val="DefaultParagraphFont"/>
    <w:link w:val="Heading3"/>
    <w:uiPriority w:val="9"/>
    <w:semiHidden/>
    <w:rsid w:val="0004028F"/>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semiHidden/>
    <w:rsid w:val="003F12D2"/>
    <w:rPr>
      <w:rFonts w:asciiTheme="majorHAnsi" w:eastAsiaTheme="majorEastAsia" w:hAnsiTheme="majorHAnsi" w:cstheme="majorBidi"/>
      <w:i/>
      <w:iCs/>
      <w:color w:val="2E74B5" w:themeColor="accent1" w:themeShade="BF"/>
      <w:kern w:val="2"/>
      <w14:ligatures w14:val="standardContextual"/>
    </w:rPr>
  </w:style>
  <w:style w:type="paragraph" w:styleId="NoSpacing">
    <w:name w:val="No Spacing"/>
    <w:uiPriority w:val="1"/>
    <w:qFormat/>
    <w:rsid w:val="003F12D2"/>
    <w:pPr>
      <w:spacing w:after="0" w:line="240" w:lineRule="auto"/>
    </w:pPr>
    <w:rPr>
      <w:lang w:val="en-GB"/>
      <w14:ligatures w14:val="standardContextual"/>
    </w:rPr>
  </w:style>
  <w:style w:type="character" w:customStyle="1" w:styleId="Heading2Char">
    <w:name w:val="Heading 2 Char"/>
    <w:basedOn w:val="DefaultParagraphFont"/>
    <w:link w:val="Heading2"/>
    <w:uiPriority w:val="9"/>
    <w:semiHidden/>
    <w:rsid w:val="003F12D2"/>
    <w:rPr>
      <w:rFonts w:asciiTheme="majorHAnsi" w:eastAsiaTheme="majorEastAsia" w:hAnsiTheme="majorHAnsi" w:cstheme="majorBidi"/>
      <w:color w:val="2E74B5" w:themeColor="accent1" w:themeShade="BF"/>
      <w:kern w:val="2"/>
      <w:sz w:val="26"/>
      <w:szCs w:val="26"/>
      <w14:ligatures w14:val="standardContextual"/>
    </w:rPr>
  </w:style>
  <w:style w:type="paragraph" w:styleId="Caption">
    <w:name w:val="caption"/>
    <w:basedOn w:val="Normal"/>
    <w:next w:val="Normal"/>
    <w:uiPriority w:val="35"/>
    <w:unhideWhenUsed/>
    <w:qFormat/>
    <w:rsid w:val="003F12D2"/>
    <w:pPr>
      <w:spacing w:line="240" w:lineRule="auto"/>
    </w:pPr>
    <w:rPr>
      <w:i/>
      <w:iCs/>
      <w:color w:val="44546A" w:themeColor="text2"/>
      <w:sz w:val="18"/>
      <w:szCs w:val="18"/>
    </w:rPr>
  </w:style>
  <w:style w:type="table" w:styleId="TableGrid">
    <w:name w:val="Table Grid"/>
    <w:basedOn w:val="TableNormal"/>
    <w:uiPriority w:val="59"/>
    <w:qFormat/>
    <w:rsid w:val="003F1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rsid w:val="003F12D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4E73BF"/>
    <w:rPr>
      <w:i/>
      <w:iCs/>
    </w:rPr>
  </w:style>
  <w:style w:type="character" w:customStyle="1" w:styleId="text">
    <w:name w:val="text"/>
    <w:basedOn w:val="DefaultParagraphFont"/>
    <w:rsid w:val="00BE6A48"/>
  </w:style>
  <w:style w:type="character" w:styleId="Hyperlink">
    <w:name w:val="Hyperlink"/>
    <w:basedOn w:val="DefaultParagraphFont"/>
    <w:uiPriority w:val="99"/>
    <w:unhideWhenUsed/>
    <w:rsid w:val="00844FC6"/>
    <w:rPr>
      <w:color w:val="0563C1" w:themeColor="hyperlink"/>
      <w:u w:val="single"/>
    </w:rPr>
  </w:style>
  <w:style w:type="character" w:styleId="Emphasis">
    <w:name w:val="Emphasis"/>
    <w:basedOn w:val="DefaultParagraphFont"/>
    <w:uiPriority w:val="20"/>
    <w:qFormat/>
    <w:rsid w:val="00844FC6"/>
    <w:rPr>
      <w:i/>
      <w:iCs/>
    </w:rPr>
  </w:style>
  <w:style w:type="character" w:styleId="UnresolvedMention">
    <w:name w:val="Unresolved Mention"/>
    <w:basedOn w:val="DefaultParagraphFont"/>
    <w:uiPriority w:val="99"/>
    <w:semiHidden/>
    <w:unhideWhenUsed/>
    <w:rsid w:val="00EE4CB1"/>
    <w:rPr>
      <w:color w:val="605E5C"/>
      <w:shd w:val="clear" w:color="auto" w:fill="E1DFDD"/>
    </w:rPr>
  </w:style>
  <w:style w:type="paragraph" w:styleId="Header">
    <w:name w:val="header"/>
    <w:basedOn w:val="Normal"/>
    <w:link w:val="HeaderChar"/>
    <w:uiPriority w:val="99"/>
    <w:unhideWhenUsed/>
    <w:rsid w:val="00046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07"/>
    <w:rPr>
      <w:kern w:val="2"/>
      <w14:ligatures w14:val="standardContextual"/>
    </w:rPr>
  </w:style>
  <w:style w:type="paragraph" w:styleId="Footer">
    <w:name w:val="footer"/>
    <w:basedOn w:val="Normal"/>
    <w:link w:val="FooterChar"/>
    <w:uiPriority w:val="99"/>
    <w:unhideWhenUsed/>
    <w:rsid w:val="00046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7"/>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5/javar.2024.k855" TargetMode="External"/><Relationship Id="rId13" Type="http://schemas.openxmlformats.org/officeDocument/2006/relationships/hyperlink" Target="https://doi.org/10.4292/wjgpt.v8.i3.162" TargetMode="External"/><Relationship Id="rId18" Type="http://schemas.openxmlformats.org/officeDocument/2006/relationships/hyperlink" Target="https://doi.org/10.1016/S1473-3099(05)70295-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j.glmedi.2024.100081" TargetMode="External"/><Relationship Id="rId12" Type="http://schemas.openxmlformats.org/officeDocument/2006/relationships/hyperlink" Target="https://doi.org/10.1016/j.mib.2020.02.005" TargetMode="External"/><Relationship Id="rId17" Type="http://schemas.openxmlformats.org/officeDocument/2006/relationships/hyperlink" Target="https://doi.org/10.1016/j.idc.2016.02.00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micb.2024.137081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5/v19i543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micb.2022.1067284" TargetMode="External"/><Relationship Id="rId23" Type="http://schemas.openxmlformats.org/officeDocument/2006/relationships/footer" Target="footer2.xml"/><Relationship Id="rId10" Type="http://schemas.openxmlformats.org/officeDocument/2006/relationships/hyperlink" Target="https://doi.org/10.9734/ajmah/2025/v23i41216" TargetMode="External"/><Relationship Id="rId19" Type="http://schemas.openxmlformats.org/officeDocument/2006/relationships/hyperlink" Target="https://doi.org/10.1089/fpd.2021.0069" TargetMode="External"/><Relationship Id="rId4" Type="http://schemas.openxmlformats.org/officeDocument/2006/relationships/webSettings" Target="webSettings.xml"/><Relationship Id="rId9" Type="http://schemas.openxmlformats.org/officeDocument/2006/relationships/hyperlink" Target="https://doi.org/10.9734/ajrid/2025/v16i5444" TargetMode="External"/><Relationship Id="rId14" Type="http://schemas.openxmlformats.org/officeDocument/2006/relationships/hyperlink" Target="https://doi.org/10.3390/pathogens1304027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29</Pages>
  <Words>7061</Words>
  <Characters>40250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42</cp:revision>
  <dcterms:created xsi:type="dcterms:W3CDTF">2025-05-13T07:41:00Z</dcterms:created>
  <dcterms:modified xsi:type="dcterms:W3CDTF">2025-05-15T08:43:00Z</dcterms:modified>
</cp:coreProperties>
</file>