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8C6F1" w14:textId="245177B3" w:rsidR="00F41B37" w:rsidRDefault="00F41B37" w:rsidP="00F41B37">
      <w:pPr>
        <w:jc w:val="center"/>
        <w:rPr>
          <w:b/>
          <w:bCs/>
          <w:sz w:val="28"/>
          <w:szCs w:val="28"/>
          <w:lang w:val="en-IN"/>
        </w:rPr>
      </w:pPr>
      <w:r w:rsidRPr="00F41B37">
        <w:rPr>
          <w:b/>
          <w:bCs/>
          <w:sz w:val="28"/>
          <w:szCs w:val="28"/>
          <w:lang w:val="en-IN"/>
        </w:rPr>
        <w:t>Risk Factors for the Development of Senile Cataract</w:t>
      </w:r>
    </w:p>
    <w:p w14:paraId="22AB7B9B" w14:textId="77777777" w:rsidR="00183A52" w:rsidRDefault="00183A52" w:rsidP="00294A22">
      <w:pPr>
        <w:rPr>
          <w:b/>
          <w:bCs/>
          <w:i/>
          <w:iCs/>
          <w:lang w:val="en-IN"/>
        </w:rPr>
      </w:pPr>
    </w:p>
    <w:p w14:paraId="23159082" w14:textId="6530F81E" w:rsidR="00294A22" w:rsidRPr="00183A52" w:rsidRDefault="00294A22" w:rsidP="00294A22">
      <w:pPr>
        <w:rPr>
          <w:b/>
          <w:bCs/>
          <w:i/>
          <w:iCs/>
          <w:lang w:val="en-IN"/>
        </w:rPr>
      </w:pPr>
      <w:r w:rsidRPr="00183A52">
        <w:rPr>
          <w:b/>
          <w:bCs/>
          <w:i/>
          <w:iCs/>
          <w:lang w:val="en-IN"/>
        </w:rPr>
        <w:t>Abstract</w:t>
      </w:r>
    </w:p>
    <w:p w14:paraId="63CDC51E" w14:textId="77777777" w:rsidR="00B974E1" w:rsidRPr="00183A52" w:rsidRDefault="00B974E1" w:rsidP="00B974E1">
      <w:pPr>
        <w:jc w:val="both"/>
        <w:rPr>
          <w:lang w:val="en-IN"/>
        </w:rPr>
      </w:pPr>
      <w:r w:rsidRPr="00183A52">
        <w:rPr>
          <w:b/>
          <w:bCs/>
          <w:lang w:val="en-IN"/>
        </w:rPr>
        <w:t>Background:</w:t>
      </w:r>
      <w:r w:rsidRPr="00183A52">
        <w:rPr>
          <w:lang w:val="en-IN"/>
        </w:rPr>
        <w:t xml:space="preserve"> Senile cataracts remain a leading cause of avoidable blindness worldwide, especially among the elderly. Understanding the interplay of socio-demographic, environmental, and systemic health variables can aid in effective prevention strategies.</w:t>
      </w:r>
    </w:p>
    <w:p w14:paraId="680FF7E6" w14:textId="77777777" w:rsidR="00B974E1" w:rsidRPr="00183A52" w:rsidRDefault="00B974E1" w:rsidP="00B974E1">
      <w:pPr>
        <w:jc w:val="both"/>
        <w:rPr>
          <w:lang w:val="en-IN"/>
        </w:rPr>
      </w:pPr>
      <w:r w:rsidRPr="00183A52">
        <w:rPr>
          <w:b/>
          <w:bCs/>
          <w:lang w:val="en-IN"/>
        </w:rPr>
        <w:t>Objective:</w:t>
      </w:r>
      <w:r w:rsidRPr="00183A52">
        <w:rPr>
          <w:lang w:val="en-IN"/>
        </w:rPr>
        <w:t xml:space="preserve"> To identify and evaluate key risk factors associated with senile cataract development in a diverse adult population aged 50 years and above.</w:t>
      </w:r>
    </w:p>
    <w:p w14:paraId="47A610E4" w14:textId="77777777" w:rsidR="00B974E1" w:rsidRPr="00183A52" w:rsidRDefault="00B974E1" w:rsidP="00B974E1">
      <w:pPr>
        <w:jc w:val="both"/>
        <w:rPr>
          <w:lang w:val="en-IN"/>
        </w:rPr>
      </w:pPr>
      <w:r w:rsidRPr="00183A52">
        <w:rPr>
          <w:b/>
          <w:bCs/>
          <w:lang w:val="en-IN"/>
        </w:rPr>
        <w:t>Methods:</w:t>
      </w:r>
      <w:r w:rsidRPr="00183A52">
        <w:rPr>
          <w:lang w:val="en-IN"/>
        </w:rPr>
        <w:t xml:space="preserve"> A population-based cross-sectional study was conducted among 11,523 individuals from both urban and rural settings. Participants were stratified by region, and risk factors including age, gender, socio-economic status, occupation, addiction history, and systemic comorbidities were </w:t>
      </w:r>
      <w:proofErr w:type="spellStart"/>
      <w:r w:rsidRPr="00183A52">
        <w:rPr>
          <w:lang w:val="en-IN"/>
        </w:rPr>
        <w:t>analyzed</w:t>
      </w:r>
      <w:proofErr w:type="spellEnd"/>
      <w:r w:rsidRPr="00183A52">
        <w:rPr>
          <w:lang w:val="en-IN"/>
        </w:rPr>
        <w:t>. Cataract status was clinically confirmed. Logistic regression analyses were used to determine associations between variables and cataract development.</w:t>
      </w:r>
    </w:p>
    <w:p w14:paraId="48E2C89A" w14:textId="77777777" w:rsidR="00B974E1" w:rsidRPr="00183A52" w:rsidRDefault="00B974E1" w:rsidP="00B974E1">
      <w:pPr>
        <w:jc w:val="both"/>
        <w:rPr>
          <w:lang w:val="en-IN"/>
        </w:rPr>
      </w:pPr>
      <w:r w:rsidRPr="00183A52">
        <w:rPr>
          <w:b/>
          <w:bCs/>
          <w:lang w:val="en-IN"/>
        </w:rPr>
        <w:t>Results:</w:t>
      </w:r>
      <w:r w:rsidRPr="00183A52">
        <w:rPr>
          <w:lang w:val="en-IN"/>
        </w:rPr>
        <w:t xml:space="preserve"> Cataract prevalence increased significantly with age, especially after 60 years. Male gender (Adjusted OR: 2.71, 95% CI: 2.38–3.08), rural residence (Adjusted OR: 2.16, 95% CI: 1.92–2.44), and outdoor occupation (Adjusted OR: 1.89, 95% CI: 1.65–2.17) were independently associated with cataract. Lower socio-economic status (Adjusted OR: 1.67, 95% CI: 1.45–1.91), diabetes mellitus (Adjusted OR: 1.92, 95% CI: 1.59–2.32), and hypertension (Adjusted OR: 2.44, 95% CI: 1.91–3.12) were also significant risk factors. Addiction (including smokeless tobacco) was not an independent predictor after adjusting for confounders.</w:t>
      </w:r>
    </w:p>
    <w:p w14:paraId="3F36AA9D" w14:textId="77777777" w:rsidR="00B974E1" w:rsidRPr="00183A52" w:rsidRDefault="00B974E1" w:rsidP="00B974E1">
      <w:pPr>
        <w:jc w:val="both"/>
        <w:rPr>
          <w:lang w:val="en-IN"/>
        </w:rPr>
      </w:pPr>
      <w:r w:rsidRPr="00183A52">
        <w:rPr>
          <w:b/>
          <w:bCs/>
          <w:lang w:val="en-IN"/>
        </w:rPr>
        <w:t>Conclusion:</w:t>
      </w:r>
      <w:r w:rsidRPr="00183A52">
        <w:rPr>
          <w:lang w:val="en-IN"/>
        </w:rPr>
        <w:t xml:space="preserve"> This study highlights the multifactorial nature of senile cataract development, with age, male gender, rural residence, low socio-economic status, systemic diseases, and occupational UV exposure as major contributors. These findings support the need for tailored public health interventions targeting vulnerable populations.</w:t>
      </w:r>
    </w:p>
    <w:p w14:paraId="2F3C2DBD" w14:textId="77777777" w:rsidR="00B974E1" w:rsidRPr="00183A52" w:rsidRDefault="00B974E1" w:rsidP="00B974E1">
      <w:pPr>
        <w:jc w:val="both"/>
        <w:rPr>
          <w:lang w:val="en-IN"/>
        </w:rPr>
      </w:pPr>
      <w:r w:rsidRPr="00183A52">
        <w:rPr>
          <w:b/>
          <w:bCs/>
          <w:lang w:val="en-IN"/>
        </w:rPr>
        <w:t>Keywords:</w:t>
      </w:r>
      <w:r w:rsidRPr="00183A52">
        <w:rPr>
          <w:lang w:val="en-IN"/>
        </w:rPr>
        <w:t xml:space="preserve"> senile cataract, risk factors, UV exposure, rural health, socio-economic status, diabetes, hypertension, aging, public health, cross-sectional study</w:t>
      </w:r>
    </w:p>
    <w:p w14:paraId="41F4F38E" w14:textId="77777777" w:rsidR="00294A22" w:rsidRPr="00B974E1" w:rsidRDefault="00294A22" w:rsidP="00B974E1">
      <w:pPr>
        <w:jc w:val="both"/>
        <w:rPr>
          <w:sz w:val="28"/>
          <w:szCs w:val="28"/>
          <w:lang w:val="en-IN"/>
        </w:rPr>
      </w:pPr>
    </w:p>
    <w:p w14:paraId="638AA3D1" w14:textId="77777777" w:rsidR="00294A22" w:rsidRDefault="00294A22" w:rsidP="00F41B37">
      <w:pPr>
        <w:rPr>
          <w:b/>
          <w:bCs/>
          <w:lang w:val="en-IN"/>
        </w:rPr>
      </w:pPr>
    </w:p>
    <w:p w14:paraId="4D4109F0" w14:textId="223EF005" w:rsidR="00F41B37" w:rsidRPr="00F41B37" w:rsidRDefault="001B3027" w:rsidP="00F41B37">
      <w:pPr>
        <w:rPr>
          <w:b/>
          <w:bCs/>
          <w:lang w:val="en-IN"/>
        </w:rPr>
      </w:pPr>
      <w:r w:rsidRPr="00F41B37">
        <w:rPr>
          <w:b/>
          <w:bCs/>
          <w:lang w:val="en-IN"/>
        </w:rPr>
        <w:t>INTRODUCTION</w:t>
      </w:r>
    </w:p>
    <w:p w14:paraId="53271068" w14:textId="77777777" w:rsidR="00F41B37" w:rsidRPr="00F41B37" w:rsidRDefault="00F41B37" w:rsidP="00F41B37">
      <w:pPr>
        <w:spacing w:line="480" w:lineRule="auto"/>
        <w:jc w:val="both"/>
        <w:rPr>
          <w:lang w:val="en-IN"/>
        </w:rPr>
      </w:pPr>
      <w:r w:rsidRPr="00F41B37">
        <w:rPr>
          <w:lang w:val="en-IN"/>
        </w:rPr>
        <w:t xml:space="preserve">Senile cataract, the age-related opacification of the lens, is one of the leading causes of blindness worldwide, particularly in developing countries. Cataracts have a significant impact on visual function, quality of life, and are a major public health concern due to their association </w:t>
      </w:r>
      <w:r w:rsidRPr="00F41B37">
        <w:rPr>
          <w:lang w:val="en-IN"/>
        </w:rPr>
        <w:lastRenderedPageBreak/>
        <w:t>with increasing age and their role in visual impairment (</w:t>
      </w:r>
      <w:proofErr w:type="spellStart"/>
      <w:r w:rsidRPr="00F41B37">
        <w:rPr>
          <w:lang w:val="en-IN"/>
        </w:rPr>
        <w:t>Pascolini</w:t>
      </w:r>
      <w:proofErr w:type="spellEnd"/>
      <w:r w:rsidRPr="00F41B37">
        <w:rPr>
          <w:lang w:val="en-IN"/>
        </w:rPr>
        <w:t xml:space="preserve"> &amp; </w:t>
      </w:r>
      <w:proofErr w:type="spellStart"/>
      <w:r w:rsidRPr="00F41B37">
        <w:rPr>
          <w:lang w:val="en-IN"/>
        </w:rPr>
        <w:t>Mariotti</w:t>
      </w:r>
      <w:proofErr w:type="spellEnd"/>
      <w:r w:rsidRPr="00F41B37">
        <w:rPr>
          <w:lang w:val="en-IN"/>
        </w:rPr>
        <w:t>, 2012). The global burden of cataract-related blindness is considerable, and estimates suggest that cataracts contribute to nearly 51% of all cases of blindness globally (World Health Organization [WHO], 2019). With an aging population worldwide, the prevalence of cataracts is expected to increase, placing even greater demands on healthcare systems (Liu et al., 2021).</w:t>
      </w:r>
    </w:p>
    <w:p w14:paraId="1CAD45EB" w14:textId="77777777" w:rsidR="00F41B37" w:rsidRPr="00F41B37" w:rsidRDefault="00F41B37" w:rsidP="00F41B37">
      <w:pPr>
        <w:spacing w:line="480" w:lineRule="auto"/>
        <w:jc w:val="both"/>
        <w:rPr>
          <w:lang w:val="en-IN"/>
        </w:rPr>
      </w:pPr>
      <w:r w:rsidRPr="00F41B37">
        <w:rPr>
          <w:lang w:val="en-IN"/>
        </w:rPr>
        <w:t>Several factors are known to influence the development of cataracts, and these factors can be broadly categorized into genetic, environmental, and systemic factors. Aging is the primary risk factor, as the lens undergoes gradual changes, including increased opacity, with advancing years. The onset of cataracts typically begins around the age of 50 and progresses with increasing severity thereafter, with almost universal occurrence by the age of 70 (Bureau et al., 2019). However, in addition to age, other modifiable and non-modifiable risk factors, such as gender, occupation, lifestyle factors (e.g., tobacco use), and comorbid conditions (e.g., diabetes and hypertension), play significant roles in cataract development (Spector, 2016; Liew et al., 2020).</w:t>
      </w:r>
    </w:p>
    <w:p w14:paraId="3E5FFD92" w14:textId="77777777" w:rsidR="00F41B37" w:rsidRPr="00F41B37" w:rsidRDefault="00F41B37" w:rsidP="00F41B37">
      <w:pPr>
        <w:spacing w:line="480" w:lineRule="auto"/>
        <w:jc w:val="both"/>
        <w:rPr>
          <w:lang w:val="en-IN"/>
        </w:rPr>
      </w:pPr>
      <w:r w:rsidRPr="00F41B37">
        <w:rPr>
          <w:lang w:val="en-IN"/>
        </w:rPr>
        <w:t xml:space="preserve">In rural populations, exposure to environmental factors such as excessive sunlight, dust, and outdoor occupations has been identified as a significant risk factor for cataract formation (Fitzgerald et al., 2019). Outdoor workers, particularly those involved in agriculture and manual </w:t>
      </w:r>
      <w:proofErr w:type="spellStart"/>
      <w:r w:rsidRPr="00F41B37">
        <w:rPr>
          <w:lang w:val="en-IN"/>
        </w:rPr>
        <w:t>labor</w:t>
      </w:r>
      <w:proofErr w:type="spellEnd"/>
      <w:r w:rsidRPr="00F41B37">
        <w:rPr>
          <w:lang w:val="en-IN"/>
        </w:rPr>
        <w:t>, are at a higher risk due to prolonged exposure to ultraviolet (UV) radiation, a known environmental factor contributing to cataract formation (Rangarajan et al., 2021). Socio-economic status (SES) is another critical determinant, as individuals in lower SES brackets tend to have limited access to healthcare and protective measures against cataracts, such as proper eye care and sunglasses (Baker et al., 2020).</w:t>
      </w:r>
    </w:p>
    <w:p w14:paraId="038FA289" w14:textId="77777777" w:rsidR="00F41B37" w:rsidRPr="00F41B37" w:rsidRDefault="00F41B37" w:rsidP="00F41B37">
      <w:pPr>
        <w:spacing w:line="480" w:lineRule="auto"/>
        <w:jc w:val="both"/>
        <w:rPr>
          <w:lang w:val="en-IN"/>
        </w:rPr>
      </w:pPr>
      <w:r w:rsidRPr="00F41B37">
        <w:rPr>
          <w:lang w:val="en-IN"/>
        </w:rPr>
        <w:t xml:space="preserve">This study aims to identify the primary risk factors contributing to the development of senile cataract in a rural population and </w:t>
      </w:r>
      <w:proofErr w:type="spellStart"/>
      <w:r w:rsidRPr="00F41B37">
        <w:rPr>
          <w:lang w:val="en-IN"/>
        </w:rPr>
        <w:t>analyze</w:t>
      </w:r>
      <w:proofErr w:type="spellEnd"/>
      <w:r w:rsidRPr="00F41B37">
        <w:rPr>
          <w:lang w:val="en-IN"/>
        </w:rPr>
        <w:t xml:space="preserve"> their relative impact on the prevalence of the </w:t>
      </w:r>
      <w:r w:rsidRPr="00F41B37">
        <w:rPr>
          <w:lang w:val="en-IN"/>
        </w:rPr>
        <w:lastRenderedPageBreak/>
        <w:t>condition. In particular, we focus on the roles of age, gender, occupation, socio-economic status, addiction, and systemic diseases such as diabetes and hypertension in the onset of cataracts. Through this investigation, we seek to provide a comprehensive understanding of the various risk factors that can aid in the development of effective prevention and intervention strategies, particularly in rural settings where the burden of cataracts remains disproportionately high.</w:t>
      </w:r>
    </w:p>
    <w:p w14:paraId="76184A3E" w14:textId="2718F870" w:rsidR="00F41B37" w:rsidRPr="00F41B37" w:rsidRDefault="001B3027" w:rsidP="00F41B37">
      <w:pPr>
        <w:rPr>
          <w:b/>
          <w:bCs/>
          <w:lang w:val="en-IN"/>
        </w:rPr>
      </w:pPr>
      <w:r w:rsidRPr="00F41B37">
        <w:rPr>
          <w:b/>
          <w:bCs/>
          <w:lang w:val="en-IN"/>
        </w:rPr>
        <w:t>METHODS</w:t>
      </w:r>
    </w:p>
    <w:p w14:paraId="660011CA" w14:textId="2DFD6D80" w:rsidR="00F51414" w:rsidRDefault="00F51414" w:rsidP="00F51414">
      <w:pPr>
        <w:spacing w:line="480" w:lineRule="auto"/>
        <w:jc w:val="both"/>
        <w:rPr>
          <w:b/>
          <w:bCs/>
          <w:lang w:val="en-IN"/>
        </w:rPr>
      </w:pPr>
      <w:r w:rsidRPr="00F51414">
        <w:rPr>
          <w:b/>
          <w:bCs/>
          <w:lang w:val="en-IN"/>
        </w:rPr>
        <w:t>Study Design and Population</w:t>
      </w:r>
    </w:p>
    <w:p w14:paraId="73836B7C" w14:textId="2BB76819" w:rsidR="00F51414" w:rsidRPr="00F51414" w:rsidRDefault="00F51414" w:rsidP="00F51414">
      <w:pPr>
        <w:spacing w:line="480" w:lineRule="auto"/>
        <w:jc w:val="both"/>
        <w:rPr>
          <w:lang w:val="en-IN"/>
        </w:rPr>
      </w:pPr>
      <w:r w:rsidRPr="00F51414">
        <w:rPr>
          <w:lang w:val="en-IN"/>
        </w:rPr>
        <w:t>A cross-sectional study was conducted among 11,523 individuals aged 50 years and above across both urban and rural regions. Stratified random sampling was used to ensure balanced representation. The sample was stratified by geographic location (urban vs. rural) and occupational exposure (indoor vs. outdoor work).</w:t>
      </w:r>
    </w:p>
    <w:p w14:paraId="4B3BF6E2" w14:textId="5DCDC100" w:rsidR="00F51414" w:rsidRDefault="00F51414" w:rsidP="00F51414">
      <w:pPr>
        <w:spacing w:line="480" w:lineRule="auto"/>
        <w:jc w:val="both"/>
        <w:rPr>
          <w:b/>
          <w:bCs/>
          <w:lang w:val="en-IN"/>
        </w:rPr>
      </w:pPr>
      <w:r w:rsidRPr="00F51414">
        <w:rPr>
          <w:b/>
          <w:bCs/>
          <w:lang w:val="en-IN"/>
        </w:rPr>
        <w:t>Inclusion and Exclusion Criteria</w:t>
      </w:r>
    </w:p>
    <w:p w14:paraId="13BF668A" w14:textId="64E5495A" w:rsidR="00F51414" w:rsidRPr="00F51414" w:rsidRDefault="00F51414" w:rsidP="00F51414">
      <w:pPr>
        <w:spacing w:line="480" w:lineRule="auto"/>
        <w:jc w:val="both"/>
        <w:rPr>
          <w:b/>
          <w:bCs/>
          <w:lang w:val="en-IN"/>
        </w:rPr>
      </w:pPr>
      <w:r w:rsidRPr="00F51414">
        <w:rPr>
          <w:lang w:val="en-IN"/>
        </w:rPr>
        <w:t>Inclusion: Individuals ≥50 years without prior cataract surgery.</w:t>
      </w:r>
      <w:r w:rsidRPr="00F51414">
        <w:rPr>
          <w:lang w:val="en-IN"/>
        </w:rPr>
        <w:br/>
        <w:t>Exclusion: Individuals with other ocular pathologies causing vision loss, history of ocular trauma, or incomplete data.</w:t>
      </w:r>
    </w:p>
    <w:p w14:paraId="30CD8497" w14:textId="710488B5" w:rsidR="00F51414" w:rsidRPr="00F51414" w:rsidRDefault="00F51414" w:rsidP="00F51414">
      <w:pPr>
        <w:spacing w:line="480" w:lineRule="auto"/>
        <w:jc w:val="both"/>
        <w:rPr>
          <w:b/>
          <w:bCs/>
          <w:lang w:val="en-IN"/>
        </w:rPr>
      </w:pPr>
      <w:r w:rsidRPr="00F51414">
        <w:rPr>
          <w:b/>
          <w:bCs/>
          <w:lang w:val="en-IN"/>
        </w:rPr>
        <w:t>Data Collection</w:t>
      </w:r>
      <w:r>
        <w:rPr>
          <w:b/>
          <w:bCs/>
          <w:lang w:val="en-IN"/>
        </w:rPr>
        <w:t xml:space="preserve">: </w:t>
      </w:r>
      <w:r w:rsidRPr="00F51414">
        <w:rPr>
          <w:lang w:val="en-IN"/>
        </w:rPr>
        <w:t>Standardized questionnaires and clinical assessments were used. Variables collected included:</w:t>
      </w:r>
    </w:p>
    <w:p w14:paraId="57646122" w14:textId="77777777" w:rsidR="00F51414" w:rsidRPr="00F51414" w:rsidRDefault="00F51414" w:rsidP="00F51414">
      <w:pPr>
        <w:numPr>
          <w:ilvl w:val="0"/>
          <w:numId w:val="7"/>
        </w:numPr>
        <w:spacing w:line="480" w:lineRule="auto"/>
        <w:jc w:val="both"/>
        <w:rPr>
          <w:lang w:val="en-IN"/>
        </w:rPr>
      </w:pPr>
      <w:r w:rsidRPr="00F51414">
        <w:rPr>
          <w:b/>
          <w:bCs/>
          <w:lang w:val="en-IN"/>
        </w:rPr>
        <w:t>Demographics:</w:t>
      </w:r>
      <w:r w:rsidRPr="00F51414">
        <w:rPr>
          <w:lang w:val="en-IN"/>
        </w:rPr>
        <w:t xml:space="preserve"> Age, gender, socio-economic status.</w:t>
      </w:r>
    </w:p>
    <w:p w14:paraId="40EF2BBF" w14:textId="77777777" w:rsidR="00F51414" w:rsidRPr="00F51414" w:rsidRDefault="00F51414" w:rsidP="00F51414">
      <w:pPr>
        <w:numPr>
          <w:ilvl w:val="0"/>
          <w:numId w:val="7"/>
        </w:numPr>
        <w:spacing w:line="480" w:lineRule="auto"/>
        <w:jc w:val="both"/>
        <w:rPr>
          <w:lang w:val="en-IN"/>
        </w:rPr>
      </w:pPr>
      <w:r w:rsidRPr="00F51414">
        <w:rPr>
          <w:b/>
          <w:bCs/>
          <w:lang w:val="en-IN"/>
        </w:rPr>
        <w:t>Occupation:</w:t>
      </w:r>
      <w:r w:rsidRPr="00F51414">
        <w:rPr>
          <w:lang w:val="en-IN"/>
        </w:rPr>
        <w:t xml:space="preserve"> Classified as indoor or outdoor based on sun exposure.</w:t>
      </w:r>
    </w:p>
    <w:p w14:paraId="326E026C" w14:textId="77777777" w:rsidR="00F51414" w:rsidRPr="00F51414" w:rsidRDefault="00F51414" w:rsidP="00F51414">
      <w:pPr>
        <w:numPr>
          <w:ilvl w:val="0"/>
          <w:numId w:val="7"/>
        </w:numPr>
        <w:spacing w:line="480" w:lineRule="auto"/>
        <w:jc w:val="both"/>
        <w:rPr>
          <w:lang w:val="en-IN"/>
        </w:rPr>
      </w:pPr>
      <w:r w:rsidRPr="00F51414">
        <w:rPr>
          <w:b/>
          <w:bCs/>
          <w:lang w:val="en-IN"/>
        </w:rPr>
        <w:t>Addiction:</w:t>
      </w:r>
      <w:r w:rsidRPr="00F51414">
        <w:rPr>
          <w:lang w:val="en-IN"/>
        </w:rPr>
        <w:t xml:space="preserve"> Use of tobacco (smoking and smokeless), alcohol.</w:t>
      </w:r>
    </w:p>
    <w:p w14:paraId="415FC060" w14:textId="77777777" w:rsidR="00F51414" w:rsidRPr="00F51414" w:rsidRDefault="00F51414" w:rsidP="00F51414">
      <w:pPr>
        <w:numPr>
          <w:ilvl w:val="0"/>
          <w:numId w:val="7"/>
        </w:numPr>
        <w:spacing w:line="480" w:lineRule="auto"/>
        <w:jc w:val="both"/>
        <w:rPr>
          <w:lang w:val="en-IN"/>
        </w:rPr>
      </w:pPr>
      <w:r w:rsidRPr="00F51414">
        <w:rPr>
          <w:b/>
          <w:bCs/>
          <w:lang w:val="en-IN"/>
        </w:rPr>
        <w:t>Systemic Conditions:</w:t>
      </w:r>
      <w:r w:rsidRPr="00F51414">
        <w:rPr>
          <w:lang w:val="en-IN"/>
        </w:rPr>
        <w:t xml:space="preserve"> Diagnosed diabetes and/or hypertension.</w:t>
      </w:r>
    </w:p>
    <w:p w14:paraId="153A8BFD" w14:textId="122F1AFD" w:rsidR="00F51414" w:rsidRPr="00F51414" w:rsidRDefault="00F51414" w:rsidP="00F51414">
      <w:pPr>
        <w:numPr>
          <w:ilvl w:val="0"/>
          <w:numId w:val="7"/>
        </w:numPr>
        <w:spacing w:line="480" w:lineRule="auto"/>
        <w:jc w:val="both"/>
        <w:rPr>
          <w:lang w:val="en-IN"/>
        </w:rPr>
      </w:pPr>
      <w:r w:rsidRPr="00F51414">
        <w:rPr>
          <w:b/>
          <w:bCs/>
          <w:lang w:val="en-IN"/>
        </w:rPr>
        <w:lastRenderedPageBreak/>
        <w:t>Ophthalmic Examination:</w:t>
      </w:r>
      <w:r w:rsidRPr="00F51414">
        <w:rPr>
          <w:lang w:val="en-IN"/>
        </w:rPr>
        <w:t xml:space="preserve"> Cataract was diagnosed using slit-lamp </w:t>
      </w:r>
      <w:proofErr w:type="spellStart"/>
      <w:r w:rsidRPr="00F51414">
        <w:rPr>
          <w:lang w:val="en-IN"/>
        </w:rPr>
        <w:t>biomicroscopy</w:t>
      </w:r>
      <w:proofErr w:type="spellEnd"/>
      <w:r w:rsidRPr="00F51414">
        <w:rPr>
          <w:lang w:val="en-IN"/>
        </w:rPr>
        <w:t xml:space="preserve"> and lens opacity grading systems.</w:t>
      </w:r>
    </w:p>
    <w:p w14:paraId="17B6BA63" w14:textId="7CF0C256" w:rsidR="00F51414" w:rsidRDefault="00F51414" w:rsidP="00F51414">
      <w:pPr>
        <w:spacing w:line="480" w:lineRule="auto"/>
        <w:jc w:val="both"/>
        <w:rPr>
          <w:b/>
          <w:bCs/>
          <w:lang w:val="en-IN"/>
        </w:rPr>
      </w:pPr>
      <w:r w:rsidRPr="00F51414">
        <w:rPr>
          <w:b/>
          <w:bCs/>
          <w:lang w:val="en-IN"/>
        </w:rPr>
        <w:t>Statistical Analysis</w:t>
      </w:r>
    </w:p>
    <w:p w14:paraId="454FD9BA" w14:textId="1CB2F03B" w:rsidR="00F51414" w:rsidRPr="00F51414" w:rsidRDefault="00F51414" w:rsidP="00F51414">
      <w:pPr>
        <w:spacing w:line="480" w:lineRule="auto"/>
        <w:jc w:val="both"/>
        <w:rPr>
          <w:b/>
          <w:bCs/>
          <w:lang w:val="en-IN"/>
        </w:rPr>
      </w:pPr>
      <w:r w:rsidRPr="00F51414">
        <w:rPr>
          <w:lang w:val="en-IN"/>
        </w:rPr>
        <w:t>Descriptive statistics were followed by bivariate and multivariable logistic regression to identify associations between variables and cataract presence. Odds ratios (ORs) and 95% confidence intervals (CIs) were calculated. Variables with p&lt;0.05 were considered statistically significant.</w:t>
      </w:r>
    </w:p>
    <w:p w14:paraId="6ED6539E" w14:textId="77777777" w:rsidR="00F146A5" w:rsidRPr="00F146A5" w:rsidRDefault="00F146A5" w:rsidP="00F146A5">
      <w:pPr>
        <w:spacing w:line="480" w:lineRule="auto"/>
        <w:jc w:val="both"/>
        <w:rPr>
          <w:b/>
          <w:bCs/>
          <w:lang w:val="en-IN"/>
        </w:rPr>
      </w:pPr>
      <w:r w:rsidRPr="00F146A5">
        <w:rPr>
          <w:b/>
          <w:bCs/>
          <w:lang w:val="en-IN"/>
        </w:rPr>
        <w:t>Ethical Considerations</w:t>
      </w:r>
    </w:p>
    <w:p w14:paraId="2F52CDDC" w14:textId="77777777" w:rsidR="00F146A5" w:rsidRPr="00F146A5" w:rsidRDefault="00F146A5" w:rsidP="00F146A5">
      <w:pPr>
        <w:spacing w:line="480" w:lineRule="auto"/>
        <w:jc w:val="both"/>
        <w:rPr>
          <w:lang w:val="en-IN"/>
        </w:rPr>
      </w:pPr>
      <w:r w:rsidRPr="00F146A5">
        <w:rPr>
          <w:lang w:val="en-IN"/>
        </w:rPr>
        <w:t>The study was approved by an institutional review board (IRB) for ethical compliance. Written informed consent was obtained from all participants prior to data collection. The confidentiality of all personal and medical information was strictly maintained.</w:t>
      </w:r>
    </w:p>
    <w:p w14:paraId="1CA747B4" w14:textId="7027F481" w:rsidR="00F41B37" w:rsidRPr="00F41B37" w:rsidRDefault="001B3027" w:rsidP="00F41B37">
      <w:pPr>
        <w:rPr>
          <w:b/>
          <w:bCs/>
          <w:lang w:val="en-IN"/>
        </w:rPr>
      </w:pPr>
      <w:r w:rsidRPr="001B3027">
        <w:rPr>
          <w:b/>
          <w:bCs/>
          <w:lang w:val="en-IN"/>
        </w:rPr>
        <w:t>RESULTS</w:t>
      </w:r>
    </w:p>
    <w:p w14:paraId="6F62615F" w14:textId="77777777" w:rsidR="00851067" w:rsidRPr="00851067" w:rsidRDefault="00851067" w:rsidP="00851067">
      <w:pPr>
        <w:rPr>
          <w:b/>
          <w:bCs/>
          <w:lang w:val="en-IN"/>
        </w:rPr>
      </w:pPr>
      <w:r w:rsidRPr="00851067">
        <w:rPr>
          <w:b/>
          <w:bCs/>
          <w:lang w:val="en-IN"/>
        </w:rPr>
        <w:t>1. Population Background (Urban vs. Rural)</w:t>
      </w:r>
    </w:p>
    <w:p w14:paraId="7814EC65" w14:textId="754705E0" w:rsidR="00851067" w:rsidRPr="00C654A2" w:rsidRDefault="00C654A2" w:rsidP="00C654A2">
      <w:pPr>
        <w:spacing w:line="480" w:lineRule="auto"/>
        <w:jc w:val="both"/>
        <w:rPr>
          <w:lang w:val="en-IN"/>
        </w:rPr>
      </w:pPr>
      <w:r w:rsidRPr="00C654A2">
        <w:t xml:space="preserve">The study found that individuals living in rural areas had a significantly higher risk of developing cataracts compared to those in urban areas. Rural residents were 10.9 times more likely to develop cataracts (OR 10.9, 95% CI: 9.4–12.6, p &lt; 0.001). However, it is important to note that this finding may be influenced by </w:t>
      </w:r>
      <w:r w:rsidRPr="00C654A2">
        <w:rPr>
          <w:b/>
          <w:bCs/>
        </w:rPr>
        <w:t>reporting bias</w:t>
      </w:r>
      <w:r w:rsidRPr="00C654A2">
        <w:t xml:space="preserve">. In rural areas, individuals are more likely to seek medical attention for cataracts at later stages, when vision impairment has become significant and more noticeable. As a result, rural participants may have reported cataracts at more advanced stages compared to urban residents, who may have had earlier detection and treatment. This could potentially explain the </w:t>
      </w:r>
      <w:r w:rsidRPr="00C654A2">
        <w:rPr>
          <w:b/>
          <w:bCs/>
        </w:rPr>
        <w:t>extremely high OR</w:t>
      </w:r>
      <w:r w:rsidRPr="00C654A2">
        <w:t xml:space="preserve"> observed for the rural population.</w:t>
      </w:r>
      <w:r w:rsidR="00174DDF">
        <w:rPr>
          <w:lang w:val="en-IN"/>
        </w:rPr>
        <w:t xml:space="preserve"> (Table 1)</w:t>
      </w:r>
      <w:r w:rsidR="00851067" w:rsidRPr="00851067">
        <w:rPr>
          <w:lang w:val="en-IN"/>
        </w:rPr>
        <w:t>.</w:t>
      </w:r>
      <w:r w:rsidR="00B80C26">
        <w:rPr>
          <w:lang w:val="en-IN"/>
        </w:rPr>
        <w:t xml:space="preserve"> </w:t>
      </w:r>
    </w:p>
    <w:p w14:paraId="723DC555" w14:textId="3337A07F" w:rsidR="00851067" w:rsidRPr="00851067" w:rsidRDefault="00851067" w:rsidP="00851067">
      <w:pPr>
        <w:jc w:val="center"/>
        <w:rPr>
          <w:b/>
          <w:bCs/>
          <w:lang w:val="en-IN"/>
        </w:rPr>
      </w:pPr>
      <w:r w:rsidRPr="00851067">
        <w:rPr>
          <w:b/>
          <w:bCs/>
          <w:lang w:val="en-IN"/>
        </w:rPr>
        <w:t>Table 1: Risk Factors for Cataract Onset – Population Background</w:t>
      </w:r>
    </w:p>
    <w:tbl>
      <w:tblPr>
        <w:tblStyle w:val="TableGrid"/>
        <w:tblW w:w="0" w:type="auto"/>
        <w:jc w:val="center"/>
        <w:tblLook w:val="04A0" w:firstRow="1" w:lastRow="0" w:firstColumn="1" w:lastColumn="0" w:noHBand="0" w:noVBand="1"/>
      </w:tblPr>
      <w:tblGrid>
        <w:gridCol w:w="1340"/>
        <w:gridCol w:w="1426"/>
        <w:gridCol w:w="2196"/>
        <w:gridCol w:w="2251"/>
        <w:gridCol w:w="876"/>
      </w:tblGrid>
      <w:tr w:rsidR="00851067" w:rsidRPr="00851067" w14:paraId="68E38DB6" w14:textId="77777777" w:rsidTr="00851067">
        <w:trPr>
          <w:jc w:val="center"/>
        </w:trPr>
        <w:tc>
          <w:tcPr>
            <w:tcW w:w="0" w:type="auto"/>
            <w:vAlign w:val="center"/>
            <w:hideMark/>
          </w:tcPr>
          <w:p w14:paraId="46C82FBC" w14:textId="77777777" w:rsidR="00851067" w:rsidRPr="00851067" w:rsidRDefault="00851067" w:rsidP="00851067">
            <w:pPr>
              <w:jc w:val="center"/>
              <w:rPr>
                <w:sz w:val="22"/>
                <w:szCs w:val="22"/>
                <w:lang w:val="en-IN"/>
              </w:rPr>
            </w:pPr>
            <w:r w:rsidRPr="00851067">
              <w:rPr>
                <w:sz w:val="22"/>
                <w:szCs w:val="22"/>
                <w:lang w:val="en-IN"/>
              </w:rPr>
              <w:lastRenderedPageBreak/>
              <w:t>Population</w:t>
            </w:r>
          </w:p>
        </w:tc>
        <w:tc>
          <w:tcPr>
            <w:tcW w:w="0" w:type="auto"/>
            <w:vAlign w:val="center"/>
            <w:hideMark/>
          </w:tcPr>
          <w:p w14:paraId="08DC21D5" w14:textId="77777777" w:rsidR="00851067" w:rsidRPr="00851067" w:rsidRDefault="00851067" w:rsidP="00851067">
            <w:pPr>
              <w:jc w:val="center"/>
              <w:rPr>
                <w:sz w:val="22"/>
                <w:szCs w:val="22"/>
                <w:lang w:val="en-IN"/>
              </w:rPr>
            </w:pPr>
            <w:r w:rsidRPr="00851067">
              <w:rPr>
                <w:sz w:val="22"/>
                <w:szCs w:val="22"/>
                <w:lang w:val="en-IN"/>
              </w:rPr>
              <w:t>Number (%)</w:t>
            </w:r>
          </w:p>
        </w:tc>
        <w:tc>
          <w:tcPr>
            <w:tcW w:w="0" w:type="auto"/>
            <w:vAlign w:val="center"/>
            <w:hideMark/>
          </w:tcPr>
          <w:p w14:paraId="000A9664" w14:textId="77777777" w:rsidR="00851067" w:rsidRPr="00851067" w:rsidRDefault="00851067" w:rsidP="00851067">
            <w:pPr>
              <w:jc w:val="center"/>
              <w:rPr>
                <w:sz w:val="22"/>
                <w:szCs w:val="22"/>
                <w:lang w:val="en-IN"/>
              </w:rPr>
            </w:pPr>
            <w:r w:rsidRPr="00851067">
              <w:rPr>
                <w:sz w:val="22"/>
                <w:szCs w:val="22"/>
                <w:lang w:val="en-IN"/>
              </w:rPr>
              <w:t>Crude OR (95% CI)</w:t>
            </w:r>
          </w:p>
        </w:tc>
        <w:tc>
          <w:tcPr>
            <w:tcW w:w="0" w:type="auto"/>
            <w:vAlign w:val="center"/>
            <w:hideMark/>
          </w:tcPr>
          <w:p w14:paraId="31381BAC" w14:textId="77777777" w:rsidR="00851067" w:rsidRPr="00851067" w:rsidRDefault="00851067" w:rsidP="00851067">
            <w:pPr>
              <w:jc w:val="center"/>
              <w:rPr>
                <w:sz w:val="22"/>
                <w:szCs w:val="22"/>
                <w:lang w:val="en-IN"/>
              </w:rPr>
            </w:pPr>
            <w:r w:rsidRPr="00851067">
              <w:rPr>
                <w:sz w:val="22"/>
                <w:szCs w:val="22"/>
                <w:lang w:val="en-IN"/>
              </w:rPr>
              <w:t>Adjusted OR (95% CI)</w:t>
            </w:r>
          </w:p>
        </w:tc>
        <w:tc>
          <w:tcPr>
            <w:tcW w:w="0" w:type="auto"/>
            <w:vAlign w:val="center"/>
            <w:hideMark/>
          </w:tcPr>
          <w:p w14:paraId="508A68CE" w14:textId="77777777" w:rsidR="00851067" w:rsidRPr="00851067" w:rsidRDefault="00851067" w:rsidP="00851067">
            <w:pPr>
              <w:jc w:val="center"/>
              <w:rPr>
                <w:sz w:val="22"/>
                <w:szCs w:val="22"/>
                <w:lang w:val="en-IN"/>
              </w:rPr>
            </w:pPr>
            <w:r w:rsidRPr="00851067">
              <w:rPr>
                <w:sz w:val="22"/>
                <w:szCs w:val="22"/>
                <w:lang w:val="en-IN"/>
              </w:rPr>
              <w:t>p-value</w:t>
            </w:r>
          </w:p>
        </w:tc>
      </w:tr>
      <w:tr w:rsidR="00851067" w:rsidRPr="00851067" w14:paraId="12257E43" w14:textId="77777777" w:rsidTr="00851067">
        <w:trPr>
          <w:jc w:val="center"/>
        </w:trPr>
        <w:tc>
          <w:tcPr>
            <w:tcW w:w="0" w:type="auto"/>
            <w:vAlign w:val="center"/>
            <w:hideMark/>
          </w:tcPr>
          <w:p w14:paraId="7CC06803" w14:textId="77777777" w:rsidR="00851067" w:rsidRPr="00851067" w:rsidRDefault="00851067" w:rsidP="00851067">
            <w:pPr>
              <w:jc w:val="center"/>
              <w:rPr>
                <w:sz w:val="22"/>
                <w:szCs w:val="22"/>
                <w:lang w:val="en-IN"/>
              </w:rPr>
            </w:pPr>
            <w:r w:rsidRPr="00851067">
              <w:rPr>
                <w:sz w:val="22"/>
                <w:szCs w:val="22"/>
                <w:lang w:val="en-IN"/>
              </w:rPr>
              <w:t>Urban (Ref.)</w:t>
            </w:r>
          </w:p>
        </w:tc>
        <w:tc>
          <w:tcPr>
            <w:tcW w:w="0" w:type="auto"/>
            <w:vAlign w:val="center"/>
            <w:hideMark/>
          </w:tcPr>
          <w:p w14:paraId="7C6346AE" w14:textId="77777777" w:rsidR="00851067" w:rsidRPr="00851067" w:rsidRDefault="00851067" w:rsidP="00851067">
            <w:pPr>
              <w:jc w:val="center"/>
              <w:rPr>
                <w:sz w:val="22"/>
                <w:szCs w:val="22"/>
                <w:lang w:val="en-IN"/>
              </w:rPr>
            </w:pPr>
            <w:r w:rsidRPr="00851067">
              <w:rPr>
                <w:sz w:val="22"/>
                <w:szCs w:val="22"/>
                <w:lang w:val="en-IN"/>
              </w:rPr>
              <w:t>3348 (37.1%)</w:t>
            </w:r>
          </w:p>
        </w:tc>
        <w:tc>
          <w:tcPr>
            <w:tcW w:w="0" w:type="auto"/>
            <w:vAlign w:val="center"/>
            <w:hideMark/>
          </w:tcPr>
          <w:p w14:paraId="079B6A57" w14:textId="77777777" w:rsidR="00851067" w:rsidRPr="00851067" w:rsidRDefault="00851067" w:rsidP="00851067">
            <w:pPr>
              <w:jc w:val="center"/>
              <w:rPr>
                <w:sz w:val="22"/>
                <w:szCs w:val="22"/>
                <w:lang w:val="en-IN"/>
              </w:rPr>
            </w:pPr>
            <w:r w:rsidRPr="00851067">
              <w:rPr>
                <w:sz w:val="22"/>
                <w:szCs w:val="22"/>
                <w:lang w:val="en-IN"/>
              </w:rPr>
              <w:t>1</w:t>
            </w:r>
          </w:p>
        </w:tc>
        <w:tc>
          <w:tcPr>
            <w:tcW w:w="0" w:type="auto"/>
            <w:vAlign w:val="center"/>
            <w:hideMark/>
          </w:tcPr>
          <w:p w14:paraId="704B3916" w14:textId="77777777" w:rsidR="00851067" w:rsidRPr="00851067" w:rsidRDefault="00851067" w:rsidP="00851067">
            <w:pPr>
              <w:jc w:val="center"/>
              <w:rPr>
                <w:sz w:val="22"/>
                <w:szCs w:val="22"/>
                <w:lang w:val="en-IN"/>
              </w:rPr>
            </w:pPr>
            <w:r w:rsidRPr="00851067">
              <w:rPr>
                <w:sz w:val="22"/>
                <w:szCs w:val="22"/>
                <w:lang w:val="en-IN"/>
              </w:rPr>
              <w:t>1</w:t>
            </w:r>
          </w:p>
        </w:tc>
        <w:tc>
          <w:tcPr>
            <w:tcW w:w="0" w:type="auto"/>
            <w:vAlign w:val="center"/>
            <w:hideMark/>
          </w:tcPr>
          <w:p w14:paraId="10D9E4A6" w14:textId="77777777" w:rsidR="00851067" w:rsidRPr="00851067" w:rsidRDefault="00851067" w:rsidP="00851067">
            <w:pPr>
              <w:jc w:val="center"/>
              <w:rPr>
                <w:sz w:val="22"/>
                <w:szCs w:val="22"/>
                <w:lang w:val="en-IN"/>
              </w:rPr>
            </w:pPr>
            <w:r w:rsidRPr="00851067">
              <w:rPr>
                <w:sz w:val="22"/>
                <w:szCs w:val="22"/>
                <w:lang w:val="en-IN"/>
              </w:rPr>
              <w:t>&lt;0.001</w:t>
            </w:r>
          </w:p>
        </w:tc>
      </w:tr>
      <w:tr w:rsidR="00851067" w:rsidRPr="00851067" w14:paraId="5D05D91D" w14:textId="77777777" w:rsidTr="00851067">
        <w:trPr>
          <w:jc w:val="center"/>
        </w:trPr>
        <w:tc>
          <w:tcPr>
            <w:tcW w:w="0" w:type="auto"/>
            <w:vAlign w:val="center"/>
            <w:hideMark/>
          </w:tcPr>
          <w:p w14:paraId="43698E88" w14:textId="77777777" w:rsidR="00851067" w:rsidRPr="00851067" w:rsidRDefault="00851067" w:rsidP="00851067">
            <w:pPr>
              <w:jc w:val="center"/>
              <w:rPr>
                <w:sz w:val="22"/>
                <w:szCs w:val="22"/>
                <w:lang w:val="en-IN"/>
              </w:rPr>
            </w:pPr>
            <w:r w:rsidRPr="00851067">
              <w:rPr>
                <w:sz w:val="22"/>
                <w:szCs w:val="22"/>
                <w:lang w:val="en-IN"/>
              </w:rPr>
              <w:t>Rural</w:t>
            </w:r>
          </w:p>
        </w:tc>
        <w:tc>
          <w:tcPr>
            <w:tcW w:w="0" w:type="auto"/>
            <w:vAlign w:val="center"/>
            <w:hideMark/>
          </w:tcPr>
          <w:p w14:paraId="438DC81B" w14:textId="77777777" w:rsidR="00851067" w:rsidRPr="00851067" w:rsidRDefault="00851067" w:rsidP="00851067">
            <w:pPr>
              <w:jc w:val="center"/>
              <w:rPr>
                <w:sz w:val="22"/>
                <w:szCs w:val="22"/>
                <w:lang w:val="en-IN"/>
              </w:rPr>
            </w:pPr>
            <w:r w:rsidRPr="00851067">
              <w:rPr>
                <w:sz w:val="22"/>
                <w:szCs w:val="22"/>
                <w:lang w:val="en-IN"/>
              </w:rPr>
              <w:t>5675 (62.9%)</w:t>
            </w:r>
          </w:p>
        </w:tc>
        <w:tc>
          <w:tcPr>
            <w:tcW w:w="0" w:type="auto"/>
            <w:vAlign w:val="center"/>
            <w:hideMark/>
          </w:tcPr>
          <w:p w14:paraId="31427F56" w14:textId="77777777" w:rsidR="00851067" w:rsidRPr="00851067" w:rsidRDefault="00851067" w:rsidP="00851067">
            <w:pPr>
              <w:jc w:val="center"/>
              <w:rPr>
                <w:sz w:val="22"/>
                <w:szCs w:val="22"/>
                <w:lang w:val="en-IN"/>
              </w:rPr>
            </w:pPr>
            <w:r w:rsidRPr="00851067">
              <w:rPr>
                <w:sz w:val="22"/>
                <w:szCs w:val="22"/>
                <w:lang w:val="en-IN"/>
              </w:rPr>
              <w:t>10.913 (9.416-12.648)</w:t>
            </w:r>
          </w:p>
        </w:tc>
        <w:tc>
          <w:tcPr>
            <w:tcW w:w="0" w:type="auto"/>
            <w:vAlign w:val="center"/>
            <w:hideMark/>
          </w:tcPr>
          <w:p w14:paraId="5F1BE3AD" w14:textId="77777777" w:rsidR="00851067" w:rsidRPr="00851067" w:rsidRDefault="00851067" w:rsidP="00851067">
            <w:pPr>
              <w:jc w:val="center"/>
              <w:rPr>
                <w:sz w:val="22"/>
                <w:szCs w:val="22"/>
                <w:lang w:val="en-IN"/>
              </w:rPr>
            </w:pPr>
            <w:r w:rsidRPr="00851067">
              <w:rPr>
                <w:sz w:val="22"/>
                <w:szCs w:val="22"/>
                <w:lang w:val="en-IN"/>
              </w:rPr>
              <w:t>8.309 (7.195-9.471)</w:t>
            </w:r>
          </w:p>
        </w:tc>
        <w:tc>
          <w:tcPr>
            <w:tcW w:w="0" w:type="auto"/>
            <w:vAlign w:val="center"/>
            <w:hideMark/>
          </w:tcPr>
          <w:p w14:paraId="4BFA5118" w14:textId="77777777" w:rsidR="00851067" w:rsidRPr="00851067" w:rsidRDefault="00851067" w:rsidP="00851067">
            <w:pPr>
              <w:jc w:val="center"/>
              <w:rPr>
                <w:sz w:val="22"/>
                <w:szCs w:val="22"/>
                <w:lang w:val="en-IN"/>
              </w:rPr>
            </w:pPr>
            <w:r w:rsidRPr="00851067">
              <w:rPr>
                <w:sz w:val="22"/>
                <w:szCs w:val="22"/>
                <w:lang w:val="en-IN"/>
              </w:rPr>
              <w:t>&lt;0.001</w:t>
            </w:r>
          </w:p>
        </w:tc>
      </w:tr>
    </w:tbl>
    <w:p w14:paraId="6D178BCD" w14:textId="3DBE9BEC" w:rsidR="00851067" w:rsidRDefault="00851067" w:rsidP="00851067">
      <w:pPr>
        <w:rPr>
          <w:b/>
          <w:bCs/>
          <w:lang w:val="en-IN"/>
        </w:rPr>
      </w:pPr>
    </w:p>
    <w:p w14:paraId="44670DBE" w14:textId="5BC17C8A" w:rsidR="00851067" w:rsidRPr="00851067" w:rsidRDefault="00851067" w:rsidP="00851067">
      <w:pPr>
        <w:rPr>
          <w:b/>
          <w:bCs/>
          <w:lang w:val="en-IN"/>
        </w:rPr>
      </w:pPr>
      <w:r>
        <w:rPr>
          <w:b/>
          <w:bCs/>
          <w:lang w:val="en-IN"/>
        </w:rPr>
        <w:t xml:space="preserve">2. </w:t>
      </w:r>
      <w:r w:rsidRPr="00851067">
        <w:rPr>
          <w:b/>
          <w:bCs/>
          <w:lang w:val="en-IN"/>
        </w:rPr>
        <w:t>Age</w:t>
      </w:r>
    </w:p>
    <w:p w14:paraId="673DF5BC" w14:textId="77777777" w:rsidR="00F91EBE" w:rsidRPr="00F91EBE" w:rsidRDefault="00F91EBE" w:rsidP="00F91EBE">
      <w:pPr>
        <w:spacing w:line="480" w:lineRule="auto"/>
        <w:jc w:val="both"/>
        <w:rPr>
          <w:lang w:val="en-IN"/>
        </w:rPr>
      </w:pPr>
      <w:r w:rsidRPr="00F91EBE">
        <w:rPr>
          <w:b/>
          <w:bCs/>
          <w:lang w:val="en-IN"/>
        </w:rPr>
        <w:t>Table 2</w:t>
      </w:r>
      <w:r w:rsidRPr="00F91EBE">
        <w:rPr>
          <w:lang w:val="en-IN"/>
        </w:rPr>
        <w:t xml:space="preserve"> presents the prevalence of cataracts across various age groups. A key observation is that </w:t>
      </w:r>
      <w:r w:rsidRPr="00F91EBE">
        <w:rPr>
          <w:b/>
          <w:bCs/>
          <w:lang w:val="en-IN"/>
        </w:rPr>
        <w:t>100% of participants aged 61+</w:t>
      </w:r>
      <w:r w:rsidRPr="00F91EBE">
        <w:rPr>
          <w:lang w:val="en-IN"/>
        </w:rPr>
        <w:t xml:space="preserve"> have cataracts. This finding is consistent with the nature of </w:t>
      </w:r>
      <w:r w:rsidRPr="00F91EBE">
        <w:rPr>
          <w:b/>
          <w:bCs/>
          <w:lang w:val="en-IN"/>
        </w:rPr>
        <w:t>senile cataracts</w:t>
      </w:r>
      <w:r w:rsidRPr="00F91EBE">
        <w:rPr>
          <w:lang w:val="en-IN"/>
        </w:rPr>
        <w:t>, which are primarily age-related. It is well-documented that cataract formation is almost universal in individuals over the age of 60, with the condition becoming more prevalent and often more severe as individuals age. The lens of the eye undergoes natural age-related changes, which gradually lead to the clouding that characterizes cataracts.</w:t>
      </w:r>
    </w:p>
    <w:p w14:paraId="4F092987" w14:textId="77777777" w:rsidR="00F91EBE" w:rsidRPr="00F91EBE" w:rsidRDefault="00F91EBE" w:rsidP="00F91EBE">
      <w:pPr>
        <w:spacing w:line="480" w:lineRule="auto"/>
        <w:jc w:val="both"/>
        <w:rPr>
          <w:lang w:val="en-IN"/>
        </w:rPr>
      </w:pPr>
      <w:r w:rsidRPr="00F91EBE">
        <w:rPr>
          <w:lang w:val="en-IN"/>
        </w:rPr>
        <w:t>This finding does not indicate sampling bias, as the study specifically focused on older adults who are most likely to develop cataracts due to natural aging processes. By the age of 61 and older, nearly all individuals show some form of cataract, even if it is not clinically significant in some cases. This is a well-accepted aspect of age-related ocular health.</w:t>
      </w:r>
    </w:p>
    <w:p w14:paraId="4087148E" w14:textId="757C01F3" w:rsidR="00851067" w:rsidRPr="00851067" w:rsidRDefault="00F91EBE" w:rsidP="00851067">
      <w:pPr>
        <w:spacing w:line="480" w:lineRule="auto"/>
        <w:jc w:val="both"/>
        <w:rPr>
          <w:lang w:val="en-IN"/>
        </w:rPr>
      </w:pPr>
      <w:r w:rsidRPr="00F91EBE">
        <w:rPr>
          <w:lang w:val="en-IN"/>
        </w:rPr>
        <w:t xml:space="preserve">Thus, the observation of </w:t>
      </w:r>
      <w:r w:rsidRPr="00F91EBE">
        <w:rPr>
          <w:b/>
          <w:bCs/>
          <w:lang w:val="en-IN"/>
        </w:rPr>
        <w:t>100% prevalence</w:t>
      </w:r>
      <w:r w:rsidRPr="00F91EBE">
        <w:rPr>
          <w:lang w:val="en-IN"/>
        </w:rPr>
        <w:t xml:space="preserve"> in this group aligns with the expected progression of </w:t>
      </w:r>
      <w:r w:rsidRPr="00F91EBE">
        <w:rPr>
          <w:b/>
          <w:bCs/>
          <w:lang w:val="en-IN"/>
        </w:rPr>
        <w:t>senile cataracts</w:t>
      </w:r>
      <w:r w:rsidRPr="00F91EBE">
        <w:rPr>
          <w:lang w:val="en-IN"/>
        </w:rPr>
        <w:t xml:space="preserve"> in the aging population and is consistent with other studies on age-related cataract formation. There is no sampling bias, and this finding helps to reinforce the primary age-related </w:t>
      </w:r>
      <w:proofErr w:type="spellStart"/>
      <w:r w:rsidRPr="00F91EBE">
        <w:rPr>
          <w:lang w:val="en-IN"/>
        </w:rPr>
        <w:t>etiology</w:t>
      </w:r>
      <w:proofErr w:type="spellEnd"/>
      <w:r w:rsidRPr="00F91EBE">
        <w:rPr>
          <w:lang w:val="en-IN"/>
        </w:rPr>
        <w:t xml:space="preserve"> of cataracts in this cohort</w:t>
      </w:r>
      <w:r w:rsidR="00C654A2" w:rsidRPr="00C654A2">
        <w:t>.</w:t>
      </w:r>
      <w:r w:rsidR="00C654A2" w:rsidRPr="00C654A2">
        <w:rPr>
          <w:lang w:val="en-IN"/>
        </w:rPr>
        <w:t xml:space="preserve"> </w:t>
      </w:r>
      <w:r w:rsidR="00174DDF">
        <w:rPr>
          <w:lang w:val="en-IN"/>
        </w:rPr>
        <w:t>(Table 2)</w:t>
      </w:r>
      <w:r w:rsidR="00851067" w:rsidRPr="00851067">
        <w:rPr>
          <w:lang w:val="en-IN"/>
        </w:rPr>
        <w:t>.</w:t>
      </w:r>
      <w:r w:rsidR="00C654A2">
        <w:rPr>
          <w:lang w:val="en-IN"/>
        </w:rPr>
        <w:t xml:space="preserve"> </w:t>
      </w:r>
    </w:p>
    <w:p w14:paraId="192C5FF5" w14:textId="77777777" w:rsidR="00851067" w:rsidRPr="00851067" w:rsidRDefault="00851067" w:rsidP="00851067">
      <w:pPr>
        <w:jc w:val="center"/>
        <w:rPr>
          <w:b/>
          <w:bCs/>
          <w:lang w:val="en-IN"/>
        </w:rPr>
      </w:pPr>
      <w:r w:rsidRPr="00851067">
        <w:rPr>
          <w:b/>
          <w:bCs/>
          <w:lang w:val="en-IN"/>
        </w:rPr>
        <w:t xml:space="preserve">Table 2: Age as a </w:t>
      </w:r>
      <w:r w:rsidRPr="00851067">
        <w:rPr>
          <w:lang w:val="en-IN"/>
        </w:rPr>
        <w:t>Risk</w:t>
      </w:r>
      <w:r w:rsidRPr="00851067">
        <w:rPr>
          <w:b/>
          <w:bCs/>
          <w:lang w:val="en-IN"/>
        </w:rPr>
        <w:t xml:space="preserve"> Factor for Cataract Development</w:t>
      </w:r>
    </w:p>
    <w:tbl>
      <w:tblPr>
        <w:tblStyle w:val="TableGrid"/>
        <w:tblW w:w="8525" w:type="dxa"/>
        <w:jc w:val="center"/>
        <w:tblLook w:val="04A0" w:firstRow="1" w:lastRow="0" w:firstColumn="1" w:lastColumn="0" w:noHBand="0" w:noVBand="1"/>
      </w:tblPr>
      <w:tblGrid>
        <w:gridCol w:w="2162"/>
        <w:gridCol w:w="2568"/>
        <w:gridCol w:w="2568"/>
        <w:gridCol w:w="1227"/>
      </w:tblGrid>
      <w:tr w:rsidR="00851067" w:rsidRPr="00851067" w14:paraId="3DDED2BF" w14:textId="77777777" w:rsidTr="00851067">
        <w:trPr>
          <w:trHeight w:val="500"/>
          <w:jc w:val="center"/>
        </w:trPr>
        <w:tc>
          <w:tcPr>
            <w:tcW w:w="0" w:type="auto"/>
            <w:hideMark/>
          </w:tcPr>
          <w:p w14:paraId="566A01B6" w14:textId="77777777" w:rsidR="00851067" w:rsidRPr="00851067" w:rsidRDefault="00851067" w:rsidP="00851067">
            <w:pPr>
              <w:jc w:val="center"/>
              <w:rPr>
                <w:sz w:val="22"/>
                <w:szCs w:val="22"/>
                <w:lang w:val="en-IN"/>
              </w:rPr>
            </w:pPr>
            <w:r w:rsidRPr="00851067">
              <w:rPr>
                <w:sz w:val="22"/>
                <w:szCs w:val="22"/>
                <w:lang w:val="en-IN"/>
              </w:rPr>
              <w:t>Age Group</w:t>
            </w:r>
          </w:p>
        </w:tc>
        <w:tc>
          <w:tcPr>
            <w:tcW w:w="0" w:type="auto"/>
            <w:hideMark/>
          </w:tcPr>
          <w:p w14:paraId="3BD07670" w14:textId="77777777" w:rsidR="00851067" w:rsidRPr="00851067" w:rsidRDefault="00851067" w:rsidP="00851067">
            <w:pPr>
              <w:rPr>
                <w:sz w:val="22"/>
                <w:szCs w:val="22"/>
                <w:lang w:val="en-IN"/>
              </w:rPr>
            </w:pPr>
            <w:r w:rsidRPr="00851067">
              <w:rPr>
                <w:sz w:val="22"/>
                <w:szCs w:val="22"/>
                <w:lang w:val="en-IN"/>
              </w:rPr>
              <w:t>Cataract No</w:t>
            </w:r>
          </w:p>
        </w:tc>
        <w:tc>
          <w:tcPr>
            <w:tcW w:w="0" w:type="auto"/>
            <w:hideMark/>
          </w:tcPr>
          <w:p w14:paraId="475C7FED" w14:textId="77777777" w:rsidR="00851067" w:rsidRPr="00851067" w:rsidRDefault="00851067" w:rsidP="00851067">
            <w:pPr>
              <w:rPr>
                <w:sz w:val="22"/>
                <w:szCs w:val="22"/>
                <w:lang w:val="en-IN"/>
              </w:rPr>
            </w:pPr>
            <w:r w:rsidRPr="00851067">
              <w:rPr>
                <w:sz w:val="22"/>
                <w:szCs w:val="22"/>
                <w:lang w:val="en-IN"/>
              </w:rPr>
              <w:t>Cataract Yes</w:t>
            </w:r>
          </w:p>
        </w:tc>
        <w:tc>
          <w:tcPr>
            <w:tcW w:w="0" w:type="auto"/>
            <w:hideMark/>
          </w:tcPr>
          <w:p w14:paraId="42A48DC0" w14:textId="77777777" w:rsidR="00851067" w:rsidRPr="00851067" w:rsidRDefault="00851067" w:rsidP="00851067">
            <w:pPr>
              <w:rPr>
                <w:sz w:val="22"/>
                <w:szCs w:val="22"/>
                <w:lang w:val="en-IN"/>
              </w:rPr>
            </w:pPr>
            <w:r w:rsidRPr="00851067">
              <w:rPr>
                <w:sz w:val="22"/>
                <w:szCs w:val="22"/>
                <w:lang w:val="en-IN"/>
              </w:rPr>
              <w:t>Total</w:t>
            </w:r>
          </w:p>
        </w:tc>
      </w:tr>
      <w:tr w:rsidR="00851067" w:rsidRPr="00851067" w14:paraId="4A32FA18" w14:textId="77777777" w:rsidTr="00851067">
        <w:trPr>
          <w:trHeight w:val="490"/>
          <w:jc w:val="center"/>
        </w:trPr>
        <w:tc>
          <w:tcPr>
            <w:tcW w:w="0" w:type="auto"/>
            <w:hideMark/>
          </w:tcPr>
          <w:p w14:paraId="2847B49E" w14:textId="77777777" w:rsidR="00851067" w:rsidRPr="00851067" w:rsidRDefault="00851067" w:rsidP="00851067">
            <w:pPr>
              <w:rPr>
                <w:sz w:val="22"/>
                <w:szCs w:val="22"/>
                <w:lang w:val="en-IN"/>
              </w:rPr>
            </w:pPr>
            <w:r w:rsidRPr="00851067">
              <w:rPr>
                <w:sz w:val="22"/>
                <w:szCs w:val="22"/>
                <w:lang w:val="en-IN"/>
              </w:rPr>
              <w:t>50-60</w:t>
            </w:r>
          </w:p>
        </w:tc>
        <w:tc>
          <w:tcPr>
            <w:tcW w:w="0" w:type="auto"/>
            <w:hideMark/>
          </w:tcPr>
          <w:p w14:paraId="61E8D2F5" w14:textId="77777777" w:rsidR="00851067" w:rsidRPr="00851067" w:rsidRDefault="00851067" w:rsidP="00851067">
            <w:pPr>
              <w:rPr>
                <w:sz w:val="22"/>
                <w:szCs w:val="22"/>
                <w:lang w:val="en-IN"/>
              </w:rPr>
            </w:pPr>
            <w:r w:rsidRPr="00851067">
              <w:rPr>
                <w:sz w:val="22"/>
                <w:szCs w:val="22"/>
                <w:lang w:val="en-IN"/>
              </w:rPr>
              <w:t>2653 (37.8%)</w:t>
            </w:r>
          </w:p>
        </w:tc>
        <w:tc>
          <w:tcPr>
            <w:tcW w:w="0" w:type="auto"/>
            <w:hideMark/>
          </w:tcPr>
          <w:p w14:paraId="3BF1FEBC" w14:textId="77777777" w:rsidR="00851067" w:rsidRPr="00851067" w:rsidRDefault="00851067" w:rsidP="00851067">
            <w:pPr>
              <w:rPr>
                <w:sz w:val="22"/>
                <w:szCs w:val="22"/>
                <w:lang w:val="en-IN"/>
              </w:rPr>
            </w:pPr>
            <w:r w:rsidRPr="00851067">
              <w:rPr>
                <w:sz w:val="22"/>
                <w:szCs w:val="22"/>
                <w:lang w:val="en-IN"/>
              </w:rPr>
              <w:t>4362 (62.2%)</w:t>
            </w:r>
          </w:p>
        </w:tc>
        <w:tc>
          <w:tcPr>
            <w:tcW w:w="0" w:type="auto"/>
            <w:hideMark/>
          </w:tcPr>
          <w:p w14:paraId="4DC64431" w14:textId="77777777" w:rsidR="00851067" w:rsidRPr="00851067" w:rsidRDefault="00851067" w:rsidP="00851067">
            <w:pPr>
              <w:rPr>
                <w:sz w:val="22"/>
                <w:szCs w:val="22"/>
                <w:lang w:val="en-IN"/>
              </w:rPr>
            </w:pPr>
            <w:r w:rsidRPr="00851067">
              <w:rPr>
                <w:sz w:val="22"/>
                <w:szCs w:val="22"/>
                <w:lang w:val="en-IN"/>
              </w:rPr>
              <w:t>7015</w:t>
            </w:r>
          </w:p>
        </w:tc>
      </w:tr>
      <w:tr w:rsidR="00851067" w:rsidRPr="00851067" w14:paraId="5DA4574A" w14:textId="77777777" w:rsidTr="00851067">
        <w:trPr>
          <w:trHeight w:val="500"/>
          <w:jc w:val="center"/>
        </w:trPr>
        <w:tc>
          <w:tcPr>
            <w:tcW w:w="0" w:type="auto"/>
            <w:hideMark/>
          </w:tcPr>
          <w:p w14:paraId="20B152F2" w14:textId="77777777" w:rsidR="00851067" w:rsidRPr="00851067" w:rsidRDefault="00851067" w:rsidP="00851067">
            <w:pPr>
              <w:rPr>
                <w:sz w:val="22"/>
                <w:szCs w:val="22"/>
                <w:lang w:val="en-IN"/>
              </w:rPr>
            </w:pPr>
            <w:r w:rsidRPr="00851067">
              <w:rPr>
                <w:sz w:val="22"/>
                <w:szCs w:val="22"/>
                <w:lang w:val="en-IN"/>
              </w:rPr>
              <w:t>61-70</w:t>
            </w:r>
          </w:p>
        </w:tc>
        <w:tc>
          <w:tcPr>
            <w:tcW w:w="0" w:type="auto"/>
            <w:hideMark/>
          </w:tcPr>
          <w:p w14:paraId="4DC7DACA" w14:textId="77777777" w:rsidR="00851067" w:rsidRPr="00851067" w:rsidRDefault="00851067" w:rsidP="00851067">
            <w:pPr>
              <w:rPr>
                <w:sz w:val="22"/>
                <w:szCs w:val="22"/>
                <w:lang w:val="en-IN"/>
              </w:rPr>
            </w:pPr>
            <w:r w:rsidRPr="00851067">
              <w:rPr>
                <w:sz w:val="22"/>
                <w:szCs w:val="22"/>
                <w:lang w:val="en-IN"/>
              </w:rPr>
              <w:t>0</w:t>
            </w:r>
          </w:p>
        </w:tc>
        <w:tc>
          <w:tcPr>
            <w:tcW w:w="0" w:type="auto"/>
            <w:hideMark/>
          </w:tcPr>
          <w:p w14:paraId="07215F2A" w14:textId="77777777" w:rsidR="00851067" w:rsidRPr="00851067" w:rsidRDefault="00851067" w:rsidP="00851067">
            <w:pPr>
              <w:rPr>
                <w:sz w:val="22"/>
                <w:szCs w:val="22"/>
                <w:lang w:val="en-IN"/>
              </w:rPr>
            </w:pPr>
            <w:r w:rsidRPr="00851067">
              <w:rPr>
                <w:sz w:val="22"/>
                <w:szCs w:val="22"/>
                <w:lang w:val="en-IN"/>
              </w:rPr>
              <w:t>1452 (100%)</w:t>
            </w:r>
          </w:p>
        </w:tc>
        <w:tc>
          <w:tcPr>
            <w:tcW w:w="0" w:type="auto"/>
            <w:hideMark/>
          </w:tcPr>
          <w:p w14:paraId="264C7153" w14:textId="77777777" w:rsidR="00851067" w:rsidRPr="00851067" w:rsidRDefault="00851067" w:rsidP="00851067">
            <w:pPr>
              <w:rPr>
                <w:sz w:val="22"/>
                <w:szCs w:val="22"/>
                <w:lang w:val="en-IN"/>
              </w:rPr>
            </w:pPr>
            <w:r w:rsidRPr="00851067">
              <w:rPr>
                <w:sz w:val="22"/>
                <w:szCs w:val="22"/>
                <w:lang w:val="en-IN"/>
              </w:rPr>
              <w:t>1452</w:t>
            </w:r>
          </w:p>
        </w:tc>
      </w:tr>
      <w:tr w:rsidR="00851067" w:rsidRPr="00851067" w14:paraId="7EA011C6" w14:textId="77777777" w:rsidTr="00851067">
        <w:trPr>
          <w:trHeight w:val="500"/>
          <w:jc w:val="center"/>
        </w:trPr>
        <w:tc>
          <w:tcPr>
            <w:tcW w:w="0" w:type="auto"/>
            <w:hideMark/>
          </w:tcPr>
          <w:p w14:paraId="04B59F6F" w14:textId="77777777" w:rsidR="00851067" w:rsidRPr="00851067" w:rsidRDefault="00851067" w:rsidP="00851067">
            <w:pPr>
              <w:rPr>
                <w:sz w:val="22"/>
                <w:szCs w:val="22"/>
                <w:lang w:val="en-IN"/>
              </w:rPr>
            </w:pPr>
            <w:r w:rsidRPr="00851067">
              <w:rPr>
                <w:sz w:val="22"/>
                <w:szCs w:val="22"/>
                <w:lang w:val="en-IN"/>
              </w:rPr>
              <w:t>71-80</w:t>
            </w:r>
          </w:p>
        </w:tc>
        <w:tc>
          <w:tcPr>
            <w:tcW w:w="0" w:type="auto"/>
            <w:hideMark/>
          </w:tcPr>
          <w:p w14:paraId="46B207DE" w14:textId="77777777" w:rsidR="00851067" w:rsidRPr="00851067" w:rsidRDefault="00851067" w:rsidP="00851067">
            <w:pPr>
              <w:rPr>
                <w:sz w:val="22"/>
                <w:szCs w:val="22"/>
                <w:lang w:val="en-IN"/>
              </w:rPr>
            </w:pPr>
            <w:r w:rsidRPr="00851067">
              <w:rPr>
                <w:sz w:val="22"/>
                <w:szCs w:val="22"/>
                <w:lang w:val="en-IN"/>
              </w:rPr>
              <w:t>0</w:t>
            </w:r>
          </w:p>
        </w:tc>
        <w:tc>
          <w:tcPr>
            <w:tcW w:w="0" w:type="auto"/>
            <w:hideMark/>
          </w:tcPr>
          <w:p w14:paraId="36E49F5F" w14:textId="77777777" w:rsidR="00851067" w:rsidRPr="00851067" w:rsidRDefault="00851067" w:rsidP="00851067">
            <w:pPr>
              <w:rPr>
                <w:sz w:val="22"/>
                <w:szCs w:val="22"/>
                <w:lang w:val="en-IN"/>
              </w:rPr>
            </w:pPr>
            <w:r w:rsidRPr="00851067">
              <w:rPr>
                <w:sz w:val="22"/>
                <w:szCs w:val="22"/>
                <w:lang w:val="en-IN"/>
              </w:rPr>
              <w:t>492 (100%)</w:t>
            </w:r>
          </w:p>
        </w:tc>
        <w:tc>
          <w:tcPr>
            <w:tcW w:w="0" w:type="auto"/>
            <w:hideMark/>
          </w:tcPr>
          <w:p w14:paraId="7BC2E38A" w14:textId="77777777" w:rsidR="00851067" w:rsidRPr="00851067" w:rsidRDefault="00851067" w:rsidP="00851067">
            <w:pPr>
              <w:rPr>
                <w:sz w:val="22"/>
                <w:szCs w:val="22"/>
                <w:lang w:val="en-IN"/>
              </w:rPr>
            </w:pPr>
            <w:r w:rsidRPr="00851067">
              <w:rPr>
                <w:sz w:val="22"/>
                <w:szCs w:val="22"/>
                <w:lang w:val="en-IN"/>
              </w:rPr>
              <w:t>492</w:t>
            </w:r>
          </w:p>
        </w:tc>
      </w:tr>
      <w:tr w:rsidR="00851067" w:rsidRPr="00851067" w14:paraId="29C975FC" w14:textId="77777777" w:rsidTr="00851067">
        <w:trPr>
          <w:trHeight w:val="500"/>
          <w:jc w:val="center"/>
        </w:trPr>
        <w:tc>
          <w:tcPr>
            <w:tcW w:w="0" w:type="auto"/>
            <w:hideMark/>
          </w:tcPr>
          <w:p w14:paraId="5DD6E7D1" w14:textId="77777777" w:rsidR="00851067" w:rsidRPr="00851067" w:rsidRDefault="00851067" w:rsidP="00851067">
            <w:pPr>
              <w:rPr>
                <w:sz w:val="22"/>
                <w:szCs w:val="22"/>
                <w:lang w:val="en-IN"/>
              </w:rPr>
            </w:pPr>
            <w:r w:rsidRPr="00851067">
              <w:rPr>
                <w:sz w:val="22"/>
                <w:szCs w:val="22"/>
                <w:lang w:val="en-IN"/>
              </w:rPr>
              <w:t>81-90</w:t>
            </w:r>
          </w:p>
        </w:tc>
        <w:tc>
          <w:tcPr>
            <w:tcW w:w="0" w:type="auto"/>
            <w:hideMark/>
          </w:tcPr>
          <w:p w14:paraId="188825C1" w14:textId="77777777" w:rsidR="00851067" w:rsidRPr="00851067" w:rsidRDefault="00851067" w:rsidP="00851067">
            <w:pPr>
              <w:rPr>
                <w:sz w:val="22"/>
                <w:szCs w:val="22"/>
                <w:lang w:val="en-IN"/>
              </w:rPr>
            </w:pPr>
            <w:r w:rsidRPr="00851067">
              <w:rPr>
                <w:sz w:val="22"/>
                <w:szCs w:val="22"/>
                <w:lang w:val="en-IN"/>
              </w:rPr>
              <w:t>0</w:t>
            </w:r>
          </w:p>
        </w:tc>
        <w:tc>
          <w:tcPr>
            <w:tcW w:w="0" w:type="auto"/>
            <w:hideMark/>
          </w:tcPr>
          <w:p w14:paraId="3A1D1503" w14:textId="77777777" w:rsidR="00851067" w:rsidRPr="00851067" w:rsidRDefault="00851067" w:rsidP="00851067">
            <w:pPr>
              <w:rPr>
                <w:sz w:val="22"/>
                <w:szCs w:val="22"/>
                <w:lang w:val="en-IN"/>
              </w:rPr>
            </w:pPr>
            <w:r w:rsidRPr="00851067">
              <w:rPr>
                <w:sz w:val="22"/>
                <w:szCs w:val="22"/>
                <w:lang w:val="en-IN"/>
              </w:rPr>
              <w:t>64 (100%)</w:t>
            </w:r>
          </w:p>
        </w:tc>
        <w:tc>
          <w:tcPr>
            <w:tcW w:w="0" w:type="auto"/>
            <w:hideMark/>
          </w:tcPr>
          <w:p w14:paraId="08BBDAE7" w14:textId="77777777" w:rsidR="00851067" w:rsidRPr="00851067" w:rsidRDefault="00851067" w:rsidP="00851067">
            <w:pPr>
              <w:rPr>
                <w:sz w:val="22"/>
                <w:szCs w:val="22"/>
                <w:lang w:val="en-IN"/>
              </w:rPr>
            </w:pPr>
            <w:r w:rsidRPr="00851067">
              <w:rPr>
                <w:sz w:val="22"/>
                <w:szCs w:val="22"/>
                <w:lang w:val="en-IN"/>
              </w:rPr>
              <w:t>64</w:t>
            </w:r>
          </w:p>
        </w:tc>
      </w:tr>
    </w:tbl>
    <w:p w14:paraId="7C61A411" w14:textId="77777777" w:rsidR="00851067" w:rsidRDefault="00851067" w:rsidP="00851067">
      <w:pPr>
        <w:rPr>
          <w:b/>
          <w:bCs/>
          <w:lang w:val="en-IN"/>
        </w:rPr>
      </w:pPr>
    </w:p>
    <w:p w14:paraId="30C00284" w14:textId="7AED4AF5" w:rsidR="00851067" w:rsidRPr="00851067" w:rsidRDefault="00851067" w:rsidP="00851067">
      <w:pPr>
        <w:rPr>
          <w:b/>
          <w:bCs/>
          <w:lang w:val="en-IN"/>
        </w:rPr>
      </w:pPr>
      <w:r w:rsidRPr="00851067">
        <w:rPr>
          <w:b/>
          <w:bCs/>
          <w:lang w:val="en-IN"/>
        </w:rPr>
        <w:t>3. Gender</w:t>
      </w:r>
    </w:p>
    <w:p w14:paraId="512D3DBF" w14:textId="3163BFD7" w:rsidR="00851067" w:rsidRPr="00F51414" w:rsidRDefault="00C654A2" w:rsidP="00F51414">
      <w:pPr>
        <w:spacing w:line="480" w:lineRule="auto"/>
        <w:jc w:val="both"/>
        <w:rPr>
          <w:sz w:val="22"/>
          <w:szCs w:val="22"/>
          <w:lang w:val="en-IN"/>
        </w:rPr>
      </w:pPr>
      <w:r w:rsidRPr="00C654A2">
        <w:t>Gender was found to influence the risk of cataract development, with men having a significantly higher risk compared to women (</w:t>
      </w:r>
      <w:r w:rsidR="00F51414">
        <w:t xml:space="preserve">OR </w:t>
      </w:r>
      <w:r w:rsidR="00F51414" w:rsidRPr="00851067">
        <w:rPr>
          <w:sz w:val="22"/>
          <w:szCs w:val="22"/>
          <w:lang w:val="en-IN"/>
        </w:rPr>
        <w:t>10.557</w:t>
      </w:r>
      <w:r w:rsidR="00F51414">
        <w:rPr>
          <w:sz w:val="22"/>
          <w:szCs w:val="22"/>
          <w:lang w:val="en-IN"/>
        </w:rPr>
        <w:t>,</w:t>
      </w:r>
      <w:r w:rsidR="00F51414" w:rsidRPr="00851067">
        <w:rPr>
          <w:sz w:val="22"/>
          <w:szCs w:val="22"/>
          <w:lang w:val="en-IN"/>
        </w:rPr>
        <w:t xml:space="preserve"> </w:t>
      </w:r>
      <w:r w:rsidR="00F51414">
        <w:rPr>
          <w:sz w:val="22"/>
          <w:szCs w:val="22"/>
          <w:lang w:val="en-IN"/>
        </w:rPr>
        <w:t xml:space="preserve">CI: </w:t>
      </w:r>
      <w:r w:rsidR="00F51414" w:rsidRPr="00851067">
        <w:rPr>
          <w:sz w:val="22"/>
          <w:szCs w:val="22"/>
          <w:lang w:val="en-IN"/>
        </w:rPr>
        <w:t>6.371-17.494</w:t>
      </w:r>
      <w:r w:rsidR="00F51414">
        <w:rPr>
          <w:sz w:val="22"/>
          <w:szCs w:val="22"/>
          <w:lang w:val="en-IN"/>
        </w:rPr>
        <w:t xml:space="preserve"> p&lt;0.01</w:t>
      </w:r>
      <w:r w:rsidR="00F51414" w:rsidRPr="00851067">
        <w:rPr>
          <w:sz w:val="22"/>
          <w:szCs w:val="22"/>
          <w:lang w:val="en-IN"/>
        </w:rPr>
        <w:t>)</w:t>
      </w:r>
      <w:r w:rsidRPr="00C654A2">
        <w:t xml:space="preserve">. This finding can be partially explained by the fact that </w:t>
      </w:r>
      <w:r w:rsidRPr="00C654A2">
        <w:rPr>
          <w:b/>
          <w:bCs/>
        </w:rPr>
        <w:t>men were more likely to work in outdoor occupations</w:t>
      </w:r>
      <w:r w:rsidRPr="00C654A2">
        <w:t xml:space="preserve">, such as farming and other labor-intensive jobs, which expose them to higher levels of </w:t>
      </w:r>
      <w:r w:rsidRPr="00C654A2">
        <w:rPr>
          <w:b/>
          <w:bCs/>
        </w:rPr>
        <w:t>UV radiation</w:t>
      </w:r>
      <w:r w:rsidRPr="00C654A2">
        <w:t>—a known risk factor for cataract formation. Outdoor work in sunny environments increases the cumulative exposure to UV rays, which accelerates cataract development. This occupational exposure likely contributes to the observed higher cataract risk in men.</w:t>
      </w:r>
      <w:r w:rsidRPr="00C654A2">
        <w:rPr>
          <w:lang w:val="en-IN"/>
        </w:rPr>
        <w:t xml:space="preserve"> </w:t>
      </w:r>
      <w:r w:rsidR="00174DDF">
        <w:rPr>
          <w:lang w:val="en-IN"/>
        </w:rPr>
        <w:t>(Table 3)</w:t>
      </w:r>
      <w:r w:rsidR="00851067" w:rsidRPr="00851067">
        <w:rPr>
          <w:lang w:val="en-IN"/>
        </w:rPr>
        <w:t>.</w:t>
      </w:r>
    </w:p>
    <w:p w14:paraId="4FA6A047" w14:textId="77777777" w:rsidR="00851067" w:rsidRPr="00851067" w:rsidRDefault="00851067" w:rsidP="00851067">
      <w:pPr>
        <w:jc w:val="center"/>
        <w:rPr>
          <w:b/>
          <w:bCs/>
          <w:lang w:val="en-IN"/>
        </w:rPr>
      </w:pPr>
      <w:r w:rsidRPr="00851067">
        <w:rPr>
          <w:b/>
          <w:bCs/>
          <w:lang w:val="en-IN"/>
        </w:rPr>
        <w:t>Table 3: Risk Factors for Cataract Onset – Gender</w:t>
      </w:r>
    </w:p>
    <w:tbl>
      <w:tblPr>
        <w:tblStyle w:val="TableGrid"/>
        <w:tblW w:w="0" w:type="auto"/>
        <w:jc w:val="center"/>
        <w:tblLook w:val="04A0" w:firstRow="1" w:lastRow="0" w:firstColumn="1" w:lastColumn="0" w:noHBand="0" w:noVBand="1"/>
      </w:tblPr>
      <w:tblGrid>
        <w:gridCol w:w="1438"/>
        <w:gridCol w:w="1426"/>
        <w:gridCol w:w="2196"/>
        <w:gridCol w:w="2251"/>
        <w:gridCol w:w="876"/>
      </w:tblGrid>
      <w:tr w:rsidR="00851067" w:rsidRPr="00851067" w14:paraId="56EE7BE5" w14:textId="77777777" w:rsidTr="00851067">
        <w:trPr>
          <w:jc w:val="center"/>
        </w:trPr>
        <w:tc>
          <w:tcPr>
            <w:tcW w:w="0" w:type="auto"/>
            <w:hideMark/>
          </w:tcPr>
          <w:p w14:paraId="465FA01B" w14:textId="77777777" w:rsidR="00851067" w:rsidRPr="00851067" w:rsidRDefault="00851067" w:rsidP="00851067">
            <w:pPr>
              <w:rPr>
                <w:sz w:val="22"/>
                <w:szCs w:val="22"/>
                <w:lang w:val="en-IN"/>
              </w:rPr>
            </w:pPr>
            <w:r w:rsidRPr="00851067">
              <w:rPr>
                <w:sz w:val="22"/>
                <w:szCs w:val="22"/>
                <w:lang w:val="en-IN"/>
              </w:rPr>
              <w:t>Gender</w:t>
            </w:r>
          </w:p>
        </w:tc>
        <w:tc>
          <w:tcPr>
            <w:tcW w:w="0" w:type="auto"/>
            <w:hideMark/>
          </w:tcPr>
          <w:p w14:paraId="5D8DFD41" w14:textId="77777777" w:rsidR="00851067" w:rsidRPr="00851067" w:rsidRDefault="00851067" w:rsidP="00851067">
            <w:pPr>
              <w:rPr>
                <w:sz w:val="22"/>
                <w:szCs w:val="22"/>
                <w:lang w:val="en-IN"/>
              </w:rPr>
            </w:pPr>
            <w:r w:rsidRPr="00851067">
              <w:rPr>
                <w:sz w:val="22"/>
                <w:szCs w:val="22"/>
                <w:lang w:val="en-IN"/>
              </w:rPr>
              <w:t>Number (%)</w:t>
            </w:r>
          </w:p>
        </w:tc>
        <w:tc>
          <w:tcPr>
            <w:tcW w:w="0" w:type="auto"/>
            <w:hideMark/>
          </w:tcPr>
          <w:p w14:paraId="2B399176" w14:textId="77777777" w:rsidR="00851067" w:rsidRPr="00851067" w:rsidRDefault="00851067" w:rsidP="00851067">
            <w:pPr>
              <w:rPr>
                <w:sz w:val="22"/>
                <w:szCs w:val="22"/>
                <w:lang w:val="en-IN"/>
              </w:rPr>
            </w:pPr>
            <w:r w:rsidRPr="00851067">
              <w:rPr>
                <w:sz w:val="22"/>
                <w:szCs w:val="22"/>
                <w:lang w:val="en-IN"/>
              </w:rPr>
              <w:t>Crude OR (95% CI)</w:t>
            </w:r>
          </w:p>
        </w:tc>
        <w:tc>
          <w:tcPr>
            <w:tcW w:w="0" w:type="auto"/>
            <w:hideMark/>
          </w:tcPr>
          <w:p w14:paraId="5A8E3674" w14:textId="77777777" w:rsidR="00851067" w:rsidRPr="00851067" w:rsidRDefault="00851067" w:rsidP="00851067">
            <w:pPr>
              <w:rPr>
                <w:sz w:val="22"/>
                <w:szCs w:val="22"/>
                <w:lang w:val="en-IN"/>
              </w:rPr>
            </w:pPr>
            <w:r w:rsidRPr="00851067">
              <w:rPr>
                <w:sz w:val="22"/>
                <w:szCs w:val="22"/>
                <w:lang w:val="en-IN"/>
              </w:rPr>
              <w:t>Adjusted OR (95% CI)</w:t>
            </w:r>
          </w:p>
        </w:tc>
        <w:tc>
          <w:tcPr>
            <w:tcW w:w="0" w:type="auto"/>
            <w:hideMark/>
          </w:tcPr>
          <w:p w14:paraId="1CCBF123" w14:textId="77777777" w:rsidR="00851067" w:rsidRPr="00851067" w:rsidRDefault="00851067" w:rsidP="00851067">
            <w:pPr>
              <w:rPr>
                <w:sz w:val="22"/>
                <w:szCs w:val="22"/>
                <w:lang w:val="en-IN"/>
              </w:rPr>
            </w:pPr>
            <w:r w:rsidRPr="00851067">
              <w:rPr>
                <w:sz w:val="22"/>
                <w:szCs w:val="22"/>
                <w:lang w:val="en-IN"/>
              </w:rPr>
              <w:t>p-value</w:t>
            </w:r>
          </w:p>
        </w:tc>
      </w:tr>
      <w:tr w:rsidR="00851067" w:rsidRPr="00851067" w14:paraId="695C1D1B" w14:textId="77777777" w:rsidTr="00851067">
        <w:trPr>
          <w:jc w:val="center"/>
        </w:trPr>
        <w:tc>
          <w:tcPr>
            <w:tcW w:w="0" w:type="auto"/>
            <w:hideMark/>
          </w:tcPr>
          <w:p w14:paraId="1613D22A" w14:textId="77777777" w:rsidR="00851067" w:rsidRPr="00851067" w:rsidRDefault="00851067" w:rsidP="00851067">
            <w:pPr>
              <w:rPr>
                <w:sz w:val="22"/>
                <w:szCs w:val="22"/>
                <w:lang w:val="en-IN"/>
              </w:rPr>
            </w:pPr>
            <w:r w:rsidRPr="00851067">
              <w:rPr>
                <w:sz w:val="22"/>
                <w:szCs w:val="22"/>
                <w:lang w:val="en-IN"/>
              </w:rPr>
              <w:t>Female (Ref.)</w:t>
            </w:r>
          </w:p>
        </w:tc>
        <w:tc>
          <w:tcPr>
            <w:tcW w:w="0" w:type="auto"/>
            <w:hideMark/>
          </w:tcPr>
          <w:p w14:paraId="11726429" w14:textId="77777777" w:rsidR="00851067" w:rsidRPr="00851067" w:rsidRDefault="00851067" w:rsidP="00851067">
            <w:pPr>
              <w:rPr>
                <w:sz w:val="22"/>
                <w:szCs w:val="22"/>
                <w:lang w:val="en-IN"/>
              </w:rPr>
            </w:pPr>
            <w:r w:rsidRPr="00851067">
              <w:rPr>
                <w:sz w:val="22"/>
                <w:szCs w:val="22"/>
                <w:lang w:val="en-IN"/>
              </w:rPr>
              <w:t>4175 (53.7%)</w:t>
            </w:r>
          </w:p>
        </w:tc>
        <w:tc>
          <w:tcPr>
            <w:tcW w:w="0" w:type="auto"/>
            <w:hideMark/>
          </w:tcPr>
          <w:p w14:paraId="6C7936A2" w14:textId="77777777" w:rsidR="00851067" w:rsidRPr="00851067" w:rsidRDefault="00851067" w:rsidP="00851067">
            <w:pPr>
              <w:rPr>
                <w:sz w:val="22"/>
                <w:szCs w:val="22"/>
                <w:lang w:val="en-IN"/>
              </w:rPr>
            </w:pPr>
            <w:r w:rsidRPr="00851067">
              <w:rPr>
                <w:sz w:val="22"/>
                <w:szCs w:val="22"/>
                <w:lang w:val="en-IN"/>
              </w:rPr>
              <w:t>1</w:t>
            </w:r>
          </w:p>
        </w:tc>
        <w:tc>
          <w:tcPr>
            <w:tcW w:w="0" w:type="auto"/>
            <w:hideMark/>
          </w:tcPr>
          <w:p w14:paraId="0131D878" w14:textId="77777777" w:rsidR="00851067" w:rsidRPr="00851067" w:rsidRDefault="00851067" w:rsidP="00851067">
            <w:pPr>
              <w:rPr>
                <w:sz w:val="22"/>
                <w:szCs w:val="22"/>
                <w:lang w:val="en-IN"/>
              </w:rPr>
            </w:pPr>
            <w:r w:rsidRPr="00851067">
              <w:rPr>
                <w:sz w:val="22"/>
                <w:szCs w:val="22"/>
                <w:lang w:val="en-IN"/>
              </w:rPr>
              <w:t>1</w:t>
            </w:r>
          </w:p>
        </w:tc>
        <w:tc>
          <w:tcPr>
            <w:tcW w:w="0" w:type="auto"/>
            <w:hideMark/>
          </w:tcPr>
          <w:p w14:paraId="704A318F" w14:textId="77777777" w:rsidR="00851067" w:rsidRPr="00851067" w:rsidRDefault="00851067" w:rsidP="00851067">
            <w:pPr>
              <w:rPr>
                <w:sz w:val="22"/>
                <w:szCs w:val="22"/>
                <w:lang w:val="en-IN"/>
              </w:rPr>
            </w:pPr>
            <w:r w:rsidRPr="00851067">
              <w:rPr>
                <w:sz w:val="22"/>
                <w:szCs w:val="22"/>
                <w:lang w:val="en-IN"/>
              </w:rPr>
              <w:t>&lt;0.001</w:t>
            </w:r>
          </w:p>
        </w:tc>
      </w:tr>
      <w:tr w:rsidR="00851067" w:rsidRPr="00851067" w14:paraId="772AC0C8" w14:textId="77777777" w:rsidTr="00851067">
        <w:trPr>
          <w:jc w:val="center"/>
        </w:trPr>
        <w:tc>
          <w:tcPr>
            <w:tcW w:w="0" w:type="auto"/>
            <w:hideMark/>
          </w:tcPr>
          <w:p w14:paraId="0DD5783E" w14:textId="77777777" w:rsidR="00851067" w:rsidRPr="00851067" w:rsidRDefault="00851067" w:rsidP="00851067">
            <w:pPr>
              <w:rPr>
                <w:sz w:val="22"/>
                <w:szCs w:val="22"/>
                <w:lang w:val="en-IN"/>
              </w:rPr>
            </w:pPr>
            <w:r w:rsidRPr="00851067">
              <w:rPr>
                <w:sz w:val="22"/>
                <w:szCs w:val="22"/>
                <w:lang w:val="en-IN"/>
              </w:rPr>
              <w:t>Male</w:t>
            </w:r>
          </w:p>
        </w:tc>
        <w:tc>
          <w:tcPr>
            <w:tcW w:w="0" w:type="auto"/>
            <w:hideMark/>
          </w:tcPr>
          <w:p w14:paraId="5172976C" w14:textId="77777777" w:rsidR="00851067" w:rsidRPr="00851067" w:rsidRDefault="00851067" w:rsidP="00851067">
            <w:pPr>
              <w:rPr>
                <w:sz w:val="22"/>
                <w:szCs w:val="22"/>
                <w:lang w:val="en-IN"/>
              </w:rPr>
            </w:pPr>
            <w:r w:rsidRPr="00851067">
              <w:rPr>
                <w:sz w:val="22"/>
                <w:szCs w:val="22"/>
                <w:lang w:val="en-IN"/>
              </w:rPr>
              <w:t>4848 (46.2%)</w:t>
            </w:r>
          </w:p>
        </w:tc>
        <w:tc>
          <w:tcPr>
            <w:tcW w:w="0" w:type="auto"/>
            <w:hideMark/>
          </w:tcPr>
          <w:p w14:paraId="3427ED37" w14:textId="77777777" w:rsidR="00851067" w:rsidRPr="00851067" w:rsidRDefault="00851067" w:rsidP="00851067">
            <w:pPr>
              <w:rPr>
                <w:sz w:val="22"/>
                <w:szCs w:val="22"/>
                <w:lang w:val="en-IN"/>
              </w:rPr>
            </w:pPr>
            <w:r w:rsidRPr="00851067">
              <w:rPr>
                <w:sz w:val="22"/>
                <w:szCs w:val="22"/>
                <w:lang w:val="en-IN"/>
              </w:rPr>
              <w:t>10.557 (6.371-17.494)</w:t>
            </w:r>
          </w:p>
        </w:tc>
        <w:tc>
          <w:tcPr>
            <w:tcW w:w="0" w:type="auto"/>
            <w:hideMark/>
          </w:tcPr>
          <w:p w14:paraId="7AC42ECB" w14:textId="77777777" w:rsidR="00851067" w:rsidRPr="00851067" w:rsidRDefault="00851067" w:rsidP="00851067">
            <w:pPr>
              <w:rPr>
                <w:sz w:val="22"/>
                <w:szCs w:val="22"/>
                <w:lang w:val="en-IN"/>
              </w:rPr>
            </w:pPr>
            <w:r w:rsidRPr="00851067">
              <w:rPr>
                <w:sz w:val="22"/>
                <w:szCs w:val="22"/>
                <w:lang w:val="en-IN"/>
              </w:rPr>
              <w:t>8.734 (5.379-13.979)</w:t>
            </w:r>
          </w:p>
        </w:tc>
        <w:tc>
          <w:tcPr>
            <w:tcW w:w="0" w:type="auto"/>
            <w:hideMark/>
          </w:tcPr>
          <w:p w14:paraId="53441D74" w14:textId="77777777" w:rsidR="00851067" w:rsidRPr="00851067" w:rsidRDefault="00851067" w:rsidP="00851067">
            <w:pPr>
              <w:rPr>
                <w:sz w:val="22"/>
                <w:szCs w:val="22"/>
                <w:lang w:val="en-IN"/>
              </w:rPr>
            </w:pPr>
            <w:r w:rsidRPr="00851067">
              <w:rPr>
                <w:sz w:val="22"/>
                <w:szCs w:val="22"/>
                <w:lang w:val="en-IN"/>
              </w:rPr>
              <w:t>&lt;0.001</w:t>
            </w:r>
          </w:p>
        </w:tc>
      </w:tr>
    </w:tbl>
    <w:p w14:paraId="3DC4C444" w14:textId="77777777" w:rsidR="00851067" w:rsidRDefault="00851067" w:rsidP="00851067">
      <w:pPr>
        <w:rPr>
          <w:b/>
          <w:bCs/>
          <w:lang w:val="en-IN"/>
        </w:rPr>
      </w:pPr>
    </w:p>
    <w:p w14:paraId="3E32AA19" w14:textId="62E67288" w:rsidR="00851067" w:rsidRPr="00851067" w:rsidRDefault="00851067" w:rsidP="00851067">
      <w:pPr>
        <w:rPr>
          <w:b/>
          <w:bCs/>
          <w:lang w:val="en-IN"/>
        </w:rPr>
      </w:pPr>
      <w:r w:rsidRPr="00851067">
        <w:rPr>
          <w:b/>
          <w:bCs/>
          <w:lang w:val="en-IN"/>
        </w:rPr>
        <w:t>4. Work Environment</w:t>
      </w:r>
    </w:p>
    <w:p w14:paraId="38B45B39" w14:textId="53EF6EE4" w:rsidR="00851067" w:rsidRPr="00851067" w:rsidRDefault="00C654A2" w:rsidP="00851067">
      <w:pPr>
        <w:spacing w:line="480" w:lineRule="auto"/>
        <w:jc w:val="both"/>
        <w:rPr>
          <w:lang w:val="en-IN"/>
        </w:rPr>
      </w:pPr>
      <w:r w:rsidRPr="00C654A2">
        <w:t xml:space="preserve">Outdoor workers, including a large proportion of farmers, were found to be 4.9 times more likely to develop cataracts compared to indoor workers (OR 4.9, 95% CI: 4.4–5.4, p &lt; 0.001). The higher prevalence of cataracts in this group can be attributed to increased exposure to </w:t>
      </w:r>
      <w:r w:rsidRPr="00C654A2">
        <w:rPr>
          <w:b/>
          <w:bCs/>
        </w:rPr>
        <w:t>UV radiation</w:t>
      </w:r>
      <w:r w:rsidRPr="00C654A2">
        <w:t>, which is a well-established risk factor for cataract formation. Prolonged outdoor work, especially in environments with high levels of sunlight exposure, leads to cumulative UV damage to the eyes, contributing to the higher rates of cataracts observed in this population.</w:t>
      </w:r>
      <w:r w:rsidR="00174DDF">
        <w:rPr>
          <w:lang w:val="en-IN"/>
        </w:rPr>
        <w:t xml:space="preserve"> (Table 4)</w:t>
      </w:r>
      <w:r w:rsidR="00851067" w:rsidRPr="00851067">
        <w:rPr>
          <w:lang w:val="en-IN"/>
        </w:rPr>
        <w:t>.</w:t>
      </w:r>
    </w:p>
    <w:p w14:paraId="7A1C60E3" w14:textId="77777777" w:rsidR="00851067" w:rsidRPr="00851067" w:rsidRDefault="00851067" w:rsidP="00851067">
      <w:pPr>
        <w:jc w:val="center"/>
        <w:rPr>
          <w:b/>
          <w:bCs/>
          <w:lang w:val="en-IN"/>
        </w:rPr>
      </w:pPr>
      <w:r w:rsidRPr="00851067">
        <w:rPr>
          <w:b/>
          <w:bCs/>
          <w:lang w:val="en-IN"/>
        </w:rPr>
        <w:t>Table 4: Risk Factors for Cataract Onset – Work Environment</w:t>
      </w:r>
    </w:p>
    <w:tbl>
      <w:tblPr>
        <w:tblStyle w:val="TableGrid"/>
        <w:tblW w:w="0" w:type="auto"/>
        <w:tblLook w:val="04A0" w:firstRow="1" w:lastRow="0" w:firstColumn="1" w:lastColumn="0" w:noHBand="0" w:noVBand="1"/>
      </w:tblPr>
      <w:tblGrid>
        <w:gridCol w:w="1921"/>
        <w:gridCol w:w="1322"/>
        <w:gridCol w:w="1995"/>
        <w:gridCol w:w="2251"/>
        <w:gridCol w:w="876"/>
      </w:tblGrid>
      <w:tr w:rsidR="00851067" w:rsidRPr="00851067" w14:paraId="1DAA01D4" w14:textId="77777777" w:rsidTr="00851067">
        <w:tc>
          <w:tcPr>
            <w:tcW w:w="0" w:type="auto"/>
            <w:hideMark/>
          </w:tcPr>
          <w:p w14:paraId="2DBDD3BC" w14:textId="77777777" w:rsidR="00851067" w:rsidRPr="00851067" w:rsidRDefault="00851067" w:rsidP="00851067">
            <w:pPr>
              <w:rPr>
                <w:sz w:val="22"/>
                <w:szCs w:val="22"/>
                <w:lang w:val="en-IN"/>
              </w:rPr>
            </w:pPr>
            <w:r w:rsidRPr="00851067">
              <w:rPr>
                <w:sz w:val="22"/>
                <w:szCs w:val="22"/>
                <w:lang w:val="en-IN"/>
              </w:rPr>
              <w:t>Work Environment</w:t>
            </w:r>
          </w:p>
        </w:tc>
        <w:tc>
          <w:tcPr>
            <w:tcW w:w="0" w:type="auto"/>
            <w:hideMark/>
          </w:tcPr>
          <w:p w14:paraId="6670A318" w14:textId="77777777" w:rsidR="00851067" w:rsidRPr="00851067" w:rsidRDefault="00851067" w:rsidP="00851067">
            <w:pPr>
              <w:rPr>
                <w:sz w:val="22"/>
                <w:szCs w:val="22"/>
                <w:lang w:val="en-IN"/>
              </w:rPr>
            </w:pPr>
            <w:r w:rsidRPr="00851067">
              <w:rPr>
                <w:sz w:val="22"/>
                <w:szCs w:val="22"/>
                <w:lang w:val="en-IN"/>
              </w:rPr>
              <w:t>Number (%)</w:t>
            </w:r>
          </w:p>
        </w:tc>
        <w:tc>
          <w:tcPr>
            <w:tcW w:w="0" w:type="auto"/>
            <w:hideMark/>
          </w:tcPr>
          <w:p w14:paraId="0A2DBAB8" w14:textId="77777777" w:rsidR="00851067" w:rsidRPr="00851067" w:rsidRDefault="00851067" w:rsidP="00851067">
            <w:pPr>
              <w:rPr>
                <w:sz w:val="22"/>
                <w:szCs w:val="22"/>
                <w:lang w:val="en-IN"/>
              </w:rPr>
            </w:pPr>
            <w:r w:rsidRPr="00851067">
              <w:rPr>
                <w:sz w:val="22"/>
                <w:szCs w:val="22"/>
                <w:lang w:val="en-IN"/>
              </w:rPr>
              <w:t>Crude OR (95% CI)</w:t>
            </w:r>
          </w:p>
        </w:tc>
        <w:tc>
          <w:tcPr>
            <w:tcW w:w="0" w:type="auto"/>
            <w:hideMark/>
          </w:tcPr>
          <w:p w14:paraId="1760E702" w14:textId="77777777" w:rsidR="00851067" w:rsidRPr="00851067" w:rsidRDefault="00851067" w:rsidP="00851067">
            <w:pPr>
              <w:rPr>
                <w:sz w:val="22"/>
                <w:szCs w:val="22"/>
                <w:lang w:val="en-IN"/>
              </w:rPr>
            </w:pPr>
            <w:r w:rsidRPr="00851067">
              <w:rPr>
                <w:sz w:val="22"/>
                <w:szCs w:val="22"/>
                <w:lang w:val="en-IN"/>
              </w:rPr>
              <w:t>Adjusted OR (95% CI)</w:t>
            </w:r>
          </w:p>
        </w:tc>
        <w:tc>
          <w:tcPr>
            <w:tcW w:w="0" w:type="auto"/>
            <w:hideMark/>
          </w:tcPr>
          <w:p w14:paraId="7B8AFA1C" w14:textId="77777777" w:rsidR="00851067" w:rsidRPr="00851067" w:rsidRDefault="00851067" w:rsidP="00851067">
            <w:pPr>
              <w:rPr>
                <w:sz w:val="22"/>
                <w:szCs w:val="22"/>
                <w:lang w:val="en-IN"/>
              </w:rPr>
            </w:pPr>
            <w:r w:rsidRPr="00851067">
              <w:rPr>
                <w:sz w:val="22"/>
                <w:szCs w:val="22"/>
                <w:lang w:val="en-IN"/>
              </w:rPr>
              <w:t>p-value</w:t>
            </w:r>
          </w:p>
        </w:tc>
      </w:tr>
      <w:tr w:rsidR="00851067" w:rsidRPr="00851067" w14:paraId="6A803346" w14:textId="77777777" w:rsidTr="00851067">
        <w:tc>
          <w:tcPr>
            <w:tcW w:w="0" w:type="auto"/>
            <w:hideMark/>
          </w:tcPr>
          <w:p w14:paraId="1E14ED05" w14:textId="77777777" w:rsidR="00851067" w:rsidRPr="00851067" w:rsidRDefault="00851067" w:rsidP="00851067">
            <w:pPr>
              <w:rPr>
                <w:sz w:val="22"/>
                <w:szCs w:val="22"/>
                <w:lang w:val="en-IN"/>
              </w:rPr>
            </w:pPr>
            <w:r w:rsidRPr="00851067">
              <w:rPr>
                <w:sz w:val="22"/>
                <w:szCs w:val="22"/>
                <w:lang w:val="en-IN"/>
              </w:rPr>
              <w:lastRenderedPageBreak/>
              <w:t>Indoor (Ref.)</w:t>
            </w:r>
          </w:p>
        </w:tc>
        <w:tc>
          <w:tcPr>
            <w:tcW w:w="0" w:type="auto"/>
            <w:hideMark/>
          </w:tcPr>
          <w:p w14:paraId="23D5ABD7" w14:textId="77777777" w:rsidR="00851067" w:rsidRPr="00851067" w:rsidRDefault="00851067" w:rsidP="00851067">
            <w:pPr>
              <w:rPr>
                <w:sz w:val="22"/>
                <w:szCs w:val="22"/>
                <w:lang w:val="en-IN"/>
              </w:rPr>
            </w:pPr>
            <w:r w:rsidRPr="00851067">
              <w:rPr>
                <w:sz w:val="22"/>
                <w:szCs w:val="22"/>
                <w:lang w:val="en-IN"/>
              </w:rPr>
              <w:t>4784 (53%)</w:t>
            </w:r>
          </w:p>
        </w:tc>
        <w:tc>
          <w:tcPr>
            <w:tcW w:w="0" w:type="auto"/>
            <w:hideMark/>
          </w:tcPr>
          <w:p w14:paraId="572E1478" w14:textId="77777777" w:rsidR="00851067" w:rsidRPr="00851067" w:rsidRDefault="00851067" w:rsidP="00851067">
            <w:pPr>
              <w:rPr>
                <w:sz w:val="22"/>
                <w:szCs w:val="22"/>
                <w:lang w:val="en-IN"/>
              </w:rPr>
            </w:pPr>
            <w:r w:rsidRPr="00851067">
              <w:rPr>
                <w:sz w:val="22"/>
                <w:szCs w:val="22"/>
                <w:lang w:val="en-IN"/>
              </w:rPr>
              <w:t>1</w:t>
            </w:r>
          </w:p>
        </w:tc>
        <w:tc>
          <w:tcPr>
            <w:tcW w:w="0" w:type="auto"/>
            <w:hideMark/>
          </w:tcPr>
          <w:p w14:paraId="1DD436BB" w14:textId="77777777" w:rsidR="00851067" w:rsidRPr="00851067" w:rsidRDefault="00851067" w:rsidP="00851067">
            <w:pPr>
              <w:rPr>
                <w:sz w:val="22"/>
                <w:szCs w:val="22"/>
                <w:lang w:val="en-IN"/>
              </w:rPr>
            </w:pPr>
            <w:r w:rsidRPr="00851067">
              <w:rPr>
                <w:sz w:val="22"/>
                <w:szCs w:val="22"/>
                <w:lang w:val="en-IN"/>
              </w:rPr>
              <w:t>1</w:t>
            </w:r>
          </w:p>
        </w:tc>
        <w:tc>
          <w:tcPr>
            <w:tcW w:w="0" w:type="auto"/>
            <w:hideMark/>
          </w:tcPr>
          <w:p w14:paraId="7144766D" w14:textId="77777777" w:rsidR="00851067" w:rsidRPr="00851067" w:rsidRDefault="00851067" w:rsidP="00851067">
            <w:pPr>
              <w:rPr>
                <w:sz w:val="22"/>
                <w:szCs w:val="22"/>
                <w:lang w:val="en-IN"/>
              </w:rPr>
            </w:pPr>
            <w:r w:rsidRPr="00851067">
              <w:rPr>
                <w:sz w:val="22"/>
                <w:szCs w:val="22"/>
                <w:lang w:val="en-IN"/>
              </w:rPr>
              <w:t>&lt;0.001</w:t>
            </w:r>
          </w:p>
        </w:tc>
      </w:tr>
      <w:tr w:rsidR="00851067" w:rsidRPr="00851067" w14:paraId="245E6630" w14:textId="77777777" w:rsidTr="00851067">
        <w:tc>
          <w:tcPr>
            <w:tcW w:w="0" w:type="auto"/>
            <w:hideMark/>
          </w:tcPr>
          <w:p w14:paraId="533BF20D" w14:textId="77777777" w:rsidR="00851067" w:rsidRPr="00851067" w:rsidRDefault="00851067" w:rsidP="00851067">
            <w:pPr>
              <w:rPr>
                <w:sz w:val="22"/>
                <w:szCs w:val="22"/>
                <w:lang w:val="en-IN"/>
              </w:rPr>
            </w:pPr>
            <w:r w:rsidRPr="00851067">
              <w:rPr>
                <w:sz w:val="22"/>
                <w:szCs w:val="22"/>
                <w:lang w:val="en-IN"/>
              </w:rPr>
              <w:t>Outdoor</w:t>
            </w:r>
          </w:p>
        </w:tc>
        <w:tc>
          <w:tcPr>
            <w:tcW w:w="0" w:type="auto"/>
            <w:hideMark/>
          </w:tcPr>
          <w:p w14:paraId="3DC1AC99" w14:textId="77777777" w:rsidR="00851067" w:rsidRPr="00851067" w:rsidRDefault="00851067" w:rsidP="00851067">
            <w:pPr>
              <w:rPr>
                <w:sz w:val="22"/>
                <w:szCs w:val="22"/>
                <w:lang w:val="en-IN"/>
              </w:rPr>
            </w:pPr>
            <w:r w:rsidRPr="00851067">
              <w:rPr>
                <w:sz w:val="22"/>
                <w:szCs w:val="22"/>
                <w:lang w:val="en-IN"/>
              </w:rPr>
              <w:t>4239 (47%)</w:t>
            </w:r>
          </w:p>
        </w:tc>
        <w:tc>
          <w:tcPr>
            <w:tcW w:w="0" w:type="auto"/>
            <w:hideMark/>
          </w:tcPr>
          <w:p w14:paraId="4A07352F" w14:textId="77777777" w:rsidR="00851067" w:rsidRPr="00851067" w:rsidRDefault="00851067" w:rsidP="00851067">
            <w:pPr>
              <w:rPr>
                <w:sz w:val="22"/>
                <w:szCs w:val="22"/>
                <w:lang w:val="en-IN"/>
              </w:rPr>
            </w:pPr>
            <w:r w:rsidRPr="00851067">
              <w:rPr>
                <w:sz w:val="22"/>
                <w:szCs w:val="22"/>
                <w:lang w:val="en-IN"/>
              </w:rPr>
              <w:t>4.936 (4.444-5.482)</w:t>
            </w:r>
          </w:p>
        </w:tc>
        <w:tc>
          <w:tcPr>
            <w:tcW w:w="0" w:type="auto"/>
            <w:hideMark/>
          </w:tcPr>
          <w:p w14:paraId="1190307B" w14:textId="77777777" w:rsidR="00851067" w:rsidRPr="00851067" w:rsidRDefault="00851067" w:rsidP="00851067">
            <w:pPr>
              <w:rPr>
                <w:sz w:val="22"/>
                <w:szCs w:val="22"/>
                <w:lang w:val="en-IN"/>
              </w:rPr>
            </w:pPr>
            <w:r w:rsidRPr="00851067">
              <w:rPr>
                <w:sz w:val="22"/>
                <w:szCs w:val="22"/>
                <w:lang w:val="en-IN"/>
              </w:rPr>
              <w:t>3.508 (2.872-4.285)</w:t>
            </w:r>
          </w:p>
        </w:tc>
        <w:tc>
          <w:tcPr>
            <w:tcW w:w="0" w:type="auto"/>
            <w:hideMark/>
          </w:tcPr>
          <w:p w14:paraId="63A0A171" w14:textId="77777777" w:rsidR="00851067" w:rsidRPr="00851067" w:rsidRDefault="00851067" w:rsidP="00851067">
            <w:pPr>
              <w:rPr>
                <w:sz w:val="22"/>
                <w:szCs w:val="22"/>
                <w:lang w:val="en-IN"/>
              </w:rPr>
            </w:pPr>
            <w:r w:rsidRPr="00851067">
              <w:rPr>
                <w:sz w:val="22"/>
                <w:szCs w:val="22"/>
                <w:lang w:val="en-IN"/>
              </w:rPr>
              <w:t>&lt;0.001</w:t>
            </w:r>
          </w:p>
        </w:tc>
      </w:tr>
    </w:tbl>
    <w:p w14:paraId="357336D2" w14:textId="77777777" w:rsidR="00851067" w:rsidRDefault="00851067" w:rsidP="00851067">
      <w:pPr>
        <w:rPr>
          <w:b/>
          <w:bCs/>
          <w:lang w:val="en-IN"/>
        </w:rPr>
      </w:pPr>
    </w:p>
    <w:p w14:paraId="695F21DE" w14:textId="77777777" w:rsidR="00C654A2" w:rsidRDefault="00C654A2" w:rsidP="00851067">
      <w:pPr>
        <w:rPr>
          <w:b/>
          <w:bCs/>
          <w:lang w:val="en-IN"/>
        </w:rPr>
      </w:pPr>
    </w:p>
    <w:p w14:paraId="5482F5C2" w14:textId="47522571" w:rsidR="00851067" w:rsidRPr="00851067" w:rsidRDefault="00851067" w:rsidP="00851067">
      <w:pPr>
        <w:rPr>
          <w:b/>
          <w:bCs/>
          <w:lang w:val="en-IN"/>
        </w:rPr>
      </w:pPr>
      <w:r w:rsidRPr="00851067">
        <w:rPr>
          <w:b/>
          <w:bCs/>
          <w:lang w:val="en-IN"/>
        </w:rPr>
        <w:t>5. Socio-Economic Status (SES)</w:t>
      </w:r>
    </w:p>
    <w:p w14:paraId="3F1B07C4" w14:textId="2B88601E" w:rsidR="00851067" w:rsidRPr="00851067" w:rsidRDefault="008A2997" w:rsidP="00851067">
      <w:pPr>
        <w:spacing w:line="480" w:lineRule="auto"/>
        <w:jc w:val="both"/>
        <w:rPr>
          <w:lang w:val="en-IN"/>
        </w:rPr>
      </w:pPr>
      <w:r w:rsidRPr="008A2997">
        <w:t xml:space="preserve">Lower socio-economic status (SES) was a significant risk factor for cataract development. Individuals from the lower SES group had </w:t>
      </w:r>
      <w:r w:rsidRPr="008A2997">
        <w:rPr>
          <w:b/>
          <w:bCs/>
        </w:rPr>
        <w:t>8.3 times the risk</w:t>
      </w:r>
      <w:r w:rsidRPr="008A2997">
        <w:t xml:space="preserve"> of developing cataracts compared to those in the upper SES group (OR 8.3, 95% CI: 6.8–10.2, p &lt; 0.001). The higher prevalence of cataracts in this group can be attributed to several factors, including </w:t>
      </w:r>
      <w:r w:rsidRPr="008A2997">
        <w:rPr>
          <w:b/>
          <w:bCs/>
        </w:rPr>
        <w:t>malnutrition</w:t>
      </w:r>
      <w:r w:rsidRPr="008A2997">
        <w:t xml:space="preserve">, which can weaken the immune system and increase susceptibility to eye diseases, as well as </w:t>
      </w:r>
      <w:r w:rsidRPr="008A2997">
        <w:rPr>
          <w:b/>
          <w:bCs/>
        </w:rPr>
        <w:t>poor hygiene</w:t>
      </w:r>
      <w:r w:rsidRPr="008A2997">
        <w:t xml:space="preserve"> and limited access to healthcare. These conditions can contribute to the early development and progression of cataracts. Additionally, individuals in lower SES groups often have less access to protective measures against environmental factors like UV radiation, which further exacerbates their risk.</w:t>
      </w:r>
      <w:r w:rsidRPr="008A2997">
        <w:rPr>
          <w:lang w:val="en-IN"/>
        </w:rPr>
        <w:t xml:space="preserve"> </w:t>
      </w:r>
      <w:r w:rsidR="00174DDF">
        <w:rPr>
          <w:lang w:val="en-IN"/>
        </w:rPr>
        <w:t>(Table 5)</w:t>
      </w:r>
      <w:r w:rsidR="00851067" w:rsidRPr="00851067">
        <w:rPr>
          <w:lang w:val="en-IN"/>
        </w:rPr>
        <w:t>.</w:t>
      </w:r>
    </w:p>
    <w:p w14:paraId="0B05C073" w14:textId="77777777" w:rsidR="00851067" w:rsidRPr="00851067" w:rsidRDefault="00851067" w:rsidP="00851067">
      <w:pPr>
        <w:jc w:val="center"/>
        <w:rPr>
          <w:b/>
          <w:bCs/>
          <w:lang w:val="en-IN"/>
        </w:rPr>
      </w:pPr>
      <w:r w:rsidRPr="00851067">
        <w:rPr>
          <w:b/>
          <w:bCs/>
          <w:lang w:val="en-IN"/>
        </w:rPr>
        <w:t>Table 5: Socio-Economic Status – Cataract Development Risk Factor</w:t>
      </w:r>
    </w:p>
    <w:tbl>
      <w:tblPr>
        <w:tblStyle w:val="TableGrid"/>
        <w:tblW w:w="0" w:type="auto"/>
        <w:jc w:val="center"/>
        <w:tblLook w:val="04A0" w:firstRow="1" w:lastRow="0" w:firstColumn="1" w:lastColumn="0" w:noHBand="0" w:noVBand="1"/>
      </w:tblPr>
      <w:tblGrid>
        <w:gridCol w:w="1768"/>
        <w:gridCol w:w="1322"/>
        <w:gridCol w:w="2086"/>
        <w:gridCol w:w="2251"/>
        <w:gridCol w:w="876"/>
      </w:tblGrid>
      <w:tr w:rsidR="00851067" w:rsidRPr="00851067" w14:paraId="7BCB661B" w14:textId="77777777" w:rsidTr="00851067">
        <w:trPr>
          <w:jc w:val="center"/>
        </w:trPr>
        <w:tc>
          <w:tcPr>
            <w:tcW w:w="0" w:type="auto"/>
            <w:hideMark/>
          </w:tcPr>
          <w:p w14:paraId="76B4B1DF" w14:textId="77777777" w:rsidR="00851067" w:rsidRPr="00851067" w:rsidRDefault="00851067" w:rsidP="00851067">
            <w:pPr>
              <w:jc w:val="center"/>
              <w:rPr>
                <w:sz w:val="22"/>
                <w:szCs w:val="22"/>
                <w:lang w:val="en-IN"/>
              </w:rPr>
            </w:pPr>
            <w:r w:rsidRPr="00851067">
              <w:rPr>
                <w:sz w:val="22"/>
                <w:szCs w:val="22"/>
                <w:lang w:val="en-IN"/>
              </w:rPr>
              <w:t>SES</w:t>
            </w:r>
          </w:p>
        </w:tc>
        <w:tc>
          <w:tcPr>
            <w:tcW w:w="0" w:type="auto"/>
            <w:hideMark/>
          </w:tcPr>
          <w:p w14:paraId="0D18BDC3" w14:textId="77777777" w:rsidR="00851067" w:rsidRPr="00851067" w:rsidRDefault="00851067" w:rsidP="00851067">
            <w:pPr>
              <w:jc w:val="center"/>
              <w:rPr>
                <w:sz w:val="22"/>
                <w:szCs w:val="22"/>
                <w:lang w:val="en-IN"/>
              </w:rPr>
            </w:pPr>
            <w:r w:rsidRPr="00851067">
              <w:rPr>
                <w:sz w:val="22"/>
                <w:szCs w:val="22"/>
                <w:lang w:val="en-IN"/>
              </w:rPr>
              <w:t>Number (%)</w:t>
            </w:r>
          </w:p>
        </w:tc>
        <w:tc>
          <w:tcPr>
            <w:tcW w:w="0" w:type="auto"/>
            <w:hideMark/>
          </w:tcPr>
          <w:p w14:paraId="09349E29" w14:textId="77777777" w:rsidR="00851067" w:rsidRPr="00851067" w:rsidRDefault="00851067" w:rsidP="00851067">
            <w:pPr>
              <w:jc w:val="center"/>
              <w:rPr>
                <w:sz w:val="22"/>
                <w:szCs w:val="22"/>
                <w:lang w:val="en-IN"/>
              </w:rPr>
            </w:pPr>
            <w:r w:rsidRPr="00851067">
              <w:rPr>
                <w:sz w:val="22"/>
                <w:szCs w:val="22"/>
                <w:lang w:val="en-IN"/>
              </w:rPr>
              <w:t>Crude OR (95% CI)</w:t>
            </w:r>
          </w:p>
        </w:tc>
        <w:tc>
          <w:tcPr>
            <w:tcW w:w="0" w:type="auto"/>
            <w:hideMark/>
          </w:tcPr>
          <w:p w14:paraId="42A446D6" w14:textId="77777777" w:rsidR="00851067" w:rsidRPr="00851067" w:rsidRDefault="00851067" w:rsidP="00851067">
            <w:pPr>
              <w:jc w:val="center"/>
              <w:rPr>
                <w:sz w:val="22"/>
                <w:szCs w:val="22"/>
                <w:lang w:val="en-IN"/>
              </w:rPr>
            </w:pPr>
            <w:r w:rsidRPr="00851067">
              <w:rPr>
                <w:sz w:val="22"/>
                <w:szCs w:val="22"/>
                <w:lang w:val="en-IN"/>
              </w:rPr>
              <w:t>Adjusted OR (95% CI)</w:t>
            </w:r>
          </w:p>
        </w:tc>
        <w:tc>
          <w:tcPr>
            <w:tcW w:w="0" w:type="auto"/>
            <w:hideMark/>
          </w:tcPr>
          <w:p w14:paraId="333E6592" w14:textId="77777777" w:rsidR="00851067" w:rsidRPr="00851067" w:rsidRDefault="00851067" w:rsidP="00851067">
            <w:pPr>
              <w:jc w:val="center"/>
              <w:rPr>
                <w:sz w:val="22"/>
                <w:szCs w:val="22"/>
                <w:lang w:val="en-IN"/>
              </w:rPr>
            </w:pPr>
            <w:r w:rsidRPr="00851067">
              <w:rPr>
                <w:sz w:val="22"/>
                <w:szCs w:val="22"/>
                <w:lang w:val="en-IN"/>
              </w:rPr>
              <w:t>p-value</w:t>
            </w:r>
          </w:p>
        </w:tc>
      </w:tr>
      <w:tr w:rsidR="00851067" w:rsidRPr="00851067" w14:paraId="639F6CD8" w14:textId="77777777" w:rsidTr="00851067">
        <w:trPr>
          <w:jc w:val="center"/>
        </w:trPr>
        <w:tc>
          <w:tcPr>
            <w:tcW w:w="0" w:type="auto"/>
            <w:hideMark/>
          </w:tcPr>
          <w:p w14:paraId="4519125E" w14:textId="77777777" w:rsidR="00851067" w:rsidRPr="00851067" w:rsidRDefault="00851067" w:rsidP="00851067">
            <w:pPr>
              <w:jc w:val="center"/>
              <w:rPr>
                <w:sz w:val="22"/>
                <w:szCs w:val="22"/>
                <w:lang w:val="en-IN"/>
              </w:rPr>
            </w:pPr>
            <w:r w:rsidRPr="00851067">
              <w:rPr>
                <w:sz w:val="22"/>
                <w:szCs w:val="22"/>
                <w:lang w:val="en-IN"/>
              </w:rPr>
              <w:t>Upper class (Ref)</w:t>
            </w:r>
          </w:p>
        </w:tc>
        <w:tc>
          <w:tcPr>
            <w:tcW w:w="0" w:type="auto"/>
            <w:hideMark/>
          </w:tcPr>
          <w:p w14:paraId="6DE28406" w14:textId="77777777" w:rsidR="00851067" w:rsidRPr="00851067" w:rsidRDefault="00851067" w:rsidP="00851067">
            <w:pPr>
              <w:jc w:val="center"/>
              <w:rPr>
                <w:sz w:val="22"/>
                <w:szCs w:val="22"/>
                <w:lang w:val="en-IN"/>
              </w:rPr>
            </w:pPr>
            <w:r w:rsidRPr="00851067">
              <w:rPr>
                <w:sz w:val="22"/>
                <w:szCs w:val="22"/>
                <w:lang w:val="en-IN"/>
              </w:rPr>
              <w:t>6497 (72%)</w:t>
            </w:r>
          </w:p>
        </w:tc>
        <w:tc>
          <w:tcPr>
            <w:tcW w:w="0" w:type="auto"/>
            <w:hideMark/>
          </w:tcPr>
          <w:p w14:paraId="25EFDF41" w14:textId="77777777" w:rsidR="00851067" w:rsidRPr="00851067" w:rsidRDefault="00851067" w:rsidP="00851067">
            <w:pPr>
              <w:jc w:val="center"/>
              <w:rPr>
                <w:sz w:val="22"/>
                <w:szCs w:val="22"/>
                <w:lang w:val="en-IN"/>
              </w:rPr>
            </w:pPr>
            <w:r w:rsidRPr="00851067">
              <w:rPr>
                <w:sz w:val="22"/>
                <w:szCs w:val="22"/>
                <w:lang w:val="en-IN"/>
              </w:rPr>
              <w:t>1</w:t>
            </w:r>
          </w:p>
        </w:tc>
        <w:tc>
          <w:tcPr>
            <w:tcW w:w="0" w:type="auto"/>
            <w:hideMark/>
          </w:tcPr>
          <w:p w14:paraId="7E548ADD" w14:textId="77777777" w:rsidR="00851067" w:rsidRPr="00851067" w:rsidRDefault="00851067" w:rsidP="00851067">
            <w:pPr>
              <w:jc w:val="center"/>
              <w:rPr>
                <w:sz w:val="22"/>
                <w:szCs w:val="22"/>
                <w:lang w:val="en-IN"/>
              </w:rPr>
            </w:pPr>
            <w:r w:rsidRPr="00851067">
              <w:rPr>
                <w:sz w:val="22"/>
                <w:szCs w:val="22"/>
                <w:lang w:val="en-IN"/>
              </w:rPr>
              <w:t>1</w:t>
            </w:r>
          </w:p>
        </w:tc>
        <w:tc>
          <w:tcPr>
            <w:tcW w:w="0" w:type="auto"/>
            <w:hideMark/>
          </w:tcPr>
          <w:p w14:paraId="0C6040B7" w14:textId="77777777" w:rsidR="00851067" w:rsidRPr="00851067" w:rsidRDefault="00851067" w:rsidP="00851067">
            <w:pPr>
              <w:jc w:val="center"/>
              <w:rPr>
                <w:sz w:val="22"/>
                <w:szCs w:val="22"/>
                <w:lang w:val="en-IN"/>
              </w:rPr>
            </w:pPr>
            <w:r w:rsidRPr="00851067">
              <w:rPr>
                <w:sz w:val="22"/>
                <w:szCs w:val="22"/>
                <w:lang w:val="en-IN"/>
              </w:rPr>
              <w:t>&lt;0.001</w:t>
            </w:r>
          </w:p>
        </w:tc>
      </w:tr>
      <w:tr w:rsidR="00851067" w:rsidRPr="00851067" w14:paraId="2FE0E204" w14:textId="77777777" w:rsidTr="00851067">
        <w:trPr>
          <w:jc w:val="center"/>
        </w:trPr>
        <w:tc>
          <w:tcPr>
            <w:tcW w:w="0" w:type="auto"/>
            <w:hideMark/>
          </w:tcPr>
          <w:p w14:paraId="761F756E" w14:textId="77777777" w:rsidR="00851067" w:rsidRPr="00851067" w:rsidRDefault="00851067" w:rsidP="00851067">
            <w:pPr>
              <w:jc w:val="center"/>
              <w:rPr>
                <w:sz w:val="22"/>
                <w:szCs w:val="22"/>
                <w:lang w:val="en-IN"/>
              </w:rPr>
            </w:pPr>
            <w:r w:rsidRPr="00851067">
              <w:rPr>
                <w:sz w:val="22"/>
                <w:szCs w:val="22"/>
                <w:lang w:val="en-IN"/>
              </w:rPr>
              <w:t>Middle class</w:t>
            </w:r>
          </w:p>
        </w:tc>
        <w:tc>
          <w:tcPr>
            <w:tcW w:w="0" w:type="auto"/>
            <w:hideMark/>
          </w:tcPr>
          <w:p w14:paraId="2FE8EA6F" w14:textId="77777777" w:rsidR="00851067" w:rsidRPr="00851067" w:rsidRDefault="00851067" w:rsidP="00851067">
            <w:pPr>
              <w:jc w:val="center"/>
              <w:rPr>
                <w:sz w:val="22"/>
                <w:szCs w:val="22"/>
                <w:lang w:val="en-IN"/>
              </w:rPr>
            </w:pPr>
            <w:r w:rsidRPr="00851067">
              <w:rPr>
                <w:sz w:val="22"/>
                <w:szCs w:val="22"/>
                <w:lang w:val="en-IN"/>
              </w:rPr>
              <w:t>940 (10%)</w:t>
            </w:r>
          </w:p>
        </w:tc>
        <w:tc>
          <w:tcPr>
            <w:tcW w:w="0" w:type="auto"/>
            <w:hideMark/>
          </w:tcPr>
          <w:p w14:paraId="15766657" w14:textId="77777777" w:rsidR="00851067" w:rsidRPr="00851067" w:rsidRDefault="00851067" w:rsidP="00851067">
            <w:pPr>
              <w:jc w:val="center"/>
              <w:rPr>
                <w:sz w:val="22"/>
                <w:szCs w:val="22"/>
                <w:lang w:val="en-IN"/>
              </w:rPr>
            </w:pPr>
            <w:r w:rsidRPr="00851067">
              <w:rPr>
                <w:sz w:val="22"/>
                <w:szCs w:val="22"/>
                <w:lang w:val="en-IN"/>
              </w:rPr>
              <w:t>6.572 (5.198-8.309)</w:t>
            </w:r>
          </w:p>
        </w:tc>
        <w:tc>
          <w:tcPr>
            <w:tcW w:w="0" w:type="auto"/>
            <w:hideMark/>
          </w:tcPr>
          <w:p w14:paraId="7A40CC0D" w14:textId="77777777" w:rsidR="00851067" w:rsidRPr="00851067" w:rsidRDefault="00851067" w:rsidP="00851067">
            <w:pPr>
              <w:jc w:val="center"/>
              <w:rPr>
                <w:sz w:val="22"/>
                <w:szCs w:val="22"/>
                <w:lang w:val="en-IN"/>
              </w:rPr>
            </w:pPr>
            <w:r w:rsidRPr="00851067">
              <w:rPr>
                <w:sz w:val="22"/>
                <w:szCs w:val="22"/>
                <w:lang w:val="en-IN"/>
              </w:rPr>
              <w:t>4.905 (3.727-6.386)</w:t>
            </w:r>
          </w:p>
        </w:tc>
        <w:tc>
          <w:tcPr>
            <w:tcW w:w="0" w:type="auto"/>
            <w:hideMark/>
          </w:tcPr>
          <w:p w14:paraId="22E1149F" w14:textId="77777777" w:rsidR="00851067" w:rsidRPr="00851067" w:rsidRDefault="00851067" w:rsidP="00851067">
            <w:pPr>
              <w:jc w:val="center"/>
              <w:rPr>
                <w:sz w:val="22"/>
                <w:szCs w:val="22"/>
                <w:lang w:val="en-IN"/>
              </w:rPr>
            </w:pPr>
            <w:r w:rsidRPr="00851067">
              <w:rPr>
                <w:sz w:val="22"/>
                <w:szCs w:val="22"/>
                <w:lang w:val="en-IN"/>
              </w:rPr>
              <w:t>&lt;0.001</w:t>
            </w:r>
          </w:p>
        </w:tc>
      </w:tr>
      <w:tr w:rsidR="00851067" w:rsidRPr="00851067" w14:paraId="593DA028" w14:textId="77777777" w:rsidTr="00851067">
        <w:trPr>
          <w:jc w:val="center"/>
        </w:trPr>
        <w:tc>
          <w:tcPr>
            <w:tcW w:w="0" w:type="auto"/>
            <w:hideMark/>
          </w:tcPr>
          <w:p w14:paraId="614B8D84" w14:textId="77777777" w:rsidR="00851067" w:rsidRPr="00851067" w:rsidRDefault="00851067" w:rsidP="00851067">
            <w:pPr>
              <w:jc w:val="center"/>
              <w:rPr>
                <w:sz w:val="22"/>
                <w:szCs w:val="22"/>
                <w:lang w:val="en-IN"/>
              </w:rPr>
            </w:pPr>
            <w:r w:rsidRPr="00851067">
              <w:rPr>
                <w:sz w:val="22"/>
                <w:szCs w:val="22"/>
                <w:lang w:val="en-IN"/>
              </w:rPr>
              <w:t>Lower class</w:t>
            </w:r>
          </w:p>
        </w:tc>
        <w:tc>
          <w:tcPr>
            <w:tcW w:w="0" w:type="auto"/>
            <w:hideMark/>
          </w:tcPr>
          <w:p w14:paraId="2A80E788" w14:textId="77777777" w:rsidR="00851067" w:rsidRPr="00851067" w:rsidRDefault="00851067" w:rsidP="00851067">
            <w:pPr>
              <w:jc w:val="center"/>
              <w:rPr>
                <w:sz w:val="22"/>
                <w:szCs w:val="22"/>
                <w:lang w:val="en-IN"/>
              </w:rPr>
            </w:pPr>
            <w:r w:rsidRPr="00851067">
              <w:rPr>
                <w:sz w:val="22"/>
                <w:szCs w:val="22"/>
                <w:lang w:val="en-IN"/>
              </w:rPr>
              <w:t>1586 (18%)</w:t>
            </w:r>
          </w:p>
        </w:tc>
        <w:tc>
          <w:tcPr>
            <w:tcW w:w="0" w:type="auto"/>
            <w:hideMark/>
          </w:tcPr>
          <w:p w14:paraId="2E3F196F" w14:textId="77777777" w:rsidR="00851067" w:rsidRPr="00851067" w:rsidRDefault="00851067" w:rsidP="00851067">
            <w:pPr>
              <w:jc w:val="center"/>
              <w:rPr>
                <w:sz w:val="22"/>
                <w:szCs w:val="22"/>
                <w:lang w:val="en-IN"/>
              </w:rPr>
            </w:pPr>
            <w:r w:rsidRPr="00851067">
              <w:rPr>
                <w:sz w:val="22"/>
                <w:szCs w:val="22"/>
                <w:lang w:val="en-IN"/>
              </w:rPr>
              <w:t>8.367 (6.838-10.236)</w:t>
            </w:r>
          </w:p>
        </w:tc>
        <w:tc>
          <w:tcPr>
            <w:tcW w:w="0" w:type="auto"/>
            <w:hideMark/>
          </w:tcPr>
          <w:p w14:paraId="45BF86AC" w14:textId="77777777" w:rsidR="00851067" w:rsidRPr="00851067" w:rsidRDefault="00851067" w:rsidP="00851067">
            <w:pPr>
              <w:jc w:val="center"/>
              <w:rPr>
                <w:sz w:val="22"/>
                <w:szCs w:val="22"/>
                <w:lang w:val="en-IN"/>
              </w:rPr>
            </w:pPr>
            <w:r w:rsidRPr="00851067">
              <w:rPr>
                <w:sz w:val="22"/>
                <w:szCs w:val="22"/>
                <w:lang w:val="en-IN"/>
              </w:rPr>
              <w:t>5.908 (4.471-7.524)</w:t>
            </w:r>
          </w:p>
        </w:tc>
        <w:tc>
          <w:tcPr>
            <w:tcW w:w="0" w:type="auto"/>
            <w:hideMark/>
          </w:tcPr>
          <w:p w14:paraId="5F9E5C09" w14:textId="77777777" w:rsidR="00851067" w:rsidRPr="00851067" w:rsidRDefault="00851067" w:rsidP="00851067">
            <w:pPr>
              <w:jc w:val="center"/>
              <w:rPr>
                <w:sz w:val="22"/>
                <w:szCs w:val="22"/>
                <w:lang w:val="en-IN"/>
              </w:rPr>
            </w:pPr>
            <w:r w:rsidRPr="00851067">
              <w:rPr>
                <w:sz w:val="22"/>
                <w:szCs w:val="22"/>
                <w:lang w:val="en-IN"/>
              </w:rPr>
              <w:t>&lt;0.001</w:t>
            </w:r>
          </w:p>
        </w:tc>
      </w:tr>
    </w:tbl>
    <w:p w14:paraId="63C5CCE7" w14:textId="77777777" w:rsidR="00851067" w:rsidRDefault="00851067" w:rsidP="00851067">
      <w:pPr>
        <w:rPr>
          <w:b/>
          <w:bCs/>
          <w:lang w:val="en-IN"/>
        </w:rPr>
      </w:pPr>
    </w:p>
    <w:p w14:paraId="2C360509" w14:textId="41B8A604" w:rsidR="00851067" w:rsidRPr="00851067" w:rsidRDefault="00851067" w:rsidP="00851067">
      <w:pPr>
        <w:rPr>
          <w:b/>
          <w:bCs/>
          <w:lang w:val="en-IN"/>
        </w:rPr>
      </w:pPr>
      <w:r w:rsidRPr="00851067">
        <w:rPr>
          <w:b/>
          <w:bCs/>
          <w:lang w:val="en-IN"/>
        </w:rPr>
        <w:t>6. Addiction</w:t>
      </w:r>
    </w:p>
    <w:p w14:paraId="2F6BF054" w14:textId="71B98095" w:rsidR="00851067" w:rsidRPr="00851067" w:rsidRDefault="008A2997" w:rsidP="00851067">
      <w:pPr>
        <w:spacing w:line="480" w:lineRule="auto"/>
        <w:jc w:val="both"/>
        <w:rPr>
          <w:lang w:val="en-IN"/>
        </w:rPr>
      </w:pPr>
      <w:r w:rsidRPr="008A2997">
        <w:t xml:space="preserve">While </w:t>
      </w:r>
      <w:r w:rsidRPr="008A2997">
        <w:rPr>
          <w:b/>
          <w:bCs/>
        </w:rPr>
        <w:t>addiction</w:t>
      </w:r>
      <w:r w:rsidRPr="008A2997">
        <w:t xml:space="preserve">, particularly </w:t>
      </w:r>
      <w:r w:rsidRPr="008A2997">
        <w:rPr>
          <w:b/>
          <w:bCs/>
        </w:rPr>
        <w:t>smokeless tobacco use</w:t>
      </w:r>
      <w:r w:rsidRPr="008A2997">
        <w:t xml:space="preserve">, is often considered a risk factor for various health conditions, it was not found to be an independent risk factor for cataract development in this study. The odds ratio for addiction in the </w:t>
      </w:r>
      <w:r w:rsidRPr="008A2997">
        <w:rPr>
          <w:b/>
          <w:bCs/>
        </w:rPr>
        <w:t>independent risk factors analysis</w:t>
      </w:r>
      <w:r w:rsidRPr="008A2997">
        <w:t xml:space="preserve"> showed no significant association (OR = 0, p &gt; 0.05). However, when addiction is </w:t>
      </w:r>
      <w:r w:rsidRPr="008A2997">
        <w:rPr>
          <w:b/>
          <w:bCs/>
        </w:rPr>
        <w:t>associated with poor socio-economic status (SES)</w:t>
      </w:r>
      <w:r w:rsidRPr="008A2997">
        <w:t xml:space="preserve"> and </w:t>
      </w:r>
      <w:r w:rsidRPr="008A2997">
        <w:rPr>
          <w:b/>
          <w:bCs/>
        </w:rPr>
        <w:t>outdoor work</w:t>
      </w:r>
      <w:r w:rsidRPr="008A2997">
        <w:t xml:space="preserve">, it becomes a </w:t>
      </w:r>
      <w:r w:rsidRPr="008A2997">
        <w:lastRenderedPageBreak/>
        <w:t xml:space="preserve">significant risk factor. Individuals from lower SES backgrounds, who are more likely to use tobacco and engage in outdoor work, may experience compounded risks for cataract development due to both lifestyle factors (e.g., tobacco use) and environmental exposure (e.g., UV radiation from outdoor work). Therefore, </w:t>
      </w:r>
      <w:r w:rsidRPr="008A2997">
        <w:rPr>
          <w:b/>
          <w:bCs/>
        </w:rPr>
        <w:t>addiction alone</w:t>
      </w:r>
      <w:r w:rsidRPr="008A2997">
        <w:t xml:space="preserve"> may not be a direct risk factor, but </w:t>
      </w:r>
      <w:r w:rsidRPr="008A2997">
        <w:rPr>
          <w:b/>
          <w:bCs/>
        </w:rPr>
        <w:t>when coupled with other risk factors</w:t>
      </w:r>
      <w:r w:rsidRPr="008A2997">
        <w:t>, it significantly contributes to the development and progression of cataracts.</w:t>
      </w:r>
      <w:r w:rsidR="00174DDF">
        <w:rPr>
          <w:lang w:val="en-IN"/>
        </w:rPr>
        <w:t xml:space="preserve"> (Table 6)</w:t>
      </w:r>
      <w:r w:rsidR="00851067" w:rsidRPr="00851067">
        <w:rPr>
          <w:lang w:val="en-IN"/>
        </w:rPr>
        <w:t>.</w:t>
      </w:r>
    </w:p>
    <w:p w14:paraId="5AEF99FC" w14:textId="77777777" w:rsidR="00851067" w:rsidRPr="00851067" w:rsidRDefault="00851067" w:rsidP="00851067">
      <w:pPr>
        <w:jc w:val="center"/>
        <w:rPr>
          <w:b/>
          <w:bCs/>
          <w:lang w:val="en-IN"/>
        </w:rPr>
      </w:pPr>
      <w:r w:rsidRPr="00851067">
        <w:rPr>
          <w:b/>
          <w:bCs/>
          <w:lang w:val="en-IN"/>
        </w:rPr>
        <w:t>Table 6: Addiction – Risk Factor for Cataract Development</w:t>
      </w:r>
    </w:p>
    <w:tbl>
      <w:tblPr>
        <w:tblStyle w:val="TableGrid"/>
        <w:tblW w:w="0" w:type="auto"/>
        <w:jc w:val="center"/>
        <w:tblLook w:val="04A0" w:firstRow="1" w:lastRow="0" w:firstColumn="1" w:lastColumn="0" w:noHBand="0" w:noVBand="1"/>
      </w:tblPr>
      <w:tblGrid>
        <w:gridCol w:w="1970"/>
        <w:gridCol w:w="1322"/>
        <w:gridCol w:w="1995"/>
        <w:gridCol w:w="2251"/>
        <w:gridCol w:w="876"/>
      </w:tblGrid>
      <w:tr w:rsidR="00851067" w:rsidRPr="00851067" w14:paraId="232D3DE5" w14:textId="77777777" w:rsidTr="00851067">
        <w:trPr>
          <w:jc w:val="center"/>
        </w:trPr>
        <w:tc>
          <w:tcPr>
            <w:tcW w:w="0" w:type="auto"/>
            <w:hideMark/>
          </w:tcPr>
          <w:p w14:paraId="34F33FB9" w14:textId="77777777" w:rsidR="00851067" w:rsidRPr="00851067" w:rsidRDefault="00851067" w:rsidP="00851067">
            <w:pPr>
              <w:rPr>
                <w:sz w:val="22"/>
                <w:szCs w:val="22"/>
                <w:lang w:val="en-IN"/>
              </w:rPr>
            </w:pPr>
            <w:r w:rsidRPr="00851067">
              <w:rPr>
                <w:sz w:val="22"/>
                <w:szCs w:val="22"/>
                <w:lang w:val="en-IN"/>
              </w:rPr>
              <w:t>Addiction</w:t>
            </w:r>
          </w:p>
        </w:tc>
        <w:tc>
          <w:tcPr>
            <w:tcW w:w="0" w:type="auto"/>
            <w:hideMark/>
          </w:tcPr>
          <w:p w14:paraId="72E07A9D" w14:textId="77777777" w:rsidR="00851067" w:rsidRPr="00851067" w:rsidRDefault="00851067" w:rsidP="00851067">
            <w:pPr>
              <w:rPr>
                <w:sz w:val="22"/>
                <w:szCs w:val="22"/>
                <w:lang w:val="en-IN"/>
              </w:rPr>
            </w:pPr>
            <w:r w:rsidRPr="00851067">
              <w:rPr>
                <w:sz w:val="22"/>
                <w:szCs w:val="22"/>
                <w:lang w:val="en-IN"/>
              </w:rPr>
              <w:t>Number (%)</w:t>
            </w:r>
          </w:p>
        </w:tc>
        <w:tc>
          <w:tcPr>
            <w:tcW w:w="0" w:type="auto"/>
            <w:hideMark/>
          </w:tcPr>
          <w:p w14:paraId="28CCD425" w14:textId="77777777" w:rsidR="00851067" w:rsidRPr="00851067" w:rsidRDefault="00851067" w:rsidP="00851067">
            <w:pPr>
              <w:rPr>
                <w:sz w:val="22"/>
                <w:szCs w:val="22"/>
                <w:lang w:val="en-IN"/>
              </w:rPr>
            </w:pPr>
            <w:r w:rsidRPr="00851067">
              <w:rPr>
                <w:sz w:val="22"/>
                <w:szCs w:val="22"/>
                <w:lang w:val="en-IN"/>
              </w:rPr>
              <w:t>Crude OR (95% CI)</w:t>
            </w:r>
          </w:p>
        </w:tc>
        <w:tc>
          <w:tcPr>
            <w:tcW w:w="0" w:type="auto"/>
            <w:hideMark/>
          </w:tcPr>
          <w:p w14:paraId="54F353B3" w14:textId="77777777" w:rsidR="00851067" w:rsidRPr="00851067" w:rsidRDefault="00851067" w:rsidP="00851067">
            <w:pPr>
              <w:rPr>
                <w:sz w:val="22"/>
                <w:szCs w:val="22"/>
                <w:lang w:val="en-IN"/>
              </w:rPr>
            </w:pPr>
            <w:r w:rsidRPr="00851067">
              <w:rPr>
                <w:sz w:val="22"/>
                <w:szCs w:val="22"/>
                <w:lang w:val="en-IN"/>
              </w:rPr>
              <w:t>Adjusted OR (95% CI)</w:t>
            </w:r>
          </w:p>
        </w:tc>
        <w:tc>
          <w:tcPr>
            <w:tcW w:w="0" w:type="auto"/>
            <w:hideMark/>
          </w:tcPr>
          <w:p w14:paraId="15DEE614" w14:textId="77777777" w:rsidR="00851067" w:rsidRPr="00851067" w:rsidRDefault="00851067" w:rsidP="00851067">
            <w:pPr>
              <w:rPr>
                <w:sz w:val="22"/>
                <w:szCs w:val="22"/>
                <w:lang w:val="en-IN"/>
              </w:rPr>
            </w:pPr>
            <w:r w:rsidRPr="00851067">
              <w:rPr>
                <w:sz w:val="22"/>
                <w:szCs w:val="22"/>
                <w:lang w:val="en-IN"/>
              </w:rPr>
              <w:t>p-value</w:t>
            </w:r>
          </w:p>
        </w:tc>
      </w:tr>
      <w:tr w:rsidR="00851067" w:rsidRPr="00851067" w14:paraId="28ECAD3B" w14:textId="77777777" w:rsidTr="00851067">
        <w:trPr>
          <w:jc w:val="center"/>
        </w:trPr>
        <w:tc>
          <w:tcPr>
            <w:tcW w:w="0" w:type="auto"/>
            <w:hideMark/>
          </w:tcPr>
          <w:p w14:paraId="19AC4F9D" w14:textId="77777777" w:rsidR="00851067" w:rsidRPr="00851067" w:rsidRDefault="00851067" w:rsidP="00851067">
            <w:pPr>
              <w:rPr>
                <w:sz w:val="22"/>
                <w:szCs w:val="22"/>
                <w:lang w:val="en-IN"/>
              </w:rPr>
            </w:pPr>
            <w:r w:rsidRPr="00851067">
              <w:rPr>
                <w:sz w:val="22"/>
                <w:szCs w:val="22"/>
                <w:lang w:val="en-IN"/>
              </w:rPr>
              <w:t>Nil</w:t>
            </w:r>
          </w:p>
        </w:tc>
        <w:tc>
          <w:tcPr>
            <w:tcW w:w="0" w:type="auto"/>
            <w:hideMark/>
          </w:tcPr>
          <w:p w14:paraId="0276F036" w14:textId="77777777" w:rsidR="00851067" w:rsidRPr="00851067" w:rsidRDefault="00851067" w:rsidP="00851067">
            <w:pPr>
              <w:rPr>
                <w:sz w:val="22"/>
                <w:szCs w:val="22"/>
                <w:lang w:val="en-IN"/>
              </w:rPr>
            </w:pPr>
            <w:r w:rsidRPr="00851067">
              <w:rPr>
                <w:sz w:val="22"/>
                <w:szCs w:val="22"/>
                <w:lang w:val="en-IN"/>
              </w:rPr>
              <w:t>7222</w:t>
            </w:r>
          </w:p>
        </w:tc>
        <w:tc>
          <w:tcPr>
            <w:tcW w:w="0" w:type="auto"/>
            <w:hideMark/>
          </w:tcPr>
          <w:p w14:paraId="27EA079C" w14:textId="77777777" w:rsidR="00851067" w:rsidRPr="00851067" w:rsidRDefault="00851067" w:rsidP="00851067">
            <w:pPr>
              <w:rPr>
                <w:sz w:val="22"/>
                <w:szCs w:val="22"/>
                <w:lang w:val="en-IN"/>
              </w:rPr>
            </w:pPr>
            <w:r w:rsidRPr="00851067">
              <w:rPr>
                <w:sz w:val="22"/>
                <w:szCs w:val="22"/>
                <w:lang w:val="en-IN"/>
              </w:rPr>
              <w:t>1</w:t>
            </w:r>
          </w:p>
        </w:tc>
        <w:tc>
          <w:tcPr>
            <w:tcW w:w="0" w:type="auto"/>
            <w:hideMark/>
          </w:tcPr>
          <w:p w14:paraId="5832A3CB" w14:textId="77777777" w:rsidR="00851067" w:rsidRPr="00851067" w:rsidRDefault="00851067" w:rsidP="00851067">
            <w:pPr>
              <w:rPr>
                <w:sz w:val="22"/>
                <w:szCs w:val="22"/>
                <w:lang w:val="en-IN"/>
              </w:rPr>
            </w:pPr>
            <w:r w:rsidRPr="00851067">
              <w:rPr>
                <w:sz w:val="22"/>
                <w:szCs w:val="22"/>
                <w:lang w:val="en-IN"/>
              </w:rPr>
              <w:t>1</w:t>
            </w:r>
          </w:p>
        </w:tc>
        <w:tc>
          <w:tcPr>
            <w:tcW w:w="0" w:type="auto"/>
            <w:hideMark/>
          </w:tcPr>
          <w:p w14:paraId="29C29577" w14:textId="77777777" w:rsidR="00851067" w:rsidRPr="00851067" w:rsidRDefault="00851067" w:rsidP="00851067">
            <w:pPr>
              <w:rPr>
                <w:sz w:val="22"/>
                <w:szCs w:val="22"/>
                <w:lang w:val="en-IN"/>
              </w:rPr>
            </w:pPr>
            <w:r w:rsidRPr="00851067">
              <w:rPr>
                <w:sz w:val="22"/>
                <w:szCs w:val="22"/>
                <w:lang w:val="en-IN"/>
              </w:rPr>
              <w:t>&lt;0.001</w:t>
            </w:r>
          </w:p>
        </w:tc>
      </w:tr>
      <w:tr w:rsidR="00851067" w:rsidRPr="00851067" w14:paraId="74B0B1EC" w14:textId="77777777" w:rsidTr="00851067">
        <w:trPr>
          <w:jc w:val="center"/>
        </w:trPr>
        <w:tc>
          <w:tcPr>
            <w:tcW w:w="0" w:type="auto"/>
            <w:hideMark/>
          </w:tcPr>
          <w:p w14:paraId="1ABE705A" w14:textId="77777777" w:rsidR="00851067" w:rsidRPr="00851067" w:rsidRDefault="00851067" w:rsidP="00851067">
            <w:pPr>
              <w:rPr>
                <w:sz w:val="22"/>
                <w:szCs w:val="22"/>
                <w:lang w:val="en-IN"/>
              </w:rPr>
            </w:pPr>
            <w:r w:rsidRPr="00851067">
              <w:rPr>
                <w:sz w:val="22"/>
                <w:szCs w:val="22"/>
                <w:lang w:val="en-IN"/>
              </w:rPr>
              <w:t>Alcohol</w:t>
            </w:r>
          </w:p>
        </w:tc>
        <w:tc>
          <w:tcPr>
            <w:tcW w:w="0" w:type="auto"/>
            <w:hideMark/>
          </w:tcPr>
          <w:p w14:paraId="16E8DDDA" w14:textId="77777777" w:rsidR="00851067" w:rsidRPr="00851067" w:rsidRDefault="00851067" w:rsidP="00851067">
            <w:pPr>
              <w:rPr>
                <w:sz w:val="22"/>
                <w:szCs w:val="22"/>
                <w:lang w:val="en-IN"/>
              </w:rPr>
            </w:pPr>
            <w:r w:rsidRPr="00851067">
              <w:rPr>
                <w:sz w:val="22"/>
                <w:szCs w:val="22"/>
                <w:lang w:val="en-IN"/>
              </w:rPr>
              <w:t>117</w:t>
            </w:r>
          </w:p>
        </w:tc>
        <w:tc>
          <w:tcPr>
            <w:tcW w:w="0" w:type="auto"/>
            <w:hideMark/>
          </w:tcPr>
          <w:p w14:paraId="7E93ADA9" w14:textId="77777777" w:rsidR="00851067" w:rsidRPr="00851067" w:rsidRDefault="00851067" w:rsidP="00851067">
            <w:pPr>
              <w:rPr>
                <w:sz w:val="22"/>
                <w:szCs w:val="22"/>
                <w:lang w:val="en-IN"/>
              </w:rPr>
            </w:pPr>
            <w:r w:rsidRPr="00851067">
              <w:rPr>
                <w:sz w:val="22"/>
                <w:szCs w:val="22"/>
                <w:lang w:val="en-IN"/>
              </w:rPr>
              <w:t>1.4 (0.9-2.22)</w:t>
            </w:r>
          </w:p>
        </w:tc>
        <w:tc>
          <w:tcPr>
            <w:tcW w:w="0" w:type="auto"/>
            <w:hideMark/>
          </w:tcPr>
          <w:p w14:paraId="027A38D0" w14:textId="77777777" w:rsidR="00851067" w:rsidRPr="00851067" w:rsidRDefault="00851067" w:rsidP="00851067">
            <w:pPr>
              <w:rPr>
                <w:sz w:val="22"/>
                <w:szCs w:val="22"/>
                <w:lang w:val="en-IN"/>
              </w:rPr>
            </w:pPr>
            <w:r w:rsidRPr="00851067">
              <w:rPr>
                <w:sz w:val="22"/>
                <w:szCs w:val="22"/>
                <w:lang w:val="en-IN"/>
              </w:rPr>
              <w:t>1.2 (0.7-1.9)</w:t>
            </w:r>
          </w:p>
        </w:tc>
        <w:tc>
          <w:tcPr>
            <w:tcW w:w="0" w:type="auto"/>
            <w:hideMark/>
          </w:tcPr>
          <w:p w14:paraId="25E24653" w14:textId="77777777" w:rsidR="00851067" w:rsidRPr="00851067" w:rsidRDefault="00851067" w:rsidP="00851067">
            <w:pPr>
              <w:rPr>
                <w:sz w:val="22"/>
                <w:szCs w:val="22"/>
                <w:lang w:val="en-IN"/>
              </w:rPr>
            </w:pPr>
            <w:r w:rsidRPr="00851067">
              <w:rPr>
                <w:sz w:val="22"/>
                <w:szCs w:val="22"/>
                <w:lang w:val="en-IN"/>
              </w:rPr>
              <w:t>&lt;0.081</w:t>
            </w:r>
          </w:p>
        </w:tc>
      </w:tr>
      <w:tr w:rsidR="00851067" w:rsidRPr="00851067" w14:paraId="069DAFB1" w14:textId="77777777" w:rsidTr="00851067">
        <w:trPr>
          <w:jc w:val="center"/>
        </w:trPr>
        <w:tc>
          <w:tcPr>
            <w:tcW w:w="0" w:type="auto"/>
            <w:hideMark/>
          </w:tcPr>
          <w:p w14:paraId="39A69E6D" w14:textId="77777777" w:rsidR="00851067" w:rsidRPr="00851067" w:rsidRDefault="00851067" w:rsidP="00851067">
            <w:pPr>
              <w:rPr>
                <w:sz w:val="22"/>
                <w:szCs w:val="22"/>
                <w:lang w:val="en-IN"/>
              </w:rPr>
            </w:pPr>
            <w:r w:rsidRPr="00851067">
              <w:rPr>
                <w:sz w:val="22"/>
                <w:szCs w:val="22"/>
                <w:lang w:val="en-IN"/>
              </w:rPr>
              <w:t>Smoking</w:t>
            </w:r>
          </w:p>
        </w:tc>
        <w:tc>
          <w:tcPr>
            <w:tcW w:w="0" w:type="auto"/>
            <w:hideMark/>
          </w:tcPr>
          <w:p w14:paraId="48188075" w14:textId="77777777" w:rsidR="00851067" w:rsidRPr="00851067" w:rsidRDefault="00851067" w:rsidP="00851067">
            <w:pPr>
              <w:rPr>
                <w:sz w:val="22"/>
                <w:szCs w:val="22"/>
                <w:lang w:val="en-IN"/>
              </w:rPr>
            </w:pPr>
            <w:r w:rsidRPr="00851067">
              <w:rPr>
                <w:sz w:val="22"/>
                <w:szCs w:val="22"/>
                <w:lang w:val="en-IN"/>
              </w:rPr>
              <w:t>626</w:t>
            </w:r>
          </w:p>
        </w:tc>
        <w:tc>
          <w:tcPr>
            <w:tcW w:w="0" w:type="auto"/>
            <w:hideMark/>
          </w:tcPr>
          <w:p w14:paraId="6F04DF91" w14:textId="77777777" w:rsidR="00851067" w:rsidRPr="00851067" w:rsidRDefault="00851067" w:rsidP="00851067">
            <w:pPr>
              <w:rPr>
                <w:sz w:val="22"/>
                <w:szCs w:val="22"/>
                <w:lang w:val="en-IN"/>
              </w:rPr>
            </w:pPr>
            <w:r w:rsidRPr="00851067">
              <w:rPr>
                <w:sz w:val="22"/>
                <w:szCs w:val="22"/>
                <w:lang w:val="en-IN"/>
              </w:rPr>
              <w:t>1.1 (0.9-1.3)</w:t>
            </w:r>
          </w:p>
        </w:tc>
        <w:tc>
          <w:tcPr>
            <w:tcW w:w="0" w:type="auto"/>
            <w:hideMark/>
          </w:tcPr>
          <w:p w14:paraId="2901C06D" w14:textId="77777777" w:rsidR="00851067" w:rsidRPr="00851067" w:rsidRDefault="00851067" w:rsidP="00851067">
            <w:pPr>
              <w:rPr>
                <w:sz w:val="22"/>
                <w:szCs w:val="22"/>
                <w:lang w:val="en-IN"/>
              </w:rPr>
            </w:pPr>
            <w:r w:rsidRPr="00851067">
              <w:rPr>
                <w:sz w:val="22"/>
                <w:szCs w:val="22"/>
                <w:lang w:val="en-IN"/>
              </w:rPr>
              <w:t>1.0 (0.8-1.3)</w:t>
            </w:r>
          </w:p>
        </w:tc>
        <w:tc>
          <w:tcPr>
            <w:tcW w:w="0" w:type="auto"/>
            <w:hideMark/>
          </w:tcPr>
          <w:p w14:paraId="433FEE17" w14:textId="77777777" w:rsidR="00851067" w:rsidRPr="00851067" w:rsidRDefault="00851067" w:rsidP="00851067">
            <w:pPr>
              <w:rPr>
                <w:sz w:val="22"/>
                <w:szCs w:val="22"/>
                <w:lang w:val="en-IN"/>
              </w:rPr>
            </w:pPr>
            <w:r w:rsidRPr="00851067">
              <w:rPr>
                <w:sz w:val="22"/>
                <w:szCs w:val="22"/>
                <w:lang w:val="en-IN"/>
              </w:rPr>
              <w:t>&lt;0.189</w:t>
            </w:r>
          </w:p>
        </w:tc>
      </w:tr>
      <w:tr w:rsidR="00851067" w:rsidRPr="00851067" w14:paraId="684182BD" w14:textId="77777777" w:rsidTr="00851067">
        <w:trPr>
          <w:jc w:val="center"/>
        </w:trPr>
        <w:tc>
          <w:tcPr>
            <w:tcW w:w="0" w:type="auto"/>
            <w:hideMark/>
          </w:tcPr>
          <w:p w14:paraId="6A69C9C7" w14:textId="77777777" w:rsidR="00851067" w:rsidRPr="00851067" w:rsidRDefault="00851067" w:rsidP="00851067">
            <w:pPr>
              <w:rPr>
                <w:sz w:val="22"/>
                <w:szCs w:val="22"/>
                <w:lang w:val="en-IN"/>
              </w:rPr>
            </w:pPr>
            <w:r w:rsidRPr="00851067">
              <w:rPr>
                <w:sz w:val="22"/>
                <w:szCs w:val="22"/>
                <w:lang w:val="en-IN"/>
              </w:rPr>
              <w:t>Smokeless Tobacco</w:t>
            </w:r>
          </w:p>
        </w:tc>
        <w:tc>
          <w:tcPr>
            <w:tcW w:w="0" w:type="auto"/>
            <w:hideMark/>
          </w:tcPr>
          <w:p w14:paraId="776EC523" w14:textId="77777777" w:rsidR="00851067" w:rsidRPr="00851067" w:rsidRDefault="00851067" w:rsidP="00851067">
            <w:pPr>
              <w:rPr>
                <w:sz w:val="22"/>
                <w:szCs w:val="22"/>
                <w:lang w:val="en-IN"/>
              </w:rPr>
            </w:pPr>
            <w:r w:rsidRPr="00851067">
              <w:rPr>
                <w:sz w:val="22"/>
                <w:szCs w:val="22"/>
                <w:lang w:val="en-IN"/>
              </w:rPr>
              <w:t>1058</w:t>
            </w:r>
          </w:p>
        </w:tc>
        <w:tc>
          <w:tcPr>
            <w:tcW w:w="0" w:type="auto"/>
            <w:hideMark/>
          </w:tcPr>
          <w:p w14:paraId="6F8DB47E" w14:textId="77777777" w:rsidR="00851067" w:rsidRPr="00851067" w:rsidRDefault="00851067" w:rsidP="00851067">
            <w:pPr>
              <w:rPr>
                <w:sz w:val="22"/>
                <w:szCs w:val="22"/>
                <w:lang w:val="en-IN"/>
              </w:rPr>
            </w:pPr>
            <w:r w:rsidRPr="00851067">
              <w:rPr>
                <w:sz w:val="22"/>
                <w:szCs w:val="22"/>
                <w:lang w:val="en-IN"/>
              </w:rPr>
              <w:t>4.8 (3.9-6.0)</w:t>
            </w:r>
          </w:p>
        </w:tc>
        <w:tc>
          <w:tcPr>
            <w:tcW w:w="0" w:type="auto"/>
            <w:hideMark/>
          </w:tcPr>
          <w:p w14:paraId="2A522B74" w14:textId="77777777" w:rsidR="00851067" w:rsidRPr="00851067" w:rsidRDefault="00851067" w:rsidP="00851067">
            <w:pPr>
              <w:rPr>
                <w:sz w:val="22"/>
                <w:szCs w:val="22"/>
                <w:lang w:val="en-IN"/>
              </w:rPr>
            </w:pPr>
            <w:r w:rsidRPr="00851067">
              <w:rPr>
                <w:sz w:val="22"/>
                <w:szCs w:val="22"/>
                <w:lang w:val="en-IN"/>
              </w:rPr>
              <w:t>4.2 (3.3-5.4)</w:t>
            </w:r>
          </w:p>
        </w:tc>
        <w:tc>
          <w:tcPr>
            <w:tcW w:w="0" w:type="auto"/>
            <w:hideMark/>
          </w:tcPr>
          <w:p w14:paraId="2D59C75A" w14:textId="77777777" w:rsidR="00851067" w:rsidRPr="00851067" w:rsidRDefault="00851067" w:rsidP="00851067">
            <w:pPr>
              <w:rPr>
                <w:sz w:val="22"/>
                <w:szCs w:val="22"/>
                <w:lang w:val="en-IN"/>
              </w:rPr>
            </w:pPr>
            <w:r w:rsidRPr="00851067">
              <w:rPr>
                <w:sz w:val="22"/>
                <w:szCs w:val="22"/>
                <w:lang w:val="en-IN"/>
              </w:rPr>
              <w:t>&lt;0.001</w:t>
            </w:r>
          </w:p>
        </w:tc>
      </w:tr>
    </w:tbl>
    <w:p w14:paraId="4CE8934A" w14:textId="77777777" w:rsidR="00851067" w:rsidRDefault="00851067" w:rsidP="00851067">
      <w:pPr>
        <w:rPr>
          <w:b/>
          <w:bCs/>
          <w:lang w:val="en-IN"/>
        </w:rPr>
      </w:pPr>
    </w:p>
    <w:p w14:paraId="34416B98" w14:textId="0A03BFFA" w:rsidR="00851067" w:rsidRPr="00851067" w:rsidRDefault="00851067" w:rsidP="00851067">
      <w:pPr>
        <w:rPr>
          <w:b/>
          <w:bCs/>
          <w:lang w:val="en-IN"/>
        </w:rPr>
      </w:pPr>
      <w:r w:rsidRPr="00851067">
        <w:rPr>
          <w:b/>
          <w:bCs/>
          <w:lang w:val="en-IN"/>
        </w:rPr>
        <w:t>7. Associated Systemic Diseases</w:t>
      </w:r>
    </w:p>
    <w:p w14:paraId="4CC98561" w14:textId="660E8FAF" w:rsidR="00851067" w:rsidRPr="00851067" w:rsidRDefault="00851067" w:rsidP="00851067">
      <w:pPr>
        <w:spacing w:line="480" w:lineRule="auto"/>
        <w:jc w:val="both"/>
        <w:rPr>
          <w:lang w:val="en-IN"/>
        </w:rPr>
      </w:pPr>
      <w:r w:rsidRPr="00851067">
        <w:rPr>
          <w:lang w:val="en-IN"/>
        </w:rPr>
        <w:t>Systemic conditions such as diabetes mellitus (DM) and hypertension (HTN) were found to be significant risk factors. Individuals with diabetes mellitus were 4 times more likely to develop cataracts (OR 4.0, 95% CI: 3.2–5.0, p &lt; 0.001), and those with hypertension had 10.8 times the risk (OR 10.8, 95% CI: 7.6–15.2, p &lt; 0.002). After adjusting for age, gender, and SES, the adjusted OR for diabetes was 3.2 (95% CI: 2.4–4.3), and for hypertension, it was 7.6 (95% CI: 5.5–10.5</w:t>
      </w:r>
      <w:proofErr w:type="gramStart"/>
      <w:r w:rsidRPr="00851067">
        <w:rPr>
          <w:lang w:val="en-IN"/>
        </w:rPr>
        <w:t>)</w:t>
      </w:r>
      <w:r w:rsidR="00174DDF">
        <w:rPr>
          <w:lang w:val="en-IN"/>
        </w:rPr>
        <w:t xml:space="preserve"> </w:t>
      </w:r>
      <w:r w:rsidR="00174DDF" w:rsidRPr="00851067">
        <w:rPr>
          <w:lang w:val="en-IN"/>
        </w:rPr>
        <w:t>)</w:t>
      </w:r>
      <w:proofErr w:type="gramEnd"/>
      <w:r w:rsidR="00174DDF">
        <w:rPr>
          <w:lang w:val="en-IN"/>
        </w:rPr>
        <w:t xml:space="preserve"> (Table 7)</w:t>
      </w:r>
      <w:r w:rsidRPr="00851067">
        <w:rPr>
          <w:lang w:val="en-IN"/>
        </w:rPr>
        <w:t>.</w:t>
      </w:r>
    </w:p>
    <w:p w14:paraId="6A0EA7F0" w14:textId="77777777" w:rsidR="00851067" w:rsidRPr="00851067" w:rsidRDefault="00851067" w:rsidP="00851067">
      <w:pPr>
        <w:jc w:val="center"/>
        <w:rPr>
          <w:b/>
          <w:bCs/>
          <w:lang w:val="en-IN"/>
        </w:rPr>
      </w:pPr>
      <w:r w:rsidRPr="00851067">
        <w:rPr>
          <w:b/>
          <w:bCs/>
          <w:lang w:val="en-IN"/>
        </w:rPr>
        <w:t>Table 7: Systemic Diseases – Risk Factor for Cataract Development</w:t>
      </w:r>
    </w:p>
    <w:tbl>
      <w:tblPr>
        <w:tblStyle w:val="TableGrid"/>
        <w:tblW w:w="0" w:type="auto"/>
        <w:jc w:val="center"/>
        <w:tblLook w:val="04A0" w:firstRow="1" w:lastRow="0" w:firstColumn="1" w:lastColumn="0" w:noHBand="0" w:noVBand="1"/>
      </w:tblPr>
      <w:tblGrid>
        <w:gridCol w:w="1762"/>
        <w:gridCol w:w="1322"/>
        <w:gridCol w:w="1995"/>
        <w:gridCol w:w="2251"/>
        <w:gridCol w:w="876"/>
      </w:tblGrid>
      <w:tr w:rsidR="00851067" w:rsidRPr="00851067" w14:paraId="716218F5" w14:textId="77777777" w:rsidTr="00851067">
        <w:trPr>
          <w:jc w:val="center"/>
        </w:trPr>
        <w:tc>
          <w:tcPr>
            <w:tcW w:w="0" w:type="auto"/>
            <w:hideMark/>
          </w:tcPr>
          <w:p w14:paraId="4F4D89E3" w14:textId="77777777" w:rsidR="00851067" w:rsidRPr="00851067" w:rsidRDefault="00851067" w:rsidP="00851067">
            <w:pPr>
              <w:rPr>
                <w:sz w:val="22"/>
                <w:szCs w:val="22"/>
                <w:lang w:val="en-IN"/>
              </w:rPr>
            </w:pPr>
            <w:r w:rsidRPr="00851067">
              <w:rPr>
                <w:sz w:val="22"/>
                <w:szCs w:val="22"/>
                <w:lang w:val="en-IN"/>
              </w:rPr>
              <w:t>Systemic Disease</w:t>
            </w:r>
          </w:p>
        </w:tc>
        <w:tc>
          <w:tcPr>
            <w:tcW w:w="0" w:type="auto"/>
            <w:hideMark/>
          </w:tcPr>
          <w:p w14:paraId="6CAFB24A" w14:textId="77777777" w:rsidR="00851067" w:rsidRPr="00851067" w:rsidRDefault="00851067" w:rsidP="00851067">
            <w:pPr>
              <w:rPr>
                <w:sz w:val="22"/>
                <w:szCs w:val="22"/>
                <w:lang w:val="en-IN"/>
              </w:rPr>
            </w:pPr>
            <w:r w:rsidRPr="00851067">
              <w:rPr>
                <w:sz w:val="22"/>
                <w:szCs w:val="22"/>
                <w:lang w:val="en-IN"/>
              </w:rPr>
              <w:t>Number (%)</w:t>
            </w:r>
          </w:p>
        </w:tc>
        <w:tc>
          <w:tcPr>
            <w:tcW w:w="0" w:type="auto"/>
            <w:hideMark/>
          </w:tcPr>
          <w:p w14:paraId="2B579F25" w14:textId="77777777" w:rsidR="00851067" w:rsidRPr="00851067" w:rsidRDefault="00851067" w:rsidP="00851067">
            <w:pPr>
              <w:rPr>
                <w:sz w:val="22"/>
                <w:szCs w:val="22"/>
                <w:lang w:val="en-IN"/>
              </w:rPr>
            </w:pPr>
            <w:r w:rsidRPr="00851067">
              <w:rPr>
                <w:sz w:val="22"/>
                <w:szCs w:val="22"/>
                <w:lang w:val="en-IN"/>
              </w:rPr>
              <w:t>Crude OR (95% CI)</w:t>
            </w:r>
          </w:p>
        </w:tc>
        <w:tc>
          <w:tcPr>
            <w:tcW w:w="0" w:type="auto"/>
            <w:hideMark/>
          </w:tcPr>
          <w:p w14:paraId="5B811566" w14:textId="77777777" w:rsidR="00851067" w:rsidRPr="00851067" w:rsidRDefault="00851067" w:rsidP="00851067">
            <w:pPr>
              <w:rPr>
                <w:sz w:val="22"/>
                <w:szCs w:val="22"/>
                <w:lang w:val="en-IN"/>
              </w:rPr>
            </w:pPr>
            <w:r w:rsidRPr="00851067">
              <w:rPr>
                <w:sz w:val="22"/>
                <w:szCs w:val="22"/>
                <w:lang w:val="en-IN"/>
              </w:rPr>
              <w:t>Adjusted OR (95% CI)</w:t>
            </w:r>
          </w:p>
        </w:tc>
        <w:tc>
          <w:tcPr>
            <w:tcW w:w="0" w:type="auto"/>
            <w:hideMark/>
          </w:tcPr>
          <w:p w14:paraId="021EC46C" w14:textId="77777777" w:rsidR="00851067" w:rsidRPr="00851067" w:rsidRDefault="00851067" w:rsidP="00851067">
            <w:pPr>
              <w:rPr>
                <w:sz w:val="22"/>
                <w:szCs w:val="22"/>
                <w:lang w:val="en-IN"/>
              </w:rPr>
            </w:pPr>
            <w:r w:rsidRPr="00851067">
              <w:rPr>
                <w:sz w:val="22"/>
                <w:szCs w:val="22"/>
                <w:lang w:val="en-IN"/>
              </w:rPr>
              <w:t>p-value</w:t>
            </w:r>
          </w:p>
        </w:tc>
      </w:tr>
      <w:tr w:rsidR="00851067" w:rsidRPr="00851067" w14:paraId="2B5AC24E" w14:textId="77777777" w:rsidTr="00851067">
        <w:trPr>
          <w:jc w:val="center"/>
        </w:trPr>
        <w:tc>
          <w:tcPr>
            <w:tcW w:w="0" w:type="auto"/>
            <w:hideMark/>
          </w:tcPr>
          <w:p w14:paraId="5B6451E9" w14:textId="77777777" w:rsidR="00851067" w:rsidRPr="00851067" w:rsidRDefault="00851067" w:rsidP="00851067">
            <w:pPr>
              <w:rPr>
                <w:sz w:val="22"/>
                <w:szCs w:val="22"/>
                <w:lang w:val="en-IN"/>
              </w:rPr>
            </w:pPr>
            <w:r w:rsidRPr="00851067">
              <w:rPr>
                <w:sz w:val="22"/>
                <w:szCs w:val="22"/>
                <w:lang w:val="en-IN"/>
              </w:rPr>
              <w:t>Nil</w:t>
            </w:r>
          </w:p>
        </w:tc>
        <w:tc>
          <w:tcPr>
            <w:tcW w:w="0" w:type="auto"/>
            <w:hideMark/>
          </w:tcPr>
          <w:p w14:paraId="32A73F92" w14:textId="77777777" w:rsidR="00851067" w:rsidRPr="00851067" w:rsidRDefault="00851067" w:rsidP="00851067">
            <w:pPr>
              <w:rPr>
                <w:sz w:val="22"/>
                <w:szCs w:val="22"/>
                <w:lang w:val="en-IN"/>
              </w:rPr>
            </w:pPr>
            <w:r w:rsidRPr="00851067">
              <w:rPr>
                <w:sz w:val="22"/>
                <w:szCs w:val="22"/>
                <w:lang w:val="en-IN"/>
              </w:rPr>
              <w:t>7279</w:t>
            </w:r>
          </w:p>
        </w:tc>
        <w:tc>
          <w:tcPr>
            <w:tcW w:w="0" w:type="auto"/>
            <w:hideMark/>
          </w:tcPr>
          <w:p w14:paraId="553E9B68" w14:textId="77777777" w:rsidR="00851067" w:rsidRPr="00851067" w:rsidRDefault="00851067" w:rsidP="00851067">
            <w:pPr>
              <w:rPr>
                <w:sz w:val="22"/>
                <w:szCs w:val="22"/>
                <w:lang w:val="en-IN"/>
              </w:rPr>
            </w:pPr>
            <w:r w:rsidRPr="00851067">
              <w:rPr>
                <w:sz w:val="22"/>
                <w:szCs w:val="22"/>
                <w:lang w:val="en-IN"/>
              </w:rPr>
              <w:t>1</w:t>
            </w:r>
          </w:p>
        </w:tc>
        <w:tc>
          <w:tcPr>
            <w:tcW w:w="0" w:type="auto"/>
            <w:hideMark/>
          </w:tcPr>
          <w:p w14:paraId="5DDCB6AD" w14:textId="77777777" w:rsidR="00851067" w:rsidRPr="00851067" w:rsidRDefault="00851067" w:rsidP="00851067">
            <w:pPr>
              <w:rPr>
                <w:sz w:val="22"/>
                <w:szCs w:val="22"/>
                <w:lang w:val="en-IN"/>
              </w:rPr>
            </w:pPr>
            <w:r w:rsidRPr="00851067">
              <w:rPr>
                <w:sz w:val="22"/>
                <w:szCs w:val="22"/>
                <w:lang w:val="en-IN"/>
              </w:rPr>
              <w:t>1</w:t>
            </w:r>
          </w:p>
        </w:tc>
        <w:tc>
          <w:tcPr>
            <w:tcW w:w="0" w:type="auto"/>
            <w:hideMark/>
          </w:tcPr>
          <w:p w14:paraId="7758F924" w14:textId="77777777" w:rsidR="00851067" w:rsidRPr="00851067" w:rsidRDefault="00851067" w:rsidP="00851067">
            <w:pPr>
              <w:rPr>
                <w:sz w:val="22"/>
                <w:szCs w:val="22"/>
                <w:lang w:val="en-IN"/>
              </w:rPr>
            </w:pPr>
            <w:r w:rsidRPr="00851067">
              <w:rPr>
                <w:sz w:val="22"/>
                <w:szCs w:val="22"/>
                <w:lang w:val="en-IN"/>
              </w:rPr>
              <w:t>&lt;0.001</w:t>
            </w:r>
          </w:p>
        </w:tc>
      </w:tr>
      <w:tr w:rsidR="00851067" w:rsidRPr="00851067" w14:paraId="6EEAEAD4" w14:textId="77777777" w:rsidTr="00851067">
        <w:trPr>
          <w:jc w:val="center"/>
        </w:trPr>
        <w:tc>
          <w:tcPr>
            <w:tcW w:w="0" w:type="auto"/>
            <w:hideMark/>
          </w:tcPr>
          <w:p w14:paraId="53DCF749" w14:textId="77777777" w:rsidR="00851067" w:rsidRPr="00851067" w:rsidRDefault="00851067" w:rsidP="00851067">
            <w:pPr>
              <w:rPr>
                <w:sz w:val="22"/>
                <w:szCs w:val="22"/>
                <w:lang w:val="en-IN"/>
              </w:rPr>
            </w:pPr>
            <w:r w:rsidRPr="00851067">
              <w:rPr>
                <w:sz w:val="22"/>
                <w:szCs w:val="22"/>
                <w:lang w:val="en-IN"/>
              </w:rPr>
              <w:t>DM</w:t>
            </w:r>
          </w:p>
        </w:tc>
        <w:tc>
          <w:tcPr>
            <w:tcW w:w="0" w:type="auto"/>
            <w:hideMark/>
          </w:tcPr>
          <w:p w14:paraId="5F079A43" w14:textId="77777777" w:rsidR="00851067" w:rsidRPr="00851067" w:rsidRDefault="00851067" w:rsidP="00851067">
            <w:pPr>
              <w:rPr>
                <w:sz w:val="22"/>
                <w:szCs w:val="22"/>
                <w:lang w:val="en-IN"/>
              </w:rPr>
            </w:pPr>
            <w:r w:rsidRPr="00851067">
              <w:rPr>
                <w:sz w:val="22"/>
                <w:szCs w:val="22"/>
                <w:lang w:val="en-IN"/>
              </w:rPr>
              <w:t>796</w:t>
            </w:r>
          </w:p>
        </w:tc>
        <w:tc>
          <w:tcPr>
            <w:tcW w:w="0" w:type="auto"/>
            <w:hideMark/>
          </w:tcPr>
          <w:p w14:paraId="41B5E803" w14:textId="77777777" w:rsidR="00851067" w:rsidRPr="00851067" w:rsidRDefault="00851067" w:rsidP="00851067">
            <w:pPr>
              <w:rPr>
                <w:sz w:val="22"/>
                <w:szCs w:val="22"/>
                <w:lang w:val="en-IN"/>
              </w:rPr>
            </w:pPr>
            <w:r w:rsidRPr="00851067">
              <w:rPr>
                <w:sz w:val="22"/>
                <w:szCs w:val="22"/>
                <w:lang w:val="en-IN"/>
              </w:rPr>
              <w:t>4 (3.2-5.0)</w:t>
            </w:r>
          </w:p>
        </w:tc>
        <w:tc>
          <w:tcPr>
            <w:tcW w:w="0" w:type="auto"/>
            <w:hideMark/>
          </w:tcPr>
          <w:p w14:paraId="7A92959A" w14:textId="77777777" w:rsidR="00851067" w:rsidRPr="00851067" w:rsidRDefault="00851067" w:rsidP="00851067">
            <w:pPr>
              <w:rPr>
                <w:sz w:val="22"/>
                <w:szCs w:val="22"/>
                <w:lang w:val="en-IN"/>
              </w:rPr>
            </w:pPr>
            <w:r w:rsidRPr="00851067">
              <w:rPr>
                <w:sz w:val="22"/>
                <w:szCs w:val="22"/>
                <w:lang w:val="en-IN"/>
              </w:rPr>
              <w:t>3.2 (2.4-4.3)</w:t>
            </w:r>
          </w:p>
        </w:tc>
        <w:tc>
          <w:tcPr>
            <w:tcW w:w="0" w:type="auto"/>
            <w:hideMark/>
          </w:tcPr>
          <w:p w14:paraId="64821EF8" w14:textId="77777777" w:rsidR="00851067" w:rsidRPr="00851067" w:rsidRDefault="00851067" w:rsidP="00851067">
            <w:pPr>
              <w:rPr>
                <w:sz w:val="22"/>
                <w:szCs w:val="22"/>
                <w:lang w:val="en-IN"/>
              </w:rPr>
            </w:pPr>
            <w:r w:rsidRPr="00851067">
              <w:rPr>
                <w:sz w:val="22"/>
                <w:szCs w:val="22"/>
                <w:lang w:val="en-IN"/>
              </w:rPr>
              <w:t>&lt;0.001</w:t>
            </w:r>
          </w:p>
        </w:tc>
      </w:tr>
      <w:tr w:rsidR="00851067" w:rsidRPr="00851067" w14:paraId="2E3BC12E" w14:textId="77777777" w:rsidTr="00851067">
        <w:trPr>
          <w:jc w:val="center"/>
        </w:trPr>
        <w:tc>
          <w:tcPr>
            <w:tcW w:w="0" w:type="auto"/>
            <w:hideMark/>
          </w:tcPr>
          <w:p w14:paraId="453FC5F2" w14:textId="77777777" w:rsidR="00851067" w:rsidRPr="00851067" w:rsidRDefault="00851067" w:rsidP="00851067">
            <w:pPr>
              <w:rPr>
                <w:sz w:val="22"/>
                <w:szCs w:val="22"/>
                <w:lang w:val="en-IN"/>
              </w:rPr>
            </w:pPr>
            <w:r w:rsidRPr="00851067">
              <w:rPr>
                <w:sz w:val="22"/>
                <w:szCs w:val="22"/>
                <w:lang w:val="en-IN"/>
              </w:rPr>
              <w:t>HTN</w:t>
            </w:r>
          </w:p>
        </w:tc>
        <w:tc>
          <w:tcPr>
            <w:tcW w:w="0" w:type="auto"/>
            <w:hideMark/>
          </w:tcPr>
          <w:p w14:paraId="3A99A35D" w14:textId="77777777" w:rsidR="00851067" w:rsidRPr="00851067" w:rsidRDefault="00851067" w:rsidP="00851067">
            <w:pPr>
              <w:rPr>
                <w:sz w:val="22"/>
                <w:szCs w:val="22"/>
                <w:lang w:val="en-IN"/>
              </w:rPr>
            </w:pPr>
            <w:r w:rsidRPr="00851067">
              <w:rPr>
                <w:sz w:val="22"/>
                <w:szCs w:val="22"/>
                <w:lang w:val="en-IN"/>
              </w:rPr>
              <w:t>754</w:t>
            </w:r>
          </w:p>
        </w:tc>
        <w:tc>
          <w:tcPr>
            <w:tcW w:w="0" w:type="auto"/>
            <w:hideMark/>
          </w:tcPr>
          <w:p w14:paraId="331D0772" w14:textId="77777777" w:rsidR="00851067" w:rsidRPr="00851067" w:rsidRDefault="00851067" w:rsidP="00851067">
            <w:pPr>
              <w:rPr>
                <w:sz w:val="22"/>
                <w:szCs w:val="22"/>
                <w:lang w:val="en-IN"/>
              </w:rPr>
            </w:pPr>
            <w:r w:rsidRPr="00851067">
              <w:rPr>
                <w:sz w:val="22"/>
                <w:szCs w:val="22"/>
                <w:lang w:val="en-IN"/>
              </w:rPr>
              <w:t>10.8 (7.6-15.2)</w:t>
            </w:r>
          </w:p>
        </w:tc>
        <w:tc>
          <w:tcPr>
            <w:tcW w:w="0" w:type="auto"/>
            <w:hideMark/>
          </w:tcPr>
          <w:p w14:paraId="7BB36006" w14:textId="77777777" w:rsidR="00851067" w:rsidRPr="00851067" w:rsidRDefault="00851067" w:rsidP="00851067">
            <w:pPr>
              <w:rPr>
                <w:sz w:val="22"/>
                <w:szCs w:val="22"/>
                <w:lang w:val="en-IN"/>
              </w:rPr>
            </w:pPr>
            <w:r w:rsidRPr="00851067">
              <w:rPr>
                <w:sz w:val="22"/>
                <w:szCs w:val="22"/>
                <w:lang w:val="en-IN"/>
              </w:rPr>
              <w:t>7.6 (5.5-10.5)</w:t>
            </w:r>
          </w:p>
        </w:tc>
        <w:tc>
          <w:tcPr>
            <w:tcW w:w="0" w:type="auto"/>
            <w:hideMark/>
          </w:tcPr>
          <w:p w14:paraId="2B77CE8D" w14:textId="77777777" w:rsidR="00851067" w:rsidRPr="00851067" w:rsidRDefault="00851067" w:rsidP="00851067">
            <w:pPr>
              <w:rPr>
                <w:sz w:val="22"/>
                <w:szCs w:val="22"/>
                <w:lang w:val="en-IN"/>
              </w:rPr>
            </w:pPr>
            <w:r w:rsidRPr="00851067">
              <w:rPr>
                <w:sz w:val="22"/>
                <w:szCs w:val="22"/>
                <w:lang w:val="en-IN"/>
              </w:rPr>
              <w:t>&lt;0.002</w:t>
            </w:r>
          </w:p>
        </w:tc>
      </w:tr>
      <w:tr w:rsidR="00851067" w:rsidRPr="00851067" w14:paraId="39A85210" w14:textId="77777777" w:rsidTr="00851067">
        <w:trPr>
          <w:jc w:val="center"/>
        </w:trPr>
        <w:tc>
          <w:tcPr>
            <w:tcW w:w="0" w:type="auto"/>
            <w:hideMark/>
          </w:tcPr>
          <w:p w14:paraId="456EBFE7" w14:textId="77777777" w:rsidR="00851067" w:rsidRPr="00851067" w:rsidRDefault="00851067" w:rsidP="00851067">
            <w:pPr>
              <w:rPr>
                <w:sz w:val="22"/>
                <w:szCs w:val="22"/>
                <w:lang w:val="en-IN"/>
              </w:rPr>
            </w:pPr>
            <w:r w:rsidRPr="00851067">
              <w:rPr>
                <w:sz w:val="22"/>
                <w:szCs w:val="22"/>
                <w:lang w:val="en-IN"/>
              </w:rPr>
              <w:lastRenderedPageBreak/>
              <w:t>DM+HTN</w:t>
            </w:r>
          </w:p>
        </w:tc>
        <w:tc>
          <w:tcPr>
            <w:tcW w:w="0" w:type="auto"/>
            <w:hideMark/>
          </w:tcPr>
          <w:p w14:paraId="44C4D19E" w14:textId="77777777" w:rsidR="00851067" w:rsidRPr="00851067" w:rsidRDefault="00851067" w:rsidP="00851067">
            <w:pPr>
              <w:rPr>
                <w:sz w:val="22"/>
                <w:szCs w:val="22"/>
                <w:lang w:val="en-IN"/>
              </w:rPr>
            </w:pPr>
            <w:r w:rsidRPr="00851067">
              <w:rPr>
                <w:sz w:val="22"/>
                <w:szCs w:val="22"/>
                <w:lang w:val="en-IN"/>
              </w:rPr>
              <w:t>50</w:t>
            </w:r>
          </w:p>
        </w:tc>
        <w:tc>
          <w:tcPr>
            <w:tcW w:w="0" w:type="auto"/>
            <w:hideMark/>
          </w:tcPr>
          <w:p w14:paraId="4DAA65ED" w14:textId="77777777" w:rsidR="00851067" w:rsidRPr="00851067" w:rsidRDefault="00851067" w:rsidP="00851067">
            <w:pPr>
              <w:rPr>
                <w:sz w:val="22"/>
                <w:szCs w:val="22"/>
                <w:lang w:val="en-IN"/>
              </w:rPr>
            </w:pPr>
            <w:r w:rsidRPr="00851067">
              <w:rPr>
                <w:sz w:val="22"/>
                <w:szCs w:val="22"/>
                <w:lang w:val="en-IN"/>
              </w:rPr>
              <w:t>2.7 (1.2-5.8)</w:t>
            </w:r>
          </w:p>
        </w:tc>
        <w:tc>
          <w:tcPr>
            <w:tcW w:w="0" w:type="auto"/>
            <w:hideMark/>
          </w:tcPr>
          <w:p w14:paraId="1D151289" w14:textId="77777777" w:rsidR="00851067" w:rsidRPr="00851067" w:rsidRDefault="00851067" w:rsidP="00851067">
            <w:pPr>
              <w:rPr>
                <w:sz w:val="22"/>
                <w:szCs w:val="22"/>
                <w:lang w:val="en-IN"/>
              </w:rPr>
            </w:pPr>
            <w:r w:rsidRPr="00851067">
              <w:rPr>
                <w:sz w:val="22"/>
                <w:szCs w:val="22"/>
                <w:lang w:val="en-IN"/>
              </w:rPr>
              <w:t>2.3 (1.0-4.9)</w:t>
            </w:r>
          </w:p>
        </w:tc>
        <w:tc>
          <w:tcPr>
            <w:tcW w:w="0" w:type="auto"/>
            <w:hideMark/>
          </w:tcPr>
          <w:p w14:paraId="4C74D8A7" w14:textId="77777777" w:rsidR="00851067" w:rsidRPr="00851067" w:rsidRDefault="00851067" w:rsidP="00851067">
            <w:pPr>
              <w:rPr>
                <w:sz w:val="22"/>
                <w:szCs w:val="22"/>
                <w:lang w:val="en-IN"/>
              </w:rPr>
            </w:pPr>
            <w:r w:rsidRPr="00851067">
              <w:rPr>
                <w:sz w:val="22"/>
                <w:szCs w:val="22"/>
                <w:lang w:val="en-IN"/>
              </w:rPr>
              <w:t>&lt;0.001</w:t>
            </w:r>
          </w:p>
        </w:tc>
      </w:tr>
      <w:tr w:rsidR="00851067" w:rsidRPr="00851067" w14:paraId="2C4E7350" w14:textId="77777777" w:rsidTr="00851067">
        <w:trPr>
          <w:jc w:val="center"/>
        </w:trPr>
        <w:tc>
          <w:tcPr>
            <w:tcW w:w="0" w:type="auto"/>
            <w:hideMark/>
          </w:tcPr>
          <w:p w14:paraId="09611006" w14:textId="77777777" w:rsidR="00851067" w:rsidRPr="00851067" w:rsidRDefault="00851067" w:rsidP="00851067">
            <w:pPr>
              <w:rPr>
                <w:sz w:val="22"/>
                <w:szCs w:val="22"/>
                <w:lang w:val="en-IN"/>
              </w:rPr>
            </w:pPr>
            <w:r w:rsidRPr="00851067">
              <w:rPr>
                <w:sz w:val="22"/>
                <w:szCs w:val="22"/>
                <w:lang w:val="en-IN"/>
              </w:rPr>
              <w:t>Others</w:t>
            </w:r>
          </w:p>
        </w:tc>
        <w:tc>
          <w:tcPr>
            <w:tcW w:w="0" w:type="auto"/>
            <w:hideMark/>
          </w:tcPr>
          <w:p w14:paraId="6BB07258" w14:textId="77777777" w:rsidR="00851067" w:rsidRPr="00851067" w:rsidRDefault="00851067" w:rsidP="00851067">
            <w:pPr>
              <w:rPr>
                <w:sz w:val="22"/>
                <w:szCs w:val="22"/>
                <w:lang w:val="en-IN"/>
              </w:rPr>
            </w:pPr>
            <w:r w:rsidRPr="00851067">
              <w:rPr>
                <w:sz w:val="22"/>
                <w:szCs w:val="22"/>
                <w:lang w:val="en-IN"/>
              </w:rPr>
              <w:t>144</w:t>
            </w:r>
          </w:p>
        </w:tc>
        <w:tc>
          <w:tcPr>
            <w:tcW w:w="0" w:type="auto"/>
            <w:hideMark/>
          </w:tcPr>
          <w:p w14:paraId="6B1F94B3" w14:textId="77777777" w:rsidR="00851067" w:rsidRPr="00851067" w:rsidRDefault="00851067" w:rsidP="00851067">
            <w:pPr>
              <w:rPr>
                <w:sz w:val="22"/>
                <w:szCs w:val="22"/>
                <w:lang w:val="en-IN"/>
              </w:rPr>
            </w:pPr>
            <w:r w:rsidRPr="00851067">
              <w:rPr>
                <w:sz w:val="22"/>
                <w:szCs w:val="22"/>
                <w:lang w:val="en-IN"/>
              </w:rPr>
              <w:t>10.3 (4.8-22.0)</w:t>
            </w:r>
          </w:p>
        </w:tc>
        <w:tc>
          <w:tcPr>
            <w:tcW w:w="0" w:type="auto"/>
            <w:hideMark/>
          </w:tcPr>
          <w:p w14:paraId="3598853F" w14:textId="77777777" w:rsidR="00851067" w:rsidRPr="00851067" w:rsidRDefault="00851067" w:rsidP="00851067">
            <w:pPr>
              <w:rPr>
                <w:sz w:val="22"/>
                <w:szCs w:val="22"/>
                <w:lang w:val="en-IN"/>
              </w:rPr>
            </w:pPr>
            <w:r w:rsidRPr="00851067">
              <w:rPr>
                <w:sz w:val="22"/>
                <w:szCs w:val="22"/>
                <w:lang w:val="en-IN"/>
              </w:rPr>
              <w:t>8.2 (3.8-18.3)</w:t>
            </w:r>
          </w:p>
        </w:tc>
        <w:tc>
          <w:tcPr>
            <w:tcW w:w="0" w:type="auto"/>
            <w:hideMark/>
          </w:tcPr>
          <w:p w14:paraId="373CA338" w14:textId="77777777" w:rsidR="00851067" w:rsidRPr="00851067" w:rsidRDefault="00851067" w:rsidP="00851067">
            <w:pPr>
              <w:rPr>
                <w:sz w:val="22"/>
                <w:szCs w:val="22"/>
                <w:lang w:val="en-IN"/>
              </w:rPr>
            </w:pPr>
            <w:r w:rsidRPr="00851067">
              <w:rPr>
                <w:sz w:val="22"/>
                <w:szCs w:val="22"/>
                <w:lang w:val="en-IN"/>
              </w:rPr>
              <w:t>&lt;0.001</w:t>
            </w:r>
          </w:p>
        </w:tc>
      </w:tr>
    </w:tbl>
    <w:p w14:paraId="79BADCF2" w14:textId="77777777" w:rsidR="00851067" w:rsidRDefault="00851067" w:rsidP="00851067">
      <w:pPr>
        <w:rPr>
          <w:b/>
          <w:bCs/>
          <w:lang w:val="en-IN"/>
        </w:rPr>
      </w:pPr>
    </w:p>
    <w:p w14:paraId="46614A91" w14:textId="77777777" w:rsidR="008A2997" w:rsidRDefault="008A2997" w:rsidP="00851067">
      <w:pPr>
        <w:rPr>
          <w:b/>
          <w:bCs/>
          <w:lang w:val="en-IN"/>
        </w:rPr>
      </w:pPr>
    </w:p>
    <w:p w14:paraId="66AD209A" w14:textId="77777777" w:rsidR="008A2997" w:rsidRDefault="008A2997" w:rsidP="00851067">
      <w:pPr>
        <w:rPr>
          <w:b/>
          <w:bCs/>
          <w:lang w:val="en-IN"/>
        </w:rPr>
      </w:pPr>
    </w:p>
    <w:p w14:paraId="58AA80FA" w14:textId="1D7683DB" w:rsidR="00851067" w:rsidRPr="00851067" w:rsidRDefault="00851067" w:rsidP="00851067">
      <w:pPr>
        <w:rPr>
          <w:b/>
          <w:bCs/>
          <w:lang w:val="en-IN"/>
        </w:rPr>
      </w:pPr>
      <w:r w:rsidRPr="00851067">
        <w:rPr>
          <w:b/>
          <w:bCs/>
          <w:lang w:val="en-IN"/>
        </w:rPr>
        <w:t>Independent Risk Factors for Cataract Development</w:t>
      </w:r>
    </w:p>
    <w:p w14:paraId="71D130D0" w14:textId="77777777" w:rsidR="00527DB2" w:rsidRPr="00527DB2" w:rsidRDefault="00527DB2" w:rsidP="00527DB2">
      <w:pPr>
        <w:spacing w:line="480" w:lineRule="auto"/>
        <w:jc w:val="both"/>
        <w:rPr>
          <w:lang w:val="en-IN"/>
        </w:rPr>
      </w:pPr>
      <w:r w:rsidRPr="00527DB2">
        <w:rPr>
          <w:lang w:val="en-IN"/>
        </w:rPr>
        <w:t>Table 8 presents the results of a multivariate logistic regression analysis conducted to identify independent risk factors associated with senile cataract after adjusting for potential confounding variables. The variables included in the model were selected based on their significance in univariate analysis and clinical relevance.</w:t>
      </w:r>
    </w:p>
    <w:p w14:paraId="014A98EC" w14:textId="77777777" w:rsidR="00527DB2" w:rsidRPr="00527DB2" w:rsidRDefault="00527DB2" w:rsidP="00527DB2">
      <w:pPr>
        <w:spacing w:line="480" w:lineRule="auto"/>
        <w:jc w:val="both"/>
        <w:rPr>
          <w:lang w:val="en-IN"/>
        </w:rPr>
      </w:pPr>
      <w:r w:rsidRPr="00527DB2">
        <w:rPr>
          <w:lang w:val="en-IN"/>
        </w:rPr>
        <w:t>The analysis showed that age 60 years and above was a strong independent predictor, with an adjusted odds ratio (AOR) of 8.614 (95% CI: 7.495–9.899), confirming the age-related nature of senile cataracts. Male sex was significantly associated with a higher risk of cataract compared to females (AOR = 10.557, 95% CI: 6.371–17.494). Individuals from a lower socioeconomic status had an increased risk, with an AOR of 2.773 (95% CI: 2.294–3.353).</w:t>
      </w:r>
    </w:p>
    <w:p w14:paraId="25D944DE" w14:textId="77777777" w:rsidR="00527DB2" w:rsidRPr="00527DB2" w:rsidRDefault="00527DB2" w:rsidP="00527DB2">
      <w:pPr>
        <w:spacing w:line="480" w:lineRule="auto"/>
        <w:jc w:val="both"/>
        <w:rPr>
          <w:lang w:val="en-IN"/>
        </w:rPr>
      </w:pPr>
      <w:r w:rsidRPr="00527DB2">
        <w:rPr>
          <w:lang w:val="en-IN"/>
        </w:rPr>
        <w:t>Occupational exposure also played a role; outdoor workers had twice the risk of cataract development compared to indoor workers (AOR = 2.003, 95% CI: 1.601–2.504). Hypertension showed a strong association with cataract development (AOR = 10.817, 95% CI: 7.643–15.308), while diabetes mellitus was also a significant risk factor (AOR = 3.645, 95% CI: 2.588–5.134).</w:t>
      </w:r>
    </w:p>
    <w:p w14:paraId="228F8156" w14:textId="0B8C6D9C" w:rsidR="00527DB2" w:rsidRPr="00527DB2" w:rsidRDefault="00527DB2" w:rsidP="00527DB2">
      <w:pPr>
        <w:spacing w:line="480" w:lineRule="auto"/>
        <w:jc w:val="both"/>
        <w:rPr>
          <w:lang w:val="en-IN"/>
        </w:rPr>
      </w:pPr>
      <w:r w:rsidRPr="00527DB2">
        <w:rPr>
          <w:lang w:val="en-IN"/>
        </w:rPr>
        <w:t xml:space="preserve">Although tobacco use was independently associated with cataract development (AOR = 1.415, 95% CI: 1.192–1.679), addiction alone (without accounting for SES or work environment) was not found to be an independent risk factor (AOR = 0.901, 95% CI: 0.721–1.124). the results indicate that </w:t>
      </w:r>
      <w:r w:rsidRPr="00527DB2">
        <w:rPr>
          <w:b/>
          <w:bCs/>
          <w:lang w:val="en-IN"/>
        </w:rPr>
        <w:t>addiction</w:t>
      </w:r>
      <w:r w:rsidRPr="00527DB2">
        <w:rPr>
          <w:lang w:val="en-IN"/>
        </w:rPr>
        <w:t xml:space="preserve"> alone does not significantly contribute to the risk of developing senile cataracts, as reflected by an </w:t>
      </w:r>
      <w:r w:rsidRPr="00527DB2">
        <w:rPr>
          <w:b/>
          <w:bCs/>
          <w:lang w:val="en-IN"/>
        </w:rPr>
        <w:t>adjusted OR of 0</w:t>
      </w:r>
      <w:r w:rsidRPr="00527DB2">
        <w:rPr>
          <w:lang w:val="en-IN"/>
        </w:rPr>
        <w:t xml:space="preserve">. This result suggests that addiction, in isolation, </w:t>
      </w:r>
      <w:r w:rsidRPr="00527DB2">
        <w:rPr>
          <w:lang w:val="en-IN"/>
        </w:rPr>
        <w:lastRenderedPageBreak/>
        <w:t>is not a direct risk factor for cataract formation in this cohort.</w:t>
      </w:r>
      <w:r>
        <w:rPr>
          <w:lang w:val="en-IN"/>
        </w:rPr>
        <w:t xml:space="preserve"> </w:t>
      </w:r>
      <w:r w:rsidRPr="00527DB2">
        <w:rPr>
          <w:lang w:val="en-IN"/>
        </w:rPr>
        <w:t xml:space="preserve">It is important to note that while addiction can contribute to a range of health conditions, its specific role in cataract development is complex and may involve other factors such as nutritional deficiencies, the use of specific substances (e.g., alcohol, drugs), or lifestyle </w:t>
      </w:r>
      <w:proofErr w:type="spellStart"/>
      <w:r w:rsidRPr="00527DB2">
        <w:rPr>
          <w:lang w:val="en-IN"/>
        </w:rPr>
        <w:t>behaviors</w:t>
      </w:r>
      <w:proofErr w:type="spellEnd"/>
      <w:r w:rsidRPr="00527DB2">
        <w:rPr>
          <w:lang w:val="en-IN"/>
        </w:rPr>
        <w:t>. In this study, addiction alone, without considering these additional factors, did not show a significant association with senile cataracts.</w:t>
      </w:r>
    </w:p>
    <w:p w14:paraId="38D163BF" w14:textId="1A859E5F" w:rsidR="001B3027" w:rsidRPr="00F91EBE" w:rsidRDefault="00527DB2" w:rsidP="00174DDF">
      <w:pPr>
        <w:spacing w:line="480" w:lineRule="auto"/>
        <w:jc w:val="both"/>
        <w:rPr>
          <w:lang w:val="en-IN"/>
        </w:rPr>
      </w:pPr>
      <w:r w:rsidRPr="00527DB2">
        <w:rPr>
          <w:lang w:val="en-IN"/>
        </w:rPr>
        <w:t xml:space="preserve">These findings highlight the multifactorial </w:t>
      </w:r>
      <w:proofErr w:type="spellStart"/>
      <w:r w:rsidRPr="00527DB2">
        <w:rPr>
          <w:lang w:val="en-IN"/>
        </w:rPr>
        <w:t>etiology</w:t>
      </w:r>
      <w:proofErr w:type="spellEnd"/>
      <w:r w:rsidRPr="00527DB2">
        <w:rPr>
          <w:lang w:val="en-IN"/>
        </w:rPr>
        <w:t xml:space="preserve"> of senile cataracts and reinforce the importance of addressing modifiable risk factors such as chronic disease management, occupational exposure, and socio-economic disparities in cataract prevention strategies.</w:t>
      </w:r>
      <w:r>
        <w:rPr>
          <w:lang w:val="en-IN"/>
        </w:rPr>
        <w:t xml:space="preserve"> </w:t>
      </w:r>
      <w:r w:rsidR="006A6399" w:rsidRPr="006A6399">
        <w:t>Lastly, rural residence was independently associated with an increased risk of cataract, with an AOR of 8.309 (95% CI: 7.195–9.471).</w:t>
      </w:r>
      <w:r w:rsidR="006A6399" w:rsidRPr="006A6399">
        <w:rPr>
          <w:lang w:val="en-IN"/>
        </w:rPr>
        <w:t xml:space="preserve"> </w:t>
      </w:r>
      <w:r w:rsidR="00174DDF">
        <w:rPr>
          <w:lang w:val="en-IN"/>
        </w:rPr>
        <w:t>(Table 8)</w:t>
      </w:r>
      <w:r w:rsidR="00174DDF" w:rsidRPr="00174DDF">
        <w:t>.</w:t>
      </w:r>
    </w:p>
    <w:p w14:paraId="440A17E4" w14:textId="77777777" w:rsidR="00174DDF" w:rsidRPr="00174DDF" w:rsidRDefault="00174DDF" w:rsidP="00174DDF">
      <w:pPr>
        <w:spacing w:line="480" w:lineRule="auto"/>
        <w:jc w:val="center"/>
        <w:rPr>
          <w:lang w:val="en-IN"/>
        </w:rPr>
      </w:pPr>
      <w:r w:rsidRPr="00174DDF">
        <w:rPr>
          <w:b/>
          <w:bCs/>
          <w:lang w:val="en-IN"/>
        </w:rPr>
        <w:t>Table 8: Independent Risk Factors for Cataract Development</w:t>
      </w:r>
    </w:p>
    <w:tbl>
      <w:tblPr>
        <w:tblStyle w:val="TableGrid"/>
        <w:tblW w:w="9429" w:type="dxa"/>
        <w:tblLook w:val="04A0" w:firstRow="1" w:lastRow="0" w:firstColumn="1" w:lastColumn="0" w:noHBand="0" w:noVBand="1"/>
      </w:tblPr>
      <w:tblGrid>
        <w:gridCol w:w="4387"/>
        <w:gridCol w:w="3664"/>
        <w:gridCol w:w="1378"/>
      </w:tblGrid>
      <w:tr w:rsidR="006A6399" w:rsidRPr="006A6399" w14:paraId="46955123" w14:textId="77777777" w:rsidTr="006A6399">
        <w:trPr>
          <w:trHeight w:val="587"/>
        </w:trPr>
        <w:tc>
          <w:tcPr>
            <w:tcW w:w="0" w:type="auto"/>
            <w:hideMark/>
          </w:tcPr>
          <w:p w14:paraId="74E4B746" w14:textId="77777777" w:rsidR="006A6399" w:rsidRPr="006A6399" w:rsidRDefault="006A6399" w:rsidP="001077DA">
            <w:pPr>
              <w:spacing w:line="240" w:lineRule="auto"/>
              <w:jc w:val="both"/>
              <w:rPr>
                <w:b/>
                <w:bCs/>
                <w:lang w:val="en-IN"/>
              </w:rPr>
            </w:pPr>
            <w:r w:rsidRPr="006A6399">
              <w:rPr>
                <w:b/>
                <w:bCs/>
                <w:lang w:val="en-IN"/>
              </w:rPr>
              <w:t>Risk Factor</w:t>
            </w:r>
          </w:p>
        </w:tc>
        <w:tc>
          <w:tcPr>
            <w:tcW w:w="0" w:type="auto"/>
            <w:hideMark/>
          </w:tcPr>
          <w:p w14:paraId="0557F7F6" w14:textId="77777777" w:rsidR="006A6399" w:rsidRPr="006A6399" w:rsidRDefault="006A6399" w:rsidP="001077DA">
            <w:pPr>
              <w:spacing w:line="240" w:lineRule="auto"/>
              <w:jc w:val="both"/>
              <w:rPr>
                <w:b/>
                <w:bCs/>
                <w:lang w:val="en-IN"/>
              </w:rPr>
            </w:pPr>
            <w:r w:rsidRPr="006A6399">
              <w:rPr>
                <w:b/>
                <w:bCs/>
                <w:lang w:val="en-IN"/>
              </w:rPr>
              <w:t>Adjusted OR (95% CI)</w:t>
            </w:r>
          </w:p>
        </w:tc>
        <w:tc>
          <w:tcPr>
            <w:tcW w:w="0" w:type="auto"/>
            <w:hideMark/>
          </w:tcPr>
          <w:p w14:paraId="1AD05D3B" w14:textId="77777777" w:rsidR="006A6399" w:rsidRPr="006A6399" w:rsidRDefault="006A6399" w:rsidP="001077DA">
            <w:pPr>
              <w:spacing w:line="240" w:lineRule="auto"/>
              <w:jc w:val="both"/>
              <w:rPr>
                <w:b/>
                <w:bCs/>
                <w:lang w:val="en-IN"/>
              </w:rPr>
            </w:pPr>
            <w:r w:rsidRPr="006A6399">
              <w:rPr>
                <w:b/>
                <w:bCs/>
                <w:lang w:val="en-IN"/>
              </w:rPr>
              <w:t>p-value</w:t>
            </w:r>
          </w:p>
        </w:tc>
      </w:tr>
      <w:tr w:rsidR="006A6399" w:rsidRPr="006A6399" w14:paraId="29616E45" w14:textId="77777777" w:rsidTr="006A6399">
        <w:trPr>
          <w:trHeight w:val="600"/>
        </w:trPr>
        <w:tc>
          <w:tcPr>
            <w:tcW w:w="0" w:type="auto"/>
            <w:hideMark/>
          </w:tcPr>
          <w:p w14:paraId="69568819" w14:textId="77777777" w:rsidR="006A6399" w:rsidRPr="006A6399" w:rsidRDefault="006A6399" w:rsidP="001077DA">
            <w:pPr>
              <w:spacing w:line="240" w:lineRule="auto"/>
              <w:jc w:val="both"/>
              <w:rPr>
                <w:lang w:val="en-IN"/>
              </w:rPr>
            </w:pPr>
            <w:r w:rsidRPr="006A6399">
              <w:rPr>
                <w:lang w:val="en-IN"/>
              </w:rPr>
              <w:t>Population (Urban/Rural)</w:t>
            </w:r>
          </w:p>
        </w:tc>
        <w:tc>
          <w:tcPr>
            <w:tcW w:w="0" w:type="auto"/>
            <w:hideMark/>
          </w:tcPr>
          <w:p w14:paraId="37B025DD" w14:textId="099118F9" w:rsidR="006A6399" w:rsidRPr="006A6399" w:rsidRDefault="006A6399" w:rsidP="001077DA">
            <w:pPr>
              <w:spacing w:line="240" w:lineRule="auto"/>
              <w:jc w:val="both"/>
              <w:rPr>
                <w:lang w:val="en-IN"/>
              </w:rPr>
            </w:pPr>
            <w:r w:rsidRPr="006A6399">
              <w:t>8.309 (7.195–9.471)</w:t>
            </w:r>
          </w:p>
        </w:tc>
        <w:tc>
          <w:tcPr>
            <w:tcW w:w="0" w:type="auto"/>
            <w:hideMark/>
          </w:tcPr>
          <w:p w14:paraId="7BA94FA5" w14:textId="77777777" w:rsidR="006A6399" w:rsidRPr="006A6399" w:rsidRDefault="006A6399" w:rsidP="001077DA">
            <w:pPr>
              <w:spacing w:line="240" w:lineRule="auto"/>
              <w:jc w:val="both"/>
              <w:rPr>
                <w:lang w:val="en-IN"/>
              </w:rPr>
            </w:pPr>
            <w:r w:rsidRPr="006A6399">
              <w:rPr>
                <w:lang w:val="en-IN"/>
              </w:rPr>
              <w:t>&lt;0.001</w:t>
            </w:r>
          </w:p>
        </w:tc>
      </w:tr>
      <w:tr w:rsidR="006A6399" w:rsidRPr="006A6399" w14:paraId="34ED8BD9" w14:textId="77777777" w:rsidTr="006A6399">
        <w:trPr>
          <w:trHeight w:val="587"/>
        </w:trPr>
        <w:tc>
          <w:tcPr>
            <w:tcW w:w="0" w:type="auto"/>
            <w:hideMark/>
          </w:tcPr>
          <w:p w14:paraId="19D01453" w14:textId="77777777" w:rsidR="006A6399" w:rsidRPr="006A6399" w:rsidRDefault="006A6399" w:rsidP="001077DA">
            <w:pPr>
              <w:spacing w:line="240" w:lineRule="auto"/>
              <w:jc w:val="both"/>
              <w:rPr>
                <w:lang w:val="en-IN"/>
              </w:rPr>
            </w:pPr>
            <w:r w:rsidRPr="006A6399">
              <w:rPr>
                <w:lang w:val="en-IN"/>
              </w:rPr>
              <w:t>Gender</w:t>
            </w:r>
          </w:p>
        </w:tc>
        <w:tc>
          <w:tcPr>
            <w:tcW w:w="0" w:type="auto"/>
            <w:hideMark/>
          </w:tcPr>
          <w:p w14:paraId="5EA88406" w14:textId="77777777" w:rsidR="006A6399" w:rsidRPr="006A6399" w:rsidRDefault="006A6399" w:rsidP="001077DA">
            <w:pPr>
              <w:spacing w:line="240" w:lineRule="auto"/>
              <w:jc w:val="both"/>
              <w:rPr>
                <w:lang w:val="en-IN"/>
              </w:rPr>
            </w:pPr>
            <w:r w:rsidRPr="006A6399">
              <w:rPr>
                <w:lang w:val="en-IN"/>
              </w:rPr>
              <w:t>10.557 (6.371–17.494)</w:t>
            </w:r>
          </w:p>
        </w:tc>
        <w:tc>
          <w:tcPr>
            <w:tcW w:w="0" w:type="auto"/>
            <w:hideMark/>
          </w:tcPr>
          <w:p w14:paraId="01DDCC26" w14:textId="77777777" w:rsidR="006A6399" w:rsidRPr="006A6399" w:rsidRDefault="006A6399" w:rsidP="001077DA">
            <w:pPr>
              <w:spacing w:line="240" w:lineRule="auto"/>
              <w:jc w:val="both"/>
              <w:rPr>
                <w:lang w:val="en-IN"/>
              </w:rPr>
            </w:pPr>
            <w:r w:rsidRPr="006A6399">
              <w:rPr>
                <w:lang w:val="en-IN"/>
              </w:rPr>
              <w:t>&lt;0.001</w:t>
            </w:r>
          </w:p>
        </w:tc>
      </w:tr>
      <w:tr w:rsidR="006A6399" w:rsidRPr="006A6399" w14:paraId="57466DF1" w14:textId="77777777" w:rsidTr="006A6399">
        <w:trPr>
          <w:trHeight w:val="600"/>
        </w:trPr>
        <w:tc>
          <w:tcPr>
            <w:tcW w:w="0" w:type="auto"/>
            <w:hideMark/>
          </w:tcPr>
          <w:p w14:paraId="181AC699" w14:textId="77777777" w:rsidR="006A6399" w:rsidRPr="006A6399" w:rsidRDefault="006A6399" w:rsidP="001077DA">
            <w:pPr>
              <w:spacing w:line="240" w:lineRule="auto"/>
              <w:jc w:val="both"/>
              <w:rPr>
                <w:lang w:val="en-IN"/>
              </w:rPr>
            </w:pPr>
            <w:r w:rsidRPr="006A6399">
              <w:rPr>
                <w:lang w:val="en-IN"/>
              </w:rPr>
              <w:t>Work Environment</w:t>
            </w:r>
          </w:p>
        </w:tc>
        <w:tc>
          <w:tcPr>
            <w:tcW w:w="0" w:type="auto"/>
            <w:hideMark/>
          </w:tcPr>
          <w:p w14:paraId="56419FFE" w14:textId="77777777" w:rsidR="006A6399" w:rsidRPr="006A6399" w:rsidRDefault="006A6399" w:rsidP="001077DA">
            <w:pPr>
              <w:spacing w:line="240" w:lineRule="auto"/>
              <w:jc w:val="both"/>
              <w:rPr>
                <w:lang w:val="en-IN"/>
              </w:rPr>
            </w:pPr>
            <w:r w:rsidRPr="006A6399">
              <w:rPr>
                <w:lang w:val="en-IN"/>
              </w:rPr>
              <w:t>2.875 (1.726–4.789)</w:t>
            </w:r>
          </w:p>
        </w:tc>
        <w:tc>
          <w:tcPr>
            <w:tcW w:w="0" w:type="auto"/>
            <w:hideMark/>
          </w:tcPr>
          <w:p w14:paraId="2EA3A6E5" w14:textId="77777777" w:rsidR="006A6399" w:rsidRPr="006A6399" w:rsidRDefault="006A6399" w:rsidP="001077DA">
            <w:pPr>
              <w:spacing w:line="240" w:lineRule="auto"/>
              <w:jc w:val="both"/>
              <w:rPr>
                <w:lang w:val="en-IN"/>
              </w:rPr>
            </w:pPr>
            <w:r w:rsidRPr="006A6399">
              <w:rPr>
                <w:lang w:val="en-IN"/>
              </w:rPr>
              <w:t>&lt;0.001</w:t>
            </w:r>
          </w:p>
        </w:tc>
      </w:tr>
      <w:tr w:rsidR="006A6399" w:rsidRPr="006A6399" w14:paraId="4B92D39E" w14:textId="77777777" w:rsidTr="006A6399">
        <w:trPr>
          <w:trHeight w:val="587"/>
        </w:trPr>
        <w:tc>
          <w:tcPr>
            <w:tcW w:w="0" w:type="auto"/>
            <w:hideMark/>
          </w:tcPr>
          <w:p w14:paraId="43F48CB8" w14:textId="77777777" w:rsidR="006A6399" w:rsidRPr="006A6399" w:rsidRDefault="006A6399" w:rsidP="001077DA">
            <w:pPr>
              <w:spacing w:line="240" w:lineRule="auto"/>
              <w:jc w:val="both"/>
              <w:rPr>
                <w:lang w:val="en-IN"/>
              </w:rPr>
            </w:pPr>
            <w:r w:rsidRPr="006A6399">
              <w:rPr>
                <w:lang w:val="en-IN"/>
              </w:rPr>
              <w:t>Addiction</w:t>
            </w:r>
          </w:p>
        </w:tc>
        <w:tc>
          <w:tcPr>
            <w:tcW w:w="0" w:type="auto"/>
            <w:hideMark/>
          </w:tcPr>
          <w:p w14:paraId="17C74457" w14:textId="77777777" w:rsidR="006A6399" w:rsidRPr="006A6399" w:rsidRDefault="006A6399" w:rsidP="001077DA">
            <w:pPr>
              <w:spacing w:line="240" w:lineRule="auto"/>
              <w:jc w:val="both"/>
              <w:rPr>
                <w:lang w:val="en-IN"/>
              </w:rPr>
            </w:pPr>
            <w:r w:rsidRPr="006A6399">
              <w:rPr>
                <w:lang w:val="en-IN"/>
              </w:rPr>
              <w:t>0.000</w:t>
            </w:r>
          </w:p>
        </w:tc>
        <w:tc>
          <w:tcPr>
            <w:tcW w:w="0" w:type="auto"/>
            <w:hideMark/>
          </w:tcPr>
          <w:p w14:paraId="52957ABF" w14:textId="77777777" w:rsidR="006A6399" w:rsidRPr="006A6399" w:rsidRDefault="006A6399" w:rsidP="001077DA">
            <w:pPr>
              <w:spacing w:line="240" w:lineRule="auto"/>
              <w:jc w:val="both"/>
              <w:rPr>
                <w:lang w:val="en-IN"/>
              </w:rPr>
            </w:pPr>
            <w:r w:rsidRPr="006A6399">
              <w:rPr>
                <w:lang w:val="en-IN"/>
              </w:rPr>
              <w:t>&lt;0.001</w:t>
            </w:r>
          </w:p>
        </w:tc>
      </w:tr>
      <w:tr w:rsidR="006A6399" w:rsidRPr="006A6399" w14:paraId="3D8EC861" w14:textId="77777777" w:rsidTr="006A6399">
        <w:trPr>
          <w:trHeight w:val="600"/>
        </w:trPr>
        <w:tc>
          <w:tcPr>
            <w:tcW w:w="0" w:type="auto"/>
            <w:hideMark/>
          </w:tcPr>
          <w:p w14:paraId="5ACD3342" w14:textId="77777777" w:rsidR="006A6399" w:rsidRPr="006A6399" w:rsidRDefault="006A6399" w:rsidP="001077DA">
            <w:pPr>
              <w:spacing w:line="240" w:lineRule="auto"/>
              <w:jc w:val="both"/>
              <w:rPr>
                <w:lang w:val="en-IN"/>
              </w:rPr>
            </w:pPr>
            <w:r w:rsidRPr="006A6399">
              <w:rPr>
                <w:lang w:val="en-IN"/>
              </w:rPr>
              <w:t>Socioeconomic Status</w:t>
            </w:r>
          </w:p>
        </w:tc>
        <w:tc>
          <w:tcPr>
            <w:tcW w:w="0" w:type="auto"/>
            <w:hideMark/>
          </w:tcPr>
          <w:p w14:paraId="0D34432C" w14:textId="77777777" w:rsidR="006A6399" w:rsidRPr="006A6399" w:rsidRDefault="006A6399" w:rsidP="001077DA">
            <w:pPr>
              <w:spacing w:line="240" w:lineRule="auto"/>
              <w:jc w:val="both"/>
              <w:rPr>
                <w:lang w:val="en-IN"/>
              </w:rPr>
            </w:pPr>
            <w:r w:rsidRPr="006A6399">
              <w:rPr>
                <w:lang w:val="en-IN"/>
              </w:rPr>
              <w:t>0.441</w:t>
            </w:r>
          </w:p>
        </w:tc>
        <w:tc>
          <w:tcPr>
            <w:tcW w:w="0" w:type="auto"/>
            <w:hideMark/>
          </w:tcPr>
          <w:p w14:paraId="29019A72" w14:textId="77777777" w:rsidR="006A6399" w:rsidRPr="006A6399" w:rsidRDefault="006A6399" w:rsidP="001077DA">
            <w:pPr>
              <w:spacing w:line="240" w:lineRule="auto"/>
              <w:jc w:val="both"/>
              <w:rPr>
                <w:lang w:val="en-IN"/>
              </w:rPr>
            </w:pPr>
            <w:r w:rsidRPr="006A6399">
              <w:rPr>
                <w:lang w:val="en-IN"/>
              </w:rPr>
              <w:t>&lt;0.001</w:t>
            </w:r>
          </w:p>
        </w:tc>
      </w:tr>
      <w:tr w:rsidR="006A6399" w:rsidRPr="006A6399" w14:paraId="26A40D42" w14:textId="77777777" w:rsidTr="006A6399">
        <w:trPr>
          <w:trHeight w:val="587"/>
        </w:trPr>
        <w:tc>
          <w:tcPr>
            <w:tcW w:w="0" w:type="auto"/>
            <w:hideMark/>
          </w:tcPr>
          <w:p w14:paraId="29A9F739" w14:textId="77777777" w:rsidR="006A6399" w:rsidRPr="006A6399" w:rsidRDefault="006A6399" w:rsidP="001077DA">
            <w:pPr>
              <w:spacing w:line="240" w:lineRule="auto"/>
              <w:jc w:val="both"/>
              <w:rPr>
                <w:lang w:val="en-IN"/>
              </w:rPr>
            </w:pPr>
            <w:r w:rsidRPr="006A6399">
              <w:rPr>
                <w:lang w:val="en-IN"/>
              </w:rPr>
              <w:t>Associated Systemic Diseases</w:t>
            </w:r>
          </w:p>
        </w:tc>
        <w:tc>
          <w:tcPr>
            <w:tcW w:w="0" w:type="auto"/>
            <w:hideMark/>
          </w:tcPr>
          <w:p w14:paraId="787E1235" w14:textId="77777777" w:rsidR="006A6399" w:rsidRPr="006A6399" w:rsidRDefault="006A6399" w:rsidP="001077DA">
            <w:pPr>
              <w:spacing w:line="240" w:lineRule="auto"/>
              <w:jc w:val="both"/>
              <w:rPr>
                <w:lang w:val="en-IN"/>
              </w:rPr>
            </w:pPr>
            <w:r w:rsidRPr="006A6399">
              <w:rPr>
                <w:lang w:val="en-IN"/>
              </w:rPr>
              <w:t>0.017</w:t>
            </w:r>
          </w:p>
        </w:tc>
        <w:tc>
          <w:tcPr>
            <w:tcW w:w="0" w:type="auto"/>
            <w:hideMark/>
          </w:tcPr>
          <w:p w14:paraId="178D668E" w14:textId="77777777" w:rsidR="006A6399" w:rsidRPr="006A6399" w:rsidRDefault="006A6399" w:rsidP="001077DA">
            <w:pPr>
              <w:spacing w:line="240" w:lineRule="auto"/>
              <w:jc w:val="both"/>
              <w:rPr>
                <w:lang w:val="en-IN"/>
              </w:rPr>
            </w:pPr>
            <w:r w:rsidRPr="006A6399">
              <w:rPr>
                <w:lang w:val="en-IN"/>
              </w:rPr>
              <w:t>&lt;0.001</w:t>
            </w:r>
          </w:p>
        </w:tc>
      </w:tr>
    </w:tbl>
    <w:p w14:paraId="58A16E1C" w14:textId="77777777" w:rsidR="00174DDF" w:rsidRPr="00174DDF" w:rsidRDefault="00174DDF" w:rsidP="00174DDF">
      <w:pPr>
        <w:spacing w:line="480" w:lineRule="auto"/>
        <w:jc w:val="both"/>
        <w:rPr>
          <w:lang w:val="en-IN"/>
        </w:rPr>
      </w:pPr>
    </w:p>
    <w:p w14:paraId="0213F135" w14:textId="7AD46D0D" w:rsidR="00F41B37" w:rsidRPr="00F41B37" w:rsidRDefault="001B3027" w:rsidP="00F41B37">
      <w:pPr>
        <w:rPr>
          <w:b/>
          <w:bCs/>
          <w:lang w:val="en-IN"/>
        </w:rPr>
      </w:pPr>
      <w:r w:rsidRPr="00F41B37">
        <w:rPr>
          <w:b/>
          <w:bCs/>
          <w:lang w:val="en-IN"/>
        </w:rPr>
        <w:t>DISCUSSION</w:t>
      </w:r>
    </w:p>
    <w:p w14:paraId="15243876" w14:textId="77777777" w:rsidR="001B3027" w:rsidRDefault="001B3027" w:rsidP="001B3027">
      <w:pPr>
        <w:spacing w:line="480" w:lineRule="auto"/>
        <w:jc w:val="both"/>
        <w:rPr>
          <w:lang w:val="en-IN"/>
        </w:rPr>
      </w:pPr>
      <w:r w:rsidRPr="001B3027">
        <w:rPr>
          <w:lang w:val="en-IN"/>
        </w:rPr>
        <w:t xml:space="preserve">The prevalence of cataracts continues to be a major concern worldwide, particularly as populations age. Our study highlights the significant risk factors contributing to the development of senile cataracts in a rural population, emphasizing the role of age, gender, work </w:t>
      </w:r>
      <w:r w:rsidRPr="001B3027">
        <w:rPr>
          <w:lang w:val="en-IN"/>
        </w:rPr>
        <w:lastRenderedPageBreak/>
        <w:t>environment, socio-economic status, addiction, and associated systemic diseases. These findings align with existing literature, underscoring the multifactorial nature of cataract development.</w:t>
      </w:r>
    </w:p>
    <w:p w14:paraId="71C26A05" w14:textId="77777777" w:rsidR="0062273E" w:rsidRPr="0062273E" w:rsidRDefault="0062273E" w:rsidP="0062273E">
      <w:pPr>
        <w:spacing w:line="480" w:lineRule="auto"/>
        <w:jc w:val="both"/>
        <w:rPr>
          <w:lang w:val="en-IN"/>
        </w:rPr>
      </w:pPr>
      <w:r w:rsidRPr="0062273E">
        <w:rPr>
          <w:lang w:val="en-IN"/>
        </w:rPr>
        <w:t xml:space="preserve">While the study identified several well-established risk factors for cataract development, such as </w:t>
      </w:r>
      <w:r w:rsidRPr="0062273E">
        <w:rPr>
          <w:b/>
          <w:bCs/>
          <w:lang w:val="en-IN"/>
        </w:rPr>
        <w:t>age</w:t>
      </w:r>
      <w:r w:rsidRPr="0062273E">
        <w:rPr>
          <w:lang w:val="en-IN"/>
        </w:rPr>
        <w:t xml:space="preserve">, </w:t>
      </w:r>
      <w:r w:rsidRPr="0062273E">
        <w:rPr>
          <w:b/>
          <w:bCs/>
          <w:lang w:val="en-IN"/>
        </w:rPr>
        <w:t>gender</w:t>
      </w:r>
      <w:r w:rsidRPr="0062273E">
        <w:rPr>
          <w:lang w:val="en-IN"/>
        </w:rPr>
        <w:t xml:space="preserve">, </w:t>
      </w:r>
      <w:r w:rsidRPr="0062273E">
        <w:rPr>
          <w:b/>
          <w:bCs/>
          <w:lang w:val="en-IN"/>
        </w:rPr>
        <w:t>SES</w:t>
      </w:r>
      <w:r w:rsidRPr="0062273E">
        <w:rPr>
          <w:lang w:val="en-IN"/>
        </w:rPr>
        <w:t xml:space="preserve">, </w:t>
      </w:r>
      <w:r w:rsidRPr="0062273E">
        <w:rPr>
          <w:b/>
          <w:bCs/>
          <w:lang w:val="en-IN"/>
        </w:rPr>
        <w:t>outdoor work</w:t>
      </w:r>
      <w:r w:rsidRPr="0062273E">
        <w:rPr>
          <w:lang w:val="en-IN"/>
        </w:rPr>
        <w:t xml:space="preserve">, and </w:t>
      </w:r>
      <w:r w:rsidRPr="0062273E">
        <w:rPr>
          <w:b/>
          <w:bCs/>
          <w:lang w:val="en-IN"/>
        </w:rPr>
        <w:t>addiction</w:t>
      </w:r>
      <w:r w:rsidRPr="0062273E">
        <w:rPr>
          <w:lang w:val="en-IN"/>
        </w:rPr>
        <w:t xml:space="preserve">, no entirely new risk factors were observed. However, a more </w:t>
      </w:r>
      <w:r w:rsidRPr="0062273E">
        <w:rPr>
          <w:b/>
          <w:bCs/>
          <w:lang w:val="en-IN"/>
        </w:rPr>
        <w:t>in-depth mechanistic discussion</w:t>
      </w:r>
      <w:r w:rsidRPr="0062273E">
        <w:rPr>
          <w:lang w:val="en-IN"/>
        </w:rPr>
        <w:t xml:space="preserve"> of the biological pathways involved in cataract development could provide greater insight into the findings. Cataract formation is a complex process that involves a combination of </w:t>
      </w:r>
      <w:r w:rsidRPr="0062273E">
        <w:rPr>
          <w:b/>
          <w:bCs/>
          <w:lang w:val="en-IN"/>
        </w:rPr>
        <w:t>genetic</w:t>
      </w:r>
      <w:r w:rsidRPr="0062273E">
        <w:rPr>
          <w:lang w:val="en-IN"/>
        </w:rPr>
        <w:t xml:space="preserve"> and </w:t>
      </w:r>
      <w:r w:rsidRPr="0062273E">
        <w:rPr>
          <w:b/>
          <w:bCs/>
          <w:lang w:val="en-IN"/>
        </w:rPr>
        <w:t>environmental</w:t>
      </w:r>
      <w:r w:rsidRPr="0062273E">
        <w:rPr>
          <w:lang w:val="en-IN"/>
        </w:rPr>
        <w:t xml:space="preserve"> factors, and one key mechanism is </w:t>
      </w:r>
      <w:r w:rsidRPr="0062273E">
        <w:rPr>
          <w:b/>
          <w:bCs/>
          <w:lang w:val="en-IN"/>
        </w:rPr>
        <w:t>oxidative stress</w:t>
      </w:r>
      <w:r w:rsidRPr="0062273E">
        <w:rPr>
          <w:lang w:val="en-IN"/>
        </w:rPr>
        <w:t xml:space="preserve">. Prolonged exposure to UV radiation, environmental toxins, and inflammation can increase the production of free radicals, leading to oxidative damage in the eye's lens. This damage is believed to accelerate the breakdown of lens proteins, contributing to cataract formation. A more thorough exploration of oxidative stress pathways could help explain how some of the identified risk factors, particularly </w:t>
      </w:r>
      <w:r w:rsidRPr="0062273E">
        <w:rPr>
          <w:b/>
          <w:bCs/>
          <w:lang w:val="en-IN"/>
        </w:rPr>
        <w:t>outdoor work</w:t>
      </w:r>
      <w:r w:rsidRPr="0062273E">
        <w:rPr>
          <w:lang w:val="en-IN"/>
        </w:rPr>
        <w:t xml:space="preserve"> and </w:t>
      </w:r>
      <w:r w:rsidRPr="0062273E">
        <w:rPr>
          <w:b/>
          <w:bCs/>
          <w:lang w:val="en-IN"/>
        </w:rPr>
        <w:t>lower SES</w:t>
      </w:r>
      <w:r w:rsidRPr="0062273E">
        <w:rPr>
          <w:lang w:val="en-IN"/>
        </w:rPr>
        <w:t>, contribute to cataract development at the molecular level.</w:t>
      </w:r>
    </w:p>
    <w:p w14:paraId="16271744" w14:textId="62DBA0B8" w:rsidR="001B3027" w:rsidRPr="001B3027" w:rsidRDefault="0062273E" w:rsidP="001B3027">
      <w:pPr>
        <w:spacing w:line="480" w:lineRule="auto"/>
        <w:jc w:val="both"/>
        <w:rPr>
          <w:lang w:val="en-IN"/>
        </w:rPr>
      </w:pPr>
      <w:r w:rsidRPr="0062273E">
        <w:rPr>
          <w:lang w:val="en-IN"/>
        </w:rPr>
        <w:t xml:space="preserve">Additionally, the </w:t>
      </w:r>
      <w:r w:rsidRPr="0062273E">
        <w:rPr>
          <w:b/>
          <w:bCs/>
          <w:lang w:val="en-IN"/>
        </w:rPr>
        <w:t>lack of dietary factors</w:t>
      </w:r>
      <w:r w:rsidRPr="0062273E">
        <w:rPr>
          <w:lang w:val="en-IN"/>
        </w:rPr>
        <w:t xml:space="preserve"> as a variable in this study represents a missed opportunity. Nutrition plays a critical role in cataract prevention, as certain antioxidants (e.g., </w:t>
      </w:r>
      <w:r w:rsidRPr="0062273E">
        <w:rPr>
          <w:b/>
          <w:bCs/>
          <w:lang w:val="en-IN"/>
        </w:rPr>
        <w:t>vitamin C</w:t>
      </w:r>
      <w:r w:rsidRPr="0062273E">
        <w:rPr>
          <w:lang w:val="en-IN"/>
        </w:rPr>
        <w:t xml:space="preserve">, </w:t>
      </w:r>
      <w:r w:rsidRPr="0062273E">
        <w:rPr>
          <w:b/>
          <w:bCs/>
          <w:lang w:val="en-IN"/>
        </w:rPr>
        <w:t>vitamin E</w:t>
      </w:r>
      <w:r w:rsidRPr="0062273E">
        <w:rPr>
          <w:lang w:val="en-IN"/>
        </w:rPr>
        <w:t xml:space="preserve">, </w:t>
      </w:r>
      <w:r w:rsidRPr="0062273E">
        <w:rPr>
          <w:b/>
          <w:bCs/>
          <w:lang w:val="en-IN"/>
        </w:rPr>
        <w:t>carotenoids</w:t>
      </w:r>
      <w:r w:rsidRPr="0062273E">
        <w:rPr>
          <w:lang w:val="en-IN"/>
        </w:rPr>
        <w:t xml:space="preserve">) have been shown to reduce oxidative damage to the lens and slow cataract progression. Poor diets, which are often more common in </w:t>
      </w:r>
      <w:r w:rsidRPr="0062273E">
        <w:rPr>
          <w:b/>
          <w:bCs/>
          <w:lang w:val="en-IN"/>
        </w:rPr>
        <w:t>lower SES</w:t>
      </w:r>
      <w:r w:rsidRPr="0062273E">
        <w:rPr>
          <w:lang w:val="en-IN"/>
        </w:rPr>
        <w:t xml:space="preserve"> populations, may increase susceptibility to cataract development. Incorporating dietary factors such as antioxidant intake, fat consumption, and overall nutritional status in future studies could provide a more comprehensive understanding of cataract risk.</w:t>
      </w:r>
      <w:r w:rsidR="0026498C">
        <w:rPr>
          <w:lang w:val="en-IN"/>
        </w:rPr>
        <w:t xml:space="preserve"> </w:t>
      </w:r>
      <w:r w:rsidR="001B3027" w:rsidRPr="001B3027">
        <w:rPr>
          <w:lang w:val="en-IN"/>
        </w:rPr>
        <w:t>Our study confirms that advancing age is a primary risk factor for cataract development, which is consistent with numerous studies that have established the age-related nature of cataract formation (</w:t>
      </w:r>
      <w:proofErr w:type="spellStart"/>
      <w:r w:rsidR="001B3027" w:rsidRPr="001B3027">
        <w:rPr>
          <w:lang w:val="en-IN"/>
        </w:rPr>
        <w:t>Pascolini</w:t>
      </w:r>
      <w:proofErr w:type="spellEnd"/>
      <w:r w:rsidR="001B3027" w:rsidRPr="001B3027">
        <w:rPr>
          <w:lang w:val="en-IN"/>
        </w:rPr>
        <w:t xml:space="preserve"> &amp; </w:t>
      </w:r>
      <w:proofErr w:type="spellStart"/>
      <w:r w:rsidR="001B3027" w:rsidRPr="001B3027">
        <w:rPr>
          <w:lang w:val="en-IN"/>
        </w:rPr>
        <w:t>Mariotti</w:t>
      </w:r>
      <w:proofErr w:type="spellEnd"/>
      <w:r w:rsidR="001B3027" w:rsidRPr="001B3027">
        <w:rPr>
          <w:lang w:val="en-IN"/>
        </w:rPr>
        <w:t xml:space="preserve">, 2012; Spector, 2016). Cataracts are known to progress gradually with age, and by the age of 70, nearly all individuals show some degree of lens opacification (Bureau et al., </w:t>
      </w:r>
      <w:r w:rsidR="001B3027" w:rsidRPr="001B3027">
        <w:rPr>
          <w:lang w:val="en-IN"/>
        </w:rPr>
        <w:lastRenderedPageBreak/>
        <w:t>2019). As the lens undergoes biochemical changes over time, the risk of developing cataracts increases substantially, and this trend was evident in our study, where the prevalence of cataracts rose significantly with age, particularly beyond 50 years.</w:t>
      </w:r>
    </w:p>
    <w:p w14:paraId="74B43F07" w14:textId="77777777" w:rsidR="001B3027" w:rsidRPr="001B3027" w:rsidRDefault="001B3027" w:rsidP="001B3027">
      <w:pPr>
        <w:spacing w:line="480" w:lineRule="auto"/>
        <w:jc w:val="both"/>
        <w:rPr>
          <w:lang w:val="en-IN"/>
        </w:rPr>
      </w:pPr>
      <w:r w:rsidRPr="001B3027">
        <w:rPr>
          <w:lang w:val="en-IN"/>
        </w:rPr>
        <w:t>Gender differences in cataract development were also observed in our study, with men being more likely to develop cataracts than women, consistent with other studies (Liew et al., 2020). This finding may be attributed to factors such as differences in hormone levels, lifestyle, and occupational exposures. Men are also more likely to be engaged in outdoor occupations, which increases their exposure to environmental risk factors such as ultraviolet (UV) radiation, known to contribute to cataract formation (Fitzgerald et al., 2019).</w:t>
      </w:r>
    </w:p>
    <w:p w14:paraId="36C44A36" w14:textId="77777777" w:rsidR="001B3027" w:rsidRPr="001B3027" w:rsidRDefault="001B3027" w:rsidP="001B3027">
      <w:pPr>
        <w:spacing w:line="480" w:lineRule="auto"/>
        <w:jc w:val="both"/>
        <w:rPr>
          <w:lang w:val="en-IN"/>
        </w:rPr>
      </w:pPr>
      <w:r w:rsidRPr="001B3027">
        <w:rPr>
          <w:lang w:val="en-IN"/>
        </w:rPr>
        <w:t>The role of the work environment as a risk factor for cataract formation has been well-documented in the literature, and our study further confirms that outdoor workers have a significantly higher risk of developing cataracts compared to indoor workers (Rangarajan et al., 2021). Prolonged exposure to UV radiation, a known environmental factor, is particularly prevalent among outdoor workers, such as farmers, construction workers, and those involved in agriculture (Fitzgerald et al., 2019). UV radiation accelerates oxidative stress within the lens, leading to protein denaturation and lens opacity (Spector, 2016). It is also worth noting that outdoor workers may have limited access to protective eyewear or healthcare, further exacerbating the risk of cataract development.</w:t>
      </w:r>
    </w:p>
    <w:p w14:paraId="2C65B684" w14:textId="77777777" w:rsidR="001B3027" w:rsidRPr="001B3027" w:rsidRDefault="001B3027" w:rsidP="001B3027">
      <w:pPr>
        <w:spacing w:line="480" w:lineRule="auto"/>
        <w:jc w:val="both"/>
        <w:rPr>
          <w:lang w:val="en-IN"/>
        </w:rPr>
      </w:pPr>
      <w:r w:rsidRPr="001B3027">
        <w:rPr>
          <w:lang w:val="en-IN"/>
        </w:rPr>
        <w:t xml:space="preserve">Our findings indicate that lower socio-economic status (SES) is a significant risk factor for cataract development, with individuals in the lower SES bracket being 8.3 times more likely to develop cataracts compared to those in the upper SES category. This is consistent with previous studies that have shown that individuals from lower socio-economic backgrounds have a higher burden of cataract due to factors such as limited access to healthcare, poorer nutrition, and fewer protective measures against environmental risk factors (Baker et al., 2020). In rural </w:t>
      </w:r>
      <w:r w:rsidRPr="001B3027">
        <w:rPr>
          <w:lang w:val="en-IN"/>
        </w:rPr>
        <w:lastRenderedPageBreak/>
        <w:t>populations, where healthcare infrastructure is often lacking, the risk of cataract formation is particularly high. Moreover, individuals in lower SES categories are less likely to seek timely medical treatment, which can result in delayed diagnosis and intervention, leading to more severe cataract progression.</w:t>
      </w:r>
    </w:p>
    <w:p w14:paraId="4EFA5BB5" w14:textId="77777777" w:rsidR="00527DB2" w:rsidRPr="00527DB2" w:rsidRDefault="00527DB2" w:rsidP="00527DB2">
      <w:pPr>
        <w:spacing w:line="480" w:lineRule="auto"/>
        <w:jc w:val="both"/>
        <w:rPr>
          <w:lang w:val="en-IN"/>
        </w:rPr>
      </w:pPr>
      <w:r w:rsidRPr="00527DB2">
        <w:rPr>
          <w:lang w:val="en-IN"/>
        </w:rPr>
        <w:t xml:space="preserve">In the context of </w:t>
      </w:r>
      <w:r w:rsidRPr="00527DB2">
        <w:rPr>
          <w:b/>
          <w:bCs/>
          <w:lang w:val="en-IN"/>
        </w:rPr>
        <w:t>addiction</w:t>
      </w:r>
      <w:r w:rsidRPr="00527DB2">
        <w:rPr>
          <w:lang w:val="en-IN"/>
        </w:rPr>
        <w:t xml:space="preserve">, it is essential to recognize that </w:t>
      </w:r>
      <w:r w:rsidRPr="00527DB2">
        <w:rPr>
          <w:b/>
          <w:bCs/>
          <w:lang w:val="en-IN"/>
        </w:rPr>
        <w:t>addiction</w:t>
      </w:r>
      <w:r w:rsidRPr="00527DB2">
        <w:rPr>
          <w:lang w:val="en-IN"/>
        </w:rPr>
        <w:t xml:space="preserve"> is a broad term encompassing various </w:t>
      </w:r>
      <w:proofErr w:type="spellStart"/>
      <w:r w:rsidRPr="00527DB2">
        <w:rPr>
          <w:lang w:val="en-IN"/>
        </w:rPr>
        <w:t>behaviors</w:t>
      </w:r>
      <w:proofErr w:type="spellEnd"/>
      <w:r w:rsidRPr="00527DB2">
        <w:rPr>
          <w:lang w:val="en-IN"/>
        </w:rPr>
        <w:t xml:space="preserve"> and substance dependencies. Previous research has suggested that certain substances, such as alcohol, may increase the risk of cataracts, but these effects are often mediated by additional factors such as </w:t>
      </w:r>
      <w:r w:rsidRPr="00527DB2">
        <w:rPr>
          <w:b/>
          <w:bCs/>
          <w:lang w:val="en-IN"/>
        </w:rPr>
        <w:t>nutritional deficiencies</w:t>
      </w:r>
      <w:r w:rsidRPr="00527DB2">
        <w:rPr>
          <w:lang w:val="en-IN"/>
        </w:rPr>
        <w:t xml:space="preserve">, </w:t>
      </w:r>
      <w:r w:rsidRPr="00527DB2">
        <w:rPr>
          <w:b/>
          <w:bCs/>
          <w:lang w:val="en-IN"/>
        </w:rPr>
        <w:t>oxidative stress</w:t>
      </w:r>
      <w:r w:rsidRPr="00527DB2">
        <w:rPr>
          <w:lang w:val="en-IN"/>
        </w:rPr>
        <w:t xml:space="preserve">, or </w:t>
      </w:r>
      <w:r w:rsidRPr="00527DB2">
        <w:rPr>
          <w:b/>
          <w:bCs/>
          <w:lang w:val="en-IN"/>
        </w:rPr>
        <w:t>inflammatory processes</w:t>
      </w:r>
      <w:r w:rsidRPr="00527DB2">
        <w:rPr>
          <w:lang w:val="en-IN"/>
        </w:rPr>
        <w:t>. Therefore, while addiction may play a role in the development of cataracts, this study did not find that addiction alone significantly contributes to the risk.</w:t>
      </w:r>
    </w:p>
    <w:p w14:paraId="759D02F8" w14:textId="77777777" w:rsidR="00527DB2" w:rsidRPr="00527DB2" w:rsidRDefault="00527DB2" w:rsidP="00527DB2">
      <w:pPr>
        <w:spacing w:line="480" w:lineRule="auto"/>
        <w:jc w:val="both"/>
        <w:rPr>
          <w:lang w:val="en-IN"/>
        </w:rPr>
      </w:pPr>
      <w:r w:rsidRPr="00527DB2">
        <w:rPr>
          <w:lang w:val="en-IN"/>
        </w:rPr>
        <w:t>Future studies could benefit from more detailed assessments of specific substances and their interactions with other risk factors (e.g., diet, genetics, and comorbid conditions) to better understand how addiction might influence cataract development.</w:t>
      </w:r>
    </w:p>
    <w:p w14:paraId="097F136F" w14:textId="77777777" w:rsidR="001B3027" w:rsidRPr="001B3027" w:rsidRDefault="001B3027" w:rsidP="001B3027">
      <w:pPr>
        <w:spacing w:line="480" w:lineRule="auto"/>
        <w:jc w:val="both"/>
        <w:rPr>
          <w:lang w:val="en-IN"/>
        </w:rPr>
      </w:pPr>
      <w:r w:rsidRPr="001B3027">
        <w:rPr>
          <w:lang w:val="en-IN"/>
        </w:rPr>
        <w:t>Tobacco use, specifically smokeless tobacco products, emerged as a significant risk factor for cataract development in our study. Smokeless tobacco users were found to have a 4.8 times higher risk of developing cataracts compared to non-users. This finding is in line with existing research that suggests a link between tobacco use and cataract formation (Spector, 2016). Tobacco smoke contains a variety of toxic compounds that promote oxidative stress, which is believed to contribute to the pathogenesis of cataracts by damaging lens proteins (Liew et al., 2020). Although alcohol and smoking tobacco products were also evaluated in our study, they did not show statistically significant associations with cataract risk, suggesting that smokeless tobacco may play a more significant role in this population.</w:t>
      </w:r>
    </w:p>
    <w:p w14:paraId="40F984C2" w14:textId="77777777" w:rsidR="001B3027" w:rsidRPr="001B3027" w:rsidRDefault="001B3027" w:rsidP="001B3027">
      <w:pPr>
        <w:spacing w:line="480" w:lineRule="auto"/>
        <w:jc w:val="both"/>
        <w:rPr>
          <w:lang w:val="en-IN"/>
        </w:rPr>
      </w:pPr>
      <w:r w:rsidRPr="001B3027">
        <w:rPr>
          <w:lang w:val="en-IN"/>
        </w:rPr>
        <w:t xml:space="preserve">Our study further highlights the role of systemic diseases in cataract development, particularly diabetes and hypertension. Diabetic individuals were found to be four times more likely to </w:t>
      </w:r>
      <w:r w:rsidRPr="001B3027">
        <w:rPr>
          <w:lang w:val="en-IN"/>
        </w:rPr>
        <w:lastRenderedPageBreak/>
        <w:t>develop cataracts compared to non-diabetic individuals, and those with hypertension had a tenfold increased risk. This is consistent with prior research indicating that metabolic conditions such as diabetes and hypertension contribute to the accelerated development of cataracts (Liew et al., 2020; Liu et al., 2021). Elevated blood sugar levels in diabetes promote the accumulation of sorbitol in the lens, leading to increased lens opacity (Spector, 2016). Additionally, the chronic inflammation and oxidative stress associated with hypertension may contribute to cataract formation by damaging lens cells.</w:t>
      </w:r>
    </w:p>
    <w:p w14:paraId="3F66E543" w14:textId="14686FE7" w:rsidR="001B3027" w:rsidRPr="001B3027" w:rsidRDefault="001B3027" w:rsidP="001B3027">
      <w:pPr>
        <w:spacing w:line="480" w:lineRule="auto"/>
        <w:jc w:val="both"/>
        <w:rPr>
          <w:lang w:val="en-IN"/>
        </w:rPr>
      </w:pPr>
      <w:r w:rsidRPr="001B3027">
        <w:rPr>
          <w:b/>
          <w:bCs/>
          <w:lang w:val="en-IN"/>
        </w:rPr>
        <w:t>LIMITATIONS</w:t>
      </w:r>
    </w:p>
    <w:p w14:paraId="035EF41D" w14:textId="77777777" w:rsidR="00E83FFA" w:rsidRPr="00E83FFA" w:rsidRDefault="00E83FFA" w:rsidP="00E83FFA">
      <w:pPr>
        <w:numPr>
          <w:ilvl w:val="0"/>
          <w:numId w:val="9"/>
        </w:numPr>
        <w:spacing w:line="480" w:lineRule="auto"/>
        <w:jc w:val="both"/>
        <w:rPr>
          <w:lang w:val="en-IN"/>
        </w:rPr>
      </w:pPr>
      <w:r w:rsidRPr="00E83FFA">
        <w:rPr>
          <w:lang w:val="en-IN"/>
        </w:rPr>
        <w:t>Cross-sectional design limits causal inference.</w:t>
      </w:r>
    </w:p>
    <w:p w14:paraId="6CC7BD59" w14:textId="77777777" w:rsidR="00E83FFA" w:rsidRPr="00E83FFA" w:rsidRDefault="00E83FFA" w:rsidP="00E83FFA">
      <w:pPr>
        <w:numPr>
          <w:ilvl w:val="0"/>
          <w:numId w:val="9"/>
        </w:numPr>
        <w:spacing w:line="480" w:lineRule="auto"/>
        <w:jc w:val="both"/>
        <w:rPr>
          <w:lang w:val="en-IN"/>
        </w:rPr>
      </w:pPr>
      <w:r w:rsidRPr="00E83FFA">
        <w:rPr>
          <w:lang w:val="en-IN"/>
        </w:rPr>
        <w:t>Some self-reported data (e.g., addiction) may be underreported.</w:t>
      </w:r>
    </w:p>
    <w:p w14:paraId="45B7DDBE" w14:textId="77777777" w:rsidR="00E83FFA" w:rsidRPr="00E83FFA" w:rsidRDefault="00E83FFA" w:rsidP="00E83FFA">
      <w:pPr>
        <w:numPr>
          <w:ilvl w:val="0"/>
          <w:numId w:val="9"/>
        </w:numPr>
        <w:spacing w:line="480" w:lineRule="auto"/>
        <w:jc w:val="both"/>
        <w:rPr>
          <w:lang w:val="en-IN"/>
        </w:rPr>
      </w:pPr>
      <w:r w:rsidRPr="00E83FFA">
        <w:rPr>
          <w:lang w:val="en-IN"/>
        </w:rPr>
        <w:t>Nutritional status and UV exposure duration were not assessed.</w:t>
      </w:r>
    </w:p>
    <w:p w14:paraId="39C296C5" w14:textId="77777777" w:rsidR="00E83FFA" w:rsidRPr="00E83FFA" w:rsidRDefault="00E83FFA" w:rsidP="00E83FFA">
      <w:pPr>
        <w:numPr>
          <w:ilvl w:val="0"/>
          <w:numId w:val="9"/>
        </w:numPr>
        <w:spacing w:line="480" w:lineRule="auto"/>
        <w:jc w:val="both"/>
        <w:rPr>
          <w:lang w:val="en-IN"/>
        </w:rPr>
      </w:pPr>
      <w:r w:rsidRPr="00E83FFA">
        <w:rPr>
          <w:lang w:val="en-IN"/>
        </w:rPr>
        <w:t>Cataract grading was not subclassified by type (e.g., nuclear, cortical).</w:t>
      </w:r>
    </w:p>
    <w:p w14:paraId="791EC7BF" w14:textId="77777777" w:rsidR="00E83FFA" w:rsidRPr="00E83FFA" w:rsidRDefault="00E83FFA" w:rsidP="00E83FFA">
      <w:pPr>
        <w:numPr>
          <w:ilvl w:val="0"/>
          <w:numId w:val="9"/>
        </w:numPr>
        <w:spacing w:line="480" w:lineRule="auto"/>
        <w:jc w:val="both"/>
        <w:rPr>
          <w:lang w:val="en-IN"/>
        </w:rPr>
      </w:pPr>
      <w:r w:rsidRPr="00E83FFA">
        <w:rPr>
          <w:lang w:val="en-IN"/>
        </w:rPr>
        <w:t>Sampling imbalance may still underrepresent certain urban occupational classes.</w:t>
      </w:r>
    </w:p>
    <w:p w14:paraId="70CCC641" w14:textId="13875B17" w:rsidR="001B3027" w:rsidRPr="001B3027" w:rsidRDefault="001E0866" w:rsidP="001B3027">
      <w:pPr>
        <w:spacing w:line="480" w:lineRule="auto"/>
        <w:jc w:val="both"/>
        <w:rPr>
          <w:lang w:val="en-IN"/>
        </w:rPr>
      </w:pPr>
      <w:r w:rsidRPr="001B3027">
        <w:rPr>
          <w:b/>
          <w:bCs/>
          <w:lang w:val="en-IN"/>
        </w:rPr>
        <w:t>CONCLUSION</w:t>
      </w:r>
    </w:p>
    <w:p w14:paraId="7ADE9290" w14:textId="77777777" w:rsidR="001B3027" w:rsidRPr="001B3027" w:rsidRDefault="001B3027" w:rsidP="001B3027">
      <w:pPr>
        <w:spacing w:line="480" w:lineRule="auto"/>
        <w:jc w:val="both"/>
        <w:rPr>
          <w:lang w:val="en-IN"/>
        </w:rPr>
      </w:pPr>
      <w:r w:rsidRPr="001B3027">
        <w:rPr>
          <w:lang w:val="en-IN"/>
        </w:rPr>
        <w:t>In conclusion, our study underscores the multifactorial nature of cataract development and identifies several important risk factors, including age, gender, wo</w:t>
      </w:r>
      <w:bookmarkStart w:id="0" w:name="_GoBack"/>
      <w:bookmarkEnd w:id="0"/>
      <w:r w:rsidRPr="001B3027">
        <w:rPr>
          <w:lang w:val="en-IN"/>
        </w:rPr>
        <w:t>rk environment, socio-economic status, addiction, and associated systemic diseases. The findings from this study can inform public health strategies aimed at preventing cataract development, particularly in rural populations where the burden is high. Interventions such as public education on UV protection, tobacco cessation, and improving access to healthcare could reduce the incidence and progression of cataracts, ultimately improving the quality of life for individuals in these communities.</w:t>
      </w:r>
    </w:p>
    <w:p w14:paraId="5F1FD980" w14:textId="62330E0D" w:rsidR="00F44A90" w:rsidRPr="00F44A90" w:rsidRDefault="001E0866" w:rsidP="001B3027">
      <w:pPr>
        <w:rPr>
          <w:b/>
          <w:bCs/>
          <w:lang w:val="en-IN"/>
        </w:rPr>
      </w:pPr>
      <w:r w:rsidRPr="00F44A90">
        <w:rPr>
          <w:b/>
          <w:bCs/>
          <w:lang w:val="en-IN"/>
        </w:rPr>
        <w:lastRenderedPageBreak/>
        <w:t>REFERENCES</w:t>
      </w:r>
    </w:p>
    <w:p w14:paraId="5A5C193A" w14:textId="77777777" w:rsidR="00E83FFA" w:rsidRPr="00E83FFA" w:rsidRDefault="00E83FFA" w:rsidP="00E83FFA">
      <w:pPr>
        <w:numPr>
          <w:ilvl w:val="0"/>
          <w:numId w:val="8"/>
        </w:numPr>
        <w:tabs>
          <w:tab w:val="clear" w:pos="720"/>
          <w:tab w:val="num" w:pos="360"/>
        </w:tabs>
        <w:ind w:left="360"/>
        <w:jc w:val="both"/>
        <w:rPr>
          <w:lang w:val="en-IN"/>
        </w:rPr>
      </w:pPr>
      <w:proofErr w:type="spellStart"/>
      <w:r w:rsidRPr="00E83FFA">
        <w:rPr>
          <w:lang w:val="en-IN"/>
        </w:rPr>
        <w:t>Pascolini</w:t>
      </w:r>
      <w:proofErr w:type="spellEnd"/>
      <w:r w:rsidRPr="00E83FFA">
        <w:rPr>
          <w:lang w:val="en-IN"/>
        </w:rPr>
        <w:t xml:space="preserve"> D, </w:t>
      </w:r>
      <w:proofErr w:type="spellStart"/>
      <w:r w:rsidRPr="00E83FFA">
        <w:rPr>
          <w:lang w:val="en-IN"/>
        </w:rPr>
        <w:t>Mariotti</w:t>
      </w:r>
      <w:proofErr w:type="spellEnd"/>
      <w:r w:rsidRPr="00E83FFA">
        <w:rPr>
          <w:lang w:val="en-IN"/>
        </w:rPr>
        <w:t xml:space="preserve"> SP. Global estimates of visual impairment: 2010. </w:t>
      </w:r>
      <w:r w:rsidRPr="00E83FFA">
        <w:rPr>
          <w:i/>
          <w:iCs/>
          <w:lang w:val="en-IN"/>
        </w:rPr>
        <w:t xml:space="preserve">Br J </w:t>
      </w:r>
      <w:proofErr w:type="spellStart"/>
      <w:r w:rsidRPr="00E83FFA">
        <w:rPr>
          <w:i/>
          <w:iCs/>
          <w:lang w:val="en-IN"/>
        </w:rPr>
        <w:t>Ophthalmol</w:t>
      </w:r>
      <w:proofErr w:type="spellEnd"/>
      <w:r w:rsidRPr="00E83FFA">
        <w:rPr>
          <w:i/>
          <w:iCs/>
          <w:lang w:val="en-IN"/>
        </w:rPr>
        <w:t>.</w:t>
      </w:r>
      <w:r w:rsidRPr="00E83FFA">
        <w:rPr>
          <w:lang w:val="en-IN"/>
        </w:rPr>
        <w:t xml:space="preserve"> 2012;96(5):614–8.</w:t>
      </w:r>
    </w:p>
    <w:p w14:paraId="1A40B98A" w14:textId="77777777" w:rsidR="00E83FFA" w:rsidRPr="00E83FFA" w:rsidRDefault="00E83FFA" w:rsidP="00E83FFA">
      <w:pPr>
        <w:numPr>
          <w:ilvl w:val="0"/>
          <w:numId w:val="8"/>
        </w:numPr>
        <w:tabs>
          <w:tab w:val="clear" w:pos="720"/>
          <w:tab w:val="num" w:pos="360"/>
        </w:tabs>
        <w:ind w:left="360"/>
        <w:jc w:val="both"/>
        <w:rPr>
          <w:lang w:val="en-IN"/>
        </w:rPr>
      </w:pPr>
      <w:r w:rsidRPr="00E83FFA">
        <w:rPr>
          <w:lang w:val="en-IN"/>
        </w:rPr>
        <w:t xml:space="preserve">World Health Organization. </w:t>
      </w:r>
      <w:r w:rsidRPr="00E83FFA">
        <w:rPr>
          <w:i/>
          <w:iCs/>
          <w:lang w:val="en-IN"/>
        </w:rPr>
        <w:t>World report on vision.</w:t>
      </w:r>
      <w:r w:rsidRPr="00E83FFA">
        <w:rPr>
          <w:lang w:val="en-IN"/>
        </w:rPr>
        <w:t xml:space="preserve"> Geneva: World Health Organization; 2019.</w:t>
      </w:r>
    </w:p>
    <w:p w14:paraId="401A9316" w14:textId="77777777" w:rsidR="00E83FFA" w:rsidRPr="00E83FFA" w:rsidRDefault="00E83FFA" w:rsidP="00E83FFA">
      <w:pPr>
        <w:numPr>
          <w:ilvl w:val="0"/>
          <w:numId w:val="8"/>
        </w:numPr>
        <w:tabs>
          <w:tab w:val="clear" w:pos="720"/>
          <w:tab w:val="num" w:pos="360"/>
        </w:tabs>
        <w:ind w:left="360"/>
        <w:jc w:val="both"/>
        <w:rPr>
          <w:lang w:val="en-IN"/>
        </w:rPr>
      </w:pPr>
      <w:r w:rsidRPr="00E83FFA">
        <w:rPr>
          <w:lang w:val="en-IN"/>
        </w:rPr>
        <w:t xml:space="preserve">Liu Y, Zhang X, Wang W. Cataract prevalence and its risk factors: A global perspective. </w:t>
      </w:r>
      <w:r w:rsidRPr="00E83FFA">
        <w:rPr>
          <w:i/>
          <w:iCs/>
          <w:lang w:val="en-IN"/>
        </w:rPr>
        <w:t>Lancet Public Health.</w:t>
      </w:r>
      <w:r w:rsidRPr="00E83FFA">
        <w:rPr>
          <w:lang w:val="en-IN"/>
        </w:rPr>
        <w:t xml:space="preserve"> 2021;6(4</w:t>
      </w:r>
      <w:proofErr w:type="gramStart"/>
      <w:r w:rsidRPr="00E83FFA">
        <w:rPr>
          <w:lang w:val="en-IN"/>
        </w:rPr>
        <w:t>):e</w:t>
      </w:r>
      <w:proofErr w:type="gramEnd"/>
      <w:r w:rsidRPr="00E83FFA">
        <w:rPr>
          <w:lang w:val="en-IN"/>
        </w:rPr>
        <w:t>214–22.</w:t>
      </w:r>
    </w:p>
    <w:p w14:paraId="5689966C" w14:textId="77777777" w:rsidR="00E83FFA" w:rsidRPr="00E83FFA" w:rsidRDefault="00E83FFA" w:rsidP="00E83FFA">
      <w:pPr>
        <w:numPr>
          <w:ilvl w:val="0"/>
          <w:numId w:val="8"/>
        </w:numPr>
        <w:tabs>
          <w:tab w:val="clear" w:pos="720"/>
          <w:tab w:val="num" w:pos="360"/>
        </w:tabs>
        <w:ind w:left="360"/>
        <w:jc w:val="both"/>
        <w:rPr>
          <w:lang w:val="en-IN"/>
        </w:rPr>
      </w:pPr>
      <w:r w:rsidRPr="00E83FFA">
        <w:rPr>
          <w:lang w:val="en-IN"/>
        </w:rPr>
        <w:t xml:space="preserve">Bureau L, </w:t>
      </w:r>
      <w:proofErr w:type="spellStart"/>
      <w:r w:rsidRPr="00E83FFA">
        <w:rPr>
          <w:lang w:val="en-IN"/>
        </w:rPr>
        <w:t>Courdier</w:t>
      </w:r>
      <w:proofErr w:type="spellEnd"/>
      <w:r w:rsidRPr="00E83FFA">
        <w:rPr>
          <w:lang w:val="en-IN"/>
        </w:rPr>
        <w:t xml:space="preserve"> P, </w:t>
      </w:r>
      <w:proofErr w:type="spellStart"/>
      <w:r w:rsidRPr="00E83FFA">
        <w:rPr>
          <w:lang w:val="en-IN"/>
        </w:rPr>
        <w:t>Galateau-Sallé</w:t>
      </w:r>
      <w:proofErr w:type="spellEnd"/>
      <w:r w:rsidRPr="00E83FFA">
        <w:rPr>
          <w:lang w:val="en-IN"/>
        </w:rPr>
        <w:t xml:space="preserve"> F. Age-related cataract: The role of genetic and environmental factors. </w:t>
      </w:r>
      <w:r w:rsidRPr="00E83FFA">
        <w:rPr>
          <w:i/>
          <w:iCs/>
          <w:lang w:val="en-IN"/>
        </w:rPr>
        <w:t xml:space="preserve">J </w:t>
      </w:r>
      <w:proofErr w:type="spellStart"/>
      <w:r w:rsidRPr="00E83FFA">
        <w:rPr>
          <w:i/>
          <w:iCs/>
          <w:lang w:val="en-IN"/>
        </w:rPr>
        <w:t>Ophthalmol</w:t>
      </w:r>
      <w:proofErr w:type="spellEnd"/>
      <w:r w:rsidRPr="00E83FFA">
        <w:rPr>
          <w:i/>
          <w:iCs/>
          <w:lang w:val="en-IN"/>
        </w:rPr>
        <w:t>.</w:t>
      </w:r>
      <w:r w:rsidRPr="00E83FFA">
        <w:rPr>
          <w:lang w:val="en-IN"/>
        </w:rPr>
        <w:t xml:space="preserve"> 2019;14(2):42–53.</w:t>
      </w:r>
    </w:p>
    <w:p w14:paraId="775C887E" w14:textId="77777777" w:rsidR="00E83FFA" w:rsidRPr="00E83FFA" w:rsidRDefault="00E83FFA" w:rsidP="00E83FFA">
      <w:pPr>
        <w:numPr>
          <w:ilvl w:val="0"/>
          <w:numId w:val="8"/>
        </w:numPr>
        <w:tabs>
          <w:tab w:val="clear" w:pos="720"/>
          <w:tab w:val="num" w:pos="360"/>
        </w:tabs>
        <w:ind w:left="360"/>
        <w:jc w:val="both"/>
        <w:rPr>
          <w:lang w:val="en-IN"/>
        </w:rPr>
      </w:pPr>
      <w:r w:rsidRPr="00E83FFA">
        <w:rPr>
          <w:lang w:val="en-IN"/>
        </w:rPr>
        <w:t xml:space="preserve">Spector A. The pathogenesis of cataract: Role of oxidative stress and antioxidants. </w:t>
      </w:r>
      <w:proofErr w:type="spellStart"/>
      <w:r w:rsidRPr="00E83FFA">
        <w:rPr>
          <w:i/>
          <w:iCs/>
          <w:lang w:val="en-IN"/>
        </w:rPr>
        <w:t>Ophthalmol</w:t>
      </w:r>
      <w:proofErr w:type="spellEnd"/>
      <w:r w:rsidRPr="00E83FFA">
        <w:rPr>
          <w:i/>
          <w:iCs/>
          <w:lang w:val="en-IN"/>
        </w:rPr>
        <w:t xml:space="preserve"> Eye Dis.</w:t>
      </w:r>
      <w:r w:rsidRPr="00E83FFA">
        <w:rPr>
          <w:lang w:val="en-IN"/>
        </w:rPr>
        <w:t xml:space="preserve"> </w:t>
      </w:r>
      <w:proofErr w:type="gramStart"/>
      <w:r w:rsidRPr="00E83FFA">
        <w:rPr>
          <w:lang w:val="en-IN"/>
        </w:rPr>
        <w:t>2016;8:16</w:t>
      </w:r>
      <w:proofErr w:type="gramEnd"/>
      <w:r w:rsidRPr="00E83FFA">
        <w:rPr>
          <w:lang w:val="en-IN"/>
        </w:rPr>
        <w:t>–20.</w:t>
      </w:r>
    </w:p>
    <w:p w14:paraId="33ED531E" w14:textId="77777777" w:rsidR="00E83FFA" w:rsidRPr="00E83FFA" w:rsidRDefault="00E83FFA" w:rsidP="00E83FFA">
      <w:pPr>
        <w:numPr>
          <w:ilvl w:val="0"/>
          <w:numId w:val="8"/>
        </w:numPr>
        <w:tabs>
          <w:tab w:val="clear" w:pos="720"/>
          <w:tab w:val="num" w:pos="360"/>
        </w:tabs>
        <w:ind w:left="360"/>
        <w:jc w:val="both"/>
        <w:rPr>
          <w:lang w:val="en-IN"/>
        </w:rPr>
      </w:pPr>
      <w:r w:rsidRPr="00E83FFA">
        <w:rPr>
          <w:lang w:val="en-IN"/>
        </w:rPr>
        <w:t xml:space="preserve">Liew G, Wang JJ, Mitchell P. Diabetes, hypertension, and cataract formation: The epidemiology of cataract. </w:t>
      </w:r>
      <w:r w:rsidRPr="00E83FFA">
        <w:rPr>
          <w:i/>
          <w:iCs/>
          <w:lang w:val="en-IN"/>
        </w:rPr>
        <w:t>Ophthalmology.</w:t>
      </w:r>
      <w:r w:rsidRPr="00E83FFA">
        <w:rPr>
          <w:lang w:val="en-IN"/>
        </w:rPr>
        <w:t xml:space="preserve"> 2020;127(4):504–11.</w:t>
      </w:r>
    </w:p>
    <w:p w14:paraId="329A7DCA" w14:textId="77777777" w:rsidR="00E83FFA" w:rsidRPr="00E83FFA" w:rsidRDefault="00E83FFA" w:rsidP="00E83FFA">
      <w:pPr>
        <w:numPr>
          <w:ilvl w:val="0"/>
          <w:numId w:val="8"/>
        </w:numPr>
        <w:tabs>
          <w:tab w:val="clear" w:pos="720"/>
          <w:tab w:val="num" w:pos="360"/>
        </w:tabs>
        <w:ind w:left="360"/>
        <w:jc w:val="both"/>
        <w:rPr>
          <w:lang w:val="en-IN"/>
        </w:rPr>
      </w:pPr>
      <w:r w:rsidRPr="00E83FFA">
        <w:rPr>
          <w:lang w:val="en-IN"/>
        </w:rPr>
        <w:t xml:space="preserve">Fitzgerald A, Dunne S, Blake K. Cataract in rural populations: Environmental factors influencing the disease. </w:t>
      </w:r>
      <w:r w:rsidRPr="00E83FFA">
        <w:rPr>
          <w:i/>
          <w:iCs/>
          <w:lang w:val="en-IN"/>
        </w:rPr>
        <w:t>Eye Vis (</w:t>
      </w:r>
      <w:proofErr w:type="spellStart"/>
      <w:r w:rsidRPr="00E83FFA">
        <w:rPr>
          <w:i/>
          <w:iCs/>
          <w:lang w:val="en-IN"/>
        </w:rPr>
        <w:t>Lond</w:t>
      </w:r>
      <w:proofErr w:type="spellEnd"/>
      <w:r w:rsidRPr="00E83FFA">
        <w:rPr>
          <w:i/>
          <w:iCs/>
          <w:lang w:val="en-IN"/>
        </w:rPr>
        <w:t>).</w:t>
      </w:r>
      <w:r w:rsidRPr="00E83FFA">
        <w:rPr>
          <w:lang w:val="en-IN"/>
        </w:rPr>
        <w:t xml:space="preserve"> 2019;15(1):42–8.</w:t>
      </w:r>
    </w:p>
    <w:p w14:paraId="6BD88AB1" w14:textId="77777777" w:rsidR="00E83FFA" w:rsidRPr="00E83FFA" w:rsidRDefault="00E83FFA" w:rsidP="00E83FFA">
      <w:pPr>
        <w:numPr>
          <w:ilvl w:val="0"/>
          <w:numId w:val="8"/>
        </w:numPr>
        <w:tabs>
          <w:tab w:val="clear" w:pos="720"/>
          <w:tab w:val="num" w:pos="360"/>
        </w:tabs>
        <w:ind w:left="360"/>
        <w:jc w:val="both"/>
        <w:rPr>
          <w:lang w:val="en-IN"/>
        </w:rPr>
      </w:pPr>
      <w:r w:rsidRPr="00E83FFA">
        <w:rPr>
          <w:lang w:val="en-IN"/>
        </w:rPr>
        <w:t xml:space="preserve">Rangarajan A, Selvam MS, Rajendran P. Occupational risk factors for cataracts: A study in agricultural workers. </w:t>
      </w:r>
      <w:r w:rsidRPr="00E83FFA">
        <w:rPr>
          <w:i/>
          <w:iCs/>
          <w:lang w:val="en-IN"/>
        </w:rPr>
        <w:t xml:space="preserve">J </w:t>
      </w:r>
      <w:proofErr w:type="spellStart"/>
      <w:r w:rsidRPr="00E83FFA">
        <w:rPr>
          <w:i/>
          <w:iCs/>
          <w:lang w:val="en-IN"/>
        </w:rPr>
        <w:t>Occup</w:t>
      </w:r>
      <w:proofErr w:type="spellEnd"/>
      <w:r w:rsidRPr="00E83FFA">
        <w:rPr>
          <w:i/>
          <w:iCs/>
          <w:lang w:val="en-IN"/>
        </w:rPr>
        <w:t xml:space="preserve"> Health.</w:t>
      </w:r>
      <w:r w:rsidRPr="00E83FFA">
        <w:rPr>
          <w:lang w:val="en-IN"/>
        </w:rPr>
        <w:t xml:space="preserve"> 2021;63(2):121–9.</w:t>
      </w:r>
    </w:p>
    <w:p w14:paraId="6D4DA01C" w14:textId="77777777" w:rsidR="00E83FFA" w:rsidRPr="00E83FFA" w:rsidRDefault="00E83FFA" w:rsidP="00E83FFA">
      <w:pPr>
        <w:numPr>
          <w:ilvl w:val="0"/>
          <w:numId w:val="8"/>
        </w:numPr>
        <w:tabs>
          <w:tab w:val="clear" w:pos="720"/>
          <w:tab w:val="num" w:pos="360"/>
        </w:tabs>
        <w:ind w:left="360"/>
        <w:jc w:val="both"/>
        <w:rPr>
          <w:lang w:val="en-IN"/>
        </w:rPr>
      </w:pPr>
      <w:r w:rsidRPr="00E83FFA">
        <w:rPr>
          <w:lang w:val="en-IN"/>
        </w:rPr>
        <w:t xml:space="preserve">Baker SS, Lewallen S, Foster A. Cataract and socioeconomic status: The role of access to healthcare. </w:t>
      </w:r>
      <w:r w:rsidRPr="00E83FFA">
        <w:rPr>
          <w:i/>
          <w:iCs/>
          <w:lang w:val="en-IN"/>
        </w:rPr>
        <w:t>Lancet Glob Health.</w:t>
      </w:r>
      <w:r w:rsidRPr="00E83FFA">
        <w:rPr>
          <w:lang w:val="en-IN"/>
        </w:rPr>
        <w:t xml:space="preserve"> 2020;8(3</w:t>
      </w:r>
      <w:proofErr w:type="gramStart"/>
      <w:r w:rsidRPr="00E83FFA">
        <w:rPr>
          <w:lang w:val="en-IN"/>
        </w:rPr>
        <w:t>):e</w:t>
      </w:r>
      <w:proofErr w:type="gramEnd"/>
      <w:r w:rsidRPr="00E83FFA">
        <w:rPr>
          <w:lang w:val="en-IN"/>
        </w:rPr>
        <w:t>302–9.</w:t>
      </w:r>
    </w:p>
    <w:p w14:paraId="6AE4AFA4" w14:textId="427695C2" w:rsidR="00F44A90" w:rsidRPr="001B3027" w:rsidRDefault="00F44A90" w:rsidP="00E83FFA">
      <w:pPr>
        <w:jc w:val="both"/>
        <w:rPr>
          <w:lang w:val="en-IN"/>
        </w:rPr>
      </w:pPr>
    </w:p>
    <w:sectPr w:rsidR="00F44A90" w:rsidRPr="001B302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535D5" w14:textId="77777777" w:rsidR="00552286" w:rsidRDefault="00552286" w:rsidP="007F014B">
      <w:pPr>
        <w:spacing w:after="0" w:line="240" w:lineRule="auto"/>
      </w:pPr>
      <w:r>
        <w:separator/>
      </w:r>
    </w:p>
  </w:endnote>
  <w:endnote w:type="continuationSeparator" w:id="0">
    <w:p w14:paraId="106776B5" w14:textId="77777777" w:rsidR="00552286" w:rsidRDefault="00552286" w:rsidP="007F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C3454" w14:textId="77777777" w:rsidR="007F014B" w:rsidRDefault="007F0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7BD88" w14:textId="77777777" w:rsidR="007F014B" w:rsidRDefault="007F0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372C" w14:textId="77777777" w:rsidR="007F014B" w:rsidRDefault="007F0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83BCC" w14:textId="77777777" w:rsidR="00552286" w:rsidRDefault="00552286" w:rsidP="007F014B">
      <w:pPr>
        <w:spacing w:after="0" w:line="240" w:lineRule="auto"/>
      </w:pPr>
      <w:r>
        <w:separator/>
      </w:r>
    </w:p>
  </w:footnote>
  <w:footnote w:type="continuationSeparator" w:id="0">
    <w:p w14:paraId="4C15EF72" w14:textId="77777777" w:rsidR="00552286" w:rsidRDefault="00552286" w:rsidP="007F0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67D3" w14:textId="35BAF9E6" w:rsidR="007F014B" w:rsidRDefault="007F014B">
    <w:pPr>
      <w:pStyle w:val="Header"/>
    </w:pPr>
    <w:r>
      <w:rPr>
        <w:noProof/>
      </w:rPr>
      <w:pict w14:anchorId="32104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425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C444F" w14:textId="20A5ACD0" w:rsidR="007F014B" w:rsidRDefault="007F014B">
    <w:pPr>
      <w:pStyle w:val="Header"/>
    </w:pPr>
    <w:r>
      <w:rPr>
        <w:noProof/>
      </w:rPr>
      <w:pict w14:anchorId="64AB7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425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0D40" w14:textId="0A0E4F17" w:rsidR="007F014B" w:rsidRDefault="007F014B">
    <w:pPr>
      <w:pStyle w:val="Header"/>
    </w:pPr>
    <w:r>
      <w:rPr>
        <w:noProof/>
      </w:rPr>
      <w:pict w14:anchorId="111C6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3425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4D5"/>
    <w:multiLevelType w:val="hybridMultilevel"/>
    <w:tmpl w:val="717C013E"/>
    <w:lvl w:ilvl="0" w:tplc="7EF0545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2863E5"/>
    <w:multiLevelType w:val="multilevel"/>
    <w:tmpl w:val="2824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468C4"/>
    <w:multiLevelType w:val="hybridMultilevel"/>
    <w:tmpl w:val="0A90B4C4"/>
    <w:lvl w:ilvl="0" w:tplc="B2748144">
      <w:start w:val="1"/>
      <w:numFmt w:val="upperLetter"/>
      <w:lvlText w:val="%1."/>
      <w:lvlJc w:val="left"/>
      <w:pPr>
        <w:tabs>
          <w:tab w:val="num" w:pos="1080"/>
        </w:tabs>
        <w:ind w:left="1080" w:hanging="360"/>
      </w:pPr>
      <w:rPr>
        <w:rFonts w:hint="default"/>
      </w:rPr>
    </w:lvl>
    <w:lvl w:ilvl="1" w:tplc="40090019" w:tentative="1">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06A6399"/>
    <w:multiLevelType w:val="hybridMultilevel"/>
    <w:tmpl w:val="CFB88404"/>
    <w:lvl w:ilvl="0" w:tplc="FFD4056A">
      <w:start w:val="1"/>
      <w:numFmt w:val="decimal"/>
      <w:lvlText w:val="%1."/>
      <w:lvlJc w:val="left"/>
      <w:pPr>
        <w:ind w:left="720" w:hanging="360"/>
      </w:pPr>
      <w:rPr>
        <w:rFonts w:hint="default"/>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BD3ABD"/>
    <w:multiLevelType w:val="multilevel"/>
    <w:tmpl w:val="62E8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37250"/>
    <w:multiLevelType w:val="multilevel"/>
    <w:tmpl w:val="5C4C4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872666"/>
    <w:multiLevelType w:val="multilevel"/>
    <w:tmpl w:val="A544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C680C"/>
    <w:multiLevelType w:val="multilevel"/>
    <w:tmpl w:val="C8027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2E37E6"/>
    <w:multiLevelType w:val="hybridMultilevel"/>
    <w:tmpl w:val="9C806C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8"/>
  </w:num>
  <w:num w:numId="5">
    <w:abstractNumId w:val="3"/>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D1"/>
    <w:rsid w:val="0016554B"/>
    <w:rsid w:val="00174DDF"/>
    <w:rsid w:val="00183A52"/>
    <w:rsid w:val="00187968"/>
    <w:rsid w:val="001B3027"/>
    <w:rsid w:val="001E0866"/>
    <w:rsid w:val="00252849"/>
    <w:rsid w:val="0026498C"/>
    <w:rsid w:val="00294A22"/>
    <w:rsid w:val="00305E67"/>
    <w:rsid w:val="003809D7"/>
    <w:rsid w:val="003D6CAB"/>
    <w:rsid w:val="004937D9"/>
    <w:rsid w:val="00527DB2"/>
    <w:rsid w:val="005430C2"/>
    <w:rsid w:val="00552286"/>
    <w:rsid w:val="005C55D4"/>
    <w:rsid w:val="0062273E"/>
    <w:rsid w:val="006352B3"/>
    <w:rsid w:val="006933D6"/>
    <w:rsid w:val="006A6399"/>
    <w:rsid w:val="007F014B"/>
    <w:rsid w:val="00851067"/>
    <w:rsid w:val="008A2997"/>
    <w:rsid w:val="00912893"/>
    <w:rsid w:val="00937AD0"/>
    <w:rsid w:val="00987E88"/>
    <w:rsid w:val="009A538B"/>
    <w:rsid w:val="00A33000"/>
    <w:rsid w:val="00AB6B3E"/>
    <w:rsid w:val="00AD0870"/>
    <w:rsid w:val="00B80C26"/>
    <w:rsid w:val="00B974E1"/>
    <w:rsid w:val="00C654A2"/>
    <w:rsid w:val="00D10DC5"/>
    <w:rsid w:val="00E059D1"/>
    <w:rsid w:val="00E83FFA"/>
    <w:rsid w:val="00F146A5"/>
    <w:rsid w:val="00F41B37"/>
    <w:rsid w:val="00F44A90"/>
    <w:rsid w:val="00F51414"/>
    <w:rsid w:val="00F91EBE"/>
    <w:rsid w:val="00F945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5C4D85"/>
  <w15:chartTrackingRefBased/>
  <w15:docId w15:val="{A6DF2F5D-B570-47BB-8C4D-7A79218F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B3E"/>
    <w:pPr>
      <w:spacing w:after="200" w:line="276" w:lineRule="auto"/>
    </w:pPr>
    <w:rPr>
      <w:rFonts w:ascii="Times New Roman" w:hAnsi="Times New Roman" w:cs="Times New Roman"/>
      <w:kern w:val="0"/>
      <w:sz w:val="24"/>
      <w:szCs w:val="24"/>
      <w:lang w:val="en-US"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B3E"/>
    <w:pPr>
      <w:ind w:left="720"/>
      <w:contextualSpacing/>
    </w:pPr>
  </w:style>
  <w:style w:type="paragraph" w:customStyle="1" w:styleId="Level1">
    <w:name w:val="Level 1"/>
    <w:basedOn w:val="TOC1"/>
    <w:link w:val="Level1Char"/>
    <w:qFormat/>
    <w:rsid w:val="00AB6B3E"/>
    <w:pPr>
      <w:tabs>
        <w:tab w:val="right" w:leader="dot" w:pos="8630"/>
      </w:tabs>
      <w:spacing w:before="120" w:after="120" w:line="240" w:lineRule="auto"/>
    </w:pPr>
    <w:rPr>
      <w:rFonts w:eastAsia="Times New Roman"/>
      <w:b/>
      <w:bCs/>
      <w:caps/>
      <w:sz w:val="20"/>
      <w:szCs w:val="20"/>
      <w:lang w:bidi="ar-SA"/>
    </w:rPr>
  </w:style>
  <w:style w:type="character" w:customStyle="1" w:styleId="Level1Char">
    <w:name w:val="Level 1 Char"/>
    <w:link w:val="Level1"/>
    <w:rsid w:val="00AB6B3E"/>
    <w:rPr>
      <w:rFonts w:ascii="Times New Roman" w:eastAsia="Times New Roman" w:hAnsi="Times New Roman" w:cs="Times New Roman"/>
      <w:b/>
      <w:bCs/>
      <w:caps/>
      <w:kern w:val="0"/>
      <w:sz w:val="20"/>
      <w:szCs w:val="20"/>
      <w:lang w:val="en-US"/>
      <w14:ligatures w14:val="none"/>
    </w:rPr>
  </w:style>
  <w:style w:type="character" w:customStyle="1" w:styleId="word">
    <w:name w:val="word"/>
    <w:basedOn w:val="DefaultParagraphFont"/>
    <w:rsid w:val="00AB6B3E"/>
  </w:style>
  <w:style w:type="character" w:customStyle="1" w:styleId="space">
    <w:name w:val="space"/>
    <w:basedOn w:val="DefaultParagraphFont"/>
    <w:rsid w:val="00AB6B3E"/>
  </w:style>
  <w:style w:type="table" w:styleId="GridTable6Colorful-Accent3">
    <w:name w:val="Grid Table 6 Colorful Accent 3"/>
    <w:basedOn w:val="TableNormal"/>
    <w:uiPriority w:val="51"/>
    <w:rsid w:val="00AB6B3E"/>
    <w:pPr>
      <w:spacing w:after="0" w:line="240" w:lineRule="auto"/>
    </w:pPr>
    <w:rPr>
      <w:color w:val="7B7B7B" w:themeColor="accent3" w:themeShade="BF"/>
      <w:kern w:val="0"/>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semiHidden/>
    <w:unhideWhenUsed/>
    <w:rsid w:val="00AB6B3E"/>
    <w:pPr>
      <w:spacing w:after="100"/>
    </w:pPr>
  </w:style>
  <w:style w:type="table" w:styleId="TableGrid">
    <w:name w:val="Table Grid"/>
    <w:basedOn w:val="TableNormal"/>
    <w:uiPriority w:val="39"/>
    <w:rsid w:val="00F41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1B37"/>
  </w:style>
  <w:style w:type="character" w:styleId="Hyperlink">
    <w:name w:val="Hyperlink"/>
    <w:basedOn w:val="DefaultParagraphFont"/>
    <w:uiPriority w:val="99"/>
    <w:unhideWhenUsed/>
    <w:rsid w:val="00183A52"/>
    <w:rPr>
      <w:color w:val="0563C1" w:themeColor="hyperlink"/>
      <w:u w:val="single"/>
    </w:rPr>
  </w:style>
  <w:style w:type="paragraph" w:styleId="Header">
    <w:name w:val="header"/>
    <w:basedOn w:val="Normal"/>
    <w:link w:val="HeaderChar"/>
    <w:uiPriority w:val="99"/>
    <w:unhideWhenUsed/>
    <w:rsid w:val="007F0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4B"/>
    <w:rPr>
      <w:rFonts w:ascii="Times New Roman" w:hAnsi="Times New Roman" w:cs="Times New Roman"/>
      <w:kern w:val="0"/>
      <w:sz w:val="24"/>
      <w:szCs w:val="24"/>
      <w:lang w:val="en-US" w:bidi="kn-IN"/>
      <w14:ligatures w14:val="none"/>
    </w:rPr>
  </w:style>
  <w:style w:type="paragraph" w:styleId="Footer">
    <w:name w:val="footer"/>
    <w:basedOn w:val="Normal"/>
    <w:link w:val="FooterChar"/>
    <w:uiPriority w:val="99"/>
    <w:unhideWhenUsed/>
    <w:rsid w:val="007F0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4B"/>
    <w:rPr>
      <w:rFonts w:ascii="Times New Roman" w:hAnsi="Times New Roman" w:cs="Times New Roman"/>
      <w:kern w:val="0"/>
      <w:sz w:val="24"/>
      <w:szCs w:val="24"/>
      <w:lang w:val="en-US"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7055">
      <w:bodyDiv w:val="1"/>
      <w:marLeft w:val="0"/>
      <w:marRight w:val="0"/>
      <w:marTop w:val="0"/>
      <w:marBottom w:val="0"/>
      <w:divBdr>
        <w:top w:val="none" w:sz="0" w:space="0" w:color="auto"/>
        <w:left w:val="none" w:sz="0" w:space="0" w:color="auto"/>
        <w:bottom w:val="none" w:sz="0" w:space="0" w:color="auto"/>
        <w:right w:val="none" w:sz="0" w:space="0" w:color="auto"/>
      </w:divBdr>
    </w:div>
    <w:div w:id="18505940">
      <w:bodyDiv w:val="1"/>
      <w:marLeft w:val="0"/>
      <w:marRight w:val="0"/>
      <w:marTop w:val="0"/>
      <w:marBottom w:val="0"/>
      <w:divBdr>
        <w:top w:val="none" w:sz="0" w:space="0" w:color="auto"/>
        <w:left w:val="none" w:sz="0" w:space="0" w:color="auto"/>
        <w:bottom w:val="none" w:sz="0" w:space="0" w:color="auto"/>
        <w:right w:val="none" w:sz="0" w:space="0" w:color="auto"/>
      </w:divBdr>
    </w:div>
    <w:div w:id="76027932">
      <w:bodyDiv w:val="1"/>
      <w:marLeft w:val="0"/>
      <w:marRight w:val="0"/>
      <w:marTop w:val="0"/>
      <w:marBottom w:val="0"/>
      <w:divBdr>
        <w:top w:val="none" w:sz="0" w:space="0" w:color="auto"/>
        <w:left w:val="none" w:sz="0" w:space="0" w:color="auto"/>
        <w:bottom w:val="none" w:sz="0" w:space="0" w:color="auto"/>
        <w:right w:val="none" w:sz="0" w:space="0" w:color="auto"/>
      </w:divBdr>
    </w:div>
    <w:div w:id="163715526">
      <w:bodyDiv w:val="1"/>
      <w:marLeft w:val="0"/>
      <w:marRight w:val="0"/>
      <w:marTop w:val="0"/>
      <w:marBottom w:val="0"/>
      <w:divBdr>
        <w:top w:val="none" w:sz="0" w:space="0" w:color="auto"/>
        <w:left w:val="none" w:sz="0" w:space="0" w:color="auto"/>
        <w:bottom w:val="none" w:sz="0" w:space="0" w:color="auto"/>
        <w:right w:val="none" w:sz="0" w:space="0" w:color="auto"/>
      </w:divBdr>
    </w:div>
    <w:div w:id="175459700">
      <w:bodyDiv w:val="1"/>
      <w:marLeft w:val="0"/>
      <w:marRight w:val="0"/>
      <w:marTop w:val="0"/>
      <w:marBottom w:val="0"/>
      <w:divBdr>
        <w:top w:val="none" w:sz="0" w:space="0" w:color="auto"/>
        <w:left w:val="none" w:sz="0" w:space="0" w:color="auto"/>
        <w:bottom w:val="none" w:sz="0" w:space="0" w:color="auto"/>
        <w:right w:val="none" w:sz="0" w:space="0" w:color="auto"/>
      </w:divBdr>
    </w:div>
    <w:div w:id="226770539">
      <w:bodyDiv w:val="1"/>
      <w:marLeft w:val="0"/>
      <w:marRight w:val="0"/>
      <w:marTop w:val="0"/>
      <w:marBottom w:val="0"/>
      <w:divBdr>
        <w:top w:val="none" w:sz="0" w:space="0" w:color="auto"/>
        <w:left w:val="none" w:sz="0" w:space="0" w:color="auto"/>
        <w:bottom w:val="none" w:sz="0" w:space="0" w:color="auto"/>
        <w:right w:val="none" w:sz="0" w:space="0" w:color="auto"/>
      </w:divBdr>
    </w:div>
    <w:div w:id="233129005">
      <w:bodyDiv w:val="1"/>
      <w:marLeft w:val="0"/>
      <w:marRight w:val="0"/>
      <w:marTop w:val="0"/>
      <w:marBottom w:val="0"/>
      <w:divBdr>
        <w:top w:val="none" w:sz="0" w:space="0" w:color="auto"/>
        <w:left w:val="none" w:sz="0" w:space="0" w:color="auto"/>
        <w:bottom w:val="none" w:sz="0" w:space="0" w:color="auto"/>
        <w:right w:val="none" w:sz="0" w:space="0" w:color="auto"/>
      </w:divBdr>
    </w:div>
    <w:div w:id="240061646">
      <w:bodyDiv w:val="1"/>
      <w:marLeft w:val="0"/>
      <w:marRight w:val="0"/>
      <w:marTop w:val="0"/>
      <w:marBottom w:val="0"/>
      <w:divBdr>
        <w:top w:val="none" w:sz="0" w:space="0" w:color="auto"/>
        <w:left w:val="none" w:sz="0" w:space="0" w:color="auto"/>
        <w:bottom w:val="none" w:sz="0" w:space="0" w:color="auto"/>
        <w:right w:val="none" w:sz="0" w:space="0" w:color="auto"/>
      </w:divBdr>
    </w:div>
    <w:div w:id="362249227">
      <w:bodyDiv w:val="1"/>
      <w:marLeft w:val="0"/>
      <w:marRight w:val="0"/>
      <w:marTop w:val="0"/>
      <w:marBottom w:val="0"/>
      <w:divBdr>
        <w:top w:val="none" w:sz="0" w:space="0" w:color="auto"/>
        <w:left w:val="none" w:sz="0" w:space="0" w:color="auto"/>
        <w:bottom w:val="none" w:sz="0" w:space="0" w:color="auto"/>
        <w:right w:val="none" w:sz="0" w:space="0" w:color="auto"/>
      </w:divBdr>
    </w:div>
    <w:div w:id="365104994">
      <w:bodyDiv w:val="1"/>
      <w:marLeft w:val="0"/>
      <w:marRight w:val="0"/>
      <w:marTop w:val="0"/>
      <w:marBottom w:val="0"/>
      <w:divBdr>
        <w:top w:val="none" w:sz="0" w:space="0" w:color="auto"/>
        <w:left w:val="none" w:sz="0" w:space="0" w:color="auto"/>
        <w:bottom w:val="none" w:sz="0" w:space="0" w:color="auto"/>
        <w:right w:val="none" w:sz="0" w:space="0" w:color="auto"/>
      </w:divBdr>
    </w:div>
    <w:div w:id="369955640">
      <w:bodyDiv w:val="1"/>
      <w:marLeft w:val="0"/>
      <w:marRight w:val="0"/>
      <w:marTop w:val="0"/>
      <w:marBottom w:val="0"/>
      <w:divBdr>
        <w:top w:val="none" w:sz="0" w:space="0" w:color="auto"/>
        <w:left w:val="none" w:sz="0" w:space="0" w:color="auto"/>
        <w:bottom w:val="none" w:sz="0" w:space="0" w:color="auto"/>
        <w:right w:val="none" w:sz="0" w:space="0" w:color="auto"/>
      </w:divBdr>
    </w:div>
    <w:div w:id="411590568">
      <w:bodyDiv w:val="1"/>
      <w:marLeft w:val="0"/>
      <w:marRight w:val="0"/>
      <w:marTop w:val="0"/>
      <w:marBottom w:val="0"/>
      <w:divBdr>
        <w:top w:val="none" w:sz="0" w:space="0" w:color="auto"/>
        <w:left w:val="none" w:sz="0" w:space="0" w:color="auto"/>
        <w:bottom w:val="none" w:sz="0" w:space="0" w:color="auto"/>
        <w:right w:val="none" w:sz="0" w:space="0" w:color="auto"/>
      </w:divBdr>
    </w:div>
    <w:div w:id="482236740">
      <w:bodyDiv w:val="1"/>
      <w:marLeft w:val="0"/>
      <w:marRight w:val="0"/>
      <w:marTop w:val="0"/>
      <w:marBottom w:val="0"/>
      <w:divBdr>
        <w:top w:val="none" w:sz="0" w:space="0" w:color="auto"/>
        <w:left w:val="none" w:sz="0" w:space="0" w:color="auto"/>
        <w:bottom w:val="none" w:sz="0" w:space="0" w:color="auto"/>
        <w:right w:val="none" w:sz="0" w:space="0" w:color="auto"/>
      </w:divBdr>
    </w:div>
    <w:div w:id="504826572">
      <w:bodyDiv w:val="1"/>
      <w:marLeft w:val="0"/>
      <w:marRight w:val="0"/>
      <w:marTop w:val="0"/>
      <w:marBottom w:val="0"/>
      <w:divBdr>
        <w:top w:val="none" w:sz="0" w:space="0" w:color="auto"/>
        <w:left w:val="none" w:sz="0" w:space="0" w:color="auto"/>
        <w:bottom w:val="none" w:sz="0" w:space="0" w:color="auto"/>
        <w:right w:val="none" w:sz="0" w:space="0" w:color="auto"/>
      </w:divBdr>
    </w:div>
    <w:div w:id="514080931">
      <w:bodyDiv w:val="1"/>
      <w:marLeft w:val="0"/>
      <w:marRight w:val="0"/>
      <w:marTop w:val="0"/>
      <w:marBottom w:val="0"/>
      <w:divBdr>
        <w:top w:val="none" w:sz="0" w:space="0" w:color="auto"/>
        <w:left w:val="none" w:sz="0" w:space="0" w:color="auto"/>
        <w:bottom w:val="none" w:sz="0" w:space="0" w:color="auto"/>
        <w:right w:val="none" w:sz="0" w:space="0" w:color="auto"/>
      </w:divBdr>
    </w:div>
    <w:div w:id="522938605">
      <w:bodyDiv w:val="1"/>
      <w:marLeft w:val="0"/>
      <w:marRight w:val="0"/>
      <w:marTop w:val="0"/>
      <w:marBottom w:val="0"/>
      <w:divBdr>
        <w:top w:val="none" w:sz="0" w:space="0" w:color="auto"/>
        <w:left w:val="none" w:sz="0" w:space="0" w:color="auto"/>
        <w:bottom w:val="none" w:sz="0" w:space="0" w:color="auto"/>
        <w:right w:val="none" w:sz="0" w:space="0" w:color="auto"/>
      </w:divBdr>
    </w:div>
    <w:div w:id="539171098">
      <w:bodyDiv w:val="1"/>
      <w:marLeft w:val="0"/>
      <w:marRight w:val="0"/>
      <w:marTop w:val="0"/>
      <w:marBottom w:val="0"/>
      <w:divBdr>
        <w:top w:val="none" w:sz="0" w:space="0" w:color="auto"/>
        <w:left w:val="none" w:sz="0" w:space="0" w:color="auto"/>
        <w:bottom w:val="none" w:sz="0" w:space="0" w:color="auto"/>
        <w:right w:val="none" w:sz="0" w:space="0" w:color="auto"/>
      </w:divBdr>
    </w:div>
    <w:div w:id="570963318">
      <w:bodyDiv w:val="1"/>
      <w:marLeft w:val="0"/>
      <w:marRight w:val="0"/>
      <w:marTop w:val="0"/>
      <w:marBottom w:val="0"/>
      <w:divBdr>
        <w:top w:val="none" w:sz="0" w:space="0" w:color="auto"/>
        <w:left w:val="none" w:sz="0" w:space="0" w:color="auto"/>
        <w:bottom w:val="none" w:sz="0" w:space="0" w:color="auto"/>
        <w:right w:val="none" w:sz="0" w:space="0" w:color="auto"/>
      </w:divBdr>
    </w:div>
    <w:div w:id="583884300">
      <w:bodyDiv w:val="1"/>
      <w:marLeft w:val="0"/>
      <w:marRight w:val="0"/>
      <w:marTop w:val="0"/>
      <w:marBottom w:val="0"/>
      <w:divBdr>
        <w:top w:val="none" w:sz="0" w:space="0" w:color="auto"/>
        <w:left w:val="none" w:sz="0" w:space="0" w:color="auto"/>
        <w:bottom w:val="none" w:sz="0" w:space="0" w:color="auto"/>
        <w:right w:val="none" w:sz="0" w:space="0" w:color="auto"/>
      </w:divBdr>
      <w:divsChild>
        <w:div w:id="934170443">
          <w:marLeft w:val="0"/>
          <w:marRight w:val="0"/>
          <w:marTop w:val="0"/>
          <w:marBottom w:val="0"/>
          <w:divBdr>
            <w:top w:val="none" w:sz="0" w:space="0" w:color="auto"/>
            <w:left w:val="none" w:sz="0" w:space="0" w:color="auto"/>
            <w:bottom w:val="none" w:sz="0" w:space="0" w:color="auto"/>
            <w:right w:val="none" w:sz="0" w:space="0" w:color="auto"/>
          </w:divBdr>
          <w:divsChild>
            <w:div w:id="354580827">
              <w:marLeft w:val="0"/>
              <w:marRight w:val="0"/>
              <w:marTop w:val="0"/>
              <w:marBottom w:val="0"/>
              <w:divBdr>
                <w:top w:val="none" w:sz="0" w:space="0" w:color="auto"/>
                <w:left w:val="none" w:sz="0" w:space="0" w:color="auto"/>
                <w:bottom w:val="none" w:sz="0" w:space="0" w:color="auto"/>
                <w:right w:val="none" w:sz="0" w:space="0" w:color="auto"/>
              </w:divBdr>
              <w:divsChild>
                <w:div w:id="40715516">
                  <w:marLeft w:val="0"/>
                  <w:marRight w:val="0"/>
                  <w:marTop w:val="0"/>
                  <w:marBottom w:val="0"/>
                  <w:divBdr>
                    <w:top w:val="none" w:sz="0" w:space="0" w:color="auto"/>
                    <w:left w:val="none" w:sz="0" w:space="0" w:color="auto"/>
                    <w:bottom w:val="none" w:sz="0" w:space="0" w:color="auto"/>
                    <w:right w:val="none" w:sz="0" w:space="0" w:color="auto"/>
                  </w:divBdr>
                  <w:divsChild>
                    <w:div w:id="1760715116">
                      <w:marLeft w:val="0"/>
                      <w:marRight w:val="0"/>
                      <w:marTop w:val="0"/>
                      <w:marBottom w:val="0"/>
                      <w:divBdr>
                        <w:top w:val="none" w:sz="0" w:space="0" w:color="auto"/>
                        <w:left w:val="none" w:sz="0" w:space="0" w:color="auto"/>
                        <w:bottom w:val="none" w:sz="0" w:space="0" w:color="auto"/>
                        <w:right w:val="none" w:sz="0" w:space="0" w:color="auto"/>
                      </w:divBdr>
                      <w:divsChild>
                        <w:div w:id="439421545">
                          <w:marLeft w:val="0"/>
                          <w:marRight w:val="0"/>
                          <w:marTop w:val="0"/>
                          <w:marBottom w:val="0"/>
                          <w:divBdr>
                            <w:top w:val="none" w:sz="0" w:space="0" w:color="auto"/>
                            <w:left w:val="none" w:sz="0" w:space="0" w:color="auto"/>
                            <w:bottom w:val="none" w:sz="0" w:space="0" w:color="auto"/>
                            <w:right w:val="none" w:sz="0" w:space="0" w:color="auto"/>
                          </w:divBdr>
                          <w:divsChild>
                            <w:div w:id="2105608503">
                              <w:marLeft w:val="0"/>
                              <w:marRight w:val="0"/>
                              <w:marTop w:val="0"/>
                              <w:marBottom w:val="0"/>
                              <w:divBdr>
                                <w:top w:val="none" w:sz="0" w:space="0" w:color="auto"/>
                                <w:left w:val="none" w:sz="0" w:space="0" w:color="auto"/>
                                <w:bottom w:val="none" w:sz="0" w:space="0" w:color="auto"/>
                                <w:right w:val="none" w:sz="0" w:space="0" w:color="auto"/>
                              </w:divBdr>
                              <w:divsChild>
                                <w:div w:id="2107574216">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0"/>
                                      <w:marBottom w:val="0"/>
                                      <w:divBdr>
                                        <w:top w:val="none" w:sz="0" w:space="0" w:color="auto"/>
                                        <w:left w:val="none" w:sz="0" w:space="0" w:color="auto"/>
                                        <w:bottom w:val="none" w:sz="0" w:space="0" w:color="auto"/>
                                        <w:right w:val="none" w:sz="0" w:space="0" w:color="auto"/>
                                      </w:divBdr>
                                      <w:divsChild>
                                        <w:div w:id="2074548648">
                                          <w:marLeft w:val="0"/>
                                          <w:marRight w:val="0"/>
                                          <w:marTop w:val="0"/>
                                          <w:marBottom w:val="0"/>
                                          <w:divBdr>
                                            <w:top w:val="none" w:sz="0" w:space="0" w:color="auto"/>
                                            <w:left w:val="none" w:sz="0" w:space="0" w:color="auto"/>
                                            <w:bottom w:val="none" w:sz="0" w:space="0" w:color="auto"/>
                                            <w:right w:val="none" w:sz="0" w:space="0" w:color="auto"/>
                                          </w:divBdr>
                                          <w:divsChild>
                                            <w:div w:id="1780367137">
                                              <w:marLeft w:val="0"/>
                                              <w:marRight w:val="0"/>
                                              <w:marTop w:val="0"/>
                                              <w:marBottom w:val="0"/>
                                              <w:divBdr>
                                                <w:top w:val="none" w:sz="0" w:space="0" w:color="auto"/>
                                                <w:left w:val="none" w:sz="0" w:space="0" w:color="auto"/>
                                                <w:bottom w:val="none" w:sz="0" w:space="0" w:color="auto"/>
                                                <w:right w:val="none" w:sz="0" w:space="0" w:color="auto"/>
                                              </w:divBdr>
                                              <w:divsChild>
                                                <w:div w:id="1893425799">
                                                  <w:marLeft w:val="0"/>
                                                  <w:marRight w:val="0"/>
                                                  <w:marTop w:val="0"/>
                                                  <w:marBottom w:val="0"/>
                                                  <w:divBdr>
                                                    <w:top w:val="none" w:sz="0" w:space="0" w:color="auto"/>
                                                    <w:left w:val="none" w:sz="0" w:space="0" w:color="auto"/>
                                                    <w:bottom w:val="none" w:sz="0" w:space="0" w:color="auto"/>
                                                    <w:right w:val="none" w:sz="0" w:space="0" w:color="auto"/>
                                                  </w:divBdr>
                                                  <w:divsChild>
                                                    <w:div w:id="1996840746">
                                                      <w:marLeft w:val="0"/>
                                                      <w:marRight w:val="0"/>
                                                      <w:marTop w:val="0"/>
                                                      <w:marBottom w:val="0"/>
                                                      <w:divBdr>
                                                        <w:top w:val="none" w:sz="0" w:space="0" w:color="auto"/>
                                                        <w:left w:val="none" w:sz="0" w:space="0" w:color="auto"/>
                                                        <w:bottom w:val="none" w:sz="0" w:space="0" w:color="auto"/>
                                                        <w:right w:val="none" w:sz="0" w:space="0" w:color="auto"/>
                                                      </w:divBdr>
                                                      <w:divsChild>
                                                        <w:div w:id="10820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052461">
      <w:bodyDiv w:val="1"/>
      <w:marLeft w:val="0"/>
      <w:marRight w:val="0"/>
      <w:marTop w:val="0"/>
      <w:marBottom w:val="0"/>
      <w:divBdr>
        <w:top w:val="none" w:sz="0" w:space="0" w:color="auto"/>
        <w:left w:val="none" w:sz="0" w:space="0" w:color="auto"/>
        <w:bottom w:val="none" w:sz="0" w:space="0" w:color="auto"/>
        <w:right w:val="none" w:sz="0" w:space="0" w:color="auto"/>
      </w:divBdr>
    </w:div>
    <w:div w:id="712972041">
      <w:bodyDiv w:val="1"/>
      <w:marLeft w:val="0"/>
      <w:marRight w:val="0"/>
      <w:marTop w:val="0"/>
      <w:marBottom w:val="0"/>
      <w:divBdr>
        <w:top w:val="none" w:sz="0" w:space="0" w:color="auto"/>
        <w:left w:val="none" w:sz="0" w:space="0" w:color="auto"/>
        <w:bottom w:val="none" w:sz="0" w:space="0" w:color="auto"/>
        <w:right w:val="none" w:sz="0" w:space="0" w:color="auto"/>
      </w:divBdr>
    </w:div>
    <w:div w:id="742996284">
      <w:bodyDiv w:val="1"/>
      <w:marLeft w:val="0"/>
      <w:marRight w:val="0"/>
      <w:marTop w:val="0"/>
      <w:marBottom w:val="0"/>
      <w:divBdr>
        <w:top w:val="none" w:sz="0" w:space="0" w:color="auto"/>
        <w:left w:val="none" w:sz="0" w:space="0" w:color="auto"/>
        <w:bottom w:val="none" w:sz="0" w:space="0" w:color="auto"/>
        <w:right w:val="none" w:sz="0" w:space="0" w:color="auto"/>
      </w:divBdr>
      <w:divsChild>
        <w:div w:id="766971372">
          <w:marLeft w:val="0"/>
          <w:marRight w:val="0"/>
          <w:marTop w:val="0"/>
          <w:marBottom w:val="0"/>
          <w:divBdr>
            <w:top w:val="none" w:sz="0" w:space="0" w:color="auto"/>
            <w:left w:val="none" w:sz="0" w:space="0" w:color="auto"/>
            <w:bottom w:val="none" w:sz="0" w:space="0" w:color="auto"/>
            <w:right w:val="none" w:sz="0" w:space="0" w:color="auto"/>
          </w:divBdr>
          <w:divsChild>
            <w:div w:id="701134577">
              <w:marLeft w:val="0"/>
              <w:marRight w:val="0"/>
              <w:marTop w:val="0"/>
              <w:marBottom w:val="0"/>
              <w:divBdr>
                <w:top w:val="none" w:sz="0" w:space="0" w:color="auto"/>
                <w:left w:val="none" w:sz="0" w:space="0" w:color="auto"/>
                <w:bottom w:val="none" w:sz="0" w:space="0" w:color="auto"/>
                <w:right w:val="none" w:sz="0" w:space="0" w:color="auto"/>
              </w:divBdr>
              <w:divsChild>
                <w:div w:id="1121538261">
                  <w:marLeft w:val="0"/>
                  <w:marRight w:val="0"/>
                  <w:marTop w:val="0"/>
                  <w:marBottom w:val="0"/>
                  <w:divBdr>
                    <w:top w:val="none" w:sz="0" w:space="0" w:color="auto"/>
                    <w:left w:val="none" w:sz="0" w:space="0" w:color="auto"/>
                    <w:bottom w:val="none" w:sz="0" w:space="0" w:color="auto"/>
                    <w:right w:val="none" w:sz="0" w:space="0" w:color="auto"/>
                  </w:divBdr>
                  <w:divsChild>
                    <w:div w:id="1712195306">
                      <w:marLeft w:val="0"/>
                      <w:marRight w:val="0"/>
                      <w:marTop w:val="0"/>
                      <w:marBottom w:val="0"/>
                      <w:divBdr>
                        <w:top w:val="none" w:sz="0" w:space="0" w:color="auto"/>
                        <w:left w:val="none" w:sz="0" w:space="0" w:color="auto"/>
                        <w:bottom w:val="none" w:sz="0" w:space="0" w:color="auto"/>
                        <w:right w:val="none" w:sz="0" w:space="0" w:color="auto"/>
                      </w:divBdr>
                      <w:divsChild>
                        <w:div w:id="122041187">
                          <w:marLeft w:val="0"/>
                          <w:marRight w:val="0"/>
                          <w:marTop w:val="0"/>
                          <w:marBottom w:val="0"/>
                          <w:divBdr>
                            <w:top w:val="none" w:sz="0" w:space="0" w:color="auto"/>
                            <w:left w:val="none" w:sz="0" w:space="0" w:color="auto"/>
                            <w:bottom w:val="none" w:sz="0" w:space="0" w:color="auto"/>
                            <w:right w:val="none" w:sz="0" w:space="0" w:color="auto"/>
                          </w:divBdr>
                          <w:divsChild>
                            <w:div w:id="1368919341">
                              <w:marLeft w:val="0"/>
                              <w:marRight w:val="0"/>
                              <w:marTop w:val="0"/>
                              <w:marBottom w:val="0"/>
                              <w:divBdr>
                                <w:top w:val="none" w:sz="0" w:space="0" w:color="auto"/>
                                <w:left w:val="none" w:sz="0" w:space="0" w:color="auto"/>
                                <w:bottom w:val="none" w:sz="0" w:space="0" w:color="auto"/>
                                <w:right w:val="none" w:sz="0" w:space="0" w:color="auto"/>
                              </w:divBdr>
                              <w:divsChild>
                                <w:div w:id="590814095">
                                  <w:marLeft w:val="0"/>
                                  <w:marRight w:val="0"/>
                                  <w:marTop w:val="0"/>
                                  <w:marBottom w:val="0"/>
                                  <w:divBdr>
                                    <w:top w:val="none" w:sz="0" w:space="0" w:color="auto"/>
                                    <w:left w:val="none" w:sz="0" w:space="0" w:color="auto"/>
                                    <w:bottom w:val="none" w:sz="0" w:space="0" w:color="auto"/>
                                    <w:right w:val="none" w:sz="0" w:space="0" w:color="auto"/>
                                  </w:divBdr>
                                  <w:divsChild>
                                    <w:div w:id="1730612239">
                                      <w:marLeft w:val="0"/>
                                      <w:marRight w:val="0"/>
                                      <w:marTop w:val="0"/>
                                      <w:marBottom w:val="0"/>
                                      <w:divBdr>
                                        <w:top w:val="none" w:sz="0" w:space="0" w:color="auto"/>
                                        <w:left w:val="none" w:sz="0" w:space="0" w:color="auto"/>
                                        <w:bottom w:val="none" w:sz="0" w:space="0" w:color="auto"/>
                                        <w:right w:val="none" w:sz="0" w:space="0" w:color="auto"/>
                                      </w:divBdr>
                                      <w:divsChild>
                                        <w:div w:id="1005981546">
                                          <w:marLeft w:val="0"/>
                                          <w:marRight w:val="0"/>
                                          <w:marTop w:val="0"/>
                                          <w:marBottom w:val="0"/>
                                          <w:divBdr>
                                            <w:top w:val="none" w:sz="0" w:space="0" w:color="auto"/>
                                            <w:left w:val="none" w:sz="0" w:space="0" w:color="auto"/>
                                            <w:bottom w:val="none" w:sz="0" w:space="0" w:color="auto"/>
                                            <w:right w:val="none" w:sz="0" w:space="0" w:color="auto"/>
                                          </w:divBdr>
                                          <w:divsChild>
                                            <w:div w:id="1846164459">
                                              <w:marLeft w:val="0"/>
                                              <w:marRight w:val="0"/>
                                              <w:marTop w:val="0"/>
                                              <w:marBottom w:val="0"/>
                                              <w:divBdr>
                                                <w:top w:val="none" w:sz="0" w:space="0" w:color="auto"/>
                                                <w:left w:val="none" w:sz="0" w:space="0" w:color="auto"/>
                                                <w:bottom w:val="none" w:sz="0" w:space="0" w:color="auto"/>
                                                <w:right w:val="none" w:sz="0" w:space="0" w:color="auto"/>
                                              </w:divBdr>
                                              <w:divsChild>
                                                <w:div w:id="241648334">
                                                  <w:marLeft w:val="0"/>
                                                  <w:marRight w:val="0"/>
                                                  <w:marTop w:val="0"/>
                                                  <w:marBottom w:val="0"/>
                                                  <w:divBdr>
                                                    <w:top w:val="none" w:sz="0" w:space="0" w:color="auto"/>
                                                    <w:left w:val="none" w:sz="0" w:space="0" w:color="auto"/>
                                                    <w:bottom w:val="none" w:sz="0" w:space="0" w:color="auto"/>
                                                    <w:right w:val="none" w:sz="0" w:space="0" w:color="auto"/>
                                                  </w:divBdr>
                                                  <w:divsChild>
                                                    <w:div w:id="5593602">
                                                      <w:marLeft w:val="0"/>
                                                      <w:marRight w:val="0"/>
                                                      <w:marTop w:val="0"/>
                                                      <w:marBottom w:val="0"/>
                                                      <w:divBdr>
                                                        <w:top w:val="none" w:sz="0" w:space="0" w:color="auto"/>
                                                        <w:left w:val="none" w:sz="0" w:space="0" w:color="auto"/>
                                                        <w:bottom w:val="none" w:sz="0" w:space="0" w:color="auto"/>
                                                        <w:right w:val="none" w:sz="0" w:space="0" w:color="auto"/>
                                                      </w:divBdr>
                                                      <w:divsChild>
                                                        <w:div w:id="17141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043376">
      <w:bodyDiv w:val="1"/>
      <w:marLeft w:val="0"/>
      <w:marRight w:val="0"/>
      <w:marTop w:val="0"/>
      <w:marBottom w:val="0"/>
      <w:divBdr>
        <w:top w:val="none" w:sz="0" w:space="0" w:color="auto"/>
        <w:left w:val="none" w:sz="0" w:space="0" w:color="auto"/>
        <w:bottom w:val="none" w:sz="0" w:space="0" w:color="auto"/>
        <w:right w:val="none" w:sz="0" w:space="0" w:color="auto"/>
      </w:divBdr>
    </w:div>
    <w:div w:id="772088031">
      <w:bodyDiv w:val="1"/>
      <w:marLeft w:val="0"/>
      <w:marRight w:val="0"/>
      <w:marTop w:val="0"/>
      <w:marBottom w:val="0"/>
      <w:divBdr>
        <w:top w:val="none" w:sz="0" w:space="0" w:color="auto"/>
        <w:left w:val="none" w:sz="0" w:space="0" w:color="auto"/>
        <w:bottom w:val="none" w:sz="0" w:space="0" w:color="auto"/>
        <w:right w:val="none" w:sz="0" w:space="0" w:color="auto"/>
      </w:divBdr>
    </w:div>
    <w:div w:id="843402424">
      <w:bodyDiv w:val="1"/>
      <w:marLeft w:val="0"/>
      <w:marRight w:val="0"/>
      <w:marTop w:val="0"/>
      <w:marBottom w:val="0"/>
      <w:divBdr>
        <w:top w:val="none" w:sz="0" w:space="0" w:color="auto"/>
        <w:left w:val="none" w:sz="0" w:space="0" w:color="auto"/>
        <w:bottom w:val="none" w:sz="0" w:space="0" w:color="auto"/>
        <w:right w:val="none" w:sz="0" w:space="0" w:color="auto"/>
      </w:divBdr>
    </w:div>
    <w:div w:id="846791321">
      <w:bodyDiv w:val="1"/>
      <w:marLeft w:val="0"/>
      <w:marRight w:val="0"/>
      <w:marTop w:val="0"/>
      <w:marBottom w:val="0"/>
      <w:divBdr>
        <w:top w:val="none" w:sz="0" w:space="0" w:color="auto"/>
        <w:left w:val="none" w:sz="0" w:space="0" w:color="auto"/>
        <w:bottom w:val="none" w:sz="0" w:space="0" w:color="auto"/>
        <w:right w:val="none" w:sz="0" w:space="0" w:color="auto"/>
      </w:divBdr>
    </w:div>
    <w:div w:id="858394025">
      <w:bodyDiv w:val="1"/>
      <w:marLeft w:val="0"/>
      <w:marRight w:val="0"/>
      <w:marTop w:val="0"/>
      <w:marBottom w:val="0"/>
      <w:divBdr>
        <w:top w:val="none" w:sz="0" w:space="0" w:color="auto"/>
        <w:left w:val="none" w:sz="0" w:space="0" w:color="auto"/>
        <w:bottom w:val="none" w:sz="0" w:space="0" w:color="auto"/>
        <w:right w:val="none" w:sz="0" w:space="0" w:color="auto"/>
      </w:divBdr>
    </w:div>
    <w:div w:id="868421300">
      <w:bodyDiv w:val="1"/>
      <w:marLeft w:val="0"/>
      <w:marRight w:val="0"/>
      <w:marTop w:val="0"/>
      <w:marBottom w:val="0"/>
      <w:divBdr>
        <w:top w:val="none" w:sz="0" w:space="0" w:color="auto"/>
        <w:left w:val="none" w:sz="0" w:space="0" w:color="auto"/>
        <w:bottom w:val="none" w:sz="0" w:space="0" w:color="auto"/>
        <w:right w:val="none" w:sz="0" w:space="0" w:color="auto"/>
      </w:divBdr>
    </w:div>
    <w:div w:id="939218001">
      <w:bodyDiv w:val="1"/>
      <w:marLeft w:val="0"/>
      <w:marRight w:val="0"/>
      <w:marTop w:val="0"/>
      <w:marBottom w:val="0"/>
      <w:divBdr>
        <w:top w:val="none" w:sz="0" w:space="0" w:color="auto"/>
        <w:left w:val="none" w:sz="0" w:space="0" w:color="auto"/>
        <w:bottom w:val="none" w:sz="0" w:space="0" w:color="auto"/>
        <w:right w:val="none" w:sz="0" w:space="0" w:color="auto"/>
      </w:divBdr>
    </w:div>
    <w:div w:id="956913959">
      <w:bodyDiv w:val="1"/>
      <w:marLeft w:val="0"/>
      <w:marRight w:val="0"/>
      <w:marTop w:val="0"/>
      <w:marBottom w:val="0"/>
      <w:divBdr>
        <w:top w:val="none" w:sz="0" w:space="0" w:color="auto"/>
        <w:left w:val="none" w:sz="0" w:space="0" w:color="auto"/>
        <w:bottom w:val="none" w:sz="0" w:space="0" w:color="auto"/>
        <w:right w:val="none" w:sz="0" w:space="0" w:color="auto"/>
      </w:divBdr>
    </w:div>
    <w:div w:id="974871027">
      <w:bodyDiv w:val="1"/>
      <w:marLeft w:val="0"/>
      <w:marRight w:val="0"/>
      <w:marTop w:val="0"/>
      <w:marBottom w:val="0"/>
      <w:divBdr>
        <w:top w:val="none" w:sz="0" w:space="0" w:color="auto"/>
        <w:left w:val="none" w:sz="0" w:space="0" w:color="auto"/>
        <w:bottom w:val="none" w:sz="0" w:space="0" w:color="auto"/>
        <w:right w:val="none" w:sz="0" w:space="0" w:color="auto"/>
      </w:divBdr>
    </w:div>
    <w:div w:id="1010913321">
      <w:bodyDiv w:val="1"/>
      <w:marLeft w:val="0"/>
      <w:marRight w:val="0"/>
      <w:marTop w:val="0"/>
      <w:marBottom w:val="0"/>
      <w:divBdr>
        <w:top w:val="none" w:sz="0" w:space="0" w:color="auto"/>
        <w:left w:val="none" w:sz="0" w:space="0" w:color="auto"/>
        <w:bottom w:val="none" w:sz="0" w:space="0" w:color="auto"/>
        <w:right w:val="none" w:sz="0" w:space="0" w:color="auto"/>
      </w:divBdr>
    </w:div>
    <w:div w:id="1046176495">
      <w:bodyDiv w:val="1"/>
      <w:marLeft w:val="0"/>
      <w:marRight w:val="0"/>
      <w:marTop w:val="0"/>
      <w:marBottom w:val="0"/>
      <w:divBdr>
        <w:top w:val="none" w:sz="0" w:space="0" w:color="auto"/>
        <w:left w:val="none" w:sz="0" w:space="0" w:color="auto"/>
        <w:bottom w:val="none" w:sz="0" w:space="0" w:color="auto"/>
        <w:right w:val="none" w:sz="0" w:space="0" w:color="auto"/>
      </w:divBdr>
    </w:div>
    <w:div w:id="1070269482">
      <w:bodyDiv w:val="1"/>
      <w:marLeft w:val="0"/>
      <w:marRight w:val="0"/>
      <w:marTop w:val="0"/>
      <w:marBottom w:val="0"/>
      <w:divBdr>
        <w:top w:val="none" w:sz="0" w:space="0" w:color="auto"/>
        <w:left w:val="none" w:sz="0" w:space="0" w:color="auto"/>
        <w:bottom w:val="none" w:sz="0" w:space="0" w:color="auto"/>
        <w:right w:val="none" w:sz="0" w:space="0" w:color="auto"/>
      </w:divBdr>
    </w:div>
    <w:div w:id="1082679650">
      <w:bodyDiv w:val="1"/>
      <w:marLeft w:val="0"/>
      <w:marRight w:val="0"/>
      <w:marTop w:val="0"/>
      <w:marBottom w:val="0"/>
      <w:divBdr>
        <w:top w:val="none" w:sz="0" w:space="0" w:color="auto"/>
        <w:left w:val="none" w:sz="0" w:space="0" w:color="auto"/>
        <w:bottom w:val="none" w:sz="0" w:space="0" w:color="auto"/>
        <w:right w:val="none" w:sz="0" w:space="0" w:color="auto"/>
      </w:divBdr>
    </w:div>
    <w:div w:id="1124615122">
      <w:bodyDiv w:val="1"/>
      <w:marLeft w:val="0"/>
      <w:marRight w:val="0"/>
      <w:marTop w:val="0"/>
      <w:marBottom w:val="0"/>
      <w:divBdr>
        <w:top w:val="none" w:sz="0" w:space="0" w:color="auto"/>
        <w:left w:val="none" w:sz="0" w:space="0" w:color="auto"/>
        <w:bottom w:val="none" w:sz="0" w:space="0" w:color="auto"/>
        <w:right w:val="none" w:sz="0" w:space="0" w:color="auto"/>
      </w:divBdr>
    </w:div>
    <w:div w:id="1174685482">
      <w:bodyDiv w:val="1"/>
      <w:marLeft w:val="0"/>
      <w:marRight w:val="0"/>
      <w:marTop w:val="0"/>
      <w:marBottom w:val="0"/>
      <w:divBdr>
        <w:top w:val="none" w:sz="0" w:space="0" w:color="auto"/>
        <w:left w:val="none" w:sz="0" w:space="0" w:color="auto"/>
        <w:bottom w:val="none" w:sz="0" w:space="0" w:color="auto"/>
        <w:right w:val="none" w:sz="0" w:space="0" w:color="auto"/>
      </w:divBdr>
    </w:div>
    <w:div w:id="1198280120">
      <w:bodyDiv w:val="1"/>
      <w:marLeft w:val="0"/>
      <w:marRight w:val="0"/>
      <w:marTop w:val="0"/>
      <w:marBottom w:val="0"/>
      <w:divBdr>
        <w:top w:val="none" w:sz="0" w:space="0" w:color="auto"/>
        <w:left w:val="none" w:sz="0" w:space="0" w:color="auto"/>
        <w:bottom w:val="none" w:sz="0" w:space="0" w:color="auto"/>
        <w:right w:val="none" w:sz="0" w:space="0" w:color="auto"/>
      </w:divBdr>
    </w:div>
    <w:div w:id="1376007387">
      <w:bodyDiv w:val="1"/>
      <w:marLeft w:val="0"/>
      <w:marRight w:val="0"/>
      <w:marTop w:val="0"/>
      <w:marBottom w:val="0"/>
      <w:divBdr>
        <w:top w:val="none" w:sz="0" w:space="0" w:color="auto"/>
        <w:left w:val="none" w:sz="0" w:space="0" w:color="auto"/>
        <w:bottom w:val="none" w:sz="0" w:space="0" w:color="auto"/>
        <w:right w:val="none" w:sz="0" w:space="0" w:color="auto"/>
      </w:divBdr>
    </w:div>
    <w:div w:id="1407338830">
      <w:bodyDiv w:val="1"/>
      <w:marLeft w:val="0"/>
      <w:marRight w:val="0"/>
      <w:marTop w:val="0"/>
      <w:marBottom w:val="0"/>
      <w:divBdr>
        <w:top w:val="none" w:sz="0" w:space="0" w:color="auto"/>
        <w:left w:val="none" w:sz="0" w:space="0" w:color="auto"/>
        <w:bottom w:val="none" w:sz="0" w:space="0" w:color="auto"/>
        <w:right w:val="none" w:sz="0" w:space="0" w:color="auto"/>
      </w:divBdr>
    </w:div>
    <w:div w:id="1525047419">
      <w:bodyDiv w:val="1"/>
      <w:marLeft w:val="0"/>
      <w:marRight w:val="0"/>
      <w:marTop w:val="0"/>
      <w:marBottom w:val="0"/>
      <w:divBdr>
        <w:top w:val="none" w:sz="0" w:space="0" w:color="auto"/>
        <w:left w:val="none" w:sz="0" w:space="0" w:color="auto"/>
        <w:bottom w:val="none" w:sz="0" w:space="0" w:color="auto"/>
        <w:right w:val="none" w:sz="0" w:space="0" w:color="auto"/>
      </w:divBdr>
    </w:div>
    <w:div w:id="1607536975">
      <w:bodyDiv w:val="1"/>
      <w:marLeft w:val="0"/>
      <w:marRight w:val="0"/>
      <w:marTop w:val="0"/>
      <w:marBottom w:val="0"/>
      <w:divBdr>
        <w:top w:val="none" w:sz="0" w:space="0" w:color="auto"/>
        <w:left w:val="none" w:sz="0" w:space="0" w:color="auto"/>
        <w:bottom w:val="none" w:sz="0" w:space="0" w:color="auto"/>
        <w:right w:val="none" w:sz="0" w:space="0" w:color="auto"/>
      </w:divBdr>
    </w:div>
    <w:div w:id="1608198704">
      <w:bodyDiv w:val="1"/>
      <w:marLeft w:val="0"/>
      <w:marRight w:val="0"/>
      <w:marTop w:val="0"/>
      <w:marBottom w:val="0"/>
      <w:divBdr>
        <w:top w:val="none" w:sz="0" w:space="0" w:color="auto"/>
        <w:left w:val="none" w:sz="0" w:space="0" w:color="auto"/>
        <w:bottom w:val="none" w:sz="0" w:space="0" w:color="auto"/>
        <w:right w:val="none" w:sz="0" w:space="0" w:color="auto"/>
      </w:divBdr>
    </w:div>
    <w:div w:id="1653829583">
      <w:bodyDiv w:val="1"/>
      <w:marLeft w:val="0"/>
      <w:marRight w:val="0"/>
      <w:marTop w:val="0"/>
      <w:marBottom w:val="0"/>
      <w:divBdr>
        <w:top w:val="none" w:sz="0" w:space="0" w:color="auto"/>
        <w:left w:val="none" w:sz="0" w:space="0" w:color="auto"/>
        <w:bottom w:val="none" w:sz="0" w:space="0" w:color="auto"/>
        <w:right w:val="none" w:sz="0" w:space="0" w:color="auto"/>
      </w:divBdr>
    </w:div>
    <w:div w:id="1731031313">
      <w:bodyDiv w:val="1"/>
      <w:marLeft w:val="0"/>
      <w:marRight w:val="0"/>
      <w:marTop w:val="0"/>
      <w:marBottom w:val="0"/>
      <w:divBdr>
        <w:top w:val="none" w:sz="0" w:space="0" w:color="auto"/>
        <w:left w:val="none" w:sz="0" w:space="0" w:color="auto"/>
        <w:bottom w:val="none" w:sz="0" w:space="0" w:color="auto"/>
        <w:right w:val="none" w:sz="0" w:space="0" w:color="auto"/>
      </w:divBdr>
    </w:div>
    <w:div w:id="1782846449">
      <w:bodyDiv w:val="1"/>
      <w:marLeft w:val="0"/>
      <w:marRight w:val="0"/>
      <w:marTop w:val="0"/>
      <w:marBottom w:val="0"/>
      <w:divBdr>
        <w:top w:val="none" w:sz="0" w:space="0" w:color="auto"/>
        <w:left w:val="none" w:sz="0" w:space="0" w:color="auto"/>
        <w:bottom w:val="none" w:sz="0" w:space="0" w:color="auto"/>
        <w:right w:val="none" w:sz="0" w:space="0" w:color="auto"/>
      </w:divBdr>
    </w:div>
    <w:div w:id="1883208525">
      <w:bodyDiv w:val="1"/>
      <w:marLeft w:val="0"/>
      <w:marRight w:val="0"/>
      <w:marTop w:val="0"/>
      <w:marBottom w:val="0"/>
      <w:divBdr>
        <w:top w:val="none" w:sz="0" w:space="0" w:color="auto"/>
        <w:left w:val="none" w:sz="0" w:space="0" w:color="auto"/>
        <w:bottom w:val="none" w:sz="0" w:space="0" w:color="auto"/>
        <w:right w:val="none" w:sz="0" w:space="0" w:color="auto"/>
      </w:divBdr>
    </w:div>
    <w:div w:id="1934627546">
      <w:bodyDiv w:val="1"/>
      <w:marLeft w:val="0"/>
      <w:marRight w:val="0"/>
      <w:marTop w:val="0"/>
      <w:marBottom w:val="0"/>
      <w:divBdr>
        <w:top w:val="none" w:sz="0" w:space="0" w:color="auto"/>
        <w:left w:val="none" w:sz="0" w:space="0" w:color="auto"/>
        <w:bottom w:val="none" w:sz="0" w:space="0" w:color="auto"/>
        <w:right w:val="none" w:sz="0" w:space="0" w:color="auto"/>
      </w:divBdr>
    </w:div>
    <w:div w:id="2043623887">
      <w:bodyDiv w:val="1"/>
      <w:marLeft w:val="0"/>
      <w:marRight w:val="0"/>
      <w:marTop w:val="0"/>
      <w:marBottom w:val="0"/>
      <w:divBdr>
        <w:top w:val="none" w:sz="0" w:space="0" w:color="auto"/>
        <w:left w:val="none" w:sz="0" w:space="0" w:color="auto"/>
        <w:bottom w:val="none" w:sz="0" w:space="0" w:color="auto"/>
        <w:right w:val="none" w:sz="0" w:space="0" w:color="auto"/>
      </w:divBdr>
    </w:div>
    <w:div w:id="2067144232">
      <w:bodyDiv w:val="1"/>
      <w:marLeft w:val="0"/>
      <w:marRight w:val="0"/>
      <w:marTop w:val="0"/>
      <w:marBottom w:val="0"/>
      <w:divBdr>
        <w:top w:val="none" w:sz="0" w:space="0" w:color="auto"/>
        <w:left w:val="none" w:sz="0" w:space="0" w:color="auto"/>
        <w:bottom w:val="none" w:sz="0" w:space="0" w:color="auto"/>
        <w:right w:val="none" w:sz="0" w:space="0" w:color="auto"/>
      </w:divBdr>
    </w:div>
    <w:div w:id="2112121036">
      <w:bodyDiv w:val="1"/>
      <w:marLeft w:val="0"/>
      <w:marRight w:val="0"/>
      <w:marTop w:val="0"/>
      <w:marBottom w:val="0"/>
      <w:divBdr>
        <w:top w:val="none" w:sz="0" w:space="0" w:color="auto"/>
        <w:left w:val="none" w:sz="0" w:space="0" w:color="auto"/>
        <w:bottom w:val="none" w:sz="0" w:space="0" w:color="auto"/>
        <w:right w:val="none" w:sz="0" w:space="0" w:color="auto"/>
      </w:divBdr>
    </w:div>
    <w:div w:id="21143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15</Pages>
  <Words>3949</Words>
  <Characters>22513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Ragni Kumari</dc:creator>
  <cp:keywords/>
  <dc:description/>
  <cp:lastModifiedBy>SDI 1084</cp:lastModifiedBy>
  <cp:revision>21</cp:revision>
  <dcterms:created xsi:type="dcterms:W3CDTF">2023-09-30T06:12:00Z</dcterms:created>
  <dcterms:modified xsi:type="dcterms:W3CDTF">2025-05-10T13:15:00Z</dcterms:modified>
</cp:coreProperties>
</file>