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673A" w14:textId="77777777" w:rsidR="005329B2" w:rsidRPr="005329B2" w:rsidRDefault="005329B2" w:rsidP="005329B2">
      <w:pPr>
        <w:spacing w:line="480" w:lineRule="auto"/>
        <w:jc w:val="right"/>
        <w:rPr>
          <w:rFonts w:ascii="Arial" w:hAnsi="Arial" w:cs="Arial"/>
          <w:b/>
          <w:bCs/>
          <w:i/>
          <w:iCs/>
          <w:sz w:val="36"/>
          <w:szCs w:val="36"/>
          <w:u w:val="single"/>
          <w:lang w:val="en-US"/>
        </w:rPr>
      </w:pPr>
      <w:bookmarkStart w:id="0" w:name="_Hlk193381817"/>
      <w:r w:rsidRPr="005329B2">
        <w:rPr>
          <w:rFonts w:ascii="Arial" w:hAnsi="Arial" w:cs="Arial"/>
          <w:b/>
          <w:bCs/>
          <w:i/>
          <w:iCs/>
          <w:sz w:val="36"/>
          <w:szCs w:val="36"/>
          <w:u w:val="single"/>
          <w:lang w:val="en-US"/>
        </w:rPr>
        <w:t>Original Research Article</w:t>
      </w:r>
    </w:p>
    <w:p w14:paraId="2C0AFCF6" w14:textId="1F4059E2" w:rsidR="00BA51EC" w:rsidRPr="00EF28E1" w:rsidRDefault="00383ED0" w:rsidP="00C770DD">
      <w:pPr>
        <w:spacing w:line="480" w:lineRule="auto"/>
        <w:jc w:val="right"/>
        <w:rPr>
          <w:rFonts w:ascii="Arial" w:hAnsi="Arial" w:cs="Arial"/>
          <w:b/>
          <w:bCs/>
          <w:sz w:val="36"/>
          <w:szCs w:val="36"/>
        </w:rPr>
      </w:pPr>
      <w:r w:rsidRPr="00EF28E1">
        <w:rPr>
          <w:rFonts w:ascii="Arial" w:hAnsi="Arial" w:cs="Arial"/>
          <w:b/>
          <w:bCs/>
          <w:sz w:val="36"/>
          <w:szCs w:val="36"/>
        </w:rPr>
        <w:t>Molecular c</w:t>
      </w:r>
      <w:r w:rsidR="00BA51EC" w:rsidRPr="00EF28E1">
        <w:rPr>
          <w:rFonts w:ascii="Arial" w:hAnsi="Arial" w:cs="Arial"/>
          <w:b/>
          <w:bCs/>
          <w:sz w:val="36"/>
          <w:szCs w:val="36"/>
        </w:rPr>
        <w:t>haracterization of fung</w:t>
      </w:r>
      <w:r w:rsidR="00616AFD" w:rsidRPr="00EF28E1">
        <w:rPr>
          <w:rFonts w:ascii="Arial" w:hAnsi="Arial" w:cs="Arial"/>
          <w:b/>
          <w:bCs/>
          <w:sz w:val="36"/>
          <w:szCs w:val="36"/>
        </w:rPr>
        <w:t>i</w:t>
      </w:r>
      <w:r w:rsidR="00BA51EC" w:rsidRPr="00EF28E1">
        <w:rPr>
          <w:rFonts w:ascii="Arial" w:hAnsi="Arial" w:cs="Arial"/>
          <w:b/>
          <w:bCs/>
          <w:sz w:val="36"/>
          <w:szCs w:val="36"/>
        </w:rPr>
        <w:t xml:space="preserve"> species </w:t>
      </w:r>
      <w:r w:rsidRPr="00EF28E1">
        <w:rPr>
          <w:rFonts w:ascii="Arial" w:hAnsi="Arial" w:cs="Arial"/>
          <w:b/>
          <w:bCs/>
          <w:sz w:val="36"/>
          <w:szCs w:val="36"/>
        </w:rPr>
        <w:t xml:space="preserve">identified </w:t>
      </w:r>
      <w:r w:rsidR="00BA51EC" w:rsidRPr="00EF28E1">
        <w:rPr>
          <w:rFonts w:ascii="Arial" w:hAnsi="Arial" w:cs="Arial"/>
          <w:b/>
          <w:bCs/>
          <w:sz w:val="36"/>
          <w:szCs w:val="36"/>
        </w:rPr>
        <w:t>in superficial mycoses in Togo</w:t>
      </w:r>
    </w:p>
    <w:p w14:paraId="21CCDA82" w14:textId="2DA2D5F1" w:rsidR="003106CB" w:rsidRPr="00C770DD" w:rsidRDefault="00845307" w:rsidP="00A132FF">
      <w:pPr>
        <w:pStyle w:val="Heading1"/>
        <w:spacing w:before="240" w:line="480" w:lineRule="auto"/>
        <w:jc w:val="left"/>
        <w:rPr>
          <w:sz w:val="22"/>
          <w:szCs w:val="22"/>
          <w:lang w:val="en-US"/>
        </w:rPr>
      </w:pPr>
      <w:bookmarkStart w:id="1" w:name="_Hlk195282864"/>
      <w:bookmarkEnd w:id="0"/>
      <w:r w:rsidRPr="00C770DD">
        <w:rPr>
          <w:sz w:val="22"/>
          <w:szCs w:val="22"/>
          <w:lang w:val="en-US"/>
        </w:rPr>
        <w:t>ABSTRACT</w:t>
      </w:r>
    </w:p>
    <w:p w14:paraId="34E9C838" w14:textId="76AB0275" w:rsidR="00845307" w:rsidRPr="00C770DD" w:rsidRDefault="00845307" w:rsidP="00845307">
      <w:pPr>
        <w:rPr>
          <w:lang w:val="en-US" w:eastAsia="en-ZA"/>
        </w:rPr>
      </w:pPr>
      <w:r>
        <w:rPr>
          <w:lang w:val="fr-FR" w:eastAsia="en-ZA"/>
        </w:rPr>
        <mc:AlternateContent>
          <mc:Choice Requires="wps">
            <w:drawing>
              <wp:anchor distT="0" distB="0" distL="114300" distR="114300" simplePos="0" relativeHeight="251673600" behindDoc="0" locked="0" layoutInCell="1" allowOverlap="1" wp14:anchorId="4E7CFE60" wp14:editId="746CC0B3">
                <wp:simplePos x="0" y="0"/>
                <wp:positionH relativeFrom="column">
                  <wp:posOffset>23231</wp:posOffset>
                </wp:positionH>
                <wp:positionV relativeFrom="paragraph">
                  <wp:posOffset>169880</wp:posOffset>
                </wp:positionV>
                <wp:extent cx="6133382" cy="6694099"/>
                <wp:effectExtent l="0" t="0" r="20320" b="12065"/>
                <wp:wrapNone/>
                <wp:docPr id="1607488168" name="Zone de texte 2"/>
                <wp:cNvGraphicFramePr/>
                <a:graphic xmlns:a="http://schemas.openxmlformats.org/drawingml/2006/main">
                  <a:graphicData uri="http://schemas.microsoft.com/office/word/2010/wordprocessingShape">
                    <wps:wsp>
                      <wps:cNvSpPr txBox="1"/>
                      <wps:spPr>
                        <a:xfrm>
                          <a:off x="0" y="0"/>
                          <a:ext cx="6133382" cy="6694099"/>
                        </a:xfrm>
                        <a:prstGeom prst="rect">
                          <a:avLst/>
                        </a:prstGeom>
                        <a:solidFill>
                          <a:schemeClr val="lt1"/>
                        </a:solidFill>
                        <a:ln w="6350">
                          <a:solidFill>
                            <a:prstClr val="black"/>
                          </a:solidFill>
                        </a:ln>
                      </wps:spPr>
                      <wps:txbx>
                        <w:txbxContent>
                          <w:p w14:paraId="5564E0BA" w14:textId="77777777" w:rsidR="00845307" w:rsidRPr="00845307" w:rsidRDefault="00845307" w:rsidP="00CD3FA8">
                            <w:pPr>
                              <w:spacing w:line="480" w:lineRule="auto"/>
                              <w:jc w:val="both"/>
                              <w:rPr>
                                <w:rFonts w:ascii="Arial" w:hAnsi="Arial" w:cs="Arial"/>
                                <w:sz w:val="20"/>
                                <w:szCs w:val="20"/>
                              </w:rPr>
                            </w:pPr>
                            <w:bookmarkStart w:id="2" w:name="_Hlk193390344"/>
                            <w:r w:rsidRPr="00845307">
                              <w:rPr>
                                <w:rFonts w:ascii="Arial" w:hAnsi="Arial" w:cs="Arial"/>
                                <w:b/>
                                <w:bCs/>
                                <w:sz w:val="20"/>
                                <w:szCs w:val="20"/>
                              </w:rPr>
                              <w:t>Aims:</w:t>
                            </w:r>
                            <w:r w:rsidRPr="00845307">
                              <w:rPr>
                                <w:rFonts w:ascii="Arial" w:hAnsi="Arial" w:cs="Arial"/>
                                <w:sz w:val="20"/>
                                <w:szCs w:val="20"/>
                              </w:rPr>
                              <w:t xml:space="preserve"> This study aims to measure the accuracy of routine techniques for identifying fungi in mycology laboratories in Lomé, Togo.</w:t>
                            </w:r>
                          </w:p>
                          <w:p w14:paraId="1A0E324A" w14:textId="77777777" w:rsidR="00845307" w:rsidRPr="00845307" w:rsidRDefault="00845307" w:rsidP="00CD3FA8">
                            <w:pPr>
                              <w:spacing w:line="480" w:lineRule="auto"/>
                              <w:jc w:val="both"/>
                              <w:rPr>
                                <w:rFonts w:ascii="Arial" w:hAnsi="Arial" w:cs="Arial"/>
                                <w:b/>
                                <w:bCs/>
                                <w:sz w:val="20"/>
                                <w:szCs w:val="20"/>
                              </w:rPr>
                            </w:pPr>
                            <w:r w:rsidRPr="00845307">
                              <w:rPr>
                                <w:rFonts w:ascii="Arial" w:hAnsi="Arial" w:cs="Arial"/>
                                <w:b/>
                                <w:bCs/>
                                <w:sz w:val="20"/>
                                <w:szCs w:val="20"/>
                              </w:rPr>
                              <w:t>Study design:</w:t>
                            </w:r>
                            <w:r w:rsidRPr="00845307">
                              <w:rPr>
                                <w:rFonts w:ascii="Arial" w:hAnsi="Arial" w:cs="Arial"/>
                                <w:sz w:val="20"/>
                                <w:szCs w:val="20"/>
                                <w:lang w:val="en-US"/>
                              </w:rPr>
                              <w:t xml:space="preserve"> It was a descriptive-analytical study.</w:t>
                            </w:r>
                          </w:p>
                          <w:p w14:paraId="2DABF7E2" w14:textId="77777777" w:rsidR="00845307" w:rsidRPr="00845307" w:rsidRDefault="00845307" w:rsidP="00CD3FA8">
                            <w:pPr>
                              <w:spacing w:line="480" w:lineRule="auto"/>
                              <w:jc w:val="both"/>
                              <w:rPr>
                                <w:rFonts w:ascii="Arial" w:hAnsi="Arial" w:cs="Arial"/>
                                <w:b/>
                                <w:bCs/>
                                <w:sz w:val="20"/>
                                <w:szCs w:val="20"/>
                              </w:rPr>
                            </w:pPr>
                            <w:r w:rsidRPr="00845307">
                              <w:rPr>
                                <w:rFonts w:ascii="Arial" w:hAnsi="Arial" w:cs="Arial"/>
                                <w:b/>
                                <w:bCs/>
                                <w:sz w:val="20"/>
                                <w:szCs w:val="20"/>
                              </w:rPr>
                              <w:t>Place and Duration of Study:</w:t>
                            </w:r>
                            <w:r w:rsidRPr="00845307">
                              <w:rPr>
                                <w:rFonts w:ascii="Arial" w:hAnsi="Arial" w:cs="Arial"/>
                                <w:sz w:val="20"/>
                                <w:szCs w:val="20"/>
                                <w:lang w:val="en-US"/>
                              </w:rPr>
                              <w:t xml:space="preserve"> The study was carried out at the Mycology Laboratories of the Sylvanus Olympio and Campus University Hospitals in Lomé-Togo and at the Parasitology-Mycology Laboratory of the Pitié Salpêtrière Hospital in Paris, France, from March 2023 to April 2024.</w:t>
                            </w:r>
                          </w:p>
                          <w:p w14:paraId="39515904" w14:textId="77777777" w:rsidR="00845307" w:rsidRPr="00845307" w:rsidRDefault="00845307" w:rsidP="00CD3FA8">
                            <w:pPr>
                              <w:spacing w:line="480" w:lineRule="auto"/>
                              <w:jc w:val="both"/>
                              <w:rPr>
                                <w:rFonts w:ascii="Arial" w:hAnsi="Arial" w:cs="Arial"/>
                                <w:sz w:val="20"/>
                                <w:szCs w:val="20"/>
                              </w:rPr>
                            </w:pPr>
                            <w:r w:rsidRPr="00845307">
                              <w:rPr>
                                <w:rFonts w:ascii="Arial" w:hAnsi="Arial" w:cs="Arial"/>
                                <w:b/>
                                <w:bCs/>
                                <w:sz w:val="20"/>
                                <w:szCs w:val="20"/>
                              </w:rPr>
                              <w:t>Methodology:</w:t>
                            </w:r>
                            <w:r w:rsidRPr="00845307">
                              <w:rPr>
                                <w:rFonts w:ascii="Arial" w:hAnsi="Arial" w:cs="Arial"/>
                                <w:sz w:val="20"/>
                                <w:szCs w:val="20"/>
                              </w:rPr>
                              <w:t xml:space="preserve"> Fungal isolates were initially identified using routine laboratory techniques. All isolates were then reanalyzed using Matrix-Assisted Laser Desorption/Ionization Time-of-Flight Mass Spectrometry (MALDI-TOF MS), and the results were compared to assess concordance and improvements in species identification.</w:t>
                            </w:r>
                          </w:p>
                          <w:p w14:paraId="00D0C5F9" w14:textId="77777777" w:rsidR="00845307" w:rsidRPr="00845307" w:rsidRDefault="00845307" w:rsidP="00CD3FA8">
                            <w:pPr>
                              <w:spacing w:line="480" w:lineRule="auto"/>
                              <w:jc w:val="both"/>
                              <w:rPr>
                                <w:rFonts w:ascii="Arial" w:hAnsi="Arial" w:cs="Arial"/>
                                <w:sz w:val="20"/>
                                <w:szCs w:val="20"/>
                              </w:rPr>
                            </w:pPr>
                            <w:r w:rsidRPr="00845307">
                              <w:rPr>
                                <w:rFonts w:ascii="Arial" w:hAnsi="Arial" w:cs="Arial"/>
                                <w:b/>
                                <w:bCs/>
                                <w:sz w:val="20"/>
                                <w:szCs w:val="20"/>
                              </w:rPr>
                              <w:t>Results</w:t>
                            </w:r>
                            <w:r w:rsidRPr="00845307">
                              <w:rPr>
                                <w:rFonts w:ascii="Arial" w:hAnsi="Arial" w:cs="Arial"/>
                                <w:sz w:val="20"/>
                                <w:szCs w:val="20"/>
                              </w:rPr>
                              <w:t>: Among the 249 isolates analyzed, MALDI-TOF MS showed a 51.81% concordance with conventional methods. Additionally, 26.10% of isolates initially identified only at the genus level were further classified at the species level using MALDI-TOF MS. The technique also corrected the identification of 17.27% of strains previously misidentified by conventional methods and successfully characterized 3.61% of isolates that could not be identified using routine techniques. Although 1.20% of isolates remained unidentified by MALDI-TOF MS, the method significantly enhanced fungal identification rates by 46.98%, increasing overall identification accuracy from 51.81% to 98.79%.</w:t>
                            </w:r>
                          </w:p>
                          <w:p w14:paraId="64479AED" w14:textId="77777777" w:rsidR="00845307" w:rsidRPr="00845307" w:rsidRDefault="00845307" w:rsidP="00CD3FA8">
                            <w:pPr>
                              <w:spacing w:line="480" w:lineRule="auto"/>
                              <w:jc w:val="both"/>
                              <w:rPr>
                                <w:rFonts w:ascii="Arial" w:hAnsi="Arial" w:cs="Arial"/>
                                <w:sz w:val="20"/>
                                <w:szCs w:val="20"/>
                              </w:rPr>
                            </w:pPr>
                            <w:bookmarkStart w:id="3" w:name="_Hlk196368242"/>
                            <w:r w:rsidRPr="00845307">
                              <w:rPr>
                                <w:rFonts w:ascii="Arial" w:hAnsi="Arial" w:cs="Arial"/>
                                <w:b/>
                                <w:bCs/>
                                <w:sz w:val="20"/>
                                <w:szCs w:val="20"/>
                                <w:lang w:val="en-US"/>
                              </w:rPr>
                              <w:t>Conclusions</w:t>
                            </w:r>
                            <w:bookmarkEnd w:id="3"/>
                            <w:r w:rsidRPr="00845307">
                              <w:rPr>
                                <w:rFonts w:ascii="Arial" w:hAnsi="Arial" w:cs="Arial"/>
                                <w:sz w:val="20"/>
                                <w:szCs w:val="20"/>
                              </w:rPr>
                              <w:t>: These findings highlight the need to upgrade mycology laboratories with advanced diagnostic tools like MALDI-TOF MS, expand fungal diagnostic capabilities, and provide continuous training for laboratory personnel. Strengthening these capacities will improve the accuracy of fungal identification and enhance the therapeutic management of patients with mycoses.</w:t>
                            </w:r>
                          </w:p>
                          <w:bookmarkEnd w:id="2"/>
                          <w:p w14:paraId="67CCB898" w14:textId="77777777" w:rsidR="00845307" w:rsidRDefault="008453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CFE60" id="_x0000_t202" coordsize="21600,21600" o:spt="202" path="m,l,21600r21600,l21600,xe">
                <v:stroke joinstyle="miter"/>
                <v:path gradientshapeok="t" o:connecttype="rect"/>
              </v:shapetype>
              <v:shape id="Zone de texte 2" o:spid="_x0000_s1026" type="#_x0000_t202" style="position:absolute;margin-left:1.85pt;margin-top:13.4pt;width:482.95pt;height:52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Ge+OAIAAH0EAAAOAAAAZHJzL2Uyb0RvYy54bWysVEtv2zAMvg/YfxB0X+w8mjVGnCJLkWFA&#10;0RZIh54VWYqNyaImKbGzXz9Kdh7tdhp2kUmR+kh+JD2/a2tFDsK6CnROh4OUEqE5FJXe5fT7y/rT&#10;LSXOM10wBVrk9CgcvVt8/DBvTCZGUIIqhCUIol3WmJyW3pssSRwvRc3cAIzQaJRga+ZRtbuksKxB&#10;9FolozSdJg3Ywljgwjm8ve+MdBHxpRTcP0nphCcqp5ibj6eN5zacyWLOsp1lpqx4nwb7hyxqVmkM&#10;eoa6Z56Rva3+gKorbsGB9AMOdQJSVlzEGrCaYfqumk3JjIi1IDnOnGly/w+WPx425tkS336BFhsY&#10;CGmMyxxehnpaaevwxUwJ2pHC45k20XrC8XI6HI/HtyNKONqm09kknc0CTnJ5bqzzXwXUJAg5tdiX&#10;SBc7PDjfuZ5cQjQHqirWlVJRCbMgVsqSA8MuKh+TRPA3XkqTBqOPb9II/MYWoM/vt4rxH316V16I&#10;pzTmfCk+SL7dtj0jWyiOSJSFboac4esKcR+Y88/M4tAgN7gI/gkPqQCTgV6ipAT762/3wR97iVZK&#10;GhzCnLqfe2YFJeqbxi7PhpNJmNqoTG4+j1Cx15bttUXv6xUgQ0NcOcOjGPy9OonSQv2K+7IMUdHE&#10;NMfYOfUnceW71cB942K5jE44p4b5B70xPECHjgQ+X9pXZk3fT4+j8AincWXZu7Z2vuGlhuXeg6xi&#10;zwPBHas97zjjcWr6fQxLdK1Hr8tfY/EbAAD//wMAUEsDBBQABgAIAAAAIQBCYDzW3AAAAAkBAAAP&#10;AAAAZHJzL2Rvd25yZXYueG1sTI/BTsMwEETvSPyDtUjcqN0ihSTEqQAVLpwoiLMbu7ZFvI5sNw1/&#10;z3KC42qeZt902yWMbDYp+4gS1isBzOAQtUcr4eP9+aYGlotCrcaIRsK3ybDtLy861ep4xjcz74tl&#10;VIK5VRJcKVPLeR6cCSqv4mSQsmNMQRU6k+U6qTOVh5FvhKh4UB7pg1OTeXJm+NqfgoTdo23sUKvk&#10;drX2fl4+j6/2Rcrrq+XhHlgxS/mD4Vef1KEnp0M8oc5slHB7R6CETUUDKG6qpgJ2IE7UawG87/j/&#10;Bf0PAAAA//8DAFBLAQItABQABgAIAAAAIQC2gziS/gAAAOEBAAATAAAAAAAAAAAAAAAAAAAAAABb&#10;Q29udGVudF9UeXBlc10ueG1sUEsBAi0AFAAGAAgAAAAhADj9If/WAAAAlAEAAAsAAAAAAAAAAAAA&#10;AAAALwEAAF9yZWxzLy5yZWxzUEsBAi0AFAAGAAgAAAAhADmUZ744AgAAfQQAAA4AAAAAAAAAAAAA&#10;AAAALgIAAGRycy9lMm9Eb2MueG1sUEsBAi0AFAAGAAgAAAAhAEJgPNbcAAAACQEAAA8AAAAAAAAA&#10;AAAAAAAAkgQAAGRycy9kb3ducmV2LnhtbFBLBQYAAAAABAAEAPMAAACbBQAAAAA=&#10;" fillcolor="white [3201]" strokeweight=".5pt">
                <v:textbox>
                  <w:txbxContent>
                    <w:p w14:paraId="5564E0BA" w14:textId="77777777" w:rsidR="00845307" w:rsidRPr="00845307" w:rsidRDefault="00845307" w:rsidP="00CD3FA8">
                      <w:pPr>
                        <w:spacing w:line="480" w:lineRule="auto"/>
                        <w:jc w:val="both"/>
                        <w:rPr>
                          <w:rFonts w:ascii="Arial" w:hAnsi="Arial" w:cs="Arial"/>
                          <w:sz w:val="20"/>
                          <w:szCs w:val="20"/>
                        </w:rPr>
                      </w:pPr>
                      <w:bookmarkStart w:id="4" w:name="_Hlk193390344"/>
                      <w:r w:rsidRPr="00845307">
                        <w:rPr>
                          <w:rFonts w:ascii="Arial" w:hAnsi="Arial" w:cs="Arial"/>
                          <w:b/>
                          <w:bCs/>
                          <w:sz w:val="20"/>
                          <w:szCs w:val="20"/>
                        </w:rPr>
                        <w:t>Aims:</w:t>
                      </w:r>
                      <w:r w:rsidRPr="00845307">
                        <w:rPr>
                          <w:rFonts w:ascii="Arial" w:hAnsi="Arial" w:cs="Arial"/>
                          <w:sz w:val="20"/>
                          <w:szCs w:val="20"/>
                        </w:rPr>
                        <w:t xml:space="preserve"> This study aims to measure the accuracy of routine techniques for identifying fungi in mycology laboratories in Lomé, Togo.</w:t>
                      </w:r>
                    </w:p>
                    <w:p w14:paraId="1A0E324A" w14:textId="77777777" w:rsidR="00845307" w:rsidRPr="00845307" w:rsidRDefault="00845307" w:rsidP="00CD3FA8">
                      <w:pPr>
                        <w:spacing w:line="480" w:lineRule="auto"/>
                        <w:jc w:val="both"/>
                        <w:rPr>
                          <w:rFonts w:ascii="Arial" w:hAnsi="Arial" w:cs="Arial"/>
                          <w:b/>
                          <w:bCs/>
                          <w:sz w:val="20"/>
                          <w:szCs w:val="20"/>
                        </w:rPr>
                      </w:pPr>
                      <w:r w:rsidRPr="00845307">
                        <w:rPr>
                          <w:rFonts w:ascii="Arial" w:hAnsi="Arial" w:cs="Arial"/>
                          <w:b/>
                          <w:bCs/>
                          <w:sz w:val="20"/>
                          <w:szCs w:val="20"/>
                        </w:rPr>
                        <w:t>Study design:</w:t>
                      </w:r>
                      <w:r w:rsidRPr="00845307">
                        <w:rPr>
                          <w:rFonts w:ascii="Arial" w:hAnsi="Arial" w:cs="Arial"/>
                          <w:sz w:val="20"/>
                          <w:szCs w:val="20"/>
                          <w:lang w:val="en-US"/>
                        </w:rPr>
                        <w:t xml:space="preserve"> It was a descriptive-analytical study.</w:t>
                      </w:r>
                    </w:p>
                    <w:p w14:paraId="2DABF7E2" w14:textId="77777777" w:rsidR="00845307" w:rsidRPr="00845307" w:rsidRDefault="00845307" w:rsidP="00CD3FA8">
                      <w:pPr>
                        <w:spacing w:line="480" w:lineRule="auto"/>
                        <w:jc w:val="both"/>
                        <w:rPr>
                          <w:rFonts w:ascii="Arial" w:hAnsi="Arial" w:cs="Arial"/>
                          <w:b/>
                          <w:bCs/>
                          <w:sz w:val="20"/>
                          <w:szCs w:val="20"/>
                        </w:rPr>
                      </w:pPr>
                      <w:r w:rsidRPr="00845307">
                        <w:rPr>
                          <w:rFonts w:ascii="Arial" w:hAnsi="Arial" w:cs="Arial"/>
                          <w:b/>
                          <w:bCs/>
                          <w:sz w:val="20"/>
                          <w:szCs w:val="20"/>
                        </w:rPr>
                        <w:t>Place and Duration of Study:</w:t>
                      </w:r>
                      <w:r w:rsidRPr="00845307">
                        <w:rPr>
                          <w:rFonts w:ascii="Arial" w:hAnsi="Arial" w:cs="Arial"/>
                          <w:sz w:val="20"/>
                          <w:szCs w:val="20"/>
                          <w:lang w:val="en-US"/>
                        </w:rPr>
                        <w:t xml:space="preserve"> The study was carried out at the Mycology Laboratories of the Sylvanus Olympio and Campus University Hospitals in Lomé-Togo and at the Parasitology-Mycology Laboratory of the Pitié Salpêtrière Hospital in Paris, France, from March 2023 to April 2024.</w:t>
                      </w:r>
                    </w:p>
                    <w:p w14:paraId="39515904" w14:textId="77777777" w:rsidR="00845307" w:rsidRPr="00845307" w:rsidRDefault="00845307" w:rsidP="00CD3FA8">
                      <w:pPr>
                        <w:spacing w:line="480" w:lineRule="auto"/>
                        <w:jc w:val="both"/>
                        <w:rPr>
                          <w:rFonts w:ascii="Arial" w:hAnsi="Arial" w:cs="Arial"/>
                          <w:sz w:val="20"/>
                          <w:szCs w:val="20"/>
                        </w:rPr>
                      </w:pPr>
                      <w:r w:rsidRPr="00845307">
                        <w:rPr>
                          <w:rFonts w:ascii="Arial" w:hAnsi="Arial" w:cs="Arial"/>
                          <w:b/>
                          <w:bCs/>
                          <w:sz w:val="20"/>
                          <w:szCs w:val="20"/>
                        </w:rPr>
                        <w:t>Methodology:</w:t>
                      </w:r>
                      <w:r w:rsidRPr="00845307">
                        <w:rPr>
                          <w:rFonts w:ascii="Arial" w:hAnsi="Arial" w:cs="Arial"/>
                          <w:sz w:val="20"/>
                          <w:szCs w:val="20"/>
                        </w:rPr>
                        <w:t xml:space="preserve"> Fungal isolates were initially identified using routine laboratory techniques. All isolates were then reanalyzed using Matrix-Assisted Laser Desorption/Ionization Time-of-Flight Mass Spectrometry (MALDI-TOF MS), and the results were compared to assess concordance and improvements in species identification.</w:t>
                      </w:r>
                    </w:p>
                    <w:p w14:paraId="00D0C5F9" w14:textId="77777777" w:rsidR="00845307" w:rsidRPr="00845307" w:rsidRDefault="00845307" w:rsidP="00CD3FA8">
                      <w:pPr>
                        <w:spacing w:line="480" w:lineRule="auto"/>
                        <w:jc w:val="both"/>
                        <w:rPr>
                          <w:rFonts w:ascii="Arial" w:hAnsi="Arial" w:cs="Arial"/>
                          <w:sz w:val="20"/>
                          <w:szCs w:val="20"/>
                        </w:rPr>
                      </w:pPr>
                      <w:r w:rsidRPr="00845307">
                        <w:rPr>
                          <w:rFonts w:ascii="Arial" w:hAnsi="Arial" w:cs="Arial"/>
                          <w:b/>
                          <w:bCs/>
                          <w:sz w:val="20"/>
                          <w:szCs w:val="20"/>
                        </w:rPr>
                        <w:t>Results</w:t>
                      </w:r>
                      <w:r w:rsidRPr="00845307">
                        <w:rPr>
                          <w:rFonts w:ascii="Arial" w:hAnsi="Arial" w:cs="Arial"/>
                          <w:sz w:val="20"/>
                          <w:szCs w:val="20"/>
                        </w:rPr>
                        <w:t>: Among the 249 isolates analyzed, MALDI-TOF MS showed a 51.81% concordance with conventional methods. Additionally, 26.10% of isolates initially identified only at the genus level were further classified at the species level using MALDI-TOF MS. The technique also corrected the identification of 17.27% of strains previously misidentified by conventional methods and successfully characterized 3.61% of isolates that could not be identified using routine techniques. Although 1.20% of isolates remained unidentified by MALDI-TOF MS, the method significantly enhanced fungal identification rates by 46.98%, increasing overall identification accuracy from 51.81% to 98.79%.</w:t>
                      </w:r>
                    </w:p>
                    <w:p w14:paraId="64479AED" w14:textId="77777777" w:rsidR="00845307" w:rsidRPr="00845307" w:rsidRDefault="00845307" w:rsidP="00CD3FA8">
                      <w:pPr>
                        <w:spacing w:line="480" w:lineRule="auto"/>
                        <w:jc w:val="both"/>
                        <w:rPr>
                          <w:rFonts w:ascii="Arial" w:hAnsi="Arial" w:cs="Arial"/>
                          <w:sz w:val="20"/>
                          <w:szCs w:val="20"/>
                        </w:rPr>
                      </w:pPr>
                      <w:bookmarkStart w:id="5" w:name="_Hlk196368242"/>
                      <w:r w:rsidRPr="00845307">
                        <w:rPr>
                          <w:rFonts w:ascii="Arial" w:hAnsi="Arial" w:cs="Arial"/>
                          <w:b/>
                          <w:bCs/>
                          <w:sz w:val="20"/>
                          <w:szCs w:val="20"/>
                          <w:lang w:val="en-US"/>
                        </w:rPr>
                        <w:t>Conclusions</w:t>
                      </w:r>
                      <w:bookmarkEnd w:id="5"/>
                      <w:r w:rsidRPr="00845307">
                        <w:rPr>
                          <w:rFonts w:ascii="Arial" w:hAnsi="Arial" w:cs="Arial"/>
                          <w:sz w:val="20"/>
                          <w:szCs w:val="20"/>
                        </w:rPr>
                        <w:t>: These findings highlight the need to upgrade mycology laboratories with advanced diagnostic tools like MALDI-TOF MS, expand fungal diagnostic capabilities, and provide continuous training for laboratory personnel. Strengthening these capacities will improve the accuracy of fungal identification and enhance the therapeutic management of patients with mycoses.</w:t>
                      </w:r>
                    </w:p>
                    <w:bookmarkEnd w:id="4"/>
                    <w:p w14:paraId="67CCB898" w14:textId="77777777" w:rsidR="00845307" w:rsidRDefault="00845307"/>
                  </w:txbxContent>
                </v:textbox>
              </v:shape>
            </w:pict>
          </mc:Fallback>
        </mc:AlternateContent>
      </w:r>
    </w:p>
    <w:p w14:paraId="1E2D7953" w14:textId="77777777" w:rsidR="00845307" w:rsidRPr="00C770DD" w:rsidRDefault="00845307" w:rsidP="00845307">
      <w:pPr>
        <w:rPr>
          <w:lang w:val="en-US" w:eastAsia="en-ZA"/>
        </w:rPr>
      </w:pPr>
    </w:p>
    <w:p w14:paraId="3661DBA4" w14:textId="77777777" w:rsidR="00845307" w:rsidRPr="00C770DD" w:rsidRDefault="00845307" w:rsidP="00845307">
      <w:pPr>
        <w:rPr>
          <w:lang w:val="en-US" w:eastAsia="en-ZA"/>
        </w:rPr>
      </w:pPr>
    </w:p>
    <w:p w14:paraId="774A3ED6" w14:textId="77777777" w:rsidR="00845307" w:rsidRPr="00C770DD" w:rsidRDefault="00845307" w:rsidP="00845307">
      <w:pPr>
        <w:rPr>
          <w:lang w:val="en-US" w:eastAsia="en-ZA"/>
        </w:rPr>
      </w:pPr>
    </w:p>
    <w:p w14:paraId="47782586" w14:textId="77777777" w:rsidR="00845307" w:rsidRPr="00C770DD" w:rsidRDefault="00845307" w:rsidP="00845307">
      <w:pPr>
        <w:rPr>
          <w:lang w:val="en-US" w:eastAsia="en-ZA"/>
        </w:rPr>
      </w:pPr>
    </w:p>
    <w:p w14:paraId="11125722" w14:textId="77777777" w:rsidR="00845307" w:rsidRPr="00C770DD" w:rsidRDefault="00845307" w:rsidP="00845307">
      <w:pPr>
        <w:rPr>
          <w:lang w:val="en-US" w:eastAsia="en-ZA"/>
        </w:rPr>
      </w:pPr>
    </w:p>
    <w:p w14:paraId="7DDDB6ED" w14:textId="77777777" w:rsidR="00845307" w:rsidRPr="00C770DD" w:rsidRDefault="00845307" w:rsidP="00845307">
      <w:pPr>
        <w:rPr>
          <w:lang w:val="en-US" w:eastAsia="en-ZA"/>
        </w:rPr>
      </w:pPr>
    </w:p>
    <w:p w14:paraId="665AFB7A" w14:textId="77777777" w:rsidR="00845307" w:rsidRPr="00C770DD" w:rsidRDefault="00845307" w:rsidP="00845307">
      <w:pPr>
        <w:rPr>
          <w:lang w:val="en-US" w:eastAsia="en-ZA"/>
        </w:rPr>
      </w:pPr>
    </w:p>
    <w:p w14:paraId="4DE5D4D4" w14:textId="77777777" w:rsidR="00845307" w:rsidRPr="00C770DD" w:rsidRDefault="00845307" w:rsidP="00845307">
      <w:pPr>
        <w:rPr>
          <w:lang w:val="en-US" w:eastAsia="en-ZA"/>
        </w:rPr>
      </w:pPr>
    </w:p>
    <w:p w14:paraId="11909518" w14:textId="77777777" w:rsidR="00845307" w:rsidRPr="00C770DD" w:rsidRDefault="00845307" w:rsidP="00845307">
      <w:pPr>
        <w:rPr>
          <w:lang w:val="en-US" w:eastAsia="en-ZA"/>
        </w:rPr>
      </w:pPr>
    </w:p>
    <w:p w14:paraId="75DCF813" w14:textId="77777777" w:rsidR="00845307" w:rsidRPr="00C770DD" w:rsidRDefault="00845307" w:rsidP="00845307">
      <w:pPr>
        <w:rPr>
          <w:lang w:val="en-US" w:eastAsia="en-ZA"/>
        </w:rPr>
      </w:pPr>
    </w:p>
    <w:p w14:paraId="61ED38F6" w14:textId="77777777" w:rsidR="00845307" w:rsidRPr="00C770DD" w:rsidRDefault="00845307" w:rsidP="00845307">
      <w:pPr>
        <w:rPr>
          <w:lang w:val="en-US" w:eastAsia="en-ZA"/>
        </w:rPr>
      </w:pPr>
    </w:p>
    <w:p w14:paraId="3FC208F7" w14:textId="77777777" w:rsidR="00845307" w:rsidRPr="00C770DD" w:rsidRDefault="00845307" w:rsidP="00845307">
      <w:pPr>
        <w:rPr>
          <w:lang w:val="en-US" w:eastAsia="en-ZA"/>
        </w:rPr>
      </w:pPr>
    </w:p>
    <w:p w14:paraId="1A54AE65" w14:textId="77777777" w:rsidR="00845307" w:rsidRPr="00C770DD" w:rsidRDefault="00845307" w:rsidP="00845307">
      <w:pPr>
        <w:rPr>
          <w:lang w:val="en-US" w:eastAsia="en-ZA"/>
        </w:rPr>
      </w:pPr>
    </w:p>
    <w:p w14:paraId="42A9E073" w14:textId="77777777" w:rsidR="00845307" w:rsidRPr="00C770DD" w:rsidRDefault="00845307" w:rsidP="00845307">
      <w:pPr>
        <w:rPr>
          <w:lang w:val="en-US" w:eastAsia="en-ZA"/>
        </w:rPr>
      </w:pPr>
    </w:p>
    <w:p w14:paraId="3E3E0DDA" w14:textId="77777777" w:rsidR="00845307" w:rsidRPr="00C770DD" w:rsidRDefault="00845307" w:rsidP="00845307">
      <w:pPr>
        <w:rPr>
          <w:lang w:val="en-US" w:eastAsia="en-ZA"/>
        </w:rPr>
      </w:pPr>
    </w:p>
    <w:p w14:paraId="349C6661" w14:textId="77777777" w:rsidR="00845307" w:rsidRPr="00C770DD" w:rsidRDefault="00845307" w:rsidP="00845307">
      <w:pPr>
        <w:rPr>
          <w:lang w:val="en-US" w:eastAsia="en-ZA"/>
        </w:rPr>
      </w:pPr>
    </w:p>
    <w:p w14:paraId="6C17B8AF" w14:textId="77777777" w:rsidR="00845307" w:rsidRPr="00C770DD" w:rsidRDefault="00845307" w:rsidP="00845307">
      <w:pPr>
        <w:rPr>
          <w:lang w:val="en-US" w:eastAsia="en-ZA"/>
        </w:rPr>
      </w:pPr>
    </w:p>
    <w:p w14:paraId="607B988F" w14:textId="77777777" w:rsidR="00845307" w:rsidRPr="00C770DD" w:rsidRDefault="00845307" w:rsidP="00845307">
      <w:pPr>
        <w:rPr>
          <w:lang w:val="en-US" w:eastAsia="en-ZA"/>
        </w:rPr>
      </w:pPr>
    </w:p>
    <w:p w14:paraId="2B5C3CB9" w14:textId="77777777" w:rsidR="00845307" w:rsidRPr="00C770DD" w:rsidRDefault="00845307" w:rsidP="00845307">
      <w:pPr>
        <w:rPr>
          <w:lang w:val="en-US" w:eastAsia="en-ZA"/>
        </w:rPr>
      </w:pPr>
    </w:p>
    <w:p w14:paraId="1B9578B6" w14:textId="77777777" w:rsidR="00845307" w:rsidRPr="00C770DD" w:rsidRDefault="00845307" w:rsidP="00845307">
      <w:pPr>
        <w:rPr>
          <w:lang w:val="en-US" w:eastAsia="en-ZA"/>
        </w:rPr>
      </w:pPr>
    </w:p>
    <w:p w14:paraId="7474D6B9" w14:textId="77777777" w:rsidR="00845307" w:rsidRPr="00C770DD" w:rsidRDefault="00845307" w:rsidP="00845307">
      <w:pPr>
        <w:rPr>
          <w:lang w:val="en-US" w:eastAsia="en-ZA"/>
        </w:rPr>
      </w:pPr>
    </w:p>
    <w:p w14:paraId="418167EA" w14:textId="77777777" w:rsidR="00070FED" w:rsidRDefault="00070FED" w:rsidP="00070FED">
      <w:pPr>
        <w:spacing w:line="480" w:lineRule="auto"/>
        <w:jc w:val="both"/>
        <w:rPr>
          <w:rFonts w:ascii="Arial" w:hAnsi="Arial" w:cs="Arial"/>
          <w:b/>
          <w:bCs/>
          <w:sz w:val="28"/>
          <w:szCs w:val="28"/>
        </w:rPr>
      </w:pPr>
    </w:p>
    <w:p w14:paraId="78C11845" w14:textId="77777777" w:rsidR="00E8506B" w:rsidRPr="00070FED" w:rsidRDefault="00E8506B" w:rsidP="00070FED">
      <w:pPr>
        <w:spacing w:line="480" w:lineRule="auto"/>
        <w:jc w:val="both"/>
        <w:rPr>
          <w:rFonts w:ascii="Arial" w:hAnsi="Arial" w:cs="Arial"/>
          <w:b/>
          <w:bCs/>
          <w:sz w:val="28"/>
          <w:szCs w:val="28"/>
        </w:rPr>
      </w:pPr>
    </w:p>
    <w:p w14:paraId="0B298273" w14:textId="6001D626" w:rsidR="00070FED" w:rsidRPr="00CD3FA8" w:rsidRDefault="00070FED" w:rsidP="00070FED">
      <w:pPr>
        <w:spacing w:line="480" w:lineRule="auto"/>
        <w:jc w:val="both"/>
        <w:rPr>
          <w:rFonts w:ascii="Arial" w:hAnsi="Arial" w:cs="Arial"/>
          <w:i/>
          <w:iCs/>
          <w:sz w:val="20"/>
          <w:szCs w:val="20"/>
        </w:rPr>
      </w:pPr>
      <w:r w:rsidRPr="00CD3FA8">
        <w:rPr>
          <w:rFonts w:ascii="Arial" w:hAnsi="Arial" w:cs="Arial"/>
          <w:i/>
          <w:iCs/>
          <w:sz w:val="20"/>
          <w:szCs w:val="20"/>
        </w:rPr>
        <w:t xml:space="preserve">Key words: </w:t>
      </w:r>
      <w:bookmarkStart w:id="6" w:name="_Hlk193400064"/>
      <w:r w:rsidRPr="00CD3FA8">
        <w:rPr>
          <w:rFonts w:ascii="Arial" w:hAnsi="Arial" w:cs="Arial"/>
          <w:i/>
          <w:iCs/>
          <w:sz w:val="20"/>
          <w:szCs w:val="20"/>
        </w:rPr>
        <w:t>Fungi identification, MALDI-TOF, Routine</w:t>
      </w:r>
      <w:bookmarkEnd w:id="6"/>
      <w:r w:rsidRPr="00CD3FA8">
        <w:rPr>
          <w:rFonts w:ascii="Arial" w:hAnsi="Arial" w:cs="Arial"/>
          <w:i/>
          <w:iCs/>
          <w:sz w:val="20"/>
          <w:szCs w:val="20"/>
        </w:rPr>
        <w:t>-Method, Lomé-Togo</w:t>
      </w:r>
    </w:p>
    <w:p w14:paraId="25653F18" w14:textId="77777777" w:rsidR="00845307" w:rsidRPr="00070FED" w:rsidRDefault="00845307" w:rsidP="00845307">
      <w:pPr>
        <w:rPr>
          <w:lang w:eastAsia="en-ZA"/>
        </w:rPr>
      </w:pPr>
    </w:p>
    <w:p w14:paraId="5787EB0F" w14:textId="77777777" w:rsidR="00845307" w:rsidRDefault="00845307" w:rsidP="00845307">
      <w:pPr>
        <w:rPr>
          <w:lang w:eastAsia="en-ZA"/>
        </w:rPr>
      </w:pPr>
    </w:p>
    <w:p w14:paraId="3E74F384" w14:textId="77777777" w:rsidR="00070FED" w:rsidRDefault="00070FED" w:rsidP="00845307">
      <w:pPr>
        <w:rPr>
          <w:lang w:eastAsia="en-ZA"/>
        </w:rPr>
      </w:pPr>
    </w:p>
    <w:p w14:paraId="128EBE5D" w14:textId="77777777" w:rsidR="00C770DD" w:rsidRPr="00070FED" w:rsidRDefault="00C770DD" w:rsidP="00845307">
      <w:pPr>
        <w:rPr>
          <w:lang w:eastAsia="en-ZA"/>
        </w:rPr>
      </w:pPr>
    </w:p>
    <w:bookmarkEnd w:id="1"/>
    <w:p w14:paraId="1F6B4D5F" w14:textId="62203C54" w:rsidR="00BA51EC" w:rsidRPr="006A6222" w:rsidRDefault="004130D4" w:rsidP="000B315A">
      <w:pPr>
        <w:pStyle w:val="Heading1"/>
        <w:numPr>
          <w:ilvl w:val="0"/>
          <w:numId w:val="4"/>
        </w:numPr>
        <w:spacing w:before="240" w:line="480" w:lineRule="auto"/>
        <w:jc w:val="left"/>
        <w:rPr>
          <w:sz w:val="22"/>
          <w:szCs w:val="22"/>
        </w:rPr>
      </w:pPr>
      <w:r w:rsidRPr="006A6222">
        <w:rPr>
          <w:sz w:val="22"/>
          <w:szCs w:val="22"/>
        </w:rPr>
        <w:t>INTRODUCTION</w:t>
      </w:r>
    </w:p>
    <w:p w14:paraId="72840575" w14:textId="06347A78" w:rsidR="00BA51EC" w:rsidRPr="006A6222" w:rsidRDefault="00D26EE8" w:rsidP="00451967">
      <w:pPr>
        <w:spacing w:line="480" w:lineRule="auto"/>
        <w:jc w:val="both"/>
        <w:rPr>
          <w:rFonts w:ascii="Arial" w:hAnsi="Arial" w:cs="Arial"/>
          <w:sz w:val="20"/>
          <w:szCs w:val="20"/>
        </w:rPr>
      </w:pPr>
      <w:bookmarkStart w:id="7" w:name="_Hlk193403195"/>
      <w:r w:rsidRPr="006A6222">
        <w:rPr>
          <w:rFonts w:ascii="Arial" w:hAnsi="Arial" w:cs="Arial"/>
          <w:sz w:val="20"/>
          <w:szCs w:val="20"/>
        </w:rPr>
        <w:t>Superficial mycoses are mucocutaneous infections primarily caused by dermatophytes and yeasts of the Malassezia genus. In some cases, they are caused by, yeasts from the Candida and Trichosporon genera</w:t>
      </w:r>
      <w:r w:rsidR="00EF26DD" w:rsidRPr="006A6222">
        <w:rPr>
          <w:rFonts w:ascii="Arial" w:hAnsi="Arial" w:cs="Arial"/>
          <w:sz w:val="20"/>
          <w:szCs w:val="20"/>
        </w:rPr>
        <w:fldChar w:fldCharType="begin" w:fldLock="1"/>
      </w:r>
      <w:r w:rsidR="00424ECD">
        <w:rPr>
          <w:rFonts w:ascii="Arial" w:hAnsi="Arial" w:cs="Arial"/>
          <w:sz w:val="20"/>
          <w:szCs w:val="20"/>
        </w:rPr>
        <w:instrText>ADDIN CSL_CITATION {"citationItems":[{"id":"ITEM-1","itemData":{"DOI":"DOI : 10.48327/mtsi.v4i3.2024.545","abstract":"Introduction. Le diagnostic de mycose cutanée superficielle (MCS) est très fréquemment évoqué lors des consultations dermatologiques en zones tropicales, mais la confirmation mycologique y est très peu réalisée en routine. L’objectif de cette étude est de décrire le profil des espèces fongiques rencontrées à l’occasion de consultations de dermatologie à Lomé (Togo), d’en établir leurs fréquences relatives et, surtout, d’en discuter leur responsabilité dans les lésions observées. Méthode. Il s’agit d’une étude descriptive réalisée de février 2020 à mars 2022. Elle a porté sur des patients présentant des lésions suspectes de MCS, reçus en consultation dermatologique dans les trois services de dermatologie de Lomé. Les prélèvements ont été réalisés sur site pour les lésions fortement suspectes de mycoses et analysés au Laboratoire de mycologie du CHU Sylvanus Olympio pour une confirmation biologique. Résultats. Au cours de la période d’étude, 565 patients ont été enrôlés pour prélèvement. Trois cent soixantequatre (64,4 %) étaient des femmes et l’âge médian était de 31 ans, avec un intervalle interquartile (IIQ) de 22 à 41 ans. L’examen direct et/ou la culture ont été positifs chez 84,7 % (479/565) d’entre eux. Les principales espèces fongiques identifiées étaient des levures du genre Malassezia (23,8 %), d’autres levures (39,2 %), mais également des dermatophytes (22,8 %), avec pour espèce prédominante Trichophyton mentagrophytes (10,8 %), et des moisissures (13,1 %) dont Aspergillus niger et A. fumigatus (3,1 % chacun). Les pseudo-dermatophytes n’ont été retrouvés que dans 1 % des cas. Des cas d’associations de mycètes ont été également notés dans 3,5 % des cas. Conclusion. Le spectre des mycètes isolés dans les suspicions de MCS à Lomé est large, mais tous ne peuvent pas être tenus pour responsables des lésions observées. Cette diversité impose donc la réalisation d’un prélèvement mycologique pour une identification précise du mycète devant toute suspicion de MCS. Selon l’espèce isolée, ceci permettra d’adapter au mieux le traitement.","author":[{"dropping-particle":"","family":"Efoé SOSSOU*, Ameyo DORKENOO","given":"Akovi Kiki ADJETEY-TOGLOZOMBIO","non-dropping-particle":"","parse-names":false,"suffix":""}],"container-title":"MÉDECINE TROPICALE ET SANTÉ INTERNATIONALE","id":"ITEM-1","issued":{"date-parts":[["2024"]]},"page":"1-13","title":"Profil des espèces fongiques isolées lors de consultations dermatologiques à Lomé (Togo)","type":"article-journal"},"uris":["http://www.mendeley.com/documents/?uuid=6bbee7ed-7d5b-4475-894f-5cbe8cca4bae"]},{"id":"ITEM-2","itemData":{"DOI":"10.1016/j.jaad.2018.05.1260","ISSN":"10976787","PMID":"29959962","abstract":"Onychomycosis is a fungal nail infection caused by dermatophytes, nondermatophytes, and yeast, and is the most common nail disorder seen in clinical practice. It is an important problem because it may cause local pain, paresthesias, difficulties performing activities of daily living, and impair social interactions. The epidemiology, risk factors, and clinical presentation and diagnosis of onychomycosis were discussed in the first article in this continuing medical education series. In this article, we review the prognosis and response to onychomycosis treatment, medications for onychomycosis that have been approved by the US Food and Drug Administration, and off-label therapies and devices. Methods to prevent onychomycosis recurrences and emerging therapies are also described.","author":[{"dropping-particle":"","family":"Lipner","given":"Shari R.","non-dropping-particle":"","parse-names":false,"suffix":""},{"dropping-particle":"","family":"Scher","given":"Richard K.","non-dropping-particle":"","parse-names":false,"suffix":""}],"container-title":"Journal of the American Academy of Dermatology","id":"ITEM-2","issue":"4","issued":{"date-parts":[["2019"]]},"page":"853-867","title":"Onychomycosis: Treatment and prevention of recurrence","type":"article-journal","volume":"80"},"uris":["http://www.mendeley.com/documents/?uuid=23e780b8-c9cd-483e-8c91-e0f08a848598"]}],"mendeley":{"formattedCitation":"(Efoé SOSSOU*, Ameyo DORKENOO, 2024; Lipner and Scher, 2019)","manualFormatting":"(Efoé Sossou et al, 2024; Lipner and Scher, 2019)","plainTextFormattedCitation":"(Efoé SOSSOU*, Ameyo DORKENOO, 2024; Lipner and Scher, 2019)","previouslyFormattedCitation":"(Efoé SOSSOU*, Ameyo DORKENOO, 2024; Lipner and Scher, 2019)"},"properties":{"noteIndex":0},"schema":"https://github.com/citation-style-language/schema/raw/master/csl-citation.json"}</w:instrText>
      </w:r>
      <w:r w:rsidR="00EF26DD" w:rsidRPr="006A6222">
        <w:rPr>
          <w:rFonts w:ascii="Arial" w:hAnsi="Arial" w:cs="Arial"/>
          <w:sz w:val="20"/>
          <w:szCs w:val="20"/>
        </w:rPr>
        <w:fldChar w:fldCharType="separate"/>
      </w:r>
      <w:r w:rsidR="00DA7D66" w:rsidRPr="006A6222">
        <w:rPr>
          <w:rFonts w:ascii="Arial" w:hAnsi="Arial" w:cs="Arial"/>
          <w:sz w:val="20"/>
          <w:szCs w:val="20"/>
        </w:rPr>
        <w:t>(Efoé S</w:t>
      </w:r>
      <w:r w:rsidR="00424ECD" w:rsidRPr="006A6222">
        <w:rPr>
          <w:rFonts w:ascii="Arial" w:hAnsi="Arial" w:cs="Arial"/>
          <w:sz w:val="20"/>
          <w:szCs w:val="20"/>
        </w:rPr>
        <w:t>ossou</w:t>
      </w:r>
      <w:r w:rsidR="00F04718">
        <w:rPr>
          <w:rFonts w:ascii="Arial" w:hAnsi="Arial" w:cs="Arial"/>
          <w:sz w:val="20"/>
          <w:szCs w:val="20"/>
        </w:rPr>
        <w:t xml:space="preserve"> </w:t>
      </w:r>
      <w:r w:rsidR="00F04718" w:rsidRPr="00F04718">
        <w:rPr>
          <w:rFonts w:ascii="Arial" w:hAnsi="Arial" w:cs="Arial"/>
          <w:i/>
          <w:iCs/>
          <w:sz w:val="20"/>
          <w:szCs w:val="20"/>
        </w:rPr>
        <w:t>et al</w:t>
      </w:r>
      <w:r w:rsidR="00DA7D66" w:rsidRPr="006A6222">
        <w:rPr>
          <w:rFonts w:ascii="Arial" w:hAnsi="Arial" w:cs="Arial"/>
          <w:sz w:val="20"/>
          <w:szCs w:val="20"/>
        </w:rPr>
        <w:t>, 2024; Lipner and Scher, 2019)</w:t>
      </w:r>
      <w:r w:rsidR="00EF26DD" w:rsidRPr="006A6222">
        <w:rPr>
          <w:rFonts w:ascii="Arial" w:hAnsi="Arial" w:cs="Arial"/>
          <w:sz w:val="20"/>
          <w:szCs w:val="20"/>
        </w:rPr>
        <w:fldChar w:fldCharType="end"/>
      </w:r>
      <w:r w:rsidR="00BD3075" w:rsidRPr="006A6222">
        <w:rPr>
          <w:rFonts w:ascii="Arial" w:hAnsi="Arial" w:cs="Arial"/>
          <w:sz w:val="20"/>
          <w:szCs w:val="20"/>
        </w:rPr>
        <w:t xml:space="preserve">. </w:t>
      </w:r>
      <w:r w:rsidRPr="006A6222">
        <w:rPr>
          <w:rFonts w:ascii="Arial" w:hAnsi="Arial" w:cs="Arial"/>
          <w:sz w:val="20"/>
          <w:szCs w:val="20"/>
        </w:rPr>
        <w:t>These infections are among the most prevalent globally, affecting 20% to 25% of the population</w:t>
      </w:r>
      <w:r w:rsidR="00C770DD">
        <w:rPr>
          <w:rFonts w:ascii="Arial" w:hAnsi="Arial" w:cs="Arial"/>
          <w:sz w:val="20"/>
          <w:szCs w:val="20"/>
        </w:rPr>
        <w:t xml:space="preserve"> </w:t>
      </w:r>
      <w:r w:rsidR="00DF191F"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{"citationItems":[{"id":"ITEM-1","itemData":{"DOI":"10.4081/mm.2020.9156","abstract":"Tegument mycoses are classified into three groups: 1) Superficial skin mycoses or superficial mycoses: infections sustained by fungi limited to the skin horny layer or the hair extrafollicular portion, without a significant inflammatory response in the host. 2) Skin mycoses (dermatophytosis) sensu stricto: fungal infections in which skin and its annexes, at the level of the keratinized layers, are involved with an evident immune response by the host 3) Mycosis of the subcutaneous tissue: fungal infections that mainly affect the subcutaneous tissue and secondarily, by contiguity, skin, bones and other tissues, with a strong immune response by the host [...].","author":[{"dropping-particle":"","family":"Lombardi","given":"Gianluigi","non-dropping-particle":"","parse-names":false,"suffix":""},{"dropping-particle":"","family":"Cascio","given":"Giuliana","non-dropping-particle":"Lo","parse-names":false,"suffix":""},{"dropping-particle":"","family":"Andreoni","given":"Stefano","non-dropping-particle":"","parse-names":false,"suffix":""},{"dropping-particle":"","family":"Blasi","given":"Elisabetta","non-dropping-particle":"","parse-names":false,"suffix":""},{"dropping-particle":"","family":"Conte","given":"Marco","non-dropping-particle":"","parse-names":false,"suffix":""},{"dropping-particle":"","family":"Farina","given":"Claudio","non-dropping-particle":"","parse-names":false,"suffix":""},{"dropping-particle":"","family":"Fazii","given":"Paolo","non-dropping-particle":"","parse-names":false,"suffix":""},{"dropping-particle":"","family":"Sanna","given":"Silvana","non-dropping-particle":"","parse-names":false,"suffix":""},{"dropping-particle":"","family":"Trovato","given":"Laura","non-dropping-particle":"","parse-names":false,"suffix":""}],"container-title":"Microbiologia Medica","id":"ITEM-1","issue":"1","issued":{"date-parts":[["2020"]]},"title":"Superficial and subcutaneous mycoses","type":"article-journal","volume":"35"},"uris":["http://www.mendeley.com/documents/?uuid=e33e2681-15da-461f-b788-46a34abc299a"]}],"mendeley":{"formattedCitation":"(Lombardi et al., 2020)","plainTextFormattedCitation":"(Lombardi et al., 2020)","previouslyFormattedCitation":"(Lombardi et al., 2020)"},"properties":{"noteIndex":0},"schema":"https://github.com/citation-style-language/schema/raw/master/csl-citation.json"}</w:instrText>
      </w:r>
      <w:r w:rsidR="00DF191F" w:rsidRPr="006A6222">
        <w:rPr>
          <w:rFonts w:ascii="Arial" w:hAnsi="Arial" w:cs="Arial"/>
          <w:sz w:val="20"/>
          <w:szCs w:val="20"/>
        </w:rPr>
        <w:fldChar w:fldCharType="separate"/>
      </w:r>
      <w:r w:rsidR="00DA7D66" w:rsidRPr="006A6222">
        <w:rPr>
          <w:rFonts w:ascii="Arial" w:hAnsi="Arial" w:cs="Arial"/>
          <w:sz w:val="20"/>
          <w:szCs w:val="20"/>
        </w:rPr>
        <w:t>(Lombardi et al., 2020)</w:t>
      </w:r>
      <w:r w:rsidR="00DF191F" w:rsidRPr="006A6222">
        <w:rPr>
          <w:rFonts w:ascii="Arial" w:hAnsi="Arial" w:cs="Arial"/>
          <w:sz w:val="20"/>
          <w:szCs w:val="20"/>
        </w:rPr>
        <w:fldChar w:fldCharType="end"/>
      </w:r>
      <w:r w:rsidR="007845BB" w:rsidRPr="006A6222">
        <w:rPr>
          <w:rFonts w:ascii="Arial" w:hAnsi="Arial" w:cs="Arial"/>
          <w:sz w:val="20"/>
          <w:szCs w:val="20"/>
        </w:rPr>
        <w:t>.</w:t>
      </w:r>
    </w:p>
    <w:p w14:paraId="4DD25270" w14:textId="6401369D" w:rsidR="00BA51EC" w:rsidRPr="006A6222" w:rsidRDefault="00BA51EC" w:rsidP="00451967">
      <w:pPr>
        <w:spacing w:line="480" w:lineRule="auto"/>
        <w:jc w:val="both"/>
        <w:rPr>
          <w:rFonts w:ascii="Arial" w:hAnsi="Arial" w:cs="Arial"/>
          <w:sz w:val="20"/>
          <w:szCs w:val="20"/>
        </w:rPr>
      </w:pPr>
      <w:r w:rsidRPr="006A6222">
        <w:rPr>
          <w:rFonts w:ascii="Arial" w:hAnsi="Arial" w:cs="Arial"/>
          <w:sz w:val="20"/>
          <w:szCs w:val="20"/>
        </w:rPr>
        <w:t>Over the last two decades, their incidence has risen considerably</w:t>
      </w:r>
      <w:r w:rsidR="00C770DD">
        <w:rPr>
          <w:rFonts w:ascii="Arial" w:hAnsi="Arial" w:cs="Arial"/>
          <w:sz w:val="20"/>
          <w:szCs w:val="20"/>
        </w:rPr>
        <w:t xml:space="preserve"> </w:t>
      </w:r>
      <w:r w:rsidR="00A054CB"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{"citationItems":[{"id":"ITEM-1","itemData":{"DOI":"10.1016/j.jaad.2018.05.1260","ISSN":"10976787","PMID":"29959962","abstract":"Onychomycosis is a fungal nail infection caused by dermatophytes, nondermatophytes, and yeast, and is the most common nail disorder seen in clinical practice. It is an important problem because it may cause local pain, paresthesias, difficulties performing activities of daily living, and impair social interactions. The epidemiology, risk factors, and clinical presentation and diagnosis of onychomycosis were discussed in the first article in this continuing medical education series. In this article, we review the prognosis and response to onychomycosis treatment, medications for onychomycosis that have been approved by the US Food and Drug Administration, and off-label therapies and devices. Methods to prevent onychomycosis recurrences and emerging therapies are also described.","author":[{"dropping-particle":"","family":"Lipner","given":"Shari R.","non-dropping-particle":"","parse-names":false,"suffix":""},{"dropping-particle":"","family":"Scher","given":"Richard K.","non-dropping-particle":"","parse-names":false,"suffix":""}],"container-title":"Journal of the American Academy of Dermatology","id":"ITEM-1","issue":"4","issued":{"date-parts":[["2019"]]},"page":"853-867","title":"Onychomycosis: Treatment and prevention of recurrence","type":"article-journal","volume":"80"},"uris":["http://www.mendeley.com/documents/?uuid=23e780b8-c9cd-483e-8c91-e0f08a848598"]},{"id":"ITEM-2","itemData":{"DOI":"10.1016/j.mycmed.2017.07.011","ISSN":"17730449","PMID":"28887005","abstract":"Aim of the study Fungal interdigital tinea pedis are poorly documented in Ivory Coast. This study aimed to determine the distribution of fungal species and contributing factors of the disease among policemen in Abidjan. Patients and methods Our cross-sectional study was carried out at the police school in Abidjan. Our patients consisted of symptomatic or non-symptomatic police students. Samples of scales or serosities taken from inter-toes spaces were examinated with KOH mount and cultured on Sabouraud-chloramphenicol and Sabouraud-chloramphenicol-actidione media. The method of identification depended on the observed fungus. Results Among the 303 police students with clinical lesions of the inter-toe folds, 233 (76.9%; IC 95% = 71.9–81.4) had a positive diagnosis after mycological examination. Lesions were predominantly located in the 3rd and 4th interdigital plantar spaces, with desquamation (100%) followed by maceration (82.5%) as the predominant functional sign. Dermatophytes accounted for 86.3% of the strains isolated with as majority species : Trichophyton interdigitale (40.3%), Microsporum langeronii (30.0%) and Trichophyton rubrum (15.5%). Yeasts accounted for 13.7% of the strains with Candida albicans (7.7%) as the most found species. The duration at the police school (P = 0.004) and the practice of sports activities (P = 0.0001) were statistically associated with the occurrence of the disease. Conclusion A good hygiene of feet would reduce the incidence of the disease among the defense and security forces. Also, investigations for the influence of the seasons in the occurrence of interdigital tinea pedis will allow a better understand of epidemiology of this dermatomycosis.","author":[{"dropping-particle":"","family":"Kiki-Barro","given":"P. C.M.","non-dropping-particle":"","parse-names":false,"suffix":""},{"dropping-particle":"","family":"Konaté","given":"A.","non-dropping-particle":"","parse-names":false,"suffix":""},{"dropping-particle":"","family":"Angora","given":"E. K.","non-dropping-particle":"","parse-names":false,"suffix":""},{"dropping-particle":"","family":"Kassi","given":"F. K.","non-dropping-particle":"","parse-names":false,"suffix":""},{"dropping-particle":"","family":"Bosson-Vanga","given":"H.","non-dropping-particle":"","parse-names":false,"suffix":""},{"dropping-particle":"V.","family":"Bedia-Tanoh","given":"A.","non-dropping-particle":"","parse-names":false,"suffix":""},{"dropping-particle":"","family":"Djohan","given":"V.","non-dropping-particle":"","parse-names":false,"suffix":""},{"dropping-particle":"","family":"Yavo","given":"W.","non-dropping-particle":"","parse-names":false,"suffix":""},{"dropping-particle":"","family":"Menan","given":"E. I.H.","non-dropping-particle":"","parse-names":false,"suffix":""}],"container-title":"Journal de Mycologie Medicale","id":"ITEM-2","issue":"4","issued":{"date-parts":[["2017"]]},"page":"561-566","publisher":"Elsevier Masson SAS","title":"Fungal aetiologies and contributing factors of interdigital tinea pedis among policemen in Abidjan (Ivory Coast)","type":"article-journal","volume":"27"},"uris":["http://www.mendeley.com/documents/?uuid=d119d1f0-8359-451d-bcf2-b86fa1e54fa0"]}],"mendeley":{"formattedCitation":"(Kiki-Barro et al., 2017; Lipner and Scher, 2019)","plainTextFormattedCitation":"(Kiki-Barro et al., 2017; Lipner and Scher, 2019)","previouslyFormattedCitation":"(Kiki-Barro et al., 2017; Lipner and Scher, 2019)"},"properties":{"noteIndex":0},"schema":"https://github.com/citation-style-language/schema/raw/master/csl-citation.json"}</w:instrText>
      </w:r>
      <w:r w:rsidR="00A054CB" w:rsidRPr="006A6222">
        <w:rPr>
          <w:rFonts w:ascii="Arial" w:hAnsi="Arial" w:cs="Arial"/>
          <w:sz w:val="20"/>
          <w:szCs w:val="20"/>
        </w:rPr>
        <w:fldChar w:fldCharType="separate"/>
      </w:r>
      <w:r w:rsidR="00DA7D66" w:rsidRPr="006A6222">
        <w:rPr>
          <w:rFonts w:ascii="Arial" w:hAnsi="Arial" w:cs="Arial"/>
          <w:sz w:val="20"/>
          <w:szCs w:val="20"/>
        </w:rPr>
        <w:t xml:space="preserve">(Kiki-Barro </w:t>
      </w:r>
      <w:r w:rsidR="00DA7D66" w:rsidRPr="00ED09D5">
        <w:rPr>
          <w:rFonts w:ascii="Arial" w:hAnsi="Arial" w:cs="Arial"/>
          <w:i/>
          <w:iCs/>
          <w:sz w:val="20"/>
          <w:szCs w:val="20"/>
        </w:rPr>
        <w:t>et al.</w:t>
      </w:r>
      <w:r w:rsidR="00DA7D66" w:rsidRPr="006A6222">
        <w:rPr>
          <w:rFonts w:ascii="Arial" w:hAnsi="Arial" w:cs="Arial"/>
          <w:sz w:val="20"/>
          <w:szCs w:val="20"/>
        </w:rPr>
        <w:t>, 2017; Lipner and Scher, 2019)</w:t>
      </w:r>
      <w:r w:rsidR="00A054CB" w:rsidRPr="006A6222">
        <w:rPr>
          <w:rFonts w:ascii="Arial" w:hAnsi="Arial" w:cs="Arial"/>
          <w:sz w:val="20"/>
          <w:szCs w:val="20"/>
        </w:rPr>
        <w:fldChar w:fldCharType="end"/>
      </w:r>
      <w:r w:rsidRPr="006A6222">
        <w:rPr>
          <w:rFonts w:ascii="Arial" w:hAnsi="Arial" w:cs="Arial"/>
          <w:sz w:val="20"/>
          <w:szCs w:val="20"/>
        </w:rPr>
        <w:t xml:space="preserve"> due to various risk factors such as international travel, contact with pets, and the use of immunosuppressive drugs</w:t>
      </w:r>
      <w:r w:rsidR="00ED09D5">
        <w:rPr>
          <w:rFonts w:ascii="Arial" w:hAnsi="Arial" w:cs="Arial"/>
          <w:sz w:val="20"/>
          <w:szCs w:val="20"/>
        </w:rPr>
        <w:t xml:space="preserve"> </w:t>
      </w:r>
      <w:r w:rsidR="00A054CB"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{"citationItems":[{"id":"ITEM-1","itemData":{"DOI":"10.4081/mm.2020.9156","abstract":"Tegument mycoses are classified into three groups: 1) Superficial skin mycoses or superficial mycoses: infections sustained by fungi limited to the skin horny layer or the hair extrafollicular portion, without a significant inflammatory response in the host. 2) Skin mycoses (dermatophytosis) sensu stricto: fungal infections in which skin and its annexes, at the level of the keratinized layers, are involved with an evident immune response by the host 3) Mycosis of the subcutaneous tissue: fungal infections that mainly affect the subcutaneous tissue and secondarily, by contiguity, skin, bones and other tissues, with a strong immune response by the host [...].","author":[{"dropping-particle":"","family":"Lombardi","given":"Gianluigi","non-dropping-particle":"","parse-names":false,"suffix":""},{"dropping-particle":"","family":"Cascio","given":"Giuliana","non-dropping-particle":"Lo","parse-names":false,"suffix":""},{"dropping-particle":"","family":"Andreoni","given":"Stefano","non-dropping-particle":"","parse-names":false,"suffix":""},{"dropping-particle":"","family":"Blasi","given":"Elisabetta","non-dropping-particle":"","parse-names":false,"suffix":""},{"dropping-particle":"","family":"Conte","given":"Marco","non-dropping-particle":"","parse-names":false,"suffix":""},{"dropping-particle":"","family":"Farina","given":"Claudio","non-dropping-particle":"","parse-names":false,"suffix":""},{"dropping-particle":"","family":"Fazii","given":"Paolo","non-dropping-particle":"","parse-names":false,"suffix":""},{"dropping-particle":"","family":"Sanna","given":"Silvana","non-dropping-particle":"","parse-names":false,"suffix":""},{"dropping-particle":"","family":"Trovato","given":"Laura","non-dropping-particle":"","parse-names":false,"suffix":""}],"container-title":"Microbiologia Medica","id":"ITEM-1","issue":"1","issued":{"date-parts":[["2020"]]},"title":"Superficial and subcutaneous mycoses","type":"article-journal","volume":"35"},"uris":["http://www.mendeley.com/documents/?uuid=e33e2681-15da-461f-b788-46a34abc299a"]}],"mendeley":{"formattedCitation":"(Lombardi et al., 2020)","plainTextFormattedCitation":"(Lombardi et al., 2020)","previouslyFormattedCitation":"(Lombardi et al., 2020)"},"properties":{"noteIndex":0},"schema":"https://github.com/citation-style-language/schema/raw/master/csl-citation.json"}</w:instrText>
      </w:r>
      <w:r w:rsidR="00A054CB" w:rsidRPr="006A6222">
        <w:rPr>
          <w:rFonts w:ascii="Arial" w:hAnsi="Arial" w:cs="Arial"/>
          <w:sz w:val="20"/>
          <w:szCs w:val="20"/>
        </w:rPr>
        <w:fldChar w:fldCharType="separate"/>
      </w:r>
      <w:r w:rsidR="00DA7D66" w:rsidRPr="006A6222">
        <w:rPr>
          <w:rFonts w:ascii="Arial" w:hAnsi="Arial" w:cs="Arial"/>
          <w:sz w:val="20"/>
          <w:szCs w:val="20"/>
        </w:rPr>
        <w:t xml:space="preserve">(Lombardi </w:t>
      </w:r>
      <w:r w:rsidR="00DA7D66" w:rsidRPr="00ED09D5">
        <w:rPr>
          <w:rFonts w:ascii="Arial" w:hAnsi="Arial" w:cs="Arial"/>
          <w:i/>
          <w:iCs/>
          <w:sz w:val="20"/>
          <w:szCs w:val="20"/>
        </w:rPr>
        <w:t>et al</w:t>
      </w:r>
      <w:r w:rsidR="00DA7D66" w:rsidRPr="006A6222">
        <w:rPr>
          <w:rFonts w:ascii="Arial" w:hAnsi="Arial" w:cs="Arial"/>
          <w:sz w:val="20"/>
          <w:szCs w:val="20"/>
        </w:rPr>
        <w:t>., 2020)</w:t>
      </w:r>
      <w:r w:rsidR="00A054CB" w:rsidRPr="006A6222">
        <w:rPr>
          <w:rFonts w:ascii="Arial" w:hAnsi="Arial" w:cs="Arial"/>
          <w:sz w:val="20"/>
          <w:szCs w:val="20"/>
        </w:rPr>
        <w:fldChar w:fldCharType="end"/>
      </w:r>
      <w:r w:rsidRPr="006A6222">
        <w:rPr>
          <w:rFonts w:ascii="Arial" w:hAnsi="Arial" w:cs="Arial"/>
          <w:sz w:val="20"/>
          <w:szCs w:val="20"/>
        </w:rPr>
        <w:t>. This increase is compounded by the emergence of previously unknown pathogenic species in human infections, as well as new forms of clinical manifestations</w:t>
      </w:r>
      <w:r w:rsidR="00DA6231"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{"citationItems":[{"id":"ITEM-1","itemData":{"DOI":"10.4081/mm.2020.9156","abstract":"Tegument mycoses are classified into three groups: 1) Superficial skin mycoses or superficial mycoses: infections sustained by fungi limited to the skin horny layer or the hair extrafollicular portion, without a significant inflammatory response in the host. 2) Skin mycoses (dermatophytosis) sensu stricto: fungal infections in which skin and its annexes, at the level of the keratinized layers, are involved with an evident immune response by the host 3) Mycosis of the subcutaneous tissue: fungal infections that mainly affect the subcutaneous tissue and secondarily, by contiguity, skin, bones and other tissues, with a strong immune response by the host [...].","author":[{"dropping-particle":"","family":"Lombardi","given":"Gianluigi","non-dropping-particle":"","parse-names":false,"suffix":""},{"dropping-particle":"","family":"Cascio","given":"Giuliana","non-dropping-particle":"Lo","parse-names":false,"suffix":""},{"dropping-particle":"","family":"Andreoni","given":"Stefano","non-dropping-particle":"","parse-names":false,"suffix":""},{"dropping-particle":"","family":"Blasi","given":"Elisabetta","non-dropping-particle":"","parse-names":false,"suffix":""},{"dropping-particle":"","family":"Conte","given":"Marco","non-dropping-particle":"","parse-names":false,"suffix":""},{"dropping-particle":"","family":"Farina","given":"Claudio","non-dropping-particle":"","parse-names":false,"suffix":""},{"dropping-particle":"","family":"Fazii","given":"Paolo","non-dropping-particle":"","parse-names":false,"suffix":""},{"dropping-particle":"","family":"Sanna","given":"Silvana","non-dropping-particle":"","parse-names":false,"suffix":""},{"dropping-particle":"","family":"Trovato","given":"Laura","non-dropping-particle":"","parse-names":false,"suffix":""}],"container-title":"Microbiologia Medica","id":"ITEM-1","issue":"1","issued":{"date-parts":[["2020"]]},"title":"Superficial and subcutaneous mycoses","type":"article-journal","volume":"35"},"uris":["http://www.mendeley.com/documents/?uuid=e33e2681-15da-461f-b788-46a34abc299a"]},{"id":"ITEM-2","itemData":{"DOI":"10.3109/13693786.2012.720720","ISSN":"14602709","PMID":"22978312","abstract":"MALDI-TOF MS-based yeast identification requires a pretreatment step for which four are described in the literature, i.e., direct smear, fast formic acid and two complete formic acid/acetonitrile extractions. In this study we compared the impact of these procedures on the performance of MALDI-TOF MS-based yeast identification of samples from colonies grown on Sabouraud or chromogenic media. A total of 103 yeast isolates recovered from clinical samples were identified in parallel using the four pretreatment procedures. The proportions of both correct identifications (regardless of LogScore values) and of reliable identifications (i.e., correct identifications with a LogScore ≥2, as recommended by the manufacturer) obtained with the four techniques were compared. Even if the proportion of correct identifications exceeded 85% independent of the pretreatment procedure, results obtained with complete formic acid/acetonitril extractions of colonies grown on Sabouraud media were significantly superior to those with smear and fast formic acid extraction procedures. If one considers only reliable identifications, then both smear and fast formic acid extraction procedures yielded lower (&lt;40%) correct identification rates than the use of the two complete extraction procedures (&gt;77%) of portions of colonies on both Sabouraud and chromogenic media. The data would indicate that the direct smear and fast formic acid procedures cannot be recommended due to the LogScore values which were continually below those recommended by the manufacturer for biological validation. Thus, complete extraction methods are better suited for MALDI-TOF MS-based yeast identification in the clinical laboratory setting although they are more labor-intensive. © 2013 ISHAM.","author":[{"dropping-particle":"","family":"Cassagne","given":"Carole","non-dropping-particle":"","parse-names":false,"suffix":""},{"dropping-particle":"","family":"Cella","given":"Anne Laure","non-dropping-particle":"","parse-names":false,"suffix":""},{"dropping-particle":"","family":"Suchon","given":"Pierre","non-dropping-particle":"","parse-names":false,"suffix":""},{"dropping-particle":"","family":"Normand","given":"Anne Cecile","non-dropping-particle":"","parse-names":false,"suffix":""},{"dropping-particle":"","family":"Ranque","given":"Stephane","non-dropping-particle":"","parse-names":false,"suffix":""},{"dropping-particle":"","family":"Piarroux","given":"Renaud","non-dropping-particle":"","parse-names":false,"suffix":""}],"container-title":"Medical Mycology","id":"ITEM-2","issue":"4","issued":{"date-parts":[["2013"]]},"page":"371-377","title":"Evaluation of four pretreatment procedures for MALDI-TOF MS yeast identification in the routine clinical laboratory","type":"article-journal","volume":"51"},"uris":["http://www.mendeley.com/documents/?uuid=efcd6e94-030a-4391-90b9-cb84656708f7"]}],"mendeley":{"formattedCitation":"(Cassagne et al., 2013; Lombardi et al., 2020)","plainTextFormattedCitation":"(Cassagne et al., 2013; Lombardi et al., 2020)","previouslyFormattedCitation":"(Cassagne et al., 2013; Lombardi et al., 2020)"},"properties":{"noteIndex":0},"schema":"https://github.com/citation-style-language/schema/raw/master/csl-citation.json"}</w:instrText>
      </w:r>
      <w:r w:rsidR="00DA6231" w:rsidRPr="006A6222">
        <w:rPr>
          <w:rFonts w:ascii="Arial" w:hAnsi="Arial" w:cs="Arial"/>
          <w:sz w:val="20"/>
          <w:szCs w:val="20"/>
        </w:rPr>
        <w:fldChar w:fldCharType="separate"/>
      </w:r>
      <w:r w:rsidR="00DA7D66" w:rsidRPr="006A6222">
        <w:rPr>
          <w:rFonts w:ascii="Arial" w:hAnsi="Arial" w:cs="Arial"/>
          <w:sz w:val="20"/>
          <w:szCs w:val="20"/>
        </w:rPr>
        <w:t xml:space="preserve">(Cassagne et al., 2013; Lombardi </w:t>
      </w:r>
      <w:r w:rsidR="00DA7D66" w:rsidRPr="00ED09D5">
        <w:rPr>
          <w:rFonts w:ascii="Arial" w:hAnsi="Arial" w:cs="Arial"/>
          <w:i/>
          <w:iCs/>
          <w:sz w:val="20"/>
          <w:szCs w:val="20"/>
        </w:rPr>
        <w:t>et al</w:t>
      </w:r>
      <w:r w:rsidR="00DA7D66" w:rsidRPr="006A6222">
        <w:rPr>
          <w:rFonts w:ascii="Arial" w:hAnsi="Arial" w:cs="Arial"/>
          <w:sz w:val="20"/>
          <w:szCs w:val="20"/>
        </w:rPr>
        <w:t>., 2020)</w:t>
      </w:r>
      <w:r w:rsidR="00DA6231" w:rsidRPr="006A6222">
        <w:rPr>
          <w:rFonts w:ascii="Arial" w:hAnsi="Arial" w:cs="Arial"/>
          <w:sz w:val="20"/>
          <w:szCs w:val="20"/>
        </w:rPr>
        <w:fldChar w:fldCharType="end"/>
      </w:r>
      <w:r w:rsidRPr="006A6222">
        <w:rPr>
          <w:rFonts w:ascii="Arial" w:hAnsi="Arial" w:cs="Arial"/>
          <w:sz w:val="20"/>
          <w:szCs w:val="20"/>
        </w:rPr>
        <w:t>.</w:t>
      </w:r>
    </w:p>
    <w:p w14:paraId="686FFC7A" w14:textId="3C4B3BF9" w:rsidR="00BA51EC" w:rsidRPr="006A6222" w:rsidRDefault="0079289D" w:rsidP="00451967">
      <w:pPr>
        <w:spacing w:line="480" w:lineRule="auto"/>
        <w:jc w:val="both"/>
        <w:rPr>
          <w:rFonts w:ascii="Arial" w:hAnsi="Arial" w:cs="Arial"/>
          <w:sz w:val="20"/>
          <w:szCs w:val="20"/>
        </w:rPr>
      </w:pPr>
      <w:r w:rsidRPr="006A6222">
        <w:rPr>
          <w:rFonts w:ascii="Arial" w:hAnsi="Arial" w:cs="Arial"/>
          <w:sz w:val="20"/>
          <w:szCs w:val="20"/>
        </w:rPr>
        <w:t>Accurate identification of fungal pathogens is crucial for effective patient management, particularly in the context of rising fungal infections globally. In low-income settings, the diagnosis of these infections primarily relies on , which are often supplemented with morphological or biochemical identification techniques. However, these conventional diagnostic approaches present several significant challenges.</w:t>
      </w:r>
      <w:r w:rsidR="00826310" w:rsidRPr="006A6222">
        <w:rPr>
          <w:rFonts w:ascii="Arial" w:hAnsi="Arial" w:cs="Arial"/>
          <w:sz w:val="20"/>
          <w:szCs w:val="20"/>
        </w:rPr>
        <w:t xml:space="preserve"> </w:t>
      </w:r>
      <w:r w:rsidR="00BB1829" w:rsidRPr="006A6222">
        <w:rPr>
          <w:rFonts w:ascii="Arial" w:hAnsi="Arial" w:cs="Arial"/>
          <w:sz w:val="20"/>
          <w:szCs w:val="20"/>
        </w:rPr>
        <w:t xml:space="preserve">In </w:t>
      </w:r>
      <w:r w:rsidR="0036162A" w:rsidRPr="006A6222">
        <w:rPr>
          <w:rFonts w:ascii="Arial" w:hAnsi="Arial" w:cs="Arial"/>
          <w:sz w:val="20"/>
          <w:szCs w:val="20"/>
        </w:rPr>
        <w:t>low-income</w:t>
      </w:r>
      <w:r w:rsidR="00BB1829" w:rsidRPr="006A6222">
        <w:rPr>
          <w:rFonts w:ascii="Arial" w:hAnsi="Arial" w:cs="Arial"/>
          <w:sz w:val="20"/>
          <w:szCs w:val="20"/>
        </w:rPr>
        <w:t xml:space="preserve"> countries like Togo, the </w:t>
      </w:r>
      <w:r w:rsidR="0043582A" w:rsidRPr="006A6222">
        <w:rPr>
          <w:rFonts w:ascii="Arial" w:hAnsi="Arial" w:cs="Arial"/>
          <w:sz w:val="20"/>
          <w:szCs w:val="20"/>
        </w:rPr>
        <w:t xml:space="preserve">large </w:t>
      </w:r>
      <w:r w:rsidR="00BB1829" w:rsidRPr="006A6222">
        <w:rPr>
          <w:rFonts w:ascii="Arial" w:hAnsi="Arial" w:cs="Arial"/>
          <w:sz w:val="20"/>
          <w:szCs w:val="20"/>
        </w:rPr>
        <w:t xml:space="preserve">diversity of fungal species responsible for superficial mycoses poses significant challenges for identification using </w:t>
      </w:r>
      <w:r w:rsidR="00576965" w:rsidRPr="006A6222">
        <w:rPr>
          <w:rFonts w:ascii="Arial" w:hAnsi="Arial" w:cs="Arial"/>
          <w:sz w:val="20"/>
          <w:szCs w:val="20"/>
        </w:rPr>
        <w:t>traditional culture-based methods</w:t>
      </w:r>
      <w:r w:rsidR="00BB1829" w:rsidRPr="006A6222">
        <w:rPr>
          <w:rFonts w:ascii="Arial" w:hAnsi="Arial" w:cs="Arial"/>
          <w:sz w:val="20"/>
          <w:szCs w:val="20"/>
        </w:rPr>
        <w:t>. The technical infrastructure for reliable biological confirmation of these fungi is often inadequate. Additionally, the introduction of advanced diagnostic tools, which offer greater reliability, speed, specificity, and affordability, remains a major hurdle in these regions</w:t>
      </w:r>
      <w:r w:rsidR="00DA6231"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{"citationItems":[{"id":"ITEM-1","itemData":{"DOI":"10.3109/13693786.2012.720720","ISSN":"14602709","PMID":"22978312","abstract":"MALDI-TOF MS-based yeast identification requires a pretreatment step for which four are described in the literature, i.e., direct smear, fast formic acid and two complete formic acid/acetonitrile extractions. In this study we compared the impact of these procedures on the performance of MALDI-TOF MS-based yeast identification of samples from colonies grown on Sabouraud or chromogenic media. A total of 103 yeast isolates recovered from clinical samples were identified in parallel using the four pretreatment procedures. The proportions of both correct identifications (regardless of LogScore values) and of reliable identifications (i.e., correct identifications with a LogScore ≥2, as recommended by the manufacturer) obtained with the four techniques were compared. Even if the proportion of correct identifications exceeded 85% independent of the pretreatment procedure, results obtained with complete formic acid/acetonitril extractions of colonies grown on Sabouraud media were significantly superior to those with smear and fast formic acid extraction procedures. If one considers only reliable identifications, then both smear and fast formic acid extraction procedures yielded lower (&lt;40%) correct identification rates than the use of the two complete extraction procedures (&gt;77%) of portions of colonies on both Sabouraud and chromogenic media. The data would indicate that the direct smear and fast formic acid procedures cannot be recommended due to the LogScore values which were continually below those recommended by the manufacturer for biological validation. Thus, complete extraction methods are better suited for MALDI-TOF MS-based yeast identification in the clinical laboratory setting although they are more labor-intensive. © 2013 ISHAM.","author":[{"dropping-particle":"","family":"Cassagne","given":"Carole","non-dropping-particle":"","parse-names":false,"suffix":""},{"dropping-particle":"","family":"Cella","given":"Anne Laure","non-dropping-particle":"","parse-names":false,"suffix":""},{"dropping-particle":"","family":"Suchon","given":"Pierre","non-dropping-particle":"","parse-names":false,"suffix":""},{"dropping-particle":"","family":"Normand","given":"Anne Cecile","non-dropping-particle":"","parse-names":false,"suffix":""},{"dropping-particle":"","family":"Ranque","given":"Stephane","non-dropping-particle":"","parse-names":false,"suffix":""},{"dropping-particle":"","family":"Piarroux","given":"Renaud","non-dropping-particle":"","parse-names":false,"suffix":""}],"container-title":"Medical Mycology","id":"ITEM-1","issue":"4","issued":{"date-parts":[["2013"]]},"page":"371-377","title":"Evaluation of four pretreatment procedures for MALDI-TOF MS yeast identification in the routine clinical laboratory","type":"article-journal","volume":"51"},"uris":["http://www.mendeley.com/documents/?uuid=04af4892-8fe1-436d-9d13-0a6a754a005a"]},{"id":"ITEM-2","itemData":{"DOI":"10.1186/s12014-023-09424-x","ISSN":"15590275","abstract":"Mass spectrometry (MS)-based proteomics have been increasingly implemented in various disciplines of laboratory medicine to identify and quantify biomolecules in a variety of biological specimens. MS-based proteomics is continuously expanding and widely applied in biomarker discovery for early detection, prognosis and markers for treatment response prediction and monitoring. Furthermore, making these advanced tests more accessible and affordable will have the greatest healthcare benefit. This review article highlights the new paradigms MS-based clinical proteomics has created in microbiology laboratories, cancer research and diagnosis of metabolic disorders. The technique is preferred over conventional methods in disease detection and therapy monitoring for its combined advantages in multiplexing capacity, remarkable analytical specificity and sensitivity and low turnaround time. Despite the achievements in the development and adoption of a number of MS-based clinical proteomics practices, more are expected to undergo transition from bench to bedside in the near future. The review provides insights from early trials and recent progresses (mainly covering literature from the NCBI database) in the application of proteomics in clinical laboratories.","author":[{"dropping-particle":"","family":"Birhanu","given":"Alemayehu Godana","non-dropping-particle":"","parse-names":false,"suffix":""}],"container-title":"Clinical Proteomics","id":"ITEM-2","issue":"1","issued":{"date-parts":[["2023"]]},"page":"1-20","title":"Mass spectrometry-based proteomics as an emerging tool in clinical laboratories","type":"article-journal","volume":"20"},"uris":["http://www.mendeley.com/documents/?uuid=b59ec081-4928-4872-92d5-1f76892e1c02"]}],"mendeley":{"formattedCitation":"(Birhanu, 2023; Cassagne et al., 2013)","plainTextFormattedCitation":"(Birhanu, 2023; Cassagne et al., 2013)","previouslyFormattedCitation":"(Birhanu, 2023; Cassagne et al., 2013)"},"properties":{"noteIndex":0},"schema":"https://github.com/citation-style-language/schema/raw/master/csl-citation.json"}</w:instrText>
      </w:r>
      <w:r w:rsidR="00DA6231" w:rsidRPr="006A6222">
        <w:rPr>
          <w:rFonts w:ascii="Arial" w:hAnsi="Arial" w:cs="Arial"/>
          <w:sz w:val="20"/>
          <w:szCs w:val="20"/>
        </w:rPr>
        <w:fldChar w:fldCharType="separate"/>
      </w:r>
      <w:r w:rsidR="00DA7D66" w:rsidRPr="006A6222">
        <w:rPr>
          <w:rFonts w:ascii="Arial" w:hAnsi="Arial" w:cs="Arial"/>
          <w:sz w:val="20"/>
          <w:szCs w:val="20"/>
        </w:rPr>
        <w:t xml:space="preserve">(Birhanu, 2023; Cassagne </w:t>
      </w:r>
      <w:r w:rsidR="00DA7D66" w:rsidRPr="00ED09D5">
        <w:rPr>
          <w:rFonts w:ascii="Arial" w:hAnsi="Arial" w:cs="Arial"/>
          <w:i/>
          <w:iCs/>
          <w:sz w:val="20"/>
          <w:szCs w:val="20"/>
        </w:rPr>
        <w:t>et al.</w:t>
      </w:r>
      <w:r w:rsidR="00DA7D66" w:rsidRPr="006A6222">
        <w:rPr>
          <w:rFonts w:ascii="Arial" w:hAnsi="Arial" w:cs="Arial"/>
          <w:sz w:val="20"/>
          <w:szCs w:val="20"/>
        </w:rPr>
        <w:t>, 2013)</w:t>
      </w:r>
      <w:r w:rsidR="00DA6231" w:rsidRPr="006A6222">
        <w:rPr>
          <w:rFonts w:ascii="Arial" w:hAnsi="Arial" w:cs="Arial"/>
          <w:sz w:val="20"/>
          <w:szCs w:val="20"/>
        </w:rPr>
        <w:fldChar w:fldCharType="end"/>
      </w:r>
      <w:r w:rsidR="00814BD1" w:rsidRPr="006A6222">
        <w:rPr>
          <w:rFonts w:ascii="Arial" w:hAnsi="Arial" w:cs="Arial"/>
          <w:sz w:val="20"/>
          <w:szCs w:val="20"/>
        </w:rPr>
        <w:t>.</w:t>
      </w:r>
      <w:r w:rsidR="00BB1829" w:rsidRPr="006A6222">
        <w:rPr>
          <w:rFonts w:ascii="Arial" w:hAnsi="Arial" w:cs="Arial"/>
          <w:sz w:val="20"/>
          <w:szCs w:val="20"/>
        </w:rPr>
        <w:t xml:space="preserve"> In the absence of such </w:t>
      </w:r>
      <w:r w:rsidR="00032BFD" w:rsidRPr="006A6222">
        <w:rPr>
          <w:rFonts w:ascii="Arial" w:hAnsi="Arial" w:cs="Arial"/>
          <w:sz w:val="20"/>
          <w:szCs w:val="20"/>
        </w:rPr>
        <w:t>techniques</w:t>
      </w:r>
      <w:r w:rsidR="00BB1829" w:rsidRPr="006A6222">
        <w:rPr>
          <w:rFonts w:ascii="Arial" w:hAnsi="Arial" w:cs="Arial"/>
          <w:sz w:val="20"/>
          <w:szCs w:val="20"/>
        </w:rPr>
        <w:t xml:space="preserve">, traditional methods remain the primary </w:t>
      </w:r>
      <w:r w:rsidR="00032BFD" w:rsidRPr="006A6222">
        <w:rPr>
          <w:rFonts w:ascii="Arial" w:hAnsi="Arial" w:cs="Arial"/>
          <w:sz w:val="20"/>
          <w:szCs w:val="20"/>
        </w:rPr>
        <w:t xml:space="preserve">tools </w:t>
      </w:r>
      <w:r w:rsidR="00F343E5" w:rsidRPr="006A6222">
        <w:rPr>
          <w:rFonts w:ascii="Arial" w:hAnsi="Arial" w:cs="Arial"/>
          <w:sz w:val="20"/>
          <w:szCs w:val="20"/>
        </w:rPr>
        <w:t xml:space="preserve">used </w:t>
      </w:r>
      <w:r w:rsidR="00EB35B7" w:rsidRPr="006A6222">
        <w:rPr>
          <w:rFonts w:ascii="Arial" w:hAnsi="Arial" w:cs="Arial"/>
          <w:sz w:val="20"/>
          <w:szCs w:val="20"/>
        </w:rPr>
        <w:t>for this</w:t>
      </w:r>
      <w:r w:rsidR="00032BFD" w:rsidRPr="006A6222">
        <w:rPr>
          <w:rFonts w:ascii="Arial" w:hAnsi="Arial" w:cs="Arial"/>
          <w:sz w:val="20"/>
          <w:szCs w:val="20"/>
        </w:rPr>
        <w:t xml:space="preserve"> </w:t>
      </w:r>
      <w:r w:rsidR="00814BD1" w:rsidRPr="006A6222">
        <w:rPr>
          <w:rFonts w:ascii="Arial" w:hAnsi="Arial" w:cs="Arial"/>
          <w:sz w:val="20"/>
          <w:szCs w:val="20"/>
        </w:rPr>
        <w:t>identification.</w:t>
      </w:r>
      <w:r w:rsidR="00BB1829" w:rsidRPr="006A6222">
        <w:rPr>
          <w:rFonts w:ascii="Arial" w:hAnsi="Arial" w:cs="Arial"/>
          <w:sz w:val="20"/>
          <w:szCs w:val="20"/>
        </w:rPr>
        <w:t xml:space="preserve"> However, these conventional approaches </w:t>
      </w:r>
      <w:r w:rsidR="008C1721" w:rsidRPr="006A6222">
        <w:rPr>
          <w:rFonts w:ascii="Arial" w:hAnsi="Arial" w:cs="Arial"/>
          <w:sz w:val="20"/>
          <w:szCs w:val="20"/>
        </w:rPr>
        <w:t>present several</w:t>
      </w:r>
      <w:r w:rsidR="00BB1829" w:rsidRPr="006A6222">
        <w:rPr>
          <w:rFonts w:ascii="Arial" w:hAnsi="Arial" w:cs="Arial"/>
          <w:sz w:val="20"/>
          <w:szCs w:val="20"/>
        </w:rPr>
        <w:t xml:space="preserve"> limitations, including delayed results reduced accuracy</w:t>
      </w:r>
      <w:r w:rsidR="002F37E4" w:rsidRPr="006A6222">
        <w:rPr>
          <w:rFonts w:ascii="Arial" w:hAnsi="Arial" w:cs="Arial"/>
          <w:sz w:val="20"/>
          <w:szCs w:val="20"/>
        </w:rPr>
        <w:t>,</w:t>
      </w:r>
      <w:r w:rsidR="00814BD1" w:rsidRPr="006A6222">
        <w:rPr>
          <w:rFonts w:ascii="Arial" w:hAnsi="Arial" w:cs="Arial"/>
          <w:sz w:val="20"/>
          <w:szCs w:val="20"/>
        </w:rPr>
        <w:t xml:space="preserve"> </w:t>
      </w:r>
      <w:r w:rsidR="00806D12" w:rsidRPr="006A6222">
        <w:rPr>
          <w:rFonts w:ascii="Arial" w:hAnsi="Arial" w:cs="Arial"/>
          <w:sz w:val="20"/>
          <w:szCs w:val="20"/>
        </w:rPr>
        <w:t>and difficulties in identifying emerging and re-emerging fungal species</w:t>
      </w:r>
      <w:r w:rsidR="0099702B"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{"citationItems":[{"id":"ITEM-1","itemData":{"DOI":"https://doi.org/10.3390/jof10070447","abstract":"Abstract: Invasive fungal diseases (IFDs) comprise a growing healthcare burden, especially given the expanding population of immunocompromised hosts. Early diagnosis of IFDs is required to optimise therapy with antifungals, especially in the setting of rising rates of antifungal resistance. Molecular techniques including nucleic acid amplification tests and whole genome sequencing have potential to offer utility in overcoming limitations with traditional phenotypic testing. However, standardisation of methodology and interpretations of these assays is an ongoing undertaking. The utility of targeted Aspergillus detection has been well-defined, with progress in investigations into the role of targeted assays for Candida, Pneumocystis, Cryptococcus, the Mucorales and endemic mycoses. Likewise, whilst broad-range polymerase chain reaction assays have been in use for some time, pathology stewardship and optimising diagnostic yield is a continuing exercise. As costs decrease, there is also now increased access and experience with whole genome sequencing, including metagenomic sequencing, which offers unparalleled resolution especially in the investigations of potential outbreaks. However, their role in routine diagnostic use remains uncommon and standardisation of techniques and workflow are required for wider implementation. Citation:","author":[{"dropping-particle":"","family":"Pham","given":"David","non-dropping-particle":"","parse-names":false,"suffix":""},{"dropping-particle":"","family":"Sivalingam","given":"Varsha","non-dropping-particle":"","parse-names":false,"suffix":""},{"dropping-particle":"","family":"Tang","given":"Helen M","non-dropping-particle":"","parse-names":false,"suffix":""},{"dropping-particle":"","family":"Montgomery","given":"James M","non-dropping-particle":"","parse-names":false,"suffix":""},{"dropping-particle":"","family":"Chen","given":"Sharon C","non-dropping-particle":"","parse-names":false,"suffix":""},{"dropping-particle":"","family":"Halliday","given":"Catriona L","non-dropping-particle":"","parse-names":false,"suffix":""}],"container-title":"J. Fungi","id":"ITEM-1","issue":"10","issued":{"date-parts":[["2024"]]},"page":"1-31","title":"Molecular Diagnostics for Invasive Fungal Diseases : Current and Future Approaches","type":"article-journal"},"uris":["http://www.mendeley.com/documents/?uuid=323cdb23-8093-42bc-806e-934efa694bdd"]}],"mendeley":{"formattedCitation":"(Pham et al., 2024)","plainTextFormattedCitation":"(Pham et al., 2024)","previouslyFormattedCitation":"(Pham et al., 2024)"},"properties":{"noteIndex":0},"schema":"https://github.com/citation-style-language/schema/raw/master/csl-citation.json"}</w:instrText>
      </w:r>
      <w:r w:rsidR="0099702B" w:rsidRPr="006A6222">
        <w:rPr>
          <w:rFonts w:ascii="Arial" w:hAnsi="Arial" w:cs="Arial"/>
          <w:sz w:val="20"/>
          <w:szCs w:val="20"/>
        </w:rPr>
        <w:fldChar w:fldCharType="separate"/>
      </w:r>
      <w:r w:rsidR="00DA7D66" w:rsidRPr="006A6222">
        <w:rPr>
          <w:rFonts w:ascii="Arial" w:hAnsi="Arial" w:cs="Arial"/>
          <w:sz w:val="20"/>
          <w:szCs w:val="20"/>
        </w:rPr>
        <w:t xml:space="preserve">(Pham </w:t>
      </w:r>
      <w:r w:rsidR="00DA7D66" w:rsidRPr="00ED09D5">
        <w:rPr>
          <w:rFonts w:ascii="Arial" w:hAnsi="Arial" w:cs="Arial"/>
          <w:i/>
          <w:iCs/>
          <w:sz w:val="20"/>
          <w:szCs w:val="20"/>
        </w:rPr>
        <w:t>et al.,</w:t>
      </w:r>
      <w:r w:rsidR="00DA7D66" w:rsidRPr="006A6222">
        <w:rPr>
          <w:rFonts w:ascii="Arial" w:hAnsi="Arial" w:cs="Arial"/>
          <w:sz w:val="20"/>
          <w:szCs w:val="20"/>
        </w:rPr>
        <w:t xml:space="preserve"> 2024)</w:t>
      </w:r>
      <w:r w:rsidR="0099702B" w:rsidRPr="006A6222">
        <w:rPr>
          <w:rFonts w:ascii="Arial" w:hAnsi="Arial" w:cs="Arial"/>
          <w:sz w:val="20"/>
          <w:szCs w:val="20"/>
        </w:rPr>
        <w:fldChar w:fldCharType="end"/>
      </w:r>
      <w:r w:rsidR="00806D12" w:rsidRPr="006A6222">
        <w:rPr>
          <w:rFonts w:ascii="Arial" w:hAnsi="Arial" w:cs="Arial"/>
          <w:sz w:val="20"/>
          <w:szCs w:val="20"/>
        </w:rPr>
        <w:t xml:space="preserve">, </w:t>
      </w:r>
      <w:r w:rsidR="00806D12" w:rsidRPr="006A6222">
        <w:rPr>
          <w:rFonts w:ascii="Arial" w:hAnsi="Arial" w:cs="Arial"/>
          <w:sz w:val="20"/>
          <w:szCs w:val="20"/>
        </w:rPr>
        <w:lastRenderedPageBreak/>
        <w:t>with the corollary of inappropriate management of these mycoses</w:t>
      </w:r>
      <w:r w:rsidR="00657A85">
        <w:rPr>
          <w:rFonts w:ascii="Arial" w:hAnsi="Arial" w:cs="Arial"/>
          <w:sz w:val="20"/>
          <w:szCs w:val="20"/>
        </w:rPr>
        <w:t xml:space="preserve"> </w:t>
      </w:r>
      <w:r w:rsidR="00DA6231"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{"citationItems":[{"id":"ITEM-1","itemData":{"DOI":"https://doi.org/10.3390/jof10070447","abstract":"Abstract: Invasive fungal diseases (IFDs) comprise a growing healthcare burden, especially given the expanding population of immunocompromised hosts. Early diagnosis of IFDs is required to optimise therapy with antifungals, especially in the setting of rising rates of antifungal resistance. Molecular techniques including nucleic acid amplification tests and whole genome sequencing have potential to offer utility in overcoming limitations with traditional phenotypic testing. However, standardisation of methodology and interpretations of these assays is an ongoing undertaking. The utility of targeted Aspergillus detection has been well-defined, with progress in investigations into the role of targeted assays for Candida, Pneumocystis, Cryptococcus, the Mucorales and endemic mycoses. Likewise, whilst broad-range polymerase chain reaction assays have been in use for some time, pathology stewardship and optimising diagnostic yield is a continuing exercise. As costs decrease, there is also now increased access and experience with whole genome sequencing, including metagenomic sequencing, which offers unparalleled resolution especially in the investigations of potential outbreaks. However, their role in routine diagnostic use remains uncommon and standardisation of techniques and workflow are required for wider implementation. Citation:","author":[{"dropping-particle":"","family":"Pham","given":"David","non-dropping-particle":"","parse-names":false,"suffix":""},{"dropping-particle":"","family":"Sivalingam","given":"Varsha","non-dropping-particle":"","parse-names":false,"suffix":""},{"dropping-particle":"","family":"Tang","given":"Helen M","non-dropping-particle":"","parse-names":false,"suffix":""},{"dropping-particle":"","family":"Montgomery","given":"James M","non-dropping-particle":"","parse-names":false,"suffix":""},{"dropping-particle":"","family":"Chen","given":"Sharon C","non-dropping-particle":"","parse-names":false,"suffix":""},{"dropping-particle":"","family":"Halliday","given":"Catriona L","non-dropping-particle":"","parse-names":false,"suffix":""}],"container-title":"J. Fungi","id":"ITEM-1","issue":"10","issued":{"date-parts":[["2024"]]},"page":"1-31","title":"Molecular Diagnostics for Invasive Fungal Diseases : Current and Future Approaches","type":"article-journal"},"uris":["http://www.mendeley.com/documents/?uuid=323cdb23-8093-42bc-806e-934efa694bdd"]},{"id":"ITEM-2","itemData":{"DOI":"10.1016/j.reaurg.2010.03.019","abstract":"Résumé Les zygomycoses ou mucormycoses, les fusarioses, les scédosporioses et les trichospo- ronoses font partie des mycoses émergentes chez les malades sévèrement immunodéprimés. Cette émergence est multifactorielle mais il s’agit souvent de la pression de sélection d’un traitement antifongique préalable. Ces infections disséminées sont grevées d’une mortalité élevée et leur prise en charge optimale nécessite de connaître les critères diagnostiques et les stratégies thérapeutiques, les spectres positifs et négatifs des antifongiques, leur maniement correct, afin de favoriser la précocité du diagnostic et du traitement, gages d’une amélioration pronostique. La réduction de l’immunodépression est également importante. Ces objectifs sont atteints en particulier grâce à un travail coopératif entre le mycologue clinicien, les labora- toires de mycologie et de pharmacologie, les chirurgiens, les réanimateurs et les médecins en charge des pathologies sous-jacentes.","author":[{"dropping-particle":"","family":"Bastides","given":"F","non-dropping-particle":"","parse-names":false,"suffix":""}],"container-title":"Société de réanimation de langue française","id":"ITEM-2","issue":"19","issued":{"date-parts":[["2010"]]},"page":"319-326","title":"trichosporonoses : les nouvelles mycoses émergentes Zygomycosis , fusariosis , scedosporiosis , trichosporonosis : The new","type":"article-journal"},"uris":["http://www.mendeley.com/documents/?uuid=8810f2c5-0185-40f0-90fc-aec85afa6095"]}],"mendeley":{"formattedCitation":"(Bastides, 2010; Pham et al., 2024)","plainTextFormattedCitation":"(Bastides, 2010; Pham et al., 2024)","previouslyFormattedCitation":"(Bastides, 2010; Pham et al., 2024)"},"properties":{"noteIndex":0},"schema":"https://github.com/citation-style-language/schema/raw/master/csl-citation.json"}</w:instrText>
      </w:r>
      <w:r w:rsidR="00DA6231" w:rsidRPr="006A6222">
        <w:rPr>
          <w:rFonts w:ascii="Arial" w:hAnsi="Arial" w:cs="Arial"/>
          <w:sz w:val="20"/>
          <w:szCs w:val="20"/>
        </w:rPr>
        <w:fldChar w:fldCharType="separate"/>
      </w:r>
      <w:r w:rsidR="00DA7D66" w:rsidRPr="006A6222">
        <w:rPr>
          <w:rFonts w:ascii="Arial" w:hAnsi="Arial" w:cs="Arial"/>
          <w:sz w:val="20"/>
          <w:szCs w:val="20"/>
        </w:rPr>
        <w:t xml:space="preserve">(Bastides, 2010; Pham </w:t>
      </w:r>
      <w:r w:rsidR="00DA7D66" w:rsidRPr="00657A85">
        <w:rPr>
          <w:rFonts w:ascii="Arial" w:hAnsi="Arial" w:cs="Arial"/>
          <w:i/>
          <w:iCs/>
          <w:sz w:val="20"/>
          <w:szCs w:val="20"/>
        </w:rPr>
        <w:t>et al.</w:t>
      </w:r>
      <w:r w:rsidR="00DA7D66" w:rsidRPr="006A6222">
        <w:rPr>
          <w:rFonts w:ascii="Arial" w:hAnsi="Arial" w:cs="Arial"/>
          <w:sz w:val="20"/>
          <w:szCs w:val="20"/>
        </w:rPr>
        <w:t>, 2024)</w:t>
      </w:r>
      <w:r w:rsidR="00DA6231" w:rsidRPr="006A6222">
        <w:rPr>
          <w:rFonts w:ascii="Arial" w:hAnsi="Arial" w:cs="Arial"/>
          <w:sz w:val="20"/>
          <w:szCs w:val="20"/>
        </w:rPr>
        <w:fldChar w:fldCharType="end"/>
      </w:r>
      <w:r w:rsidR="00806D12" w:rsidRPr="006A6222">
        <w:rPr>
          <w:rFonts w:ascii="Arial" w:hAnsi="Arial" w:cs="Arial"/>
          <w:sz w:val="20"/>
          <w:szCs w:val="20"/>
        </w:rPr>
        <w:t>. In developed countries, however, the use of new techniques such as MALDI ToF mass spectrometry has provided a promising alternative for improving the biological confirmation of mycoses</w:t>
      </w:r>
      <w:r w:rsidR="0099702B"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{"citationItems":[{"id":"ITEM-1","itemData":{"author":[{"dropping-particle":"","family":"Simon","given":"Émilie","non-dropping-particle":"","parse-names":false,"suffix":""}],"container-title":"HAL Id dumas-03213063","id":"ITEM-1","issued":{"date-parts":[["2021"]]},"number-of-pages":"1-126","title":"Mise au point d ’ une technique de séquençage pour l ’ identification fongique To cite this version : HAL Id : dumas-03213063 Université de Rouen Normandie UFR Santé – Département Pharmacie","type":"report"},"uris":["http://www.mendeley.com/documents/?uuid=28e0043c-f919-4ddf-a2b7-027b21affaad"]}],"mendeley":{"formattedCitation":"(Simon, 2021)","plainTextFormattedCitation":"(Simon, 2021)","previouslyFormattedCitation":"(Simon, 2021)"},"properties":{"noteIndex":0},"schema":"https://github.com/citation-style-language/schema/raw/master/csl-citation.json"}</w:instrText>
      </w:r>
      <w:r w:rsidR="0099702B" w:rsidRPr="006A6222">
        <w:rPr>
          <w:rFonts w:ascii="Arial" w:hAnsi="Arial" w:cs="Arial"/>
          <w:sz w:val="20"/>
          <w:szCs w:val="20"/>
        </w:rPr>
        <w:fldChar w:fldCharType="separate"/>
      </w:r>
      <w:r w:rsidR="00DA7D66" w:rsidRPr="006A6222">
        <w:rPr>
          <w:rFonts w:ascii="Arial" w:hAnsi="Arial" w:cs="Arial"/>
          <w:sz w:val="20"/>
          <w:szCs w:val="20"/>
        </w:rPr>
        <w:t>(Simon, 2021)</w:t>
      </w:r>
      <w:r w:rsidR="0099702B" w:rsidRPr="006A6222">
        <w:rPr>
          <w:rFonts w:ascii="Arial" w:hAnsi="Arial" w:cs="Arial"/>
          <w:sz w:val="20"/>
          <w:szCs w:val="20"/>
        </w:rPr>
        <w:fldChar w:fldCharType="end"/>
      </w:r>
      <w:r w:rsidR="00806D12" w:rsidRPr="006A6222">
        <w:rPr>
          <w:rFonts w:ascii="Arial" w:hAnsi="Arial" w:cs="Arial"/>
          <w:sz w:val="20"/>
          <w:szCs w:val="20"/>
        </w:rPr>
        <w:t>. According to Lacroix et al., who evaluated two mass spectrometry systems for the identification of Candida species, mass spectrometry is more accurate (98.3%) than routine techniques (96.5%), and also facilitates the identification of rare or emerging species</w:t>
      </w:r>
      <w:r w:rsidR="00DA6231" w:rsidRPr="006A6222">
        <w:rPr>
          <w:rFonts w:ascii="Arial" w:hAnsi="Arial" w:cs="Arial"/>
          <w:sz w:val="20"/>
          <w:szCs w:val="20"/>
        </w:rPr>
        <w:fldChar w:fldCharType="begin" w:fldLock="1"/>
      </w:r>
      <w:r w:rsidR="00422B90">
        <w:rPr>
          <w:rFonts w:ascii="Arial" w:hAnsi="Arial" w:cs="Arial"/>
          <w:sz w:val="20"/>
          <w:szCs w:val="20"/>
        </w:rPr>
        <w:instrText>ADDIN CSL_CITATION {"citationItems":[{"id":"ITEM-1","itemData":{"author":[{"dropping-particle":"","family":"Simon","given":"Émilie","non-dropping-particle":"","parse-names":false,"suffix":""}],"container-title":"HAL Id dumas-03213063","id":"ITEM-1","issued":{"date-parts":[["2021"]]},"number-of-pages":"1-126","title":"Mise au point d ’ une technique de séquençage pour l ’ identification fongique To cite this version : HAL Id : dumas-03213063 Université de Rouen Normandie UFR Santé – Département Pharmacie","type":"report"},"uris":["http://www.mendeley.com/documents/?uuid=28e0043c-f919-4ddf-a2b7-027b21affaad"]},{"id":"ITEM-2","itemData":{"DOI":"10.1128/JCM.01299-21.","PMID":"34319807","author":[{"dropping-particle":"","family":"Normand AC, Blaize M, Imbert S, Packeu A, Becker P, Fekkar A, Stubbe D","given":"Piarroux R.","non-dropping-particle":"","parse-names":false,"suffix":""}],"container-title":"J Clin Microbiol.","id":"ITEM-2","issue":"10","issued":{"date-parts":[["2021"]]},"page":"e0129921","title":"Identification of Molds with Matrix-Assisted Laser Desorption Ionization-Time of Flight Mass Spectrometry: Performance of the Newly Developed MSI-2 Application in Comparison with the Bruker Filamentous Fungi Database and MSI-1","type":"article-journal","volume":"20;59"},"uris":["http://www.mendeley.com/documents/?uuid=4f3b4c41-13fb-4ccd-8486-0a7cadec4ee0"]}],"mendeley":{"formattedCitation":"(Normand AC, Blaize M, Imbert S, Packeu A, Becker P, Fekkar A, Stubbe D, 2021; Simon, 2021)","manualFormatting":"(Normand AC et al., 2021; Simon, 2021)","plainTextFormattedCitation":"(Normand AC, Blaize M, Imbert S, Packeu A, Becker P, Fekkar A, Stubbe D, 2021; Simon, 2021)","previouslyFormattedCitation":"(Normand AC, Blaize M, Imbert S, Packeu A, Becker P, Fekkar A, Stubbe D, 2021; Simon, 2021)"},"properties":{"noteIndex":0},"schema":"https://github.com/citation-style-language/schema/raw/master/csl-citation.json"}</w:instrText>
      </w:r>
      <w:r w:rsidR="00DA6231" w:rsidRPr="006A6222">
        <w:rPr>
          <w:rFonts w:ascii="Arial" w:hAnsi="Arial" w:cs="Arial"/>
          <w:sz w:val="20"/>
          <w:szCs w:val="20"/>
        </w:rPr>
        <w:fldChar w:fldCharType="separate"/>
      </w:r>
      <w:r w:rsidR="00DA7D66" w:rsidRPr="006A6222">
        <w:rPr>
          <w:rFonts w:ascii="Arial" w:hAnsi="Arial" w:cs="Arial"/>
          <w:sz w:val="20"/>
          <w:szCs w:val="20"/>
        </w:rPr>
        <w:t>(Normand AC</w:t>
      </w:r>
      <w:r w:rsidR="00657A85">
        <w:rPr>
          <w:rFonts w:ascii="Arial" w:hAnsi="Arial" w:cs="Arial"/>
          <w:sz w:val="20"/>
          <w:szCs w:val="20"/>
        </w:rPr>
        <w:t xml:space="preserve"> </w:t>
      </w:r>
      <w:r w:rsidR="00657A85" w:rsidRPr="00657A85">
        <w:rPr>
          <w:rFonts w:ascii="Arial" w:hAnsi="Arial" w:cs="Arial"/>
          <w:i/>
          <w:iCs/>
          <w:sz w:val="20"/>
          <w:szCs w:val="20"/>
        </w:rPr>
        <w:t>et al</w:t>
      </w:r>
      <w:r w:rsidR="00657A85">
        <w:rPr>
          <w:rFonts w:ascii="Arial" w:hAnsi="Arial" w:cs="Arial"/>
          <w:sz w:val="20"/>
          <w:szCs w:val="20"/>
        </w:rPr>
        <w:t>.</w:t>
      </w:r>
      <w:r w:rsidR="00DA7D66" w:rsidRPr="006A6222">
        <w:rPr>
          <w:rFonts w:ascii="Arial" w:hAnsi="Arial" w:cs="Arial"/>
          <w:sz w:val="20"/>
          <w:szCs w:val="20"/>
        </w:rPr>
        <w:t>, 2021; Simon, 2021)</w:t>
      </w:r>
      <w:r w:rsidR="00DA6231" w:rsidRPr="006A6222">
        <w:rPr>
          <w:rFonts w:ascii="Arial" w:hAnsi="Arial" w:cs="Arial"/>
          <w:sz w:val="20"/>
          <w:szCs w:val="20"/>
        </w:rPr>
        <w:fldChar w:fldCharType="end"/>
      </w:r>
      <w:r w:rsidR="00806D12" w:rsidRPr="006A6222">
        <w:rPr>
          <w:rFonts w:ascii="Arial" w:hAnsi="Arial" w:cs="Arial"/>
          <w:sz w:val="20"/>
          <w:szCs w:val="20"/>
        </w:rPr>
        <w:t xml:space="preserve">, with exceptional performance levels, sensitivity and specificity of 94.6% and 99% respectively </w:t>
      </w:r>
      <w:r w:rsidR="00081FFF" w:rsidRPr="006A6222">
        <w:rPr>
          <w:rFonts w:ascii="Arial" w:hAnsi="Arial" w:cs="Arial"/>
          <w:sz w:val="20"/>
          <w:szCs w:val="20"/>
        </w:rPr>
        <w:fldChar w:fldCharType="begin" w:fldLock="1"/>
      </w:r>
      <w:r w:rsidR="00422B90">
        <w:rPr>
          <w:rFonts w:ascii="Arial" w:hAnsi="Arial" w:cs="Arial"/>
          <w:sz w:val="20"/>
          <w:szCs w:val="20"/>
        </w:rPr>
        <w:instrText>ADDIN CSL_CITATION {"citationItems":[{"id":"ITEM-1","itemData":{"DOI":"10.1128/JCM.01299-21.","PMID":"34319807","author":[{"dropping-particle":"","family":"Normand AC, Blaize M, Imbert S, Packeu A, Becker P, Fekkar A, Stubbe D","given":"Piarroux R.","non-dropping-particle":"","parse-names":false,"suffix":""}],"container-title":"J Clin Microbiol.","id":"ITEM-1","issue":"10","issued":{"date-parts":[["2021"]]},"page":"e0129921","title":"Identification of Molds with Matrix-Assisted Laser Desorption Ionization-Time of Flight Mass Spectrometry: Performance of the Newly Developed MSI-2 Application in Comparison with the Bruker Filamentous Fungi Database and MSI-1","type":"article-journal","volume":"20;59"},"uris":["http://www.mendeley.com/documents/?uuid=4f3b4c41-13fb-4ccd-8486-0a7cadec4ee0"]},{"id":"ITEM-2","itemData":{"DOI":"10.1016/s1773-035x(21)00039-3","ISSN":"1773035X","author":[{"dropping-particle":"","family":"Blaize","given":"Marion","non-dropping-particle":"","parse-names":false,"suffix":""},{"dropping-particle":"","family":"Normand","given":"Anne-Cécile","non-dropping-particle":"","parse-names":false,"suffix":""},{"dropping-particle":"","family":"Fekkar","given":"Arnaud","non-dropping-particle":"","parse-names":false,"suffix":""},{"dropping-particle":"","family":"Piarroux","given":"Renaud","non-dropping-particle":"","parse-names":false,"suffix":""}],"container-title":"Revue Francophone des Laboratoires","id":"ITEM-2","issue":"529","issued":{"date-parts":[["2021"]]},"page":"58-65","publisher":"Elsevier","title":"Identification des moisissures au laboratoire de routine hospitalière","type":"article-journal","volume":"2021"},"uris":["http://www.mendeley.com/documents/?uuid=7e8fd509-f84d-42e1-842e-9d08d437420e"]}],"mendeley":{"formattedCitation":"(Blaize et al., 2021; Normand AC, Blaize M, Imbert S, Packeu A, Becker P, Fekkar A, Stubbe D, 2021)","manualFormatting":"(Blaize et al., 2021; Normand AC et al.,2021)","plainTextFormattedCitation":"(Blaize et al., 2021; Normand AC, Blaize M, Imbert S, Packeu A, Becker P, Fekkar A, Stubbe D, 2021)","previouslyFormattedCitation":"(Blaize et al., 2021; Normand AC, Blaize M, Imbert S, Packeu A, Becker P, Fekkar A, Stubbe D, 2021)"},"properties":{"noteIndex":0},"schema":"https://github.com/citation-style-language/schema/raw/master/csl-citation.json"}</w:instrText>
      </w:r>
      <w:r w:rsidR="00081FFF" w:rsidRPr="006A6222">
        <w:rPr>
          <w:rFonts w:ascii="Arial" w:hAnsi="Arial" w:cs="Arial"/>
          <w:sz w:val="20"/>
          <w:szCs w:val="20"/>
        </w:rPr>
        <w:fldChar w:fldCharType="separate"/>
      </w:r>
      <w:r w:rsidR="00DA7D66" w:rsidRPr="006A6222">
        <w:rPr>
          <w:rFonts w:ascii="Arial" w:hAnsi="Arial" w:cs="Arial"/>
          <w:sz w:val="20"/>
          <w:szCs w:val="20"/>
        </w:rPr>
        <w:t xml:space="preserve">(Blaize </w:t>
      </w:r>
      <w:r w:rsidR="00DA7D66" w:rsidRPr="00657A85">
        <w:rPr>
          <w:rFonts w:ascii="Arial" w:hAnsi="Arial" w:cs="Arial"/>
          <w:i/>
          <w:iCs/>
          <w:sz w:val="20"/>
          <w:szCs w:val="20"/>
        </w:rPr>
        <w:t>et al.</w:t>
      </w:r>
      <w:r w:rsidR="00DA7D66" w:rsidRPr="006A6222">
        <w:rPr>
          <w:rFonts w:ascii="Arial" w:hAnsi="Arial" w:cs="Arial"/>
          <w:sz w:val="20"/>
          <w:szCs w:val="20"/>
        </w:rPr>
        <w:t>, 2021; Normand AC</w:t>
      </w:r>
      <w:r w:rsidR="00657A85" w:rsidRPr="00657A85">
        <w:rPr>
          <w:rFonts w:ascii="Arial" w:hAnsi="Arial" w:cs="Arial"/>
          <w:i/>
          <w:iCs/>
          <w:sz w:val="20"/>
          <w:szCs w:val="20"/>
        </w:rPr>
        <w:t xml:space="preserve"> et al</w:t>
      </w:r>
      <w:r w:rsidR="00657A85">
        <w:rPr>
          <w:rFonts w:ascii="Arial" w:hAnsi="Arial" w:cs="Arial"/>
          <w:i/>
          <w:iCs/>
          <w:sz w:val="20"/>
          <w:szCs w:val="20"/>
        </w:rPr>
        <w:t>.,</w:t>
      </w:r>
      <w:r w:rsidR="00DA7D66" w:rsidRPr="006A6222">
        <w:rPr>
          <w:rFonts w:ascii="Arial" w:hAnsi="Arial" w:cs="Arial"/>
          <w:sz w:val="20"/>
          <w:szCs w:val="20"/>
        </w:rPr>
        <w:t>2021)</w:t>
      </w:r>
      <w:r w:rsidR="00081FFF" w:rsidRPr="006A6222">
        <w:rPr>
          <w:rFonts w:ascii="Arial" w:hAnsi="Arial" w:cs="Arial"/>
          <w:sz w:val="20"/>
          <w:szCs w:val="20"/>
        </w:rPr>
        <w:fldChar w:fldCharType="end"/>
      </w:r>
      <w:r w:rsidR="00806D12" w:rsidRPr="006A6222">
        <w:rPr>
          <w:rFonts w:ascii="Arial" w:hAnsi="Arial" w:cs="Arial"/>
          <w:sz w:val="20"/>
          <w:szCs w:val="20"/>
        </w:rPr>
        <w:t xml:space="preserve">. </w:t>
      </w:r>
      <w:r w:rsidR="00806D84" w:rsidRPr="006A6222">
        <w:rPr>
          <w:rFonts w:ascii="Arial" w:hAnsi="Arial" w:cs="Arial"/>
          <w:sz w:val="20"/>
          <w:szCs w:val="20"/>
        </w:rPr>
        <w:t>T</w:t>
      </w:r>
      <w:r w:rsidR="00806D12" w:rsidRPr="006A6222">
        <w:rPr>
          <w:rFonts w:ascii="Arial" w:hAnsi="Arial" w:cs="Arial"/>
          <w:sz w:val="20"/>
          <w:szCs w:val="20"/>
        </w:rPr>
        <w:t xml:space="preserve">his study was initiated  </w:t>
      </w:r>
      <w:r w:rsidR="001F6BB0" w:rsidRPr="006A6222">
        <w:rPr>
          <w:rFonts w:ascii="Arial" w:hAnsi="Arial" w:cs="Arial"/>
          <w:sz w:val="20"/>
          <w:szCs w:val="20"/>
        </w:rPr>
        <w:t>to measure the accuracy of routine techniques for identifying fungi in mycology laboratories in Lomé, Togo</w:t>
      </w:r>
    </w:p>
    <w:p w14:paraId="475DC9EF" w14:textId="61BD6D80" w:rsidR="00806D12" w:rsidRPr="006A6222" w:rsidRDefault="000B315A" w:rsidP="000B315A">
      <w:pPr>
        <w:pStyle w:val="Heading1"/>
        <w:numPr>
          <w:ilvl w:val="0"/>
          <w:numId w:val="4"/>
        </w:numPr>
        <w:spacing w:before="240" w:line="480" w:lineRule="auto"/>
        <w:jc w:val="left"/>
        <w:rPr>
          <w:sz w:val="22"/>
          <w:szCs w:val="22"/>
        </w:rPr>
      </w:pPr>
      <w:bookmarkStart w:id="8" w:name="_Hlk193403527"/>
      <w:bookmarkEnd w:id="7"/>
      <w:r>
        <w:rPr>
          <w:sz w:val="22"/>
          <w:szCs w:val="22"/>
        </w:rPr>
        <w:t xml:space="preserve">MATERIAL AND </w:t>
      </w:r>
      <w:r w:rsidR="003F22DB" w:rsidRPr="006A6222">
        <w:rPr>
          <w:sz w:val="22"/>
          <w:szCs w:val="22"/>
        </w:rPr>
        <w:t>METHODS</w:t>
      </w:r>
    </w:p>
    <w:p w14:paraId="7418BB59" w14:textId="65FE9740" w:rsidR="00806D12" w:rsidRPr="006A6222" w:rsidRDefault="00E34462" w:rsidP="000B315A">
      <w:pPr>
        <w:pStyle w:val="Heading3"/>
        <w:keepNext w:val="0"/>
        <w:keepLines w:val="0"/>
        <w:numPr>
          <w:ilvl w:val="1"/>
          <w:numId w:val="4"/>
        </w:numPr>
        <w:spacing w:before="0" w:line="480" w:lineRule="auto"/>
        <w:rPr>
          <w:rFonts w:ascii="Arial" w:eastAsia="Times New Roman" w:hAnsi="Arial" w:cs="Arial"/>
          <w:b/>
          <w:bCs/>
          <w:noProof w:val="0"/>
          <w:color w:val="auto"/>
          <w:kern w:val="0"/>
          <w:sz w:val="22"/>
          <w:szCs w:val="22"/>
          <w:lang w:val="en-ZA" w:eastAsia="en-ZA"/>
          <w14:ligatures w14:val="none"/>
        </w:rPr>
      </w:pPr>
      <w:r w:rsidRPr="006A6222">
        <w:rPr>
          <w:rFonts w:ascii="Arial" w:eastAsia="Times New Roman" w:hAnsi="Arial" w:cs="Arial"/>
          <w:b/>
          <w:bCs/>
          <w:noProof w:val="0"/>
          <w:color w:val="auto"/>
          <w:kern w:val="0"/>
          <w:sz w:val="22"/>
          <w:szCs w:val="22"/>
          <w:lang w:val="en-US" w:eastAsia="en-ZA"/>
          <w14:ligatures w14:val="none"/>
        </w:rPr>
        <w:t xml:space="preserve">Study design, </w:t>
      </w:r>
      <w:r w:rsidR="00EB4CF7" w:rsidRPr="006A6222">
        <w:rPr>
          <w:rFonts w:ascii="Arial" w:eastAsia="Times New Roman" w:hAnsi="Arial" w:cs="Arial"/>
          <w:b/>
          <w:bCs/>
          <w:noProof w:val="0"/>
          <w:color w:val="auto"/>
          <w:kern w:val="0"/>
          <w:sz w:val="22"/>
          <w:szCs w:val="22"/>
          <w:lang w:val="en-US" w:eastAsia="en-ZA"/>
          <w14:ligatures w14:val="none"/>
        </w:rPr>
        <w:t xml:space="preserve">period, </w:t>
      </w:r>
      <w:r w:rsidRPr="006A6222">
        <w:rPr>
          <w:rFonts w:ascii="Arial" w:eastAsia="Times New Roman" w:hAnsi="Arial" w:cs="Arial"/>
          <w:b/>
          <w:bCs/>
          <w:noProof w:val="0"/>
          <w:color w:val="auto"/>
          <w:kern w:val="0"/>
          <w:sz w:val="22"/>
          <w:szCs w:val="22"/>
          <w:lang w:val="en-US" w:eastAsia="en-ZA"/>
          <w14:ligatures w14:val="none"/>
        </w:rPr>
        <w:t xml:space="preserve">population </w:t>
      </w:r>
      <w:r w:rsidR="00806D12" w:rsidRPr="006A6222">
        <w:rPr>
          <w:rFonts w:ascii="Arial" w:eastAsia="Times New Roman" w:hAnsi="Arial" w:cs="Arial"/>
          <w:b/>
          <w:bCs/>
          <w:noProof w:val="0"/>
          <w:color w:val="auto"/>
          <w:kern w:val="0"/>
          <w:sz w:val="22"/>
          <w:szCs w:val="22"/>
          <w:lang w:val="en-ZA" w:eastAsia="en-ZA"/>
          <w14:ligatures w14:val="none"/>
        </w:rPr>
        <w:t>and s</w:t>
      </w:r>
      <w:r w:rsidR="007A2BEC" w:rsidRPr="006A6222">
        <w:rPr>
          <w:rFonts w:ascii="Arial" w:eastAsia="Times New Roman" w:hAnsi="Arial" w:cs="Arial"/>
          <w:b/>
          <w:bCs/>
          <w:noProof w:val="0"/>
          <w:color w:val="auto"/>
          <w:kern w:val="0"/>
          <w:sz w:val="22"/>
          <w:szCs w:val="22"/>
          <w:lang w:val="en-ZA" w:eastAsia="en-ZA"/>
          <w14:ligatures w14:val="none"/>
        </w:rPr>
        <w:t>ites</w:t>
      </w:r>
      <w:r w:rsidR="00806D12" w:rsidRPr="006A6222">
        <w:rPr>
          <w:rFonts w:ascii="Arial" w:eastAsia="Times New Roman" w:hAnsi="Arial" w:cs="Arial"/>
          <w:b/>
          <w:bCs/>
          <w:noProof w:val="0"/>
          <w:color w:val="auto"/>
          <w:kern w:val="0"/>
          <w:sz w:val="22"/>
          <w:szCs w:val="22"/>
          <w:lang w:val="en-ZA" w:eastAsia="en-ZA"/>
          <w14:ligatures w14:val="none"/>
        </w:rPr>
        <w:t xml:space="preserve"> of the study</w:t>
      </w:r>
    </w:p>
    <w:p w14:paraId="6F9C5110" w14:textId="3ECC68CE" w:rsidR="00220272" w:rsidRPr="006A6222" w:rsidRDefault="00220272" w:rsidP="00451967">
      <w:pPr>
        <w:spacing w:line="480" w:lineRule="auto"/>
        <w:jc w:val="both"/>
        <w:rPr>
          <w:rFonts w:ascii="Arial" w:hAnsi="Arial" w:cs="Arial"/>
          <w:sz w:val="20"/>
          <w:szCs w:val="20"/>
          <w:lang w:val="en-US"/>
        </w:rPr>
      </w:pPr>
      <w:r w:rsidRPr="006A6222">
        <w:rPr>
          <w:rFonts w:ascii="Arial" w:hAnsi="Arial" w:cs="Arial"/>
          <w:sz w:val="20"/>
          <w:szCs w:val="20"/>
          <w:lang w:val="en-US"/>
        </w:rPr>
        <w:t xml:space="preserve">This descriptive-analytical study was conducted from March 2023 to April 2024. Patients were enrolled across four dermatology departments in Lomé, Togo, between </w:t>
      </w:r>
      <w:r w:rsidR="003D0EDD" w:rsidRPr="006A6222">
        <w:rPr>
          <w:rFonts w:ascii="Arial" w:hAnsi="Arial" w:cs="Arial"/>
          <w:sz w:val="20"/>
          <w:szCs w:val="20"/>
          <w:lang w:val="en-US"/>
        </w:rPr>
        <w:t xml:space="preserve">June </w:t>
      </w:r>
      <w:r w:rsidRPr="006A6222">
        <w:rPr>
          <w:rFonts w:ascii="Arial" w:hAnsi="Arial" w:cs="Arial"/>
          <w:sz w:val="20"/>
          <w:szCs w:val="20"/>
          <w:lang w:val="en-US"/>
        </w:rPr>
        <w:t>202</w:t>
      </w:r>
      <w:r w:rsidR="003D0EDD" w:rsidRPr="006A6222">
        <w:rPr>
          <w:rFonts w:ascii="Arial" w:hAnsi="Arial" w:cs="Arial"/>
          <w:sz w:val="20"/>
          <w:szCs w:val="20"/>
          <w:lang w:val="en-US"/>
        </w:rPr>
        <w:t>2</w:t>
      </w:r>
      <w:r w:rsidRPr="006A6222">
        <w:rPr>
          <w:rFonts w:ascii="Arial" w:hAnsi="Arial" w:cs="Arial"/>
          <w:sz w:val="20"/>
          <w:szCs w:val="20"/>
          <w:lang w:val="en-US"/>
        </w:rPr>
        <w:t xml:space="preserve"> and March 202</w:t>
      </w:r>
      <w:r w:rsidR="003D0EDD" w:rsidRPr="006A6222">
        <w:rPr>
          <w:rFonts w:ascii="Arial" w:hAnsi="Arial" w:cs="Arial"/>
          <w:sz w:val="20"/>
          <w:szCs w:val="20"/>
          <w:lang w:val="en-US"/>
        </w:rPr>
        <w:t>3</w:t>
      </w:r>
      <w:r w:rsidRPr="006A6222">
        <w:rPr>
          <w:rFonts w:ascii="Arial" w:hAnsi="Arial" w:cs="Arial"/>
          <w:sz w:val="20"/>
          <w:szCs w:val="20"/>
          <w:lang w:val="en-US"/>
        </w:rPr>
        <w:t>. Various samples of lesions suspected of superficial mycoses were collected, as depicted in Figure 1. The samples included nail clippings, scalp scrapes, skin scales, and vaginal swabs. For each patient, a detailed information sheet was meticulously recorded. The study involved the dermatology departments of the following institutions, all located in Lomé, the capital of Togo: Centre Hospitalier Universitaire (CHU) Sylvanus Olympio, CHU Campus, Gbossimé Dermatology Center, and Centre Médical des Armées de Lomé (CMA, Gendarmerie). The collected samples underwent initial analysis using traditional identification methods. Subsequently, the isolates were sent to the Parasitology-Mycology Laboratory at Pitié-Salpêtrière Hospital in Paris for advanced identification via MALDI-TOF mass spectrometry.</w:t>
      </w:r>
    </w:p>
    <w:p w14:paraId="5C86BAEA" w14:textId="34FCDE5A" w:rsidR="00263847" w:rsidRPr="00F35139" w:rsidRDefault="00263847" w:rsidP="00F35139">
      <w:pPr>
        <w:pStyle w:val="Heading3"/>
        <w:keepNext w:val="0"/>
        <w:keepLines w:val="0"/>
        <w:numPr>
          <w:ilvl w:val="1"/>
          <w:numId w:val="4"/>
        </w:numPr>
        <w:spacing w:before="0" w:line="480" w:lineRule="auto"/>
        <w:rPr>
          <w:rFonts w:ascii="Arial" w:eastAsia="Times New Roman" w:hAnsi="Arial" w:cs="Arial"/>
          <w:b/>
          <w:bCs/>
          <w:noProof w:val="0"/>
          <w:color w:val="auto"/>
          <w:kern w:val="0"/>
          <w:sz w:val="22"/>
          <w:szCs w:val="22"/>
          <w:lang w:val="en-US" w:eastAsia="en-ZA"/>
          <w14:ligatures w14:val="none"/>
        </w:rPr>
      </w:pPr>
      <w:bookmarkStart w:id="9" w:name="_Hlk193403787"/>
      <w:bookmarkEnd w:id="8"/>
      <w:r w:rsidRPr="00F35139">
        <w:rPr>
          <w:rFonts w:ascii="Arial" w:eastAsia="Times New Roman" w:hAnsi="Arial" w:cs="Arial"/>
          <w:b/>
          <w:bCs/>
          <w:noProof w:val="0"/>
          <w:color w:val="auto"/>
          <w:kern w:val="0"/>
          <w:sz w:val="22"/>
          <w:szCs w:val="22"/>
          <w:lang w:val="en-US" w:eastAsia="en-ZA"/>
          <w14:ligatures w14:val="none"/>
        </w:rPr>
        <w:t>Sample collection</w:t>
      </w:r>
    </w:p>
    <w:p w14:paraId="7A12E8DB" w14:textId="37350409" w:rsidR="0030620B" w:rsidRPr="006A6222" w:rsidRDefault="0030620B" w:rsidP="00451967">
      <w:pPr>
        <w:spacing w:line="480" w:lineRule="auto"/>
        <w:jc w:val="both"/>
        <w:rPr>
          <w:rFonts w:ascii="Arial" w:hAnsi="Arial" w:cs="Arial"/>
          <w:sz w:val="20"/>
          <w:szCs w:val="20"/>
        </w:rPr>
      </w:pPr>
      <w:r w:rsidRPr="006A6222">
        <w:rPr>
          <w:rFonts w:ascii="Arial" w:hAnsi="Arial" w:cs="Arial"/>
          <w:sz w:val="20"/>
          <w:szCs w:val="20"/>
        </w:rPr>
        <w:t>Samples were taken under aseptic conditions from lesions on the skin, nails and scalp (Figure. 1), either by scraping the scales from the edge of the lesion (skin), or by cutting and scraping with a scalpel (nails), or by scraping the scales from the scalp and plucking the affected hair with forceps. Where pityriasis versicolor was suspected, samples were taken using adhesive cellophane, followed by direct observation under a light microscope</w:t>
      </w:r>
      <w:r w:rsidR="00C639C2" w:rsidRPr="006A6222">
        <w:rPr>
          <w:rFonts w:ascii="Arial" w:hAnsi="Arial" w:cs="Arial"/>
          <w:sz w:val="20"/>
          <w:szCs w:val="20"/>
        </w:rPr>
        <w:t xml:space="preserve"> (Figure 1)</w:t>
      </w:r>
      <w:r w:rsidRPr="006A6222">
        <w:rPr>
          <w:rFonts w:ascii="Arial" w:hAnsi="Arial" w:cs="Arial"/>
          <w:sz w:val="20"/>
          <w:szCs w:val="20"/>
        </w:rPr>
        <w:t>.</w:t>
      </w:r>
    </w:p>
    <w:p w14:paraId="279EEEA7" w14:textId="2770E264" w:rsidR="00DE32A9" w:rsidRPr="006A6222" w:rsidRDefault="00DE32A9" w:rsidP="00451967">
      <w:pPr>
        <w:spacing w:after="0" w:line="480" w:lineRule="auto"/>
        <w:jc w:val="both"/>
        <w:rPr>
          <w:rFonts w:ascii="Arial" w:hAnsi="Arial" w:cs="Arial"/>
          <w:color w:val="000000" w:themeColor="text1"/>
          <w:sz w:val="24"/>
          <w:szCs w:val="24"/>
          <w:lang w:val="en-US"/>
        </w:rPr>
      </w:pPr>
      <w:r w:rsidRPr="006A6222">
        <w:rPr>
          <w:rFonts w:ascii="Arial" w:hAnsi="Arial" w:cs="Arial"/>
          <w:color w:val="000000" w:themeColor="text1"/>
          <w:sz w:val="24"/>
          <w:szCs w:val="24"/>
          <w:lang w:eastAsia="fr-FR"/>
        </w:rPr>
        <w:lastRenderedPageBreak/>
        <mc:AlternateContent>
          <mc:Choice Requires="wps">
            <w:drawing>
              <wp:anchor distT="0" distB="0" distL="114300" distR="114300" simplePos="0" relativeHeight="251662336" behindDoc="0" locked="0" layoutInCell="1" allowOverlap="1" wp14:anchorId="077EDB92" wp14:editId="28BA1B46">
                <wp:simplePos x="0" y="0"/>
                <wp:positionH relativeFrom="column">
                  <wp:posOffset>4561554</wp:posOffset>
                </wp:positionH>
                <wp:positionV relativeFrom="paragraph">
                  <wp:posOffset>114813</wp:posOffset>
                </wp:positionV>
                <wp:extent cx="250520" cy="295275"/>
                <wp:effectExtent l="0" t="0" r="16510" b="28575"/>
                <wp:wrapNone/>
                <wp:docPr id="1459199820" name="Rectangle : coins arrondis 5"/>
                <wp:cNvGraphicFramePr/>
                <a:graphic xmlns:a="http://schemas.openxmlformats.org/drawingml/2006/main">
                  <a:graphicData uri="http://schemas.microsoft.com/office/word/2010/wordprocessingShape">
                    <wps:wsp>
                      <wps:cNvSpPr/>
                      <wps:spPr>
                        <a:xfrm>
                          <a:off x="0" y="0"/>
                          <a:ext cx="250520" cy="295275"/>
                        </a:xfrm>
                        <a:prstGeom prst="roundRect">
                          <a:avLst>
                            <a:gd name="adj" fmla="val 0"/>
                          </a:avLst>
                        </a:prstGeom>
                      </wps:spPr>
                      <wps:style>
                        <a:lnRef idx="2">
                          <a:schemeClr val="accent6"/>
                        </a:lnRef>
                        <a:fillRef idx="1">
                          <a:schemeClr val="lt1"/>
                        </a:fillRef>
                        <a:effectRef idx="0">
                          <a:schemeClr val="accent6"/>
                        </a:effectRef>
                        <a:fontRef idx="minor">
                          <a:schemeClr val="dk1"/>
                        </a:fontRef>
                      </wps:style>
                      <wps:txbx>
                        <w:txbxContent>
                          <w:p w14:paraId="63CE6B20" w14:textId="77777777" w:rsidR="00DE32A9" w:rsidRPr="00E23C17" w:rsidRDefault="00DE32A9" w:rsidP="00DE32A9">
                            <w:pPr>
                              <w:jc w:val="center"/>
                            </w:pPr>
                            <w:r w:rsidRPr="00E23C17">
                              <w:t>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oundrect w14:anchorId="077EDB92" id="Rectangle : coins arrondis 5" o:spid="_x0000_s1027" style="position:absolute;left:0;text-align:left;margin-left:359.2pt;margin-top:9.05pt;width:19.75pt;height:23.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9ZVQIAAPAEAAAOAAAAZHJzL2Uyb0RvYy54bWysVFFvGjEMfp+0/xDlfRwgaFfEUSGqTpPQ&#10;WrWd9hxyCdyWxJkTONivnxOOo914mvaSs2P7s/3Fvunt3hq2UxhqcCUf9PqcKSehqt265F9f7j98&#10;5CxE4SphwKmSH1Tgt7P376aNn6ghbMBUChmBuDBpfMk3MfpJUQS5UVaEHnjlyKgBrYik4rqoUDSE&#10;bk0x7Pevigaw8ghShUC3d0cjn2V8rZWMD1oHFZkpOdUW84n5XKWzmE3FZI3Cb2rZliH+oQorakdJ&#10;O6g7EQXbYv0XlK0lQgAdexJsAVrXUuUeqJtB/49unjfCq9wLkRN8R1P4f7Dyy+7ZPyLR0PgwCSSm&#10;LvYabfpSfWyfyTp0ZKl9ZJIuh+P+eEiUSjINb8bD63EiszgHewzxkwLLklByhK2rnuhBMk9itwwx&#10;E1YxJyxNhqi+c6atIfp3wrD8NITWOpJ0wqMk51qzFA9GJSzjnpRmdZWqy1nyGKmFQUaQlEJK5eJV&#10;W2f2TmG6NqYLHFwKNHHQBrW+KUzl8eoC+5cC32bsInJWcLELtrUDvARQ/egyH/1P3R97Tu3H/WpP&#10;TdP2pRrTzQqqwyMyhOO4By/va3qDpQjxUSARTM9GOxsf6NAGmpJDK3G2Afx16T7509iRlbOG9qXk&#10;4edWoOLMfHY0kDeD0SgtWFZG4+s0GvjasnptcVu7AHqRAf0dvMxi8o/mJGoE+41We56ykkk4SblL&#10;LiOelEU87jH9HKSaz7MbLZUXcemevUzgiWcH820EXcc0nWd2WoXWiqQ3e/taz17nH9XsNwAAAP//&#10;AwBQSwMEFAAGAAgAAAAhABanYlHeAAAACQEAAA8AAABkcnMvZG93bnJldi54bWxMj8tOwzAQRfdI&#10;/IM1SGwQdVK1TghxqorHB1BgwW4aD0mEH1HstoGvZ1jR5ege3Xum3szOiiNNcQheQ77IQJBvgxl8&#10;p+Ht9fm2BBETeoM2eNLwTRE2zeVFjZUJJ/9Cx13qBJf4WKGGPqWxkjK2PTmMizCS5+wzTA4Tn1Mn&#10;zYQnLndWLrNMSYeD54UeR3roqf3aHZyGsN7izU9avhdPH8bSaFulHkutr6/m7T2IRHP6h+FPn9Wh&#10;Yad9OHgThdVQ5OWKUQ7KHAQDxbq4A7HXoFYKZFPL8w+aXwAAAP//AwBQSwECLQAUAAYACAAAACEA&#10;toM4kv4AAADhAQAAEwAAAAAAAAAAAAAAAAAAAAAAW0NvbnRlbnRfVHlwZXNdLnhtbFBLAQItABQA&#10;BgAIAAAAIQA4/SH/1gAAAJQBAAALAAAAAAAAAAAAAAAAAC8BAABfcmVscy8ucmVsc1BLAQItABQA&#10;BgAIAAAAIQCuMj9ZVQIAAPAEAAAOAAAAAAAAAAAAAAAAAC4CAABkcnMvZTJvRG9jLnhtbFBLAQIt&#10;ABQABgAIAAAAIQAWp2JR3gAAAAkBAAAPAAAAAAAAAAAAAAAAAK8EAABkcnMvZG93bnJldi54bWxQ&#10;SwUGAAAAAAQABADzAAAAugUAAAAA&#10;" fillcolor="white [3201]" strokecolor="#70ad47 [3209]" strokeweight="1pt">
                <v:stroke joinstyle="miter"/>
                <v:textbox>
                  <w:txbxContent>
                    <w:p w14:paraId="63CE6B20" w14:textId="77777777" w:rsidR="00DE32A9" w:rsidRPr="00E23C17" w:rsidRDefault="00DE32A9" w:rsidP="00DE32A9">
                      <w:pPr>
                        <w:jc w:val="center"/>
                      </w:pPr>
                      <w:r w:rsidRPr="00E23C17">
                        <w:t>D</w:t>
                      </w:r>
                    </w:p>
                  </w:txbxContent>
                </v:textbox>
              </v:roundrect>
            </w:pict>
          </mc:Fallback>
        </mc:AlternateContent>
      </w:r>
      <w:r w:rsidRPr="006A6222">
        <w:rPr>
          <w:rFonts w:ascii="Arial" w:hAnsi="Arial" w:cs="Arial"/>
          <w:color w:val="000000" w:themeColor="text1"/>
          <w:sz w:val="24"/>
          <w:szCs w:val="24"/>
          <w:lang w:eastAsia="fr-FR"/>
        </w:rPr>
        <mc:AlternateContent>
          <mc:Choice Requires="wps">
            <w:drawing>
              <wp:anchor distT="0" distB="0" distL="114300" distR="114300" simplePos="0" relativeHeight="251660288" behindDoc="0" locked="0" layoutInCell="1" allowOverlap="1" wp14:anchorId="06B51EDB" wp14:editId="6D6D638A">
                <wp:simplePos x="0" y="0"/>
                <wp:positionH relativeFrom="column">
                  <wp:posOffset>1522730</wp:posOffset>
                </wp:positionH>
                <wp:positionV relativeFrom="paragraph">
                  <wp:posOffset>120650</wp:posOffset>
                </wp:positionV>
                <wp:extent cx="266700" cy="285750"/>
                <wp:effectExtent l="0" t="0" r="19050" b="19050"/>
                <wp:wrapNone/>
                <wp:docPr id="2052058632" name="Rectangle : coins arrondis 3"/>
                <wp:cNvGraphicFramePr/>
                <a:graphic xmlns:a="http://schemas.openxmlformats.org/drawingml/2006/main">
                  <a:graphicData uri="http://schemas.microsoft.com/office/word/2010/wordprocessingShape">
                    <wps:wsp>
                      <wps:cNvSpPr/>
                      <wps:spPr>
                        <a:xfrm>
                          <a:off x="0" y="0"/>
                          <a:ext cx="266700" cy="285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974F41B" w14:textId="77777777" w:rsidR="00DE32A9" w:rsidRPr="00E23C17" w:rsidRDefault="00DE32A9" w:rsidP="00DE32A9">
                            <w:pPr>
                              <w:jc w:val="center"/>
                            </w:pPr>
                            <w:r w:rsidRPr="00E23C17">
                              <w:t>B</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6B51EDB" id="Rectangle : coins arrondis 3" o:spid="_x0000_s1028" style="position:absolute;left:0;text-align:left;margin-left:119.9pt;margin-top:9.5pt;width:21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S7rQQIAAMgEAAAOAAAAZHJzL2Uyb0RvYy54bWysVEuP2jAQvlfqf7B8LwHEYxcRVojVVpVQ&#10;Fy2tejaODVEdjzs2BPrrOzYh0JZT1YuZyby/mY/p07Ey7KDQl2Bz3ut0OVNWQlHabc6/fnn58MCZ&#10;D8IWwoBVOT8pz59m799NazdRfdiBKRQySmL9pHY534XgJlnm5U5VwnfAKUtGDViJQCpuswJFTdkr&#10;k/W73VFWAxYOQSrv6evz2chnKb/WSoZXrb0KzOScegvpxfRu4pvNpmKyReF2pWzaEP/QRSVKS0Xb&#10;VM8iCLbH8q9UVSkRPOjQkVBloHUpVZqBpul1/5hmvRNOpVkIHO9amPz/Sys/H9ZuhQRD7fzEkxin&#10;OGqs4i/1x44JrFMLljoGJuljfzQadwlSSab+w3A8TGBm12CHPnxUULEo5Bxhb4s3WkjCSRyWPlBV&#10;8r/4kXLtIUnhZFRsw9g3pVlZxKopOp2HWhhkB0GLFVIqG0ZxmZQveccwXRrTBvbuBZrQa4Ia3xim&#10;0tm0gd17gb9XbCNSVbChDa5KC3gvQfG9rXz2v0x/njmOH46bIw0dZ27Ws4HitEKGcD5j7+RLSdgu&#10;hQ8rgXS3tA7iYnilRxuocw6NxNkO8Oe979GfzomsnNXEg5z7H3uBijPzydKhPfYGg0icpAyG4z4p&#10;eGvZ3FrsvloAbaRHrHcyidE/mIuoEapvRNl5rEomYSXVzrkMeFEW4cxPIr1U83lyI7I4EZZ27WRM&#10;HnG2MN8H0GW6oojXGZ0GR6JLOoaG2pGPt3ryuv4BzX4BAAD//wMAUEsDBBQABgAIAAAAIQD8cCGM&#10;3QAAAAkBAAAPAAAAZHJzL2Rvd25yZXYueG1sTI/NTsMwEITvSLyDtUhcEHUaIKQhTlXx8wAUOHDb&#10;xksSYa+j2G0DT89yguPOjGa/qdezd+pAUxwCG1guMlDEbbADdwZeX54uS1AxIVt0gcnAF0VYN6cn&#10;NVY2HPmZDtvUKSnhWKGBPqWx0jq2PXmMizASi/cRJo9JzqnTdsKjlHun8ywrtMeB5UOPI9331H5u&#10;995AuNngxXfK324f362j0bVF8VAac342b+5AJZrTXxh+8QUdGmHahT3bqJyB/Gol6EmMlWySQF4u&#10;RdgZKK4z0E2t/y9ofgAAAP//AwBQSwECLQAUAAYACAAAACEAtoM4kv4AAADhAQAAEwAAAAAAAAAA&#10;AAAAAAAAAAAAW0NvbnRlbnRfVHlwZXNdLnhtbFBLAQItABQABgAIAAAAIQA4/SH/1gAAAJQBAAAL&#10;AAAAAAAAAAAAAAAAAC8BAABfcmVscy8ucmVsc1BLAQItABQABgAIAAAAIQA2HS7rQQIAAMgEAAAO&#10;AAAAAAAAAAAAAAAAAC4CAABkcnMvZTJvRG9jLnhtbFBLAQItABQABgAIAAAAIQD8cCGM3QAAAAkB&#10;AAAPAAAAAAAAAAAAAAAAAJsEAABkcnMvZG93bnJldi54bWxQSwUGAAAAAAQABADzAAAApQUAAAAA&#10;" fillcolor="white [3201]" strokecolor="#70ad47 [3209]" strokeweight="1pt">
                <v:stroke joinstyle="miter"/>
                <v:textbox>
                  <w:txbxContent>
                    <w:p w14:paraId="2974F41B" w14:textId="77777777" w:rsidR="00DE32A9" w:rsidRPr="00E23C17" w:rsidRDefault="00DE32A9" w:rsidP="00DE32A9">
                      <w:pPr>
                        <w:jc w:val="center"/>
                      </w:pPr>
                      <w:r w:rsidRPr="00E23C17">
                        <w:t>B</w:t>
                      </w:r>
                    </w:p>
                  </w:txbxContent>
                </v:textbox>
              </v:roundrect>
            </w:pict>
          </mc:Fallback>
        </mc:AlternateContent>
      </w:r>
      <w:r w:rsidRPr="006A6222">
        <w:rPr>
          <w:rFonts w:ascii="Arial" w:hAnsi="Arial" w:cs="Arial"/>
          <w:color w:val="000000" w:themeColor="text1"/>
          <w:sz w:val="24"/>
          <w:szCs w:val="24"/>
          <w:lang w:eastAsia="fr-FR"/>
        </w:rPr>
        <mc:AlternateContent>
          <mc:Choice Requires="wps">
            <w:drawing>
              <wp:anchor distT="0" distB="0" distL="114300" distR="114300" simplePos="0" relativeHeight="251661312" behindDoc="0" locked="0" layoutInCell="1" allowOverlap="1" wp14:anchorId="189096E0" wp14:editId="7DF8DF05">
                <wp:simplePos x="0" y="0"/>
                <wp:positionH relativeFrom="column">
                  <wp:posOffset>3201670</wp:posOffset>
                </wp:positionH>
                <wp:positionV relativeFrom="paragraph">
                  <wp:posOffset>121285</wp:posOffset>
                </wp:positionV>
                <wp:extent cx="276225" cy="271421"/>
                <wp:effectExtent l="0" t="0" r="28575" b="14605"/>
                <wp:wrapNone/>
                <wp:docPr id="54426087" name="Rectangle : coins arrondis 4"/>
                <wp:cNvGraphicFramePr/>
                <a:graphic xmlns:a="http://schemas.openxmlformats.org/drawingml/2006/main">
                  <a:graphicData uri="http://schemas.microsoft.com/office/word/2010/wordprocessingShape">
                    <wps:wsp>
                      <wps:cNvSpPr/>
                      <wps:spPr>
                        <a:xfrm>
                          <a:off x="0" y="0"/>
                          <a:ext cx="276225" cy="27142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1DFD241" w14:textId="77777777" w:rsidR="00DE32A9" w:rsidRPr="00E23C17" w:rsidRDefault="00DE32A9" w:rsidP="00DE32A9">
                            <w:pPr>
                              <w:jc w:val="center"/>
                            </w:pPr>
                            <w:r w:rsidRPr="00E23C17">
                              <w:t>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oundrect w14:anchorId="189096E0" id="Rectangle : coins arrondis 4" o:spid="_x0000_s1029" style="position:absolute;left:0;text-align:left;margin-left:252.1pt;margin-top:9.55pt;width:21.75pt;height:21.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lqQAIAAMgEAAAOAAAAZHJzL2Uyb0RvYy54bWysVE2P2jAQvVfqf7B8LyEpy24RYYVYbVUJ&#10;ddHSqmfj2BDV8bhjQ6C/vmMDgbacql7M2DNvPl7mMX7cN4btFPoabMnzXp8zZSVUtV2X/OuX53cP&#10;nPkgbCUMWFXyg/L8cfL2zbh1I1XABkylkFES60etK/kmBDfKMi83qhG+B05ZcmrARgS64jqrULSU&#10;vTFZ0e8PsxawcghSeU+vT0cnn6T8WisZXrT2KjBTcuotpBPTuYpnNhmL0RqF29Ty1Ib4hy4aUVsq&#10;2qV6EkGwLdZ/pWpqieBBh56EJgOta6nSDDRN3v9jmuVGOJVmIXK862jy/y+t/LxbugUSDa3zI09m&#10;nGKvsYm/1B/bJ7IOHVlqH5ikx+J+WBR3nElyFff5oMgjmdkF7NCHjwoaFo2SI2xt9UofJPEkdnMf&#10;jvHnOAJfekhWOBgV2zD2VWlWV7FqQqf1UDODbCfowwoplQ3DU/0UHWG6NqYD5reAJpybPsVGmEpr&#10;0wH7t4C/V+wQqSrY0IGb2gLeSlB97yof48/TH2eO44f9ak9Dl/x9HCy+rKA6LJAhHNfYO/lcE7dz&#10;4cNCIO0tbThpMbzQoQ20JYeTxdkG8Oet9xhP60RezlrSQcn9j61AxZn5ZGnRPuSDQRROugzu7gu6&#10;4LVnde2x22YG9EVyUr2TyYzxwZxNjdB8I8lOY1VyCSupdsllwPNlFo76JNFLNZ2mMBKLE2Ful07G&#10;5JFnC9NtAF2nLbqwc+KR5JKW8STtqMfre4q6/AFNfgEAAP//AwBQSwMEFAAGAAgAAAAhALgEnqXe&#10;AAAACQEAAA8AAABkcnMvZG93bnJldi54bWxMj8tOwzAQRfdI/IM1SGwQdRI1D0KcquLxARRYsJvG&#10;QxJhj6PYbQNfj1nR5ege3Xum2SzWiCPNfnSsIF0lIIg7p0fuFby9Pt9WIHxA1mgck4Jv8rBpLy8a&#10;rLU78Qsdd6EXsYR9jQqGEKZaSt8NZNGv3EQcs083WwzxnHupZzzFcmtkliSFtDhyXBhwooeBuq/d&#10;wSpw+RZvfkL2Xj59aEOT6YrisVLq+mrZ3oMItIR/GP70ozq00WnvDqy9MAryZJ1FNAZ3KYgI5Ouy&#10;BLFXUKQVyLaR5x+0vwAAAP//AwBQSwECLQAUAAYACAAAACEAtoM4kv4AAADhAQAAEwAAAAAAAAAA&#10;AAAAAAAAAAAAW0NvbnRlbnRfVHlwZXNdLnhtbFBLAQItABQABgAIAAAAIQA4/SH/1gAAAJQBAAAL&#10;AAAAAAAAAAAAAAAAAC8BAABfcmVscy8ucmVsc1BLAQItABQABgAIAAAAIQAJUHlqQAIAAMgEAAAO&#10;AAAAAAAAAAAAAAAAAC4CAABkcnMvZTJvRG9jLnhtbFBLAQItABQABgAIAAAAIQC4BJ6l3gAAAAkB&#10;AAAPAAAAAAAAAAAAAAAAAJoEAABkcnMvZG93bnJldi54bWxQSwUGAAAAAAQABADzAAAApQUAAAAA&#10;" fillcolor="white [3201]" strokecolor="#70ad47 [3209]" strokeweight="1pt">
                <v:stroke joinstyle="miter"/>
                <v:textbox>
                  <w:txbxContent>
                    <w:p w14:paraId="61DFD241" w14:textId="77777777" w:rsidR="00DE32A9" w:rsidRPr="00E23C17" w:rsidRDefault="00DE32A9" w:rsidP="00DE32A9">
                      <w:pPr>
                        <w:jc w:val="center"/>
                      </w:pPr>
                      <w:r w:rsidRPr="00E23C17">
                        <w:t>C</w:t>
                      </w:r>
                    </w:p>
                  </w:txbxContent>
                </v:textbox>
              </v:roundrect>
            </w:pict>
          </mc:Fallback>
        </mc:AlternateContent>
      </w:r>
      <w:r w:rsidRPr="006A6222">
        <w:rPr>
          <w:rFonts w:ascii="Arial" w:hAnsi="Arial" w:cs="Arial"/>
          <w:color w:val="000000" w:themeColor="text1"/>
          <w:sz w:val="24"/>
          <w:szCs w:val="24"/>
          <w:lang w:eastAsia="fr-FR"/>
        </w:rPr>
        <mc:AlternateContent>
          <mc:Choice Requires="wps">
            <w:drawing>
              <wp:anchor distT="0" distB="0" distL="114300" distR="114300" simplePos="0" relativeHeight="251659264" behindDoc="0" locked="0" layoutInCell="1" allowOverlap="1" wp14:anchorId="4F90C63D" wp14:editId="00120315">
                <wp:simplePos x="0" y="0"/>
                <wp:positionH relativeFrom="column">
                  <wp:posOffset>65405</wp:posOffset>
                </wp:positionH>
                <wp:positionV relativeFrom="paragraph">
                  <wp:posOffset>63500</wp:posOffset>
                </wp:positionV>
                <wp:extent cx="295275" cy="276225"/>
                <wp:effectExtent l="0" t="0" r="28575" b="28575"/>
                <wp:wrapNone/>
                <wp:docPr id="1378692278" name="Rectangle : coins arrondis 2"/>
                <wp:cNvGraphicFramePr/>
                <a:graphic xmlns:a="http://schemas.openxmlformats.org/drawingml/2006/main">
                  <a:graphicData uri="http://schemas.microsoft.com/office/word/2010/wordprocessingShape">
                    <wps:wsp>
                      <wps:cNvSpPr/>
                      <wps:spPr>
                        <a:xfrm>
                          <a:off x="0" y="0"/>
                          <a:ext cx="295275" cy="276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43EE15D" w14:textId="77777777" w:rsidR="00DE32A9" w:rsidRPr="00E23C17" w:rsidRDefault="00DE32A9" w:rsidP="00DE32A9">
                            <w:pPr>
                              <w:jc w:val="center"/>
                            </w:pPr>
                            <w:r w:rsidRPr="00E23C17">
                              <w: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F90C63D" id="Rectangle : coins arrondis 2" o:spid="_x0000_s1030" style="position:absolute;left:0;text-align:left;margin-left:5.15pt;margin-top:5pt;width:23.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OLQgIAAMgEAAAOAAAAZHJzL2Uyb0RvYy54bWysVN9v2jAQfp+0/8Hy+wiJoF0RoUJUnSZV&#10;a9V22rNxbBLN8XlnQ2B//c4mhG7jadqLOfvuux9f7mN+u28N2yn0DdiS56MxZ8pKqBq7KfnX1/sP&#10;HznzQdhKGLCq5Afl+e3i/bt552aqgBpMpZBREutnnSt5HYKbZZmXtWqFH4FTlpwasBWBrrjJKhQd&#10;ZW9NVozHV1kHWDkEqbyn17ujky9Sfq2VDI9aexWYKTn1FtKJ6VzHM1vMxWyDwtWN7NsQ/9BFKxpL&#10;RYdUdyIItsXmr1RtIxE86DCS0GagdSNVmoGmycd/TPNSC6fSLESOdwNN/v+llV92L+4JiYbO+Zkn&#10;M06x19jGX+qP7RNZh4EstQ9M0mNxMy2up5xJchXXV0UxjWRmZ7BDHz4paFk0So6wtdUzfZDEk9g9&#10;+HCMP8UR+NxDssLBqNiGsc9Ks6aKVRM6rYdaGWQ7QR9WSKlsuOrrp+gI040xAzC/BDQh70F9bISp&#10;tDYDcHwJ+HvFAZGqgg0DuG0s4KUE1feh8jH+NP1x5jh+2K/3NHTJJ7HH+LKG6vCEDOG4xt7J+4a4&#10;fRA+PAmkvaUNJy2GRzq0ga7k0Fuc1YA/L73HeFon8nLWkQ5K7n9sBSrOzGdLi3aTTyZROOkymV4X&#10;dMG3nvVbj922K6AvkpPqnUxmjA/mZGqE9htJdhmrkktYSbVLLgOeLqtw1CeJXqrlMoWRWJwID/bF&#10;yZg88mxhuQ2gm7RFZ3Z6HkkuaRl7aUc9vr2nqPMf0OIXAAAA//8DAFBLAwQUAAYACAAAACEAboQi&#10;IdoAAAAHAQAADwAAAGRycy9kb3ducmV2LnhtbEyPzU7DMBCE70i8g7VIXFDr0CqhCnGqip8HoIUD&#10;t228TSLsdRS7beDp2Z7gNBrNaPbbaj15p040xj6wgft5Boq4Cbbn1sD77nW2AhUTskUXmAx8U4R1&#10;fX1VYWnDmd/otE2tkhGOJRroUhpKrWPTkcc4DwOxZIcwekxix1bbEc8y7p1eZFmhPfYsFzoc6Kmj&#10;5mt79AZCvsG7n7T4eHj5tI4G1xTF88qY25tp8wgq0ZT+ynDBF3SohWkfjmyjcuKzpTQvKi9Jnhfy&#10;yV50mYOuK/2fv/4FAAD//wMAUEsBAi0AFAAGAAgAAAAhALaDOJL+AAAA4QEAABMAAAAAAAAAAAAA&#10;AAAAAAAAAFtDb250ZW50X1R5cGVzXS54bWxQSwECLQAUAAYACAAAACEAOP0h/9YAAACUAQAACwAA&#10;AAAAAAAAAAAAAAAvAQAAX3JlbHMvLnJlbHNQSwECLQAUAAYACAAAACEAjIyji0ICAADIBAAADgAA&#10;AAAAAAAAAAAAAAAuAgAAZHJzL2Uyb0RvYy54bWxQSwECLQAUAAYACAAAACEAboQiIdoAAAAHAQAA&#10;DwAAAAAAAAAAAAAAAACcBAAAZHJzL2Rvd25yZXYueG1sUEsFBgAAAAAEAAQA8wAAAKMFAAAAAA==&#10;" fillcolor="white [3201]" strokecolor="#70ad47 [3209]" strokeweight="1pt">
                <v:stroke joinstyle="miter"/>
                <v:textbox>
                  <w:txbxContent>
                    <w:p w14:paraId="143EE15D" w14:textId="77777777" w:rsidR="00DE32A9" w:rsidRPr="00E23C17" w:rsidRDefault="00DE32A9" w:rsidP="00DE32A9">
                      <w:pPr>
                        <w:jc w:val="center"/>
                      </w:pPr>
                      <w:r w:rsidRPr="00E23C17">
                        <w:t>A</w:t>
                      </w:r>
                    </w:p>
                  </w:txbxContent>
                </v:textbox>
              </v:roundrect>
            </w:pict>
          </mc:Fallback>
        </mc:AlternateContent>
      </w:r>
      <w:r w:rsidRPr="006A6222">
        <w:rPr>
          <w:rFonts w:ascii="Arial" w:hAnsi="Arial" w:cs="Arial"/>
          <w:color w:val="000000" w:themeColor="text1"/>
          <w:sz w:val="24"/>
          <w:szCs w:val="24"/>
        </w:rPr>
        <w:drawing>
          <wp:inline distT="0" distB="0" distL="0" distR="0" wp14:anchorId="4E0CE5D7" wp14:editId="5FDA3F33">
            <wp:extent cx="1295400" cy="1341120"/>
            <wp:effectExtent l="0" t="0" r="0" b="0"/>
            <wp:docPr id="704293134"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1341120"/>
                    </a:xfrm>
                    <a:prstGeom prst="rect">
                      <a:avLst/>
                    </a:prstGeom>
                    <a:noFill/>
                  </pic:spPr>
                </pic:pic>
              </a:graphicData>
            </a:graphic>
          </wp:inline>
        </w:drawing>
      </w:r>
      <w:r w:rsidRPr="006A6222">
        <w:rPr>
          <w:rFonts w:ascii="Arial" w:hAnsi="Arial" w:cs="Arial"/>
          <w:color w:val="000000" w:themeColor="text1"/>
          <w:sz w:val="24"/>
          <w:szCs w:val="24"/>
        </w:rPr>
        <w:t xml:space="preserve"> </w:t>
      </w:r>
      <w:r w:rsidRPr="006A6222">
        <w:rPr>
          <w:rFonts w:ascii="Arial" w:hAnsi="Arial" w:cs="Arial"/>
          <w:color w:val="000000" w:themeColor="text1"/>
          <w:sz w:val="24"/>
          <w:szCs w:val="24"/>
        </w:rPr>
        <w:drawing>
          <wp:inline distT="0" distB="0" distL="0" distR="0" wp14:anchorId="52B763B0" wp14:editId="607840CF">
            <wp:extent cx="1280160" cy="1371600"/>
            <wp:effectExtent l="0" t="0" r="0" b="0"/>
            <wp:docPr id="801764956"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0160" cy="1371600"/>
                    </a:xfrm>
                    <a:prstGeom prst="rect">
                      <a:avLst/>
                    </a:prstGeom>
                    <a:noFill/>
                  </pic:spPr>
                </pic:pic>
              </a:graphicData>
            </a:graphic>
          </wp:inline>
        </w:drawing>
      </w:r>
      <w:r w:rsidRPr="006A6222">
        <w:rPr>
          <w:rFonts w:ascii="Arial" w:hAnsi="Arial" w:cs="Arial"/>
          <w:color w:val="000000" w:themeColor="text1"/>
          <w:sz w:val="24"/>
          <w:szCs w:val="24"/>
        </w:rPr>
        <w:t xml:space="preserve"> </w:t>
      </w:r>
      <w:r w:rsidRPr="006A6222">
        <w:rPr>
          <w:rFonts w:ascii="Arial" w:hAnsi="Arial" w:cs="Arial"/>
          <w:color w:val="000000" w:themeColor="text1"/>
          <w:sz w:val="24"/>
          <w:szCs w:val="24"/>
        </w:rPr>
        <w:drawing>
          <wp:inline distT="0" distB="0" distL="0" distR="0" wp14:anchorId="005B384B" wp14:editId="468B48B9">
            <wp:extent cx="1295400" cy="1333500"/>
            <wp:effectExtent l="0" t="0" r="0" b="0"/>
            <wp:docPr id="93491182"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1333500"/>
                    </a:xfrm>
                    <a:prstGeom prst="rect">
                      <a:avLst/>
                    </a:prstGeom>
                    <a:noFill/>
                  </pic:spPr>
                </pic:pic>
              </a:graphicData>
            </a:graphic>
          </wp:inline>
        </w:drawing>
      </w:r>
      <w:r w:rsidRPr="006A6222">
        <w:rPr>
          <w:rFonts w:ascii="Arial" w:hAnsi="Arial" w:cs="Arial"/>
          <w:color w:val="000000" w:themeColor="text1"/>
          <w:sz w:val="24"/>
          <w:szCs w:val="24"/>
          <w:lang w:eastAsia="fr-FR"/>
        </w:rPr>
        <w:t xml:space="preserve"> </w:t>
      </w:r>
      <w:r w:rsidRPr="006A6222">
        <w:rPr>
          <w:rFonts w:ascii="Arial" w:hAnsi="Arial" w:cs="Arial"/>
          <w:color w:val="000000" w:themeColor="text1"/>
          <w:sz w:val="24"/>
          <w:szCs w:val="24"/>
          <w:lang w:eastAsia="fr-FR"/>
        </w:rPr>
        <w:drawing>
          <wp:inline distT="0" distB="0" distL="0" distR="0" wp14:anchorId="6871B2E1" wp14:editId="6CE84983">
            <wp:extent cx="1432560" cy="1348740"/>
            <wp:effectExtent l="0" t="0" r="0" b="3810"/>
            <wp:docPr id="134836206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2560" cy="1348740"/>
                    </a:xfrm>
                    <a:prstGeom prst="rect">
                      <a:avLst/>
                    </a:prstGeom>
                    <a:noFill/>
                  </pic:spPr>
                </pic:pic>
              </a:graphicData>
            </a:graphic>
          </wp:inline>
        </w:drawing>
      </w:r>
    </w:p>
    <w:p w14:paraId="173635FE" w14:textId="2AADC7AC" w:rsidR="00DE32A9" w:rsidRPr="006A6222" w:rsidRDefault="00DE32A9" w:rsidP="00451967">
      <w:pPr>
        <w:spacing w:after="0" w:line="480" w:lineRule="auto"/>
        <w:jc w:val="both"/>
        <w:rPr>
          <w:rFonts w:ascii="Arial" w:hAnsi="Arial" w:cs="Arial"/>
          <w:color w:val="000000" w:themeColor="text1"/>
          <w:sz w:val="24"/>
          <w:szCs w:val="24"/>
          <w:lang w:val="en-US"/>
        </w:rPr>
      </w:pPr>
      <w:r w:rsidRPr="006A6222">
        <w:rPr>
          <w:rFonts w:ascii="Arial" w:hAnsi="Arial" w:cs="Arial"/>
          <w:color w:val="000000" w:themeColor="text1"/>
          <w:sz w:val="24"/>
          <w:szCs w:val="24"/>
          <w:lang w:eastAsia="fr-FR"/>
        </w:rPr>
        <mc:AlternateContent>
          <mc:Choice Requires="wps">
            <w:drawing>
              <wp:anchor distT="0" distB="0" distL="114300" distR="114300" simplePos="0" relativeHeight="251664384" behindDoc="0" locked="0" layoutInCell="1" allowOverlap="1" wp14:anchorId="26591662" wp14:editId="124B9BE5">
                <wp:simplePos x="0" y="0"/>
                <wp:positionH relativeFrom="column">
                  <wp:posOffset>3656689</wp:posOffset>
                </wp:positionH>
                <wp:positionV relativeFrom="paragraph">
                  <wp:posOffset>119428</wp:posOffset>
                </wp:positionV>
                <wp:extent cx="314325" cy="276225"/>
                <wp:effectExtent l="0" t="0" r="28575" b="28575"/>
                <wp:wrapNone/>
                <wp:docPr id="1825746453" name="Rectangle : coins arrondis 7"/>
                <wp:cNvGraphicFramePr/>
                <a:graphic xmlns:a="http://schemas.openxmlformats.org/drawingml/2006/main">
                  <a:graphicData uri="http://schemas.microsoft.com/office/word/2010/wordprocessingShape">
                    <wps:wsp>
                      <wps:cNvSpPr/>
                      <wps:spPr>
                        <a:xfrm>
                          <a:off x="0" y="0"/>
                          <a:ext cx="314325" cy="276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7FEC130" w14:textId="77777777" w:rsidR="00DE32A9" w:rsidRPr="00E23C17" w:rsidRDefault="00DE32A9" w:rsidP="00DE32A9">
                            <w:pPr>
                              <w:jc w:val="center"/>
                            </w:pPr>
                            <w:r w:rsidRPr="00E23C17">
                              <w:t>F</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26591662" id="Rectangle : coins arrondis 7" o:spid="_x0000_s1031" style="position:absolute;left:0;text-align:left;margin-left:287.95pt;margin-top:9.4pt;width:24.75pt;height:21.7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6IpQQIAAMgEAAAOAAAAZHJzL2Uyb0RvYy54bWysVN9v2jAQfp+0/8Hy+xqSUrohQoVadZqE&#10;VtRu2rNxbIjm+LyzIbC/fmcnhG7jadqLOfvuux9f7mN2d2gM2yv0NdiS51cjzpSVUNV2U/KvXx7f&#10;vefMB2ErYcCqkh+V53fzt29mrZuqArZgKoWMklg/bV3JtyG4aZZ5uVWN8FfglCWnBmxEoCtusgpF&#10;S9kbkxWj0SRrASuHIJX39PrQOfk85ddayfCktVeBmZJTbyGdmM51PLP5TEw3KNy2ln0b4h+6aERt&#10;qeiQ6kEEwXZY/5WqqSWCBx2uJDQZaF1LlWagafLRH9O8bIVTaRYix7uBJv//0srP+xe3QqKhdX7q&#10;yYxTHDQ28Zf6Y4dE1nEgSx0Ck/R4nY+vixvOJLmK20lBNmXJzmCHPnxU0LBolBxhZ6tn+iCJJ7Ff&#10;+tDFn+IIfO4hWeFoVGzD2GelWV1R1SKh03qoe4NsL+jDCimVDZO+foqOMF0bMwDzS0AT8h7Ux0aY&#10;SmszAEeXgL9XHBCpKtgwgJvaAl5KUH0fKnfxp+m7meP44bA+0NAlT8TGlzVUxxUyhG6NvZOPNXG7&#10;FD6sBNLe0oaTFsMTHdpAW3LoLc62gD8vvcd4WifyctaSDkruf+wEKs7MJ0uL9iEfj6Nw0mV8c1vQ&#10;BV971q89dtfcA32RnFTvZDJjfDAnUyM030iyi1iVXMJKql1yGfB0uQ+dPkn0Ui0WKYzE4kRY2hcn&#10;Y/LIs4XFLoCu0xad2el5JLmkZeylHfX4+p6izn9A818AAAD//wMAUEsDBBQABgAIAAAAIQCB4wxT&#10;3QAAAAkBAAAPAAAAZHJzL2Rvd25yZXYueG1sTI/BTsMwEETvSPyDtUhcEHUIJA0hTlVB+YC2cODm&#10;xksSYa+j2G1Dv57tid52NE+zM9ViclYccAy9JwUPswQEUuNNT62Cj+37fQEiRE1GW0+o4BcDLOrr&#10;q0qXxh9pjYdNbAWHUCi1gi7GoZQyNB06HWZ+QGLv249OR5ZjK82ojxzurEyTJJdO98QfOj3ga4fN&#10;z2bvFPhsqe9OMf2cr76MxcE2ef5WKHV7My1fQESc4j8M5/pcHWrutPN7MkFYBdk8e2aUjYInMJCn&#10;2ROI3fl4BFlX8nJB/QcAAP//AwBQSwECLQAUAAYACAAAACEAtoM4kv4AAADhAQAAEwAAAAAAAAAA&#10;AAAAAAAAAAAAW0NvbnRlbnRfVHlwZXNdLnhtbFBLAQItABQABgAIAAAAIQA4/SH/1gAAAJQBAAAL&#10;AAAAAAAAAAAAAAAAAC8BAABfcmVscy8ucmVsc1BLAQItABQABgAIAAAAIQCdK6IpQQIAAMgEAAAO&#10;AAAAAAAAAAAAAAAAAC4CAABkcnMvZTJvRG9jLnhtbFBLAQItABQABgAIAAAAIQCB4wxT3QAAAAkB&#10;AAAPAAAAAAAAAAAAAAAAAJsEAABkcnMvZG93bnJldi54bWxQSwUGAAAAAAQABADzAAAApQUAAAAA&#10;" fillcolor="white [3201]" strokecolor="#70ad47 [3209]" strokeweight="1pt">
                <v:stroke joinstyle="miter"/>
                <v:textbox>
                  <w:txbxContent>
                    <w:p w14:paraId="17FEC130" w14:textId="77777777" w:rsidR="00DE32A9" w:rsidRPr="00E23C17" w:rsidRDefault="00DE32A9" w:rsidP="00DE32A9">
                      <w:pPr>
                        <w:jc w:val="center"/>
                      </w:pPr>
                      <w:r w:rsidRPr="00E23C17">
                        <w:t>F</w:t>
                      </w:r>
                    </w:p>
                  </w:txbxContent>
                </v:textbox>
              </v:roundrect>
            </w:pict>
          </mc:Fallback>
        </mc:AlternateContent>
      </w:r>
      <w:r w:rsidRPr="006A6222">
        <w:rPr>
          <w:rFonts w:ascii="Arial" w:hAnsi="Arial" w:cs="Arial"/>
          <w:color w:val="000000" w:themeColor="text1"/>
          <w:sz w:val="24"/>
          <w:szCs w:val="24"/>
          <w:lang w:eastAsia="fr-FR"/>
        </w:rPr>
        <mc:AlternateContent>
          <mc:Choice Requires="wps">
            <w:drawing>
              <wp:anchor distT="0" distB="0" distL="114300" distR="114300" simplePos="0" relativeHeight="251665408" behindDoc="0" locked="0" layoutInCell="1" allowOverlap="1" wp14:anchorId="6900699E" wp14:editId="47C1AC52">
                <wp:simplePos x="0" y="0"/>
                <wp:positionH relativeFrom="column">
                  <wp:posOffset>5224181</wp:posOffset>
                </wp:positionH>
                <wp:positionV relativeFrom="paragraph">
                  <wp:posOffset>49338</wp:posOffset>
                </wp:positionV>
                <wp:extent cx="333375" cy="342900"/>
                <wp:effectExtent l="0" t="0" r="28575" b="19050"/>
                <wp:wrapNone/>
                <wp:docPr id="2051199208" name="Rectangle : coins arrondis 8"/>
                <wp:cNvGraphicFramePr/>
                <a:graphic xmlns:a="http://schemas.openxmlformats.org/drawingml/2006/main">
                  <a:graphicData uri="http://schemas.microsoft.com/office/word/2010/wordprocessingShape">
                    <wps:wsp>
                      <wps:cNvSpPr/>
                      <wps:spPr>
                        <a:xfrm>
                          <a:off x="0" y="0"/>
                          <a:ext cx="333375" cy="342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56DD2C7" w14:textId="77777777" w:rsidR="00DE32A9" w:rsidRPr="00E23C17" w:rsidRDefault="00DE32A9" w:rsidP="00DE32A9">
                            <w:pPr>
                              <w:jc w:val="center"/>
                            </w:pPr>
                            <w:r w:rsidRPr="00E23C17">
                              <w:t>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900699E" id="Rectangle : coins arrondis 8" o:spid="_x0000_s1032" style="position:absolute;left:0;text-align:left;margin-left:411.35pt;margin-top:3.9pt;width:26.25pt;height:27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rb0QAIAAMgEAAAOAAAAZHJzL2Uyb0RvYy54bWysVEuP2jAQvlfqf7B8Lwks+0KEFWK1VSXU&#10;RUurno1jQ1TH444Ngf76jk0ItOVUlYOZ8bw/z5fx0742bKfQV2AL3u/lnCkroazsuuBfv7x8eODM&#10;B2FLYcCqgh+U50+T9+/GjRupAWzAlAoZJbF+1LiCb0JwoyzzcqNq4XvglCWjBqxFIBXXWYmioey1&#10;yQZ5fpc1gKVDkMp7un0+Gvkk5ddayfCqtVeBmYJTbyGdmM5VPLPJWIzWKNymkm0b4h+6qEVlqWiX&#10;6lkEwbZY/ZWqriSCBx16EuoMtK6kSjPQNP38j2mWG+FUmoXA8a6Dyf+/tPLzbukWSDA0zo88iXGK&#10;vcY6/lN/bJ/AOnRgqX1gki5v6Hd/y5kk081w8JgnMLNzsEMfPiqoWRQKjrC15Rs9SMJJ7OY+UFXy&#10;P/mRcu4hSeFgVGzD2DelWVVS1UGKTuuhZgbZTtDDCimVDXfxMSlf8o5hujKmC+xfCzSh3wa1vjFM&#10;pbXpAvNrgb9X7CJSVbChC64rC3gtQfm9q3z0P01/nDmOH/arPQ1d8DRYvFlBeVggQziusXfypSJs&#10;58KHhUDaW9pw4mJ4pUMbaAoOrcTZBvDntfvoT+tEVs4a4kHB/Y+tQMWZ+WRp0R77w2EkTlKGt/cD&#10;UvDSsrq02G09A3qRPrHeySRG/2BOokaovxFlp7EqmYSVVLvgMuBJmYUjP4n0Uk2nyY3I4kSY26WT&#10;MXnE2cJ0G0BXaYvO6LQ4El3SMrTUjny81JPX+QM0+QUAAP//AwBQSwMEFAAGAAgAAAAhAHxCMV/c&#10;AAAACAEAAA8AAABkcnMvZG93bnJldi54bWxMj81OwzAQhO9IvIO1SFwQdWqpiRWyqSp+HoACB25u&#10;vCQR/olitw08PcsJjqMZzXzTbBfvxInmNMaAsF4VICh00Y6hR3h9ebrVIFI2wRoXAyF8UYJte3nR&#10;mNrGc3im0z73gktCqg3CkPNUS5m6gbxJqzhRYO8jzt5klnMv7WzOXO6dVEVRSm/GwAuDmeh+oO5z&#10;f/QIcbMzN99ZvVWP79bR5LqyfNCI11fL7g5EpiX/heEXn9GhZaZDPAabhEPQSlUcRaj4Afu62igQ&#10;B4RyrUG2jfx/oP0BAAD//wMAUEsBAi0AFAAGAAgAAAAhALaDOJL+AAAA4QEAABMAAAAAAAAAAAAA&#10;AAAAAAAAAFtDb250ZW50X1R5cGVzXS54bWxQSwECLQAUAAYACAAAACEAOP0h/9YAAACUAQAACwAA&#10;AAAAAAAAAAAAAAAvAQAAX3JlbHMvLnJlbHNQSwECLQAUAAYACAAAACEAlFq29EACAADIBAAADgAA&#10;AAAAAAAAAAAAAAAuAgAAZHJzL2Uyb0RvYy54bWxQSwECLQAUAAYACAAAACEAfEIxX9wAAAAIAQAA&#10;DwAAAAAAAAAAAAAAAACaBAAAZHJzL2Rvd25yZXYueG1sUEsFBgAAAAAEAAQA8wAAAKMFAAAAAA==&#10;" fillcolor="white [3201]" strokecolor="#70ad47 [3209]" strokeweight="1pt">
                <v:stroke joinstyle="miter"/>
                <v:textbox>
                  <w:txbxContent>
                    <w:p w14:paraId="256DD2C7" w14:textId="77777777" w:rsidR="00DE32A9" w:rsidRPr="00E23C17" w:rsidRDefault="00DE32A9" w:rsidP="00DE32A9">
                      <w:pPr>
                        <w:jc w:val="center"/>
                      </w:pPr>
                      <w:r w:rsidRPr="00E23C17">
                        <w:t>G</w:t>
                      </w:r>
                    </w:p>
                  </w:txbxContent>
                </v:textbox>
              </v:roundrect>
            </w:pict>
          </mc:Fallback>
        </mc:AlternateContent>
      </w:r>
      <w:r w:rsidRPr="006A6222">
        <w:rPr>
          <w:rFonts w:ascii="Arial" w:hAnsi="Arial" w:cs="Arial"/>
          <w:color w:val="000000" w:themeColor="text1"/>
          <w:sz w:val="24"/>
          <w:szCs w:val="24"/>
          <w:lang w:eastAsia="fr-FR"/>
        </w:rPr>
        <mc:AlternateContent>
          <mc:Choice Requires="wps">
            <w:drawing>
              <wp:anchor distT="0" distB="0" distL="114300" distR="114300" simplePos="0" relativeHeight="251663360" behindDoc="0" locked="0" layoutInCell="1" allowOverlap="1" wp14:anchorId="55B04B34" wp14:editId="1AEC16B7">
                <wp:simplePos x="0" y="0"/>
                <wp:positionH relativeFrom="column">
                  <wp:posOffset>1675130</wp:posOffset>
                </wp:positionH>
                <wp:positionV relativeFrom="paragraph">
                  <wp:posOffset>95250</wp:posOffset>
                </wp:positionV>
                <wp:extent cx="266700" cy="276225"/>
                <wp:effectExtent l="0" t="0" r="19050" b="28575"/>
                <wp:wrapNone/>
                <wp:docPr id="104374693" name="Rectangle : coins arrondis 6"/>
                <wp:cNvGraphicFramePr/>
                <a:graphic xmlns:a="http://schemas.openxmlformats.org/drawingml/2006/main">
                  <a:graphicData uri="http://schemas.microsoft.com/office/word/2010/wordprocessingShape">
                    <wps:wsp>
                      <wps:cNvSpPr/>
                      <wps:spPr>
                        <a:xfrm>
                          <a:off x="0" y="0"/>
                          <a:ext cx="266700" cy="276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167ECCC" w14:textId="77777777" w:rsidR="00DE32A9" w:rsidRPr="00E23C17" w:rsidRDefault="00DE32A9" w:rsidP="00DE32A9">
                            <w:pPr>
                              <w:jc w:val="center"/>
                            </w:pPr>
                            <w:r w:rsidRPr="00E23C17">
                              <w:t>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5B04B34" id="Rectangle : coins arrondis 6" o:spid="_x0000_s1033" style="position:absolute;left:0;text-align:left;margin-left:131.9pt;margin-top:7.5pt;width:21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LtmQAIAAMgEAAAOAAAAZHJzL2Uyb0RvYy54bWysVE2P2jAQvVfqf7B8L4GIhRYRVojVVpVQ&#10;Fy2tejaODVEdjzs2BPrrOzYh0JZT1Ysz45k3H88zmT4ea8MOCn0FtuCDXp8zZSWUld0W/OuX53fv&#10;OfNB2FIYsKrgJ+X54+ztm2njJiqHHZhSIaMg1k8aV/BdCG6SZV7uVC18D5yyZNSAtQik4jYrUTQU&#10;vTZZ3u+PsgawdAhSeU+3T2cjn6X4WisZXrT2KjBTcKotpBPTuYlnNpuKyRaF21WyLUP8QxW1qCwl&#10;7UI9iSDYHqu/QtWVRPCgQ09CnYHWlVSpB+pm0P+jm/VOOJV6IXK862jy/y+s/HxYuxUSDY3zE09i&#10;7OKosY5fqo8dE1mnjix1DEzSZT4ajftEqSRTPh7l+UMkM7uCHfrwUUHNolBwhL0tX+lBEk/isPTh&#10;7H/xI/C1hiSFk1GxDGNflWZVGbMmdBoPtTDIDoIeVkipbBi1+ZN3hOnKmA44uAc0YdCCWt8IU2ls&#10;OmD/HvD3jB0iZQUbOnBdWcB7AcrvXeaz/6X7c8+x/XDcHKnpgo9jjfFmA+VphQzhPMbeyeeKuF0K&#10;H1YCaW7pOWgXwwsd2kBTcGglznaAP+/dR38aJ7Jy1tAeFNz/2AtUnJlPlgbtw2A4jIuTlOHDOCcF&#10;by2bW4vd1wugFxnQ1juZxOgfzEXUCPU3Wtl5zEomYSXlLrgMeFEW4byftPRSzefJjZbFibC0aydj&#10;8Mizhfk+gK7SFF3ZaXmkdUnD2K523MdbPXldf0CzXwAAAP//AwBQSwMEFAAGAAgAAAAhALGfOOfc&#10;AAAACQEAAA8AAABkcnMvZG93bnJldi54bWxMj81OwzAQhO9IvIO1SFwQdUiVEIU4VcXPA1DgwG0b&#10;L0mEvY5itw08PcsJjjszmv2m2SzeqSPNcQxs4GaVgSLugh25N/D68nRdgYoJ2aILTAa+KMKmPT9r&#10;sLbhxM903KVeSQnHGg0MKU211rEbyGNchYlYvI8we0xyzr22M56k3DudZ1mpPY4sHwac6H6g7nN3&#10;8AZCscWr75S/3T6+W0eT68ryoTLm8mLZ3oFKtKS/MPziCzq0wrQPB7ZROQN5uRb0JEYhmySwzgoR&#10;9gaKqgDdNvr/gvYHAAD//wMAUEsBAi0AFAAGAAgAAAAhALaDOJL+AAAA4QEAABMAAAAAAAAAAAAA&#10;AAAAAAAAAFtDb250ZW50X1R5cGVzXS54bWxQSwECLQAUAAYACAAAACEAOP0h/9YAAACUAQAACwAA&#10;AAAAAAAAAAAAAAAvAQAAX3JlbHMvLnJlbHNQSwECLQAUAAYACAAAACEA/Xy7ZkACAADIBAAADgAA&#10;AAAAAAAAAAAAAAAuAgAAZHJzL2Uyb0RvYy54bWxQSwECLQAUAAYACAAAACEAsZ8459wAAAAJAQAA&#10;DwAAAAAAAAAAAAAAAACaBAAAZHJzL2Rvd25yZXYueG1sUEsFBgAAAAAEAAQA8wAAAKMFAAAAAA==&#10;" fillcolor="white [3201]" strokecolor="#70ad47 [3209]" strokeweight="1pt">
                <v:stroke joinstyle="miter"/>
                <v:textbox>
                  <w:txbxContent>
                    <w:p w14:paraId="5167ECCC" w14:textId="77777777" w:rsidR="00DE32A9" w:rsidRPr="00E23C17" w:rsidRDefault="00DE32A9" w:rsidP="00DE32A9">
                      <w:pPr>
                        <w:jc w:val="center"/>
                      </w:pPr>
                      <w:r w:rsidRPr="00E23C17">
                        <w:t>E</w:t>
                      </w:r>
                    </w:p>
                  </w:txbxContent>
                </v:textbox>
              </v:roundrect>
            </w:pict>
          </mc:Fallback>
        </mc:AlternateContent>
      </w:r>
      <w:r w:rsidRPr="006A6222">
        <w:rPr>
          <w:rFonts w:ascii="Arial" w:hAnsi="Arial" w:cs="Arial"/>
          <w:color w:val="000000" w:themeColor="text1"/>
          <w:sz w:val="24"/>
          <w:szCs w:val="24"/>
        </w:rPr>
        <w:drawing>
          <wp:inline distT="0" distB="0" distL="0" distR="0" wp14:anchorId="7AC3603E" wp14:editId="345012E6">
            <wp:extent cx="2011680" cy="1546860"/>
            <wp:effectExtent l="0" t="0" r="7620" b="0"/>
            <wp:docPr id="1876098567"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1680" cy="1546860"/>
                    </a:xfrm>
                    <a:prstGeom prst="rect">
                      <a:avLst/>
                    </a:prstGeom>
                    <a:noFill/>
                  </pic:spPr>
                </pic:pic>
              </a:graphicData>
            </a:graphic>
          </wp:inline>
        </w:drawing>
      </w:r>
      <w:r w:rsidRPr="006A6222">
        <w:rPr>
          <w:rFonts w:ascii="Arial" w:hAnsi="Arial" w:cs="Arial"/>
          <w:color w:val="000000" w:themeColor="text1"/>
          <w:sz w:val="24"/>
          <w:szCs w:val="24"/>
        </w:rPr>
        <w:t xml:space="preserve"> </w:t>
      </w:r>
      <w:r w:rsidRPr="006A6222">
        <w:rPr>
          <w:rFonts w:ascii="Arial" w:hAnsi="Arial" w:cs="Arial"/>
          <w:color w:val="000000" w:themeColor="text1"/>
          <w:sz w:val="24"/>
          <w:szCs w:val="24"/>
        </w:rPr>
        <w:drawing>
          <wp:inline distT="0" distB="0" distL="0" distR="0" wp14:anchorId="7EF1DC70" wp14:editId="1FA2C18E">
            <wp:extent cx="2026920" cy="1531620"/>
            <wp:effectExtent l="0" t="0" r="0" b="0"/>
            <wp:docPr id="1597971682"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6920" cy="1531620"/>
                    </a:xfrm>
                    <a:prstGeom prst="rect">
                      <a:avLst/>
                    </a:prstGeom>
                    <a:noFill/>
                  </pic:spPr>
                </pic:pic>
              </a:graphicData>
            </a:graphic>
          </wp:inline>
        </w:drawing>
      </w:r>
      <w:r w:rsidRPr="006A6222">
        <w:rPr>
          <w:rFonts w:ascii="Arial" w:hAnsi="Arial" w:cs="Arial"/>
          <w:color w:val="000000" w:themeColor="text1"/>
          <w:sz w:val="24"/>
          <w:szCs w:val="24"/>
        </w:rPr>
        <w:t xml:space="preserve"> </w:t>
      </w:r>
      <w:r w:rsidRPr="006A6222">
        <w:rPr>
          <w:rFonts w:ascii="Arial" w:hAnsi="Arial" w:cs="Arial"/>
          <w:color w:val="000000" w:themeColor="text1"/>
          <w:sz w:val="24"/>
          <w:szCs w:val="24"/>
        </w:rPr>
        <w:drawing>
          <wp:inline distT="0" distB="0" distL="0" distR="0" wp14:anchorId="41E82AA5" wp14:editId="02B8CF6A">
            <wp:extent cx="1600200" cy="1539240"/>
            <wp:effectExtent l="0" t="0" r="0" b="3810"/>
            <wp:docPr id="61248571"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1539240"/>
                    </a:xfrm>
                    <a:prstGeom prst="rect">
                      <a:avLst/>
                    </a:prstGeom>
                    <a:noFill/>
                  </pic:spPr>
                </pic:pic>
              </a:graphicData>
            </a:graphic>
          </wp:inline>
        </w:drawing>
      </w:r>
    </w:p>
    <w:p w14:paraId="15C20307" w14:textId="095D8D04" w:rsidR="00DE32A9" w:rsidRPr="006A6222" w:rsidRDefault="00DE32A9" w:rsidP="00451967">
      <w:pPr>
        <w:pStyle w:val="Caption"/>
        <w:spacing w:line="480" w:lineRule="auto"/>
        <w:rPr>
          <w:rFonts w:ascii="Arial" w:hAnsi="Arial" w:cs="Arial"/>
          <w:color w:val="000000" w:themeColor="text1"/>
          <w:sz w:val="20"/>
          <w:szCs w:val="20"/>
          <w:lang w:val="en-US"/>
        </w:rPr>
      </w:pPr>
      <w:r w:rsidRPr="00EF28E1">
        <w:rPr>
          <w:rFonts w:ascii="Arial" w:hAnsi="Arial" w:cs="Arial"/>
          <w:b/>
          <w:bCs/>
          <w:i w:val="0"/>
          <w:iCs w:val="0"/>
          <w:color w:val="000000" w:themeColor="text1"/>
          <w:sz w:val="20"/>
          <w:szCs w:val="20"/>
          <w:lang w:val="en-US"/>
        </w:rPr>
        <w:t xml:space="preserve">Figure </w:t>
      </w:r>
      <w:r w:rsidRPr="00EF28E1">
        <w:rPr>
          <w:rFonts w:ascii="Arial" w:hAnsi="Arial" w:cs="Arial"/>
          <w:b/>
          <w:bCs/>
          <w:i w:val="0"/>
          <w:iCs w:val="0"/>
          <w:color w:val="000000" w:themeColor="text1"/>
          <w:sz w:val="20"/>
          <w:szCs w:val="20"/>
          <w:lang w:val="en-US"/>
        </w:rPr>
        <w:fldChar w:fldCharType="begin"/>
      </w:r>
      <w:r w:rsidRPr="00EF28E1">
        <w:rPr>
          <w:rFonts w:ascii="Arial" w:hAnsi="Arial" w:cs="Arial"/>
          <w:b/>
          <w:bCs/>
          <w:i w:val="0"/>
          <w:iCs w:val="0"/>
          <w:color w:val="000000" w:themeColor="text1"/>
          <w:sz w:val="20"/>
          <w:szCs w:val="20"/>
          <w:lang w:val="en-US"/>
        </w:rPr>
        <w:instrText xml:space="preserve"> SEQ Figure \* ARABIC </w:instrText>
      </w:r>
      <w:r w:rsidRPr="00EF28E1">
        <w:rPr>
          <w:rFonts w:ascii="Arial" w:hAnsi="Arial" w:cs="Arial"/>
          <w:b/>
          <w:bCs/>
          <w:i w:val="0"/>
          <w:iCs w:val="0"/>
          <w:color w:val="000000" w:themeColor="text1"/>
          <w:sz w:val="20"/>
          <w:szCs w:val="20"/>
          <w:lang w:val="en-US"/>
        </w:rPr>
        <w:fldChar w:fldCharType="separate"/>
      </w:r>
      <w:r w:rsidRPr="00EF28E1">
        <w:rPr>
          <w:rFonts w:ascii="Arial" w:hAnsi="Arial" w:cs="Arial"/>
          <w:b/>
          <w:bCs/>
          <w:i w:val="0"/>
          <w:iCs w:val="0"/>
          <w:noProof/>
          <w:color w:val="000000" w:themeColor="text1"/>
          <w:sz w:val="20"/>
          <w:szCs w:val="20"/>
          <w:lang w:val="en-US"/>
        </w:rPr>
        <w:t>1</w:t>
      </w:r>
      <w:r w:rsidRPr="00EF28E1">
        <w:rPr>
          <w:rFonts w:ascii="Arial" w:hAnsi="Arial" w:cs="Arial"/>
          <w:b/>
          <w:bCs/>
          <w:i w:val="0"/>
          <w:iCs w:val="0"/>
          <w:color w:val="000000" w:themeColor="text1"/>
          <w:sz w:val="20"/>
          <w:szCs w:val="20"/>
          <w:lang w:val="en-US"/>
        </w:rPr>
        <w:fldChar w:fldCharType="end"/>
      </w:r>
      <w:r w:rsidRPr="00EF28E1">
        <w:rPr>
          <w:rFonts w:ascii="Arial" w:hAnsi="Arial" w:cs="Arial"/>
          <w:b/>
          <w:bCs/>
          <w:i w:val="0"/>
          <w:iCs w:val="0"/>
          <w:color w:val="000000" w:themeColor="text1"/>
          <w:sz w:val="20"/>
          <w:szCs w:val="20"/>
          <w:lang w:val="en-US"/>
        </w:rPr>
        <w:t>: clinical lesions collected and fungi isolated</w:t>
      </w:r>
      <w:r w:rsidRPr="006A6222">
        <w:rPr>
          <w:rFonts w:ascii="Arial" w:hAnsi="Arial" w:cs="Arial"/>
          <w:color w:val="000000" w:themeColor="text1"/>
          <w:sz w:val="20"/>
          <w:szCs w:val="20"/>
          <w:lang w:val="en-US"/>
        </w:rPr>
        <w:t xml:space="preserve"> </w:t>
      </w:r>
      <w:r w:rsidRPr="00EF28E1">
        <w:rPr>
          <w:rFonts w:ascii="Arial" w:hAnsi="Arial" w:cs="Arial"/>
          <w:i w:val="0"/>
          <w:iCs w:val="0"/>
          <w:color w:val="000000" w:themeColor="text1"/>
          <w:sz w:val="20"/>
          <w:szCs w:val="20"/>
          <w:lang w:val="en-US"/>
        </w:rPr>
        <w:t>(Source</w:t>
      </w:r>
      <w:r w:rsidR="00D7462F" w:rsidRPr="006A6222">
        <w:rPr>
          <w:rFonts w:ascii="Arial" w:hAnsi="Arial" w:cs="Arial"/>
          <w:color w:val="000000" w:themeColor="text1"/>
          <w:sz w:val="20"/>
          <w:szCs w:val="20"/>
          <w:lang w:val="en-US"/>
        </w:rPr>
        <w:fldChar w:fldCharType="begin" w:fldLock="1"/>
      </w:r>
      <w:r w:rsidR="00451D3E">
        <w:rPr>
          <w:rFonts w:ascii="Arial" w:hAnsi="Arial" w:cs="Arial"/>
          <w:color w:val="000000" w:themeColor="text1"/>
          <w:sz w:val="20"/>
          <w:szCs w:val="20"/>
          <w:lang w:val="en-US"/>
        </w:rPr>
        <w:instrText>ADDIN CSL_CITATION {"citationItems":[{"id":"ITEM-1","itemData":{"DOI":"DOI : 10.48327/mtsi.v4i3.2024.545","abstract":"Introduction. Le diagnostic de mycose cutanée superficielle (MCS) est très fréquemment évoqué lors des consultations dermatologiques en zones tropicales, mais la confirmation mycologique y est très peu réalisée en routine. L’objectif de cette étude est de décrire le profil des espèces fongiques rencontrées à l’occasion de consultations de dermatologie à Lomé (Togo), d’en établir leurs fréquences relatives et, surtout, d’en discuter leur responsabilité dans les lésions observées. Méthode. Il s’agit d’une étude descriptive réalisée de février 2020 à mars 2022. Elle a porté sur des patients présentant des lésions suspectes de MCS, reçus en consultation dermatologique dans les trois services de dermatologie de Lomé. Les prélèvements ont été réalisés sur site pour les lésions fortement suspectes de mycoses et analysés au Laboratoire de mycologie du CHU Sylvanus Olympio pour une confirmation biologique. Résultats. Au cours de la période d’étude, 565 patients ont été enrôlés pour prélèvement. Trois cent soixantequatre (64,4 %) étaient des femmes et l’âge médian était de 31 ans, avec un intervalle interquartile (IIQ) de 22 à 41 ans. L’examen direct et/ou la culture ont été positifs chez 84,7 % (479/565) d’entre eux. Les principales espèces fongiques identifiées étaient des levures du genre Malassezia (23,8 %), d’autres levures (39,2 %), mais également des dermatophytes (22,8 %), avec pour espèce prédominante Trichophyton mentagrophytes (10,8 %), et des moisissures (13,1 %) dont Aspergillus niger et A. fumigatus (3,1 % chacun). Les pseudo-dermatophytes n’ont été retrouvés que dans 1 % des cas. Des cas d’associations de mycètes ont été également notés dans 3,5 % des cas. Conclusion. Le spectre des mycètes isolés dans les suspicions de MCS à Lomé est large, mais tous ne peuvent pas être tenus pour responsables des lésions observées. Cette diversité impose donc la réalisation d’un prélèvement mycologique pour une identification précise du mycète devant toute suspicion de MCS. Selon l’espèce isolée, ceci permettra d’adapter au mieux le traitement.","author":[{"dropping-particle":"","family":"Efoé SOSSOU*, Ameyo DORKENOO","given":"Akovi Kiki ADJETEY-TOGLOZOMBIO","non-dropping-particle":"","parse-names":false,"suffix":""}],"container-title":"MÉDECINE TROPICALE ET SANTÉ INTERNATIONALE","id":"ITEM-1","issued":{"date-parts":[["2024"]]},"page":"1-13","title":"Profil des espèces fongiques isolées lors de consultations dermatologiques à Lomé (Togo)","type":"article-journal"},"uris":["http://www.mendeley.com/documents/?uuid=6bbee7ed-7d5b-4475-894f-5cbe8cca4bae"]}],"mendeley":{"formattedCitation":"(Efoé SOSSOU*, Ameyo DORKENOO, 2024)","manualFormatting":"(Efoé Sossou et al., 2024)"},"properties":{"noteIndex":0},"schema":"https://github.com/citation-style-language/schema/raw/master/csl-citation.json"}</w:instrText>
      </w:r>
      <w:r w:rsidR="00D7462F" w:rsidRPr="006A6222">
        <w:rPr>
          <w:rFonts w:ascii="Arial" w:hAnsi="Arial" w:cs="Arial"/>
          <w:color w:val="000000" w:themeColor="text1"/>
          <w:sz w:val="20"/>
          <w:szCs w:val="20"/>
          <w:lang w:val="en-US"/>
        </w:rPr>
        <w:fldChar w:fldCharType="separate"/>
      </w:r>
      <w:r w:rsidR="00422B90" w:rsidRPr="00422B90">
        <w:rPr>
          <w:rFonts w:ascii="Arial" w:hAnsi="Arial" w:cs="Arial"/>
          <w:i w:val="0"/>
          <w:noProof/>
          <w:color w:val="000000" w:themeColor="text1"/>
          <w:sz w:val="20"/>
          <w:szCs w:val="20"/>
          <w:lang w:val="en-US"/>
        </w:rPr>
        <w:t>(Efoé S</w:t>
      </w:r>
      <w:r w:rsidR="00451D3E" w:rsidRPr="00422B90">
        <w:rPr>
          <w:rFonts w:ascii="Arial" w:hAnsi="Arial" w:cs="Arial"/>
          <w:i w:val="0"/>
          <w:noProof/>
          <w:color w:val="000000" w:themeColor="text1"/>
          <w:sz w:val="20"/>
          <w:szCs w:val="20"/>
          <w:lang w:val="en-US"/>
        </w:rPr>
        <w:t>ossou</w:t>
      </w:r>
      <w:r w:rsidR="00422B90">
        <w:rPr>
          <w:rFonts w:ascii="Arial" w:hAnsi="Arial" w:cs="Arial"/>
          <w:i w:val="0"/>
          <w:noProof/>
          <w:color w:val="000000" w:themeColor="text1"/>
          <w:sz w:val="20"/>
          <w:szCs w:val="20"/>
          <w:lang w:val="en-US"/>
        </w:rPr>
        <w:t xml:space="preserve"> </w:t>
      </w:r>
      <w:r w:rsidR="00422B90" w:rsidRPr="000D28CD">
        <w:rPr>
          <w:rFonts w:ascii="Arial" w:hAnsi="Arial" w:cs="Arial"/>
          <w:iCs w:val="0"/>
          <w:noProof/>
          <w:color w:val="000000" w:themeColor="text1"/>
          <w:sz w:val="20"/>
          <w:szCs w:val="20"/>
          <w:lang w:val="en-US"/>
        </w:rPr>
        <w:t>et al</w:t>
      </w:r>
      <w:r w:rsidR="00422B90">
        <w:rPr>
          <w:rFonts w:ascii="Arial" w:hAnsi="Arial" w:cs="Arial"/>
          <w:i w:val="0"/>
          <w:noProof/>
          <w:color w:val="000000" w:themeColor="text1"/>
          <w:sz w:val="20"/>
          <w:szCs w:val="20"/>
          <w:lang w:val="en-US"/>
        </w:rPr>
        <w:t>.</w:t>
      </w:r>
      <w:r w:rsidR="00422B90" w:rsidRPr="00422B90">
        <w:rPr>
          <w:rFonts w:ascii="Arial" w:hAnsi="Arial" w:cs="Arial"/>
          <w:i w:val="0"/>
          <w:noProof/>
          <w:color w:val="000000" w:themeColor="text1"/>
          <w:sz w:val="20"/>
          <w:szCs w:val="20"/>
          <w:lang w:val="en-US"/>
        </w:rPr>
        <w:t>, 2024)</w:t>
      </w:r>
      <w:r w:rsidR="00D7462F" w:rsidRPr="006A6222">
        <w:rPr>
          <w:rFonts w:ascii="Arial" w:hAnsi="Arial" w:cs="Arial"/>
          <w:color w:val="000000" w:themeColor="text1"/>
          <w:sz w:val="20"/>
          <w:szCs w:val="20"/>
          <w:lang w:val="en-US"/>
        </w:rPr>
        <w:fldChar w:fldCharType="end"/>
      </w:r>
      <w:r w:rsidRPr="00EF28E1">
        <w:rPr>
          <w:rFonts w:ascii="Arial" w:hAnsi="Arial" w:cs="Arial"/>
          <w:i w:val="0"/>
          <w:iCs w:val="0"/>
          <w:color w:val="000000" w:themeColor="text1"/>
          <w:sz w:val="20"/>
          <w:szCs w:val="20"/>
          <w:lang w:val="en-US"/>
        </w:rPr>
        <w:t>)</w:t>
      </w:r>
    </w:p>
    <w:p w14:paraId="4EFAEE65" w14:textId="77777777" w:rsidR="00DE32A9" w:rsidRPr="006A6222" w:rsidRDefault="00DE32A9" w:rsidP="00451967">
      <w:pPr>
        <w:spacing w:after="0" w:line="480" w:lineRule="auto"/>
        <w:jc w:val="both"/>
        <w:rPr>
          <w:rFonts w:ascii="Arial" w:hAnsi="Arial" w:cs="Arial"/>
          <w:color w:val="000000" w:themeColor="text1"/>
          <w:sz w:val="20"/>
          <w:szCs w:val="20"/>
          <w:lang w:val="en-US"/>
        </w:rPr>
      </w:pPr>
      <w:r w:rsidRPr="00F35139">
        <w:rPr>
          <w:rFonts w:ascii="Arial" w:hAnsi="Arial" w:cs="Arial"/>
          <w:color w:val="000000" w:themeColor="text1"/>
          <w:sz w:val="20"/>
          <w:szCs w:val="20"/>
          <w:lang w:val="en-US"/>
        </w:rPr>
        <w:t>A:</w:t>
      </w:r>
      <w:r w:rsidRPr="006A6222">
        <w:rPr>
          <w:rFonts w:ascii="Arial" w:hAnsi="Arial" w:cs="Arial"/>
          <w:color w:val="000000" w:themeColor="text1"/>
          <w:sz w:val="24"/>
          <w:szCs w:val="24"/>
          <w:lang w:val="en-US"/>
        </w:rPr>
        <w:t xml:space="preserve"> </w:t>
      </w:r>
      <w:r w:rsidRPr="006A6222">
        <w:rPr>
          <w:rFonts w:ascii="Arial" w:hAnsi="Arial" w:cs="Arial"/>
          <w:color w:val="000000" w:themeColor="text1"/>
          <w:sz w:val="20"/>
          <w:szCs w:val="20"/>
          <w:lang w:val="en-US"/>
        </w:rPr>
        <w:t xml:space="preserve">Onychomycosis of the thumb (hand) </w:t>
      </w:r>
      <w:r w:rsidRPr="006A6222">
        <w:rPr>
          <w:rFonts w:ascii="Arial" w:hAnsi="Arial" w:cs="Arial"/>
          <w:i/>
          <w:iCs/>
          <w:color w:val="000000" w:themeColor="text1"/>
          <w:sz w:val="20"/>
          <w:szCs w:val="20"/>
          <w:lang w:val="en-US"/>
        </w:rPr>
        <w:t>(Candida albicans</w:t>
      </w:r>
      <w:r w:rsidRPr="006A6222">
        <w:rPr>
          <w:rFonts w:ascii="Arial" w:hAnsi="Arial" w:cs="Arial"/>
          <w:color w:val="000000" w:themeColor="text1"/>
          <w:sz w:val="20"/>
          <w:szCs w:val="20"/>
          <w:lang w:val="en-US"/>
        </w:rPr>
        <w:t>)</w:t>
      </w:r>
    </w:p>
    <w:p w14:paraId="0B988424" w14:textId="77777777" w:rsidR="00DE32A9" w:rsidRPr="006A6222" w:rsidRDefault="00DE32A9" w:rsidP="00451967">
      <w:pPr>
        <w:spacing w:after="0" w:line="480" w:lineRule="auto"/>
        <w:jc w:val="both"/>
        <w:rPr>
          <w:rFonts w:ascii="Arial" w:hAnsi="Arial" w:cs="Arial"/>
          <w:color w:val="000000" w:themeColor="text1"/>
          <w:sz w:val="20"/>
          <w:szCs w:val="20"/>
          <w:lang w:val="en-US"/>
        </w:rPr>
      </w:pPr>
      <w:r w:rsidRPr="006A6222">
        <w:rPr>
          <w:rFonts w:ascii="Arial" w:hAnsi="Arial" w:cs="Arial"/>
          <w:color w:val="000000" w:themeColor="text1"/>
          <w:sz w:val="20"/>
          <w:szCs w:val="20"/>
          <w:lang w:val="en-US"/>
        </w:rPr>
        <w:t>B: Hyperkeratosis of foot (</w:t>
      </w:r>
      <w:r w:rsidRPr="006A6222">
        <w:rPr>
          <w:rFonts w:ascii="Arial" w:hAnsi="Arial" w:cs="Arial"/>
          <w:i/>
          <w:iCs/>
          <w:color w:val="000000" w:themeColor="text1"/>
          <w:sz w:val="20"/>
          <w:szCs w:val="20"/>
          <w:lang w:val="en-US"/>
        </w:rPr>
        <w:t>Neosytalidium dimidiatum</w:t>
      </w:r>
      <w:r w:rsidRPr="006A6222">
        <w:rPr>
          <w:rFonts w:ascii="Arial" w:hAnsi="Arial" w:cs="Arial"/>
          <w:color w:val="000000" w:themeColor="text1"/>
          <w:sz w:val="20"/>
          <w:szCs w:val="20"/>
          <w:lang w:val="en-US"/>
        </w:rPr>
        <w:t>)</w:t>
      </w:r>
    </w:p>
    <w:p w14:paraId="75121EAF" w14:textId="77777777" w:rsidR="00DE32A9" w:rsidRPr="006A6222" w:rsidRDefault="00DE32A9" w:rsidP="00451967">
      <w:pPr>
        <w:spacing w:after="0" w:line="480" w:lineRule="auto"/>
        <w:jc w:val="both"/>
        <w:rPr>
          <w:rFonts w:ascii="Arial" w:hAnsi="Arial" w:cs="Arial"/>
          <w:color w:val="000000" w:themeColor="text1"/>
          <w:sz w:val="20"/>
          <w:szCs w:val="20"/>
          <w:lang w:val="en-US"/>
        </w:rPr>
      </w:pPr>
      <w:r w:rsidRPr="006A6222">
        <w:rPr>
          <w:rFonts w:ascii="Arial" w:hAnsi="Arial" w:cs="Arial"/>
          <w:color w:val="000000" w:themeColor="text1"/>
          <w:sz w:val="20"/>
          <w:szCs w:val="20"/>
          <w:lang w:val="en-US"/>
        </w:rPr>
        <w:t>C: Intertrigo of toe (foot) (Trichosporon sp.)</w:t>
      </w:r>
    </w:p>
    <w:p w14:paraId="533015F6" w14:textId="77777777" w:rsidR="00DE32A9" w:rsidRPr="006A6222" w:rsidRDefault="00DE32A9" w:rsidP="00451967">
      <w:pPr>
        <w:spacing w:after="0" w:line="480" w:lineRule="auto"/>
        <w:jc w:val="both"/>
        <w:rPr>
          <w:rFonts w:ascii="Arial" w:hAnsi="Arial" w:cs="Arial"/>
          <w:color w:val="000000" w:themeColor="text1"/>
          <w:sz w:val="20"/>
          <w:szCs w:val="20"/>
          <w:lang w:val="en-US"/>
        </w:rPr>
      </w:pPr>
      <w:r w:rsidRPr="006A6222">
        <w:rPr>
          <w:rFonts w:ascii="Arial" w:hAnsi="Arial" w:cs="Arial"/>
          <w:color w:val="000000" w:themeColor="text1"/>
          <w:sz w:val="20"/>
          <w:szCs w:val="20"/>
          <w:lang w:val="en-US"/>
        </w:rPr>
        <w:t>D: Scalp ringworm (</w:t>
      </w:r>
      <w:r w:rsidRPr="006A6222">
        <w:rPr>
          <w:rFonts w:ascii="Arial" w:hAnsi="Arial" w:cs="Arial"/>
          <w:i/>
          <w:iCs/>
          <w:color w:val="000000" w:themeColor="text1"/>
          <w:sz w:val="20"/>
          <w:szCs w:val="20"/>
          <w:lang w:val="en-US"/>
        </w:rPr>
        <w:t>Microsporum audouinii</w:t>
      </w:r>
      <w:r w:rsidRPr="006A6222">
        <w:rPr>
          <w:rFonts w:ascii="Arial" w:hAnsi="Arial" w:cs="Arial"/>
          <w:color w:val="000000" w:themeColor="text1"/>
          <w:sz w:val="20"/>
          <w:szCs w:val="20"/>
          <w:lang w:val="en-US"/>
        </w:rPr>
        <w:t>)</w:t>
      </w:r>
    </w:p>
    <w:p w14:paraId="76C757E7" w14:textId="77777777" w:rsidR="00DE32A9" w:rsidRPr="006A6222" w:rsidRDefault="00DE32A9" w:rsidP="00451967">
      <w:pPr>
        <w:spacing w:after="0" w:line="480" w:lineRule="auto"/>
        <w:jc w:val="both"/>
        <w:rPr>
          <w:rFonts w:ascii="Arial" w:hAnsi="Arial" w:cs="Arial"/>
          <w:color w:val="000000" w:themeColor="text1"/>
          <w:sz w:val="20"/>
          <w:szCs w:val="20"/>
          <w:lang w:val="en-US"/>
        </w:rPr>
      </w:pPr>
      <w:r w:rsidRPr="006A6222">
        <w:rPr>
          <w:rFonts w:ascii="Arial" w:hAnsi="Arial" w:cs="Arial"/>
          <w:color w:val="000000" w:themeColor="text1"/>
          <w:sz w:val="20"/>
          <w:szCs w:val="20"/>
          <w:lang w:val="en-US"/>
        </w:rPr>
        <w:t>E: Epidermophytia (</w:t>
      </w:r>
      <w:r w:rsidRPr="006A6222">
        <w:rPr>
          <w:rFonts w:ascii="Arial" w:hAnsi="Arial" w:cs="Arial"/>
          <w:i/>
          <w:iCs/>
          <w:color w:val="000000" w:themeColor="text1"/>
          <w:sz w:val="20"/>
          <w:szCs w:val="20"/>
          <w:lang w:val="en-US"/>
        </w:rPr>
        <w:t>Trichophyton mentagrophytes</w:t>
      </w:r>
      <w:r w:rsidRPr="006A6222">
        <w:rPr>
          <w:rFonts w:ascii="Arial" w:hAnsi="Arial" w:cs="Arial"/>
          <w:color w:val="000000" w:themeColor="text1"/>
          <w:sz w:val="20"/>
          <w:szCs w:val="20"/>
          <w:lang w:val="en-US"/>
        </w:rPr>
        <w:t>)</w:t>
      </w:r>
    </w:p>
    <w:p w14:paraId="58843B71" w14:textId="77777777" w:rsidR="00DE32A9" w:rsidRPr="006A6222" w:rsidRDefault="00DE32A9" w:rsidP="00451967">
      <w:pPr>
        <w:spacing w:after="0" w:line="480" w:lineRule="auto"/>
        <w:jc w:val="both"/>
        <w:rPr>
          <w:rFonts w:ascii="Arial" w:hAnsi="Arial" w:cs="Arial"/>
          <w:color w:val="000000" w:themeColor="text1"/>
          <w:sz w:val="20"/>
          <w:szCs w:val="20"/>
          <w:lang w:val="en-US"/>
        </w:rPr>
      </w:pPr>
      <w:r w:rsidRPr="006A6222">
        <w:rPr>
          <w:rFonts w:ascii="Arial" w:hAnsi="Arial" w:cs="Arial"/>
          <w:color w:val="000000" w:themeColor="text1"/>
          <w:sz w:val="20"/>
          <w:szCs w:val="20"/>
          <w:lang w:val="en-US"/>
        </w:rPr>
        <w:t>F: Pityriasis versicolor (Malassezia sp.)</w:t>
      </w:r>
    </w:p>
    <w:p w14:paraId="63E94813" w14:textId="77777777" w:rsidR="00DE32A9" w:rsidRPr="006A6222" w:rsidRDefault="00DE32A9" w:rsidP="00451967">
      <w:pPr>
        <w:spacing w:line="480" w:lineRule="auto"/>
        <w:jc w:val="both"/>
        <w:rPr>
          <w:rFonts w:ascii="Arial" w:hAnsi="Arial" w:cs="Arial"/>
          <w:sz w:val="20"/>
          <w:szCs w:val="20"/>
        </w:rPr>
      </w:pPr>
      <w:r w:rsidRPr="006A6222">
        <w:rPr>
          <w:rFonts w:ascii="Arial" w:hAnsi="Arial" w:cs="Arial"/>
          <w:color w:val="000000" w:themeColor="text1"/>
          <w:sz w:val="20"/>
          <w:szCs w:val="20"/>
          <w:lang w:val="en-US"/>
        </w:rPr>
        <w:t>G: Onychomycosis of toes (foot) (Curvularia sp.)</w:t>
      </w:r>
    </w:p>
    <w:bookmarkEnd w:id="9"/>
    <w:p w14:paraId="5A3A5090" w14:textId="4F364869" w:rsidR="00806D12" w:rsidRPr="00F35139" w:rsidRDefault="00806D12" w:rsidP="00F35139">
      <w:pPr>
        <w:pStyle w:val="Heading3"/>
        <w:keepNext w:val="0"/>
        <w:keepLines w:val="0"/>
        <w:numPr>
          <w:ilvl w:val="1"/>
          <w:numId w:val="4"/>
        </w:numPr>
        <w:spacing w:before="0" w:line="480" w:lineRule="auto"/>
        <w:rPr>
          <w:rFonts w:ascii="Arial" w:eastAsia="Times New Roman" w:hAnsi="Arial" w:cs="Arial"/>
          <w:b/>
          <w:bCs/>
          <w:noProof w:val="0"/>
          <w:color w:val="auto"/>
          <w:kern w:val="0"/>
          <w:sz w:val="22"/>
          <w:szCs w:val="22"/>
          <w:lang w:val="en-US" w:eastAsia="en-ZA"/>
          <w14:ligatures w14:val="none"/>
        </w:rPr>
      </w:pPr>
      <w:r w:rsidRPr="00F35139">
        <w:rPr>
          <w:rFonts w:ascii="Arial" w:eastAsia="Times New Roman" w:hAnsi="Arial" w:cs="Arial"/>
          <w:b/>
          <w:bCs/>
          <w:noProof w:val="0"/>
          <w:color w:val="auto"/>
          <w:kern w:val="0"/>
          <w:sz w:val="22"/>
          <w:szCs w:val="22"/>
          <w:lang w:val="en-US" w:eastAsia="en-ZA"/>
          <w14:ligatures w14:val="none"/>
        </w:rPr>
        <w:t>Routine mycological examination</w:t>
      </w:r>
    </w:p>
    <w:p w14:paraId="6229A968" w14:textId="33F98AB6" w:rsidR="00B65807" w:rsidRPr="006A6222" w:rsidRDefault="006006B4" w:rsidP="00451967">
      <w:pPr>
        <w:spacing w:line="480" w:lineRule="auto"/>
        <w:jc w:val="both"/>
        <w:rPr>
          <w:rFonts w:ascii="Arial" w:hAnsi="Arial" w:cs="Arial"/>
          <w:sz w:val="20"/>
          <w:szCs w:val="20"/>
        </w:rPr>
      </w:pPr>
      <w:r w:rsidRPr="006A6222">
        <w:rPr>
          <w:rFonts w:ascii="Arial" w:hAnsi="Arial" w:cs="Arial"/>
          <w:sz w:val="20"/>
          <w:szCs w:val="20"/>
        </w:rPr>
        <w:t>In the mycology laboratories of the two university hospitals, samples collected in a sterile Petri dish were processed as follows: One part was used for direct examination in physiological saline solution (for swabs) or in 10</w:t>
      </w:r>
      <w:r w:rsidR="00067FCC" w:rsidRPr="006A6222">
        <w:rPr>
          <w:rFonts w:ascii="Arial" w:hAnsi="Arial" w:cs="Arial"/>
          <w:sz w:val="20"/>
          <w:szCs w:val="20"/>
        </w:rPr>
        <w:t xml:space="preserve"> </w:t>
      </w:r>
      <w:r w:rsidRPr="006A6222">
        <w:rPr>
          <w:rFonts w:ascii="Arial" w:hAnsi="Arial" w:cs="Arial"/>
          <w:sz w:val="20"/>
          <w:szCs w:val="20"/>
        </w:rPr>
        <w:t>% potassium hydroxide solution for 20-30 min (for other types of samples)</w:t>
      </w:r>
      <w:r w:rsidR="0001211A" w:rsidRPr="006A6222">
        <w:rPr>
          <w:rFonts w:ascii="Arial" w:hAnsi="Arial" w:cs="Arial"/>
          <w:sz w:val="20"/>
          <w:szCs w:val="20"/>
        </w:rPr>
        <w:t xml:space="preserve"> using light </w:t>
      </w:r>
      <w:r w:rsidR="00AE1593" w:rsidRPr="006A6222">
        <w:rPr>
          <w:rFonts w:ascii="Arial" w:hAnsi="Arial" w:cs="Arial"/>
          <w:sz w:val="20"/>
          <w:szCs w:val="20"/>
        </w:rPr>
        <w:t>microscopy</w:t>
      </w:r>
      <w:r w:rsidRPr="006A6222">
        <w:rPr>
          <w:rFonts w:ascii="Arial" w:hAnsi="Arial" w:cs="Arial"/>
          <w:sz w:val="20"/>
          <w:szCs w:val="20"/>
        </w:rPr>
        <w:t>. The second part was seeded on Sabouraud dextrose agar (SDA) medium supplemented with chloramphenicol 0.5 g/l (SC medium) and on SDA medium supplemented with chloramphenicol 0.5 g/l and cycloheximide 0.4 g/l (S</w:t>
      </w:r>
      <w:r w:rsidR="00E12949" w:rsidRPr="006A6222">
        <w:rPr>
          <w:rFonts w:ascii="Arial" w:hAnsi="Arial" w:cs="Arial"/>
          <w:sz w:val="20"/>
          <w:szCs w:val="20"/>
        </w:rPr>
        <w:t>AC</w:t>
      </w:r>
      <w:r w:rsidRPr="006A6222">
        <w:rPr>
          <w:rFonts w:ascii="Arial" w:hAnsi="Arial" w:cs="Arial"/>
          <w:sz w:val="20"/>
          <w:szCs w:val="20"/>
        </w:rPr>
        <w:t xml:space="preserve"> medium) respectively, and incubated at 25</w:t>
      </w:r>
      <w:r w:rsidR="00067FCC" w:rsidRPr="006A6222">
        <w:rPr>
          <w:rFonts w:ascii="Arial" w:hAnsi="Arial" w:cs="Arial"/>
          <w:sz w:val="20"/>
          <w:szCs w:val="20"/>
        </w:rPr>
        <w:t xml:space="preserve"> </w:t>
      </w:r>
      <w:r w:rsidRPr="006A6222">
        <w:rPr>
          <w:rFonts w:ascii="Arial" w:hAnsi="Arial" w:cs="Arial"/>
          <w:sz w:val="20"/>
          <w:szCs w:val="20"/>
        </w:rPr>
        <w:t>°C</w:t>
      </w:r>
      <w:r w:rsidR="00D867D2"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{"citationItems":[{"id":"ITEM-1","itemData":{"DOI":"10.4081/mm.2020.9156","abstract":"Tegument mycoses are classified into three groups: 1) Superficial skin mycoses or superficial mycoses: infections sustained by fungi limited to the skin horny layer or the hair extrafollicular portion, without a significant inflammatory response in the host. 2) Skin mycoses (dermatophytosis) sensu stricto: fungal infections in which skin and its annexes, at the level of the keratinized layers, are involved with an evident immune response by the host 3) Mycosis of the subcutaneous tissue: fungal infections that mainly affect the subcutaneous tissue and secondarily, by contiguity, skin, bones and other tissues, with a strong immune response by the host [...].","author":[{"dropping-particle":"","family":"Lombardi","given":"Gianluigi","non-dropping-particle":"","parse-names":false,"suffix":""},{"dropping-particle":"","family":"Cascio","given":"Giuliana","non-dropping-particle":"Lo","parse-names":false,"suffix":""},{"dropping-particle":"","family":"Andreoni","given":"Stefano","non-dropping-particle":"","parse-names":false,"suffix":""},{"dropping-particle":"","family":"Blasi","given":"Elisabetta","non-dropping-particle":"","parse-names":false,"suffix":""},{"dropping-particle":"","family":"Conte","given":"Marco","non-dropping-particle":"","parse-names":false,"suffix":""},{"dropping-particle":"","family":"Farina","given":"Claudio","non-dropping-particle":"","parse-names":false,"suffix":""},{"dropping-particle":"","family":"Fazii","given":"Paolo","non-dropping-particle":"","parse-names":false,"suffix":""},{"dropping-particle":"","family":"Sanna","given":"Silvana","non-dropping-particle":"","parse-names":false,"suffix":""},{"dropping-particle":"","family":"Trovato","given":"Laura","non-dropping-particle":"","parse-names":false,"suffix":""}],"container-title":"Microbiologia Medica","id":"ITEM-1","issue":"1","issued":{"date-parts":[["2020"]]},"title":"Superficial and subcutaneous mycoses","type":"article-journal","volume":"35"},"uris":["http://www.mendeley.com/documents/?uuid=e33e2681-15da-461f-b788-46a34abc299a"]},{"id":"ITEM-2","itemData":{"DOI":"https://doi.org/10.3390/jof10070447","abstract":"Abstract: Invasive fungal diseases (IFDs) comprise a growing healthcare burden, especially given the expanding population of immunocompromised hosts. Early diagnosis of IFDs is required to optimise therapy with antifungals, especially in the setting of rising rates of antifungal resistance. Molecular techniques including nucleic acid amplification tests and whole genome sequencing have potential to offer utility in overcoming limitations with traditional phenotypic testing. However, standardisation of methodology and interpretations of these assays is an ongoing undertaking. The utility of targeted Aspergillus detection has been well-defined, with progress in investigations into the role of targeted assays for Candida, Pneumocystis, Cryptococcus, the Mucorales and endemic mycoses. Likewise, whilst broad-range polymerase chain reaction assays have been in use for some time, pathology stewardship and optimising diagnostic yield is a continuing exercise. As costs decrease, there is also now increased access and experience with whole genome sequencing, including metagenomic sequencing, which offers unparalleled resolution especially in the investigations of potential outbreaks. However, their role in routine diagnostic use remains uncommon and standardisation of techniques and workflow are required for wider implementation. Citation:","author":[{"dropping-particle":"","family":"Pham","given":"David","non-dropping-particle":"","parse-names":false,"suffix":""},{"dropping-particle":"","family":"Sivalingam","given":"Varsha","non-dropping-particle":"","parse-names":false,"suffix":""},{"dropping-particle":"","family":"Tang","given":"Helen M","non-dropping-particle":"","parse-names":false,"suffix":""},{"dropping-particle":"","family":"Montgomery","given":"James M","non-dropping-particle":"","parse-names":false,"suffix":""},{"dropping-particle":"","family":"Chen","given":"Sharon C","non-dropping-particle":"","parse-names":false,"suffix":""},{"dropping-particle":"","family":"Halliday","given":"Catriona L","non-dropping-particle":"","parse-names":false,"suffix":""}],"container-title":"J. Fungi","id":"ITEM-2","issue":"10","issued":{"date-parts":[["2024"]]},"page":"1-31","title":"Molecular Diagnostics for Invasive Fungal Diseases : Current and Future Approaches","type":"article-journal"},"uris":["http://www.mendeley.com/documents/?uuid=323cdb23-8093-42bc-806e-934efa694bdd"]}],"mendeley":{"formattedCitation":"(Lombardi et al., 2020; Pham et al., 2024)","plainTextFormattedCitation":"(Lombardi et al., 2020; Pham et al., 2024)","previouslyFormattedCitation":"(Lombardi et al., 2020; Pham et al., 2024)"},"properties":{"noteIndex":0},"schema":"https://github.com/citation-style-language/schema/raw/master/csl-citation.json"}</w:instrText>
      </w:r>
      <w:r w:rsidR="00D867D2" w:rsidRPr="006A6222">
        <w:rPr>
          <w:rFonts w:ascii="Arial" w:hAnsi="Arial" w:cs="Arial"/>
          <w:sz w:val="20"/>
          <w:szCs w:val="20"/>
        </w:rPr>
        <w:fldChar w:fldCharType="separate"/>
      </w:r>
      <w:r w:rsidR="00DA7D66" w:rsidRPr="006A6222">
        <w:rPr>
          <w:rFonts w:ascii="Arial" w:hAnsi="Arial" w:cs="Arial"/>
          <w:sz w:val="20"/>
          <w:szCs w:val="20"/>
        </w:rPr>
        <w:t xml:space="preserve">(Lombardi </w:t>
      </w:r>
      <w:r w:rsidR="00DA7D66" w:rsidRPr="00422B90">
        <w:rPr>
          <w:rFonts w:ascii="Arial" w:hAnsi="Arial" w:cs="Arial"/>
          <w:i/>
          <w:iCs/>
          <w:sz w:val="20"/>
          <w:szCs w:val="20"/>
        </w:rPr>
        <w:t>et al.</w:t>
      </w:r>
      <w:r w:rsidR="00DA7D66" w:rsidRPr="006A6222">
        <w:rPr>
          <w:rFonts w:ascii="Arial" w:hAnsi="Arial" w:cs="Arial"/>
          <w:sz w:val="20"/>
          <w:szCs w:val="20"/>
        </w:rPr>
        <w:t xml:space="preserve">, 2020; Pham </w:t>
      </w:r>
      <w:r w:rsidR="00DA7D66" w:rsidRPr="00422B90">
        <w:rPr>
          <w:rFonts w:ascii="Arial" w:hAnsi="Arial" w:cs="Arial"/>
          <w:i/>
          <w:iCs/>
          <w:sz w:val="20"/>
          <w:szCs w:val="20"/>
        </w:rPr>
        <w:t>et al.</w:t>
      </w:r>
      <w:r w:rsidR="00DA7D66" w:rsidRPr="006A6222">
        <w:rPr>
          <w:rFonts w:ascii="Arial" w:hAnsi="Arial" w:cs="Arial"/>
          <w:sz w:val="20"/>
          <w:szCs w:val="20"/>
        </w:rPr>
        <w:t>, 2024)</w:t>
      </w:r>
      <w:r w:rsidR="00D867D2" w:rsidRPr="006A6222">
        <w:rPr>
          <w:rFonts w:ascii="Arial" w:hAnsi="Arial" w:cs="Arial"/>
          <w:sz w:val="20"/>
          <w:szCs w:val="20"/>
        </w:rPr>
        <w:fldChar w:fldCharType="end"/>
      </w:r>
      <w:r w:rsidR="00806D12" w:rsidRPr="006A6222">
        <w:rPr>
          <w:rFonts w:ascii="Arial" w:hAnsi="Arial" w:cs="Arial"/>
          <w:sz w:val="20"/>
          <w:szCs w:val="20"/>
        </w:rPr>
        <w:t xml:space="preserve">. Cultures were </w:t>
      </w:r>
      <w:r w:rsidR="001F3E4B" w:rsidRPr="006A6222">
        <w:rPr>
          <w:rFonts w:ascii="Arial" w:hAnsi="Arial" w:cs="Arial"/>
          <w:sz w:val="20"/>
          <w:szCs w:val="20"/>
        </w:rPr>
        <w:t xml:space="preserve">monitored </w:t>
      </w:r>
      <w:r w:rsidR="00806D12" w:rsidRPr="006A6222">
        <w:rPr>
          <w:rFonts w:ascii="Arial" w:hAnsi="Arial" w:cs="Arial"/>
          <w:sz w:val="20"/>
          <w:szCs w:val="20"/>
        </w:rPr>
        <w:t>visually every day for 30 days</w:t>
      </w:r>
      <w:r w:rsidR="008E27F7" w:rsidRPr="006A6222">
        <w:rPr>
          <w:rFonts w:ascii="Arial" w:hAnsi="Arial" w:cs="Arial"/>
          <w:sz w:val="20"/>
          <w:szCs w:val="20"/>
        </w:rPr>
        <w:t>. For</w:t>
      </w:r>
      <w:r w:rsidR="00806D12" w:rsidRPr="006A6222">
        <w:rPr>
          <w:rFonts w:ascii="Arial" w:hAnsi="Arial" w:cs="Arial"/>
          <w:sz w:val="20"/>
          <w:szCs w:val="20"/>
        </w:rPr>
        <w:t xml:space="preserve"> each positive culture</w:t>
      </w:r>
      <w:r w:rsidR="00FB3B5C" w:rsidRPr="006A6222">
        <w:rPr>
          <w:rFonts w:ascii="Arial" w:hAnsi="Arial" w:cs="Arial"/>
          <w:sz w:val="20"/>
          <w:szCs w:val="20"/>
        </w:rPr>
        <w:t>,</w:t>
      </w:r>
      <w:r w:rsidR="00806D12" w:rsidRPr="006A6222">
        <w:rPr>
          <w:rFonts w:ascii="Arial" w:hAnsi="Arial" w:cs="Arial"/>
          <w:sz w:val="20"/>
          <w:szCs w:val="20"/>
        </w:rPr>
        <w:t xml:space="preserve"> the fungal species were identified bas</w:t>
      </w:r>
      <w:r w:rsidR="00616270" w:rsidRPr="006A6222">
        <w:rPr>
          <w:rFonts w:ascii="Arial" w:hAnsi="Arial" w:cs="Arial"/>
          <w:sz w:val="20"/>
          <w:szCs w:val="20"/>
        </w:rPr>
        <w:t>ed on</w:t>
      </w:r>
      <w:r w:rsidR="00806D12" w:rsidRPr="006A6222">
        <w:rPr>
          <w:rFonts w:ascii="Arial" w:hAnsi="Arial" w:cs="Arial"/>
          <w:sz w:val="20"/>
          <w:szCs w:val="20"/>
        </w:rPr>
        <w:t xml:space="preserve"> </w:t>
      </w:r>
      <w:r w:rsidR="00D961F2" w:rsidRPr="006A6222">
        <w:rPr>
          <w:rFonts w:ascii="Arial" w:hAnsi="Arial" w:cs="Arial"/>
          <w:sz w:val="20"/>
          <w:szCs w:val="20"/>
        </w:rPr>
        <w:t xml:space="preserve">the </w:t>
      </w:r>
      <w:r w:rsidR="00806D12" w:rsidRPr="006A6222">
        <w:rPr>
          <w:rFonts w:ascii="Arial" w:hAnsi="Arial" w:cs="Arial"/>
          <w:sz w:val="20"/>
          <w:szCs w:val="20"/>
        </w:rPr>
        <w:t>re</w:t>
      </w:r>
      <w:r w:rsidR="00FB3B5C" w:rsidRPr="006A6222">
        <w:rPr>
          <w:rFonts w:ascii="Arial" w:hAnsi="Arial" w:cs="Arial"/>
          <w:sz w:val="20"/>
          <w:szCs w:val="20"/>
        </w:rPr>
        <w:t xml:space="preserve">sults of </w:t>
      </w:r>
      <w:r w:rsidR="00806D12" w:rsidRPr="006A6222">
        <w:rPr>
          <w:rFonts w:ascii="Arial" w:hAnsi="Arial" w:cs="Arial"/>
          <w:sz w:val="20"/>
          <w:szCs w:val="20"/>
        </w:rPr>
        <w:t>direct examination</w:t>
      </w:r>
      <w:r w:rsidR="00BC4CB6" w:rsidRPr="006A6222">
        <w:rPr>
          <w:rFonts w:ascii="Arial" w:hAnsi="Arial" w:cs="Arial"/>
          <w:sz w:val="20"/>
          <w:szCs w:val="20"/>
        </w:rPr>
        <w:t xml:space="preserve"> such us</w:t>
      </w:r>
      <w:r w:rsidR="00B26FA4" w:rsidRPr="006A6222">
        <w:rPr>
          <w:rFonts w:ascii="Arial" w:hAnsi="Arial" w:cs="Arial"/>
          <w:sz w:val="20"/>
          <w:szCs w:val="20"/>
        </w:rPr>
        <w:t xml:space="preserve"> the </w:t>
      </w:r>
      <w:r w:rsidR="00806D12" w:rsidRPr="006A6222">
        <w:rPr>
          <w:rFonts w:ascii="Arial" w:hAnsi="Arial" w:cs="Arial"/>
          <w:sz w:val="20"/>
          <w:szCs w:val="20"/>
        </w:rPr>
        <w:t xml:space="preserve">growth rate, </w:t>
      </w:r>
      <w:r w:rsidR="00616270" w:rsidRPr="006A6222">
        <w:rPr>
          <w:rFonts w:ascii="Arial" w:hAnsi="Arial" w:cs="Arial"/>
          <w:sz w:val="20"/>
          <w:szCs w:val="20"/>
        </w:rPr>
        <w:t>colonies</w:t>
      </w:r>
      <w:r w:rsidR="00242E5F" w:rsidRPr="006A6222">
        <w:rPr>
          <w:rFonts w:ascii="Arial" w:hAnsi="Arial" w:cs="Arial"/>
          <w:sz w:val="20"/>
          <w:szCs w:val="20"/>
        </w:rPr>
        <w:t>,</w:t>
      </w:r>
      <w:r w:rsidR="00616270" w:rsidRPr="006A6222">
        <w:rPr>
          <w:rFonts w:ascii="Arial" w:hAnsi="Arial" w:cs="Arial"/>
          <w:sz w:val="20"/>
          <w:szCs w:val="20"/>
        </w:rPr>
        <w:t xml:space="preserve"> and all phenotypical characteristics of the isolates</w:t>
      </w:r>
      <w:r w:rsidR="00422B90">
        <w:rPr>
          <w:rFonts w:ascii="Arial" w:hAnsi="Arial" w:cs="Arial"/>
          <w:sz w:val="20"/>
          <w:szCs w:val="20"/>
          <w:vertAlign w:val="superscript"/>
        </w:rPr>
        <w:t xml:space="preserve"> </w:t>
      </w:r>
      <w:r w:rsidR="00422B90">
        <w:rPr>
          <w:rFonts w:ascii="Arial" w:hAnsi="Arial" w:cs="Arial"/>
          <w:sz w:val="20"/>
          <w:szCs w:val="20"/>
          <w:vertAlign w:val="superscript"/>
        </w:rPr>
        <w:fldChar w:fldCharType="begin" w:fldLock="1"/>
      </w:r>
      <w:r w:rsidR="00422B90">
        <w:rPr>
          <w:rFonts w:ascii="Arial" w:hAnsi="Arial" w:cs="Arial"/>
          <w:sz w:val="20"/>
          <w:szCs w:val="20"/>
          <w:vertAlign w:val="superscript"/>
        </w:rPr>
        <w:instrText>ADDIN CSL_CITATION {"citationItems":[{"id":"ITEM-1","itemData":{"DOI":"10.3390/molecules25204775.","author":[{"dropping-particle":"","family":"Tsuchida S, Umemura H","given":"Nakayama T.","non-dropping-particle":"","parse-names":false,"suffix":""}],"container-title":"Molecules","id":"ITEM-1","issue":"25(20)","issued":{"date-parts":[["2023"]]},"page":"4775","title":"Current Status of Matrix-Assisted Laser Desorption/Ionization-Time-of-Flight Mass Spectrometry (MALDI-TOF MS) in Clinical Diagnostic Microbiology","type":"article-journal","volume":"17"},"uris":["http://www.mendeley.com/documents/?uuid=1745608f-4c66-470c-b4ac-498c727cbb0e"]}],"mendeley":{"formattedCitation":"(Tsuchida S, Umemura H, 2023)","manualFormatting":"(Tsuchida S, et al., 2023)","plainTextFormattedCitation":"(Tsuchida S, Umemura H, 2023)"},"properties":{"noteIndex":0},"schema":"https://github.com/citation-style-language/schema/raw/master/csl-citation.json"}</w:instrText>
      </w:r>
      <w:r w:rsidR="00422B90">
        <w:rPr>
          <w:rFonts w:ascii="Arial" w:hAnsi="Arial" w:cs="Arial"/>
          <w:sz w:val="20"/>
          <w:szCs w:val="20"/>
          <w:vertAlign w:val="superscript"/>
        </w:rPr>
        <w:fldChar w:fldCharType="separate"/>
      </w:r>
      <w:r w:rsidR="00422B90" w:rsidRPr="00422B90">
        <w:rPr>
          <w:rFonts w:ascii="Arial" w:hAnsi="Arial" w:cs="Arial"/>
          <w:sz w:val="20"/>
          <w:szCs w:val="20"/>
        </w:rPr>
        <w:t xml:space="preserve">(Tsuchida S, </w:t>
      </w:r>
      <w:r w:rsidR="00422B90" w:rsidRPr="00422B90">
        <w:rPr>
          <w:rFonts w:ascii="Arial" w:hAnsi="Arial" w:cs="Arial"/>
          <w:i/>
          <w:iCs/>
          <w:sz w:val="20"/>
          <w:szCs w:val="20"/>
        </w:rPr>
        <w:t>et al</w:t>
      </w:r>
      <w:r w:rsidR="00422B90">
        <w:rPr>
          <w:rFonts w:ascii="Arial" w:hAnsi="Arial" w:cs="Arial"/>
          <w:sz w:val="20"/>
          <w:szCs w:val="20"/>
        </w:rPr>
        <w:t>.</w:t>
      </w:r>
      <w:r w:rsidR="00422B90" w:rsidRPr="00422B90">
        <w:rPr>
          <w:rFonts w:ascii="Arial" w:hAnsi="Arial" w:cs="Arial"/>
          <w:sz w:val="20"/>
          <w:szCs w:val="20"/>
        </w:rPr>
        <w:t>, 2023)</w:t>
      </w:r>
      <w:r w:rsidR="00422B90">
        <w:rPr>
          <w:rFonts w:ascii="Arial" w:hAnsi="Arial" w:cs="Arial"/>
          <w:sz w:val="20"/>
          <w:szCs w:val="20"/>
          <w:vertAlign w:val="superscript"/>
        </w:rPr>
        <w:fldChar w:fldCharType="end"/>
      </w:r>
      <w:r w:rsidR="007A7F25" w:rsidRPr="006A6222">
        <w:rPr>
          <w:rFonts w:ascii="Arial" w:hAnsi="Arial" w:cs="Arial"/>
          <w:sz w:val="20"/>
          <w:szCs w:val="20"/>
        </w:rPr>
        <w:t xml:space="preserve"> </w:t>
      </w:r>
      <w:r w:rsidR="00383ED0" w:rsidRPr="006A6222">
        <w:rPr>
          <w:rFonts w:ascii="Arial" w:hAnsi="Arial" w:cs="Arial"/>
          <w:sz w:val="20"/>
          <w:szCs w:val="20"/>
        </w:rPr>
        <w:t>(Figure 2)</w:t>
      </w:r>
      <w:r w:rsidR="00806D12" w:rsidRPr="006A6222">
        <w:rPr>
          <w:rFonts w:ascii="Arial" w:hAnsi="Arial" w:cs="Arial"/>
          <w:sz w:val="20"/>
          <w:szCs w:val="20"/>
        </w:rPr>
        <w:t>.</w:t>
      </w:r>
      <w:r w:rsidR="00B9130A" w:rsidRPr="006A6222">
        <w:rPr>
          <w:rFonts w:ascii="Arial" w:hAnsi="Arial" w:cs="Arial"/>
          <w:sz w:val="20"/>
          <w:szCs w:val="20"/>
        </w:rPr>
        <w:t xml:space="preserve"> </w:t>
      </w:r>
      <w:r w:rsidR="00806D12" w:rsidRPr="006A6222">
        <w:rPr>
          <w:rFonts w:ascii="Arial" w:hAnsi="Arial" w:cs="Arial"/>
          <w:sz w:val="20"/>
          <w:szCs w:val="20"/>
        </w:rPr>
        <w:t xml:space="preserve">For </w:t>
      </w:r>
      <w:r w:rsidR="00806D12" w:rsidRPr="006A6222">
        <w:rPr>
          <w:rFonts w:ascii="Arial" w:hAnsi="Arial" w:cs="Arial"/>
          <w:sz w:val="20"/>
          <w:szCs w:val="20"/>
        </w:rPr>
        <w:lastRenderedPageBreak/>
        <w:t>fungi of the Candida genus, the use of specific chromogenic media (Candi s</w:t>
      </w:r>
      <w:r w:rsidR="00224937" w:rsidRPr="006A6222">
        <w:rPr>
          <w:rFonts w:ascii="Arial" w:hAnsi="Arial" w:cs="Arial"/>
          <w:sz w:val="20"/>
          <w:szCs w:val="20"/>
        </w:rPr>
        <w:t>e</w:t>
      </w:r>
      <w:r w:rsidR="00806D12" w:rsidRPr="006A6222">
        <w:rPr>
          <w:rFonts w:ascii="Arial" w:hAnsi="Arial" w:cs="Arial"/>
          <w:sz w:val="20"/>
          <w:szCs w:val="20"/>
        </w:rPr>
        <w:t>lect®) (BIOMEDICAL PRO, Lomé-Togo) enabled further discrimination between the different species</w:t>
      </w:r>
      <w:r w:rsidR="00B03573" w:rsidRPr="006A6222">
        <w:rPr>
          <w:rFonts w:ascii="Arial" w:hAnsi="Arial" w:cs="Arial"/>
          <w:sz w:val="20"/>
          <w:szCs w:val="20"/>
        </w:rPr>
        <w:t xml:space="preserve"> while for fungi of the Malassezia genus, identification was done based on results of the direct examination only</w:t>
      </w:r>
      <w:r w:rsidR="00806D12" w:rsidRPr="006A6222">
        <w:rPr>
          <w:rFonts w:ascii="Arial" w:hAnsi="Arial" w:cs="Arial"/>
          <w:sz w:val="20"/>
          <w:szCs w:val="20"/>
        </w:rPr>
        <w:t>.</w:t>
      </w:r>
      <w:r w:rsidR="007F494C" w:rsidRPr="006A6222">
        <w:rPr>
          <w:rFonts w:ascii="Arial" w:hAnsi="Arial" w:cs="Arial"/>
          <w:sz w:val="20"/>
          <w:szCs w:val="20"/>
        </w:rPr>
        <w:t xml:space="preserve"> </w:t>
      </w:r>
      <w:r w:rsidR="00EE4F03" w:rsidRPr="006A6222">
        <w:rPr>
          <w:rFonts w:ascii="Arial" w:hAnsi="Arial" w:cs="Arial"/>
          <w:sz w:val="20"/>
          <w:szCs w:val="20"/>
        </w:rPr>
        <w:t>Isolates were then stored in glycerol at -80</w:t>
      </w:r>
      <w:r w:rsidR="00067FCC" w:rsidRPr="006A6222">
        <w:rPr>
          <w:rFonts w:ascii="Arial" w:hAnsi="Arial" w:cs="Arial"/>
          <w:sz w:val="20"/>
          <w:szCs w:val="20"/>
        </w:rPr>
        <w:t xml:space="preserve"> </w:t>
      </w:r>
      <w:r w:rsidR="00EE4F03" w:rsidRPr="006A6222">
        <w:rPr>
          <w:rFonts w:ascii="Arial" w:hAnsi="Arial" w:cs="Arial"/>
          <w:sz w:val="20"/>
          <w:szCs w:val="20"/>
        </w:rPr>
        <w:t>°C for up to three months, then transported to Paris for sub-culture and confirmation by MS.</w:t>
      </w:r>
      <w:bookmarkStart w:id="10" w:name="_Hlk193405640"/>
    </w:p>
    <w:p w14:paraId="34D2F4DA" w14:textId="3B44CEB6" w:rsidR="00737017" w:rsidRPr="006A6222" w:rsidRDefault="00F35139" w:rsidP="00451967">
      <w:pPr>
        <w:spacing w:line="480" w:lineRule="auto"/>
        <w:jc w:val="both"/>
        <w:rPr>
          <w:rFonts w:ascii="Arial" w:hAnsi="Arial" w:cs="Arial"/>
          <w:lang w:val="en-US"/>
        </w:rPr>
      </w:pPr>
      <w:r w:rsidRPr="006A6222">
        <w:rPr>
          <w:rFonts w:ascii="Arial" w:hAnsi="Arial" w:cs="Arial"/>
          <w:color w:val="FF0000"/>
        </w:rPr>
        <mc:AlternateContent>
          <mc:Choice Requires="wps">
            <w:drawing>
              <wp:anchor distT="0" distB="0" distL="114300" distR="114300" simplePos="0" relativeHeight="251667456" behindDoc="0" locked="0" layoutInCell="1" allowOverlap="1" wp14:anchorId="0439797C" wp14:editId="69F2B1A9">
                <wp:simplePos x="0" y="0"/>
                <wp:positionH relativeFrom="column">
                  <wp:posOffset>83616</wp:posOffset>
                </wp:positionH>
                <wp:positionV relativeFrom="paragraph">
                  <wp:posOffset>116145</wp:posOffset>
                </wp:positionV>
                <wp:extent cx="269240" cy="292735"/>
                <wp:effectExtent l="0" t="0" r="16510" b="12065"/>
                <wp:wrapNone/>
                <wp:docPr id="243986055" name="Rectangle 25"/>
                <wp:cNvGraphicFramePr/>
                <a:graphic xmlns:a="http://schemas.openxmlformats.org/drawingml/2006/main">
                  <a:graphicData uri="http://schemas.microsoft.com/office/word/2010/wordprocessingShape">
                    <wps:wsp>
                      <wps:cNvSpPr/>
                      <wps:spPr>
                        <a:xfrm>
                          <a:off x="0" y="0"/>
                          <a:ext cx="269240" cy="29273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E0DDC2C" w14:textId="77777777" w:rsidR="00737017" w:rsidRDefault="00737017" w:rsidP="00737017">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9797C" id="Rectangle 25" o:spid="_x0000_s1034" style="position:absolute;left:0;text-align:left;margin-left:6.6pt;margin-top:9.15pt;width:21.2pt;height:2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lyVAIAAP0EAAAOAAAAZHJzL2Uyb0RvYy54bWysVE1v2zAMvQ/YfxB0X5x4bdoEdYqgRYcB&#10;RVusHXpWZKkxJksaxcTOfv0o2XGyLqdhF5kS+fj56KvrtjZsqyBUzhZ8Mhpzpqx0ZWXfCv795e7T&#10;JWcBhS2FcVYVfKcCv158/HDV+LnK3dqZUgEjJzbMG1/wNaKfZ1mQa1WLMHJeWVJqB7VAusJbVoJo&#10;yHttsnw8nmaNg9KDkyoEer3tlHyR/GutJD5qHRQyU3DKDdMJ6VzFM1tcifkbCL+uZJ+G+IcsalFZ&#10;Cjq4uhUo2Aaqv1zVlQQXnMaRdHXmtK6kSjVQNZPxu2qe18KrVAs1J/ihTeH/uZUP22f/BNSGxod5&#10;IDFW0Wqo45fyY21q1m5olmqRSXrMp7P8jFoqSZXP8ovP57GZ2QHsIeAX5WoWhYIDzSK1SGzvA3am&#10;exPCHcInCXdGxQyM/aY0q8oYMKETM9SNAbYVNFMhpbI47UMn6wjTlTEDcHIKaHDSg3rbCFOJMQNw&#10;fAr4Z8QBkaI6iwO4rqyDUw7KH0Pkzn5ffVdzLB/bVUtFF/wy5hhfVq7cPQED1zE4eHlXUVvvRcAn&#10;AURZmgStIT7SoY1rCu56ibO1g1+n3qM9MYm0nDW0AgUPPzcCFGfmqyWOzSZnccCYLmfnFzld4Fiz&#10;OtbYTX3jaCITWngvkxjt0exFDa5+pW1dxqikElZS7IJLhP3lBrvVpH2XarlMZrQnXuC9ffYyOo99&#10;jrR5aV8F+J5bSKR8cPt1EfN3FOtsI9K65QadrhL/Dn3tJ0A7lhjc/w/iEh/fk9Xhr7X4DQAA//8D&#10;AFBLAwQUAAYACAAAACEAdCRzRdsAAAAHAQAADwAAAGRycy9kb3ducmV2LnhtbEyOzU7DMBCE70i8&#10;g7VI3KjTpo1KiFMVUOEK5e+6jZckIl5HsdOGt2c5wWk0mtHMV2wm16kjDaH1bGA+S0ARV962XBt4&#10;fdldrUGFiGyx80wGvinApjw/KzC3/sTPdNzHWskIhxwNNDH2udahashhmPmeWLJPPziMYoda2wFP&#10;Mu46vUiSTDtsWR4a7OmuoeprPzoDY/Vw+1H326f7XcqP2s+v3du7NebyYtregIo0xb8y/OILOpTC&#10;dPAj26A68elCmqLrFJTkq1UG6mAgWy5Bl4X+z1/+AAAA//8DAFBLAQItABQABgAIAAAAIQC2gziS&#10;/gAAAOEBAAATAAAAAAAAAAAAAAAAAAAAAABbQ29udGVudF9UeXBlc10ueG1sUEsBAi0AFAAGAAgA&#10;AAAhADj9If/WAAAAlAEAAAsAAAAAAAAAAAAAAAAALwEAAF9yZWxzLy5yZWxzUEsBAi0AFAAGAAgA&#10;AAAhABnOWXJUAgAA/QQAAA4AAAAAAAAAAAAAAAAALgIAAGRycy9lMm9Eb2MueG1sUEsBAi0AFAAG&#10;AAgAAAAhAHQkc0XbAAAABwEAAA8AAAAAAAAAAAAAAAAArgQAAGRycy9kb3ducmV2LnhtbFBLBQYA&#10;AAAABAAEAPMAAAC2BQAAAAA=&#10;" fillcolor="white [3201]" strokecolor="#70ad47 [3209]" strokeweight="1pt">
                <v:textbox>
                  <w:txbxContent>
                    <w:p w14:paraId="4E0DDC2C" w14:textId="77777777" w:rsidR="00737017" w:rsidRDefault="00737017" w:rsidP="00737017">
                      <w:pPr>
                        <w:jc w:val="center"/>
                      </w:pPr>
                      <w:r>
                        <w:t>A</w:t>
                      </w:r>
                    </w:p>
                  </w:txbxContent>
                </v:textbox>
              </v:rect>
            </w:pict>
          </mc:Fallback>
        </mc:AlternateContent>
      </w:r>
      <w:r w:rsidR="00737017" w:rsidRPr="006A6222">
        <w:rPr>
          <w:rFonts w:ascii="Arial" w:hAnsi="Arial" w:cs="Arial"/>
          <w:color w:val="FF0000"/>
        </w:rPr>
        <mc:AlternateContent>
          <mc:Choice Requires="wps">
            <w:drawing>
              <wp:anchor distT="0" distB="0" distL="114300" distR="114300" simplePos="0" relativeHeight="251668480" behindDoc="0" locked="0" layoutInCell="1" allowOverlap="1" wp14:anchorId="04C8D10B" wp14:editId="22DAD1F0">
                <wp:simplePos x="0" y="0"/>
                <wp:positionH relativeFrom="column">
                  <wp:posOffset>2568024</wp:posOffset>
                </wp:positionH>
                <wp:positionV relativeFrom="paragraph">
                  <wp:posOffset>116145</wp:posOffset>
                </wp:positionV>
                <wp:extent cx="281305" cy="293298"/>
                <wp:effectExtent l="0" t="0" r="23495" b="12065"/>
                <wp:wrapNone/>
                <wp:docPr id="982575398" name="Rectangle 26"/>
                <wp:cNvGraphicFramePr/>
                <a:graphic xmlns:a="http://schemas.openxmlformats.org/drawingml/2006/main">
                  <a:graphicData uri="http://schemas.microsoft.com/office/word/2010/wordprocessingShape">
                    <wps:wsp>
                      <wps:cNvSpPr/>
                      <wps:spPr>
                        <a:xfrm>
                          <a:off x="0" y="0"/>
                          <a:ext cx="281305" cy="293298"/>
                        </a:xfrm>
                        <a:prstGeom prst="rect">
                          <a:avLst/>
                        </a:prstGeom>
                      </wps:spPr>
                      <wps:style>
                        <a:lnRef idx="2">
                          <a:schemeClr val="accent6"/>
                        </a:lnRef>
                        <a:fillRef idx="1">
                          <a:schemeClr val="lt1"/>
                        </a:fillRef>
                        <a:effectRef idx="0">
                          <a:schemeClr val="accent6"/>
                        </a:effectRef>
                        <a:fontRef idx="minor">
                          <a:schemeClr val="dk1"/>
                        </a:fontRef>
                      </wps:style>
                      <wps:txbx>
                        <w:txbxContent>
                          <w:p w14:paraId="46042951" w14:textId="77777777" w:rsidR="00737017" w:rsidRDefault="00737017" w:rsidP="00737017">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8D10B" id="Rectangle 26" o:spid="_x0000_s1035" style="position:absolute;left:0;text-align:left;margin-left:202.2pt;margin-top:9.15pt;width:22.15pt;height:2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WlVQIAAP0EAAAOAAAAZHJzL2Uyb0RvYy54bWysVEtv2zAMvg/YfxB0Xx2njzVBnSJI0WFA&#10;0QZrh54VWUqMyaJGKbGzXz9Kdpyuy2nYRSZFfnzpo29u29qwnUJfgS14fjbiTFkJZWXXBf/+cv/p&#10;mjMfhC2FAasKvlee384+frhp3FSNYQOmVMgoiPXTxhV8E4KbZpmXG1ULfwZOWTJqwFoEUnGdlSga&#10;il6bbDwaXWUNYOkQpPKebu86I5+l+ForGZ609iowU3CqLaQT07mKZza7EdM1CrepZF+G+IcqalFZ&#10;SjqEuhNBsC1Wf4WqK4ngQYczCXUGWldSpR6om3z0rpvnjXAq9ULD8W4Yk/9/YeXj7tktkcbQOD/1&#10;JMYuWo11/FJ9rE3D2g/DUm1gki7H1/n56JIzSabx5Hw8uY7DzI5ghz58UVCzKBQc6S3SiMTuwYfO&#10;9eBCuGP6JIW9UbECY78pzaoyJkzoxAy1MMh2gt5USKlsuOpTJ+8I05UxAzA/BTQh70G9b4SpxJgB&#10;ODoF/DPjgEhZwYYBXFcW8FSA8seQufM/dN/1HNsP7aqlpgs+iTXGmxWU+yUyhI7B3sn7isb6IHxY&#10;CiTKErlpDcMTHdpAU3DoJc42gL9O3Ud/YhJZOWtoBQruf24FKs7MV0scm+QXF3FnknJx+XlMCr61&#10;rN5a7LZeAL1ITgvvZBKjfzAHUSPUr7St85iVTMJKyl1wGfCgLEK3mrTvUs3nyY32xInwYJ+djMHj&#10;nCNtXtpXga7nViBSPsJhXcT0HcU634i0MN8G0FXi33Gu/QvQjiUG9/+DuMRv9eR1/GvNfgMAAP//&#10;AwBQSwMEFAAGAAgAAAAhANtW3TfdAAAACQEAAA8AAABkcnMvZG93bnJldi54bWxMj8FOwzAQRO9I&#10;/IO1SNyo09aUNMSpWlDpFQqUqxsvSUS8jmKnDX/PcoLjap5m3uar0bXihH1oPGmYThIQSKW3DVUa&#10;3l63NymIEA1Z03pCDd8YYFVcXuQms/5ML3jax0pwCYXMaKhj7DIpQ1mjM2HiOyTOPn3vTOSzr6Tt&#10;zZnLXStnSbKQzjTEC7Xp8KHG8ms/OA1D+bT5qLr18+N2Tjvpp0v3frBaX1+N63sQEcf4B8OvPqtD&#10;wU5HP5ANotWgEqUY5SCdg2BAqfQOxFHDQt2CLHL5/4PiBwAA//8DAFBLAQItABQABgAIAAAAIQC2&#10;gziS/gAAAOEBAAATAAAAAAAAAAAAAAAAAAAAAABbQ29udGVudF9UeXBlc10ueG1sUEsBAi0AFAAG&#10;AAgAAAAhADj9If/WAAAAlAEAAAsAAAAAAAAAAAAAAAAALwEAAF9yZWxzLy5yZWxzUEsBAi0AFAAG&#10;AAgAAAAhAIZQdaVVAgAA/QQAAA4AAAAAAAAAAAAAAAAALgIAAGRycy9lMm9Eb2MueG1sUEsBAi0A&#10;FAAGAAgAAAAhANtW3TfdAAAACQEAAA8AAAAAAAAAAAAAAAAArwQAAGRycy9kb3ducmV2LnhtbFBL&#10;BQYAAAAABAAEAPMAAAC5BQAAAAA=&#10;" fillcolor="white [3201]" strokecolor="#70ad47 [3209]" strokeweight="1pt">
                <v:textbox>
                  <w:txbxContent>
                    <w:p w14:paraId="46042951" w14:textId="77777777" w:rsidR="00737017" w:rsidRDefault="00737017" w:rsidP="00737017">
                      <w:pPr>
                        <w:jc w:val="center"/>
                      </w:pPr>
                      <w:r>
                        <w:t>B</w:t>
                      </w:r>
                    </w:p>
                  </w:txbxContent>
                </v:textbox>
              </v:rect>
            </w:pict>
          </mc:Fallback>
        </mc:AlternateContent>
      </w:r>
      <w:r w:rsidR="00737017" w:rsidRPr="006A6222">
        <w:rPr>
          <w:rFonts w:ascii="Arial" w:hAnsi="Arial" w:cs="Arial"/>
          <w:color w:val="FF0000"/>
          <w:lang w:val="en-US"/>
        </w:rPr>
        <w:drawing>
          <wp:inline distT="0" distB="0" distL="0" distR="0" wp14:anchorId="21E7E0BD" wp14:editId="57A586BB">
            <wp:extent cx="2415540" cy="2331720"/>
            <wp:effectExtent l="0" t="0" r="3810" b="0"/>
            <wp:docPr id="778475218"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5540" cy="2331720"/>
                    </a:xfrm>
                    <a:prstGeom prst="rect">
                      <a:avLst/>
                    </a:prstGeom>
                    <a:noFill/>
                  </pic:spPr>
                </pic:pic>
              </a:graphicData>
            </a:graphic>
          </wp:inline>
        </w:drawing>
      </w:r>
      <w:r w:rsidR="00737017" w:rsidRPr="006A6222">
        <w:rPr>
          <w:rFonts w:ascii="Arial" w:hAnsi="Arial" w:cs="Arial"/>
          <w:color w:val="FF0000"/>
          <w:lang w:val="en-US"/>
        </w:rPr>
        <w:t xml:space="preserve"> </w:t>
      </w:r>
      <w:r w:rsidR="00737017" w:rsidRPr="006A6222">
        <w:rPr>
          <w:rFonts w:ascii="Arial" w:hAnsi="Arial" w:cs="Arial"/>
          <w:color w:val="FF0000"/>
          <w:lang w:val="en-US"/>
        </w:rPr>
        <w:drawing>
          <wp:inline distT="0" distB="0" distL="0" distR="0" wp14:anchorId="042E8622" wp14:editId="07DC83CC">
            <wp:extent cx="2468880" cy="2331720"/>
            <wp:effectExtent l="0" t="0" r="7620" b="0"/>
            <wp:docPr id="1222515023"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8880" cy="2331720"/>
                    </a:xfrm>
                    <a:prstGeom prst="rect">
                      <a:avLst/>
                    </a:prstGeom>
                    <a:noFill/>
                  </pic:spPr>
                </pic:pic>
              </a:graphicData>
            </a:graphic>
          </wp:inline>
        </w:drawing>
      </w:r>
    </w:p>
    <w:p w14:paraId="1C081242" w14:textId="77777777" w:rsidR="00737017" w:rsidRPr="006A6222" w:rsidRDefault="00737017" w:rsidP="00451967">
      <w:pPr>
        <w:spacing w:line="480" w:lineRule="auto"/>
        <w:jc w:val="both"/>
        <w:rPr>
          <w:rFonts w:ascii="Arial" w:hAnsi="Arial" w:cs="Arial"/>
          <w:color w:val="FF0000"/>
          <w:lang w:val="en-US"/>
        </w:rPr>
      </w:pPr>
      <w:r w:rsidRPr="006A6222">
        <w:rPr>
          <w:rFonts w:ascii="Arial" w:hAnsi="Arial" w:cs="Arial"/>
          <w:color w:val="FF0000"/>
        </w:rPr>
        <mc:AlternateContent>
          <mc:Choice Requires="wps">
            <w:drawing>
              <wp:anchor distT="0" distB="0" distL="114300" distR="114300" simplePos="0" relativeHeight="251669504" behindDoc="0" locked="0" layoutInCell="1" allowOverlap="1" wp14:anchorId="31B8DA7D" wp14:editId="1BA2BBCA">
                <wp:simplePos x="0" y="0"/>
                <wp:positionH relativeFrom="column">
                  <wp:posOffset>262255</wp:posOffset>
                </wp:positionH>
                <wp:positionV relativeFrom="paragraph">
                  <wp:posOffset>243205</wp:posOffset>
                </wp:positionV>
                <wp:extent cx="269240" cy="295275"/>
                <wp:effectExtent l="0" t="0" r="16510" b="28575"/>
                <wp:wrapNone/>
                <wp:docPr id="688113286" name="Rectangle 27"/>
                <wp:cNvGraphicFramePr/>
                <a:graphic xmlns:a="http://schemas.openxmlformats.org/drawingml/2006/main">
                  <a:graphicData uri="http://schemas.microsoft.com/office/word/2010/wordprocessingShape">
                    <wps:wsp>
                      <wps:cNvSpPr/>
                      <wps:spPr>
                        <a:xfrm>
                          <a:off x="0" y="0"/>
                          <a:ext cx="26924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DB1C96A" w14:textId="77777777" w:rsidR="00737017" w:rsidRDefault="00737017" w:rsidP="00737017">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B8DA7D" id="Rectangle 27" o:spid="_x0000_s1036" style="position:absolute;left:0;text-align:left;margin-left:20.65pt;margin-top:19.15pt;width:21.2pt;height:23.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9MxVAIAAP4EAAAOAAAAZHJzL2Uyb0RvYy54bWysVMFu2zAMvQ/YPwi6L06Mpl2COkXQosOA&#10;oi2WDj0rstQYk0WNUmJnXz9Kdpysy2nYRSZFPlIkH31909aG7RT6CmzBJ6MxZ8pKKCv7VvDvL/ef&#10;PnPmg7ClMGBVwffK85vFxw/XjZurHDZgSoWMglg/b1zBNyG4eZZ5uVG18CNwypJRA9YikIpvWYmi&#10;oei1yfLx+DJrAEuHIJX3dHvXGfkixddayfCktVeBmYLT20I6MZ3reGaLazF/Q+E2leyfIf7hFbWo&#10;LCUdQt2JINgWq79C1ZVE8KDDSEKdgdaVVKkGqmYyflfNaiOcSrVQc7wb2uT/X1j5uFu5Z6Q2NM7P&#10;PYmxilZjHb/0PtamZu2HZqk2MEmX+eUsv6CWSjLls2l+NY3NzI5ghz58UVCzKBQcaRapRWL34EPn&#10;enAh3DF9ksLeqPgCY78pzaoyJkzoxAx1a5DtBM1USKlsuOxTJ+8I05UxA3ByDmjCpAf1vhGmEmMG&#10;4Pgc8M+MAyJlBRsGcF1ZwHMByh9D5s7/UH1Xcyw/tOuWiqaFSgyNV2so98/IEDoKeyfvK+rrg/Dh&#10;WSBxlkZBexie6NAGmoJDL3G2Afx17j76E5XIyllDO1Bw/3MrUHFmvloi2WxyESccknIxvcpJwVPL&#10;+tRit/Ut0EgmtPFOJjH6B3MQNUL9Suu6jFnJJKyk3AWXAQ/Kbeh2kxZequUyudGiOBEe7MrJGDw2&#10;OvLmpX0V6HpyBWLlIxz2RczfcazzjUgLy20AXSUCHvvaj4CWLFG4/yHELT7Vk9fxt7X4DQAA//8D&#10;AFBLAwQUAAYACAAAACEABH5/DtoAAAAHAQAADwAAAGRycy9kb3ducmV2LnhtbEyOzU7DMBCE70i8&#10;g7VI3KgTUkEI2VQFVLiW8nd14yWJiNdR7LTh7VlOcBqNZjTzlavZ9epAY+g8I6SLBBRx7W3HDcLr&#10;y+YiBxWiYWt6z4TwTQFW1elJaQrrj/xMh11slIxwKAxCG+NQaB3qlpwJCz8QS/bpR2ei2LHRdjRH&#10;GXe9vkySK+1Mx/LQmoHuW6q/dpNDmOrHu49mWG8fNhk/aZ/euLd3i3h+Nq9vQUWa418ZfvEFHSph&#10;2vuJbVA9wjLNpImQ5aKS59k1qL3oMgddlfo/f/UDAAD//wMAUEsBAi0AFAAGAAgAAAAhALaDOJL+&#10;AAAA4QEAABMAAAAAAAAAAAAAAAAAAAAAAFtDb250ZW50X1R5cGVzXS54bWxQSwECLQAUAAYACAAA&#10;ACEAOP0h/9YAAACUAQAACwAAAAAAAAAAAAAAAAAvAQAAX3JlbHMvLnJlbHNQSwECLQAUAAYACAAA&#10;ACEAj1/TMVQCAAD+BAAADgAAAAAAAAAAAAAAAAAuAgAAZHJzL2Uyb0RvYy54bWxQSwECLQAUAAYA&#10;CAAAACEABH5/DtoAAAAHAQAADwAAAAAAAAAAAAAAAACuBAAAZHJzL2Rvd25yZXYueG1sUEsFBgAA&#10;AAAEAAQA8wAAALUFAAAAAA==&#10;" fillcolor="white [3201]" strokecolor="#70ad47 [3209]" strokeweight="1pt">
                <v:textbox>
                  <w:txbxContent>
                    <w:p w14:paraId="7DB1C96A" w14:textId="77777777" w:rsidR="00737017" w:rsidRDefault="00737017" w:rsidP="00737017">
                      <w:pPr>
                        <w:jc w:val="center"/>
                      </w:pPr>
                      <w:r>
                        <w:t>C</w:t>
                      </w:r>
                    </w:p>
                  </w:txbxContent>
                </v:textbox>
              </v:rect>
            </w:pict>
          </mc:Fallback>
        </mc:AlternateContent>
      </w:r>
      <w:r w:rsidRPr="006A6222">
        <w:rPr>
          <w:rFonts w:ascii="Arial" w:hAnsi="Arial" w:cs="Arial"/>
          <w:color w:val="FF0000"/>
        </w:rPr>
        <mc:AlternateContent>
          <mc:Choice Requires="wps">
            <w:drawing>
              <wp:anchor distT="0" distB="0" distL="114300" distR="114300" simplePos="0" relativeHeight="251670528" behindDoc="0" locked="0" layoutInCell="1" allowOverlap="1" wp14:anchorId="4D0AE7B5" wp14:editId="3667F4DA">
                <wp:simplePos x="0" y="0"/>
                <wp:positionH relativeFrom="column">
                  <wp:posOffset>2643505</wp:posOffset>
                </wp:positionH>
                <wp:positionV relativeFrom="paragraph">
                  <wp:posOffset>271780</wp:posOffset>
                </wp:positionV>
                <wp:extent cx="287020" cy="256540"/>
                <wp:effectExtent l="0" t="0" r="17780" b="10160"/>
                <wp:wrapNone/>
                <wp:docPr id="1630304046" name="Rectangle 28"/>
                <wp:cNvGraphicFramePr/>
                <a:graphic xmlns:a="http://schemas.openxmlformats.org/drawingml/2006/main">
                  <a:graphicData uri="http://schemas.microsoft.com/office/word/2010/wordprocessingShape">
                    <wps:wsp>
                      <wps:cNvSpPr/>
                      <wps:spPr>
                        <a:xfrm>
                          <a:off x="0" y="0"/>
                          <a:ext cx="287020" cy="2565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71AA" w14:textId="77777777" w:rsidR="00737017" w:rsidRDefault="00737017" w:rsidP="00737017">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AE7B5" id="Rectangle 28" o:spid="_x0000_s1037" style="position:absolute;left:0;text-align:left;margin-left:208.15pt;margin-top:21.4pt;width:22.6pt;height:2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C9kVgIAAP4EAAAOAAAAZHJzL2Uyb0RvYy54bWysVE1v2zAMvQ/YfxB0X50E/VpQpwhadBhQ&#10;tMXSoWdFlhpjsqhRTOzs149SHKfrchp2kUmRjxTJR19dd40TG4OxBl/K8clICuM1VLV/LeX357tP&#10;l1JEUr5SDrwp5dZEeT37+OGqDVMzgRW4yqDgID5O21DKFVGYFkXUK9OoeALBeDZawEYRq/haVKha&#10;jt64YjIanRctYBUQtImRb293RjnL8a01mh6tjYaEKyW/jfKJ+Vyms5hdqekrqrCqdf8M9Q+vaFTt&#10;OekQ6laREmus/wrV1BohgqUTDU0B1tba5Bq4mvHoXTWLlQom18LNiWFoU/x/YfXDZhGekNvQhjiN&#10;LKYqOotN+vL7RJebtR2aZToSmi8nlxejCbdUs2lydn52mptZHMABI30x0IgklBJ5FrlFanMfiROy&#10;696FlUP6LNHWmfQC578ZK+oqJczozAxz41BsFM9UaW08nac5crzsnWC2dm4Ajo8BHY17UO+bYCYz&#10;ZgCOjgH/zDggclbwNICb2gMeC1D9GDLv/PfV72pO5VO37LhoXqjsmq6WUG2fUCDsKByDvqu5r/cq&#10;0pNC5iyPgveQHvmwDtpSQi9JsQL8dew++TOV2CpFyztQyvhzrdBI4b56Jtnn8SlPVVBWTs8u0rjx&#10;rWX51uLXzQ3wSMa88UFnMfmT24sWoXnhdZ2nrGxSXnPuUmrCvXJDu93khddmPs9uvChB0b1fBJ2C&#10;p0Yn3jx3LwpDTy5iVj7Afl/U9B3Hdr4J6WG+JrB1JuChr/0IeMkyj/ofQtrit3r2Ovy2Zr8BAAD/&#10;/wMAUEsDBBQABgAIAAAAIQCQzWap3gAAAAkBAAAPAAAAZHJzL2Rvd25yZXYueG1sTI/LTsMwEEX3&#10;SP0Hayqxo86jjUqIUxVQYVvKa+vGQxIRj6PYacPfM6zKbkZzdOfcYjPZTpxw8K0jBfEiAoFUOdNS&#10;reDtdXezBuGDJqM7R6jgBz1sytlVoXPjzvSCp0OoBYeQz7WCJoQ+l9JXDVrtF65H4tuXG6wOvA61&#10;NIM+c7jtZBJFmbS6Jf7Q6B4fGqy+D6NVMFZP9591v90/7lJ6li6+te8fRqnr+bS9AxFwChcY/vRZ&#10;HUp2OrqRjBedgmWcpYzykHAFBpZZvAJxVLBOE5BlIf83KH8BAAD//wMAUEsBAi0AFAAGAAgAAAAh&#10;ALaDOJL+AAAA4QEAABMAAAAAAAAAAAAAAAAAAAAAAFtDb250ZW50X1R5cGVzXS54bWxQSwECLQAU&#10;AAYACAAAACEAOP0h/9YAAACUAQAACwAAAAAAAAAAAAAAAAAvAQAAX3JlbHMvLnJlbHNQSwECLQAU&#10;AAYACAAAACEAeFwvZFYCAAD+BAAADgAAAAAAAAAAAAAAAAAuAgAAZHJzL2Uyb0RvYy54bWxQSwEC&#10;LQAUAAYACAAAACEAkM1mqd4AAAAJAQAADwAAAAAAAAAAAAAAAACwBAAAZHJzL2Rvd25yZXYueG1s&#10;UEsFBgAAAAAEAAQA8wAAALsFAAAAAA==&#10;" fillcolor="white [3201]" strokecolor="#70ad47 [3209]" strokeweight="1pt">
                <v:textbox>
                  <w:txbxContent>
                    <w:p w14:paraId="25E371AA" w14:textId="77777777" w:rsidR="00737017" w:rsidRDefault="00737017" w:rsidP="00737017">
                      <w:pPr>
                        <w:jc w:val="center"/>
                      </w:pPr>
                      <w:r>
                        <w:t>D</w:t>
                      </w:r>
                    </w:p>
                  </w:txbxContent>
                </v:textbox>
              </v:rect>
            </w:pict>
          </mc:Fallback>
        </mc:AlternateContent>
      </w:r>
      <w:r w:rsidRPr="006A6222">
        <w:rPr>
          <w:rFonts w:ascii="Arial" w:hAnsi="Arial" w:cs="Arial"/>
          <w:color w:val="FF0000"/>
          <w:lang w:val="en-US"/>
        </w:rPr>
        <w:drawing>
          <wp:inline distT="0" distB="0" distL="0" distR="0" wp14:anchorId="4D2930D4" wp14:editId="4043027E">
            <wp:extent cx="2461260" cy="2148840"/>
            <wp:effectExtent l="0" t="0" r="0" b="3810"/>
            <wp:docPr id="216495259"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61260" cy="2148840"/>
                    </a:xfrm>
                    <a:prstGeom prst="rect">
                      <a:avLst/>
                    </a:prstGeom>
                    <a:noFill/>
                  </pic:spPr>
                </pic:pic>
              </a:graphicData>
            </a:graphic>
          </wp:inline>
        </w:drawing>
      </w:r>
      <w:r w:rsidRPr="006A6222">
        <w:rPr>
          <w:rFonts w:ascii="Arial" w:hAnsi="Arial" w:cs="Arial"/>
          <w:color w:val="FF0000"/>
          <w:lang w:val="en-US"/>
        </w:rPr>
        <w:t xml:space="preserve"> </w:t>
      </w:r>
      <w:r w:rsidRPr="006A6222">
        <w:rPr>
          <w:rFonts w:ascii="Arial" w:hAnsi="Arial" w:cs="Arial"/>
          <w:color w:val="FF0000"/>
          <w:lang w:val="en-US"/>
        </w:rPr>
        <w:drawing>
          <wp:inline distT="0" distB="0" distL="0" distR="0" wp14:anchorId="65C36E91" wp14:editId="1575A5DE">
            <wp:extent cx="2484120" cy="2148840"/>
            <wp:effectExtent l="0" t="0" r="0" b="3810"/>
            <wp:docPr id="201524765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84120" cy="2148840"/>
                    </a:xfrm>
                    <a:prstGeom prst="rect">
                      <a:avLst/>
                    </a:prstGeom>
                    <a:noFill/>
                  </pic:spPr>
                </pic:pic>
              </a:graphicData>
            </a:graphic>
          </wp:inline>
        </w:drawing>
      </w:r>
    </w:p>
    <w:p w14:paraId="7CB13741" w14:textId="77777777" w:rsidR="00737017" w:rsidRPr="00EF28E1" w:rsidRDefault="00737017" w:rsidP="00451967">
      <w:pPr>
        <w:pStyle w:val="Caption"/>
        <w:spacing w:line="480" w:lineRule="auto"/>
        <w:rPr>
          <w:rFonts w:ascii="Arial" w:hAnsi="Arial" w:cs="Arial"/>
          <w:b/>
          <w:bCs/>
          <w:i w:val="0"/>
          <w:iCs w:val="0"/>
          <w:color w:val="000000" w:themeColor="text1"/>
          <w:sz w:val="20"/>
          <w:szCs w:val="20"/>
          <w:lang w:val="en-US"/>
        </w:rPr>
      </w:pPr>
      <w:r w:rsidRPr="00EF28E1">
        <w:rPr>
          <w:rFonts w:ascii="Arial" w:hAnsi="Arial" w:cs="Arial"/>
          <w:b/>
          <w:bCs/>
          <w:i w:val="0"/>
          <w:iCs w:val="0"/>
          <w:color w:val="000000" w:themeColor="text1"/>
          <w:sz w:val="20"/>
          <w:szCs w:val="20"/>
          <w:lang w:val="en-US"/>
        </w:rPr>
        <w:t xml:space="preserve">Figure </w:t>
      </w:r>
      <w:r w:rsidRPr="00EF28E1">
        <w:rPr>
          <w:rFonts w:ascii="Arial" w:hAnsi="Arial" w:cs="Arial"/>
          <w:b/>
          <w:bCs/>
          <w:i w:val="0"/>
          <w:iCs w:val="0"/>
          <w:color w:val="000000" w:themeColor="text1"/>
          <w:sz w:val="20"/>
          <w:szCs w:val="20"/>
        </w:rPr>
        <w:fldChar w:fldCharType="begin"/>
      </w:r>
      <w:r w:rsidRPr="00EF28E1">
        <w:rPr>
          <w:rFonts w:ascii="Arial" w:hAnsi="Arial" w:cs="Arial"/>
          <w:b/>
          <w:bCs/>
          <w:i w:val="0"/>
          <w:iCs w:val="0"/>
          <w:color w:val="000000" w:themeColor="text1"/>
          <w:sz w:val="20"/>
          <w:szCs w:val="20"/>
          <w:lang w:val="en-US"/>
        </w:rPr>
        <w:instrText xml:space="preserve"> SEQ Figure \* ARABIC </w:instrText>
      </w:r>
      <w:r w:rsidRPr="00EF28E1">
        <w:rPr>
          <w:rFonts w:ascii="Arial" w:hAnsi="Arial" w:cs="Arial"/>
          <w:b/>
          <w:bCs/>
          <w:i w:val="0"/>
          <w:iCs w:val="0"/>
          <w:color w:val="000000" w:themeColor="text1"/>
          <w:sz w:val="20"/>
          <w:szCs w:val="20"/>
        </w:rPr>
        <w:fldChar w:fldCharType="separate"/>
      </w:r>
      <w:r w:rsidRPr="00EF28E1">
        <w:rPr>
          <w:rFonts w:ascii="Arial" w:hAnsi="Arial" w:cs="Arial"/>
          <w:b/>
          <w:bCs/>
          <w:i w:val="0"/>
          <w:iCs w:val="0"/>
          <w:noProof/>
          <w:color w:val="000000" w:themeColor="text1"/>
          <w:sz w:val="20"/>
          <w:szCs w:val="20"/>
          <w:lang w:val="en-US"/>
        </w:rPr>
        <w:t>2</w:t>
      </w:r>
      <w:r w:rsidRPr="00EF28E1">
        <w:rPr>
          <w:rFonts w:ascii="Arial" w:hAnsi="Arial" w:cs="Arial"/>
          <w:b/>
          <w:bCs/>
          <w:i w:val="0"/>
          <w:iCs w:val="0"/>
          <w:color w:val="000000" w:themeColor="text1"/>
          <w:sz w:val="20"/>
          <w:szCs w:val="20"/>
        </w:rPr>
        <w:fldChar w:fldCharType="end"/>
      </w:r>
      <w:r w:rsidRPr="00EF28E1">
        <w:rPr>
          <w:rFonts w:ascii="Arial" w:hAnsi="Arial" w:cs="Arial"/>
          <w:b/>
          <w:bCs/>
          <w:i w:val="0"/>
          <w:iCs w:val="0"/>
          <w:color w:val="000000" w:themeColor="text1"/>
          <w:sz w:val="20"/>
          <w:szCs w:val="20"/>
          <w:lang w:val="en-US"/>
        </w:rPr>
        <w:t>: Microscopic appearance of culture isolates (Source Photo E. Sossou 2022)</w:t>
      </w:r>
    </w:p>
    <w:p w14:paraId="35A1AB2E" w14:textId="77777777" w:rsidR="00737017" w:rsidRPr="006A6222" w:rsidRDefault="00737017" w:rsidP="00451967">
      <w:pPr>
        <w:spacing w:after="0" w:line="480" w:lineRule="auto"/>
        <w:jc w:val="both"/>
        <w:rPr>
          <w:rFonts w:ascii="Arial" w:hAnsi="Arial" w:cs="Arial"/>
          <w:sz w:val="20"/>
          <w:szCs w:val="20"/>
          <w:lang w:val="en-US"/>
        </w:rPr>
      </w:pPr>
      <w:r w:rsidRPr="006A6222">
        <w:rPr>
          <w:rFonts w:ascii="Arial" w:hAnsi="Arial" w:cs="Arial"/>
          <w:sz w:val="20"/>
          <w:szCs w:val="20"/>
          <w:lang w:val="en-US"/>
        </w:rPr>
        <w:t xml:space="preserve">A- Microconidia of </w:t>
      </w:r>
      <w:r w:rsidRPr="006A6222">
        <w:rPr>
          <w:rFonts w:ascii="Arial" w:hAnsi="Arial" w:cs="Arial"/>
          <w:i/>
          <w:iCs/>
          <w:sz w:val="20"/>
          <w:szCs w:val="20"/>
          <w:lang w:val="en-US"/>
        </w:rPr>
        <w:t>Trichophyton mentagrophytes</w:t>
      </w:r>
    </w:p>
    <w:p w14:paraId="1630D336" w14:textId="77777777" w:rsidR="00737017" w:rsidRPr="006A6222" w:rsidRDefault="00737017" w:rsidP="00451967">
      <w:pPr>
        <w:spacing w:after="0" w:line="480" w:lineRule="auto"/>
        <w:jc w:val="both"/>
        <w:rPr>
          <w:rFonts w:ascii="Arial" w:hAnsi="Arial" w:cs="Arial"/>
          <w:sz w:val="20"/>
          <w:szCs w:val="20"/>
          <w:lang w:val="en-US"/>
        </w:rPr>
      </w:pPr>
      <w:r w:rsidRPr="006A6222">
        <w:rPr>
          <w:rFonts w:ascii="Arial" w:hAnsi="Arial" w:cs="Arial"/>
          <w:sz w:val="20"/>
          <w:szCs w:val="20"/>
          <w:lang w:val="en-US"/>
        </w:rPr>
        <w:t xml:space="preserve">B- Macroconidia of </w:t>
      </w:r>
      <w:r w:rsidRPr="006A6222">
        <w:rPr>
          <w:rFonts w:ascii="Arial" w:hAnsi="Arial" w:cs="Arial"/>
          <w:i/>
          <w:iCs/>
          <w:sz w:val="20"/>
          <w:szCs w:val="20"/>
          <w:lang w:val="en-US"/>
        </w:rPr>
        <w:t>Microsporum canis</w:t>
      </w:r>
    </w:p>
    <w:p w14:paraId="6A238DBD" w14:textId="77777777" w:rsidR="00737017" w:rsidRPr="006A6222" w:rsidRDefault="00737017" w:rsidP="00451967">
      <w:pPr>
        <w:spacing w:after="0" w:line="480" w:lineRule="auto"/>
        <w:jc w:val="both"/>
        <w:rPr>
          <w:rFonts w:ascii="Arial" w:hAnsi="Arial" w:cs="Arial"/>
          <w:sz w:val="20"/>
          <w:szCs w:val="20"/>
          <w:lang w:val="en-US"/>
        </w:rPr>
      </w:pPr>
      <w:r w:rsidRPr="006A6222">
        <w:rPr>
          <w:rFonts w:ascii="Arial" w:hAnsi="Arial" w:cs="Arial"/>
          <w:sz w:val="20"/>
          <w:szCs w:val="20"/>
          <w:lang w:val="en-US"/>
        </w:rPr>
        <w:t xml:space="preserve">C- Microconidia and macroconidia of </w:t>
      </w:r>
      <w:r w:rsidRPr="006A6222">
        <w:rPr>
          <w:rFonts w:ascii="Arial" w:hAnsi="Arial" w:cs="Arial"/>
          <w:i/>
          <w:iCs/>
          <w:sz w:val="20"/>
          <w:szCs w:val="20"/>
          <w:lang w:val="en-US"/>
        </w:rPr>
        <w:t>Trichophyton rubrum</w:t>
      </w:r>
    </w:p>
    <w:p w14:paraId="710184AB" w14:textId="77777777" w:rsidR="00737017" w:rsidRPr="006A6222" w:rsidRDefault="00737017" w:rsidP="003F22DB">
      <w:pPr>
        <w:spacing w:line="480" w:lineRule="auto"/>
        <w:jc w:val="both"/>
        <w:rPr>
          <w:rFonts w:ascii="Arial" w:hAnsi="Arial" w:cs="Arial"/>
          <w:sz w:val="20"/>
          <w:szCs w:val="20"/>
          <w:lang w:val="en-US"/>
        </w:rPr>
      </w:pPr>
      <w:r w:rsidRPr="006A6222">
        <w:rPr>
          <w:rFonts w:ascii="Arial" w:hAnsi="Arial" w:cs="Arial"/>
          <w:sz w:val="20"/>
          <w:szCs w:val="20"/>
          <w:lang w:val="en-US"/>
        </w:rPr>
        <w:t>D- Spores of Culvularia sp</w:t>
      </w:r>
    </w:p>
    <w:p w14:paraId="0CB32A23" w14:textId="624577CE" w:rsidR="008F384B" w:rsidRPr="00FB5241" w:rsidRDefault="008F384B" w:rsidP="00FB5241">
      <w:pPr>
        <w:pStyle w:val="Heading3"/>
        <w:keepNext w:val="0"/>
        <w:keepLines w:val="0"/>
        <w:numPr>
          <w:ilvl w:val="1"/>
          <w:numId w:val="4"/>
        </w:numPr>
        <w:spacing w:before="0" w:line="480" w:lineRule="auto"/>
        <w:rPr>
          <w:rFonts w:ascii="Arial" w:eastAsia="Times New Roman" w:hAnsi="Arial" w:cs="Arial"/>
          <w:b/>
          <w:bCs/>
          <w:noProof w:val="0"/>
          <w:color w:val="auto"/>
          <w:kern w:val="0"/>
          <w:sz w:val="22"/>
          <w:szCs w:val="22"/>
          <w:lang w:val="en-US" w:eastAsia="en-ZA"/>
          <w14:ligatures w14:val="none"/>
        </w:rPr>
      </w:pPr>
      <w:bookmarkStart w:id="11" w:name="_Hlk193404304"/>
      <w:bookmarkEnd w:id="10"/>
      <w:r w:rsidRPr="00FB5241">
        <w:rPr>
          <w:rFonts w:ascii="Arial" w:eastAsia="Times New Roman" w:hAnsi="Arial" w:cs="Arial"/>
          <w:b/>
          <w:bCs/>
          <w:noProof w:val="0"/>
          <w:color w:val="auto"/>
          <w:kern w:val="0"/>
          <w:sz w:val="22"/>
          <w:szCs w:val="22"/>
          <w:lang w:val="en-US" w:eastAsia="en-ZA"/>
          <w14:ligatures w14:val="none"/>
        </w:rPr>
        <w:t>Mass spectrum preparation</w:t>
      </w:r>
    </w:p>
    <w:p w14:paraId="767F67DA" w14:textId="31C2924F" w:rsidR="00806D12" w:rsidRPr="006A6222" w:rsidRDefault="00803041" w:rsidP="00451967">
      <w:pPr>
        <w:spacing w:line="480" w:lineRule="auto"/>
        <w:jc w:val="both"/>
        <w:rPr>
          <w:rFonts w:ascii="Arial" w:hAnsi="Arial" w:cs="Arial"/>
          <w:b/>
          <w:bCs/>
          <w:sz w:val="20"/>
          <w:szCs w:val="20"/>
        </w:rPr>
      </w:pPr>
      <w:r w:rsidRPr="006A6222">
        <w:rPr>
          <w:rFonts w:ascii="Arial" w:hAnsi="Arial" w:cs="Arial"/>
          <w:sz w:val="20"/>
          <w:szCs w:val="20"/>
        </w:rPr>
        <w:lastRenderedPageBreak/>
        <w:t>All the procedure were performed using the methods previously described</w:t>
      </w:r>
      <w:r w:rsidR="0030620B" w:rsidRPr="006A6222">
        <w:rPr>
          <w:rFonts w:ascii="Arial" w:hAnsi="Arial" w:cs="Arial"/>
          <w:b/>
          <w:bCs/>
          <w:sz w:val="20"/>
          <w:szCs w:val="20"/>
        </w:rPr>
        <w:fldChar w:fldCharType="begin" w:fldLock="1"/>
      </w:r>
      <w:r w:rsidR="00EB33B3">
        <w:rPr>
          <w:rFonts w:ascii="Arial" w:hAnsi="Arial" w:cs="Arial"/>
          <w:b/>
          <w:bCs/>
          <w:sz w:val="20"/>
          <w:szCs w:val="20"/>
        </w:rPr>
        <w:instrText>ADDIN CSL_CITATION {"citationItems":[{"id":"ITEM-1","itemData":{"DOI":"10.1128/JCM.01299-21.","PMID":"34319807","author":[{"dropping-particle":"","family":"Normand AC, Blaize M, Imbert S, Packeu A, Becker P, Fekkar A, Stubbe D","given":"Piarroux R.","non-dropping-particle":"","parse-names":false,"suffix":""}],"container-title":"J Clin Microbiol.","id":"ITEM-1","issue":"10","issued":{"date-parts":[["2021"]]},"page":"e0129921","title":"Identification of Molds with Matrix-Assisted Laser Desorption Ionization-Time of Flight Mass Spectrometry: Performance of the Newly Developed MSI-2 Application in Comparison with the Bruker Filamentous Fungi Database and MSI-1","type":"article-journal","volume":"20;59"},"uris":["http://www.mendeley.com/documents/?uuid=4f3b4c41-13fb-4ccd-8486-0a7cadec4ee0"]},{"id":"ITEM-2","itemData":{"DOI":"10.3389/fmicb.2015.00791","ISSN":"1664302X","PMID":"26300860","abstract":"Currently microorganisms are best identified using 16S rRNA and 18S rRNA gene sequencing. However, in recent years matrix assisted laser desorption ionization-time of flight mass spectrometry (MALDI-TOF MS) has emerged as a potential tool for microbial identification and diagnosis. During the MALDI-TOF MS process, microbes are identified using either intact cells or cell extracts. The process is rapid, sensitive, and economical in terms of both labor and costs involved. The technology has been readily imbibed by microbiologists who have reported usage of MALDI-TOF MS for a number of purposes like, microbial identification and strain typing, epidemiological studies, detection of biological warfare agents, detection of water- and food-borne pathogens, detection of antibiotic resistance and detection of blood and urinary tract pathogens etc. The limitation of the technology is that identification of new isolates is possible only if the spectral database contains peptide mass fingerprints of the type strains of specific genera/species/subspecies/strains. This review provides an overview of the status and recent applications of mass spectrometry for microbial identification. It also explores the usefulness of this exciting new technology for diagnosis of diseases caused by bacteria, viruses, and fungi.","author":[{"dropping-particle":"","family":"Singhal","given":"Neelja","non-dropping-particle":"","parse-names":false,"suffix":""},{"dropping-particle":"","family":"Kumar","given":"Manish","non-dropping-particle":"","parse-names":false,"suffix":""},{"dropping-particle":"","family":"Kanaujia","given":"Pawan K.","non-dropping-particle":"","parse-names":false,"suffix":""},{"dropping-particle":"","family":"Virdi","given":"Jugsharan S.","non-dropping-particle":"","parse-names":false,"suffix":""}],"container-title":"Frontiers in Microbiology","id":"ITEM-2","issue":"AUG","issued":{"date-parts":[["2015"]]},"page":"1-16","title":"MALDI-TOF mass spectrometry: An emerging technology for microbial identification and diagnosis","type":"article-journal","volume":"6"},"uris":["http://www.mendeley.com/documents/?uuid=335d62c7-2c73-4576-a77f-0154ec2fa9a6"]}],"mendeley":{"formattedCitation":"(Normand AC, Blaize M, Imbert S, Packeu A, Becker P, Fekkar A, Stubbe D, 2021; Singhal et al., 2015)","manualFormatting":"(Normand AC et al., 2021; Singhal et al., 2015)","plainTextFormattedCitation":"(Normand AC, Blaize M, Imbert S, Packeu A, Becker P, Fekkar A, Stubbe D, 2021; Singhal et al., 2015)","previouslyFormattedCitation":"(Normand AC, Blaize M, Imbert S, Packeu A, Becker P, Fekkar A, Stubbe D, 2021; Singhal et al., 2015)"},"properties":{"noteIndex":0},"schema":"https://github.com/citation-style-language/schema/raw/master/csl-citation.json"}</w:instrText>
      </w:r>
      <w:r w:rsidR="0030620B" w:rsidRPr="006A6222">
        <w:rPr>
          <w:rFonts w:ascii="Arial" w:hAnsi="Arial" w:cs="Arial"/>
          <w:b/>
          <w:bCs/>
          <w:sz w:val="20"/>
          <w:szCs w:val="20"/>
        </w:rPr>
        <w:fldChar w:fldCharType="separate"/>
      </w:r>
      <w:r w:rsidR="00DA7D66" w:rsidRPr="006A6222">
        <w:rPr>
          <w:rFonts w:ascii="Arial" w:hAnsi="Arial" w:cs="Arial"/>
          <w:bCs/>
          <w:sz w:val="20"/>
          <w:szCs w:val="20"/>
        </w:rPr>
        <w:t>(Normand AC</w:t>
      </w:r>
      <w:r w:rsidR="00EB33B3">
        <w:rPr>
          <w:rFonts w:ascii="Arial" w:hAnsi="Arial" w:cs="Arial"/>
          <w:bCs/>
          <w:sz w:val="20"/>
          <w:szCs w:val="20"/>
        </w:rPr>
        <w:t xml:space="preserve"> </w:t>
      </w:r>
      <w:r w:rsidR="00EB33B3" w:rsidRPr="00EB33B3">
        <w:rPr>
          <w:rFonts w:ascii="Arial" w:hAnsi="Arial" w:cs="Arial"/>
          <w:bCs/>
          <w:i/>
          <w:iCs/>
          <w:sz w:val="20"/>
          <w:szCs w:val="20"/>
        </w:rPr>
        <w:t>et al.</w:t>
      </w:r>
      <w:r w:rsidR="00EB33B3">
        <w:rPr>
          <w:rFonts w:ascii="Arial" w:hAnsi="Arial" w:cs="Arial"/>
          <w:bCs/>
          <w:sz w:val="20"/>
          <w:szCs w:val="20"/>
        </w:rPr>
        <w:t>, 20</w:t>
      </w:r>
      <w:r w:rsidR="00DA7D66" w:rsidRPr="006A6222">
        <w:rPr>
          <w:rFonts w:ascii="Arial" w:hAnsi="Arial" w:cs="Arial"/>
          <w:bCs/>
          <w:sz w:val="20"/>
          <w:szCs w:val="20"/>
        </w:rPr>
        <w:t xml:space="preserve">21; Singhal </w:t>
      </w:r>
      <w:r w:rsidR="00DA7D66" w:rsidRPr="00EB33B3">
        <w:rPr>
          <w:rFonts w:ascii="Arial" w:hAnsi="Arial" w:cs="Arial"/>
          <w:bCs/>
          <w:i/>
          <w:iCs/>
          <w:sz w:val="20"/>
          <w:szCs w:val="20"/>
        </w:rPr>
        <w:t>et al.</w:t>
      </w:r>
      <w:r w:rsidR="00DA7D66" w:rsidRPr="006A6222">
        <w:rPr>
          <w:rFonts w:ascii="Arial" w:hAnsi="Arial" w:cs="Arial"/>
          <w:bCs/>
          <w:sz w:val="20"/>
          <w:szCs w:val="20"/>
        </w:rPr>
        <w:t>, 2015)</w:t>
      </w:r>
      <w:r w:rsidR="0030620B" w:rsidRPr="006A6222">
        <w:rPr>
          <w:rFonts w:ascii="Arial" w:hAnsi="Arial" w:cs="Arial"/>
          <w:b/>
          <w:bCs/>
          <w:sz w:val="20"/>
          <w:szCs w:val="20"/>
        </w:rPr>
        <w:fldChar w:fldCharType="end"/>
      </w:r>
      <w:r w:rsidR="0086253E" w:rsidRPr="006A6222">
        <w:rPr>
          <w:rFonts w:ascii="Arial" w:hAnsi="Arial" w:cs="Arial"/>
          <w:b/>
          <w:bCs/>
          <w:sz w:val="20"/>
          <w:szCs w:val="20"/>
        </w:rPr>
        <w:t xml:space="preserve">. </w:t>
      </w:r>
      <w:r w:rsidR="00806D12" w:rsidRPr="006A6222">
        <w:rPr>
          <w:rFonts w:ascii="Arial" w:hAnsi="Arial" w:cs="Arial"/>
          <w:sz w:val="20"/>
          <w:szCs w:val="20"/>
        </w:rPr>
        <w:t>Identification by MS was carried out on fresh colonies on SC/SAC medi</w:t>
      </w:r>
      <w:r w:rsidR="00311FA7" w:rsidRPr="006A6222">
        <w:rPr>
          <w:rFonts w:ascii="Arial" w:hAnsi="Arial" w:cs="Arial"/>
          <w:sz w:val="20"/>
          <w:szCs w:val="20"/>
        </w:rPr>
        <w:t>a</w:t>
      </w:r>
      <w:r w:rsidR="00806D12" w:rsidRPr="006A6222">
        <w:rPr>
          <w:rFonts w:ascii="Arial" w:hAnsi="Arial" w:cs="Arial"/>
          <w:sz w:val="20"/>
          <w:szCs w:val="20"/>
        </w:rPr>
        <w:t>. For protein extraction, for yeasts, two to five colonies were picked using a 1 μ</w:t>
      </w:r>
      <w:r w:rsidR="0007614C" w:rsidRPr="006A6222">
        <w:rPr>
          <w:rFonts w:ascii="Arial" w:hAnsi="Arial" w:cs="Arial"/>
          <w:sz w:val="20"/>
          <w:szCs w:val="20"/>
        </w:rPr>
        <w:t>L</w:t>
      </w:r>
      <w:r w:rsidR="00806D12" w:rsidRPr="006A6222">
        <w:rPr>
          <w:rFonts w:ascii="Arial" w:hAnsi="Arial" w:cs="Arial"/>
          <w:sz w:val="20"/>
          <w:szCs w:val="20"/>
        </w:rPr>
        <w:t xml:space="preserve"> öse and for filamentous fungi, the colony was gently scraped from the surface of the culture using a scalpel blade or rubbed with a sterile swab. The product thus collected was then suspended in a mixture of 300 μl of demineralized water and 900 μl of absolute ethanol ( 70</w:t>
      </w:r>
      <w:r w:rsidR="00067FCC" w:rsidRPr="006A6222">
        <w:rPr>
          <w:rFonts w:ascii="Arial" w:hAnsi="Arial" w:cs="Arial"/>
          <w:sz w:val="20"/>
          <w:szCs w:val="20"/>
        </w:rPr>
        <w:t xml:space="preserve"> </w:t>
      </w:r>
      <w:r w:rsidR="00806D12" w:rsidRPr="006A6222">
        <w:rPr>
          <w:rFonts w:ascii="Arial" w:hAnsi="Arial" w:cs="Arial"/>
          <w:sz w:val="20"/>
          <w:szCs w:val="20"/>
        </w:rPr>
        <w:t xml:space="preserve">% ethanol solution). After centrifugation at 12,000 rpm for two minutes, the cell pellet was </w:t>
      </w:r>
      <w:r w:rsidR="00763562" w:rsidRPr="006A6222">
        <w:rPr>
          <w:rFonts w:ascii="Arial" w:hAnsi="Arial" w:cs="Arial"/>
          <w:sz w:val="20"/>
          <w:szCs w:val="20"/>
        </w:rPr>
        <w:t>havested</w:t>
      </w:r>
      <w:r w:rsidR="00806D12" w:rsidRPr="006A6222">
        <w:rPr>
          <w:rFonts w:ascii="Arial" w:hAnsi="Arial" w:cs="Arial"/>
          <w:sz w:val="20"/>
          <w:szCs w:val="20"/>
        </w:rPr>
        <w:t xml:space="preserve"> and resuspended in 20 μ</w:t>
      </w:r>
      <w:r w:rsidR="0007614C" w:rsidRPr="006A6222">
        <w:rPr>
          <w:rFonts w:ascii="Arial" w:hAnsi="Arial" w:cs="Arial"/>
          <w:sz w:val="20"/>
          <w:szCs w:val="20"/>
        </w:rPr>
        <w:t>L</w:t>
      </w:r>
      <w:r w:rsidR="00806D12" w:rsidRPr="006A6222">
        <w:rPr>
          <w:rFonts w:ascii="Arial" w:hAnsi="Arial" w:cs="Arial"/>
          <w:sz w:val="20"/>
          <w:szCs w:val="20"/>
        </w:rPr>
        <w:t xml:space="preserve"> of 70</w:t>
      </w:r>
      <w:r w:rsidR="00067FCC" w:rsidRPr="006A6222">
        <w:rPr>
          <w:rFonts w:ascii="Arial" w:hAnsi="Arial" w:cs="Arial"/>
          <w:sz w:val="20"/>
          <w:szCs w:val="20"/>
        </w:rPr>
        <w:t xml:space="preserve"> </w:t>
      </w:r>
      <w:r w:rsidR="00806D12" w:rsidRPr="006A6222">
        <w:rPr>
          <w:rFonts w:ascii="Arial" w:hAnsi="Arial" w:cs="Arial"/>
          <w:sz w:val="20"/>
          <w:szCs w:val="20"/>
        </w:rPr>
        <w:t>% formic acid</w:t>
      </w:r>
      <w:r w:rsidR="008F384B" w:rsidRPr="006A6222">
        <w:rPr>
          <w:rFonts w:ascii="Arial" w:hAnsi="Arial" w:cs="Arial"/>
          <w:sz w:val="20"/>
          <w:szCs w:val="20"/>
        </w:rPr>
        <w:t xml:space="preserve"> and incubated </w:t>
      </w:r>
      <w:r w:rsidR="00806D12" w:rsidRPr="006A6222">
        <w:rPr>
          <w:rFonts w:ascii="Arial" w:hAnsi="Arial" w:cs="Arial"/>
          <w:sz w:val="20"/>
          <w:szCs w:val="20"/>
        </w:rPr>
        <w:t xml:space="preserve"> </w:t>
      </w:r>
      <w:r w:rsidR="008F384B" w:rsidRPr="006A6222">
        <w:rPr>
          <w:rFonts w:ascii="Arial" w:hAnsi="Arial" w:cs="Arial"/>
          <w:sz w:val="20"/>
          <w:szCs w:val="20"/>
        </w:rPr>
        <w:t xml:space="preserve">for </w:t>
      </w:r>
      <w:r w:rsidR="00806D12" w:rsidRPr="006A6222">
        <w:rPr>
          <w:rFonts w:ascii="Arial" w:hAnsi="Arial" w:cs="Arial"/>
          <w:sz w:val="20"/>
          <w:szCs w:val="20"/>
        </w:rPr>
        <w:t xml:space="preserve">5 </w:t>
      </w:r>
      <w:r w:rsidR="007E3A7F" w:rsidRPr="006A6222">
        <w:rPr>
          <w:rFonts w:ascii="Arial" w:hAnsi="Arial" w:cs="Arial"/>
          <w:sz w:val="20"/>
          <w:szCs w:val="20"/>
        </w:rPr>
        <w:t xml:space="preserve"> minutes incubation</w:t>
      </w:r>
      <w:r w:rsidR="008F384B" w:rsidRPr="006A6222">
        <w:rPr>
          <w:rFonts w:ascii="Arial" w:hAnsi="Arial" w:cs="Arial"/>
          <w:sz w:val="20"/>
          <w:szCs w:val="20"/>
        </w:rPr>
        <w:t>.</w:t>
      </w:r>
      <w:r w:rsidR="00B21921" w:rsidRPr="006A6222">
        <w:rPr>
          <w:rFonts w:ascii="Arial" w:hAnsi="Arial" w:cs="Arial"/>
          <w:sz w:val="20"/>
          <w:szCs w:val="20"/>
        </w:rPr>
        <w:t xml:space="preserve"> </w:t>
      </w:r>
      <w:r w:rsidR="007E3A7F" w:rsidRPr="006A6222">
        <w:rPr>
          <w:rFonts w:ascii="Arial" w:hAnsi="Arial" w:cs="Arial"/>
          <w:sz w:val="20"/>
          <w:szCs w:val="20"/>
        </w:rPr>
        <w:t>20 μ</w:t>
      </w:r>
      <w:r w:rsidR="0007614C" w:rsidRPr="006A6222">
        <w:rPr>
          <w:rFonts w:ascii="Arial" w:hAnsi="Arial" w:cs="Arial"/>
          <w:sz w:val="20"/>
          <w:szCs w:val="20"/>
        </w:rPr>
        <w:t>L</w:t>
      </w:r>
      <w:r w:rsidR="007E3A7F" w:rsidRPr="006A6222">
        <w:rPr>
          <w:rFonts w:ascii="Arial" w:hAnsi="Arial" w:cs="Arial"/>
          <w:sz w:val="20"/>
          <w:szCs w:val="20"/>
        </w:rPr>
        <w:t xml:space="preserve"> of 100</w:t>
      </w:r>
      <w:r w:rsidR="00067FCC" w:rsidRPr="006A6222">
        <w:rPr>
          <w:rFonts w:ascii="Arial" w:hAnsi="Arial" w:cs="Arial"/>
          <w:sz w:val="20"/>
          <w:szCs w:val="20"/>
        </w:rPr>
        <w:t xml:space="preserve"> </w:t>
      </w:r>
      <w:r w:rsidR="007E3A7F" w:rsidRPr="006A6222">
        <w:rPr>
          <w:rFonts w:ascii="Arial" w:hAnsi="Arial" w:cs="Arial"/>
          <w:sz w:val="20"/>
          <w:szCs w:val="20"/>
        </w:rPr>
        <w:t>% acetonitrile was added</w:t>
      </w:r>
      <w:r w:rsidR="00E432EE" w:rsidRPr="006A6222">
        <w:rPr>
          <w:rFonts w:ascii="Arial" w:hAnsi="Arial" w:cs="Arial"/>
          <w:sz w:val="20"/>
          <w:szCs w:val="20"/>
        </w:rPr>
        <w:t xml:space="preserve"> to the suspenssion</w:t>
      </w:r>
      <w:r w:rsidR="00951996" w:rsidRPr="006A6222">
        <w:rPr>
          <w:rFonts w:ascii="Arial" w:hAnsi="Arial" w:cs="Arial"/>
          <w:sz w:val="20"/>
          <w:szCs w:val="20"/>
        </w:rPr>
        <w:fldChar w:fldCharType="begin" w:fldLock="1"/>
      </w:r>
      <w:r w:rsidR="00EB33B3">
        <w:rPr>
          <w:rFonts w:ascii="Arial" w:hAnsi="Arial" w:cs="Arial"/>
          <w:sz w:val="20"/>
          <w:szCs w:val="20"/>
        </w:rPr>
        <w:instrText>ADDIN CSL_CITATION {"citationItems":[{"id":"ITEM-1","itemData":{"DOI":"10.3389/fmicb.2015.00791","ISSN":"1664302X","PMID":"26300860","abstract":"Currently microorganisms are best identified using 16S rRNA and 18S rRNA gene sequencing. However, in recent years matrix assisted laser desorption ionization-time of flight mass spectrometry (MALDI-TOF MS) has emerged as a potential tool for microbial identification and diagnosis. During the MALDI-TOF MS process, microbes are identified using either intact cells or cell extracts. The process is rapid, sensitive, and economical in terms of both labor and costs involved. The technology has been readily imbibed by microbiologists who have reported usage of MALDI-TOF MS for a number of purposes like, microbial identification and strain typing, epidemiological studies, detection of biological warfare agents, detection of water- and food-borne pathogens, detection of antibiotic resistance and detection of blood and urinary tract pathogens etc. The limitation of the technology is that identification of new isolates is possible only if the spectral database contains peptide mass fingerprints of the type strains of specific genera/species/subspecies/strains. This review provides an overview of the status and recent applications of mass spectrometry for microbial identification. It also explores the usefulness of this exciting new technology for diagnosis of diseases caused by bacteria, viruses, and fungi.","author":[{"dropping-particle":"","family":"Singhal","given":"Neelja","non-dropping-particle":"","parse-names":false,"suffix":""},{"dropping-particle":"","family":"Kumar","given":"Manish","non-dropping-particle":"","parse-names":false,"suffix":""},{"dropping-particle":"","family":"Kanaujia","given":"Pawan K.","non-dropping-particle":"","parse-names":false,"suffix":""},{"dropping-particle":"","family":"Virdi","given":"Jugsharan S.","non-dropping-particle":"","parse-names":false,"suffix":""}],"container-title":"Frontiers in Microbiology","id":"ITEM-1","issue":"AUG","issued":{"date-parts":[["2015"]]},"page":"1-16","title":"MALDI-TOF mass spectrometry: An emerging technology for microbial identification and diagnosis","type":"article-journal","volume":"6"},"uris":["http://www.mendeley.com/documents/?uuid=335d62c7-2c73-4576-a77f-0154ec2fa9a6"]},{"id":"ITEM-2","itemData":{"DOI":"10.1128/JCM.01299-21.","PMID":"34319807","author":[{"dropping-particle":"","family":"Normand AC, Blaize M, Imbert S, Packeu A, Becker P, Fekkar A, Stubbe D","given":"Piarroux R.","non-dropping-particle":"","parse-names":false,"suffix":""}],"container-title":"J Clin Microbiol.","id":"ITEM-2","issue":"10","issued":{"date-parts":[["2021"]]},"page":"e0129921","title":"Identification of Molds with Matrix-Assisted Laser Desorption Ionization-Time of Flight Mass Spectrometry: Performance of the Newly Developed MSI-2 Application in Comparison with the Bruker Filamentous Fungi Database and MSI-1","type":"article-journal","volume":"20;59"},"uris":["http://www.mendeley.com/documents/?uuid=4f3b4c41-13fb-4ccd-8486-0a7cadec4ee0"]}],"mendeley":{"formattedCitation":"(Normand AC, Blaize M, Imbert S, Packeu A, Becker P, Fekkar A, Stubbe D, 2021; Singhal et al., 2015)","manualFormatting":"(Normand AC et al., 2021; Singhal et al., 2015)","plainTextFormattedCitation":"(Normand AC, Blaize M, Imbert S, Packeu A, Becker P, Fekkar A, Stubbe D, 2021; Singhal et al., 2015)","previouslyFormattedCitation":"(Normand AC, Blaize M, Imbert S, Packeu A, Becker P, Fekkar A, Stubbe D, 2021; Singhal et al., 2015)"},"properties":{"noteIndex":0},"schema":"https://github.com/citation-style-language/schema/raw/master/csl-citation.json"}</w:instrText>
      </w:r>
      <w:r w:rsidR="00951996" w:rsidRPr="006A6222">
        <w:rPr>
          <w:rFonts w:ascii="Arial" w:hAnsi="Arial" w:cs="Arial"/>
          <w:sz w:val="20"/>
          <w:szCs w:val="20"/>
        </w:rPr>
        <w:fldChar w:fldCharType="separate"/>
      </w:r>
      <w:r w:rsidR="00DA7D66" w:rsidRPr="006A6222">
        <w:rPr>
          <w:rFonts w:ascii="Arial" w:hAnsi="Arial" w:cs="Arial"/>
          <w:sz w:val="20"/>
          <w:szCs w:val="20"/>
        </w:rPr>
        <w:t>(Normand AC</w:t>
      </w:r>
      <w:r w:rsidR="00EB33B3">
        <w:rPr>
          <w:rFonts w:ascii="Arial" w:hAnsi="Arial" w:cs="Arial"/>
          <w:sz w:val="20"/>
          <w:szCs w:val="20"/>
        </w:rPr>
        <w:t xml:space="preserve"> </w:t>
      </w:r>
      <w:r w:rsidR="00EB33B3" w:rsidRPr="00EB33B3">
        <w:rPr>
          <w:rFonts w:ascii="Arial" w:hAnsi="Arial" w:cs="Arial"/>
          <w:i/>
          <w:iCs/>
          <w:sz w:val="20"/>
          <w:szCs w:val="20"/>
        </w:rPr>
        <w:t>et al.,</w:t>
      </w:r>
      <w:r w:rsidR="00EB33B3">
        <w:rPr>
          <w:rFonts w:ascii="Arial" w:hAnsi="Arial" w:cs="Arial"/>
          <w:sz w:val="20"/>
          <w:szCs w:val="20"/>
        </w:rPr>
        <w:t xml:space="preserve"> </w:t>
      </w:r>
      <w:r w:rsidR="00DA7D66" w:rsidRPr="006A6222">
        <w:rPr>
          <w:rFonts w:ascii="Arial" w:hAnsi="Arial" w:cs="Arial"/>
          <w:sz w:val="20"/>
          <w:szCs w:val="20"/>
        </w:rPr>
        <w:t xml:space="preserve">2021; Singhal </w:t>
      </w:r>
      <w:r w:rsidR="00DA7D66" w:rsidRPr="00EB33B3">
        <w:rPr>
          <w:rFonts w:ascii="Arial" w:hAnsi="Arial" w:cs="Arial"/>
          <w:i/>
          <w:iCs/>
          <w:sz w:val="20"/>
          <w:szCs w:val="20"/>
        </w:rPr>
        <w:t>et al.</w:t>
      </w:r>
      <w:r w:rsidR="00DA7D66" w:rsidRPr="006A6222">
        <w:rPr>
          <w:rFonts w:ascii="Arial" w:hAnsi="Arial" w:cs="Arial"/>
          <w:sz w:val="20"/>
          <w:szCs w:val="20"/>
        </w:rPr>
        <w:t>, 2015)</w:t>
      </w:r>
      <w:r w:rsidR="00951996" w:rsidRPr="006A6222">
        <w:rPr>
          <w:rFonts w:ascii="Arial" w:hAnsi="Arial" w:cs="Arial"/>
          <w:sz w:val="20"/>
          <w:szCs w:val="20"/>
        </w:rPr>
        <w:fldChar w:fldCharType="end"/>
      </w:r>
      <w:r w:rsidR="00806D12" w:rsidRPr="006A6222">
        <w:rPr>
          <w:rFonts w:ascii="Arial" w:hAnsi="Arial" w:cs="Arial"/>
          <w:sz w:val="20"/>
          <w:szCs w:val="20"/>
        </w:rPr>
        <w:t xml:space="preserve">. After mixing, and a further </w:t>
      </w:r>
      <w:r w:rsidR="00B427AA" w:rsidRPr="006A6222">
        <w:rPr>
          <w:rFonts w:ascii="Arial" w:hAnsi="Arial" w:cs="Arial"/>
          <w:sz w:val="20"/>
          <w:szCs w:val="20"/>
        </w:rPr>
        <w:t xml:space="preserve">5 min </w:t>
      </w:r>
      <w:r w:rsidR="00806D12" w:rsidRPr="006A6222">
        <w:rPr>
          <w:rFonts w:ascii="Arial" w:hAnsi="Arial" w:cs="Arial"/>
          <w:sz w:val="20"/>
          <w:szCs w:val="20"/>
        </w:rPr>
        <w:t>incubation, the preparation was centrifuged again at 12</w:t>
      </w:r>
      <w:r w:rsidR="00E72523" w:rsidRPr="006A6222">
        <w:rPr>
          <w:rFonts w:ascii="Arial" w:hAnsi="Arial" w:cs="Arial"/>
          <w:sz w:val="20"/>
          <w:szCs w:val="20"/>
        </w:rPr>
        <w:t>.</w:t>
      </w:r>
      <w:r w:rsidR="00806D12" w:rsidRPr="006A6222">
        <w:rPr>
          <w:rFonts w:ascii="Arial" w:hAnsi="Arial" w:cs="Arial"/>
          <w:sz w:val="20"/>
          <w:szCs w:val="20"/>
        </w:rPr>
        <w:t>000 rpm for 2 min, then 1 μ</w:t>
      </w:r>
      <w:r w:rsidR="0007614C" w:rsidRPr="006A6222">
        <w:rPr>
          <w:rFonts w:ascii="Arial" w:hAnsi="Arial" w:cs="Arial"/>
          <w:sz w:val="20"/>
          <w:szCs w:val="20"/>
        </w:rPr>
        <w:t>L</w:t>
      </w:r>
      <w:r w:rsidR="00806D12" w:rsidRPr="006A6222">
        <w:rPr>
          <w:rFonts w:ascii="Arial" w:hAnsi="Arial" w:cs="Arial"/>
          <w:sz w:val="20"/>
          <w:szCs w:val="20"/>
        </w:rPr>
        <w:t xml:space="preserve"> of its supernatant was deposited on a target at a spot location and dried. One (1) μ</w:t>
      </w:r>
      <w:r w:rsidR="0007614C" w:rsidRPr="006A6222">
        <w:rPr>
          <w:rFonts w:ascii="Arial" w:hAnsi="Arial" w:cs="Arial"/>
          <w:sz w:val="20"/>
          <w:szCs w:val="20"/>
        </w:rPr>
        <w:t>L</w:t>
      </w:r>
      <w:r w:rsidR="00806D12" w:rsidRPr="006A6222">
        <w:rPr>
          <w:rFonts w:ascii="Arial" w:hAnsi="Arial" w:cs="Arial"/>
          <w:sz w:val="20"/>
          <w:szCs w:val="20"/>
        </w:rPr>
        <w:t xml:space="preserve"> of matrix solution (alpha-cyano-4-hydroxycinnamic acid [HCCA; Bruker Daltonics]) at 10 mg/ml was then added to the protein deposit and dried. </w:t>
      </w:r>
      <w:r w:rsidR="00FC2BD7" w:rsidRPr="006A6222">
        <w:rPr>
          <w:rFonts w:ascii="Arial" w:hAnsi="Arial" w:cs="Arial"/>
          <w:sz w:val="20"/>
          <w:szCs w:val="20"/>
        </w:rPr>
        <w:t>The complexes formed between the proteins and the matrix were vaporised by a laser beam.</w:t>
      </w:r>
      <w:r w:rsidR="00BD4E56" w:rsidRPr="006A6222">
        <w:rPr>
          <w:rFonts w:ascii="Arial" w:hAnsi="Arial" w:cs="Arial"/>
          <w:b/>
          <w:bCs/>
          <w:sz w:val="20"/>
          <w:szCs w:val="20"/>
        </w:rPr>
        <w:t xml:space="preserve"> </w:t>
      </w:r>
      <w:r w:rsidR="00806D12" w:rsidRPr="006A6222">
        <w:rPr>
          <w:rFonts w:ascii="Arial" w:hAnsi="Arial" w:cs="Arial"/>
          <w:sz w:val="20"/>
          <w:szCs w:val="20"/>
        </w:rPr>
        <w:t>As the target is read by the mass spectrometer, the excited matrix becomes positively charged, and this charge is rapidly transferred to the proteins, which, ionized, migrate through an evacuated tube, according to their mass-to-charge ratio (m/z)</w:t>
      </w:r>
      <w:r w:rsidR="00D867D2" w:rsidRPr="006A6222">
        <w:rPr>
          <w:rFonts w:ascii="Arial" w:hAnsi="Arial" w:cs="Arial"/>
          <w:sz w:val="20"/>
          <w:szCs w:val="20"/>
        </w:rPr>
        <w:fldChar w:fldCharType="begin" w:fldLock="1"/>
      </w:r>
      <w:r w:rsidR="00EB33B3">
        <w:rPr>
          <w:rFonts w:ascii="Arial" w:hAnsi="Arial" w:cs="Arial"/>
          <w:sz w:val="20"/>
          <w:szCs w:val="20"/>
        </w:rPr>
        <w:instrText>ADDIN CSL_CITATION {"citationItems":[{"id":"ITEM-1","itemData":{"DOI":"10.1016/s1773-035x(21)00039-3","ISSN":"1773035X","author":[{"dropping-particle":"","family":"Blaize","given":"Marion","non-dropping-particle":"","parse-names":false,"suffix":""},{"dropping-particle":"","family":"Normand","given":"Anne-Cécile","non-dropping-particle":"","parse-names":false,"suffix":""},{"dropping-particle":"","family":"Fekkar","given":"Arnaud","non-dropping-particle":"","parse-names":false,"suffix":""},{"dropping-particle":"","family":"Piarroux","given":"Renaud","non-dropping-particle":"","parse-names":false,"suffix":""}],"container-title":"Revue Francophone des Laboratoires","id":"ITEM-1","issue":"529","issued":{"date-parts":[["2021"]]},"page":"58-65","publisher":"Elsevier","title":"Identification des moisissures au laboratoire de routine hospitalière","type":"article-journal","volume":"2021"},"uris":["http://www.mendeley.com/documents/?uuid=7e8fd509-f84d-42e1-842e-9d08d437420e"]},{"id":"ITEM-2","itemData":{"DOI":"10.1128/JCM.01299-21.","PMID":"34319807","author":[{"dropping-particle":"","family":"Normand AC, Blaize M, Imbert S, Packeu A, Becker P, Fekkar A, Stubbe D","given":"Piarroux R.","non-dropping-particle":"","parse-names":false,"suffix":""}],"container-title":"J Clin Microbiol.","id":"ITEM-2","issue":"10","issued":{"date-parts":[["2021"]]},"page":"e0129921","title":"Identification of Molds with Matrix-Assisted Laser Desorption Ionization-Time of Flight Mass Spectrometry: Performance of the Newly Developed MSI-2 Application in Comparison with the Bruker Filamentous Fungi Database and MSI-1","type":"article-journal","volume":"20;59"},"uris":["http://www.mendeley.com/documents/?uuid=4f3b4c41-13fb-4ccd-8486-0a7cadec4ee0"]}],"mendeley":{"formattedCitation":"(Blaize et al., 2021; Normand AC, Blaize M, Imbert S, Packeu A, Becker P, Fekkar A, Stubbe D, 2021)","manualFormatting":"(Blaize et al., 2021; Normand AC et al., 2021)","plainTextFormattedCitation":"(Blaize et al., 2021; Normand AC, Blaize M, Imbert S, Packeu A, Becker P, Fekkar A, Stubbe D, 2021)","previouslyFormattedCitation":"(Blaize et al., 2021; Normand AC, Blaize M, Imbert S, Packeu A, Becker P, Fekkar A, Stubbe D, 2021)"},"properties":{"noteIndex":0},"schema":"https://github.com/citation-style-language/schema/raw/master/csl-citation.json"}</w:instrText>
      </w:r>
      <w:r w:rsidR="00D867D2" w:rsidRPr="006A6222">
        <w:rPr>
          <w:rFonts w:ascii="Arial" w:hAnsi="Arial" w:cs="Arial"/>
          <w:sz w:val="20"/>
          <w:szCs w:val="20"/>
        </w:rPr>
        <w:fldChar w:fldCharType="separate"/>
      </w:r>
      <w:r w:rsidR="00DA7D66" w:rsidRPr="006A6222">
        <w:rPr>
          <w:rFonts w:ascii="Arial" w:hAnsi="Arial" w:cs="Arial"/>
          <w:sz w:val="20"/>
          <w:szCs w:val="20"/>
        </w:rPr>
        <w:t>(Blaize et al., 2021; Normand AC</w:t>
      </w:r>
      <w:r w:rsidR="00EB33B3">
        <w:rPr>
          <w:rFonts w:ascii="Arial" w:hAnsi="Arial" w:cs="Arial"/>
          <w:sz w:val="20"/>
          <w:szCs w:val="20"/>
        </w:rPr>
        <w:t xml:space="preserve"> </w:t>
      </w:r>
      <w:r w:rsidR="00EB33B3" w:rsidRPr="00EB33B3">
        <w:rPr>
          <w:rFonts w:ascii="Arial" w:hAnsi="Arial" w:cs="Arial"/>
          <w:i/>
          <w:iCs/>
          <w:sz w:val="20"/>
          <w:szCs w:val="20"/>
        </w:rPr>
        <w:t>et al.</w:t>
      </w:r>
      <w:r w:rsidR="00EB33B3">
        <w:rPr>
          <w:rFonts w:ascii="Arial" w:hAnsi="Arial" w:cs="Arial"/>
          <w:sz w:val="20"/>
          <w:szCs w:val="20"/>
        </w:rPr>
        <w:t xml:space="preserve">, </w:t>
      </w:r>
      <w:r w:rsidR="00DA7D66" w:rsidRPr="006A6222">
        <w:rPr>
          <w:rFonts w:ascii="Arial" w:hAnsi="Arial" w:cs="Arial"/>
          <w:sz w:val="20"/>
          <w:szCs w:val="20"/>
        </w:rPr>
        <w:t>2021)</w:t>
      </w:r>
      <w:r w:rsidR="00D867D2" w:rsidRPr="006A6222">
        <w:rPr>
          <w:rFonts w:ascii="Arial" w:hAnsi="Arial" w:cs="Arial"/>
          <w:sz w:val="20"/>
          <w:szCs w:val="20"/>
        </w:rPr>
        <w:fldChar w:fldCharType="end"/>
      </w:r>
      <w:r w:rsidR="00806D12" w:rsidRPr="006A6222">
        <w:rPr>
          <w:rFonts w:ascii="Arial" w:hAnsi="Arial" w:cs="Arial"/>
          <w:sz w:val="20"/>
          <w:szCs w:val="20"/>
        </w:rPr>
        <w:t>. At the end of their migration, the time of flight is recorded by a detector and converted into m/z by a computerized system. The operation is repeated a large number of times for each extract to obtain a cumulative spectrum whose intensities are sufficient to meet the requirements of the equipment supplier</w:t>
      </w:r>
      <w:r w:rsidR="00C975C2"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10.1016/s1773-035x(21)00039-3","ISSN":"1773035X","author":[{"dropping-particle":"","family":"Blaize","given":"Marion","non-dropping-particle":"","parse-names":false,"suffix":""},{"dropping-particle":"","family":"Normand","given":"Anne-Cécile","non-dropping-particle":"","parse-names":false,"suffix":""},{"dropping-particle":"","family":"Fekkar","given":"Arnaud","non-dropping-particle":"","parse-names":false,"suffix":""},{"dropping-particle":"","family":"Piarroux","given":"Renaud","non-dropping-particle":"","parse-names":false,"suffix":""}],"container-title":"Revue Francophone des Laboratoires","id":"ITEM-1","issue":"529","issued":{"date-parts":[["2021"]]},"page":"58-65","publisher":"Elsevier","title":"Identification des moisissures au laboratoire de routine hospitalière","type":"article-journal","volume":"2021"},"uris":["http://www.mendeley.com/documents/?uuid=7e8fd509-f84d-42e1-842e-9d08d437420e"]}],"mendeley":{"formattedCitation":"(Blaize et al., 2021)","plainTextFormattedCitation":"(Blaize et al., 2021)","previouslyFormattedCitation":"(Blaize et al., 2021)"},"properties":{"noteIndex":0},"schema":"https://github.com/citation-style-language/schema/raw/master/csl-citation.json"}</w:instrText>
      </w:r>
      <w:r w:rsidR="00C975C2" w:rsidRPr="006A6222">
        <w:rPr>
          <w:rFonts w:ascii="Arial" w:hAnsi="Arial" w:cs="Arial"/>
          <w:sz w:val="20"/>
          <w:szCs w:val="20"/>
        </w:rPr>
        <w:fldChar w:fldCharType="separate"/>
      </w:r>
      <w:r w:rsidR="00DA7D66" w:rsidRPr="006A6222">
        <w:rPr>
          <w:rFonts w:ascii="Arial" w:hAnsi="Arial" w:cs="Arial"/>
          <w:sz w:val="20"/>
          <w:szCs w:val="20"/>
        </w:rPr>
        <w:t xml:space="preserve">(Blaize </w:t>
      </w:r>
      <w:r w:rsidR="00DA7D66" w:rsidRPr="00EB33B3">
        <w:rPr>
          <w:rFonts w:ascii="Arial" w:hAnsi="Arial" w:cs="Arial"/>
          <w:i/>
          <w:iCs/>
          <w:sz w:val="20"/>
          <w:szCs w:val="20"/>
        </w:rPr>
        <w:t>et al.</w:t>
      </w:r>
      <w:r w:rsidR="00DA7D66" w:rsidRPr="006A6222">
        <w:rPr>
          <w:rFonts w:ascii="Arial" w:hAnsi="Arial" w:cs="Arial"/>
          <w:sz w:val="20"/>
          <w:szCs w:val="20"/>
        </w:rPr>
        <w:t>, 2021)</w:t>
      </w:r>
      <w:r w:rsidR="00C975C2" w:rsidRPr="006A6222">
        <w:rPr>
          <w:rFonts w:ascii="Arial" w:hAnsi="Arial" w:cs="Arial"/>
          <w:sz w:val="20"/>
          <w:szCs w:val="20"/>
        </w:rPr>
        <w:fldChar w:fldCharType="end"/>
      </w:r>
      <w:r w:rsidR="00806D12" w:rsidRPr="006A6222">
        <w:rPr>
          <w:rFonts w:ascii="Arial" w:hAnsi="Arial" w:cs="Arial"/>
          <w:sz w:val="20"/>
          <w:szCs w:val="20"/>
        </w:rPr>
        <w:t>.</w:t>
      </w:r>
      <w:bookmarkEnd w:id="11"/>
    </w:p>
    <w:p w14:paraId="51BEF955" w14:textId="05729CB6" w:rsidR="00806D12" w:rsidRPr="00E85FF3" w:rsidRDefault="00806D12" w:rsidP="00E85FF3">
      <w:pPr>
        <w:pStyle w:val="Heading3"/>
        <w:keepNext w:val="0"/>
        <w:keepLines w:val="0"/>
        <w:numPr>
          <w:ilvl w:val="1"/>
          <w:numId w:val="4"/>
        </w:numPr>
        <w:spacing w:before="0" w:line="480" w:lineRule="auto"/>
        <w:rPr>
          <w:rFonts w:ascii="Arial" w:eastAsia="Times New Roman" w:hAnsi="Arial" w:cs="Arial"/>
          <w:b/>
          <w:bCs/>
          <w:noProof w:val="0"/>
          <w:color w:val="auto"/>
          <w:kern w:val="0"/>
          <w:sz w:val="22"/>
          <w:szCs w:val="22"/>
          <w:lang w:val="en-US" w:eastAsia="en-ZA"/>
          <w14:ligatures w14:val="none"/>
        </w:rPr>
      </w:pPr>
      <w:bookmarkStart w:id="12" w:name="_Hlk193404399"/>
      <w:r w:rsidRPr="00E85FF3">
        <w:rPr>
          <w:rFonts w:ascii="Arial" w:eastAsia="Times New Roman" w:hAnsi="Arial" w:cs="Arial"/>
          <w:b/>
          <w:bCs/>
          <w:noProof w:val="0"/>
          <w:color w:val="auto"/>
          <w:kern w:val="0"/>
          <w:sz w:val="22"/>
          <w:szCs w:val="22"/>
          <w:lang w:val="en-US" w:eastAsia="en-ZA"/>
          <w14:ligatures w14:val="none"/>
        </w:rPr>
        <w:t>Data management and analysis</w:t>
      </w:r>
    </w:p>
    <w:p w14:paraId="1B26F610" w14:textId="68A749C9" w:rsidR="00496C13" w:rsidRPr="006A6222" w:rsidRDefault="0074476C" w:rsidP="00451967">
      <w:pPr>
        <w:spacing w:line="480" w:lineRule="auto"/>
        <w:jc w:val="both"/>
        <w:rPr>
          <w:rFonts w:ascii="Arial" w:hAnsi="Arial" w:cs="Arial"/>
          <w:sz w:val="20"/>
          <w:szCs w:val="20"/>
        </w:rPr>
      </w:pPr>
      <w:r w:rsidRPr="006A6222">
        <w:rPr>
          <w:rFonts w:ascii="Arial" w:hAnsi="Arial" w:cs="Arial"/>
          <w:sz w:val="20"/>
          <w:szCs w:val="20"/>
        </w:rPr>
        <w:t>The spectra obtained were compared with the online database created by Sorbonne University and dedicated to the identification of yeasts and filamentous fungi: MSI2 (</w:t>
      </w:r>
      <w:hyperlink r:id="rId19" w:history="1">
        <w:r w:rsidRPr="006A6222">
          <w:rPr>
            <w:rStyle w:val="Hyperlink"/>
            <w:rFonts w:ascii="Arial" w:hAnsi="Arial" w:cs="Arial"/>
            <w:sz w:val="20"/>
            <w:szCs w:val="20"/>
          </w:rPr>
          <w:t>https://msi.happy-dev.fr/</w:t>
        </w:r>
      </w:hyperlink>
      <w:r w:rsidRPr="006A6222">
        <w:rPr>
          <w:rFonts w:ascii="Arial" w:hAnsi="Arial" w:cs="Arial"/>
          <w:sz w:val="20"/>
          <w:szCs w:val="20"/>
        </w:rPr>
        <w:t xml:space="preserve">). </w:t>
      </w:r>
      <w:r w:rsidR="004C555B" w:rsidRPr="006A6222">
        <w:rPr>
          <w:rFonts w:ascii="Arial" w:hAnsi="Arial" w:cs="Arial"/>
          <w:sz w:val="20"/>
          <w:szCs w:val="20"/>
        </w:rPr>
        <w:t xml:space="preserve">MSI-2 platform scores </w:t>
      </w:r>
      <w:r w:rsidR="00695587" w:rsidRPr="006A6222">
        <w:rPr>
          <w:rFonts w:ascii="Arial" w:hAnsi="Arial" w:cs="Arial"/>
          <w:sz w:val="20"/>
          <w:szCs w:val="20"/>
        </w:rPr>
        <w:t>were</w:t>
      </w:r>
      <w:r w:rsidRPr="006A6222">
        <w:rPr>
          <w:rFonts w:ascii="Arial" w:hAnsi="Arial" w:cs="Arial"/>
          <w:sz w:val="20"/>
          <w:szCs w:val="20"/>
        </w:rPr>
        <w:t xml:space="preserve"> used to</w:t>
      </w:r>
      <w:r w:rsidR="004C555B" w:rsidRPr="006A6222">
        <w:rPr>
          <w:rFonts w:ascii="Arial" w:hAnsi="Arial" w:cs="Arial"/>
          <w:sz w:val="20"/>
          <w:szCs w:val="20"/>
        </w:rPr>
        <w:t xml:space="preserve"> assess the reliability of SM identification</w:t>
      </w:r>
      <w:r w:rsidR="001968F8"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{"citationItems":[{"id":"ITEM-1","itemData":{"DOI":"10.1177/1040638719835577","ISSN":"19434936","PMID":"30943879","abstract":"Matrix-assisted laser desorption/ionization time-of-flight mass spectrometry (MALDI-TOF MS) has emerged as a reliable method to identify fungal isolates. The success of this approach relies on the availability of exhaustive databases, but the latter were built with a focus on human pathogens. We assessed a large in-house database of reference spectra and a dedicated web application for their suitability for use in veterinary laboratories. A panel of 290 mold and yeast isolates representing 69 different fungal species was isolated from various animals (including pets, cattle, and zoo animals) and identified using both MALDI-TOF MS and conventional techniques. The performance of the 2 methods was compared, and identifications were confirmed by DNA sequencing. MALDI-TOF MS allowed distinction between some closely related species and achieved 89% correct identification at the species level. In comparison, only 60% of the isolates were correctly identified with conventional approaches. Using this online application, MALDI-TOF MS thus appears to be a relevant alternative for the identification of fungal isolates encountered by animal health professionals.","author":[{"dropping-particle":"","family":"Becker","given":"Pierre","non-dropping-particle":"","parse-names":false,"suffix":""},{"dropping-particle":"","family":"Normand","given":"Anne Cécile","non-dropping-particle":"","parse-names":false,"suffix":""},{"dropping-particle":"","family":"Vanantwerpen","given":"Gerty","non-dropping-particle":"","parse-names":false,"suffix":""},{"dropping-particle":"","family":"Vanrobaeys","given":"Mia","non-dropping-particle":"","parse-names":false,"suffix":""},{"dropping-particle":"","family":"Haesendonck","given":"Roel","non-dropping-particle":"","parse-names":false,"suffix":""},{"dropping-particle":"","family":"Vercammen","given":"Francis","non-dropping-particle":"","parse-names":false,"suffix":""},{"dropping-particle":"","family":"Stubbe","given":"Dirk","non-dropping-particle":"","parse-names":false,"suffix":""},{"dropping-particle":"","family":"Piarroux","given":"Renaud","non-dropping-particle":"","parse-names":false,"suffix":""},{"dropping-particle":"","family":"Hendrickx","given":"Marijke","non-dropping-particle":"","parse-names":false,"suffix":""}],"container-title":"Journal of Veterinary Diagnostic Investigation","id":"ITEM-1","issue":"3","issued":{"date-parts":[["2019"]]},"page":"471-474","title":"Identification of fungal isolates by MALDI-TOF mass spectrometry in veterinary practice: validation of a web application","type":"article-journal","volume":"31"},"uris":["http://www.mendeley.com/documents/?uuid=9364c161-29de-496f-9a76-74e3c4257d99"]}],"mendeley":{"formattedCitation":"(Becker et al., 2019)","plainTextFormattedCitation":"(Becker et al., 2019)","previouslyFormattedCitation":"(Becker et al., 2019)"},"properties":{"noteIndex":0},"schema":"https://github.com/citation-style-language/schema/raw/master/csl-citation.json"}</w:instrText>
      </w:r>
      <w:r w:rsidR="001968F8" w:rsidRPr="006A6222">
        <w:rPr>
          <w:rFonts w:ascii="Arial" w:hAnsi="Arial" w:cs="Arial"/>
          <w:sz w:val="20"/>
          <w:szCs w:val="20"/>
        </w:rPr>
        <w:fldChar w:fldCharType="separate"/>
      </w:r>
      <w:r w:rsidR="00DA7D66" w:rsidRPr="006A6222">
        <w:rPr>
          <w:rFonts w:ascii="Arial" w:hAnsi="Arial" w:cs="Arial"/>
          <w:sz w:val="20"/>
          <w:szCs w:val="20"/>
        </w:rPr>
        <w:t xml:space="preserve">(Becker </w:t>
      </w:r>
      <w:r w:rsidR="00DA7D66" w:rsidRPr="00282A5B">
        <w:rPr>
          <w:rFonts w:ascii="Arial" w:hAnsi="Arial" w:cs="Arial"/>
          <w:i/>
          <w:iCs/>
          <w:sz w:val="20"/>
          <w:szCs w:val="20"/>
        </w:rPr>
        <w:t>et al.,</w:t>
      </w:r>
      <w:r w:rsidR="00DA7D66" w:rsidRPr="006A6222">
        <w:rPr>
          <w:rFonts w:ascii="Arial" w:hAnsi="Arial" w:cs="Arial"/>
          <w:sz w:val="20"/>
          <w:szCs w:val="20"/>
        </w:rPr>
        <w:t xml:space="preserve"> 2019)</w:t>
      </w:r>
      <w:r w:rsidR="001968F8" w:rsidRPr="006A6222">
        <w:rPr>
          <w:rFonts w:ascii="Arial" w:hAnsi="Arial" w:cs="Arial"/>
          <w:sz w:val="20"/>
          <w:szCs w:val="20"/>
        </w:rPr>
        <w:fldChar w:fldCharType="end"/>
      </w:r>
      <w:r w:rsidR="004C555B" w:rsidRPr="006A6222">
        <w:rPr>
          <w:rFonts w:ascii="Arial" w:hAnsi="Arial" w:cs="Arial"/>
          <w:sz w:val="20"/>
          <w:szCs w:val="20"/>
        </w:rPr>
        <w:t xml:space="preserve"> According to the criteria established by the MSI-2 platform, a score of 20 or higher indicates a satisfactory level of confidence in fungal identification. This threshold ensures that the identification is reliable and minimizes the risk of misclassification, providing a robust basis for further analysis and interpretation</w:t>
      </w:r>
      <w:r w:rsidR="00237558" w:rsidRPr="006A6222">
        <w:rPr>
          <w:rFonts w:ascii="Arial" w:hAnsi="Arial" w:cs="Arial"/>
          <w:sz w:val="20"/>
          <w:szCs w:val="20"/>
        </w:rPr>
        <w:fldChar w:fldCharType="begin" w:fldLock="1"/>
      </w:r>
      <w:r w:rsidR="00D7462F" w:rsidRPr="006A6222">
        <w:rPr>
          <w:rFonts w:ascii="Arial" w:hAnsi="Arial" w:cs="Arial"/>
          <w:sz w:val="20"/>
          <w:szCs w:val="20"/>
        </w:rPr>
        <w:instrText>ADDIN CSL_CITATION {"citationItems":[{"id":"ITEM-1","itemData":{"author":[{"dropping-particle":"","family":"Simon","given":"Émilie","non-dropping-particle":"","parse-names":false,"suffix":""}],"container-title":"HAL Id dumas-03213063","id":"ITEM-1","issued":{"date-parts":[["2021"]]},"number-of-pages":"1-126","title":"Mise au point d ’ une technique de séquençage pour l ’ identification fongique To cite this version : HAL Id : dumas-03213063 Université de Rouen Normandie UFR Santé – Département Pharmacie","type":"report"},"uris":["http://www.mendeley.com/documents/?uuid=28e0043c-f919-4ddf-a2b7-027b21affaad"]}],"mendeley":{"formattedCitation":"(Simon, 2021)","plainTextFormattedCitation":"(Simon, 2021)","previouslyFormattedCitation":"(Simon, 2021)"},"properties":{"noteIndex":0},"schema":"https://github.com/citation-style-language/schema/raw/master/csl-citation.json"}</w:instrText>
      </w:r>
      <w:r w:rsidR="00237558" w:rsidRPr="006A6222">
        <w:rPr>
          <w:rFonts w:ascii="Arial" w:hAnsi="Arial" w:cs="Arial"/>
          <w:sz w:val="20"/>
          <w:szCs w:val="20"/>
        </w:rPr>
        <w:fldChar w:fldCharType="separate"/>
      </w:r>
      <w:r w:rsidR="00DA7D66" w:rsidRPr="006A6222">
        <w:rPr>
          <w:rFonts w:ascii="Arial" w:hAnsi="Arial" w:cs="Arial"/>
          <w:sz w:val="20"/>
          <w:szCs w:val="20"/>
        </w:rPr>
        <w:t>(Simon, 2021)</w:t>
      </w:r>
      <w:r w:rsidR="00237558" w:rsidRPr="006A6222">
        <w:rPr>
          <w:rFonts w:ascii="Arial" w:hAnsi="Arial" w:cs="Arial"/>
          <w:sz w:val="20"/>
          <w:szCs w:val="20"/>
        </w:rPr>
        <w:fldChar w:fldCharType="end"/>
      </w:r>
      <w:r w:rsidR="00806D12" w:rsidRPr="006A6222">
        <w:rPr>
          <w:rFonts w:ascii="Arial" w:hAnsi="Arial" w:cs="Arial"/>
          <w:sz w:val="20"/>
          <w:szCs w:val="20"/>
        </w:rPr>
        <w:t>.</w:t>
      </w:r>
    </w:p>
    <w:p w14:paraId="4DD5342A" w14:textId="15688C84" w:rsidR="00496C13" w:rsidRPr="00E85FF3" w:rsidRDefault="00C54D3C" w:rsidP="00E85FF3">
      <w:pPr>
        <w:pStyle w:val="Heading3"/>
        <w:keepNext w:val="0"/>
        <w:keepLines w:val="0"/>
        <w:numPr>
          <w:ilvl w:val="1"/>
          <w:numId w:val="4"/>
        </w:numPr>
        <w:spacing w:before="0" w:line="480" w:lineRule="auto"/>
        <w:rPr>
          <w:rFonts w:ascii="Arial" w:eastAsia="Times New Roman" w:hAnsi="Arial" w:cs="Arial"/>
          <w:b/>
          <w:bCs/>
          <w:noProof w:val="0"/>
          <w:color w:val="auto"/>
          <w:kern w:val="0"/>
          <w:sz w:val="22"/>
          <w:szCs w:val="22"/>
          <w:lang w:val="en-US" w:eastAsia="en-ZA"/>
          <w14:ligatures w14:val="none"/>
        </w:rPr>
      </w:pPr>
      <w:r w:rsidRPr="00E85FF3">
        <w:rPr>
          <w:rFonts w:ascii="Arial" w:eastAsia="Times New Roman" w:hAnsi="Arial" w:cs="Arial"/>
          <w:b/>
          <w:bCs/>
          <w:noProof w:val="0"/>
          <w:color w:val="auto"/>
          <w:kern w:val="0"/>
          <w:sz w:val="22"/>
          <w:szCs w:val="22"/>
          <w:lang w:val="en-US" w:eastAsia="en-ZA"/>
          <w14:ligatures w14:val="none"/>
        </w:rPr>
        <w:t>Statistical</w:t>
      </w:r>
      <w:r w:rsidR="00496C13" w:rsidRPr="00E85FF3">
        <w:rPr>
          <w:rFonts w:ascii="Arial" w:eastAsia="Times New Roman" w:hAnsi="Arial" w:cs="Arial"/>
          <w:b/>
          <w:bCs/>
          <w:noProof w:val="0"/>
          <w:color w:val="auto"/>
          <w:kern w:val="0"/>
          <w:sz w:val="22"/>
          <w:szCs w:val="22"/>
          <w:lang w:val="en-US" w:eastAsia="en-ZA"/>
          <w14:ligatures w14:val="none"/>
        </w:rPr>
        <w:t xml:space="preserve"> analysis</w:t>
      </w:r>
    </w:p>
    <w:p w14:paraId="0BEF4D84" w14:textId="4FFD54FF" w:rsidR="00806D12" w:rsidRDefault="00C54D3C" w:rsidP="00451967">
      <w:pPr>
        <w:spacing w:line="480" w:lineRule="auto"/>
        <w:jc w:val="both"/>
        <w:rPr>
          <w:rFonts w:ascii="Arial" w:hAnsi="Arial" w:cs="Arial"/>
          <w:sz w:val="20"/>
          <w:szCs w:val="20"/>
        </w:rPr>
      </w:pPr>
      <w:r w:rsidRPr="006A6222">
        <w:rPr>
          <w:rFonts w:ascii="Arial" w:hAnsi="Arial" w:cs="Arial"/>
          <w:sz w:val="20"/>
          <w:szCs w:val="20"/>
        </w:rPr>
        <w:t xml:space="preserve">All data were meticulously entered into Microsoft Excel (version 2016) and subsequently analyzed using Epi Info software (version 7.2.2.6). To evaluate the consistency and reliability of the results obtained from the two methods, the rate of agreement was calculated, providing a quantitative measure of </w:t>
      </w:r>
      <w:r w:rsidRPr="006A6222">
        <w:rPr>
          <w:rFonts w:ascii="Arial" w:hAnsi="Arial" w:cs="Arial"/>
          <w:sz w:val="20"/>
          <w:szCs w:val="20"/>
        </w:rPr>
        <w:lastRenderedPageBreak/>
        <w:t>concordance. This assessment aimed to determine the level of alignment between the two approaches, ensuring the validity of the findings</w:t>
      </w:r>
      <w:r w:rsidR="004231BA" w:rsidRPr="006A6222">
        <w:rPr>
          <w:rFonts w:ascii="Arial" w:hAnsi="Arial" w:cs="Arial"/>
          <w:sz w:val="20"/>
          <w:szCs w:val="20"/>
        </w:rPr>
        <w:t>.</w:t>
      </w:r>
    </w:p>
    <w:p w14:paraId="3C89B5A5" w14:textId="77777777" w:rsidR="00845307" w:rsidRPr="006A6222" w:rsidRDefault="00845307" w:rsidP="00451967">
      <w:pPr>
        <w:spacing w:line="480" w:lineRule="auto"/>
        <w:jc w:val="both"/>
        <w:rPr>
          <w:rFonts w:ascii="Arial" w:hAnsi="Arial" w:cs="Arial"/>
          <w:sz w:val="20"/>
          <w:szCs w:val="20"/>
        </w:rPr>
      </w:pPr>
    </w:p>
    <w:p w14:paraId="6BEC5ECF" w14:textId="4B5A3E96" w:rsidR="00806D12" w:rsidRPr="006A6222" w:rsidRDefault="006A6222" w:rsidP="00E85FF3">
      <w:pPr>
        <w:pStyle w:val="Heading1"/>
        <w:numPr>
          <w:ilvl w:val="0"/>
          <w:numId w:val="4"/>
        </w:numPr>
        <w:spacing w:before="240" w:line="480" w:lineRule="auto"/>
        <w:jc w:val="left"/>
        <w:rPr>
          <w:sz w:val="22"/>
          <w:szCs w:val="22"/>
        </w:rPr>
      </w:pPr>
      <w:bookmarkStart w:id="13" w:name="_Hlk193404692"/>
      <w:bookmarkEnd w:id="12"/>
      <w:r w:rsidRPr="006A6222">
        <w:rPr>
          <w:sz w:val="22"/>
          <w:szCs w:val="22"/>
        </w:rPr>
        <w:t>RESULTS</w:t>
      </w:r>
    </w:p>
    <w:p w14:paraId="62E7C34E" w14:textId="73A76B3E" w:rsidR="008C2ADE" w:rsidRPr="00E85FF3" w:rsidRDefault="0005250B" w:rsidP="00E85FF3">
      <w:pPr>
        <w:pStyle w:val="Heading1"/>
        <w:numPr>
          <w:ilvl w:val="1"/>
          <w:numId w:val="4"/>
        </w:numPr>
        <w:spacing w:before="240" w:line="480" w:lineRule="auto"/>
        <w:jc w:val="left"/>
        <w:rPr>
          <w:sz w:val="22"/>
          <w:szCs w:val="22"/>
        </w:rPr>
      </w:pPr>
      <w:r w:rsidRPr="006A6222">
        <w:rPr>
          <w:sz w:val="22"/>
          <w:szCs w:val="22"/>
        </w:rPr>
        <w:t xml:space="preserve">General </w:t>
      </w:r>
      <w:r w:rsidR="00664C0E" w:rsidRPr="006A6222">
        <w:rPr>
          <w:sz w:val="22"/>
          <w:szCs w:val="22"/>
        </w:rPr>
        <w:t>characteristics</w:t>
      </w:r>
      <w:r w:rsidRPr="006A6222">
        <w:rPr>
          <w:sz w:val="22"/>
          <w:szCs w:val="22"/>
        </w:rPr>
        <w:t xml:space="preserve"> of the </w:t>
      </w:r>
      <w:r w:rsidR="00343C89" w:rsidRPr="006A6222">
        <w:rPr>
          <w:sz w:val="22"/>
          <w:szCs w:val="22"/>
        </w:rPr>
        <w:t>clinical fungi isolates</w:t>
      </w:r>
    </w:p>
    <w:p w14:paraId="15425C6A" w14:textId="209BCE06" w:rsidR="00994FB2" w:rsidRPr="006A6222" w:rsidRDefault="00994FB2" w:rsidP="00451967">
      <w:pPr>
        <w:spacing w:line="480" w:lineRule="auto"/>
        <w:jc w:val="both"/>
        <w:rPr>
          <w:rFonts w:ascii="Arial" w:hAnsi="Arial" w:cs="Arial"/>
          <w:sz w:val="20"/>
          <w:szCs w:val="18"/>
        </w:rPr>
      </w:pPr>
      <w:r w:rsidRPr="006A6222">
        <w:rPr>
          <w:rFonts w:ascii="Arial" w:hAnsi="Arial" w:cs="Arial"/>
          <w:sz w:val="20"/>
          <w:szCs w:val="18"/>
        </w:rPr>
        <w:t xml:space="preserve">A total of 538 samples were collected, including 114 </w:t>
      </w:r>
      <w:r w:rsidRPr="006A6222">
        <w:rPr>
          <w:rStyle w:val="Emphasis"/>
          <w:rFonts w:ascii="Arial" w:hAnsi="Arial" w:cs="Arial"/>
          <w:sz w:val="20"/>
          <w:szCs w:val="18"/>
        </w:rPr>
        <w:t>Malassezia</w:t>
      </w:r>
      <w:r w:rsidRPr="006A6222">
        <w:rPr>
          <w:rFonts w:ascii="Arial" w:hAnsi="Arial" w:cs="Arial"/>
          <w:sz w:val="20"/>
          <w:szCs w:val="18"/>
        </w:rPr>
        <w:t xml:space="preserve"> samples identified directly through tape stripping, along with 154 negative cultures (Figure 3). Of these, 270 isolates were sent to </w:t>
      </w:r>
      <w:r w:rsidRPr="00111982">
        <w:rPr>
          <w:rStyle w:val="Strong"/>
          <w:rFonts w:ascii="Arial" w:hAnsi="Arial" w:cs="Arial"/>
          <w:b w:val="0"/>
          <w:bCs w:val="0"/>
          <w:sz w:val="20"/>
          <w:szCs w:val="18"/>
        </w:rPr>
        <w:t>Hôpital Pitié-Salpêtrière</w:t>
      </w:r>
      <w:r w:rsidRPr="00111982">
        <w:rPr>
          <w:rFonts w:ascii="Arial" w:hAnsi="Arial" w:cs="Arial"/>
          <w:b/>
          <w:bCs/>
          <w:sz w:val="20"/>
          <w:szCs w:val="18"/>
        </w:rPr>
        <w:t xml:space="preserve"> </w:t>
      </w:r>
      <w:r w:rsidRPr="006A6222">
        <w:rPr>
          <w:rFonts w:ascii="Arial" w:hAnsi="Arial" w:cs="Arial"/>
          <w:sz w:val="20"/>
          <w:szCs w:val="18"/>
        </w:rPr>
        <w:t>for MALDI-TOF MS analysis. During transportation, 21 isolates (7.77</w:t>
      </w:r>
      <w:r w:rsidR="00B629F5" w:rsidRPr="006A6222">
        <w:rPr>
          <w:rFonts w:ascii="Arial" w:hAnsi="Arial" w:cs="Arial"/>
          <w:sz w:val="20"/>
          <w:szCs w:val="18"/>
        </w:rPr>
        <w:t xml:space="preserve"> </w:t>
      </w:r>
      <w:r w:rsidRPr="006A6222">
        <w:rPr>
          <w:rFonts w:ascii="Arial" w:hAnsi="Arial" w:cs="Arial"/>
          <w:sz w:val="20"/>
          <w:szCs w:val="18"/>
        </w:rPr>
        <w:t>%) became contaminated between their initial identification in Lomé and their arrival in France for characterization. These contaminated samples had initially been identified using routine methods as dermatophytes (</w:t>
      </w:r>
      <w:r w:rsidRPr="006A6222">
        <w:rPr>
          <w:rStyle w:val="Emphasis"/>
          <w:rFonts w:ascii="Arial" w:hAnsi="Arial" w:cs="Arial"/>
          <w:sz w:val="20"/>
          <w:szCs w:val="18"/>
        </w:rPr>
        <w:t>n</w:t>
      </w:r>
      <w:r w:rsidRPr="006A6222">
        <w:rPr>
          <w:rFonts w:ascii="Arial" w:hAnsi="Arial" w:cs="Arial"/>
          <w:sz w:val="20"/>
          <w:szCs w:val="18"/>
        </w:rPr>
        <w:t xml:space="preserve"> = 14), yeasts (</w:t>
      </w:r>
      <w:r w:rsidRPr="006A6222">
        <w:rPr>
          <w:rStyle w:val="Emphasis"/>
          <w:rFonts w:ascii="Arial" w:hAnsi="Arial" w:cs="Arial"/>
          <w:sz w:val="20"/>
          <w:szCs w:val="18"/>
        </w:rPr>
        <w:t>n</w:t>
      </w:r>
      <w:r w:rsidRPr="006A6222">
        <w:rPr>
          <w:rFonts w:ascii="Arial" w:hAnsi="Arial" w:cs="Arial"/>
          <w:sz w:val="20"/>
          <w:szCs w:val="18"/>
        </w:rPr>
        <w:t xml:space="preserve"> = 4), </w:t>
      </w:r>
      <w:r w:rsidRPr="006A6222">
        <w:rPr>
          <w:rStyle w:val="Emphasis"/>
          <w:rFonts w:ascii="Arial" w:hAnsi="Arial" w:cs="Arial"/>
          <w:sz w:val="20"/>
          <w:szCs w:val="18"/>
        </w:rPr>
        <w:t>Fusarium spp.</w:t>
      </w:r>
      <w:r w:rsidRPr="006A6222">
        <w:rPr>
          <w:rFonts w:ascii="Arial" w:hAnsi="Arial" w:cs="Arial"/>
          <w:sz w:val="20"/>
          <w:szCs w:val="18"/>
        </w:rPr>
        <w:t xml:space="preserve"> (</w:t>
      </w:r>
      <w:r w:rsidRPr="006A6222">
        <w:rPr>
          <w:rStyle w:val="Emphasis"/>
          <w:rFonts w:ascii="Arial" w:hAnsi="Arial" w:cs="Arial"/>
          <w:sz w:val="20"/>
          <w:szCs w:val="18"/>
        </w:rPr>
        <w:t>n</w:t>
      </w:r>
      <w:r w:rsidRPr="006A6222">
        <w:rPr>
          <w:rFonts w:ascii="Arial" w:hAnsi="Arial" w:cs="Arial"/>
          <w:sz w:val="20"/>
          <w:szCs w:val="18"/>
        </w:rPr>
        <w:t xml:space="preserve"> </w:t>
      </w:r>
      <w:r w:rsidR="005366C5" w:rsidRPr="006A6222">
        <w:rPr>
          <w:rFonts w:ascii="Arial" w:hAnsi="Arial" w:cs="Arial"/>
          <w:sz w:val="20"/>
          <w:szCs w:val="18"/>
        </w:rPr>
        <w:t>=</w:t>
      </w:r>
      <w:r w:rsidRPr="006A6222">
        <w:rPr>
          <w:rFonts w:ascii="Arial" w:hAnsi="Arial" w:cs="Arial"/>
          <w:sz w:val="20"/>
          <w:szCs w:val="18"/>
        </w:rPr>
        <w:t>1), mucorale (</w:t>
      </w:r>
      <w:r w:rsidRPr="006A6222">
        <w:rPr>
          <w:rStyle w:val="Emphasis"/>
          <w:rFonts w:ascii="Arial" w:hAnsi="Arial" w:cs="Arial"/>
          <w:sz w:val="20"/>
          <w:szCs w:val="18"/>
        </w:rPr>
        <w:t>n</w:t>
      </w:r>
      <w:r w:rsidRPr="006A6222">
        <w:rPr>
          <w:rFonts w:ascii="Arial" w:hAnsi="Arial" w:cs="Arial"/>
          <w:sz w:val="20"/>
          <w:szCs w:val="18"/>
        </w:rPr>
        <w:t xml:space="preserve"> = 1), and a mold of the genus </w:t>
      </w:r>
      <w:r w:rsidRPr="006A6222">
        <w:rPr>
          <w:rStyle w:val="Emphasis"/>
          <w:rFonts w:ascii="Arial" w:hAnsi="Arial" w:cs="Arial"/>
          <w:sz w:val="20"/>
          <w:szCs w:val="18"/>
        </w:rPr>
        <w:t>Neoscytalidium</w:t>
      </w:r>
      <w:r w:rsidRPr="006A6222">
        <w:rPr>
          <w:rFonts w:ascii="Arial" w:hAnsi="Arial" w:cs="Arial"/>
          <w:sz w:val="20"/>
          <w:szCs w:val="18"/>
        </w:rPr>
        <w:t xml:space="preserve"> (</w:t>
      </w:r>
      <w:r w:rsidRPr="006A6222">
        <w:rPr>
          <w:rStyle w:val="Emphasis"/>
          <w:rFonts w:ascii="Arial" w:hAnsi="Arial" w:cs="Arial"/>
          <w:sz w:val="20"/>
          <w:szCs w:val="18"/>
        </w:rPr>
        <w:t>n</w:t>
      </w:r>
      <w:r w:rsidRPr="006A6222">
        <w:rPr>
          <w:rFonts w:ascii="Arial" w:hAnsi="Arial" w:cs="Arial"/>
          <w:sz w:val="20"/>
          <w:szCs w:val="18"/>
        </w:rPr>
        <w:t xml:space="preserve"> = 1). However, MALDI-TOF MS analysis revealed that these isolates belonged to the genus </w:t>
      </w:r>
      <w:r w:rsidRPr="006A6222">
        <w:rPr>
          <w:rStyle w:val="Emphasis"/>
          <w:rFonts w:ascii="Arial" w:hAnsi="Arial" w:cs="Arial"/>
          <w:sz w:val="20"/>
          <w:szCs w:val="18"/>
        </w:rPr>
        <w:t>Aspergillus</w:t>
      </w:r>
      <w:r w:rsidRPr="006A6222">
        <w:rPr>
          <w:rFonts w:ascii="Arial" w:hAnsi="Arial" w:cs="Arial"/>
          <w:sz w:val="20"/>
          <w:szCs w:val="18"/>
        </w:rPr>
        <w:t xml:space="preserve"> (</w:t>
      </w:r>
      <w:r w:rsidRPr="006A6222">
        <w:rPr>
          <w:rStyle w:val="Emphasis"/>
          <w:rFonts w:ascii="Arial" w:hAnsi="Arial" w:cs="Arial"/>
          <w:sz w:val="20"/>
          <w:szCs w:val="18"/>
        </w:rPr>
        <w:t>n</w:t>
      </w:r>
      <w:r w:rsidRPr="006A6222">
        <w:rPr>
          <w:rFonts w:ascii="Arial" w:hAnsi="Arial" w:cs="Arial"/>
          <w:sz w:val="20"/>
          <w:szCs w:val="18"/>
        </w:rPr>
        <w:t xml:space="preserve"> = 18) and </w:t>
      </w:r>
      <w:r w:rsidRPr="006A6222">
        <w:rPr>
          <w:rStyle w:val="Emphasis"/>
          <w:rFonts w:ascii="Arial" w:hAnsi="Arial" w:cs="Arial"/>
          <w:sz w:val="20"/>
          <w:szCs w:val="18"/>
        </w:rPr>
        <w:t>Penicillium/Talaromyces</w:t>
      </w:r>
      <w:r w:rsidRPr="006A6222">
        <w:rPr>
          <w:rFonts w:ascii="Arial" w:hAnsi="Arial" w:cs="Arial"/>
          <w:sz w:val="20"/>
          <w:szCs w:val="18"/>
        </w:rPr>
        <w:t xml:space="preserve"> (</w:t>
      </w:r>
      <w:r w:rsidRPr="006A6222">
        <w:rPr>
          <w:rStyle w:val="Emphasis"/>
          <w:rFonts w:ascii="Arial" w:hAnsi="Arial" w:cs="Arial"/>
          <w:sz w:val="20"/>
          <w:szCs w:val="18"/>
        </w:rPr>
        <w:t>n</w:t>
      </w:r>
      <w:r w:rsidRPr="006A6222">
        <w:rPr>
          <w:rFonts w:ascii="Arial" w:hAnsi="Arial" w:cs="Arial"/>
          <w:sz w:val="20"/>
          <w:szCs w:val="18"/>
        </w:rPr>
        <w:t xml:space="preserve"> = 3)</w:t>
      </w:r>
      <w:r w:rsidR="008B6AD6" w:rsidRPr="006A6222">
        <w:rPr>
          <w:rFonts w:ascii="Arial" w:hAnsi="Arial" w:cs="Arial"/>
          <w:sz w:val="20"/>
          <w:szCs w:val="18"/>
        </w:rPr>
        <w:t xml:space="preserve"> </w:t>
      </w:r>
      <w:r w:rsidR="0035237E" w:rsidRPr="006A6222">
        <w:rPr>
          <w:rFonts w:ascii="Arial" w:hAnsi="Arial" w:cs="Arial"/>
          <w:sz w:val="20"/>
          <w:szCs w:val="18"/>
        </w:rPr>
        <w:t>.</w:t>
      </w:r>
    </w:p>
    <w:p w14:paraId="4F2392F4" w14:textId="2BCD477D" w:rsidR="00737017" w:rsidRPr="006A6222" w:rsidRDefault="00737017" w:rsidP="00451967">
      <w:pPr>
        <w:spacing w:line="480" w:lineRule="auto"/>
        <w:jc w:val="both"/>
        <w:rPr>
          <w:rFonts w:ascii="Arial" w:hAnsi="Arial" w:cs="Arial"/>
          <w:sz w:val="24"/>
          <w:szCs w:val="24"/>
        </w:rPr>
      </w:pPr>
      <w:bookmarkStart w:id="14" w:name="_Hlk193405738"/>
      <w:bookmarkEnd w:id="13"/>
      <w:r w:rsidRPr="006A6222">
        <w:rPr>
          <w:rFonts w:ascii="Arial" w:hAnsi="Arial" w:cs="Arial"/>
          <w:bCs/>
          <w:sz w:val="20"/>
          <w:szCs w:val="20"/>
          <w:lang w:eastAsia="fr-FR"/>
        </w:rPr>
        <mc:AlternateContent>
          <mc:Choice Requires="wpg">
            <w:drawing>
              <wp:anchor distT="0" distB="0" distL="114300" distR="114300" simplePos="0" relativeHeight="251672576" behindDoc="0" locked="0" layoutInCell="1" allowOverlap="1" wp14:anchorId="0FE47EE6" wp14:editId="4BE4F3A7">
                <wp:simplePos x="0" y="0"/>
                <wp:positionH relativeFrom="column">
                  <wp:posOffset>71755</wp:posOffset>
                </wp:positionH>
                <wp:positionV relativeFrom="paragraph">
                  <wp:posOffset>164465</wp:posOffset>
                </wp:positionV>
                <wp:extent cx="4895850" cy="3395345"/>
                <wp:effectExtent l="0" t="0" r="19050" b="14605"/>
                <wp:wrapNone/>
                <wp:docPr id="1670601859" name="Groupe 18"/>
                <wp:cNvGraphicFramePr/>
                <a:graphic xmlns:a="http://schemas.openxmlformats.org/drawingml/2006/main">
                  <a:graphicData uri="http://schemas.microsoft.com/office/word/2010/wordprocessingGroup">
                    <wpg:wgp>
                      <wpg:cNvGrpSpPr/>
                      <wpg:grpSpPr>
                        <a:xfrm>
                          <a:off x="0" y="0"/>
                          <a:ext cx="4895850" cy="3395345"/>
                          <a:chOff x="0" y="180975"/>
                          <a:chExt cx="5019675" cy="3687417"/>
                        </a:xfrm>
                      </wpg:grpSpPr>
                      <wps:wsp>
                        <wps:cNvPr id="1530812027" name="Connecteur droit avec flèche 13"/>
                        <wps:cNvCnPr/>
                        <wps:spPr>
                          <a:xfrm>
                            <a:off x="1362075" y="895350"/>
                            <a:ext cx="1038225"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555845983" name="Groupe 17"/>
                        <wpg:cNvGrpSpPr/>
                        <wpg:grpSpPr>
                          <a:xfrm>
                            <a:off x="0" y="180975"/>
                            <a:ext cx="5019675" cy="3687417"/>
                            <a:chOff x="0" y="180975"/>
                            <a:chExt cx="5019675" cy="3687417"/>
                          </a:xfrm>
                        </wpg:grpSpPr>
                        <wps:wsp>
                          <wps:cNvPr id="1151822316" name="Connecteur droit avec flèche 3"/>
                          <wps:cNvCnPr/>
                          <wps:spPr>
                            <a:xfrm>
                              <a:off x="1352550" y="619125"/>
                              <a:ext cx="0" cy="59563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148153331" name="Groupe 14"/>
                          <wpg:cNvGrpSpPr/>
                          <wpg:grpSpPr>
                            <a:xfrm>
                              <a:off x="0" y="180975"/>
                              <a:ext cx="5019675" cy="3687417"/>
                              <a:chOff x="0" y="180975"/>
                              <a:chExt cx="5019675" cy="3687417"/>
                            </a:xfrm>
                          </wpg:grpSpPr>
                          <wps:wsp>
                            <wps:cNvPr id="921757525" name="Connecteur droit avec flèche 13"/>
                            <wps:cNvCnPr/>
                            <wps:spPr>
                              <a:xfrm>
                                <a:off x="1381126" y="3138876"/>
                                <a:ext cx="1038225"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8316907" name="Rectangle 1"/>
                            <wps:cNvSpPr/>
                            <wps:spPr>
                              <a:xfrm>
                                <a:off x="0" y="3438902"/>
                                <a:ext cx="3286125" cy="42949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D57170" w14:textId="77777777" w:rsidR="00737017" w:rsidRPr="00E6253D" w:rsidRDefault="00737017" w:rsidP="00737017">
                                  <w:pPr>
                                    <w:spacing w:after="0" w:line="240" w:lineRule="auto"/>
                                    <w:jc w:val="center"/>
                                    <w:rPr>
                                      <w:rFonts w:ascii="Arial" w:hAnsi="Arial" w:cs="Arial"/>
                                      <w:sz w:val="20"/>
                                      <w:szCs w:val="20"/>
                                    </w:rPr>
                                  </w:pPr>
                                  <w:r w:rsidRPr="00E6253D">
                                    <w:rPr>
                                      <w:rFonts w:ascii="Arial" w:hAnsi="Arial" w:cs="Arial"/>
                                      <w:sz w:val="20"/>
                                      <w:szCs w:val="20"/>
                                    </w:rPr>
                                    <w:t>249 isolates selected for comparison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0585325" name="Zone de texte 6"/>
                            <wps:cNvSpPr txBox="1"/>
                            <wps:spPr>
                              <a:xfrm>
                                <a:off x="2447926" y="2978407"/>
                                <a:ext cx="2381250" cy="419100"/>
                              </a:xfrm>
                              <a:prstGeom prst="rect">
                                <a:avLst/>
                              </a:prstGeom>
                              <a:solidFill>
                                <a:schemeClr val="lt1"/>
                              </a:solidFill>
                              <a:ln w="9525">
                                <a:solidFill>
                                  <a:schemeClr val="tx1"/>
                                </a:solidFill>
                              </a:ln>
                            </wps:spPr>
                            <wps:txbx>
                              <w:txbxContent>
                                <w:p w14:paraId="1B6DC855" w14:textId="77777777" w:rsidR="00737017" w:rsidRPr="00E6253D" w:rsidRDefault="00737017" w:rsidP="00737017">
                                  <w:pPr>
                                    <w:rPr>
                                      <w:rFonts w:ascii="Arial" w:hAnsi="Arial" w:cs="Arial"/>
                                      <w:sz w:val="18"/>
                                      <w:szCs w:val="18"/>
                                    </w:rPr>
                                  </w:pPr>
                                  <w:r w:rsidRPr="00E6253D">
                                    <w:rPr>
                                      <w:rFonts w:ascii="Arial" w:hAnsi="Arial" w:cs="Arial"/>
                                      <w:bCs/>
                                      <w:sz w:val="20"/>
                                    </w:rPr>
                                    <w:t>21 contaminated crops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103321936" name="Groupe 13"/>
                            <wpg:cNvGrpSpPr/>
                            <wpg:grpSpPr>
                              <a:xfrm>
                                <a:off x="0" y="180975"/>
                                <a:ext cx="5019675" cy="3257927"/>
                                <a:chOff x="0" y="180975"/>
                                <a:chExt cx="5019675" cy="3257927"/>
                              </a:xfrm>
                            </wpg:grpSpPr>
                            <wps:wsp>
                              <wps:cNvPr id="652300435" name="Rectangle 1"/>
                              <wps:cNvSpPr/>
                              <wps:spPr>
                                <a:xfrm>
                                  <a:off x="0" y="2343015"/>
                                  <a:ext cx="3286125" cy="561947"/>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AB14E8" w14:textId="77777777" w:rsidR="00737017" w:rsidRPr="00E6253D" w:rsidRDefault="00737017" w:rsidP="00737017">
                                    <w:pPr>
                                      <w:spacing w:after="0" w:line="240" w:lineRule="auto"/>
                                      <w:jc w:val="center"/>
                                      <w:rPr>
                                        <w:rFonts w:ascii="Arial" w:hAnsi="Arial" w:cs="Arial"/>
                                        <w:sz w:val="20"/>
                                        <w:szCs w:val="20"/>
                                      </w:rPr>
                                    </w:pPr>
                                    <w:r w:rsidRPr="00E6253D">
                                      <w:rPr>
                                        <w:rFonts w:ascii="Arial" w:hAnsi="Arial" w:cs="Arial"/>
                                        <w:sz w:val="20"/>
                                        <w:szCs w:val="20"/>
                                      </w:rPr>
                                      <w:t>270 isolates identified at RM and</w:t>
                                    </w:r>
                                  </w:p>
                                  <w:p w14:paraId="074DF2AF" w14:textId="77777777" w:rsidR="00737017" w:rsidRPr="00E6253D" w:rsidRDefault="00737017" w:rsidP="00737017">
                                    <w:pPr>
                                      <w:spacing w:after="0" w:line="240" w:lineRule="auto"/>
                                      <w:jc w:val="center"/>
                                      <w:rPr>
                                        <w:rFonts w:ascii="Arial" w:hAnsi="Arial" w:cs="Arial"/>
                                        <w:sz w:val="20"/>
                                        <w:szCs w:val="20"/>
                                      </w:rPr>
                                    </w:pPr>
                                    <w:r w:rsidRPr="00E6253D">
                                      <w:rPr>
                                        <w:rFonts w:ascii="Arial" w:hAnsi="Arial" w:cs="Arial"/>
                                        <w:sz w:val="20"/>
                                        <w:szCs w:val="20"/>
                                      </w:rPr>
                                      <w:t>sent for 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3431443" name="Connecteur droit avec flèche 3"/>
                              <wps:cNvCnPr/>
                              <wps:spPr>
                                <a:xfrm>
                                  <a:off x="1352550" y="1752600"/>
                                  <a:ext cx="0" cy="5957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43093176" name="Zone de texte 6"/>
                              <wps:cNvSpPr txBox="1"/>
                              <wps:spPr>
                                <a:xfrm>
                                  <a:off x="2419350" y="1838325"/>
                                  <a:ext cx="1885950" cy="370495"/>
                                </a:xfrm>
                                <a:prstGeom prst="rect">
                                  <a:avLst/>
                                </a:prstGeom>
                                <a:solidFill>
                                  <a:schemeClr val="lt1"/>
                                </a:solidFill>
                                <a:ln w="9525">
                                  <a:solidFill>
                                    <a:schemeClr val="tx1"/>
                                  </a:solidFill>
                                </a:ln>
                              </wps:spPr>
                              <wps:txbx>
                                <w:txbxContent>
                                  <w:p w14:paraId="5463D45A" w14:textId="77777777" w:rsidR="00737017" w:rsidRPr="006A6222" w:rsidRDefault="00737017" w:rsidP="00737017">
                                    <w:pPr>
                                      <w:rPr>
                                        <w:rFonts w:ascii="Arial" w:hAnsi="Arial" w:cs="Arial"/>
                                        <w:sz w:val="18"/>
                                        <w:szCs w:val="18"/>
                                      </w:rPr>
                                    </w:pPr>
                                    <w:r w:rsidRPr="006A6222">
                                      <w:rPr>
                                        <w:rFonts w:ascii="Arial" w:hAnsi="Arial" w:cs="Arial"/>
                                        <w:bCs/>
                                        <w:sz w:val="20"/>
                                      </w:rPr>
                                      <w:t>154 negative cultures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8612107" name="Connecteur droit avec flèche 13"/>
                              <wps:cNvCnPr/>
                              <wps:spPr>
                                <a:xfrm>
                                  <a:off x="1362075" y="2000250"/>
                                  <a:ext cx="1038225"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58180815" name="Connecteur droit avec flèche 3"/>
                              <wps:cNvCnPr/>
                              <wps:spPr>
                                <a:xfrm>
                                  <a:off x="1352550" y="2904962"/>
                                  <a:ext cx="0" cy="53394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55250209" name="Rectangle 1"/>
                              <wps:cNvSpPr/>
                              <wps:spPr>
                                <a:xfrm>
                                  <a:off x="0" y="1219200"/>
                                  <a:ext cx="3295650" cy="50863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D6640E" w14:textId="77777777" w:rsidR="00737017" w:rsidRPr="006A6222" w:rsidRDefault="00737017" w:rsidP="00737017">
                                    <w:pPr>
                                      <w:jc w:val="center"/>
                                      <w:rPr>
                                        <w:rFonts w:ascii="Arial" w:hAnsi="Arial" w:cs="Arial"/>
                                        <w:sz w:val="20"/>
                                        <w:szCs w:val="20"/>
                                      </w:rPr>
                                    </w:pPr>
                                    <w:r w:rsidRPr="006A6222">
                                      <w:rPr>
                                        <w:rFonts w:ascii="Arial" w:hAnsi="Arial" w:cs="Arial"/>
                                        <w:sz w:val="20"/>
                                        <w:szCs w:val="20"/>
                                      </w:rPr>
                                      <w:t>424 cases cultivated on SC and/or SAC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3967192" name="Groupe 12"/>
                              <wpg:cNvGrpSpPr/>
                              <wpg:grpSpPr>
                                <a:xfrm>
                                  <a:off x="0" y="180975"/>
                                  <a:ext cx="5019675" cy="1033608"/>
                                  <a:chOff x="0" y="180975"/>
                                  <a:chExt cx="5019675" cy="1033608"/>
                                </a:xfrm>
                              </wpg:grpSpPr>
                              <wps:wsp>
                                <wps:cNvPr id="584301112" name="Rectangle 1"/>
                                <wps:cNvSpPr/>
                                <wps:spPr>
                                  <a:xfrm>
                                    <a:off x="0" y="180975"/>
                                    <a:ext cx="3295650" cy="428558"/>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C91B03" w14:textId="77777777" w:rsidR="00737017" w:rsidRPr="006A6222" w:rsidRDefault="00737017" w:rsidP="00737017">
                                      <w:pPr>
                                        <w:jc w:val="center"/>
                                        <w:rPr>
                                          <w:rFonts w:ascii="Arial" w:hAnsi="Arial" w:cs="Arial"/>
                                          <w:sz w:val="20"/>
                                          <w:szCs w:val="20"/>
                                        </w:rPr>
                                      </w:pPr>
                                      <w:r w:rsidRPr="006A6222">
                                        <w:rPr>
                                          <w:rFonts w:ascii="Arial" w:hAnsi="Arial" w:cs="Arial"/>
                                          <w:sz w:val="20"/>
                                          <w:szCs w:val="20"/>
                                        </w:rPr>
                                        <w:t>538 samples collected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122497" name="Zone de texte 5"/>
                                <wps:cNvSpPr txBox="1"/>
                                <wps:spPr>
                                  <a:xfrm>
                                    <a:off x="2409825" y="728956"/>
                                    <a:ext cx="2609850" cy="485627"/>
                                  </a:xfrm>
                                  <a:prstGeom prst="rect">
                                    <a:avLst/>
                                  </a:prstGeom>
                                  <a:solidFill>
                                    <a:schemeClr val="lt1"/>
                                  </a:solidFill>
                                  <a:ln w="9525">
                                    <a:solidFill>
                                      <a:schemeClr val="tx1"/>
                                    </a:solidFill>
                                  </a:ln>
                                </wps:spPr>
                                <wps:txbx>
                                  <w:txbxContent>
                                    <w:p w14:paraId="611E4F8E" w14:textId="77777777" w:rsidR="00737017" w:rsidRPr="006A6222" w:rsidRDefault="00737017" w:rsidP="00737017">
                                      <w:pPr>
                                        <w:rPr>
                                          <w:rFonts w:ascii="Arial" w:hAnsi="Arial" w:cs="Arial"/>
                                          <w:sz w:val="20"/>
                                          <w:szCs w:val="20"/>
                                        </w:rPr>
                                      </w:pPr>
                                      <w:r w:rsidRPr="006A6222">
                                        <w:rPr>
                                          <w:rFonts w:ascii="Arial" w:hAnsi="Arial" w:cs="Arial"/>
                                          <w:bCs/>
                                          <w:sz w:val="20"/>
                                        </w:rPr>
                                        <w:t>114 cases of Malassezia identified by direct examination without 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wgp>
                  </a:graphicData>
                </a:graphic>
                <wp14:sizeRelH relativeFrom="margin">
                  <wp14:pctWidth>0</wp14:pctWidth>
                </wp14:sizeRelH>
                <wp14:sizeRelV relativeFrom="margin">
                  <wp14:pctHeight>0</wp14:pctHeight>
                </wp14:sizeRelV>
              </wp:anchor>
            </w:drawing>
          </mc:Choice>
          <mc:Fallback>
            <w:pict>
              <v:group w14:anchorId="0FE47EE6" id="Groupe 18" o:spid="_x0000_s1038" style="position:absolute;left:0;text-align:left;margin-left:5.65pt;margin-top:12.95pt;width:385.5pt;height:267.35pt;z-index:251672576;mso-width-relative:margin;mso-height-relative:margin" coordorigin=",1809" coordsize="50196,36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6kruAYAAHswAAAOAAAAZHJzL2Uyb0RvYy54bWzsW11v2zYUfR+w/yDofbVIfVg06hRZ+oEB&#10;RVu0HQrsjZElW5gsahQTO/tF+x/7YzukRMlynKSJmzRL/eJIFr90fc+95x4yz1+sl4Vznso6F+XU&#10;Jc8810nLRMzycj51f//8+pfYdWrFyxkvRJlO3Yu0dl8c/fzT81U1SalYiGKWSgeDlPVkVU3dhVLV&#10;ZDSqk0W65PUzUaUlHmZCLrnCrZyPZpKvMPqyGFHPi0YrIWeVFEla1/j2ZfPQPTLjZ1maqPdZVqfK&#10;KaYu1qbMpzSfp/pzdPScT+aSV4s8aZfB77CKJc9LTNoN9ZIr7pzJ/NJQyzyRohaZepaI5UhkWZ6k&#10;5h3wNsTbeps3UpxV5l3mk9W86swE027Z6c7DJu/O38jqU/VBwhKrag5bmDv9LutMLvVfrNJZG5Nd&#10;dCZL18pJ8GUQszAOYdkEz3yfhX4QNkZNFrB834/EHht3j1613UOPsAhfN92jeByQse4+srOPBmta&#10;VfCSujdEvZ8hPi14lRr71hMY4oN08hmcOPS9mFCPjl2n5Es47YkoS3hSeiadmRS5cvh5mjhZ8e8/&#10;cFOH+HrFemkY46RsLVlPahh1hxmJH1FPvzIMBuP5MJ5xQmtR4vkxpa1JzLPOGHxSyVq9ScXS0RdT&#10;t1aS5/OFahcoJDFOyM/f1qqxou2gF1KUzmrqshCD69taFPnsdV4U5kYDLj0ppHPOARW1Ju3PMGil&#10;eF68KmeOuqhgFiVzXs6LtG1ZlPjdtBmaFzdX6qJIm6k/phmsC49plmgA3s/HkyQtlZ2zKNFad8uw&#10;uq6j16x6uNBhx7a97poa8N+mc9fDzCxK1XVe5qWQu2bvzZQ17a0FmvfWJjgVswvjEsY0cN4NmDWX&#10;m54XhnEQsti3nmciAFzMgEJD4dZ43cSddbGrUMcn/1/QkpAANj6JrOmuB+1tMQvQ6CgHzEaEESBo&#10;gNk2/oUsjPx7gCxhHibXbjlA4xaGemcctDpgdhgxejN9G8ySIEbG8H1iHc9iNtA+csCspmW7Ey2j&#10;ZByOdTq6nzwbE0IRDjQxIX4cj6MhaA+JFozgiSfaB6CL8CxkHeZ1bPEjqKLhRY7hMy0x7Ci25UeW&#10;4W7xaz/wY+bRoav6NI500jE0OaAsYDdkGYk1mIRxLRXcI6+Ak34l36O7iFND2wwgzUi73HAnUSw6&#10;kngnrmdnvAPXm/1p6emVeUOtT9dNCWF+v57+OVI0lWddJa9zUPe3vFYfuESpCeqA8lm9x0dWCPBz&#10;0V65zkLIv3d9r9uj8MFT11mhdEUd8NcZl6nrFL+VKIkYCQIMq8xNEI4pbuTmk9PNJ+XZ8kSA8iN/&#10;YXXmUrdXhb3MpFh+QZV9rGfFI14mmHvqJkramxPVlNSo05P0+Ng0Q31bcfW2/FQllvTrYuTz+guX&#10;VVu/KDDSd8JmBz7Z8tamreY9pTg+UyLLTVXT27Wl2y2rfgCwEy/yUO/6fc76A7KGM0sd/SqpY/xr&#10;A/GOWv8qTNFjuMCV2KdBMGZtsqJsHAcIJwOGSX2UpLbODkBBvT0jwIAjbjHJHmSDVvvWj7tjRg+a&#10;jpM3NdOTBI16XJBp9Z6Op7YSCAU38ilhfldNWVLb/kb3UojSEBho/f4OhWjfvRNMvoN6FIXU97zA&#10;70jtfnSAgg94ZKvcHNCBEAVpMBTNLulEBzow2QpxQwJy33SgLQWtGvQkI9uPSAeoFwOfoFudYHdf&#10;qhMqZRo1OR/aZqueg4xp2R2yk+Z44Atd4LsUAe6iFO9RHvDJQXb6NrLTA5DaMVIM8wn0kVaH+Vac&#10;FgSiFU1J7MeaNA84LYljuG7rxP7YC5hpcLUT35TGBmx1K+B/J05r3qgvWJ5k5H9knPYBEEMY04IM&#10;6UWf6+P+HluE2OT2dOE3RM5hj/AgXd7mJIGVWFppwu50R2GM/UHsX9jIf70bdwX6V25095tmlCG6&#10;R1uqpqUvODYAvepAX7r95ie00/0QwXgcwtE86jHrxfuV3IjrDFF3GHF9ir1dy1VCL45Q4F/rsTdx&#10;lUZM24Ni71bT6h0nLn5IBb5TYp+wmPjoSu4r5ETm45AXQGXxacXEdpfkPsRELWBGXtyA+PZi4kb3&#10;rhz5DmIiTgNB/cM2trXcnpFt4wye1RAGgS2gMU4gHQJbc+zsdsfIHmprsT0KdtASn9jWIo1QUdKA&#10;decIhipMJySAe+uzBF+/s+ixWG9XQigcUxw4NX7aa4hQFVl3gDeIw6jZgemi3iUl8SZi8whFGBPR&#10;DiLMwwGmT5Vmh76jBdd+jxPuRsFuT+PrI/Sb92ak/n8Gjv4DAAD//wMAUEsDBBQABgAIAAAAIQDx&#10;ly1Q3wAAAAkBAAAPAAAAZHJzL2Rvd25yZXYueG1sTI9BS8NAEIXvgv9hGcGb3SQlscZsSinqqQi2&#10;gnibZqdJaHY3ZLdJ+u8dT3p88x5vvlesZ9OJkQbfOqsgXkQgyFZOt7ZW8Hl4fViB8AGtxs5ZUnAl&#10;D+vy9qbAXLvJftC4D7XgEutzVNCE0OdS+qohg37herLsndxgMLAcaqkHnLjcdDKJokwabC1/aLCn&#10;bUPVeX8xCt4mnDbL+GXcnU/b6/chff/axaTU/d28eQYRaA5/YfjFZ3QomenoLlZ70bGOl5xUkKRP&#10;INh/XCV8OCpIsygDWRby/4LyBwAA//8DAFBLAQItABQABgAIAAAAIQC2gziS/gAAAOEBAAATAAAA&#10;AAAAAAAAAAAAAAAAAABbQ29udGVudF9UeXBlc10ueG1sUEsBAi0AFAAGAAgAAAAhADj9If/WAAAA&#10;lAEAAAsAAAAAAAAAAAAAAAAALwEAAF9yZWxzLy5yZWxzUEsBAi0AFAAGAAgAAAAhANarqSu4BgAA&#10;ezAAAA4AAAAAAAAAAAAAAAAALgIAAGRycy9lMm9Eb2MueG1sUEsBAi0AFAAGAAgAAAAhAPGXLVDf&#10;AAAACQEAAA8AAAAAAAAAAAAAAAAAEgkAAGRycy9kb3ducmV2LnhtbFBLBQYAAAAABAAEAPMAAAAe&#10;CgAAAAA=&#10;">
                <v:shapetype id="_x0000_t32" coordsize="21600,21600" o:spt="32" o:oned="t" path="m,l21600,21600e" filled="f">
                  <v:path arrowok="t" fillok="f" o:connecttype="none"/>
                  <o:lock v:ext="edit" shapetype="t"/>
                </v:shapetype>
                <v:shape id="Connecteur droit avec flèche 13" o:spid="_x0000_s1039" type="#_x0000_t32" style="position:absolute;left:13620;top:8953;width:103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dgDxQAAAOMAAAAPAAAAZHJzL2Rvd25yZXYueG1sRE9Li8Iw&#10;EL4L/ocwgrc1sbKrVKOIIKzsyQeot6EZ22IzKU1Wq7/eLCx4nO89s0VrK3GjxpeONQwHCgRx5kzJ&#10;uYbDfv0xAeEDssHKMWl4kIfFvNuZYWrcnbd024VcxBD2KWooQqhTKX1WkEU/cDVx5C6usRji2eTS&#10;NHiP4baSiVJf0mLJsaHAmlYFZdfdr9VgfHVGzpLT2o/Imc1x/LTXH637vXY5BRGoDW/xv/vbxPmf&#10;IzUZJioZw99PEQA5fwEAAP//AwBQSwECLQAUAAYACAAAACEA2+H2y+4AAACFAQAAEwAAAAAAAAAA&#10;AAAAAAAAAAAAW0NvbnRlbnRfVHlwZXNdLnhtbFBLAQItABQABgAIAAAAIQBa9CxbvwAAABUBAAAL&#10;AAAAAAAAAAAAAAAAAB8BAABfcmVscy8ucmVsc1BLAQItABQABgAIAAAAIQC8wdgDxQAAAOMAAAAP&#10;AAAAAAAAAAAAAAAAAAcCAABkcnMvZG93bnJldi54bWxQSwUGAAAAAAMAAwC3AAAA+QIAAAAA&#10;" strokecolor="black [3213]">
                  <v:stroke endarrow="block" joinstyle="miter"/>
                </v:shape>
                <v:group id="Groupe 17" o:spid="_x0000_s1040" style="position:absolute;top:1809;width:50196;height:36874" coordorigin=",1809" coordsize="50196,36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oH+yQAAAOMAAAAPAAAAZHJzL2Rvd25yZXYueG1sRE9fa8Iw&#10;EH8f7DuEG+xtptVl1GoUETf2IIPpQHw7mrMtNpfSZG399stgsMf7/b/lerSN6KnztWMN6SQBQVw4&#10;U3Op4ev4+pSB8AHZYOOYNNzIw3p1f7fE3LiBP6k/hFLEEPY5aqhCaHMpfVGRRT9xLXHkLq6zGOLZ&#10;ldJ0OMRw28hpkrxIizXHhgpb2lZUXA/fVsPbgMNmlu76/fWyvZ2P6uO0T0nrx4dxswARaAz/4j/3&#10;u4nzlVLZs5pnM/j9KQIgVz8AAAD//wMAUEsBAi0AFAAGAAgAAAAhANvh9svuAAAAhQEAABMAAAAA&#10;AAAAAAAAAAAAAAAAAFtDb250ZW50X1R5cGVzXS54bWxQSwECLQAUAAYACAAAACEAWvQsW78AAAAV&#10;AQAACwAAAAAAAAAAAAAAAAAfAQAAX3JlbHMvLnJlbHNQSwECLQAUAAYACAAAACEAKvKB/skAAADj&#10;AAAADwAAAAAAAAAAAAAAAAAHAgAAZHJzL2Rvd25yZXYueG1sUEsFBgAAAAADAAMAtwAAAP0CAAAA&#10;AA==&#10;">
                  <v:shape id="Connecteur droit avec flèche 3" o:spid="_x0000_s1041" type="#_x0000_t32" style="position:absolute;left:13525;top:6191;width:0;height:5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d0QywAAAOMAAAAPAAAAZHJzL2Rvd25yZXYueG1sRE/NTsJA&#10;EL6T+A6bMfFCYNsaSVNZCFFJ1HCohQPHsTu2le5s012g8vSsiYnH+f5nvhxMK07Uu8aygngagSAu&#10;rW64UrDbricpCOeRNbaWScEPOVgubkZzzLQ98wedCl+JEMIuQwW1910mpStrMuimtiMO3JftDfpw&#10;9pXUPZ5DuGllEkUzabDh0FBjR081lYfiaBTk3djtt2+7/P1y3JjLZ/r8YvNvpe5uh9UjCE+D/xf/&#10;uV91mB8/xGmS3Mcz+P0pACAXVwAAAP//AwBQSwECLQAUAAYACAAAACEA2+H2y+4AAACFAQAAEwAA&#10;AAAAAAAAAAAAAAAAAAAAW0NvbnRlbnRfVHlwZXNdLnhtbFBLAQItABQABgAIAAAAIQBa9CxbvwAA&#10;ABUBAAALAAAAAAAAAAAAAAAAAB8BAABfcmVscy8ucmVsc1BLAQItABQABgAIAAAAIQAFud0QywAA&#10;AOMAAAAPAAAAAAAAAAAAAAAAAAcCAABkcnMvZG93bnJldi54bWxQSwUGAAAAAAMAAwC3AAAA/wIA&#10;AAAA&#10;" strokecolor="black [3213]" strokeweight="1.5pt">
                    <v:stroke endarrow="block" joinstyle="miter"/>
                  </v:shape>
                  <v:group id="Groupe 14" o:spid="_x0000_s1042" style="position:absolute;top:1809;width:50196;height:36874" coordorigin=",1809" coordsize="50196,36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MSgyAAAAOMAAAAPAAAAZHJzL2Rvd25yZXYueG1sRE9fa8Iw&#10;EH8X9h3CCXubadY5pBpFZBt7kIE6EN+O5myLzaU0WVu//SIIPt7v/y1Wg61FR62vHGtQkwQEce5M&#10;xYWG38PnywyED8gGa8ek4UoeVsun0QIz43reUbcPhYgh7DPUUIbQZFL6vCSLfuIa4sidXWsxxLMt&#10;pGmxj+G2lq9J8i4tVhwbSmxoU1J+2f9ZDV899utUfXTby3lzPR2mP8etIq2fx8N6DiLQEB7iu/vb&#10;xPnqbaamaZoquP0UAZDLfwAAAP//AwBQSwECLQAUAAYACAAAACEA2+H2y+4AAACFAQAAEwAAAAAA&#10;AAAAAAAAAAAAAAAAW0NvbnRlbnRfVHlwZXNdLnhtbFBLAQItABQABgAIAAAAIQBa9CxbvwAAABUB&#10;AAALAAAAAAAAAAAAAAAAAB8BAABfcmVscy8ucmVsc1BLAQItABQABgAIAAAAIQDZbMSgyAAAAOMA&#10;AAAPAAAAAAAAAAAAAAAAAAcCAABkcnMvZG93bnJldi54bWxQSwUGAAAAAAMAAwC3AAAA/AIAAAAA&#10;">
                    <v:shape id="Connecteur droit avec flèche 13" o:spid="_x0000_s1043" type="#_x0000_t32" style="position:absolute;left:13811;top:31388;width:103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cyQAAAOIAAAAPAAAAZHJzL2Rvd25yZXYueG1sRI9Ba8JA&#10;FITvQv/D8gq9mY0pMW3qGooQqPSkLVRvj+xrEsy+DdlVU399VxA8DjPzDbMoRtOJEw2utaxgFsUg&#10;iCurW64VfH+V0xcQziNr7CyTgj9yUCwfJgvMtT3zhk5bX4sAYZejgsb7PpfSVQ0ZdJHtiYP3aweD&#10;PsihlnrAc4CbTiZxPJcGWw4LDfa0aqg6bI9GgXbdHrlKdqV7JqvXP9nFHD6Venoc399AeBr9PXxr&#10;f2gFr8ksS7M0SeF6KdwBufwHAAD//wMAUEsBAi0AFAAGAAgAAAAhANvh9svuAAAAhQEAABMAAAAA&#10;AAAAAAAAAAAAAAAAAFtDb250ZW50X1R5cGVzXS54bWxQSwECLQAUAAYACAAAACEAWvQsW78AAAAV&#10;AQAACwAAAAAAAAAAAAAAAAAfAQAAX3JlbHMvLnJlbHNQSwECLQAUAAYACAAAACEAyf1u3MkAAADi&#10;AAAADwAAAAAAAAAAAAAAAAAHAgAAZHJzL2Rvd25yZXYueG1sUEsFBgAAAAADAAMAtwAAAP0CAAAA&#10;AA==&#10;" strokecolor="black [3213]">
                      <v:stroke endarrow="block" joinstyle="miter"/>
                    </v:shape>
                    <v:rect id="Rectangle 1" o:spid="_x0000_s1044" style="position:absolute;top:34389;width:32861;height:4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tfGygAAAOIAAAAPAAAAZHJzL2Rvd25yZXYueG1sRI/NasMw&#10;EITvhb6D2EJvjeyGuo4TJZRCf26lTkh7XKy1ZWKtjKQkzttXhUKPw8x8w6w2kx3EiXzoHSvIZxkI&#10;4sbpnjsFu+3LXQkiRGSNg2NScKEAm/X11Qor7c78Sac6diJBOFSowMQ4VlKGxpDFMHMjcfJa5y3G&#10;JH0ntcdzgttB3mdZIS32nBYMjvRsqDnUR6vgNa+/Lt485Itg2vZ7X9Du7eOo1O3N9LQEEWmK/+G/&#10;9rtWMC/LeV4sskf4vZTugFz/AAAA//8DAFBLAQItABQABgAIAAAAIQDb4fbL7gAAAIUBAAATAAAA&#10;AAAAAAAAAAAAAAAAAABbQ29udGVudF9UeXBlc10ueG1sUEsBAi0AFAAGAAgAAAAhAFr0LFu/AAAA&#10;FQEAAAsAAAAAAAAAAAAAAAAAHwEAAF9yZWxzLy5yZWxzUEsBAi0AFAAGAAgAAAAhALnS18bKAAAA&#10;4gAAAA8AAAAAAAAAAAAAAAAABwIAAGRycy9kb3ducmV2LnhtbFBLBQYAAAAAAwADALcAAAD+AgAA&#10;AAA=&#10;" fillcolor="white [3201]" strokecolor="black [3213]" strokeweight="1.5pt">
                      <v:textbox>
                        <w:txbxContent>
                          <w:p w14:paraId="54D57170" w14:textId="77777777" w:rsidR="00737017" w:rsidRPr="00E6253D" w:rsidRDefault="00737017" w:rsidP="00737017">
                            <w:pPr>
                              <w:spacing w:after="0" w:line="240" w:lineRule="auto"/>
                              <w:jc w:val="center"/>
                              <w:rPr>
                                <w:rFonts w:ascii="Arial" w:hAnsi="Arial" w:cs="Arial"/>
                                <w:sz w:val="20"/>
                                <w:szCs w:val="20"/>
                              </w:rPr>
                            </w:pPr>
                            <w:r w:rsidRPr="00E6253D">
                              <w:rPr>
                                <w:rFonts w:ascii="Arial" w:hAnsi="Arial" w:cs="Arial"/>
                                <w:sz w:val="20"/>
                                <w:szCs w:val="20"/>
                              </w:rPr>
                              <w:t>249 isolates selected for comparison</w:t>
                            </w:r>
                          </w:p>
                        </w:txbxContent>
                      </v:textbox>
                    </v:rect>
                    <v:shape id="Zone de texte 6" o:spid="_x0000_s1045" type="#_x0000_t202" style="position:absolute;left:24479;top:29784;width:23812;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Jk/yAAAAOMAAAAPAAAAZHJzL2Rvd25yZXYueG1sRE/NasJA&#10;EL4X+g7LFHqru1qiIc1GxFLowYvaQ3sbsmMSzM6G7DaJffquIHic73/y9WRbMVDvG8ca5jMFgrh0&#10;puFKw9fx4yUF4QOywdYxabiQh3Xx+JBjZtzIexoOoRIxhH2GGuoQukxKX9Zk0c9cRxy5k+sthnj2&#10;lTQ9jjHctnKh1FJabDg21NjRtqbyfPi1GtLJu/F9vv3bXeQP7sfN6jsMK62fn6bNG4hAU7iLb+5P&#10;E+erpUrS5HWRwPWnCIAs/gEAAP//AwBQSwECLQAUAAYACAAAACEA2+H2y+4AAACFAQAAEwAAAAAA&#10;AAAAAAAAAAAAAAAAW0NvbnRlbnRfVHlwZXNdLnhtbFBLAQItABQABgAIAAAAIQBa9CxbvwAAABUB&#10;AAALAAAAAAAAAAAAAAAAAB8BAABfcmVscy8ucmVsc1BLAQItABQABgAIAAAAIQDMdJk/yAAAAOMA&#10;AAAPAAAAAAAAAAAAAAAAAAcCAABkcnMvZG93bnJldi54bWxQSwUGAAAAAAMAAwC3AAAA/AIAAAAA&#10;" fillcolor="white [3201]" strokecolor="black [3213]">
                      <v:textbox>
                        <w:txbxContent>
                          <w:p w14:paraId="1B6DC855" w14:textId="77777777" w:rsidR="00737017" w:rsidRPr="00E6253D" w:rsidRDefault="00737017" w:rsidP="00737017">
                            <w:pPr>
                              <w:rPr>
                                <w:rFonts w:ascii="Arial" w:hAnsi="Arial" w:cs="Arial"/>
                                <w:sz w:val="18"/>
                                <w:szCs w:val="18"/>
                              </w:rPr>
                            </w:pPr>
                            <w:r w:rsidRPr="00E6253D">
                              <w:rPr>
                                <w:rFonts w:ascii="Arial" w:hAnsi="Arial" w:cs="Arial"/>
                                <w:bCs/>
                                <w:sz w:val="20"/>
                              </w:rPr>
                              <w:t>21 contaminated crops</w:t>
                            </w:r>
                          </w:p>
                        </w:txbxContent>
                      </v:textbox>
                    </v:shape>
                    <v:group id="Groupe 13" o:spid="_x0000_s1046" style="position:absolute;top:1809;width:50196;height:32580" coordorigin=",1809" coordsize="50196,3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onozAAAAOMAAAAPAAAAZHJzL2Rvd25yZXYueG1sRI/NasMw&#10;EITvhb6D2EJvjSybhtSJEkJISw+hkB8ouS3WxjaxVsZSbOftq0Khx2FmvmEWq9E2oqfO1441qEkC&#10;grhwpuZSw+n4/jID4QOywcYxabiTh9Xy8WGBuXED76k/hFJECPscNVQhtLmUvqjIop+4ljh6F9dZ&#10;DFF2pTQdDhFuG5kmyVRarDkuVNjSpqLierhZDR8DDutMbfvd9bK5n4+vX987RVo/P43rOYhAY/gP&#10;/7U/jYZUJVmWqrdsCr+f4h+Qyx8AAAD//wMAUEsBAi0AFAAGAAgAAAAhANvh9svuAAAAhQEAABMA&#10;AAAAAAAAAAAAAAAAAAAAAFtDb250ZW50X1R5cGVzXS54bWxQSwECLQAUAAYACAAAACEAWvQsW78A&#10;AAAVAQAACwAAAAAAAAAAAAAAAAAfAQAAX3JlbHMvLnJlbHNQSwECLQAUAAYACAAAACEAgXqJ6MwA&#10;AADjAAAADwAAAAAAAAAAAAAAAAAHAgAAZHJzL2Rvd25yZXYueG1sUEsFBgAAAAADAAMAtwAAAAAD&#10;AAAAAA==&#10;">
                      <v:rect id="Rectangle 1" o:spid="_x0000_s1047" style="position:absolute;top:23430;width:32861;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qiyQAAAOIAAAAPAAAAZHJzL2Rvd25yZXYueG1sRI9PS8Qw&#10;FMTvgt8hPMGbm3TXFq2bXUTwz02si3p8NK9NsXkpSXa3++2NIHgcZuY3zHo7u1EcKMTBs4ZioUAQ&#10;t94M3GvYvT9e3YCICdng6Jk0nCjCdnN+tsba+CO/0aFJvcgQjjVqsClNtZSxteQwLvxEnL3OB4cp&#10;y9BLE/CY4W6US6Uq6XDgvGBxogdL7XezdxqeiubzFGxZ3EbbdV8fFe2eX/daX17M93cgEs3pP/zX&#10;fjEaqnK5Uup6VcLvpXwH5OYHAAD//wMAUEsBAi0AFAAGAAgAAAAhANvh9svuAAAAhQEAABMAAAAA&#10;AAAAAAAAAAAAAAAAAFtDb250ZW50X1R5cGVzXS54bWxQSwECLQAUAAYACAAAACEAWvQsW78AAAAV&#10;AQAACwAAAAAAAAAAAAAAAAAfAQAAX3JlbHMvLnJlbHNQSwECLQAUAAYACAAAACEAf5BqoskAAADi&#10;AAAADwAAAAAAAAAAAAAAAAAHAgAAZHJzL2Rvd25yZXYueG1sUEsFBgAAAAADAAMAtwAAAP0CAAAA&#10;AA==&#10;" fillcolor="white [3201]" strokecolor="black [3213]" strokeweight="1.5pt">
                        <v:textbox>
                          <w:txbxContent>
                            <w:p w14:paraId="5DAB14E8" w14:textId="77777777" w:rsidR="00737017" w:rsidRPr="00E6253D" w:rsidRDefault="00737017" w:rsidP="00737017">
                              <w:pPr>
                                <w:spacing w:after="0" w:line="240" w:lineRule="auto"/>
                                <w:jc w:val="center"/>
                                <w:rPr>
                                  <w:rFonts w:ascii="Arial" w:hAnsi="Arial" w:cs="Arial"/>
                                  <w:sz w:val="20"/>
                                  <w:szCs w:val="20"/>
                                </w:rPr>
                              </w:pPr>
                              <w:r w:rsidRPr="00E6253D">
                                <w:rPr>
                                  <w:rFonts w:ascii="Arial" w:hAnsi="Arial" w:cs="Arial"/>
                                  <w:sz w:val="20"/>
                                  <w:szCs w:val="20"/>
                                </w:rPr>
                                <w:t>270 isolates identified at RM and</w:t>
                              </w:r>
                            </w:p>
                            <w:p w14:paraId="074DF2AF" w14:textId="77777777" w:rsidR="00737017" w:rsidRPr="00E6253D" w:rsidRDefault="00737017" w:rsidP="00737017">
                              <w:pPr>
                                <w:spacing w:after="0" w:line="240" w:lineRule="auto"/>
                                <w:jc w:val="center"/>
                                <w:rPr>
                                  <w:rFonts w:ascii="Arial" w:hAnsi="Arial" w:cs="Arial"/>
                                  <w:sz w:val="20"/>
                                  <w:szCs w:val="20"/>
                                </w:rPr>
                              </w:pPr>
                              <w:r w:rsidRPr="00E6253D">
                                <w:rPr>
                                  <w:rFonts w:ascii="Arial" w:hAnsi="Arial" w:cs="Arial"/>
                                  <w:sz w:val="20"/>
                                  <w:szCs w:val="20"/>
                                </w:rPr>
                                <w:t>sent for MS</w:t>
                              </w:r>
                            </w:p>
                          </w:txbxContent>
                        </v:textbox>
                      </v:rect>
                      <v:shape id="Connecteur droit avec flèche 3" o:spid="_x0000_s1048" type="#_x0000_t32" style="position:absolute;left:13525;top:17526;width:0;height:59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hf2zgAAAOMAAAAPAAAAZHJzL2Rvd25yZXYueG1sRI9Ba8JA&#10;FITvhf6H5RV6KXWjCSVEVxFbQYuHVD14fM2+Jmmzb0N21dRf3xWEHoeZ+YaZzHrTiBN1rrasYDiI&#10;QBAXVtdcKtjvls8pCOeRNTaWScEvOZhN7+8mmGl75g86bX0pAoRdhgoq79tMSldUZNANbEscvC/b&#10;GfRBdqXUHZ4D3DRyFEUv0mDNYaHClhYVFT/bo1GQt0/usFvv8/fLcWMun+nrm82/lXp86OdjEJ56&#10;/x++tVdawShK4yQeJkkM10/hD8jpHwAAAP//AwBQSwECLQAUAAYACAAAACEA2+H2y+4AAACFAQAA&#10;EwAAAAAAAAAAAAAAAAAAAAAAW0NvbnRlbnRfVHlwZXNdLnhtbFBLAQItABQABgAIAAAAIQBa9Cxb&#10;vwAAABUBAAALAAAAAAAAAAAAAAAAAB8BAABfcmVscy8ucmVsc1BLAQItABQABgAIAAAAIQBmBhf2&#10;zgAAAOMAAAAPAAAAAAAAAAAAAAAAAAcCAABkcnMvZG93bnJldi54bWxQSwUGAAAAAAMAAwC3AAAA&#10;AgMAAAAA&#10;" strokecolor="black [3213]" strokeweight="1.5pt">
                        <v:stroke endarrow="block" joinstyle="miter"/>
                      </v:shape>
                      <v:shape id="Zone de texte 6" o:spid="_x0000_s1049" type="#_x0000_t202" style="position:absolute;left:24193;top:18383;width:18860;height:3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1EygAAAOIAAAAPAAAAZHJzL2Rvd25yZXYueG1sRI9Pa8JA&#10;FMTvBb/D8gRvdRMtRqOriCL00It/Du3tkX0mwezbkF2T6KfvFgoeh5n5DbPa9KYSLTWutKwgHkcg&#10;iDOrS84VXM6H9zkI55E1VpZJwYMcbNaDtxWm2nZ8pPbkcxEg7FJUUHhfp1K6rCCDbmxr4uBdbWPQ&#10;B9nkUjfYBbip5CSKZtJgyWGhwJp2BWW3090omPfOdvt49/x6yB88dtvk27eJUqNhv12C8NT7V/i/&#10;/akVJB/TaDGNkxn8XQp3QK5/AQAA//8DAFBLAQItABQABgAIAAAAIQDb4fbL7gAAAIUBAAATAAAA&#10;AAAAAAAAAAAAAAAAAABbQ29udGVudF9UeXBlc10ueG1sUEsBAi0AFAAGAAgAAAAhAFr0LFu/AAAA&#10;FQEAAAsAAAAAAAAAAAAAAAAAHwEAAF9yZWxzLy5yZWxzUEsBAi0AFAAGAAgAAAAhAKaVPUTKAAAA&#10;4gAAAA8AAAAAAAAAAAAAAAAABwIAAGRycy9kb3ducmV2LnhtbFBLBQYAAAAAAwADALcAAAD+AgAA&#10;AAA=&#10;" fillcolor="white [3201]" strokecolor="black [3213]">
                        <v:textbox>
                          <w:txbxContent>
                            <w:p w14:paraId="5463D45A" w14:textId="77777777" w:rsidR="00737017" w:rsidRPr="006A6222" w:rsidRDefault="00737017" w:rsidP="00737017">
                              <w:pPr>
                                <w:rPr>
                                  <w:rFonts w:ascii="Arial" w:hAnsi="Arial" w:cs="Arial"/>
                                  <w:sz w:val="18"/>
                                  <w:szCs w:val="18"/>
                                </w:rPr>
                              </w:pPr>
                              <w:r w:rsidRPr="006A6222">
                                <w:rPr>
                                  <w:rFonts w:ascii="Arial" w:hAnsi="Arial" w:cs="Arial"/>
                                  <w:bCs/>
                                  <w:sz w:val="20"/>
                                </w:rPr>
                                <w:t>154 negative cultures</w:t>
                              </w:r>
                            </w:p>
                          </w:txbxContent>
                        </v:textbox>
                      </v:shape>
                      <v:shape id="Connecteur droit avec flèche 13" o:spid="_x0000_s1050" type="#_x0000_t32" style="position:absolute;left:13620;top:20002;width:103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d0GxwAAAOMAAAAPAAAAZHJzL2Rvd25yZXYueG1sRE/NasJA&#10;EL4XfIdlhN50kwhGU1eRQsDSk2lBexuyYxLMzobsNqZ9+q4g9Djf/2x2o2nFQL1rLCuI5xEI4tLq&#10;hisFnx/5bAXCeWSNrWVS8EMOdtvJ0wYzbW98pKHwlQgh7DJUUHvfZVK6siaDbm474sBdbG/Qh7Ov&#10;pO7xFsJNK5MoWkqDDYeGGjt6ram8Ft9GgXbtF3KZnHO3IKvfTumvub4r9Twd9y8gPI3+X/xwH3SY&#10;v16vlnESRyncfwoAyO0fAAAA//8DAFBLAQItABQABgAIAAAAIQDb4fbL7gAAAIUBAAATAAAAAAAA&#10;AAAAAAAAAAAAAABbQ29udGVudF9UeXBlc10ueG1sUEsBAi0AFAAGAAgAAAAhAFr0LFu/AAAAFQEA&#10;AAsAAAAAAAAAAAAAAAAAHwEAAF9yZWxzLy5yZWxzUEsBAi0AFAAGAAgAAAAhAITl3QbHAAAA4wAA&#10;AA8AAAAAAAAAAAAAAAAABwIAAGRycy9kb3ducmV2LnhtbFBLBQYAAAAAAwADALcAAAD7AgAAAAA=&#10;" strokecolor="black [3213]">
                        <v:stroke endarrow="block" joinstyle="miter"/>
                      </v:shape>
                      <v:shape id="Connecteur droit avec flèche 3" o:spid="_x0000_s1051" type="#_x0000_t32" style="position:absolute;left:13525;top:29049;width:0;height:5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b8MygAAAOMAAAAPAAAAZHJzL2Rvd25yZXYueG1sRE/NasJA&#10;EL4X+g7LFHopdRNBWaKrSFuhlh5S9eBxzI5JbHY2ZFeNPn23UOhxvv+ZznvbiDN1vnasIR0kIIgL&#10;Z2ouNWw3y2cFwgdkg41j0nAlD/PZ/d0UM+Mu/EXndShFDGGfoYYqhDaT0hcVWfQD1xJH7uA6iyGe&#10;XSlNh5cYbhs5TJKxtFhzbKiwpZeKiu/1yWrI2ye/26y2+cft9Glve/X65vKj1o8P/WICIlAf/sV/&#10;7ncT549HKlWJSkfw+1MEQM5+AAAA//8DAFBLAQItABQABgAIAAAAIQDb4fbL7gAAAIUBAAATAAAA&#10;AAAAAAAAAAAAAAAAAABbQ29udGVudF9UeXBlc10ueG1sUEsBAi0AFAAGAAgAAAAhAFr0LFu/AAAA&#10;FQEAAAsAAAAAAAAAAAAAAAAAHwEAAF9yZWxzLy5yZWxzUEsBAi0AFAAGAAgAAAAhAAZhvwzKAAAA&#10;4wAAAA8AAAAAAAAAAAAAAAAABwIAAGRycy9kb3ducmV2LnhtbFBLBQYAAAAAAwADALcAAAD+AgAA&#10;AAA=&#10;" strokecolor="black [3213]" strokeweight="1.5pt">
                        <v:stroke endarrow="block" joinstyle="miter"/>
                      </v:shape>
                      <v:rect id="Rectangle 1" o:spid="_x0000_s1052" style="position:absolute;top:12192;width:32956;height:5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dicxwAAAOMAAAAPAAAAZHJzL2Rvd25yZXYueG1sRE/dS8Mw&#10;EH8X/B/CCb65pIVOV5cNEfx4E+tQH4/m2hSbS0myrfvvjSDs8X7ft97ObhQHCnHwrKFYKBDErTcD&#10;9xp2H083dyBiQjY4eiYNJ4qw3VxerLE2/sjvdGhSL3IIxxo12JSmWsrYWnIYF34izlzng8OUz9BL&#10;E/CYw90oS6WW0uHAucHiRI+W2p9m7zQ8F83XKdiqWEXbdd+fS9q9vO21vr6aH+5BJJrTWfzvfjV5&#10;/m1VlZUq1Qr+fsoAyM0vAAAA//8DAFBLAQItABQABgAIAAAAIQDb4fbL7gAAAIUBAAATAAAAAAAA&#10;AAAAAAAAAAAAAABbQ29udGVudF9UeXBlc10ueG1sUEsBAi0AFAAGAAgAAAAhAFr0LFu/AAAAFQEA&#10;AAsAAAAAAAAAAAAAAAAAHwEAAF9yZWxzLy5yZWxzUEsBAi0AFAAGAAgAAAAhANIZ2JzHAAAA4wAA&#10;AA8AAAAAAAAAAAAAAAAABwIAAGRycy9kb3ducmV2LnhtbFBLBQYAAAAAAwADALcAAAD7AgAAAAA=&#10;" fillcolor="white [3201]" strokecolor="black [3213]" strokeweight="1.5pt">
                        <v:textbox>
                          <w:txbxContent>
                            <w:p w14:paraId="14D6640E" w14:textId="77777777" w:rsidR="00737017" w:rsidRPr="006A6222" w:rsidRDefault="00737017" w:rsidP="00737017">
                              <w:pPr>
                                <w:jc w:val="center"/>
                                <w:rPr>
                                  <w:rFonts w:ascii="Arial" w:hAnsi="Arial" w:cs="Arial"/>
                                  <w:sz w:val="20"/>
                                  <w:szCs w:val="20"/>
                                </w:rPr>
                              </w:pPr>
                              <w:r w:rsidRPr="006A6222">
                                <w:rPr>
                                  <w:rFonts w:ascii="Arial" w:hAnsi="Arial" w:cs="Arial"/>
                                  <w:sz w:val="20"/>
                                  <w:szCs w:val="20"/>
                                </w:rPr>
                                <w:t>424 cases cultivated on SC and/or SAC</w:t>
                              </w:r>
                            </w:p>
                          </w:txbxContent>
                        </v:textbox>
                      </v:rect>
                      <v:group id="Groupe 12" o:spid="_x0000_s1053" style="position:absolute;top:1809;width:50196;height:10336" coordorigin=",1809" coordsize="50196,10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YNhygAAAOEAAAAPAAAAZHJzL2Rvd25yZXYueG1sRI9Ba8JA&#10;FITvhf6H5Qm96SZKrYmuItIWDyJUBfH2yD6TYPZtyG6T+O+7gtDjMDPfMItVbyrRUuNKywriUQSC&#10;OLO65FzB6fg1nIFwHlljZZkU3MnBavn6ssBU245/qD34XAQIuxQVFN7XqZQuK8igG9maOHhX2xj0&#10;QTa51A12AW4qOY6iqTRYclgosKZNQdnt8GsUfHfYrSfxZ7u7XTf3y/F9f97FpNTboF/PQXjq/X/4&#10;2d5qBckkmX7EyRgej8IbkMs/AAAA//8DAFBLAQItABQABgAIAAAAIQDb4fbL7gAAAIUBAAATAAAA&#10;AAAAAAAAAAAAAAAAAABbQ29udGVudF9UeXBlc10ueG1sUEsBAi0AFAAGAAgAAAAhAFr0LFu/AAAA&#10;FQEAAAsAAAAAAAAAAAAAAAAAHwEAAF9yZWxzLy5yZWxzUEsBAi0AFAAGAAgAAAAhAGzhg2HKAAAA&#10;4QAAAA8AAAAAAAAAAAAAAAAABwIAAGRycy9kb3ducmV2LnhtbFBLBQYAAAAAAwADALcAAAD+AgAA&#10;AAA=&#10;">
                        <v:rect id="Rectangle 1" o:spid="_x0000_s1054" style="position:absolute;top:1809;width:32956;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AgdyQAAAOIAAAAPAAAAZHJzL2Rvd25yZXYueG1sRI9BSwMx&#10;FITvQv9DeII3m021pa5NSxHU3sS1qMfH5u1mcfOyJGm7/femIHgcZuYbZrUZXS+OFGLnWYOaFiCI&#10;a286bjXsP55vlyBiQjbYeyYNZ4qwWU+uVlgaf+J3OlapFRnCsUQNNqWhlDLWlhzGqR+Is9f44DBl&#10;GVppAp4y3PVyVhQL6bDjvGBxoCdL9U91cBpeVPV1DnauHqJtmu/PBe1f3w5a31yP20cQicb0H/5r&#10;74yG+fL+rlBKzeByKd8Buf4FAAD//wMAUEsBAi0AFAAGAAgAAAAhANvh9svuAAAAhQEAABMAAAAA&#10;AAAAAAAAAAAAAAAAAFtDb250ZW50X1R5cGVzXS54bWxQSwECLQAUAAYACAAAACEAWvQsW78AAAAV&#10;AQAACwAAAAAAAAAAAAAAAAAfAQAAX3JlbHMvLnJlbHNQSwECLQAUAAYACAAAACEAThgIHckAAADi&#10;AAAADwAAAAAAAAAAAAAAAAAHAgAAZHJzL2Rvd25yZXYueG1sUEsFBgAAAAADAAMAtwAAAP0CAAAA&#10;AA==&#10;" fillcolor="white [3201]" strokecolor="black [3213]" strokeweight="1.5pt">
                          <v:textbox>
                            <w:txbxContent>
                              <w:p w14:paraId="7FC91B03" w14:textId="77777777" w:rsidR="00737017" w:rsidRPr="006A6222" w:rsidRDefault="00737017" w:rsidP="00737017">
                                <w:pPr>
                                  <w:jc w:val="center"/>
                                  <w:rPr>
                                    <w:rFonts w:ascii="Arial" w:hAnsi="Arial" w:cs="Arial"/>
                                    <w:sz w:val="20"/>
                                    <w:szCs w:val="20"/>
                                  </w:rPr>
                                </w:pPr>
                                <w:r w:rsidRPr="006A6222">
                                  <w:rPr>
                                    <w:rFonts w:ascii="Arial" w:hAnsi="Arial" w:cs="Arial"/>
                                    <w:sz w:val="20"/>
                                    <w:szCs w:val="20"/>
                                  </w:rPr>
                                  <w:t>538 samples collected</w:t>
                                </w:r>
                              </w:p>
                            </w:txbxContent>
                          </v:textbox>
                        </v:rect>
                        <v:shape id="Zone de texte 5" o:spid="_x0000_s1055" type="#_x0000_t202" style="position:absolute;left:24098;top:7289;width:26098;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59+ygAAAOIAAAAPAAAAZHJzL2Rvd25yZXYueG1sRI9Pa4NA&#10;FMTvgX6H5RV6S1YlaGpdQ0gI9NBL/hza28N9Van7VtyNmn76bqHQ4zAzv2GK7Ww6MdLgWssK4lUE&#10;griyuuVawfVyXG5AOI+ssbNMCu7kYFs+LArMtZ34ROPZ1yJA2OWooPG+z6V0VUMG3cr2xMH7tINB&#10;H+RQSz3gFOCmk0kUpdJgy2GhwZ72DVVf55tRsJmdnQ7x/vvtLj/wNO2ydz9mSj09zrsXEJ5m/x/+&#10;a79qBUmaxkmyfs7g91K4A7L8AQAA//8DAFBLAQItABQABgAIAAAAIQDb4fbL7gAAAIUBAAATAAAA&#10;AAAAAAAAAAAAAAAAAABbQ29udGVudF9UeXBlc10ueG1sUEsBAi0AFAAGAAgAAAAhAFr0LFu/AAAA&#10;FQEAAAsAAAAAAAAAAAAAAAAAHwEAAF9yZWxzLy5yZWxzUEsBAi0AFAAGAAgAAAAhAAs3n37KAAAA&#10;4gAAAA8AAAAAAAAAAAAAAAAABwIAAGRycy9kb3ducmV2LnhtbFBLBQYAAAAAAwADALcAAAD+AgAA&#10;AAA=&#10;" fillcolor="white [3201]" strokecolor="black [3213]">
                          <v:textbox>
                            <w:txbxContent>
                              <w:p w14:paraId="611E4F8E" w14:textId="77777777" w:rsidR="00737017" w:rsidRPr="006A6222" w:rsidRDefault="00737017" w:rsidP="00737017">
                                <w:pPr>
                                  <w:rPr>
                                    <w:rFonts w:ascii="Arial" w:hAnsi="Arial" w:cs="Arial"/>
                                    <w:sz w:val="20"/>
                                    <w:szCs w:val="20"/>
                                  </w:rPr>
                                </w:pPr>
                                <w:r w:rsidRPr="006A6222">
                                  <w:rPr>
                                    <w:rFonts w:ascii="Arial" w:hAnsi="Arial" w:cs="Arial"/>
                                    <w:bCs/>
                                    <w:sz w:val="20"/>
                                  </w:rPr>
                                  <w:t>114 cases of Malassezia identified by direct examination without culture</w:t>
                                </w:r>
                              </w:p>
                            </w:txbxContent>
                          </v:textbox>
                        </v:shape>
                      </v:group>
                    </v:group>
                  </v:group>
                </v:group>
              </v:group>
            </w:pict>
          </mc:Fallback>
        </mc:AlternateContent>
      </w:r>
    </w:p>
    <w:p w14:paraId="22C9833E" w14:textId="77777777" w:rsidR="00737017" w:rsidRPr="006A6222" w:rsidRDefault="00737017" w:rsidP="00451967">
      <w:pPr>
        <w:spacing w:line="480" w:lineRule="auto"/>
        <w:jc w:val="both"/>
        <w:rPr>
          <w:rFonts w:ascii="Arial" w:hAnsi="Arial" w:cs="Arial"/>
          <w:sz w:val="24"/>
          <w:szCs w:val="24"/>
        </w:rPr>
      </w:pPr>
    </w:p>
    <w:p w14:paraId="27BCAAE1" w14:textId="77777777" w:rsidR="00737017" w:rsidRPr="006A6222" w:rsidRDefault="00737017" w:rsidP="00451967">
      <w:pPr>
        <w:spacing w:line="480" w:lineRule="auto"/>
        <w:jc w:val="both"/>
        <w:rPr>
          <w:rFonts w:ascii="Arial" w:hAnsi="Arial" w:cs="Arial"/>
          <w:sz w:val="24"/>
          <w:szCs w:val="24"/>
        </w:rPr>
      </w:pPr>
    </w:p>
    <w:p w14:paraId="0BF44CEA" w14:textId="77777777" w:rsidR="00737017" w:rsidRPr="006A6222" w:rsidRDefault="00737017" w:rsidP="00451967">
      <w:pPr>
        <w:spacing w:line="480" w:lineRule="auto"/>
        <w:jc w:val="both"/>
        <w:rPr>
          <w:rFonts w:ascii="Arial" w:hAnsi="Arial" w:cs="Arial"/>
          <w:sz w:val="24"/>
          <w:szCs w:val="24"/>
        </w:rPr>
      </w:pPr>
    </w:p>
    <w:p w14:paraId="363751F3" w14:textId="77777777" w:rsidR="00737017" w:rsidRPr="006A6222" w:rsidRDefault="00737017" w:rsidP="00451967">
      <w:pPr>
        <w:spacing w:line="480" w:lineRule="auto"/>
        <w:jc w:val="both"/>
        <w:rPr>
          <w:rFonts w:ascii="Arial" w:hAnsi="Arial" w:cs="Arial"/>
          <w:sz w:val="24"/>
          <w:szCs w:val="24"/>
        </w:rPr>
      </w:pPr>
    </w:p>
    <w:p w14:paraId="034F9FD0" w14:textId="77777777" w:rsidR="00737017" w:rsidRPr="006A6222" w:rsidRDefault="00737017" w:rsidP="00451967">
      <w:pPr>
        <w:spacing w:line="480" w:lineRule="auto"/>
        <w:jc w:val="both"/>
        <w:rPr>
          <w:rFonts w:ascii="Arial" w:hAnsi="Arial" w:cs="Arial"/>
          <w:sz w:val="24"/>
          <w:szCs w:val="24"/>
        </w:rPr>
      </w:pPr>
    </w:p>
    <w:p w14:paraId="20B29B72" w14:textId="77777777" w:rsidR="00737017" w:rsidRPr="006A6222" w:rsidRDefault="00737017" w:rsidP="00451967">
      <w:pPr>
        <w:pStyle w:val="Caption"/>
        <w:spacing w:line="480" w:lineRule="auto"/>
        <w:ind w:left="0" w:firstLine="0"/>
        <w:rPr>
          <w:rFonts w:ascii="Arial" w:eastAsiaTheme="minorHAnsi" w:hAnsi="Arial" w:cs="Arial"/>
          <w:i w:val="0"/>
          <w:iCs w:val="0"/>
          <w:noProof/>
          <w:color w:val="auto"/>
          <w:kern w:val="2"/>
          <w:sz w:val="24"/>
          <w:szCs w:val="24"/>
          <w:lang w:val="en-GB"/>
          <w14:ligatures w14:val="standardContextual"/>
        </w:rPr>
      </w:pPr>
    </w:p>
    <w:p w14:paraId="7F0236AF" w14:textId="77777777" w:rsidR="00737017" w:rsidRPr="006A6222" w:rsidRDefault="00737017" w:rsidP="00451967">
      <w:pPr>
        <w:pStyle w:val="Caption"/>
        <w:spacing w:line="480" w:lineRule="auto"/>
        <w:rPr>
          <w:rFonts w:ascii="Arial" w:hAnsi="Arial" w:cs="Arial"/>
          <w:i w:val="0"/>
          <w:iCs w:val="0"/>
          <w:color w:val="000000" w:themeColor="text1"/>
          <w:sz w:val="24"/>
          <w:szCs w:val="24"/>
          <w:lang w:val="en-GB"/>
        </w:rPr>
      </w:pPr>
    </w:p>
    <w:p w14:paraId="12F8D95A" w14:textId="77777777" w:rsidR="00737017" w:rsidRPr="00EF28E1" w:rsidRDefault="00737017" w:rsidP="00451967">
      <w:pPr>
        <w:pStyle w:val="Caption"/>
        <w:spacing w:line="480" w:lineRule="auto"/>
        <w:rPr>
          <w:rFonts w:ascii="Arial" w:hAnsi="Arial" w:cs="Arial"/>
          <w:b/>
          <w:bCs/>
          <w:i w:val="0"/>
          <w:iCs w:val="0"/>
          <w:sz w:val="20"/>
          <w:szCs w:val="20"/>
          <w:lang w:val="en-GB"/>
        </w:rPr>
      </w:pPr>
      <w:r w:rsidRPr="00EF28E1">
        <w:rPr>
          <w:rFonts w:ascii="Arial" w:hAnsi="Arial" w:cs="Arial"/>
          <w:b/>
          <w:bCs/>
          <w:i w:val="0"/>
          <w:iCs w:val="0"/>
          <w:color w:val="000000" w:themeColor="text1"/>
          <w:sz w:val="20"/>
          <w:szCs w:val="20"/>
          <w:lang w:val="en-GB"/>
        </w:rPr>
        <w:t xml:space="preserve">Figure </w:t>
      </w:r>
      <w:r w:rsidRPr="00EF28E1">
        <w:rPr>
          <w:rFonts w:ascii="Arial" w:hAnsi="Arial" w:cs="Arial"/>
          <w:b/>
          <w:bCs/>
          <w:i w:val="0"/>
          <w:iCs w:val="0"/>
          <w:color w:val="000000" w:themeColor="text1"/>
          <w:sz w:val="20"/>
          <w:szCs w:val="20"/>
          <w:lang w:val="en-GB"/>
        </w:rPr>
        <w:fldChar w:fldCharType="begin"/>
      </w:r>
      <w:r w:rsidRPr="00EF28E1">
        <w:rPr>
          <w:rFonts w:ascii="Arial" w:hAnsi="Arial" w:cs="Arial"/>
          <w:b/>
          <w:bCs/>
          <w:i w:val="0"/>
          <w:iCs w:val="0"/>
          <w:color w:val="000000" w:themeColor="text1"/>
          <w:sz w:val="20"/>
          <w:szCs w:val="20"/>
          <w:lang w:val="en-GB"/>
        </w:rPr>
        <w:instrText xml:space="preserve"> SEQ Figure \* ARABIC </w:instrText>
      </w:r>
      <w:r w:rsidRPr="00EF28E1">
        <w:rPr>
          <w:rFonts w:ascii="Arial" w:hAnsi="Arial" w:cs="Arial"/>
          <w:b/>
          <w:bCs/>
          <w:i w:val="0"/>
          <w:iCs w:val="0"/>
          <w:color w:val="000000" w:themeColor="text1"/>
          <w:sz w:val="20"/>
          <w:szCs w:val="20"/>
          <w:lang w:val="en-GB"/>
        </w:rPr>
        <w:fldChar w:fldCharType="separate"/>
      </w:r>
      <w:r w:rsidRPr="00EF28E1">
        <w:rPr>
          <w:rFonts w:ascii="Arial" w:hAnsi="Arial" w:cs="Arial"/>
          <w:b/>
          <w:bCs/>
          <w:i w:val="0"/>
          <w:iCs w:val="0"/>
          <w:noProof/>
          <w:color w:val="000000" w:themeColor="text1"/>
          <w:sz w:val="20"/>
          <w:szCs w:val="20"/>
          <w:lang w:val="en-GB"/>
        </w:rPr>
        <w:t>3</w:t>
      </w:r>
      <w:r w:rsidRPr="00EF28E1">
        <w:rPr>
          <w:rFonts w:ascii="Arial" w:hAnsi="Arial" w:cs="Arial"/>
          <w:b/>
          <w:bCs/>
          <w:i w:val="0"/>
          <w:iCs w:val="0"/>
          <w:color w:val="000000" w:themeColor="text1"/>
          <w:sz w:val="20"/>
          <w:szCs w:val="20"/>
          <w:lang w:val="en-GB"/>
        </w:rPr>
        <w:fldChar w:fldCharType="end"/>
      </w:r>
      <w:r w:rsidRPr="00EF28E1">
        <w:rPr>
          <w:rFonts w:ascii="Arial" w:hAnsi="Arial" w:cs="Arial"/>
          <w:b/>
          <w:bCs/>
          <w:i w:val="0"/>
          <w:iCs w:val="0"/>
          <w:color w:val="000000" w:themeColor="text1"/>
          <w:sz w:val="20"/>
          <w:szCs w:val="20"/>
          <w:lang w:val="en-GB"/>
        </w:rPr>
        <w:t>: Overview of sample selection</w:t>
      </w:r>
    </w:p>
    <w:p w14:paraId="73D2E2AF" w14:textId="1BD84318" w:rsidR="00266238" w:rsidRPr="00E85FF3" w:rsidRDefault="00B95427" w:rsidP="00E85FF3">
      <w:pPr>
        <w:pStyle w:val="Heading1"/>
        <w:numPr>
          <w:ilvl w:val="1"/>
          <w:numId w:val="4"/>
        </w:numPr>
        <w:spacing w:before="240" w:line="480" w:lineRule="auto"/>
        <w:jc w:val="left"/>
        <w:rPr>
          <w:sz w:val="22"/>
          <w:szCs w:val="22"/>
        </w:rPr>
      </w:pPr>
      <w:bookmarkStart w:id="15" w:name="_Hlk193404826"/>
      <w:bookmarkEnd w:id="14"/>
      <w:r w:rsidRPr="00E6253D">
        <w:rPr>
          <w:sz w:val="22"/>
          <w:szCs w:val="22"/>
        </w:rPr>
        <w:lastRenderedPageBreak/>
        <w:t>Comparison</w:t>
      </w:r>
      <w:r w:rsidR="00961320" w:rsidRPr="00E6253D">
        <w:rPr>
          <w:sz w:val="22"/>
          <w:szCs w:val="22"/>
        </w:rPr>
        <w:t xml:space="preserve"> between </w:t>
      </w:r>
      <w:r w:rsidRPr="00E6253D">
        <w:rPr>
          <w:sz w:val="22"/>
          <w:szCs w:val="22"/>
        </w:rPr>
        <w:t xml:space="preserve">routine </w:t>
      </w:r>
      <w:r w:rsidR="00961320" w:rsidRPr="00E6253D">
        <w:rPr>
          <w:sz w:val="22"/>
          <w:szCs w:val="22"/>
        </w:rPr>
        <w:t>morphological identification method and M</w:t>
      </w:r>
      <w:r w:rsidR="008A2DA8" w:rsidRPr="00E6253D">
        <w:rPr>
          <w:sz w:val="22"/>
          <w:szCs w:val="22"/>
        </w:rPr>
        <w:t xml:space="preserve">ass </w:t>
      </w:r>
      <w:r w:rsidR="00961320" w:rsidRPr="00E6253D">
        <w:rPr>
          <w:sz w:val="22"/>
          <w:szCs w:val="22"/>
        </w:rPr>
        <w:t>S</w:t>
      </w:r>
      <w:r w:rsidR="008A2DA8" w:rsidRPr="00E6253D">
        <w:rPr>
          <w:sz w:val="22"/>
          <w:szCs w:val="22"/>
        </w:rPr>
        <w:t>pectrometry</w:t>
      </w:r>
    </w:p>
    <w:p w14:paraId="163C3BAB" w14:textId="7BF999F5" w:rsidR="003F37CD" w:rsidRDefault="00750E84" w:rsidP="00451967">
      <w:pPr>
        <w:spacing w:line="480" w:lineRule="auto"/>
        <w:jc w:val="both"/>
        <w:rPr>
          <w:rFonts w:ascii="Arial" w:hAnsi="Arial" w:cs="Arial"/>
          <w:bCs/>
          <w:sz w:val="20"/>
          <w:szCs w:val="20"/>
        </w:rPr>
      </w:pPr>
      <w:r w:rsidRPr="00BA1D43">
        <w:rPr>
          <w:rFonts w:ascii="Arial" w:hAnsi="Arial" w:cs="Arial"/>
          <w:bCs/>
          <w:sz w:val="20"/>
          <w:szCs w:val="20"/>
        </w:rPr>
        <w:t>Of the 249 isolates analyzed, complete concordance between the two identification methods was observed in 51.81</w:t>
      </w:r>
      <w:r w:rsidR="00B629F5" w:rsidRPr="00BA1D43">
        <w:rPr>
          <w:rFonts w:ascii="Arial" w:hAnsi="Arial" w:cs="Arial"/>
          <w:bCs/>
          <w:sz w:val="20"/>
          <w:szCs w:val="20"/>
        </w:rPr>
        <w:t xml:space="preserve"> </w:t>
      </w:r>
      <w:r w:rsidRPr="00BA1D43">
        <w:rPr>
          <w:rFonts w:ascii="Arial" w:hAnsi="Arial" w:cs="Arial"/>
          <w:bCs/>
          <w:sz w:val="20"/>
          <w:szCs w:val="20"/>
        </w:rPr>
        <w:t>% (129/249) of cases</w:t>
      </w:r>
      <w:r w:rsidR="008B6AD6" w:rsidRPr="00BA1D43">
        <w:rPr>
          <w:rFonts w:ascii="Arial" w:hAnsi="Arial" w:cs="Arial"/>
          <w:bCs/>
          <w:sz w:val="20"/>
          <w:szCs w:val="20"/>
        </w:rPr>
        <w:t xml:space="preserve"> (Table 1)</w:t>
      </w:r>
      <w:r w:rsidRPr="00BA1D43">
        <w:rPr>
          <w:rFonts w:ascii="Arial" w:hAnsi="Arial" w:cs="Arial"/>
          <w:bCs/>
          <w:sz w:val="20"/>
          <w:szCs w:val="20"/>
        </w:rPr>
        <w:t>. MALDI-TOF MS provided additional insights, successfully identifying 9 isolates (3.61</w:t>
      </w:r>
      <w:r w:rsidR="00B629F5" w:rsidRPr="00BA1D43">
        <w:rPr>
          <w:rFonts w:ascii="Arial" w:hAnsi="Arial" w:cs="Arial"/>
          <w:bCs/>
          <w:sz w:val="20"/>
          <w:szCs w:val="20"/>
        </w:rPr>
        <w:t xml:space="preserve"> </w:t>
      </w:r>
      <w:r w:rsidRPr="00BA1D43">
        <w:rPr>
          <w:rFonts w:ascii="Arial" w:hAnsi="Arial" w:cs="Arial"/>
          <w:bCs/>
          <w:sz w:val="20"/>
          <w:szCs w:val="20"/>
        </w:rPr>
        <w:t>%) that could not be identified in Lomé and further specifying the species of 6</w:t>
      </w:r>
      <w:r w:rsidR="009F6367" w:rsidRPr="00BA1D43">
        <w:rPr>
          <w:rFonts w:ascii="Arial" w:hAnsi="Arial" w:cs="Arial"/>
          <w:bCs/>
          <w:sz w:val="20"/>
          <w:szCs w:val="20"/>
        </w:rPr>
        <w:t>5</w:t>
      </w:r>
      <w:r w:rsidRPr="00BA1D43">
        <w:rPr>
          <w:rFonts w:ascii="Arial" w:hAnsi="Arial" w:cs="Arial"/>
          <w:bCs/>
          <w:sz w:val="20"/>
          <w:szCs w:val="20"/>
        </w:rPr>
        <w:t xml:space="preserve"> isolates (26.1</w:t>
      </w:r>
      <w:r w:rsidR="009F6367" w:rsidRPr="00BA1D43">
        <w:rPr>
          <w:rFonts w:ascii="Arial" w:hAnsi="Arial" w:cs="Arial"/>
          <w:bCs/>
          <w:sz w:val="20"/>
          <w:szCs w:val="20"/>
        </w:rPr>
        <w:t>0</w:t>
      </w:r>
      <w:r w:rsidR="00B629F5" w:rsidRPr="00BA1D43">
        <w:rPr>
          <w:rFonts w:ascii="Arial" w:hAnsi="Arial" w:cs="Arial"/>
          <w:bCs/>
          <w:sz w:val="20"/>
          <w:szCs w:val="20"/>
        </w:rPr>
        <w:t xml:space="preserve"> </w:t>
      </w:r>
      <w:r w:rsidRPr="00BA1D43">
        <w:rPr>
          <w:rFonts w:ascii="Arial" w:hAnsi="Arial" w:cs="Arial"/>
          <w:bCs/>
          <w:sz w:val="20"/>
          <w:szCs w:val="20"/>
        </w:rPr>
        <w:t>%) initially classified under broader taxonomic categories, including Candida, Trichosporon, Trichophyton, Aspergillus, Penicillium/Talaromyces, Fusarium, Exophiala, Cladosporium, Rhizopus, and Trichoderma, as well as groups such as Dematiaceae and Mucorales. The analysis conducted at Hôpital Pitié-Salpêtrière in Paris corrected the identification of 4</w:t>
      </w:r>
      <w:r w:rsidR="009F6367" w:rsidRPr="00BA1D43">
        <w:rPr>
          <w:rFonts w:ascii="Arial" w:hAnsi="Arial" w:cs="Arial"/>
          <w:bCs/>
          <w:sz w:val="20"/>
          <w:szCs w:val="20"/>
        </w:rPr>
        <w:t>3</w:t>
      </w:r>
      <w:r w:rsidRPr="00BA1D43">
        <w:rPr>
          <w:rFonts w:ascii="Arial" w:hAnsi="Arial" w:cs="Arial"/>
          <w:bCs/>
          <w:sz w:val="20"/>
          <w:szCs w:val="20"/>
        </w:rPr>
        <w:t xml:space="preserve"> isolates (</w:t>
      </w:r>
      <w:r w:rsidR="009F6367" w:rsidRPr="00BA1D43">
        <w:rPr>
          <w:rFonts w:ascii="Arial" w:hAnsi="Arial" w:cs="Arial"/>
          <w:bCs/>
          <w:sz w:val="20"/>
          <w:szCs w:val="20"/>
        </w:rPr>
        <w:t>17,27</w:t>
      </w:r>
      <w:r w:rsidR="00B629F5" w:rsidRPr="00BA1D43">
        <w:rPr>
          <w:rFonts w:ascii="Arial" w:hAnsi="Arial" w:cs="Arial"/>
          <w:bCs/>
          <w:sz w:val="20"/>
          <w:szCs w:val="20"/>
        </w:rPr>
        <w:t xml:space="preserve"> </w:t>
      </w:r>
      <w:r w:rsidRPr="00BA1D43">
        <w:rPr>
          <w:rFonts w:ascii="Arial" w:hAnsi="Arial" w:cs="Arial"/>
          <w:bCs/>
          <w:sz w:val="20"/>
          <w:szCs w:val="20"/>
        </w:rPr>
        <w:t>%)</w:t>
      </w:r>
      <w:r w:rsidR="008B6AD6" w:rsidRPr="00BA1D43">
        <w:rPr>
          <w:rFonts w:ascii="Arial" w:hAnsi="Arial" w:cs="Arial"/>
          <w:bCs/>
          <w:sz w:val="20"/>
          <w:szCs w:val="20"/>
        </w:rPr>
        <w:t xml:space="preserve"> (Table </w:t>
      </w:r>
      <w:r w:rsidR="000E1EA7" w:rsidRPr="00BA1D43">
        <w:rPr>
          <w:rFonts w:ascii="Arial" w:hAnsi="Arial" w:cs="Arial"/>
          <w:bCs/>
          <w:sz w:val="20"/>
          <w:szCs w:val="20"/>
        </w:rPr>
        <w:t>2</w:t>
      </w:r>
      <w:r w:rsidR="008B6AD6" w:rsidRPr="00BA1D43">
        <w:rPr>
          <w:rFonts w:ascii="Arial" w:hAnsi="Arial" w:cs="Arial"/>
          <w:bCs/>
          <w:sz w:val="20"/>
          <w:szCs w:val="20"/>
        </w:rPr>
        <w:t>)</w:t>
      </w:r>
      <w:r w:rsidR="00481197" w:rsidRPr="00BA1D43">
        <w:rPr>
          <w:rFonts w:ascii="Arial" w:hAnsi="Arial" w:cs="Arial"/>
          <w:bCs/>
          <w:sz w:val="20"/>
          <w:szCs w:val="20"/>
        </w:rPr>
        <w:t>.</w:t>
      </w:r>
    </w:p>
    <w:p w14:paraId="79E3887A" w14:textId="1B716215" w:rsidR="00B73A14" w:rsidRPr="00BA1D43" w:rsidRDefault="00EA6522" w:rsidP="00EA6522">
      <w:pPr>
        <w:tabs>
          <w:tab w:val="left" w:pos="1263"/>
        </w:tabs>
        <w:spacing w:line="480" w:lineRule="auto"/>
        <w:jc w:val="both"/>
        <w:rPr>
          <w:rFonts w:ascii="Arial" w:hAnsi="Arial" w:cs="Arial"/>
          <w:b/>
          <w:bCs/>
          <w:i/>
          <w:iCs/>
          <w:color w:val="000000" w:themeColor="text1"/>
          <w:sz w:val="36"/>
          <w:szCs w:val="36"/>
          <w:lang w:val="en-US"/>
        </w:rPr>
      </w:pPr>
      <w:r w:rsidRPr="006A6222">
        <w:rPr>
          <w:rFonts w:ascii="Arial" w:hAnsi="Arial" w:cs="Arial"/>
          <w:bCs/>
          <w:sz w:val="24"/>
          <w:szCs w:val="24"/>
        </w:rPr>
        <w:tab/>
      </w:r>
      <w:r w:rsidR="00B73A14" w:rsidRPr="00BA1D43">
        <w:rPr>
          <w:rFonts w:ascii="Arial" w:hAnsi="Arial" w:cs="Arial"/>
          <w:b/>
          <w:bCs/>
          <w:color w:val="000000" w:themeColor="text1"/>
          <w:sz w:val="20"/>
          <w:szCs w:val="20"/>
          <w:lang w:val="en-US"/>
        </w:rPr>
        <w:t xml:space="preserve">Table </w:t>
      </w:r>
      <w:r w:rsidR="00451967" w:rsidRPr="00BA1D43">
        <w:rPr>
          <w:rFonts w:ascii="Arial" w:hAnsi="Arial" w:cs="Arial"/>
          <w:b/>
          <w:bCs/>
          <w:color w:val="000000" w:themeColor="text1"/>
          <w:sz w:val="20"/>
          <w:szCs w:val="20"/>
          <w:lang w:val="en-US"/>
        </w:rPr>
        <w:t>1</w:t>
      </w:r>
      <w:r w:rsidR="00B73A14" w:rsidRPr="00BA1D43">
        <w:rPr>
          <w:rFonts w:ascii="Arial" w:hAnsi="Arial" w:cs="Arial"/>
          <w:b/>
          <w:bCs/>
          <w:color w:val="000000" w:themeColor="text1"/>
          <w:sz w:val="20"/>
          <w:szCs w:val="20"/>
          <w:lang w:val="en-US"/>
        </w:rPr>
        <w:t>: List of fungi species correctly identified by both techniques</w:t>
      </w:r>
    </w:p>
    <w:tbl>
      <w:tblPr>
        <w:tblW w:w="9639"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402"/>
        <w:gridCol w:w="3119"/>
        <w:gridCol w:w="1134"/>
        <w:gridCol w:w="1984"/>
      </w:tblGrid>
      <w:tr w:rsidR="00B73A14" w:rsidRPr="00BA1D43" w14:paraId="6C261FF1" w14:textId="77777777" w:rsidTr="0082103B">
        <w:trPr>
          <w:trHeight w:val="300"/>
        </w:trPr>
        <w:tc>
          <w:tcPr>
            <w:tcW w:w="3402" w:type="dxa"/>
            <w:tcBorders>
              <w:top w:val="single" w:sz="4" w:space="0" w:color="auto"/>
              <w:bottom w:val="single" w:sz="4" w:space="0" w:color="auto"/>
            </w:tcBorders>
            <w:shd w:val="clear" w:color="auto" w:fill="auto"/>
            <w:noWrap/>
            <w:vAlign w:val="bottom"/>
            <w:hideMark/>
          </w:tcPr>
          <w:p w14:paraId="28F7AB94" w14:textId="4282605D" w:rsidR="00B73A14" w:rsidRPr="00BA1D43" w:rsidRDefault="00B73A14" w:rsidP="00451967">
            <w:pPr>
              <w:spacing w:after="0" w:line="480" w:lineRule="auto"/>
              <w:jc w:val="both"/>
              <w:rPr>
                <w:rFonts w:ascii="Arial" w:eastAsia="Times New Roman" w:hAnsi="Arial" w:cs="Arial"/>
                <w:b/>
                <w:color w:val="000000"/>
                <w:sz w:val="20"/>
                <w:szCs w:val="20"/>
                <w:lang w:eastAsia="fr-FR"/>
                <w14:ligatures w14:val="none"/>
              </w:rPr>
            </w:pPr>
            <w:r w:rsidRPr="00BA1D43">
              <w:rPr>
                <w:rFonts w:ascii="Arial" w:eastAsia="Times New Roman" w:hAnsi="Arial" w:cs="Arial"/>
                <w:b/>
                <w:color w:val="000000"/>
                <w:sz w:val="20"/>
                <w:szCs w:val="20"/>
                <w:lang w:eastAsia="fr-FR"/>
                <w14:ligatures w14:val="none"/>
              </w:rPr>
              <w:t>Identification by RM</w:t>
            </w:r>
            <w:r w:rsidR="00740EE0" w:rsidRPr="00C770DD">
              <w:rPr>
                <w:rStyle w:val="FootnoteReference"/>
              </w:rPr>
              <w:footnoteReference w:customMarkFollows="1" w:id="1"/>
              <w:t>a</w:t>
            </w:r>
          </w:p>
        </w:tc>
        <w:tc>
          <w:tcPr>
            <w:tcW w:w="3119" w:type="dxa"/>
            <w:tcBorders>
              <w:top w:val="single" w:sz="4" w:space="0" w:color="auto"/>
              <w:bottom w:val="single" w:sz="4" w:space="0" w:color="auto"/>
            </w:tcBorders>
            <w:shd w:val="clear" w:color="auto" w:fill="auto"/>
            <w:noWrap/>
            <w:vAlign w:val="bottom"/>
            <w:hideMark/>
          </w:tcPr>
          <w:p w14:paraId="407E1EF6" w14:textId="270F5241" w:rsidR="00B73A14" w:rsidRPr="00BA1D43" w:rsidRDefault="00B73A14" w:rsidP="00451967">
            <w:pPr>
              <w:spacing w:after="0" w:line="480" w:lineRule="auto"/>
              <w:jc w:val="both"/>
              <w:rPr>
                <w:rFonts w:ascii="Arial" w:eastAsia="Times New Roman" w:hAnsi="Arial" w:cs="Arial"/>
                <w:b/>
                <w:color w:val="000000"/>
                <w:sz w:val="20"/>
                <w:szCs w:val="20"/>
                <w:lang w:eastAsia="fr-FR"/>
                <w14:ligatures w14:val="none"/>
              </w:rPr>
            </w:pPr>
            <w:r w:rsidRPr="00BA1D43">
              <w:rPr>
                <w:rFonts w:ascii="Arial" w:eastAsia="Times New Roman" w:hAnsi="Arial" w:cs="Arial"/>
                <w:b/>
                <w:color w:val="000000"/>
                <w:sz w:val="20"/>
                <w:szCs w:val="20"/>
                <w:lang w:eastAsia="fr-FR"/>
                <w14:ligatures w14:val="none"/>
              </w:rPr>
              <w:t>Identification by MS</w:t>
            </w:r>
            <w:r w:rsidR="00740EE0" w:rsidRPr="00C770DD">
              <w:rPr>
                <w:rStyle w:val="FootnoteReference"/>
              </w:rPr>
              <w:footnoteReference w:customMarkFollows="1" w:id="2"/>
              <w:t>b</w:t>
            </w:r>
          </w:p>
        </w:tc>
        <w:tc>
          <w:tcPr>
            <w:tcW w:w="1134" w:type="dxa"/>
            <w:tcBorders>
              <w:top w:val="single" w:sz="4" w:space="0" w:color="auto"/>
              <w:bottom w:val="single" w:sz="4" w:space="0" w:color="auto"/>
            </w:tcBorders>
            <w:shd w:val="clear" w:color="auto" w:fill="auto"/>
            <w:noWrap/>
            <w:vAlign w:val="bottom"/>
            <w:hideMark/>
          </w:tcPr>
          <w:p w14:paraId="4176A72C" w14:textId="77777777" w:rsidR="00B73A14" w:rsidRPr="00BA1D43" w:rsidRDefault="00B73A14" w:rsidP="00451967">
            <w:pPr>
              <w:spacing w:after="0" w:line="480" w:lineRule="auto"/>
              <w:jc w:val="center"/>
              <w:rPr>
                <w:rFonts w:ascii="Arial" w:eastAsia="Times New Roman" w:hAnsi="Arial" w:cs="Arial"/>
                <w:b/>
                <w:color w:val="000000"/>
                <w:sz w:val="20"/>
                <w:szCs w:val="20"/>
                <w:lang w:eastAsia="fr-FR"/>
                <w14:ligatures w14:val="none"/>
              </w:rPr>
            </w:pPr>
            <w:r w:rsidRPr="00BA1D43">
              <w:rPr>
                <w:rFonts w:ascii="Arial" w:eastAsia="Times New Roman" w:hAnsi="Arial" w:cs="Arial"/>
                <w:b/>
                <w:color w:val="000000"/>
                <w:sz w:val="20"/>
                <w:szCs w:val="20"/>
                <w:lang w:eastAsia="fr-FR"/>
                <w14:ligatures w14:val="none"/>
              </w:rPr>
              <w:t>Number</w:t>
            </w:r>
          </w:p>
        </w:tc>
        <w:tc>
          <w:tcPr>
            <w:tcW w:w="1984" w:type="dxa"/>
            <w:tcBorders>
              <w:top w:val="single" w:sz="4" w:space="0" w:color="auto"/>
              <w:bottom w:val="single" w:sz="4" w:space="0" w:color="auto"/>
            </w:tcBorders>
            <w:shd w:val="clear" w:color="auto" w:fill="auto"/>
            <w:noWrap/>
            <w:vAlign w:val="bottom"/>
            <w:hideMark/>
          </w:tcPr>
          <w:p w14:paraId="7FF81AB9" w14:textId="77777777" w:rsidR="00B73A14" w:rsidRPr="00BA1D43" w:rsidRDefault="00B73A14" w:rsidP="00451967">
            <w:pPr>
              <w:spacing w:after="0" w:line="480" w:lineRule="auto"/>
              <w:jc w:val="center"/>
              <w:rPr>
                <w:rFonts w:ascii="Arial" w:eastAsia="Times New Roman" w:hAnsi="Arial" w:cs="Arial"/>
                <w:b/>
                <w:color w:val="000000"/>
                <w:sz w:val="20"/>
                <w:szCs w:val="20"/>
                <w:lang w:eastAsia="fr-FR"/>
                <w14:ligatures w14:val="none"/>
              </w:rPr>
            </w:pPr>
            <w:r w:rsidRPr="00BA1D43">
              <w:rPr>
                <w:rFonts w:ascii="Arial" w:eastAsia="Times New Roman" w:hAnsi="Arial" w:cs="Arial"/>
                <w:b/>
                <w:color w:val="000000"/>
                <w:sz w:val="20"/>
                <w:szCs w:val="20"/>
                <w:lang w:eastAsia="fr-FR"/>
                <w14:ligatures w14:val="none"/>
              </w:rPr>
              <w:t>Proportion (%)</w:t>
            </w:r>
          </w:p>
        </w:tc>
      </w:tr>
      <w:tr w:rsidR="00B73A14" w:rsidRPr="00BA1D43" w14:paraId="7A670335" w14:textId="77777777" w:rsidTr="0082103B">
        <w:trPr>
          <w:trHeight w:val="300"/>
        </w:trPr>
        <w:tc>
          <w:tcPr>
            <w:tcW w:w="3402" w:type="dxa"/>
            <w:tcBorders>
              <w:top w:val="single" w:sz="4" w:space="0" w:color="auto"/>
            </w:tcBorders>
            <w:shd w:val="clear" w:color="auto" w:fill="auto"/>
            <w:noWrap/>
            <w:vAlign w:val="center"/>
            <w:hideMark/>
          </w:tcPr>
          <w:p w14:paraId="0DA460C2"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C. albicans</w:t>
            </w:r>
          </w:p>
        </w:tc>
        <w:tc>
          <w:tcPr>
            <w:tcW w:w="3119" w:type="dxa"/>
            <w:tcBorders>
              <w:top w:val="single" w:sz="4" w:space="0" w:color="auto"/>
            </w:tcBorders>
            <w:shd w:val="clear" w:color="auto" w:fill="auto"/>
            <w:noWrap/>
            <w:vAlign w:val="center"/>
            <w:hideMark/>
          </w:tcPr>
          <w:p w14:paraId="76209DDB"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C. albicans</w:t>
            </w:r>
          </w:p>
        </w:tc>
        <w:tc>
          <w:tcPr>
            <w:tcW w:w="1134" w:type="dxa"/>
            <w:tcBorders>
              <w:top w:val="single" w:sz="4" w:space="0" w:color="auto"/>
            </w:tcBorders>
            <w:shd w:val="clear" w:color="auto" w:fill="auto"/>
            <w:noWrap/>
            <w:vAlign w:val="bottom"/>
            <w:hideMark/>
          </w:tcPr>
          <w:p w14:paraId="5C54E147" w14:textId="77777777" w:rsidR="00B73A14" w:rsidRPr="00BA1D43" w:rsidRDefault="00B73A14" w:rsidP="00451967">
            <w:pPr>
              <w:spacing w:after="0" w:line="480" w:lineRule="auto"/>
              <w:jc w:val="center"/>
              <w:rPr>
                <w:rFonts w:ascii="Arial" w:eastAsia="Times New Roman" w:hAnsi="Arial" w:cs="Arial"/>
                <w:color w:val="FF0000"/>
                <w:sz w:val="20"/>
                <w:szCs w:val="20"/>
                <w:lang w:eastAsia="fr-FR"/>
                <w14:ligatures w14:val="none"/>
              </w:rPr>
            </w:pPr>
            <w:r w:rsidRPr="00BA1D43">
              <w:rPr>
                <w:rFonts w:ascii="Arial" w:eastAsia="Times New Roman" w:hAnsi="Arial" w:cs="Arial"/>
                <w:sz w:val="20"/>
                <w:szCs w:val="20"/>
                <w:lang w:eastAsia="fr-FR"/>
                <w14:ligatures w14:val="none"/>
              </w:rPr>
              <w:t>85</w:t>
            </w:r>
          </w:p>
        </w:tc>
        <w:tc>
          <w:tcPr>
            <w:tcW w:w="1984" w:type="dxa"/>
            <w:tcBorders>
              <w:top w:val="single" w:sz="4" w:space="0" w:color="auto"/>
            </w:tcBorders>
            <w:shd w:val="clear" w:color="auto" w:fill="auto"/>
            <w:noWrap/>
            <w:vAlign w:val="bottom"/>
            <w:hideMark/>
          </w:tcPr>
          <w:p w14:paraId="3F535169"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65.89</w:t>
            </w:r>
          </w:p>
        </w:tc>
      </w:tr>
      <w:tr w:rsidR="00B73A14" w:rsidRPr="00BA1D43" w14:paraId="34B1E13A" w14:textId="77777777" w:rsidTr="0082103B">
        <w:trPr>
          <w:trHeight w:val="131"/>
        </w:trPr>
        <w:tc>
          <w:tcPr>
            <w:tcW w:w="3402" w:type="dxa"/>
            <w:shd w:val="clear" w:color="auto" w:fill="auto"/>
            <w:noWrap/>
            <w:vAlign w:val="bottom"/>
            <w:hideMark/>
          </w:tcPr>
          <w:p w14:paraId="5CF2EED4" w14:textId="77777777" w:rsidR="00B73A14" w:rsidRPr="00BA1D43" w:rsidRDefault="00B73A14" w:rsidP="00451967">
            <w:pPr>
              <w:spacing w:after="0" w:line="480" w:lineRule="auto"/>
              <w:jc w:val="both"/>
              <w:rPr>
                <w:rFonts w:ascii="Arial" w:eastAsia="Times New Roman" w:hAnsi="Arial" w:cs="Arial"/>
                <w:i/>
                <w:iCs/>
                <w:sz w:val="20"/>
                <w:szCs w:val="20"/>
                <w:lang w:eastAsia="fr-FR"/>
                <w14:ligatures w14:val="none"/>
              </w:rPr>
            </w:pPr>
            <w:r w:rsidRPr="00BA1D43">
              <w:rPr>
                <w:rFonts w:ascii="Arial" w:eastAsia="Times New Roman" w:hAnsi="Arial" w:cs="Arial"/>
                <w:i/>
                <w:iCs/>
                <w:sz w:val="20"/>
                <w:szCs w:val="20"/>
                <w:lang w:eastAsia="fr-FR"/>
                <w14:ligatures w14:val="none"/>
              </w:rPr>
              <w:t>C. tropicalis</w:t>
            </w:r>
          </w:p>
        </w:tc>
        <w:tc>
          <w:tcPr>
            <w:tcW w:w="3119" w:type="dxa"/>
            <w:shd w:val="clear" w:color="auto" w:fill="auto"/>
            <w:noWrap/>
            <w:vAlign w:val="bottom"/>
            <w:hideMark/>
          </w:tcPr>
          <w:p w14:paraId="6EC12E7A" w14:textId="77777777" w:rsidR="00B73A14" w:rsidRPr="00BA1D43" w:rsidRDefault="00B73A14" w:rsidP="00451967">
            <w:pPr>
              <w:spacing w:after="0" w:line="480" w:lineRule="auto"/>
              <w:jc w:val="both"/>
              <w:rPr>
                <w:rFonts w:ascii="Arial" w:eastAsia="Times New Roman" w:hAnsi="Arial" w:cs="Arial"/>
                <w:i/>
                <w:iCs/>
                <w:sz w:val="20"/>
                <w:szCs w:val="20"/>
                <w:lang w:eastAsia="fr-FR"/>
                <w14:ligatures w14:val="none"/>
              </w:rPr>
            </w:pPr>
            <w:r w:rsidRPr="00BA1D43">
              <w:rPr>
                <w:rFonts w:ascii="Arial" w:eastAsia="Times New Roman" w:hAnsi="Arial" w:cs="Arial"/>
                <w:i/>
                <w:iCs/>
                <w:sz w:val="20"/>
                <w:szCs w:val="20"/>
                <w:lang w:eastAsia="fr-FR"/>
                <w14:ligatures w14:val="none"/>
              </w:rPr>
              <w:t>C. tropicalis</w:t>
            </w:r>
          </w:p>
        </w:tc>
        <w:tc>
          <w:tcPr>
            <w:tcW w:w="1134" w:type="dxa"/>
            <w:shd w:val="clear" w:color="auto" w:fill="auto"/>
            <w:noWrap/>
            <w:vAlign w:val="bottom"/>
            <w:hideMark/>
          </w:tcPr>
          <w:p w14:paraId="0420FB01"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19</w:t>
            </w:r>
          </w:p>
        </w:tc>
        <w:tc>
          <w:tcPr>
            <w:tcW w:w="1984" w:type="dxa"/>
            <w:shd w:val="clear" w:color="auto" w:fill="auto"/>
            <w:noWrap/>
            <w:vAlign w:val="bottom"/>
            <w:hideMark/>
          </w:tcPr>
          <w:p w14:paraId="004A126F"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14.73</w:t>
            </w:r>
          </w:p>
        </w:tc>
      </w:tr>
      <w:tr w:rsidR="00B73A14" w:rsidRPr="00BA1D43" w14:paraId="498BCFF1" w14:textId="77777777" w:rsidTr="0082103B">
        <w:trPr>
          <w:trHeight w:val="300"/>
        </w:trPr>
        <w:tc>
          <w:tcPr>
            <w:tcW w:w="3402" w:type="dxa"/>
            <w:shd w:val="clear" w:color="auto" w:fill="auto"/>
            <w:noWrap/>
            <w:vAlign w:val="bottom"/>
            <w:hideMark/>
          </w:tcPr>
          <w:p w14:paraId="271A2AB1" w14:textId="77777777" w:rsidR="00B73A14" w:rsidRPr="00BA1D43" w:rsidRDefault="00B73A14" w:rsidP="00451967">
            <w:pPr>
              <w:spacing w:after="0" w:line="480" w:lineRule="auto"/>
              <w:jc w:val="both"/>
              <w:rPr>
                <w:rFonts w:ascii="Arial" w:eastAsia="Times New Roman" w:hAnsi="Arial" w:cs="Arial"/>
                <w:i/>
                <w:iCs/>
                <w:sz w:val="20"/>
                <w:szCs w:val="20"/>
                <w:lang w:eastAsia="fr-FR"/>
                <w14:ligatures w14:val="none"/>
              </w:rPr>
            </w:pPr>
            <w:r w:rsidRPr="00BA1D43">
              <w:rPr>
                <w:rFonts w:ascii="Arial" w:eastAsia="Times New Roman" w:hAnsi="Arial" w:cs="Arial"/>
                <w:i/>
                <w:iCs/>
                <w:sz w:val="20"/>
                <w:szCs w:val="20"/>
                <w:lang w:eastAsia="fr-FR"/>
                <w14:ligatures w14:val="none"/>
              </w:rPr>
              <w:t>C. parapsilosis</w:t>
            </w:r>
          </w:p>
        </w:tc>
        <w:tc>
          <w:tcPr>
            <w:tcW w:w="3119" w:type="dxa"/>
            <w:shd w:val="clear" w:color="auto" w:fill="auto"/>
            <w:noWrap/>
            <w:hideMark/>
          </w:tcPr>
          <w:p w14:paraId="31E48824" w14:textId="77777777" w:rsidR="00B73A14" w:rsidRPr="00BA1D43" w:rsidRDefault="00B73A14" w:rsidP="00451967">
            <w:pPr>
              <w:spacing w:after="0" w:line="480" w:lineRule="auto"/>
              <w:jc w:val="both"/>
              <w:rPr>
                <w:rFonts w:ascii="Arial" w:eastAsia="Times New Roman" w:hAnsi="Arial" w:cs="Arial"/>
                <w:i/>
                <w:iCs/>
                <w:sz w:val="20"/>
                <w:szCs w:val="20"/>
                <w:lang w:eastAsia="fr-FR"/>
                <w14:ligatures w14:val="none"/>
              </w:rPr>
            </w:pPr>
            <w:r w:rsidRPr="00BA1D43">
              <w:rPr>
                <w:rFonts w:ascii="Arial" w:eastAsia="Times New Roman" w:hAnsi="Arial" w:cs="Arial"/>
                <w:i/>
                <w:iCs/>
                <w:sz w:val="20"/>
                <w:szCs w:val="20"/>
                <w:lang w:eastAsia="fr-FR"/>
                <w14:ligatures w14:val="none"/>
              </w:rPr>
              <w:t>C. parapsilosis</w:t>
            </w:r>
          </w:p>
        </w:tc>
        <w:tc>
          <w:tcPr>
            <w:tcW w:w="1134" w:type="dxa"/>
            <w:shd w:val="clear" w:color="auto" w:fill="auto"/>
            <w:noWrap/>
            <w:vAlign w:val="bottom"/>
            <w:hideMark/>
          </w:tcPr>
          <w:p w14:paraId="27479DA1"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4</w:t>
            </w:r>
          </w:p>
        </w:tc>
        <w:tc>
          <w:tcPr>
            <w:tcW w:w="1984" w:type="dxa"/>
            <w:shd w:val="clear" w:color="auto" w:fill="auto"/>
            <w:noWrap/>
            <w:vAlign w:val="bottom"/>
            <w:hideMark/>
          </w:tcPr>
          <w:p w14:paraId="0176E715"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3.10</w:t>
            </w:r>
          </w:p>
        </w:tc>
      </w:tr>
      <w:tr w:rsidR="00B73A14" w:rsidRPr="00BA1D43" w14:paraId="64D7903D" w14:textId="77777777" w:rsidTr="0082103B">
        <w:trPr>
          <w:trHeight w:val="315"/>
        </w:trPr>
        <w:tc>
          <w:tcPr>
            <w:tcW w:w="3402" w:type="dxa"/>
            <w:shd w:val="clear" w:color="auto" w:fill="auto"/>
            <w:noWrap/>
            <w:vAlign w:val="bottom"/>
            <w:hideMark/>
          </w:tcPr>
          <w:p w14:paraId="13B53D0D"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T. rubrum</w:t>
            </w:r>
          </w:p>
        </w:tc>
        <w:tc>
          <w:tcPr>
            <w:tcW w:w="3119" w:type="dxa"/>
            <w:shd w:val="clear" w:color="auto" w:fill="auto"/>
            <w:noWrap/>
            <w:vAlign w:val="bottom"/>
            <w:hideMark/>
          </w:tcPr>
          <w:p w14:paraId="2AF3DB43" w14:textId="77777777" w:rsidR="00B73A14" w:rsidRPr="00BA1D43" w:rsidRDefault="00B73A14" w:rsidP="00451967">
            <w:pPr>
              <w:spacing w:after="0" w:line="480" w:lineRule="auto"/>
              <w:jc w:val="both"/>
              <w:rPr>
                <w:rFonts w:ascii="Arial" w:eastAsia="Times New Roman" w:hAnsi="Arial" w:cs="Arial"/>
                <w:i/>
                <w:iCs/>
                <w:sz w:val="20"/>
                <w:szCs w:val="20"/>
                <w:lang w:eastAsia="fr-FR"/>
                <w14:ligatures w14:val="none"/>
              </w:rPr>
            </w:pPr>
            <w:r w:rsidRPr="00BA1D43">
              <w:rPr>
                <w:rFonts w:ascii="Arial" w:eastAsia="Times New Roman" w:hAnsi="Arial" w:cs="Arial"/>
                <w:i/>
                <w:iCs/>
                <w:sz w:val="20"/>
                <w:szCs w:val="20"/>
                <w:lang w:eastAsia="fr-FR"/>
                <w14:ligatures w14:val="none"/>
              </w:rPr>
              <w:t>T. rubrum</w:t>
            </w:r>
          </w:p>
        </w:tc>
        <w:tc>
          <w:tcPr>
            <w:tcW w:w="1134" w:type="dxa"/>
            <w:shd w:val="clear" w:color="auto" w:fill="auto"/>
            <w:noWrap/>
            <w:vAlign w:val="bottom"/>
            <w:hideMark/>
          </w:tcPr>
          <w:p w14:paraId="682F7460"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5</w:t>
            </w:r>
          </w:p>
        </w:tc>
        <w:tc>
          <w:tcPr>
            <w:tcW w:w="1984" w:type="dxa"/>
            <w:shd w:val="clear" w:color="auto" w:fill="auto"/>
            <w:noWrap/>
            <w:vAlign w:val="bottom"/>
            <w:hideMark/>
          </w:tcPr>
          <w:p w14:paraId="7F907B4F"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3.88</w:t>
            </w:r>
          </w:p>
        </w:tc>
      </w:tr>
      <w:tr w:rsidR="00B73A14" w:rsidRPr="00BA1D43" w14:paraId="36FE5831" w14:textId="77777777" w:rsidTr="0082103B">
        <w:trPr>
          <w:trHeight w:val="315"/>
        </w:trPr>
        <w:tc>
          <w:tcPr>
            <w:tcW w:w="3402" w:type="dxa"/>
            <w:shd w:val="clear" w:color="auto" w:fill="auto"/>
            <w:noWrap/>
            <w:vAlign w:val="bottom"/>
            <w:hideMark/>
          </w:tcPr>
          <w:p w14:paraId="3CC56ED1"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Microsporum audouinii</w:t>
            </w:r>
          </w:p>
        </w:tc>
        <w:tc>
          <w:tcPr>
            <w:tcW w:w="3119" w:type="dxa"/>
            <w:shd w:val="clear" w:color="auto" w:fill="auto"/>
            <w:noWrap/>
            <w:vAlign w:val="bottom"/>
            <w:hideMark/>
          </w:tcPr>
          <w:p w14:paraId="7D392F06"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Microsporum audouinii</w:t>
            </w:r>
          </w:p>
        </w:tc>
        <w:tc>
          <w:tcPr>
            <w:tcW w:w="1134" w:type="dxa"/>
            <w:shd w:val="clear" w:color="auto" w:fill="auto"/>
            <w:noWrap/>
            <w:vAlign w:val="bottom"/>
            <w:hideMark/>
          </w:tcPr>
          <w:p w14:paraId="15CDF6FD"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w:t>
            </w:r>
          </w:p>
        </w:tc>
        <w:tc>
          <w:tcPr>
            <w:tcW w:w="1984" w:type="dxa"/>
            <w:shd w:val="clear" w:color="auto" w:fill="auto"/>
            <w:noWrap/>
            <w:vAlign w:val="bottom"/>
            <w:hideMark/>
          </w:tcPr>
          <w:p w14:paraId="1988FA7D"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0.78</w:t>
            </w:r>
          </w:p>
        </w:tc>
      </w:tr>
      <w:tr w:rsidR="00B73A14" w:rsidRPr="00BA1D43" w14:paraId="2FEA0310" w14:textId="77777777" w:rsidTr="0082103B">
        <w:trPr>
          <w:trHeight w:val="315"/>
        </w:trPr>
        <w:tc>
          <w:tcPr>
            <w:tcW w:w="3402" w:type="dxa"/>
            <w:shd w:val="clear" w:color="auto" w:fill="auto"/>
            <w:noWrap/>
            <w:vAlign w:val="bottom"/>
            <w:hideMark/>
          </w:tcPr>
          <w:p w14:paraId="568A0DEA"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Microsporum canis</w:t>
            </w:r>
          </w:p>
        </w:tc>
        <w:tc>
          <w:tcPr>
            <w:tcW w:w="3119" w:type="dxa"/>
            <w:shd w:val="clear" w:color="auto" w:fill="auto"/>
            <w:noWrap/>
            <w:vAlign w:val="bottom"/>
            <w:hideMark/>
          </w:tcPr>
          <w:p w14:paraId="0944BA1B"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Microsporum canis</w:t>
            </w:r>
          </w:p>
        </w:tc>
        <w:tc>
          <w:tcPr>
            <w:tcW w:w="1134" w:type="dxa"/>
            <w:shd w:val="clear" w:color="auto" w:fill="auto"/>
            <w:noWrap/>
            <w:vAlign w:val="bottom"/>
            <w:hideMark/>
          </w:tcPr>
          <w:p w14:paraId="2CA44718"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w:t>
            </w:r>
          </w:p>
        </w:tc>
        <w:tc>
          <w:tcPr>
            <w:tcW w:w="1984" w:type="dxa"/>
            <w:shd w:val="clear" w:color="auto" w:fill="auto"/>
            <w:noWrap/>
            <w:vAlign w:val="bottom"/>
            <w:hideMark/>
          </w:tcPr>
          <w:p w14:paraId="354840C8"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0.78</w:t>
            </w:r>
          </w:p>
        </w:tc>
      </w:tr>
      <w:tr w:rsidR="00B73A14" w:rsidRPr="00BA1D43" w14:paraId="2DAC81DA" w14:textId="77777777" w:rsidTr="0082103B">
        <w:trPr>
          <w:trHeight w:val="300"/>
        </w:trPr>
        <w:tc>
          <w:tcPr>
            <w:tcW w:w="3402" w:type="dxa"/>
            <w:shd w:val="clear" w:color="auto" w:fill="auto"/>
            <w:noWrap/>
            <w:vAlign w:val="bottom"/>
            <w:hideMark/>
          </w:tcPr>
          <w:p w14:paraId="3F843E73"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Neoscytalidium dimidiatum</w:t>
            </w:r>
          </w:p>
        </w:tc>
        <w:tc>
          <w:tcPr>
            <w:tcW w:w="3119" w:type="dxa"/>
            <w:shd w:val="clear" w:color="auto" w:fill="auto"/>
            <w:noWrap/>
            <w:vAlign w:val="bottom"/>
            <w:hideMark/>
          </w:tcPr>
          <w:p w14:paraId="4F5CA01D"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Neoscytalidium dimidiatum</w:t>
            </w:r>
          </w:p>
        </w:tc>
        <w:tc>
          <w:tcPr>
            <w:tcW w:w="1134" w:type="dxa"/>
            <w:shd w:val="clear" w:color="auto" w:fill="auto"/>
            <w:noWrap/>
            <w:vAlign w:val="bottom"/>
            <w:hideMark/>
          </w:tcPr>
          <w:p w14:paraId="2F774650"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12</w:t>
            </w:r>
          </w:p>
        </w:tc>
        <w:tc>
          <w:tcPr>
            <w:tcW w:w="1984" w:type="dxa"/>
            <w:shd w:val="clear" w:color="auto" w:fill="auto"/>
            <w:noWrap/>
            <w:vAlign w:val="bottom"/>
            <w:hideMark/>
          </w:tcPr>
          <w:p w14:paraId="0DD1335F"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9.30</w:t>
            </w:r>
          </w:p>
        </w:tc>
      </w:tr>
      <w:tr w:rsidR="00B73A14" w:rsidRPr="00BA1D43" w14:paraId="6C49CEA9" w14:textId="77777777" w:rsidTr="0082103B">
        <w:trPr>
          <w:trHeight w:val="300"/>
        </w:trPr>
        <w:tc>
          <w:tcPr>
            <w:tcW w:w="3402" w:type="dxa"/>
            <w:shd w:val="clear" w:color="auto" w:fill="auto"/>
            <w:noWrap/>
            <w:vAlign w:val="bottom"/>
            <w:hideMark/>
          </w:tcPr>
          <w:p w14:paraId="4DFE66D4"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Aspergillus terreus</w:t>
            </w:r>
          </w:p>
        </w:tc>
        <w:tc>
          <w:tcPr>
            <w:tcW w:w="3119" w:type="dxa"/>
            <w:shd w:val="clear" w:color="auto" w:fill="auto"/>
            <w:noWrap/>
            <w:vAlign w:val="bottom"/>
            <w:hideMark/>
          </w:tcPr>
          <w:p w14:paraId="33BBBCAA" w14:textId="77777777" w:rsidR="00B73A14" w:rsidRPr="00BA1D43" w:rsidRDefault="00B73A14" w:rsidP="00451967">
            <w:pPr>
              <w:spacing w:after="0" w:line="480" w:lineRule="auto"/>
              <w:jc w:val="both"/>
              <w:rPr>
                <w:rFonts w:ascii="Arial" w:eastAsia="Times New Roman" w:hAnsi="Arial" w:cs="Arial"/>
                <w:i/>
                <w:iCs/>
                <w:color w:val="000000"/>
                <w:sz w:val="20"/>
                <w:szCs w:val="20"/>
                <w:lang w:eastAsia="fr-FR"/>
                <w14:ligatures w14:val="none"/>
              </w:rPr>
            </w:pPr>
            <w:r w:rsidRPr="00BA1D43">
              <w:rPr>
                <w:rFonts w:ascii="Arial" w:eastAsia="Times New Roman" w:hAnsi="Arial" w:cs="Arial"/>
                <w:i/>
                <w:iCs/>
                <w:color w:val="000000"/>
                <w:sz w:val="20"/>
                <w:szCs w:val="20"/>
                <w:lang w:eastAsia="fr-FR"/>
                <w14:ligatures w14:val="none"/>
              </w:rPr>
              <w:t>Aspergillus terreus</w:t>
            </w:r>
          </w:p>
        </w:tc>
        <w:tc>
          <w:tcPr>
            <w:tcW w:w="1134" w:type="dxa"/>
            <w:shd w:val="clear" w:color="auto" w:fill="auto"/>
            <w:noWrap/>
            <w:vAlign w:val="bottom"/>
            <w:hideMark/>
          </w:tcPr>
          <w:p w14:paraId="4441A3F1"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2</w:t>
            </w:r>
          </w:p>
        </w:tc>
        <w:tc>
          <w:tcPr>
            <w:tcW w:w="1984" w:type="dxa"/>
            <w:shd w:val="clear" w:color="auto" w:fill="auto"/>
            <w:noWrap/>
            <w:vAlign w:val="bottom"/>
            <w:hideMark/>
          </w:tcPr>
          <w:p w14:paraId="253B3AC1"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1.55</w:t>
            </w:r>
          </w:p>
        </w:tc>
      </w:tr>
      <w:tr w:rsidR="00B73A14" w:rsidRPr="00BA1D43" w14:paraId="093849FB" w14:textId="77777777" w:rsidTr="0082103B">
        <w:trPr>
          <w:trHeight w:val="300"/>
        </w:trPr>
        <w:tc>
          <w:tcPr>
            <w:tcW w:w="3402" w:type="dxa"/>
            <w:shd w:val="clear" w:color="auto" w:fill="auto"/>
            <w:noWrap/>
            <w:vAlign w:val="bottom"/>
            <w:hideMark/>
          </w:tcPr>
          <w:p w14:paraId="668A0D59"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Total</w:t>
            </w:r>
          </w:p>
        </w:tc>
        <w:tc>
          <w:tcPr>
            <w:tcW w:w="3119" w:type="dxa"/>
            <w:shd w:val="clear" w:color="auto" w:fill="auto"/>
            <w:noWrap/>
            <w:vAlign w:val="bottom"/>
            <w:hideMark/>
          </w:tcPr>
          <w:p w14:paraId="592EF529"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c>
          <w:tcPr>
            <w:tcW w:w="1134" w:type="dxa"/>
            <w:shd w:val="clear" w:color="auto" w:fill="auto"/>
            <w:noWrap/>
            <w:vAlign w:val="bottom"/>
            <w:hideMark/>
          </w:tcPr>
          <w:p w14:paraId="797FF9F6"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129</w:t>
            </w:r>
          </w:p>
        </w:tc>
        <w:tc>
          <w:tcPr>
            <w:tcW w:w="1984" w:type="dxa"/>
            <w:shd w:val="clear" w:color="auto" w:fill="auto"/>
            <w:noWrap/>
            <w:vAlign w:val="bottom"/>
            <w:hideMark/>
          </w:tcPr>
          <w:p w14:paraId="3DA54AED"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100,00</w:t>
            </w:r>
          </w:p>
        </w:tc>
      </w:tr>
    </w:tbl>
    <w:p w14:paraId="242DA2DB" w14:textId="77777777" w:rsidR="00BA1D43" w:rsidRPr="006A6222" w:rsidRDefault="00BA1D43" w:rsidP="00451967">
      <w:pPr>
        <w:spacing w:line="480" w:lineRule="auto"/>
        <w:jc w:val="both"/>
        <w:rPr>
          <w:rFonts w:ascii="Arial" w:hAnsi="Arial" w:cs="Arial"/>
          <w:sz w:val="24"/>
          <w:szCs w:val="24"/>
        </w:rPr>
      </w:pPr>
    </w:p>
    <w:p w14:paraId="5F44D8DE" w14:textId="67CC7E57" w:rsidR="00B73A14" w:rsidRPr="00BA1D43" w:rsidRDefault="00B73A14" w:rsidP="00451967">
      <w:pPr>
        <w:spacing w:line="480" w:lineRule="auto"/>
        <w:jc w:val="both"/>
        <w:rPr>
          <w:rFonts w:ascii="Arial" w:hAnsi="Arial" w:cs="Arial"/>
          <w:b/>
          <w:bCs/>
          <w:i/>
          <w:iCs/>
          <w:color w:val="000000" w:themeColor="text1"/>
          <w:sz w:val="28"/>
          <w:szCs w:val="28"/>
          <w:lang w:val="en-US"/>
        </w:rPr>
      </w:pPr>
      <w:r w:rsidRPr="00BA1D43">
        <w:rPr>
          <w:rFonts w:ascii="Arial" w:hAnsi="Arial" w:cs="Arial"/>
          <w:b/>
          <w:bCs/>
          <w:sz w:val="20"/>
          <w:szCs w:val="20"/>
        </w:rPr>
        <w:t xml:space="preserve">Table </w:t>
      </w:r>
      <w:r w:rsidR="00451967" w:rsidRPr="00BA1D43">
        <w:rPr>
          <w:rFonts w:ascii="Arial" w:hAnsi="Arial" w:cs="Arial"/>
          <w:b/>
          <w:bCs/>
          <w:sz w:val="20"/>
          <w:szCs w:val="20"/>
        </w:rPr>
        <w:t>2</w:t>
      </w:r>
      <w:r w:rsidRPr="00BA1D43">
        <w:rPr>
          <w:rFonts w:ascii="Arial" w:hAnsi="Arial" w:cs="Arial"/>
          <w:b/>
          <w:bCs/>
          <w:sz w:val="20"/>
          <w:szCs w:val="20"/>
        </w:rPr>
        <w:t xml:space="preserve"> : Routine methods mass spectrometry identification (n=249</w:t>
      </w:r>
      <w:r w:rsidRPr="00BA1D43">
        <w:rPr>
          <w:rFonts w:ascii="Arial" w:hAnsi="Arial" w:cs="Arial"/>
          <w:b/>
          <w:bCs/>
          <w:color w:val="000000" w:themeColor="text1"/>
          <w:sz w:val="20"/>
          <w:szCs w:val="20"/>
          <w:lang w:val="en-US"/>
        </w:rPr>
        <w:t>).</w:t>
      </w:r>
    </w:p>
    <w:tbl>
      <w:tblPr>
        <w:tblW w:w="9639" w:type="dxa"/>
        <w:tblCellMar>
          <w:left w:w="70" w:type="dxa"/>
          <w:right w:w="70" w:type="dxa"/>
        </w:tblCellMar>
        <w:tblLook w:val="04A0" w:firstRow="1" w:lastRow="0" w:firstColumn="1" w:lastColumn="0" w:noHBand="0" w:noVBand="1"/>
      </w:tblPr>
      <w:tblGrid>
        <w:gridCol w:w="6603"/>
        <w:gridCol w:w="1047"/>
        <w:gridCol w:w="1843"/>
        <w:gridCol w:w="101"/>
        <w:gridCol w:w="45"/>
      </w:tblGrid>
      <w:tr w:rsidR="00B73A14" w:rsidRPr="00BA1D43" w14:paraId="2EB6F848" w14:textId="77777777" w:rsidTr="0082103B">
        <w:trPr>
          <w:gridAfter w:val="1"/>
          <w:wAfter w:w="45" w:type="dxa"/>
          <w:trHeight w:val="330"/>
        </w:trPr>
        <w:tc>
          <w:tcPr>
            <w:tcW w:w="6603" w:type="dxa"/>
            <w:tcBorders>
              <w:top w:val="single" w:sz="8" w:space="0" w:color="auto"/>
              <w:left w:val="nil"/>
              <w:bottom w:val="single" w:sz="8" w:space="0" w:color="auto"/>
              <w:right w:val="nil"/>
            </w:tcBorders>
            <w:shd w:val="clear" w:color="auto" w:fill="auto"/>
            <w:noWrap/>
            <w:vAlign w:val="center"/>
            <w:hideMark/>
          </w:tcPr>
          <w:p w14:paraId="6F40A3F9" w14:textId="77777777" w:rsidR="00B73A14" w:rsidRPr="00BA1D43" w:rsidRDefault="00B73A14" w:rsidP="00451967">
            <w:pPr>
              <w:spacing w:after="0" w:line="480" w:lineRule="auto"/>
              <w:jc w:val="both"/>
              <w:rPr>
                <w:rFonts w:ascii="Arial" w:eastAsia="Times New Roman" w:hAnsi="Arial" w:cs="Arial"/>
                <w:b/>
                <w:bCs/>
                <w:color w:val="000000"/>
                <w:sz w:val="20"/>
                <w:szCs w:val="20"/>
                <w:lang w:eastAsia="fr-FR"/>
                <w14:ligatures w14:val="none"/>
              </w:rPr>
            </w:pPr>
            <w:r w:rsidRPr="00BA1D43">
              <w:rPr>
                <w:rFonts w:ascii="Arial" w:eastAsia="Times New Roman" w:hAnsi="Arial" w:cs="Arial"/>
                <w:b/>
                <w:bCs/>
                <w:color w:val="000000"/>
                <w:sz w:val="20"/>
                <w:szCs w:val="20"/>
                <w:lang w:eastAsia="fr-FR"/>
                <w14:ligatures w14:val="none"/>
              </w:rPr>
              <w:t>Désignation</w:t>
            </w:r>
          </w:p>
        </w:tc>
        <w:tc>
          <w:tcPr>
            <w:tcW w:w="1047" w:type="dxa"/>
            <w:tcBorders>
              <w:top w:val="single" w:sz="8" w:space="0" w:color="auto"/>
              <w:left w:val="nil"/>
              <w:bottom w:val="single" w:sz="8" w:space="0" w:color="auto"/>
              <w:right w:val="nil"/>
            </w:tcBorders>
            <w:shd w:val="clear" w:color="auto" w:fill="auto"/>
            <w:noWrap/>
            <w:vAlign w:val="center"/>
            <w:hideMark/>
          </w:tcPr>
          <w:p w14:paraId="1DDF73CE" w14:textId="77777777" w:rsidR="00B73A14" w:rsidRPr="00BA1D43" w:rsidRDefault="00B73A14" w:rsidP="00451967">
            <w:pPr>
              <w:spacing w:after="0" w:line="480" w:lineRule="auto"/>
              <w:jc w:val="center"/>
              <w:rPr>
                <w:rFonts w:ascii="Arial" w:eastAsia="Times New Roman" w:hAnsi="Arial" w:cs="Arial"/>
                <w:b/>
                <w:bCs/>
                <w:color w:val="000000"/>
                <w:sz w:val="20"/>
                <w:szCs w:val="20"/>
                <w:lang w:eastAsia="fr-FR"/>
                <w14:ligatures w14:val="none"/>
              </w:rPr>
            </w:pPr>
            <w:r w:rsidRPr="00BA1D43">
              <w:rPr>
                <w:rFonts w:ascii="Arial" w:eastAsia="Times New Roman" w:hAnsi="Arial" w:cs="Arial"/>
                <w:b/>
                <w:bCs/>
                <w:color w:val="000000"/>
                <w:sz w:val="20"/>
                <w:szCs w:val="20"/>
                <w:lang w:eastAsia="fr-FR"/>
                <w14:ligatures w14:val="none"/>
              </w:rPr>
              <w:t>Number</w:t>
            </w:r>
          </w:p>
        </w:tc>
        <w:tc>
          <w:tcPr>
            <w:tcW w:w="1944" w:type="dxa"/>
            <w:gridSpan w:val="2"/>
            <w:tcBorders>
              <w:top w:val="single" w:sz="8" w:space="0" w:color="auto"/>
              <w:left w:val="nil"/>
              <w:bottom w:val="single" w:sz="8" w:space="0" w:color="auto"/>
              <w:right w:val="nil"/>
            </w:tcBorders>
            <w:shd w:val="clear" w:color="auto" w:fill="auto"/>
            <w:noWrap/>
            <w:vAlign w:val="center"/>
            <w:hideMark/>
          </w:tcPr>
          <w:p w14:paraId="206A727D" w14:textId="77777777" w:rsidR="00B73A14" w:rsidRPr="00BA1D43" w:rsidRDefault="00B73A14" w:rsidP="00451967">
            <w:pPr>
              <w:spacing w:after="0" w:line="480" w:lineRule="auto"/>
              <w:jc w:val="center"/>
              <w:rPr>
                <w:rFonts w:ascii="Arial" w:eastAsia="Times New Roman" w:hAnsi="Arial" w:cs="Arial"/>
                <w:b/>
                <w:bCs/>
                <w:color w:val="000000"/>
                <w:sz w:val="20"/>
                <w:szCs w:val="20"/>
                <w:lang w:eastAsia="fr-FR"/>
                <w14:ligatures w14:val="none"/>
              </w:rPr>
            </w:pPr>
            <w:r w:rsidRPr="00BA1D43">
              <w:rPr>
                <w:rFonts w:ascii="Arial" w:eastAsia="Times New Roman" w:hAnsi="Arial" w:cs="Arial"/>
                <w:b/>
                <w:bCs/>
                <w:color w:val="000000"/>
                <w:sz w:val="20"/>
                <w:szCs w:val="20"/>
                <w:lang w:eastAsia="fr-FR"/>
                <w14:ligatures w14:val="none"/>
              </w:rPr>
              <w:t>Proportion (%)</w:t>
            </w:r>
          </w:p>
        </w:tc>
      </w:tr>
      <w:tr w:rsidR="00B73A14" w:rsidRPr="00BA1D43" w14:paraId="7092F4F4" w14:textId="77777777" w:rsidTr="0082103B">
        <w:trPr>
          <w:trHeight w:val="300"/>
        </w:trPr>
        <w:tc>
          <w:tcPr>
            <w:tcW w:w="6603" w:type="dxa"/>
            <w:tcBorders>
              <w:top w:val="nil"/>
              <w:left w:val="nil"/>
              <w:bottom w:val="nil"/>
              <w:right w:val="nil"/>
            </w:tcBorders>
            <w:shd w:val="clear" w:color="auto" w:fill="auto"/>
            <w:noWrap/>
            <w:vAlign w:val="center"/>
            <w:hideMark/>
          </w:tcPr>
          <w:p w14:paraId="3C5FB7F3"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Strictly concordant identifications between RM and MS</w:t>
            </w:r>
          </w:p>
        </w:tc>
        <w:tc>
          <w:tcPr>
            <w:tcW w:w="1047" w:type="dxa"/>
            <w:tcBorders>
              <w:top w:val="nil"/>
              <w:left w:val="nil"/>
              <w:bottom w:val="nil"/>
              <w:right w:val="nil"/>
            </w:tcBorders>
            <w:shd w:val="clear" w:color="auto" w:fill="auto"/>
            <w:noWrap/>
            <w:vAlign w:val="center"/>
            <w:hideMark/>
          </w:tcPr>
          <w:p w14:paraId="3F20BE4B"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129</w:t>
            </w:r>
          </w:p>
        </w:tc>
        <w:tc>
          <w:tcPr>
            <w:tcW w:w="1843" w:type="dxa"/>
            <w:tcBorders>
              <w:top w:val="nil"/>
              <w:left w:val="nil"/>
              <w:bottom w:val="nil"/>
              <w:right w:val="nil"/>
            </w:tcBorders>
            <w:shd w:val="clear" w:color="auto" w:fill="auto"/>
            <w:noWrap/>
            <w:vAlign w:val="center"/>
            <w:hideMark/>
          </w:tcPr>
          <w:p w14:paraId="663114FE"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51.81</w:t>
            </w:r>
          </w:p>
        </w:tc>
        <w:tc>
          <w:tcPr>
            <w:tcW w:w="146" w:type="dxa"/>
            <w:gridSpan w:val="2"/>
            <w:tcBorders>
              <w:top w:val="nil"/>
              <w:left w:val="nil"/>
              <w:bottom w:val="nil"/>
              <w:right w:val="nil"/>
            </w:tcBorders>
            <w:shd w:val="clear" w:color="auto" w:fill="auto"/>
            <w:noWrap/>
            <w:vAlign w:val="bottom"/>
            <w:hideMark/>
          </w:tcPr>
          <w:p w14:paraId="03FF34A3"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r w:rsidR="00B73A14" w:rsidRPr="00BA1D43" w14:paraId="4A546684" w14:textId="77777777" w:rsidTr="0082103B">
        <w:trPr>
          <w:trHeight w:val="300"/>
        </w:trPr>
        <w:tc>
          <w:tcPr>
            <w:tcW w:w="6603" w:type="dxa"/>
            <w:tcBorders>
              <w:top w:val="nil"/>
              <w:left w:val="nil"/>
              <w:bottom w:val="nil"/>
              <w:right w:val="nil"/>
            </w:tcBorders>
            <w:shd w:val="clear" w:color="auto" w:fill="auto"/>
            <w:noWrap/>
            <w:vAlign w:val="center"/>
            <w:hideMark/>
          </w:tcPr>
          <w:p w14:paraId="50CC2721"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Isolates not identified with RM but with MS</w:t>
            </w:r>
          </w:p>
        </w:tc>
        <w:tc>
          <w:tcPr>
            <w:tcW w:w="1047" w:type="dxa"/>
            <w:tcBorders>
              <w:top w:val="nil"/>
              <w:left w:val="nil"/>
              <w:bottom w:val="nil"/>
              <w:right w:val="nil"/>
            </w:tcBorders>
            <w:shd w:val="clear" w:color="auto" w:fill="auto"/>
            <w:noWrap/>
            <w:vAlign w:val="center"/>
            <w:hideMark/>
          </w:tcPr>
          <w:p w14:paraId="43060BCF"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9</w:t>
            </w:r>
          </w:p>
        </w:tc>
        <w:tc>
          <w:tcPr>
            <w:tcW w:w="1843" w:type="dxa"/>
            <w:tcBorders>
              <w:top w:val="nil"/>
              <w:left w:val="nil"/>
              <w:bottom w:val="nil"/>
              <w:right w:val="nil"/>
            </w:tcBorders>
            <w:shd w:val="clear" w:color="auto" w:fill="auto"/>
            <w:noWrap/>
            <w:vAlign w:val="center"/>
            <w:hideMark/>
          </w:tcPr>
          <w:p w14:paraId="59FFD07A"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3.61</w:t>
            </w:r>
          </w:p>
        </w:tc>
        <w:tc>
          <w:tcPr>
            <w:tcW w:w="146" w:type="dxa"/>
            <w:gridSpan w:val="2"/>
            <w:tcBorders>
              <w:top w:val="nil"/>
              <w:left w:val="nil"/>
              <w:bottom w:val="nil"/>
              <w:right w:val="nil"/>
            </w:tcBorders>
            <w:shd w:val="clear" w:color="auto" w:fill="auto"/>
            <w:noWrap/>
            <w:vAlign w:val="bottom"/>
            <w:hideMark/>
          </w:tcPr>
          <w:p w14:paraId="45EDAEB6"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r w:rsidR="00B73A14" w:rsidRPr="00BA1D43" w14:paraId="3E5D3725" w14:textId="77777777" w:rsidTr="0082103B">
        <w:trPr>
          <w:trHeight w:val="300"/>
        </w:trPr>
        <w:tc>
          <w:tcPr>
            <w:tcW w:w="6603" w:type="dxa"/>
            <w:tcBorders>
              <w:top w:val="nil"/>
              <w:left w:val="nil"/>
              <w:bottom w:val="nil"/>
              <w:right w:val="nil"/>
            </w:tcBorders>
            <w:shd w:val="clear" w:color="auto" w:fill="auto"/>
            <w:noWrap/>
            <w:vAlign w:val="center"/>
            <w:hideMark/>
          </w:tcPr>
          <w:p w14:paraId="22EDAD19"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lastRenderedPageBreak/>
              <w:t>Isolates identified at genus level in RM and confirmed at species level in MS</w:t>
            </w:r>
          </w:p>
        </w:tc>
        <w:tc>
          <w:tcPr>
            <w:tcW w:w="1047" w:type="dxa"/>
            <w:tcBorders>
              <w:top w:val="nil"/>
              <w:left w:val="nil"/>
              <w:bottom w:val="nil"/>
              <w:right w:val="nil"/>
            </w:tcBorders>
            <w:shd w:val="clear" w:color="auto" w:fill="auto"/>
            <w:noWrap/>
            <w:vAlign w:val="center"/>
            <w:hideMark/>
          </w:tcPr>
          <w:p w14:paraId="13165514"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65</w:t>
            </w:r>
          </w:p>
        </w:tc>
        <w:tc>
          <w:tcPr>
            <w:tcW w:w="1843" w:type="dxa"/>
            <w:tcBorders>
              <w:top w:val="nil"/>
              <w:left w:val="nil"/>
              <w:bottom w:val="nil"/>
              <w:right w:val="nil"/>
            </w:tcBorders>
            <w:shd w:val="clear" w:color="auto" w:fill="auto"/>
            <w:noWrap/>
            <w:vAlign w:val="center"/>
            <w:hideMark/>
          </w:tcPr>
          <w:p w14:paraId="5ACA8E32"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26.10</w:t>
            </w:r>
          </w:p>
        </w:tc>
        <w:tc>
          <w:tcPr>
            <w:tcW w:w="146" w:type="dxa"/>
            <w:gridSpan w:val="2"/>
            <w:tcBorders>
              <w:top w:val="nil"/>
              <w:left w:val="nil"/>
              <w:bottom w:val="nil"/>
              <w:right w:val="nil"/>
            </w:tcBorders>
            <w:shd w:val="clear" w:color="auto" w:fill="auto"/>
            <w:noWrap/>
            <w:vAlign w:val="bottom"/>
            <w:hideMark/>
          </w:tcPr>
          <w:p w14:paraId="27BDFB44"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r w:rsidR="00B73A14" w:rsidRPr="00BA1D43" w14:paraId="6A9DF1C1" w14:textId="77777777" w:rsidTr="0082103B">
        <w:trPr>
          <w:trHeight w:val="300"/>
        </w:trPr>
        <w:tc>
          <w:tcPr>
            <w:tcW w:w="6603" w:type="dxa"/>
            <w:tcBorders>
              <w:top w:val="nil"/>
              <w:left w:val="nil"/>
              <w:bottom w:val="nil"/>
              <w:right w:val="nil"/>
            </w:tcBorders>
            <w:shd w:val="clear" w:color="auto" w:fill="auto"/>
            <w:noWrap/>
            <w:vAlign w:val="center"/>
            <w:hideMark/>
          </w:tcPr>
          <w:p w14:paraId="19195F4F"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Isolates unidentified in RM or MS</w:t>
            </w:r>
          </w:p>
        </w:tc>
        <w:tc>
          <w:tcPr>
            <w:tcW w:w="1047" w:type="dxa"/>
            <w:tcBorders>
              <w:top w:val="nil"/>
              <w:left w:val="nil"/>
              <w:bottom w:val="nil"/>
              <w:right w:val="nil"/>
            </w:tcBorders>
            <w:shd w:val="clear" w:color="auto" w:fill="auto"/>
            <w:noWrap/>
            <w:vAlign w:val="center"/>
            <w:hideMark/>
          </w:tcPr>
          <w:p w14:paraId="7D6A1D82"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2</w:t>
            </w:r>
          </w:p>
        </w:tc>
        <w:tc>
          <w:tcPr>
            <w:tcW w:w="1843" w:type="dxa"/>
            <w:tcBorders>
              <w:top w:val="nil"/>
              <w:left w:val="nil"/>
              <w:bottom w:val="nil"/>
              <w:right w:val="nil"/>
            </w:tcBorders>
            <w:shd w:val="clear" w:color="auto" w:fill="auto"/>
            <w:noWrap/>
            <w:vAlign w:val="center"/>
            <w:hideMark/>
          </w:tcPr>
          <w:p w14:paraId="6AFAECD3"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0.80</w:t>
            </w:r>
          </w:p>
        </w:tc>
        <w:tc>
          <w:tcPr>
            <w:tcW w:w="146" w:type="dxa"/>
            <w:gridSpan w:val="2"/>
            <w:tcBorders>
              <w:top w:val="nil"/>
              <w:left w:val="nil"/>
              <w:bottom w:val="nil"/>
              <w:right w:val="nil"/>
            </w:tcBorders>
            <w:shd w:val="clear" w:color="auto" w:fill="auto"/>
            <w:noWrap/>
            <w:vAlign w:val="bottom"/>
            <w:hideMark/>
          </w:tcPr>
          <w:p w14:paraId="375C4A5F"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r w:rsidR="00B73A14" w:rsidRPr="00BA1D43" w14:paraId="5801F88F" w14:textId="77777777" w:rsidTr="0082103B">
        <w:trPr>
          <w:trHeight w:val="300"/>
        </w:trPr>
        <w:tc>
          <w:tcPr>
            <w:tcW w:w="6603" w:type="dxa"/>
            <w:tcBorders>
              <w:top w:val="nil"/>
              <w:left w:val="nil"/>
              <w:bottom w:val="nil"/>
              <w:right w:val="nil"/>
            </w:tcBorders>
            <w:shd w:val="clear" w:color="auto" w:fill="auto"/>
            <w:noWrap/>
            <w:vAlign w:val="center"/>
            <w:hideMark/>
          </w:tcPr>
          <w:p w14:paraId="485071BF"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Isolates identified with RM but not with MS</w:t>
            </w:r>
          </w:p>
        </w:tc>
        <w:tc>
          <w:tcPr>
            <w:tcW w:w="1047" w:type="dxa"/>
            <w:tcBorders>
              <w:top w:val="nil"/>
              <w:left w:val="nil"/>
              <w:bottom w:val="nil"/>
              <w:right w:val="nil"/>
            </w:tcBorders>
            <w:shd w:val="clear" w:color="auto" w:fill="auto"/>
            <w:noWrap/>
            <w:vAlign w:val="center"/>
            <w:hideMark/>
          </w:tcPr>
          <w:p w14:paraId="51289729"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w:t>
            </w:r>
          </w:p>
        </w:tc>
        <w:tc>
          <w:tcPr>
            <w:tcW w:w="1843" w:type="dxa"/>
            <w:tcBorders>
              <w:top w:val="nil"/>
              <w:left w:val="nil"/>
              <w:bottom w:val="nil"/>
              <w:right w:val="nil"/>
            </w:tcBorders>
            <w:shd w:val="clear" w:color="auto" w:fill="auto"/>
            <w:noWrap/>
            <w:vAlign w:val="center"/>
            <w:hideMark/>
          </w:tcPr>
          <w:p w14:paraId="1D3BD384"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0.40</w:t>
            </w:r>
          </w:p>
        </w:tc>
        <w:tc>
          <w:tcPr>
            <w:tcW w:w="146" w:type="dxa"/>
            <w:gridSpan w:val="2"/>
            <w:tcBorders>
              <w:top w:val="nil"/>
              <w:left w:val="nil"/>
              <w:bottom w:val="nil"/>
              <w:right w:val="nil"/>
            </w:tcBorders>
            <w:shd w:val="clear" w:color="auto" w:fill="auto"/>
            <w:noWrap/>
            <w:vAlign w:val="bottom"/>
            <w:hideMark/>
          </w:tcPr>
          <w:p w14:paraId="1B2E3DB5"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r w:rsidR="00B73A14" w:rsidRPr="00BA1D43" w14:paraId="5BF4FD35" w14:textId="77777777" w:rsidTr="0082103B">
        <w:trPr>
          <w:trHeight w:val="300"/>
        </w:trPr>
        <w:tc>
          <w:tcPr>
            <w:tcW w:w="6603" w:type="dxa"/>
            <w:tcBorders>
              <w:top w:val="nil"/>
              <w:left w:val="nil"/>
              <w:bottom w:val="nil"/>
              <w:right w:val="nil"/>
            </w:tcBorders>
            <w:shd w:val="clear" w:color="auto" w:fill="auto"/>
            <w:noWrap/>
            <w:vAlign w:val="center"/>
            <w:hideMark/>
          </w:tcPr>
          <w:p w14:paraId="5EA95B71"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Rectification of RM results by MS</w:t>
            </w:r>
          </w:p>
        </w:tc>
        <w:tc>
          <w:tcPr>
            <w:tcW w:w="1047" w:type="dxa"/>
            <w:tcBorders>
              <w:top w:val="nil"/>
              <w:left w:val="nil"/>
              <w:right w:val="nil"/>
            </w:tcBorders>
            <w:shd w:val="clear" w:color="auto" w:fill="auto"/>
            <w:noWrap/>
            <w:vAlign w:val="center"/>
            <w:hideMark/>
          </w:tcPr>
          <w:p w14:paraId="2225E18F"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43</w:t>
            </w:r>
          </w:p>
        </w:tc>
        <w:tc>
          <w:tcPr>
            <w:tcW w:w="1843" w:type="dxa"/>
            <w:tcBorders>
              <w:top w:val="nil"/>
              <w:left w:val="nil"/>
              <w:right w:val="nil"/>
            </w:tcBorders>
            <w:shd w:val="clear" w:color="auto" w:fill="auto"/>
            <w:noWrap/>
            <w:vAlign w:val="center"/>
            <w:hideMark/>
          </w:tcPr>
          <w:p w14:paraId="224AE6D2"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17.27</w:t>
            </w:r>
          </w:p>
        </w:tc>
        <w:tc>
          <w:tcPr>
            <w:tcW w:w="146" w:type="dxa"/>
            <w:gridSpan w:val="2"/>
            <w:tcBorders>
              <w:top w:val="nil"/>
              <w:left w:val="nil"/>
              <w:bottom w:val="nil"/>
              <w:right w:val="nil"/>
            </w:tcBorders>
            <w:shd w:val="clear" w:color="auto" w:fill="auto"/>
            <w:noWrap/>
            <w:vAlign w:val="bottom"/>
            <w:hideMark/>
          </w:tcPr>
          <w:p w14:paraId="2E85BEC9"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r w:rsidR="00B73A14" w:rsidRPr="00BA1D43" w14:paraId="4713B6BC" w14:textId="77777777" w:rsidTr="0082103B">
        <w:trPr>
          <w:trHeight w:val="315"/>
        </w:trPr>
        <w:tc>
          <w:tcPr>
            <w:tcW w:w="6603" w:type="dxa"/>
            <w:tcBorders>
              <w:top w:val="nil"/>
              <w:left w:val="nil"/>
              <w:bottom w:val="single" w:sz="8" w:space="0" w:color="auto"/>
              <w:right w:val="nil"/>
            </w:tcBorders>
            <w:shd w:val="clear" w:color="auto" w:fill="auto"/>
            <w:noWrap/>
            <w:vAlign w:val="center"/>
            <w:hideMark/>
          </w:tcPr>
          <w:p w14:paraId="60A2D270"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Total</w:t>
            </w:r>
          </w:p>
        </w:tc>
        <w:tc>
          <w:tcPr>
            <w:tcW w:w="1047" w:type="dxa"/>
            <w:tcBorders>
              <w:top w:val="nil"/>
              <w:left w:val="nil"/>
              <w:bottom w:val="single" w:sz="4" w:space="0" w:color="auto"/>
              <w:right w:val="nil"/>
            </w:tcBorders>
            <w:shd w:val="clear" w:color="auto" w:fill="auto"/>
            <w:noWrap/>
            <w:vAlign w:val="center"/>
            <w:hideMark/>
          </w:tcPr>
          <w:p w14:paraId="616FFA03"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249</w:t>
            </w:r>
          </w:p>
        </w:tc>
        <w:tc>
          <w:tcPr>
            <w:tcW w:w="1843" w:type="dxa"/>
            <w:tcBorders>
              <w:top w:val="nil"/>
              <w:left w:val="nil"/>
              <w:bottom w:val="single" w:sz="4" w:space="0" w:color="auto"/>
              <w:right w:val="nil"/>
            </w:tcBorders>
            <w:shd w:val="clear" w:color="auto" w:fill="auto"/>
            <w:noWrap/>
            <w:vAlign w:val="center"/>
            <w:hideMark/>
          </w:tcPr>
          <w:p w14:paraId="1FD73170" w14:textId="77777777" w:rsidR="00B73A14" w:rsidRPr="00BA1D43" w:rsidRDefault="00B73A14" w:rsidP="00451967">
            <w:pPr>
              <w:spacing w:after="0" w:line="480" w:lineRule="auto"/>
              <w:jc w:val="center"/>
              <w:rPr>
                <w:rFonts w:ascii="Arial" w:eastAsia="Times New Roman" w:hAnsi="Arial" w:cs="Arial"/>
                <w:color w:val="000000"/>
                <w:sz w:val="20"/>
                <w:szCs w:val="20"/>
                <w:lang w:eastAsia="fr-FR"/>
                <w14:ligatures w14:val="none"/>
              </w:rPr>
            </w:pPr>
            <w:r w:rsidRPr="00BA1D43">
              <w:rPr>
                <w:rFonts w:ascii="Arial" w:eastAsia="Times New Roman" w:hAnsi="Arial" w:cs="Arial"/>
                <w:color w:val="000000"/>
                <w:sz w:val="20"/>
                <w:szCs w:val="20"/>
                <w:lang w:eastAsia="fr-FR"/>
                <w14:ligatures w14:val="none"/>
              </w:rPr>
              <w:t>100.00</w:t>
            </w:r>
          </w:p>
        </w:tc>
        <w:tc>
          <w:tcPr>
            <w:tcW w:w="146" w:type="dxa"/>
            <w:gridSpan w:val="2"/>
            <w:tcBorders>
              <w:top w:val="nil"/>
              <w:left w:val="nil"/>
              <w:bottom w:val="nil"/>
              <w:right w:val="nil"/>
            </w:tcBorders>
            <w:shd w:val="clear" w:color="auto" w:fill="auto"/>
            <w:noWrap/>
            <w:vAlign w:val="bottom"/>
            <w:hideMark/>
          </w:tcPr>
          <w:p w14:paraId="1D906231" w14:textId="77777777" w:rsidR="00B73A14" w:rsidRPr="00BA1D43" w:rsidRDefault="00B73A14" w:rsidP="00451967">
            <w:pPr>
              <w:spacing w:after="0" w:line="480" w:lineRule="auto"/>
              <w:jc w:val="both"/>
              <w:rPr>
                <w:rFonts w:ascii="Arial" w:eastAsia="Times New Roman" w:hAnsi="Arial" w:cs="Arial"/>
                <w:color w:val="000000"/>
                <w:sz w:val="20"/>
                <w:szCs w:val="20"/>
                <w:lang w:eastAsia="fr-FR"/>
                <w14:ligatures w14:val="none"/>
              </w:rPr>
            </w:pPr>
          </w:p>
        </w:tc>
      </w:tr>
    </w:tbl>
    <w:p w14:paraId="4E6B8445" w14:textId="77777777" w:rsidR="00F843BA" w:rsidRDefault="00F843BA" w:rsidP="00F843BA">
      <w:bookmarkStart w:id="16" w:name="_Hlk193404965"/>
      <w:bookmarkEnd w:id="15"/>
    </w:p>
    <w:p w14:paraId="548ED56B" w14:textId="5A1E107D" w:rsidR="00672C7A" w:rsidRPr="00BA1D43" w:rsidRDefault="00BA1D43" w:rsidP="00E85FF3">
      <w:pPr>
        <w:pStyle w:val="Heading1"/>
        <w:numPr>
          <w:ilvl w:val="0"/>
          <w:numId w:val="4"/>
        </w:numPr>
        <w:spacing w:before="240" w:line="480" w:lineRule="auto"/>
        <w:jc w:val="left"/>
        <w:rPr>
          <w:sz w:val="22"/>
          <w:szCs w:val="22"/>
        </w:rPr>
      </w:pPr>
      <w:r w:rsidRPr="00BA1D43">
        <w:rPr>
          <w:sz w:val="22"/>
          <w:szCs w:val="22"/>
        </w:rPr>
        <w:t>DISCUSSIONS</w:t>
      </w:r>
    </w:p>
    <w:p w14:paraId="7644871F" w14:textId="68267A4A" w:rsidR="00672C7A" w:rsidRPr="006C6010" w:rsidRDefault="00672C7A" w:rsidP="00451967">
      <w:pPr>
        <w:spacing w:after="0" w:line="480" w:lineRule="auto"/>
        <w:jc w:val="both"/>
        <w:rPr>
          <w:rFonts w:ascii="Arial" w:hAnsi="Arial" w:cs="Arial"/>
          <w:sz w:val="20"/>
          <w:szCs w:val="20"/>
        </w:rPr>
      </w:pPr>
      <w:r w:rsidRPr="006C6010">
        <w:rPr>
          <w:rFonts w:ascii="Arial" w:hAnsi="Arial" w:cs="Arial"/>
          <w:sz w:val="20"/>
          <w:szCs w:val="20"/>
        </w:rPr>
        <w:t xml:space="preserve">Mass spectrometry remains one of the </w:t>
      </w:r>
      <w:r w:rsidR="00B31403" w:rsidRPr="006C6010">
        <w:rPr>
          <w:rFonts w:ascii="Arial" w:hAnsi="Arial" w:cs="Arial"/>
          <w:sz w:val="20"/>
          <w:szCs w:val="20"/>
        </w:rPr>
        <w:t xml:space="preserve">most reliable </w:t>
      </w:r>
      <w:r w:rsidRPr="006C6010">
        <w:rPr>
          <w:rFonts w:ascii="Arial" w:hAnsi="Arial" w:cs="Arial"/>
          <w:sz w:val="20"/>
          <w:szCs w:val="20"/>
        </w:rPr>
        <w:t>techniques that has revolutionized the identification of microorganisms, including fungi, and several studies have highlighted its performance, ranging from the substantial reduction in identification time to the accuracy of identification and the minimization of the cost of the technique</w:t>
      </w:r>
      <w:r w:rsidR="00D867D2" w:rsidRPr="006C6010">
        <w:rPr>
          <w:rFonts w:ascii="Arial" w:hAnsi="Arial" w:cs="Arial"/>
          <w:sz w:val="20"/>
          <w:szCs w:val="20"/>
        </w:rPr>
        <w:fldChar w:fldCharType="begin" w:fldLock="1"/>
      </w:r>
      <w:r w:rsidR="00F04718">
        <w:rPr>
          <w:rFonts w:ascii="Arial" w:hAnsi="Arial" w:cs="Arial"/>
          <w:sz w:val="20"/>
          <w:szCs w:val="20"/>
        </w:rPr>
        <w:instrText>ADDIN CSL_CITATION {"citationItems":[{"id":"ITEM-1","itemData":{"DOI":"10.1016/s1773-035x(21)00039-3","ISSN":"1773035X","author":[{"dropping-particle":"","family":"Blaize","given":"Marion","non-dropping-particle":"","parse-names":false,"suffix":""},{"dropping-particle":"","family":"Normand","given":"Anne-Cécile","non-dropping-particle":"","parse-names":false,"suffix":""},{"dropping-particle":"","family":"Fekkar","given":"Arnaud","non-dropping-particle":"","parse-names":false,"suffix":""},{"dropping-particle":"","family":"Piarroux","given":"Renaud","non-dropping-particle":"","parse-names":false,"suffix":""}],"container-title":"Revue Francophone des Laboratoires","id":"ITEM-1","issue":"529","issued":{"date-parts":[["2021"]]},"page":"58-65","publisher":"Elsevier","title":"Identification des moisissures au laboratoire de routine hospitalière","type":"article-journal","volume":"2021"},"uris":["http://www.mendeley.com/documents/?uuid=7e8fd509-f84d-42e1-842e-9d08d437420e"]},{"id":"ITEM-2","itemData":{"DOI":"10.3389/fmicb.2015.00791","ISSN":"1664302X","PMID":"26300860","abstract":"Currently microorganisms are best identified using 16S rRNA and 18S rRNA gene sequencing. However, in recent years matrix assisted laser desorption ionization-time of flight mass spectrometry (MALDI-TOF MS) has emerged as a potential tool for microbial identification and diagnosis. During the MALDI-TOF MS process, microbes are identified using either intact cells or cell extracts. The process is rapid, sensitive, and economical in terms of both labor and costs involved. The technology has been readily imbibed by microbiologists who have reported usage of MALDI-TOF MS for a number of purposes like, microbial identification and strain typing, epidemiological studies, detection of biological warfare agents, detection of water- and food-borne pathogens, detection of antibiotic resistance and detection of blood and urinary tract pathogens etc. The limitation of the technology is that identification of new isolates is possible only if the spectral database contains peptide mass fingerprints of the type strains of specific genera/species/subspecies/strains. This review provides an overview of the status and recent applications of mass spectrometry for microbial identification. It also explores the usefulness of this exciting new technology for diagnosis of diseases caused by bacteria, viruses, and fungi.","author":[{"dropping-particle":"","family":"Singhal","given":"Neelja","non-dropping-particle":"","parse-names":false,"suffix":""},{"dropping-particle":"","family":"Kumar","given":"Manish","non-dropping-particle":"","parse-names":false,"suffix":""},{"dropping-particle":"","family":"Kanaujia","given":"Pawan K.","non-dropping-particle":"","parse-names":false,"suffix":""},{"dropping-particle":"","family":"Virdi","given":"Jugsharan S.","non-dropping-particle":"","parse-names":false,"suffix":""}],"container-title":"Frontiers in Microbiology","id":"ITEM-2","issue":"AUG","issued":{"date-parts":[["2015"]]},"page":"1-16","title":"MALDI-TOF mass spectrometry: An emerging technology for microbial identification and diagnosis","type":"article-journal","volume":"6"},"uris":["http://www.mendeley.com/documents/?uuid=335d62c7-2c73-4576-a77f-0154ec2fa9a6"]},{"id":"ITEM-3","itemData":{"DOI":"10.3390/molecules25204775.","author":[{"dropping-particle":"","family":"Tsuchida S, Umemura H","given":"Nakayama T.","non-dropping-particle":"","parse-names":false,"suffix":""}],"container-title":"Molecules","id":"ITEM-3","issue":"25(20)","issued":{"date-parts":[["2023"]]},"page":"4775","title":"Current Status of Matrix-Assisted Laser Desorption/Ionization-Time-of-Flight Mass Spectrometry (MALDI-TOF MS) in Clinical Diagnostic Microbiology","type":"article-journal","volume":"17"},"uris":["http://www.mendeley.com/documents/?uuid=1745608f-4c66-470c-b4ac-498c727cbb0e"]},{"id":"ITEM-4","itemData":{"DOI":"10.3390/tropicalmed6030112","ISSN":"24146366","abstract":"Identification of the causative pathogen in infectious diseases is important for surveillance and to guide treatment. In low-and middle-income countries (LMIC), conventional culture and identification methods, including biochemical methods, are reference-standard. Biochemical methods can lack sensitivity and specificity and have slow turnaround times, causing delays in definitive therapy. Matrix-assisted laser desorption/ionization time of flight mass spectrometry (MALDI–TOF MS) is a rapid and accurate diagnostic method. Most studies comparing MALDI–TOF MS and biochemical methods are from high-income countries, with few reports from LMIC with tropical climates. The aim of this study was to assess the performance of MALDI–TOF MS compared to conventional methods in the Philippines. Clinical bacterial or fungal isolates were identified by both MALDI–TOF MS and automated (VITEK2) or manual biochemical methods in the San Lazaro Hospital, Metro Manila, the Philippines. The concordance between MALDI–TOF MS and automated (VITEK2) or manual biochemical methods was analyzed at the species and genus levels. In total, 3530 bacterial or fungal isolates were analyzed. The concordance rate between MALDI–TOF MS and biochemical methods was 96.2% at the species level and 99.9% at the genus level. Twenty-three isolates could not be identified by MALDI–TOF MS. In this setting, MALDI–TOF MS was accurate compared with biochemical methods, at both the genus and the species level. Additionally, MALDI– TOF MS improved the turnaround time for results. These advantages could lead to improved infection management and infection control in low-and middle-income countries, even though the initial cost is high.","author":[{"dropping-particle":"","family":"Osa","given":"Morichika","non-dropping-particle":"","parse-names":false,"suffix":""},{"dropping-particle":"","family":"Belo","given":"Maria Cecilia","non-dropping-particle":"","parse-names":false,"suffix":""},{"dropping-particle":"","family":"Merced","given":"Zita","non-dropping-particle":"Dela","parse-names":false,"suffix":""},{"dropping-particle":"","family":"Villanueva","given":"Annavi Marie G.","non-dropping-particle":"","parse-names":false,"suffix":""},{"dropping-particle":"","family":"Mauhay","given":"Jaira","non-dropping-particle":"","parse-names":false,"suffix":""},{"dropping-particle":"","family":"Celis","given":"Alyannah","non-dropping-particle":"","parse-names":false,"suffix":""},{"dropping-particle":"","family":"Catli","given":"Melissa","non-dropping-particle":"","parse-names":false,"suffix":""},{"dropping-particle":"","family":"Suzuki","given":"Shuichi","non-dropping-particle":"","parse-names":false,"suffix":""},{"dropping-particle":"","family":"Ukawa","given":"Tatsuya","non-dropping-particle":"","parse-names":false,"suffix":""},{"dropping-particle":"","family":"Tamaki","given":"Shingo","non-dropping-particle":"","parse-names":false,"suffix":""},{"dropping-particle":"","family":"Dhoubhadel","given":"Bhim Gopal","non-dropping-particle":"","parse-names":false,"suffix":""},{"dropping-particle":"","family":"Ariyoshi","given":"Koya","non-dropping-particle":"","parse-names":false,"suffix":""},{"dropping-particle":"","family":"Telan","given":"Elizabeth Freda O.","non-dropping-particle":"","parse-names":false,"suffix":""},{"dropping-particle":"","family":"Umipig","given":"Dorcas Valencia","non-dropping-particle":"","parse-names":false,"suffix":""},{"dropping-particle":"","family":"Parry","given":"Christopher M.","non-dropping-particle":"","parse-names":false,"suffix":""},{"dropping-particle":"","family":"Saito","given":"Nobu","non-dropping-particle":"","parse-names":false,"suffix":""},{"dropping-particle":"","family":"Smith","given":"Chris","non-dropping-particle":"","parse-names":false,"suffix":""}],"container-title":"Tropical Medicine and Infectious Disease","id":"ITEM-4","issue":"3","issued":{"date-parts":[["2021"]]},"page":"1-9","title":"Performance of maldi–tof mass spectrometry in the philippines","type":"article-journal","volume":"6"},"uris":["http://www.mendeley.com/documents/?uuid=46424931-bf34-4a8b-a85c-7513a04eb6ce"]},{"id":"ITEM-5","itemData":{"DOI":"10.1177/1040638719835577","ISSN":"19434936","PMID":"30943879","abstract":"Matrix-assisted laser desorption/ionization time-of-flight mass spectrometry (MALDI-TOF MS) has emerged as a reliable method to identify fungal isolates. The success of this approach relies on the availability of exhaustive databases, but the latter were built with a focus on human pathogens. We assessed a large in-house database of reference spectra and a dedicated web application for their suitability for use in veterinary laboratories. A panel of 290 mold and yeast isolates representing 69 different fungal species was isolated from various animals (including pets, cattle, and zoo animals) and identified using both MALDI-TOF MS and conventional techniques. The performance of the 2 methods was compared, and identifications were confirmed by DNA sequencing. MALDI-TOF MS allowed distinction between some closely related species and achieved 89% correct identification at the species level. In comparison, only 60% of the isolates were correctly identified with conventional approaches. Using this online application, MALDI-TOF MS thus appears to be a relevant alternative for the identification of fungal isolates encountered by animal health professionals.","author":[{"dropping-particle":"","family":"Becker","given":"Pierre","non-dropping-particle":"","parse-names":false,"suffix":""},{"dropping-particle":"","family":"Normand","given":"Anne Cécile","non-dropping-particle":"","parse-names":false,"suffix":""},{"dropping-particle":"","family":"Vanantwerpen","given":"Gerty","non-dropping-particle":"","parse-names":false,"suffix":""},{"dropping-particle":"","family":"Vanrobaeys","given":"Mia","non-dropping-particle":"","parse-names":false,"suffix":""},{"dropping-particle":"","family":"Haesendonck","given":"Roel","non-dropping-particle":"","parse-names":false,"suffix":""},{"dropping-particle":"","family":"Vercammen","given":"Francis","non-dropping-particle":"","parse-names":false,"suffix":""},{"dropping-particle":"","family":"Stubbe","given":"Dirk","non-dropping-particle":"","parse-names":false,"suffix":""},{"dropping-particle":"","family":"Piarroux","given":"Renaud","non-dropping-particle":"","parse-names":false,"suffix":""},{"dropping-particle":"","family":"Hendrickx","given":"Marijke","non-dropping-particle":"","parse-names":false,"suffix":""}],"container-title":"Journal of Veterinary Diagnostic Investigation","id":"ITEM-5","issue":"3","issued":{"date-parts":[["2019"]]},"page":"471-474","title":"Identification of fungal isolates by MALDI-TOF mass spectrometry in veterinary practice: validation of a web application","type":"article-journal","volume":"31"},"uris":["http://www.mendeley.com/documents/?uuid=9364c161-29de-496f-9a76-74e3c4257d99"]}],"mendeley":{"formattedCitation":"(Becker et al., 2019; Blaize et al., 2021; Osa et al., 2021; Singhal et al., 2015; Tsuchida S, Umemura H, 2023)","manualFormatting":"(Becker et al., 2019; Blaize et al., 2021; Osa et al., 2021; Singhal et al., 2015; Tsuchida S et al., 2023)","plainTextFormattedCitation":"(Becker et al., 2019; Blaize et al., 2021; Osa et al., 2021; Singhal et al., 2015; Tsuchida S, Umemura H, 2023)","previouslyFormattedCitation":"(Becker et al., 2019; Blaize et al., 2021; Osa et al., 2021; Singhal et al., 2015; Tsuchida S, Umemura H, 2023)"},"properties":{"noteIndex":0},"schema":"https://github.com/citation-style-language/schema/raw/master/csl-citation.json"}</w:instrText>
      </w:r>
      <w:r w:rsidR="00D867D2" w:rsidRPr="006C6010">
        <w:rPr>
          <w:rFonts w:ascii="Arial" w:hAnsi="Arial" w:cs="Arial"/>
          <w:sz w:val="20"/>
          <w:szCs w:val="20"/>
        </w:rPr>
        <w:fldChar w:fldCharType="separate"/>
      </w:r>
      <w:r w:rsidR="001F0A70" w:rsidRPr="001F0A70">
        <w:rPr>
          <w:rFonts w:ascii="Arial" w:hAnsi="Arial" w:cs="Arial"/>
          <w:sz w:val="20"/>
          <w:szCs w:val="20"/>
        </w:rPr>
        <w:t xml:space="preserve">(Becker </w:t>
      </w:r>
      <w:r w:rsidR="001F0A70" w:rsidRPr="004A5D86">
        <w:rPr>
          <w:rFonts w:ascii="Arial" w:hAnsi="Arial" w:cs="Arial"/>
          <w:i/>
          <w:iCs/>
          <w:sz w:val="20"/>
          <w:szCs w:val="20"/>
        </w:rPr>
        <w:t>et al.</w:t>
      </w:r>
      <w:r w:rsidR="001F0A70" w:rsidRPr="001F0A70">
        <w:rPr>
          <w:rFonts w:ascii="Arial" w:hAnsi="Arial" w:cs="Arial"/>
          <w:sz w:val="20"/>
          <w:szCs w:val="20"/>
        </w:rPr>
        <w:t xml:space="preserve">, 2019; Blaize </w:t>
      </w:r>
      <w:r w:rsidR="001F0A70" w:rsidRPr="004A5D86">
        <w:rPr>
          <w:rFonts w:ascii="Arial" w:hAnsi="Arial" w:cs="Arial"/>
          <w:i/>
          <w:iCs/>
          <w:sz w:val="20"/>
          <w:szCs w:val="20"/>
        </w:rPr>
        <w:t>et al</w:t>
      </w:r>
      <w:r w:rsidR="001F0A70" w:rsidRPr="001F0A70">
        <w:rPr>
          <w:rFonts w:ascii="Arial" w:hAnsi="Arial" w:cs="Arial"/>
          <w:sz w:val="20"/>
          <w:szCs w:val="20"/>
        </w:rPr>
        <w:t xml:space="preserve">., 2021; Osa </w:t>
      </w:r>
      <w:r w:rsidR="001F0A70" w:rsidRPr="004A5D86">
        <w:rPr>
          <w:rFonts w:ascii="Arial" w:hAnsi="Arial" w:cs="Arial"/>
          <w:i/>
          <w:iCs/>
          <w:sz w:val="20"/>
          <w:szCs w:val="20"/>
        </w:rPr>
        <w:t>et al.</w:t>
      </w:r>
      <w:r w:rsidR="001F0A70" w:rsidRPr="001F0A70">
        <w:rPr>
          <w:rFonts w:ascii="Arial" w:hAnsi="Arial" w:cs="Arial"/>
          <w:sz w:val="20"/>
          <w:szCs w:val="20"/>
        </w:rPr>
        <w:t xml:space="preserve">, 2021; Singhal </w:t>
      </w:r>
      <w:r w:rsidR="001F0A70" w:rsidRPr="004A5D86">
        <w:rPr>
          <w:rFonts w:ascii="Arial" w:hAnsi="Arial" w:cs="Arial"/>
          <w:i/>
          <w:iCs/>
          <w:sz w:val="20"/>
          <w:szCs w:val="20"/>
        </w:rPr>
        <w:t>et al.</w:t>
      </w:r>
      <w:r w:rsidR="001F0A70" w:rsidRPr="001F0A70">
        <w:rPr>
          <w:rFonts w:ascii="Arial" w:hAnsi="Arial" w:cs="Arial"/>
          <w:sz w:val="20"/>
          <w:szCs w:val="20"/>
        </w:rPr>
        <w:t>, 2015; Tsuchida S</w:t>
      </w:r>
      <w:r w:rsidR="004A5D86">
        <w:rPr>
          <w:rFonts w:ascii="Arial" w:hAnsi="Arial" w:cs="Arial"/>
          <w:sz w:val="20"/>
          <w:szCs w:val="20"/>
        </w:rPr>
        <w:t xml:space="preserve"> </w:t>
      </w:r>
      <w:r w:rsidR="004A5D86" w:rsidRPr="004A5D86">
        <w:rPr>
          <w:rFonts w:ascii="Arial" w:hAnsi="Arial" w:cs="Arial"/>
          <w:i/>
          <w:iCs/>
          <w:sz w:val="20"/>
          <w:szCs w:val="20"/>
        </w:rPr>
        <w:t>et al</w:t>
      </w:r>
      <w:r w:rsidR="004A5D86">
        <w:rPr>
          <w:rFonts w:ascii="Arial" w:hAnsi="Arial" w:cs="Arial"/>
          <w:sz w:val="20"/>
          <w:szCs w:val="20"/>
        </w:rPr>
        <w:t>.</w:t>
      </w:r>
      <w:r w:rsidR="001F0A70" w:rsidRPr="001F0A70">
        <w:rPr>
          <w:rFonts w:ascii="Arial" w:hAnsi="Arial" w:cs="Arial"/>
          <w:sz w:val="20"/>
          <w:szCs w:val="20"/>
        </w:rPr>
        <w:t>, 2023)</w:t>
      </w:r>
      <w:r w:rsidR="00D867D2" w:rsidRPr="006C6010">
        <w:rPr>
          <w:rFonts w:ascii="Arial" w:hAnsi="Arial" w:cs="Arial"/>
          <w:sz w:val="20"/>
          <w:szCs w:val="20"/>
        </w:rPr>
        <w:fldChar w:fldCharType="end"/>
      </w:r>
      <w:r w:rsidRPr="006C6010">
        <w:rPr>
          <w:rFonts w:ascii="Arial" w:hAnsi="Arial" w:cs="Arial"/>
          <w:sz w:val="20"/>
          <w:szCs w:val="20"/>
        </w:rPr>
        <w:t xml:space="preserve">. The aim </w:t>
      </w:r>
      <w:r w:rsidR="005C43F5" w:rsidRPr="006C6010">
        <w:rPr>
          <w:rFonts w:ascii="Arial" w:hAnsi="Arial" w:cs="Arial"/>
          <w:sz w:val="20"/>
          <w:szCs w:val="20"/>
        </w:rPr>
        <w:t>this</w:t>
      </w:r>
      <w:r w:rsidRPr="006C6010">
        <w:rPr>
          <w:rFonts w:ascii="Arial" w:hAnsi="Arial" w:cs="Arial"/>
          <w:sz w:val="20"/>
          <w:szCs w:val="20"/>
        </w:rPr>
        <w:t xml:space="preserve"> our study is to improve the identification of fungi isolated from samples received and analyzed by the routine method in two medical mycology laboratories in Togo and to </w:t>
      </w:r>
      <w:r w:rsidR="008125AB" w:rsidRPr="006C6010">
        <w:rPr>
          <w:rFonts w:ascii="Arial" w:hAnsi="Arial" w:cs="Arial"/>
          <w:sz w:val="20"/>
          <w:szCs w:val="20"/>
        </w:rPr>
        <w:t>enable capacity building</w:t>
      </w:r>
      <w:r w:rsidRPr="006C6010">
        <w:rPr>
          <w:rFonts w:ascii="Arial" w:hAnsi="Arial" w:cs="Arial"/>
          <w:sz w:val="20"/>
          <w:szCs w:val="20"/>
        </w:rPr>
        <w:t xml:space="preserve"> through this North-South collaboration.</w:t>
      </w:r>
    </w:p>
    <w:p w14:paraId="3007585B" w14:textId="3B174C77" w:rsidR="00672C7A" w:rsidRPr="00CD3FA8" w:rsidRDefault="00672C7A" w:rsidP="00451967">
      <w:pPr>
        <w:spacing w:line="480" w:lineRule="auto"/>
        <w:jc w:val="both"/>
        <w:rPr>
          <w:rFonts w:ascii="Arial" w:hAnsi="Arial" w:cs="Arial"/>
          <w:sz w:val="20"/>
          <w:szCs w:val="20"/>
          <w:lang w:val="en-US"/>
        </w:rPr>
      </w:pPr>
      <w:r w:rsidRPr="006C6010">
        <w:rPr>
          <w:rFonts w:ascii="Arial" w:hAnsi="Arial" w:cs="Arial"/>
          <w:sz w:val="20"/>
          <w:szCs w:val="20"/>
        </w:rPr>
        <w:t>Indeed, the identification concordance rate of 51.81</w:t>
      </w:r>
      <w:r w:rsidR="00B629F5" w:rsidRPr="006C6010">
        <w:rPr>
          <w:rFonts w:ascii="Arial" w:hAnsi="Arial" w:cs="Arial"/>
          <w:sz w:val="20"/>
          <w:szCs w:val="20"/>
        </w:rPr>
        <w:t xml:space="preserve"> </w:t>
      </w:r>
      <w:r w:rsidRPr="006C6010">
        <w:rPr>
          <w:rFonts w:ascii="Arial" w:hAnsi="Arial" w:cs="Arial"/>
          <w:sz w:val="20"/>
          <w:szCs w:val="20"/>
        </w:rPr>
        <w:t xml:space="preserve">% between the results of the MS analysis and those of the two laboratories shows the inadequacy of the identification of the fungi responsible for superficial mycoses in Togo: in one case out of two, the fungal pathogen is not correctly identified. This inadequacy calls for a strong </w:t>
      </w:r>
      <w:r w:rsidR="00610745" w:rsidRPr="006C6010">
        <w:rPr>
          <w:rFonts w:ascii="Arial" w:hAnsi="Arial" w:cs="Arial"/>
          <w:sz w:val="20"/>
          <w:szCs w:val="20"/>
        </w:rPr>
        <w:t xml:space="preserve">advocacy </w:t>
      </w:r>
      <w:r w:rsidRPr="006C6010">
        <w:rPr>
          <w:rFonts w:ascii="Arial" w:hAnsi="Arial" w:cs="Arial"/>
          <w:sz w:val="20"/>
          <w:szCs w:val="20"/>
        </w:rPr>
        <w:t xml:space="preserve">for mycology laboratories in </w:t>
      </w:r>
      <w:r w:rsidR="006A6A07" w:rsidRPr="006C6010">
        <w:rPr>
          <w:rFonts w:ascii="Arial" w:hAnsi="Arial" w:cs="Arial"/>
          <w:sz w:val="20"/>
          <w:szCs w:val="20"/>
        </w:rPr>
        <w:t>low incomes</w:t>
      </w:r>
      <w:r w:rsidRPr="006C6010">
        <w:rPr>
          <w:rFonts w:ascii="Arial" w:hAnsi="Arial" w:cs="Arial"/>
          <w:sz w:val="20"/>
          <w:szCs w:val="20"/>
        </w:rPr>
        <w:t xml:space="preserve"> countries to be supported by adequate equipment to bring them into line with current requirements for fungal pathogen identification. Several authors have already looked at this comparison, including Boualem </w:t>
      </w:r>
      <w:r w:rsidRPr="001F0A70">
        <w:rPr>
          <w:rFonts w:ascii="Arial" w:hAnsi="Arial" w:cs="Arial"/>
          <w:i/>
          <w:iCs/>
          <w:sz w:val="20"/>
          <w:szCs w:val="20"/>
        </w:rPr>
        <w:t>et al</w:t>
      </w:r>
      <w:r w:rsidRPr="006C6010">
        <w:rPr>
          <w:rFonts w:ascii="Arial" w:hAnsi="Arial" w:cs="Arial"/>
          <w:sz w:val="20"/>
          <w:szCs w:val="20"/>
        </w:rPr>
        <w:t>, 2013, who in France found a 91.5</w:t>
      </w:r>
      <w:r w:rsidR="00B629F5" w:rsidRPr="006C6010">
        <w:rPr>
          <w:rFonts w:ascii="Arial" w:hAnsi="Arial" w:cs="Arial"/>
          <w:sz w:val="20"/>
          <w:szCs w:val="20"/>
        </w:rPr>
        <w:t xml:space="preserve"> </w:t>
      </w:r>
      <w:r w:rsidRPr="006C6010">
        <w:rPr>
          <w:rFonts w:ascii="Arial" w:hAnsi="Arial" w:cs="Arial"/>
          <w:sz w:val="20"/>
          <w:szCs w:val="20"/>
        </w:rPr>
        <w:t>% species concordance between the two methods for yeast isolates identified in the clinical laboratories of Dijon and Lille</w:t>
      </w:r>
      <w:r w:rsidR="00237558" w:rsidRPr="006C6010">
        <w:rPr>
          <w:rFonts w:ascii="Arial" w:hAnsi="Arial" w:cs="Arial"/>
          <w:sz w:val="20"/>
          <w:szCs w:val="20"/>
        </w:rPr>
        <w:fldChar w:fldCharType="begin" w:fldLock="1"/>
      </w:r>
      <w:r w:rsidR="00D7462F" w:rsidRPr="006C6010">
        <w:rPr>
          <w:rFonts w:ascii="Arial" w:hAnsi="Arial" w:cs="Arial"/>
          <w:sz w:val="20"/>
          <w:szCs w:val="20"/>
        </w:rPr>
        <w:instrText>ADDIN CSL_CITATION {"citationItems":[{"id":"ITEM-1","itemData":{"DOI":"10.3109/13693786.2012.693631","ISSN":"14602709","PMID":"22703164","abstract":"Conventional identification (CI) of yeasts is based on morphological, biochemical and/or immunological methods. Matrix-assisted laser desorption/ionization - time of flight (MALDI-TOF or MT-MS) mass spectrometry has been proposed as a new method for the identification of microorganisms. This prospective study compared the performance of MT-MS and CI for the identification of yeasts isolated from clinical samples. Sequencing of the internal transcribed spacer (ITS) regions of ribosomal DNA was used as the reference method in the analysis of a total of 1207 yeast isolates. Concordance between MT-MS and CI was observed for 1105 isolates (91.5%), while 74 isolates (6.1%) were misidentified. Molecular identification revealed that 73 of these 74 isolates were identified correctly by MT-MS and CI correctly identified the last one. Concordance between the two techniques was excellent for the medically-important species (98 - 100%), including the identification of closely-related species (Candida albicans/C. dubliniensis; C. inconspicua/C. norvegensis; C. parapsilosis/C. metapsilosis/C. orthopsilosis). Only 2.3% of isolates belonging to C. famata, C. lambica and C. magnoliae or to Geotrichum spp. and Trichosporon spp. were not identified by MT-MS. This investigation highlights the potential of MT-MS-based yeast identification as a reliable, time and cost-efficient alternative to CI. © 2013 ISHAM.","author":[{"dropping-particle":"","family":"Sendid","given":"Boualem","non-dropping-particle":"","parse-names":false,"suffix":""},{"dropping-particle":"","family":"Ducoroy","given":"Patrick","non-dropping-particle":"","parse-names":false,"suffix":""},{"dropping-particle":"","family":"François","given":"Nadine","non-dropping-particle":"","parse-names":false,"suffix":""},{"dropping-particle":"","family":"Lucchi","given":"Geraldine","non-dropping-particle":"","parse-names":false,"suffix":""},{"dropping-particle":"","family":"Spinali","given":"Sebastien","non-dropping-particle":"","parse-names":false,"suffix":""},{"dropping-particle":"","family":"Vagner","given":"Odile","non-dropping-particle":"","parse-names":false,"suffix":""},{"dropping-particle":"","family":"Damiens","given":"Sebastien","non-dropping-particle":"","parse-names":false,"suffix":""},{"dropping-particle":"","family":"Bonnin","given":"Alain","non-dropping-particle":"","parse-names":false,"suffix":""},{"dropping-particle":"","family":"Poulain","given":"Daniel","non-dropping-particle":"","parse-names":false,"suffix":""},{"dropping-particle":"","family":"Dalle","given":"Frederic","non-dropping-particle":"","parse-names":false,"suffix":""}],"container-title":"Medical Mycology","id":"ITEM-1","issue":"1","issued":{"date-parts":[["2013"]]},"page":"25-32","title":"Evaluation of MALDI-TOF mass spectrometry for the identification of medically-important yeasts in the clinical laboratories of Dijon and Lille hospitals","type":"article-journal","volume":"51"},"uris":["http://www.mendeley.com/documents/?uuid=5e1b45d3-8fa2-4e8e-b68e-54b1b0165343"]}],"mendeley":{"formattedCitation":"(Sendid et al., 2013)","plainTextFormattedCitation":"(Sendid et al., 2013)","previouslyFormattedCitation":"(Sendid et al., 2013)"},"properties":{"noteIndex":0},"schema":"https://github.com/citation-style-language/schema/raw/master/csl-citation.json"}</w:instrText>
      </w:r>
      <w:r w:rsidR="00237558" w:rsidRPr="006C6010">
        <w:rPr>
          <w:rFonts w:ascii="Arial" w:hAnsi="Arial" w:cs="Arial"/>
          <w:sz w:val="20"/>
          <w:szCs w:val="20"/>
        </w:rPr>
        <w:fldChar w:fldCharType="separate"/>
      </w:r>
      <w:r w:rsidR="00DA7D66" w:rsidRPr="006C6010">
        <w:rPr>
          <w:rFonts w:ascii="Arial" w:hAnsi="Arial" w:cs="Arial"/>
          <w:sz w:val="20"/>
          <w:szCs w:val="20"/>
        </w:rPr>
        <w:t xml:space="preserve">(Sendid </w:t>
      </w:r>
      <w:r w:rsidR="00DA7D66" w:rsidRPr="001F0A70">
        <w:rPr>
          <w:rFonts w:ascii="Arial" w:hAnsi="Arial" w:cs="Arial"/>
          <w:i/>
          <w:iCs/>
          <w:sz w:val="20"/>
          <w:szCs w:val="20"/>
        </w:rPr>
        <w:t>et al</w:t>
      </w:r>
      <w:r w:rsidR="00DA7D66" w:rsidRPr="006C6010">
        <w:rPr>
          <w:rFonts w:ascii="Arial" w:hAnsi="Arial" w:cs="Arial"/>
          <w:sz w:val="20"/>
          <w:szCs w:val="20"/>
        </w:rPr>
        <w:t>., 2013)</w:t>
      </w:r>
      <w:r w:rsidR="00237558" w:rsidRPr="006C6010">
        <w:rPr>
          <w:rFonts w:ascii="Arial" w:hAnsi="Arial" w:cs="Arial"/>
          <w:sz w:val="20"/>
          <w:szCs w:val="20"/>
        </w:rPr>
        <w:fldChar w:fldCharType="end"/>
      </w:r>
      <w:r w:rsidRPr="006C6010">
        <w:rPr>
          <w:rFonts w:ascii="Arial" w:hAnsi="Arial" w:cs="Arial"/>
          <w:sz w:val="20"/>
          <w:szCs w:val="20"/>
        </w:rPr>
        <w:t xml:space="preserve"> and Lacroix et al, who in 2014 noted a 98.3% species concordance for Candida isolates isolated in 8 hospital laboratories in France</w:t>
      </w:r>
      <w:r w:rsidR="00237558" w:rsidRPr="006C6010">
        <w:rPr>
          <w:rFonts w:ascii="Arial" w:hAnsi="Arial" w:cs="Arial"/>
          <w:sz w:val="20"/>
          <w:szCs w:val="20"/>
        </w:rPr>
        <w:fldChar w:fldCharType="begin" w:fldLock="1"/>
      </w:r>
      <w:r w:rsidR="00D7462F" w:rsidRPr="006C6010">
        <w:rPr>
          <w:rFonts w:ascii="Arial" w:hAnsi="Arial" w:cs="Arial"/>
          <w:sz w:val="20"/>
          <w:szCs w:val="20"/>
        </w:rPr>
        <w:instrText>ADDIN CSL_CITATION {"citationItems":[{"id":"ITEM-1","itemData":{"DOI":"10.1111/1469-0691.12210","ISSN":"14690691","PMID":"23594150","abstract":"Candida spp. are responsible for severe infections in immunocompromised patients and those undergoing invasive procedures. The accurate identification of Candida species is important because emerging species can be associated with various antifungal susceptibility spectra. Conventional methods have been developed to identify the most common pathogens, but have often failed to identify uncommon species. Several studies have reported the efficiency of matrix-assisted laser desorption ionization-time of flight mass spectrometry (MALDI-TOF MS) for the identification of clinically relevant Candida species. In this study, we evaluated two commercially available MALDI-TOF systems, Andromas™ and Bruker Biotyper™, for Candida identification in routine diagnosis. For this purpose, we investigated 1383 Candida isolates prospectively collected in eight hospital laboratories during routine practice. MALDI-TOF MS results were compared with those obtained using conventional phenotypic methods. Analysis of rDNA gene sequences with internal transcribed regions or D1-D2 regions is considered the reference standard for identification. Both MALDI-TOF MS systems could accurately identify 98.3% of the isolates at the species level (1359/1383 for Andromas™; 1360/1383 for Bruker Biotyper™) vs. 96.5% for conventional techniques. Furthermore, whereas conventional methods failed to identify rare or emerging species, these were correctly identified by MALDI-TOF MS. Both MALDI-TOF MS systems are accurate and cost-effective alternatives to conventional methods for mycological identification of clinically relevant Candida species and should improve the diagnosis of fungal infections as well as patient management. © 2013 European Society of Clinical Microbiology and Infectious Diseases.","author":[{"dropping-particle":"","family":"Lacroix","given":"C.","non-dropping-particle":"","parse-names":false,"suffix":""},{"dropping-particle":"","family":"Gicquel","given":"A.","non-dropping-particle":"","parse-names":false,"suffix":""},{"dropping-particle":"","family":"Sendid","given":"B.","non-dropping-particle":"","parse-names":false,"suffix":""},{"dropping-particle":"","family":"Meyer","given":"J.","non-dropping-particle":"","parse-names":false,"suffix":""},{"dropping-particle":"","family":"Accoceberry","given":"I.","non-dropping-particle":"","parse-names":false,"suffix":""},{"dropping-particle":"","family":"François","given":"N.","non-dropping-particle":"","parse-names":false,"suffix":""},{"dropping-particle":"","family":"Morio","given":"F.","non-dropping-particle":"","parse-names":false,"suffix":""},{"dropping-particle":"","family":"Desoubeaux","given":"G.","non-dropping-particle":"","parse-names":false,"suffix":""},{"dropping-particle":"","family":"Chandenier","given":"J.","non-dropping-particle":"","parse-names":false,"suffix":""},{"dropping-particle":"","family":"Kauffmann-Lacroix","given":"C.","non-dropping-particle":"","parse-names":false,"suffix":""},{"dropping-particle":"","family":"Hennequin","given":"C.","non-dropping-particle":"","parse-names":false,"suffix":""},{"dropping-particle":"","family":"Guitard","given":"J.","non-dropping-particle":"","parse-names":false,"suffix":""},{"dropping-particle":"","family":"Nassif","given":"X.","non-dropping-particle":"","parse-names":false,"suffix":""},{"dropping-particle":"","family":"Bougnoux","given":"M. E.","non-dropping-particle":"","parse-names":false,"suffix":""}],"container-title":"Clinical Microbiology and Infection","id":"ITEM-1","issue":"2","issued":{"date-parts":[["2014"]]},"page":"153-158","title":"Evaluation of two matrix-assisted laser desorption ionization-time of flight mass spectrometry (MALDI-TOF MS) systems for the identification of Candida species","type":"article-journal","volume":"20"},"uris":["http://www.mendeley.com/documents/?uuid=359c67d2-b27e-4f9c-a435-8f02f658374e"]}],"mendeley":{"formattedCitation":"(Lacroix et al., 2014)","plainTextFormattedCitation":"(Lacroix et al., 2014)","previouslyFormattedCitation":"(Lacroix et al., 2014)"},"properties":{"noteIndex":0},"schema":"https://github.com/citation-style-language/schema/raw/master/csl-citation.json"}</w:instrText>
      </w:r>
      <w:r w:rsidR="00237558" w:rsidRPr="006C6010">
        <w:rPr>
          <w:rFonts w:ascii="Arial" w:hAnsi="Arial" w:cs="Arial"/>
          <w:sz w:val="20"/>
          <w:szCs w:val="20"/>
        </w:rPr>
        <w:fldChar w:fldCharType="separate"/>
      </w:r>
      <w:r w:rsidR="00DA7D66" w:rsidRPr="006C6010">
        <w:rPr>
          <w:rFonts w:ascii="Arial" w:hAnsi="Arial" w:cs="Arial"/>
          <w:sz w:val="20"/>
          <w:szCs w:val="20"/>
        </w:rPr>
        <w:t xml:space="preserve">(Lacroix </w:t>
      </w:r>
      <w:r w:rsidR="00DA7D66" w:rsidRPr="001F0A70">
        <w:rPr>
          <w:rFonts w:ascii="Arial" w:hAnsi="Arial" w:cs="Arial"/>
          <w:i/>
          <w:iCs/>
          <w:sz w:val="20"/>
          <w:szCs w:val="20"/>
        </w:rPr>
        <w:t>et al</w:t>
      </w:r>
      <w:r w:rsidR="00DA7D66" w:rsidRPr="006C6010">
        <w:rPr>
          <w:rFonts w:ascii="Arial" w:hAnsi="Arial" w:cs="Arial"/>
          <w:sz w:val="20"/>
          <w:szCs w:val="20"/>
        </w:rPr>
        <w:t>., 2014)</w:t>
      </w:r>
      <w:r w:rsidR="00237558" w:rsidRPr="006C6010">
        <w:rPr>
          <w:rFonts w:ascii="Arial" w:hAnsi="Arial" w:cs="Arial"/>
          <w:sz w:val="20"/>
          <w:szCs w:val="20"/>
        </w:rPr>
        <w:fldChar w:fldCharType="end"/>
      </w:r>
      <w:r w:rsidRPr="006C6010">
        <w:rPr>
          <w:rFonts w:ascii="Arial" w:hAnsi="Arial" w:cs="Arial"/>
          <w:sz w:val="20"/>
          <w:szCs w:val="20"/>
        </w:rPr>
        <w:t xml:space="preserve">. This concordance drops slightly in terms of performance when it comes to filamentous fungus isolates. Indeed, in </w:t>
      </w:r>
      <w:r w:rsidR="00B95FDB" w:rsidRPr="006C6010">
        <w:rPr>
          <w:rFonts w:ascii="Arial" w:hAnsi="Arial" w:cs="Arial"/>
          <w:sz w:val="20"/>
          <w:szCs w:val="20"/>
        </w:rPr>
        <w:t xml:space="preserve">study </w:t>
      </w:r>
      <w:r w:rsidR="0072233B" w:rsidRPr="006C6010">
        <w:rPr>
          <w:rFonts w:ascii="Arial" w:hAnsi="Arial" w:cs="Arial"/>
          <w:sz w:val="20"/>
          <w:szCs w:val="20"/>
        </w:rPr>
        <w:t xml:space="preserve">of </w:t>
      </w:r>
      <w:r w:rsidRPr="006C6010">
        <w:rPr>
          <w:rFonts w:ascii="Arial" w:hAnsi="Arial" w:cs="Arial"/>
          <w:sz w:val="20"/>
          <w:szCs w:val="20"/>
        </w:rPr>
        <w:t xml:space="preserve">Ranque </w:t>
      </w:r>
      <w:r w:rsidRPr="006C6010">
        <w:rPr>
          <w:rFonts w:ascii="Arial" w:hAnsi="Arial" w:cs="Arial"/>
          <w:i/>
          <w:iCs/>
          <w:sz w:val="20"/>
          <w:szCs w:val="20"/>
        </w:rPr>
        <w:t>et al.</w:t>
      </w:r>
      <w:r w:rsidRPr="006C6010">
        <w:rPr>
          <w:rFonts w:ascii="Arial" w:hAnsi="Arial" w:cs="Arial"/>
          <w:sz w:val="20"/>
          <w:szCs w:val="20"/>
        </w:rPr>
        <w:t>, aimed at validating the effectiveness of a standardized MALDI-TOF mass spectrometry (MS) identification procedure on a large sample of filamentous fungi routinely identified in university hospital laboratories, a correct filamentous fungus identification performance of 89</w:t>
      </w:r>
      <w:r w:rsidR="00B629F5" w:rsidRPr="006C6010">
        <w:rPr>
          <w:rFonts w:ascii="Arial" w:hAnsi="Arial" w:cs="Arial"/>
          <w:sz w:val="20"/>
          <w:szCs w:val="20"/>
        </w:rPr>
        <w:t xml:space="preserve"> </w:t>
      </w:r>
      <w:r w:rsidRPr="006C6010">
        <w:rPr>
          <w:rFonts w:ascii="Arial" w:hAnsi="Arial" w:cs="Arial"/>
          <w:sz w:val="20"/>
          <w:szCs w:val="20"/>
        </w:rPr>
        <w:t>% was</w:t>
      </w:r>
      <w:r w:rsidR="00EA6522" w:rsidRPr="006C6010">
        <w:rPr>
          <w:rFonts w:ascii="Arial" w:hAnsi="Arial" w:cs="Arial"/>
          <w:sz w:val="20"/>
          <w:szCs w:val="20"/>
        </w:rPr>
        <w:t xml:space="preserve"> </w:t>
      </w:r>
      <w:r w:rsidR="002F18E1" w:rsidRPr="006C6010">
        <w:rPr>
          <w:rFonts w:ascii="Arial" w:hAnsi="Arial" w:cs="Arial"/>
          <w:sz w:val="20"/>
          <w:szCs w:val="20"/>
        </w:rPr>
        <w:fldChar w:fldCharType="begin" w:fldLock="1"/>
      </w:r>
      <w:r w:rsidR="001F0A70">
        <w:rPr>
          <w:rFonts w:ascii="Arial" w:hAnsi="Arial" w:cs="Arial"/>
          <w:sz w:val="20"/>
          <w:szCs w:val="20"/>
        </w:rPr>
        <w:instrText>ADDIN CSL_CITATION {"citationItems":[{"id":"ITEM-1","itemData":{"DOI":"10.1111/myc.12115","abstract":"Cette étude visait à valider l'efficacité d'une procédure standardisée d'identification par spectrométrie de masse (MS) MALDI-TOF sur un large échantillon de champignons filamenteux identifiés en routine dans les laboratoires des hôpitaux universitaires. Les champignons filamenteux non dermatophytes isolés de manière prospective dans l'activité de routine de cinq hôpitaux universitaires en France ont d'abord été identifiés par des méthodes conventionnelles dans chaque laboratoire, puis par MS dans un centre. L'identification basée sur la séquence d'ADN a résolu les divergences entre les deux méthodes. Dans cette étude, sur les 625 champignons filamenteux analysés de 58 espèces, 501 (80 %) et 556 (89 %) ont été correctement identifiés respectivement par les méthodes conventionnelles et par MS. Par rapport à la méthode conventionnelle, la MS a considérablement amélioré les performances d'identification des champignons filamenteux non Aspergillus avec une augmentation de 31 à 61 % du taux d'identification correcte. En conclusion, cette étude sur un large échantillon de taxons cliniques de champignons filamenteux démontre que l'identification des espèces est significativement améliorée par la MS par rapport à la méthode conventionnelle. La principale limitation est que l'identification par MS n'est possible que si l'espèce est incluse dans la bibliothèque de spectres de référence. Néanmoins, pour le laboratoire clinique de routine, la MS offre les moyens d'obtenir des résultats remarquablement précis dans l'identification des champignons filamenteux, qui était auparavant limitée à quelques laboratoires de référence seulement.","author":[{"dropping-particle":"","family":"Stéphane Ranque, Anne-Cécile Normand, Carole Cassagne, Jean-Benjamin Murat, Nathalie Bourgeois, Frédéric Dalle, Martine Gari-Toussaint, Patrick Fourquet, Marijke Hendrickx","given":"Renaud Piarroux","non-dropping-particle":"","parse-names":false,"suffix":""}],"container-title":"Mycoses","id":"ITEM-1","issue":"3","issued":{"date-parts":[["2014"]]},"page":"135-140","title":"Identification of filamentous fungi by MALDI-TOF mass spectrometry in clinical laboratories","type":"article-journal","volume":"57"},"uris":["http://www.mendeley.com/documents/?uuid=a015d8b1-0699-49d8-8c6a-2c5f7820a7b4"]}],"mendeley":{"formattedCitation":"(Stéphane Ranque, Anne-Cécile Normand, Carole Cassagne, Jean-Benjamin Murat, Nathalie Bourgeois, Frédéric Dalle, Martine Gari-Toussaint, Patrick Fourquet, Marijke Hendrickx, 2014)","manualFormatting":"(Stéphane Ranque et al., 2014)","plainTextFormattedCitation":"(Stéphane Ranque, Anne-Cécile Normand, Carole Cassagne, Jean-Benjamin Murat, Nathalie Bourgeois, Frédéric Dalle, Martine Gari-Toussaint, Patrick Fourquet, Marijke Hendrickx, 2014)","previouslyFormattedCitation":"(Stéphane Ranque, Anne-Cécile Normand, Carole Cassagne, Jean-Benjamin Murat, Nathalie Bourgeois, Frédéric Dalle, Martine Gari-Toussaint, Patrick Fourquet, Marijke Hendrickx, 2014)"},"properties":{"noteIndex":0},"schema":"https://github.com/citation-style-language/schema/raw/master/csl-citation.json"}</w:instrText>
      </w:r>
      <w:r w:rsidR="002F18E1" w:rsidRPr="006C6010">
        <w:rPr>
          <w:rFonts w:ascii="Arial" w:hAnsi="Arial" w:cs="Arial"/>
          <w:sz w:val="20"/>
          <w:szCs w:val="20"/>
        </w:rPr>
        <w:fldChar w:fldCharType="separate"/>
      </w:r>
      <w:r w:rsidR="00DA7D66" w:rsidRPr="00CD3FA8">
        <w:rPr>
          <w:rFonts w:ascii="Arial" w:hAnsi="Arial" w:cs="Arial"/>
          <w:sz w:val="20"/>
          <w:szCs w:val="20"/>
          <w:lang w:val="en-US"/>
        </w:rPr>
        <w:t>(Stéphane Ranque</w:t>
      </w:r>
      <w:r w:rsidR="001F0A70" w:rsidRPr="00CD3FA8">
        <w:rPr>
          <w:rFonts w:ascii="Arial" w:hAnsi="Arial" w:cs="Arial"/>
          <w:sz w:val="20"/>
          <w:szCs w:val="20"/>
          <w:lang w:val="en-US"/>
        </w:rPr>
        <w:t xml:space="preserve"> </w:t>
      </w:r>
      <w:r w:rsidR="001F0A70" w:rsidRPr="00CD3FA8">
        <w:rPr>
          <w:rFonts w:ascii="Arial" w:hAnsi="Arial" w:cs="Arial"/>
          <w:i/>
          <w:iCs/>
          <w:sz w:val="20"/>
          <w:szCs w:val="20"/>
          <w:lang w:val="en-US"/>
        </w:rPr>
        <w:t>et al.</w:t>
      </w:r>
      <w:r w:rsidR="00DA7D66" w:rsidRPr="00CD3FA8">
        <w:rPr>
          <w:rFonts w:ascii="Arial" w:hAnsi="Arial" w:cs="Arial"/>
          <w:sz w:val="20"/>
          <w:szCs w:val="20"/>
          <w:lang w:val="en-US"/>
        </w:rPr>
        <w:t>, 2014)</w:t>
      </w:r>
      <w:r w:rsidR="002F18E1" w:rsidRPr="006C6010">
        <w:rPr>
          <w:rFonts w:ascii="Arial" w:hAnsi="Arial" w:cs="Arial"/>
          <w:sz w:val="20"/>
          <w:szCs w:val="20"/>
        </w:rPr>
        <w:fldChar w:fldCharType="end"/>
      </w:r>
      <w:r w:rsidRPr="00CD3FA8">
        <w:rPr>
          <w:rFonts w:ascii="Arial" w:hAnsi="Arial" w:cs="Arial"/>
          <w:sz w:val="20"/>
          <w:szCs w:val="20"/>
          <w:lang w:val="en-US"/>
        </w:rPr>
        <w:t>.</w:t>
      </w:r>
    </w:p>
    <w:p w14:paraId="0789EC69" w14:textId="691DB457" w:rsidR="00672C7A" w:rsidRPr="006C6010" w:rsidRDefault="00672C7A" w:rsidP="00451967">
      <w:pPr>
        <w:spacing w:line="480" w:lineRule="auto"/>
        <w:jc w:val="both"/>
        <w:rPr>
          <w:rFonts w:ascii="Arial" w:hAnsi="Arial" w:cs="Arial"/>
          <w:sz w:val="20"/>
          <w:szCs w:val="20"/>
        </w:rPr>
      </w:pPr>
      <w:r w:rsidRPr="006C6010">
        <w:rPr>
          <w:rFonts w:ascii="Arial" w:hAnsi="Arial" w:cs="Arial"/>
          <w:sz w:val="20"/>
          <w:szCs w:val="20"/>
        </w:rPr>
        <w:lastRenderedPageBreak/>
        <w:t xml:space="preserve">This relatively low concordance found in our series could be explained in </w:t>
      </w:r>
      <w:r w:rsidR="0072233B" w:rsidRPr="006C6010">
        <w:rPr>
          <w:rFonts w:ascii="Arial" w:hAnsi="Arial" w:cs="Arial"/>
          <w:sz w:val="20"/>
          <w:szCs w:val="20"/>
        </w:rPr>
        <w:t xml:space="preserve">one hand </w:t>
      </w:r>
      <w:r w:rsidRPr="006C6010">
        <w:rPr>
          <w:rFonts w:ascii="Arial" w:hAnsi="Arial" w:cs="Arial"/>
          <w:sz w:val="20"/>
          <w:szCs w:val="20"/>
        </w:rPr>
        <w:t xml:space="preserve">by the always </w:t>
      </w:r>
      <w:r w:rsidR="0072233B" w:rsidRPr="006C6010">
        <w:rPr>
          <w:rFonts w:ascii="Arial" w:hAnsi="Arial" w:cs="Arial"/>
          <w:sz w:val="20"/>
          <w:szCs w:val="20"/>
        </w:rPr>
        <w:t>in</w:t>
      </w:r>
      <w:r w:rsidRPr="006C6010">
        <w:rPr>
          <w:rFonts w:ascii="Arial" w:hAnsi="Arial" w:cs="Arial"/>
          <w:sz w:val="20"/>
          <w:szCs w:val="20"/>
        </w:rPr>
        <w:t>adequate technical conditions in the laboratory, but above all by the storage and transport of isolates, arguments supported by the 7.77</w:t>
      </w:r>
      <w:r w:rsidR="00B629F5" w:rsidRPr="006C6010">
        <w:rPr>
          <w:rFonts w:ascii="Arial" w:hAnsi="Arial" w:cs="Arial"/>
          <w:sz w:val="20"/>
          <w:szCs w:val="20"/>
        </w:rPr>
        <w:t xml:space="preserve"> </w:t>
      </w:r>
      <w:r w:rsidRPr="006C6010">
        <w:rPr>
          <w:rFonts w:ascii="Arial" w:hAnsi="Arial" w:cs="Arial"/>
          <w:sz w:val="20"/>
          <w:szCs w:val="20"/>
        </w:rPr>
        <w:t>%</w:t>
      </w:r>
      <w:r w:rsidR="007C6138" w:rsidRPr="006C6010">
        <w:rPr>
          <w:rFonts w:ascii="Arial" w:hAnsi="Arial" w:cs="Arial"/>
          <w:sz w:val="20"/>
          <w:szCs w:val="20"/>
        </w:rPr>
        <w:t xml:space="preserve"> (21/270) </w:t>
      </w:r>
      <w:r w:rsidR="00743866" w:rsidRPr="006C6010">
        <w:rPr>
          <w:rFonts w:ascii="Arial" w:hAnsi="Arial" w:cs="Arial"/>
          <w:sz w:val="20"/>
          <w:szCs w:val="20"/>
        </w:rPr>
        <w:t xml:space="preserve"> </w:t>
      </w:r>
      <w:r w:rsidRPr="006C6010">
        <w:rPr>
          <w:rFonts w:ascii="Arial" w:hAnsi="Arial" w:cs="Arial"/>
          <w:sz w:val="20"/>
          <w:szCs w:val="20"/>
        </w:rPr>
        <w:t>of cases of contamination by Aspergillus and Penicillium noted in our study (</w:t>
      </w:r>
      <w:r w:rsidR="007521BA" w:rsidRPr="006C6010">
        <w:rPr>
          <w:rFonts w:ascii="Arial" w:hAnsi="Arial" w:cs="Arial"/>
          <w:sz w:val="20"/>
          <w:szCs w:val="20"/>
        </w:rPr>
        <w:t>Fig</w:t>
      </w:r>
      <w:r w:rsidR="00F863CA" w:rsidRPr="006C6010">
        <w:rPr>
          <w:rFonts w:ascii="Arial" w:hAnsi="Arial" w:cs="Arial"/>
          <w:sz w:val="20"/>
          <w:szCs w:val="20"/>
        </w:rPr>
        <w:t xml:space="preserve">ure </w:t>
      </w:r>
      <w:r w:rsidR="00AF5EE4" w:rsidRPr="006C6010">
        <w:rPr>
          <w:rFonts w:ascii="Arial" w:hAnsi="Arial" w:cs="Arial"/>
          <w:sz w:val="20"/>
          <w:szCs w:val="20"/>
        </w:rPr>
        <w:t>3</w:t>
      </w:r>
      <w:r w:rsidR="007521BA" w:rsidRPr="006C6010">
        <w:rPr>
          <w:rFonts w:ascii="Arial" w:hAnsi="Arial" w:cs="Arial"/>
          <w:sz w:val="20"/>
          <w:szCs w:val="20"/>
        </w:rPr>
        <w:t>)</w:t>
      </w:r>
      <w:r w:rsidRPr="006C6010">
        <w:rPr>
          <w:rFonts w:ascii="Arial" w:hAnsi="Arial" w:cs="Arial"/>
          <w:sz w:val="20"/>
          <w:szCs w:val="20"/>
        </w:rPr>
        <w:t xml:space="preserve">. </w:t>
      </w:r>
      <w:r w:rsidR="00991823" w:rsidRPr="006C6010">
        <w:rPr>
          <w:rFonts w:ascii="Arial" w:hAnsi="Arial" w:cs="Arial"/>
          <w:sz w:val="20"/>
          <w:szCs w:val="20"/>
        </w:rPr>
        <w:t xml:space="preserve">In </w:t>
      </w:r>
      <w:r w:rsidR="005D005C" w:rsidRPr="006C6010">
        <w:rPr>
          <w:rFonts w:ascii="Arial" w:hAnsi="Arial" w:cs="Arial"/>
          <w:sz w:val="20"/>
          <w:szCs w:val="20"/>
        </w:rPr>
        <w:t>other hand, i</w:t>
      </w:r>
      <w:r w:rsidRPr="006C6010">
        <w:rPr>
          <w:rFonts w:ascii="Arial" w:hAnsi="Arial" w:cs="Arial"/>
          <w:sz w:val="20"/>
          <w:szCs w:val="20"/>
        </w:rPr>
        <w:t xml:space="preserve">t is also recognized that the accuracy of identification by MS depends on the quality of the spectra, which in turn is closely linked to, among other </w:t>
      </w:r>
      <w:r w:rsidR="00CF09D0" w:rsidRPr="006C6010">
        <w:rPr>
          <w:rFonts w:ascii="Arial" w:hAnsi="Arial" w:cs="Arial"/>
          <w:sz w:val="20"/>
          <w:szCs w:val="20"/>
        </w:rPr>
        <w:t>factors</w:t>
      </w:r>
      <w:r w:rsidRPr="006C6010">
        <w:rPr>
          <w:rFonts w:ascii="Arial" w:hAnsi="Arial" w:cs="Arial"/>
          <w:sz w:val="20"/>
          <w:szCs w:val="20"/>
        </w:rPr>
        <w:t>, the culture conditions, the protein extraction method, the method of sample deposition on the target and the nature of the matrix</w:t>
      </w:r>
      <w:r w:rsidR="000215D1" w:rsidRPr="006C6010">
        <w:rPr>
          <w:rFonts w:ascii="Arial" w:hAnsi="Arial" w:cs="Arial"/>
          <w:sz w:val="20"/>
          <w:szCs w:val="20"/>
        </w:rPr>
        <w:fldChar w:fldCharType="begin" w:fldLock="1"/>
      </w:r>
      <w:r w:rsidR="00D7462F" w:rsidRPr="006C6010">
        <w:rPr>
          <w:rFonts w:ascii="Arial" w:hAnsi="Arial" w:cs="Arial"/>
          <w:sz w:val="20"/>
          <w:szCs w:val="20"/>
        </w:rPr>
        <w:instrText>ADDIN CSL_CITATION {"citationItems":[{"id":"ITEM-1","itemData":{"DOI":"10.1002/mas.21739","ISSN":"10982787","PMID":"34642960","abstract":"Matrix-assisted laser desorption/ionization time-of-flight mass spectrometry (MALDI-TOF MS) is an excellent tool for bacterial identification. It allows high throughput, sensitive and specific applications in clinical diagnostics and environmental research. Currently, there is no optimal standardized protocol for sample preparation and culture conditions to profile bacteria. The performance of MALDI-TOF MS is affected by several variables, such as sample preparation, culture media and culture conditions, incubation time/growth stage, incubation temperature, high salt content, blood in the culture media, and others. This review thus aims to clarify why a uniformed protocol is not plausible, to assess the effects these factors have on MALDI-TOF MS identification score, and discuss possible optimizations for its methodology, in relation to specific bacterial representatives and strain requirements.","author":[{"dropping-particle":"","family":"Topić Popović","given":"Natalija","non-dropping-particle":"","parse-names":false,"suffix":""},{"dropping-particle":"","family":"Kazazić","given":"Snježana P.","non-dropping-particle":"","parse-names":false,"suffix":""},{"dropping-particle":"","family":"Bojanić","given":"Krunoslav","non-dropping-particle":"","parse-names":false,"suffix":""},{"dropping-particle":"","family":"Strunjak-Perović","given":"Ivančica","non-dropping-particle":"","parse-names":false,"suffix":""},{"dropping-particle":"","family":"Čož-Rakovac","given":"Rozelindra","non-dropping-particle":"","parse-names":false,"suffix":""}],"container-title":"Mass Spectrometry Reviews","id":"ITEM-1","issue":"5","issued":{"date-parts":[["2023"]]},"page":"1589-1603","title":"Sample preparation and culture condition effects on MALDI-TOF MS identification of bacteria: A review","type":"article-journal","volume":"42"},"uris":["http://www.mendeley.com/documents/?uuid=32f0ba58-67fe-4de2-90cc-bb43fd5be9ba"]},{"id":"ITEM-2","itemData":{"DOI":"10.1002/mas.21542","ISSN":"10982787","PMID":"28758227","abstract":"Mass spectrometry-based approaches have enabled important breakthroughs in quantitative proteomics in the last decades. This development is reflected in the better quantitative assessment of protein levels as well as to understand post-translational modifications and protein complexes and networks. Nowadays, the focus of quantitative proteomics shifted from the relative determination of proteins (ie, differential expression between two or more cellular states) to absolute quantity determination, required for a more-thorough characterization of biological models and comprehension of the proteome dynamism, as well as for the search and validation of novel protein biomarkers. However, the physico-chemical environment of the analyte species affects strongly the ionization efficiency in most mass spectrometry (MS) types, which thereby require the use of specially designed standardization approaches to provide absolute quantifications. Most common of such approaches nowadays include (i) the use of stable isotope-labeled peptide standards, isotopologues to the target proteotypic peptides expected after tryptic digestion of the target protein; (ii) use of stable isotope-labeled protein standards to compensate for sample preparation, sample loss, and proteolysis steps; (iii) isobaric reagents, which after fragmentation in the MS/MS analysis provide a final detectable mass shift, can be used to tag both analyte and standard samples; (iv) label-free approaches in which the absolute quantitative data are not obtained through the use of any kind of labeling, but from computational normalization of the raw data and adequate standards; (v) elemental mass spectrometry-based workflows able to provide directly absolute quantification of peptides/proteins that contain an ICP-detectable element. A critical insight from the Analytical Chemistry perspective of the different standardization approaches and their combinations used so far for absolute quantitative MS-based (molecular and elemental) proteomics is provided in this review.","author":[{"dropping-particle":"","family":"Calderón-Celis","given":"Francisco","non-dropping-particle":"","parse-names":false,"suffix":""},{"dropping-particle":"","family":"Encinar","given":"Jorge Ruiz","non-dropping-particle":"","parse-names":false,"suffix":""},{"dropping-particle":"","family":"Sanz-Medel","given":"Alfredo","non-dropping-particle":"","parse-names":false,"suffix":""}],"container-title":"Mass Spectrometry Reviews","id":"ITEM-2","issue":"6","issued":{"date-parts":[["2018"]]},"page":"715-737","title":"Standardization approaches in absolute quantitative proteomics with mass spectrometry","type":"article-journal","volume":"37"},"uris":["http://www.mendeley.com/documents/?uuid=3eb285d3-392b-4a16-ad5f-feec0d505d88"]}],"mendeley":{"formattedCitation":"(Calderón-Celis et al., 2018; Topić Popović et al., 2023)","plainTextFormattedCitation":"(Calderón-Celis et al., 2018; Topić Popović et al., 2023)","previouslyFormattedCitation":"(Calderón-Celis et al., 2018; Topić Popović et al., 2023)"},"properties":{"noteIndex":0},"schema":"https://github.com/citation-style-language/schema/raw/master/csl-citation.json"}</w:instrText>
      </w:r>
      <w:r w:rsidR="000215D1" w:rsidRPr="006C6010">
        <w:rPr>
          <w:rFonts w:ascii="Arial" w:hAnsi="Arial" w:cs="Arial"/>
          <w:sz w:val="20"/>
          <w:szCs w:val="20"/>
        </w:rPr>
        <w:fldChar w:fldCharType="separate"/>
      </w:r>
      <w:r w:rsidR="00DA7D66" w:rsidRPr="006C6010">
        <w:rPr>
          <w:rFonts w:ascii="Arial" w:hAnsi="Arial" w:cs="Arial"/>
          <w:sz w:val="20"/>
          <w:szCs w:val="20"/>
        </w:rPr>
        <w:t xml:space="preserve">(Calderón-Celis </w:t>
      </w:r>
      <w:r w:rsidR="00DA7D66" w:rsidRPr="004A5D86">
        <w:rPr>
          <w:rFonts w:ascii="Arial" w:hAnsi="Arial" w:cs="Arial"/>
          <w:i/>
          <w:iCs/>
          <w:sz w:val="20"/>
          <w:szCs w:val="20"/>
        </w:rPr>
        <w:t>et al.</w:t>
      </w:r>
      <w:r w:rsidR="00DA7D66" w:rsidRPr="006C6010">
        <w:rPr>
          <w:rFonts w:ascii="Arial" w:hAnsi="Arial" w:cs="Arial"/>
          <w:sz w:val="20"/>
          <w:szCs w:val="20"/>
        </w:rPr>
        <w:t xml:space="preserve">, 2018; Topić Popović </w:t>
      </w:r>
      <w:r w:rsidR="00DA7D66" w:rsidRPr="004A5D86">
        <w:rPr>
          <w:rFonts w:ascii="Arial" w:hAnsi="Arial" w:cs="Arial"/>
          <w:i/>
          <w:iCs/>
          <w:sz w:val="20"/>
          <w:szCs w:val="20"/>
        </w:rPr>
        <w:t>et al.</w:t>
      </w:r>
      <w:r w:rsidR="00DA7D66" w:rsidRPr="006C6010">
        <w:rPr>
          <w:rFonts w:ascii="Arial" w:hAnsi="Arial" w:cs="Arial"/>
          <w:sz w:val="20"/>
          <w:szCs w:val="20"/>
        </w:rPr>
        <w:t>, 2023)</w:t>
      </w:r>
      <w:r w:rsidR="000215D1" w:rsidRPr="006C6010">
        <w:rPr>
          <w:rFonts w:ascii="Arial" w:hAnsi="Arial" w:cs="Arial"/>
          <w:sz w:val="20"/>
          <w:szCs w:val="20"/>
        </w:rPr>
        <w:fldChar w:fldCharType="end"/>
      </w:r>
      <w:r w:rsidRPr="006C6010">
        <w:rPr>
          <w:rFonts w:ascii="Arial" w:hAnsi="Arial" w:cs="Arial"/>
          <w:sz w:val="20"/>
          <w:szCs w:val="20"/>
        </w:rPr>
        <w:t>, all parameters that can modify the reliability of the spectra obtained, which could also explain our concordance rate.</w:t>
      </w:r>
    </w:p>
    <w:p w14:paraId="66943465" w14:textId="3FF2E3B2" w:rsidR="00672C7A" w:rsidRPr="006C6010" w:rsidRDefault="00672C7A" w:rsidP="00451967">
      <w:pPr>
        <w:spacing w:line="480" w:lineRule="auto"/>
        <w:jc w:val="both"/>
        <w:rPr>
          <w:rFonts w:ascii="Arial" w:hAnsi="Arial" w:cs="Arial"/>
          <w:sz w:val="20"/>
          <w:szCs w:val="20"/>
        </w:rPr>
      </w:pPr>
      <w:r w:rsidRPr="006C6010">
        <w:rPr>
          <w:rFonts w:ascii="Arial" w:hAnsi="Arial" w:cs="Arial"/>
          <w:sz w:val="20"/>
          <w:szCs w:val="20"/>
        </w:rPr>
        <w:t xml:space="preserve">The added value of MS in substantially improving the identification of fungi has been demonstrated by several studies, including that of </w:t>
      </w:r>
      <w:r w:rsidR="004A5D86">
        <w:rPr>
          <w:rFonts w:ascii="Arial" w:hAnsi="Arial" w:cs="Arial"/>
          <w:sz w:val="20"/>
          <w:szCs w:val="20"/>
        </w:rPr>
        <w:t xml:space="preserve">Stephane </w:t>
      </w:r>
      <w:r w:rsidRPr="006C6010">
        <w:rPr>
          <w:rFonts w:ascii="Arial" w:hAnsi="Arial" w:cs="Arial"/>
          <w:sz w:val="20"/>
          <w:szCs w:val="20"/>
        </w:rPr>
        <w:t xml:space="preserve">Ranque </w:t>
      </w:r>
      <w:r w:rsidRPr="004A5D86">
        <w:rPr>
          <w:rFonts w:ascii="Arial" w:hAnsi="Arial" w:cs="Arial"/>
          <w:i/>
          <w:iCs/>
          <w:sz w:val="20"/>
          <w:szCs w:val="20"/>
        </w:rPr>
        <w:t>et al.</w:t>
      </w:r>
      <w:r w:rsidRPr="006C6010">
        <w:rPr>
          <w:rFonts w:ascii="Arial" w:hAnsi="Arial" w:cs="Arial"/>
          <w:sz w:val="20"/>
          <w:szCs w:val="20"/>
        </w:rPr>
        <w:t xml:space="preserve"> in 2014, who noted an increase in reliability from 31</w:t>
      </w:r>
      <w:r w:rsidR="00B629F5" w:rsidRPr="006C6010">
        <w:rPr>
          <w:rFonts w:ascii="Arial" w:hAnsi="Arial" w:cs="Arial"/>
          <w:sz w:val="20"/>
          <w:szCs w:val="20"/>
        </w:rPr>
        <w:t xml:space="preserve"> </w:t>
      </w:r>
      <w:r w:rsidRPr="006C6010">
        <w:rPr>
          <w:rFonts w:ascii="Arial" w:hAnsi="Arial" w:cs="Arial"/>
          <w:sz w:val="20"/>
          <w:szCs w:val="20"/>
        </w:rPr>
        <w:t>% to 61</w:t>
      </w:r>
      <w:r w:rsidR="00B629F5" w:rsidRPr="006C6010">
        <w:rPr>
          <w:rFonts w:ascii="Arial" w:hAnsi="Arial" w:cs="Arial"/>
          <w:sz w:val="20"/>
          <w:szCs w:val="20"/>
        </w:rPr>
        <w:t xml:space="preserve"> </w:t>
      </w:r>
      <w:r w:rsidRPr="006C6010">
        <w:rPr>
          <w:rFonts w:ascii="Arial" w:hAnsi="Arial" w:cs="Arial"/>
          <w:sz w:val="20"/>
          <w:szCs w:val="20"/>
        </w:rPr>
        <w:t xml:space="preserve">% </w:t>
      </w:r>
      <w:r w:rsidR="00795A7A" w:rsidRPr="006C6010">
        <w:rPr>
          <w:rFonts w:ascii="Arial" w:hAnsi="Arial" w:cs="Arial"/>
          <w:sz w:val="20"/>
          <w:szCs w:val="20"/>
        </w:rPr>
        <w:t xml:space="preserve">due </w:t>
      </w:r>
      <w:r w:rsidRPr="006C6010">
        <w:rPr>
          <w:rFonts w:ascii="Arial" w:hAnsi="Arial" w:cs="Arial"/>
          <w:sz w:val="20"/>
          <w:szCs w:val="20"/>
        </w:rPr>
        <w:t>to the contribution of MS</w:t>
      </w:r>
      <w:r w:rsidR="00547EA7" w:rsidRPr="006C6010">
        <w:rPr>
          <w:rFonts w:ascii="Arial" w:hAnsi="Arial" w:cs="Arial"/>
          <w:sz w:val="20"/>
          <w:szCs w:val="20"/>
        </w:rPr>
        <w:fldChar w:fldCharType="begin" w:fldLock="1"/>
      </w:r>
      <w:r w:rsidR="00D7462F" w:rsidRPr="006C6010">
        <w:rPr>
          <w:rFonts w:ascii="Arial" w:hAnsi="Arial" w:cs="Arial"/>
          <w:sz w:val="20"/>
          <w:szCs w:val="20"/>
        </w:rPr>
        <w:instrText>ADDIN CSL_CITATION {"citationItems":[{"id":"ITEM-1","itemData":{"DOI":"10.1016/j.mycmed.2010.10.003","author":[{"dropping-particle":"","family":"Desoubeaux","given":"G","non-dropping-particle":"","parse-names":false,"suffix":""},{"dropping-particle":"","family":"Poulain","given":"D","non-dropping-particle":"","parse-names":false,"suffix":""},{"dropping-particle":"","family":"Courcol","given":"R","non-dropping-particle":"","parse-names":false,"suffix":""},{"dropping-particle":"","family":"Chandenier","given":"J","non-dropping-particle":"","parse-names":false,"suffix":""},{"dropping-particle":"","family":"Sendid","given":"B","non-dropping-particle":"","parse-names":false,"suffix":""}],"id":"ITEM-1","issued":{"date-parts":[["2010"]]},"page":"263-267","title":"Spectrométrie de masse MALDI-TOF , un nouvel outil que la mycologie médicale ne peut contourner . Exploration préliminaire d ’ une application concernant l ’ identification de levures isolées dans un CHU français of yeasts isolated in a French University ","type":"article-journal"},"uris":["http://www.mendeley.com/documents/?uuid=32083989-17cf-4611-967f-0f91505e71d2"]},{"id":"ITEM-2","itemData":{"DOI":"10.1111/myc.12115","ISSN":"09337407","PMID":"23895114","abstract":"This study aimed to validate the effectiveness of a standardised procedure for the MALDI-TOF mass spectrometry (MS)-based identification on a large sample of filamentous fungi routinely identified in university hospitals' laboratories. Non-dermatophyte filamentous fungi prospectively isolated in the routine activity of five teaching hospitals in France were first identified by conventional methods in each laboratory and then by MS in one centre. DNA sequence-based identification resolved discrepancies between both methods. In this study, of the 625 analysed filamentous fungi of 58 species, 501 (80%) and 556 (89%) were correctly identified by conventional methods and MS respectively. Compared with the conventional method, MS dramatically enhanced the performance of the identification of the non-Aspergillus filamentous fungi with a 31-61% increase in correct identification rate. In conclusion, this study on a large sample of clinical filamentous fungi taxa demonstrates that species identification is significantly improved by MS compared with the conventional method. The main limitation is that MS identification is possible only if the species is included in the reference spectra library. Nevertheless, for the routine clinical laboratory, MS provides the means to attain markedly accurat</w:instrText>
      </w:r>
      <w:r w:rsidR="00D7462F" w:rsidRPr="00E8506B">
        <w:rPr>
          <w:rFonts w:ascii="Arial" w:hAnsi="Arial" w:cs="Arial"/>
          <w:sz w:val="20"/>
          <w:szCs w:val="20"/>
          <w:lang w:val="en-US"/>
        </w:rPr>
        <w:instrText>e results in filamentous fungi identification, which was previously restricted to only a few reference laboratories. © 2013 Blackwell Verlag GmbH.","author":[{"dropping-particle":"","family":"Stéphane R</w:instrText>
      </w:r>
      <w:r w:rsidR="00D7462F" w:rsidRPr="00CD3FA8">
        <w:rPr>
          <w:rFonts w:ascii="Arial" w:hAnsi="Arial" w:cs="Arial"/>
          <w:sz w:val="20"/>
          <w:szCs w:val="20"/>
          <w:lang w:val="fr-FR"/>
        </w:rPr>
        <w:instrText>anque","given":"","non-dropping-particle":"","parse-names":false,"suffix":""},{"dropping-particle":"","family":"Normand","given":"Anne Cécile","non-dropping-particle":"","parse-names":false,"suffix":""},{"dropping-particle":"","family":"Cassagne","given":"Carole","non-dropping-particle":"","parse-names":false,"suffix":""},{"dropping-particle":"","family":"Murat","given":"Jean Benjamin","non-dropping-particle":"","parse-names":false,"suffix":""},{"dropping-particle":"","family":"Al.","given":"Bourgeois et","non-dropping-particle":"","parse-names":false,"suffix":""}],"container-title":"Mycoses","id":"ITEM-2","issue":"3","issued":{"date-parts":[["2014"]]},"page":"135-140","title":"MALDI-TOF mass spectrometry identification of filamentous fungi in the clinical laboratory","type":"article-journal","volume":"57"},"uris":["http://www.mendeley.com/documents/?uuid=816f613d-c723-4729-ab7d-350278fd6a12"]}],"mendeley":{"formattedCitation":"(Desoubeaux et al., 2010a; Stéphane Ranque et al., 2014)","plainTextFormattedCitation":"(Desoubeaux et al., 2010a; Stéphane Ranque et al., 2014)","previouslyFormattedCitation":"(Desoubeaux et al., 2010a; Stéphane Ranque et al., 2014)"},"properties":{"noteIndex":0},"schema":"https://github.com/citation-style-language/schema/raw/master/csl-citation.json"}</w:instrText>
      </w:r>
      <w:r w:rsidR="00547EA7" w:rsidRPr="006C6010">
        <w:rPr>
          <w:rFonts w:ascii="Arial" w:hAnsi="Arial" w:cs="Arial"/>
          <w:sz w:val="20"/>
          <w:szCs w:val="20"/>
        </w:rPr>
        <w:fldChar w:fldCharType="separate"/>
      </w:r>
      <w:r w:rsidR="00DA7D66" w:rsidRPr="006C6010">
        <w:rPr>
          <w:rFonts w:ascii="Arial" w:hAnsi="Arial" w:cs="Arial"/>
          <w:sz w:val="20"/>
          <w:szCs w:val="20"/>
          <w:lang w:val="fr-FR"/>
        </w:rPr>
        <w:t xml:space="preserve">(Desoubeaux et al., 2010a; Stéphane Ranque </w:t>
      </w:r>
      <w:r w:rsidR="00DA7D66" w:rsidRPr="004A5D86">
        <w:rPr>
          <w:rFonts w:ascii="Arial" w:hAnsi="Arial" w:cs="Arial"/>
          <w:i/>
          <w:iCs/>
          <w:sz w:val="20"/>
          <w:szCs w:val="20"/>
          <w:lang w:val="fr-FR"/>
        </w:rPr>
        <w:t>et al.</w:t>
      </w:r>
      <w:r w:rsidR="00DA7D66" w:rsidRPr="006C6010">
        <w:rPr>
          <w:rFonts w:ascii="Arial" w:hAnsi="Arial" w:cs="Arial"/>
          <w:sz w:val="20"/>
          <w:szCs w:val="20"/>
          <w:lang w:val="fr-FR"/>
        </w:rPr>
        <w:t>, 2014)</w:t>
      </w:r>
      <w:r w:rsidR="00547EA7" w:rsidRPr="006C6010">
        <w:rPr>
          <w:rFonts w:ascii="Arial" w:hAnsi="Arial" w:cs="Arial"/>
          <w:sz w:val="20"/>
          <w:szCs w:val="20"/>
        </w:rPr>
        <w:fldChar w:fldCharType="end"/>
      </w:r>
      <w:r w:rsidR="00547EA7" w:rsidRPr="006C6010">
        <w:rPr>
          <w:rFonts w:ascii="Arial" w:hAnsi="Arial" w:cs="Arial"/>
          <w:sz w:val="20"/>
          <w:szCs w:val="20"/>
          <w:lang w:val="fr-FR"/>
        </w:rPr>
        <w:t xml:space="preserve"> </w:t>
      </w:r>
      <w:r w:rsidR="002F18E1" w:rsidRPr="006C6010">
        <w:rPr>
          <w:rFonts w:ascii="Arial" w:hAnsi="Arial" w:cs="Arial"/>
          <w:sz w:val="20"/>
          <w:szCs w:val="20"/>
        </w:rPr>
        <w:fldChar w:fldCharType="begin" w:fldLock="1"/>
      </w:r>
      <w:r w:rsidR="00D7462F" w:rsidRPr="006C6010">
        <w:rPr>
          <w:rFonts w:ascii="Arial" w:hAnsi="Arial" w:cs="Arial"/>
          <w:sz w:val="20"/>
          <w:szCs w:val="20"/>
          <w:lang w:val="fr-FR"/>
        </w:rPr>
        <w:instrText>ADDIN CSL_CITATION {"citationItems":[{"id":"ITEM-1","itemData":{"DOI":"10.1016/j.mycmed.2010.10.003","abstract":"Dans cette courte note, nous présentons la spectrométrie de masse MALDI-TOF et ses applications, en la situant par rapport aux autres méthodes d’identification des levures dans un laboratoire de mycologie clinique. Comme illustration, nous rapportons les résultats préliminaires d’une étude prospective qui a concerné pendant une courte période l’identification de l’ensemble des levures isolées en mycologie clinique au CHRU de Lille par méthodes conventionnelles, conjointement à la spectrométrie de masse MALDI-TOF. Sur les 750 souches analysées, les résultats étaient satisfaisants avec des corrélations de 90 à 99 %, le second score étant obtenu avec une seconde étape d’identification par l’une ou l’autre des méthodes. Peu de discordances ont été observées pour les complexes Candida albicans/C. dubliniensis, C. inconspicua/C. norvegensis, et C. parapsilosis et ses génotypes proches (C. metapsilosis et C. orthopsilosis). À chaque fois, les résultats étaient exclusivement en faveur de la spectrométrie de masse tant au niveau de la rapidité qu’en termes de fiabilité d’identification.","author":[{"dropping-particle":"","family":"Desoubeaux","given":"G","non-dropping-particle":"","parse-names":false,"suffix":""},{"dropping-particle":"","family":"Poulain","given":"D","non-dropping-particle":"","parse-names":false,"suffix":""},{"dropping-particle":"","family":"Courcol","given":"R","non-dropping-particle":"","parse-names":false,"suffix":""},{"dropping-particle":"","family":"Chandenier","given":"J","non-dropping-particle":"","parse-names":false,"suffix":""},{"dropping-particle":"","family":"Sendid","given":"B","non-dropping-particle":"","parse-names":false,"suffix":""}],"container-title":"Journal de Mycologie Médicale","id":"ITEM-1","issued":{"date-parts":[["2010"]]},"page":"263-267","title":"Spectrométrie de masse MALDI-TOF , un nouvel outil que la mycologie médicale ne peut contourner . Exploration préliminaire d ’ une application concernant l ’ identification de levures isolées dans un CHU français of yeasts isolated in a French University","type":"article-journal","volume":"20"},"uris":["http://www.mendeley.com/documents/?uuid=bd03dd3b-75a3-4d60-8388-af695534955b"]}],"mendeley":{"formattedCitation":"(Desoubeaux et al., 2010b)","manualFormatting":" ","plainTextFormattedCitation":"(Desoubeaux et al., 2010b)","previouslyFormattedCitation":"(Desoubeaux et al., 2010b)"},"properties":{"noteIndex":0},"schema":"https://github.com/citation-style-language/schema/raw/master/csl-citation.json"}</w:instrText>
      </w:r>
      <w:r w:rsidR="002F18E1" w:rsidRPr="006C6010">
        <w:rPr>
          <w:rFonts w:ascii="Arial" w:hAnsi="Arial" w:cs="Arial"/>
          <w:sz w:val="20"/>
          <w:szCs w:val="20"/>
        </w:rPr>
        <w:fldChar w:fldCharType="separate"/>
      </w:r>
      <w:r w:rsidR="000215D1" w:rsidRPr="006C6010">
        <w:rPr>
          <w:rFonts w:ascii="Arial" w:hAnsi="Arial" w:cs="Arial"/>
          <w:sz w:val="20"/>
          <w:szCs w:val="20"/>
          <w:lang w:val="fr-FR"/>
        </w:rPr>
        <w:t xml:space="preserve"> </w:t>
      </w:r>
      <w:r w:rsidR="002F18E1" w:rsidRPr="006C6010">
        <w:rPr>
          <w:rFonts w:ascii="Arial" w:hAnsi="Arial" w:cs="Arial"/>
          <w:sz w:val="20"/>
          <w:szCs w:val="20"/>
        </w:rPr>
        <w:fldChar w:fldCharType="end"/>
      </w:r>
      <w:r w:rsidRPr="006C6010">
        <w:rPr>
          <w:rFonts w:ascii="Arial" w:hAnsi="Arial" w:cs="Arial"/>
          <w:sz w:val="20"/>
          <w:szCs w:val="20"/>
          <w:lang w:val="fr-FR"/>
        </w:rPr>
        <w:t xml:space="preserve">. </w:t>
      </w:r>
      <w:r w:rsidR="00ED3CD3" w:rsidRPr="00E8506B">
        <w:rPr>
          <w:rFonts w:ascii="Arial" w:hAnsi="Arial" w:cs="Arial"/>
          <w:sz w:val="20"/>
          <w:szCs w:val="20"/>
          <w:lang w:val="en-US"/>
        </w:rPr>
        <w:t>M</w:t>
      </w:r>
      <w:r w:rsidRPr="00E8506B">
        <w:rPr>
          <w:rFonts w:ascii="Arial" w:hAnsi="Arial" w:cs="Arial"/>
          <w:sz w:val="20"/>
          <w:szCs w:val="20"/>
          <w:lang w:val="en-US"/>
        </w:rPr>
        <w:t xml:space="preserve">S also contributed to a better characterization of isolates from samples </w:t>
      </w:r>
      <w:r w:rsidR="002E4EC0" w:rsidRPr="00E8506B">
        <w:rPr>
          <w:rFonts w:ascii="Arial" w:hAnsi="Arial" w:cs="Arial"/>
          <w:sz w:val="20"/>
          <w:szCs w:val="20"/>
          <w:lang w:val="en-US"/>
        </w:rPr>
        <w:t>of</w:t>
      </w:r>
      <w:r w:rsidRPr="00E8506B">
        <w:rPr>
          <w:rFonts w:ascii="Arial" w:hAnsi="Arial" w:cs="Arial"/>
          <w:sz w:val="20"/>
          <w:szCs w:val="20"/>
          <w:lang w:val="en-US"/>
        </w:rPr>
        <w:t xml:space="preserve"> superficial </w:t>
      </w:r>
      <w:r w:rsidR="002E4EC0" w:rsidRPr="00E8506B">
        <w:rPr>
          <w:rFonts w:ascii="Arial" w:hAnsi="Arial" w:cs="Arial"/>
          <w:sz w:val="20"/>
          <w:szCs w:val="20"/>
          <w:lang w:val="en-US"/>
        </w:rPr>
        <w:t xml:space="preserve">fungal </w:t>
      </w:r>
      <w:r w:rsidR="00B56EDC" w:rsidRPr="00E8506B">
        <w:rPr>
          <w:rFonts w:ascii="Arial" w:hAnsi="Arial" w:cs="Arial"/>
          <w:sz w:val="20"/>
          <w:szCs w:val="20"/>
          <w:lang w:val="en-US"/>
        </w:rPr>
        <w:t>diseases</w:t>
      </w:r>
      <w:r w:rsidRPr="00E8506B">
        <w:rPr>
          <w:rFonts w:ascii="Arial" w:hAnsi="Arial" w:cs="Arial"/>
          <w:sz w:val="20"/>
          <w:szCs w:val="20"/>
          <w:lang w:val="en-US"/>
        </w:rPr>
        <w:t xml:space="preserve"> in our study. </w:t>
      </w:r>
      <w:r w:rsidRPr="006C6010">
        <w:rPr>
          <w:rFonts w:ascii="Arial" w:hAnsi="Arial" w:cs="Arial"/>
          <w:sz w:val="20"/>
          <w:szCs w:val="20"/>
        </w:rPr>
        <w:t>Indeed, 3.61</w:t>
      </w:r>
      <w:r w:rsidR="00B629F5" w:rsidRPr="006C6010">
        <w:rPr>
          <w:rFonts w:ascii="Arial" w:hAnsi="Arial" w:cs="Arial"/>
          <w:sz w:val="20"/>
          <w:szCs w:val="20"/>
        </w:rPr>
        <w:t xml:space="preserve"> </w:t>
      </w:r>
      <w:r w:rsidRPr="006C6010">
        <w:rPr>
          <w:rFonts w:ascii="Arial" w:hAnsi="Arial" w:cs="Arial"/>
          <w:sz w:val="20"/>
          <w:szCs w:val="20"/>
        </w:rPr>
        <w:t xml:space="preserve">% (9 isolates) of </w:t>
      </w:r>
      <w:r w:rsidR="006B0E4F" w:rsidRPr="006C6010">
        <w:rPr>
          <w:rFonts w:ascii="Arial" w:hAnsi="Arial" w:cs="Arial"/>
          <w:sz w:val="20"/>
          <w:szCs w:val="20"/>
        </w:rPr>
        <w:t xml:space="preserve">fungi </w:t>
      </w:r>
      <w:r w:rsidRPr="006C6010">
        <w:rPr>
          <w:rFonts w:ascii="Arial" w:hAnsi="Arial" w:cs="Arial"/>
          <w:sz w:val="20"/>
          <w:szCs w:val="20"/>
        </w:rPr>
        <w:t xml:space="preserve">not identified by </w:t>
      </w:r>
      <w:r w:rsidR="00646BE1" w:rsidRPr="006C6010">
        <w:rPr>
          <w:rFonts w:ascii="Arial" w:hAnsi="Arial" w:cs="Arial"/>
          <w:sz w:val="20"/>
          <w:szCs w:val="20"/>
        </w:rPr>
        <w:t>R</w:t>
      </w:r>
      <w:r w:rsidRPr="006C6010">
        <w:rPr>
          <w:rFonts w:ascii="Arial" w:hAnsi="Arial" w:cs="Arial"/>
          <w:sz w:val="20"/>
          <w:szCs w:val="20"/>
        </w:rPr>
        <w:t xml:space="preserve">M were identified by </w:t>
      </w:r>
      <w:r w:rsidR="00646BE1" w:rsidRPr="006C6010">
        <w:rPr>
          <w:rFonts w:ascii="Arial" w:hAnsi="Arial" w:cs="Arial"/>
          <w:sz w:val="20"/>
          <w:szCs w:val="20"/>
        </w:rPr>
        <w:t>M</w:t>
      </w:r>
      <w:r w:rsidRPr="006C6010">
        <w:rPr>
          <w:rFonts w:ascii="Arial" w:hAnsi="Arial" w:cs="Arial"/>
          <w:sz w:val="20"/>
          <w:szCs w:val="20"/>
        </w:rPr>
        <w:t xml:space="preserve">S; similarly, </w:t>
      </w:r>
      <w:r w:rsidR="00852128" w:rsidRPr="006C6010">
        <w:rPr>
          <w:rFonts w:ascii="Arial" w:hAnsi="Arial" w:cs="Arial"/>
          <w:sz w:val="20"/>
          <w:szCs w:val="20"/>
        </w:rPr>
        <w:t xml:space="preserve">with </w:t>
      </w:r>
      <w:r w:rsidR="00646BE1" w:rsidRPr="006C6010">
        <w:rPr>
          <w:rFonts w:ascii="Arial" w:hAnsi="Arial" w:cs="Arial"/>
          <w:sz w:val="20"/>
          <w:szCs w:val="20"/>
        </w:rPr>
        <w:t>M</w:t>
      </w:r>
      <w:r w:rsidRPr="006C6010">
        <w:rPr>
          <w:rFonts w:ascii="Arial" w:hAnsi="Arial" w:cs="Arial"/>
          <w:sz w:val="20"/>
          <w:szCs w:val="20"/>
        </w:rPr>
        <w:t>S</w:t>
      </w:r>
      <w:r w:rsidR="00646BE1" w:rsidRPr="006C6010">
        <w:rPr>
          <w:rFonts w:ascii="Arial" w:hAnsi="Arial" w:cs="Arial"/>
          <w:sz w:val="20"/>
          <w:szCs w:val="20"/>
        </w:rPr>
        <w:t xml:space="preserve"> plus-value</w:t>
      </w:r>
      <w:r w:rsidRPr="006C6010">
        <w:rPr>
          <w:rFonts w:ascii="Arial" w:hAnsi="Arial" w:cs="Arial"/>
          <w:sz w:val="20"/>
          <w:szCs w:val="20"/>
        </w:rPr>
        <w:t>, the</w:t>
      </w:r>
      <w:r w:rsidR="000F4FE8" w:rsidRPr="006C6010">
        <w:rPr>
          <w:rFonts w:ascii="Arial" w:hAnsi="Arial" w:cs="Arial"/>
          <w:sz w:val="20"/>
          <w:szCs w:val="20"/>
        </w:rPr>
        <w:t xml:space="preserve"> isolates</w:t>
      </w:r>
      <w:r w:rsidRPr="006C6010">
        <w:rPr>
          <w:rFonts w:ascii="Arial" w:hAnsi="Arial" w:cs="Arial"/>
          <w:sz w:val="20"/>
          <w:szCs w:val="20"/>
        </w:rPr>
        <w:t xml:space="preserve"> identification was rectified </w:t>
      </w:r>
      <w:r w:rsidR="000F4FE8" w:rsidRPr="006C6010">
        <w:rPr>
          <w:rFonts w:ascii="Arial" w:hAnsi="Arial" w:cs="Arial"/>
          <w:sz w:val="20"/>
          <w:szCs w:val="20"/>
        </w:rPr>
        <w:t xml:space="preserve">in </w:t>
      </w:r>
      <w:r w:rsidRPr="006C6010">
        <w:rPr>
          <w:rFonts w:ascii="Arial" w:hAnsi="Arial" w:cs="Arial"/>
          <w:sz w:val="20"/>
          <w:szCs w:val="20"/>
        </w:rPr>
        <w:t>17.27</w:t>
      </w:r>
      <w:r w:rsidR="00B629F5" w:rsidRPr="006C6010">
        <w:rPr>
          <w:rFonts w:ascii="Arial" w:hAnsi="Arial" w:cs="Arial"/>
          <w:sz w:val="20"/>
          <w:szCs w:val="20"/>
        </w:rPr>
        <w:t xml:space="preserve"> </w:t>
      </w:r>
      <w:r w:rsidRPr="006C6010">
        <w:rPr>
          <w:rFonts w:ascii="Arial" w:hAnsi="Arial" w:cs="Arial"/>
          <w:sz w:val="20"/>
          <w:szCs w:val="20"/>
        </w:rPr>
        <w:t>% (43/249)</w:t>
      </w:r>
      <w:r w:rsidR="00FA2073" w:rsidRPr="006C6010">
        <w:rPr>
          <w:rFonts w:ascii="Arial" w:hAnsi="Arial" w:cs="Arial"/>
          <w:sz w:val="20"/>
          <w:szCs w:val="20"/>
        </w:rPr>
        <w:t>,</w:t>
      </w:r>
      <w:r w:rsidRPr="006C6010">
        <w:rPr>
          <w:rFonts w:ascii="Arial" w:hAnsi="Arial" w:cs="Arial"/>
          <w:sz w:val="20"/>
          <w:szCs w:val="20"/>
        </w:rPr>
        <w:t xml:space="preserve"> and species </w:t>
      </w:r>
      <w:r w:rsidR="00FD7375" w:rsidRPr="006C6010">
        <w:rPr>
          <w:rFonts w:ascii="Arial" w:hAnsi="Arial" w:cs="Arial"/>
          <w:sz w:val="20"/>
          <w:szCs w:val="20"/>
        </w:rPr>
        <w:t xml:space="preserve">were </w:t>
      </w:r>
      <w:r w:rsidR="00A719EE" w:rsidRPr="006C6010">
        <w:rPr>
          <w:rFonts w:ascii="Arial" w:hAnsi="Arial" w:cs="Arial"/>
          <w:sz w:val="20"/>
          <w:szCs w:val="20"/>
        </w:rPr>
        <w:t>specified</w:t>
      </w:r>
      <w:r w:rsidR="00831D46" w:rsidRPr="006C6010">
        <w:rPr>
          <w:rFonts w:ascii="Arial" w:hAnsi="Arial" w:cs="Arial"/>
          <w:sz w:val="20"/>
          <w:szCs w:val="20"/>
        </w:rPr>
        <w:t xml:space="preserve"> in</w:t>
      </w:r>
      <w:r w:rsidRPr="006C6010">
        <w:rPr>
          <w:rFonts w:ascii="Arial" w:hAnsi="Arial" w:cs="Arial"/>
          <w:sz w:val="20"/>
          <w:szCs w:val="20"/>
        </w:rPr>
        <w:t xml:space="preserve"> 26.10</w:t>
      </w:r>
      <w:r w:rsidR="00B629F5" w:rsidRPr="006C6010">
        <w:rPr>
          <w:rFonts w:ascii="Arial" w:hAnsi="Arial" w:cs="Arial"/>
          <w:sz w:val="20"/>
          <w:szCs w:val="20"/>
        </w:rPr>
        <w:t xml:space="preserve"> </w:t>
      </w:r>
      <w:r w:rsidRPr="006C6010">
        <w:rPr>
          <w:rFonts w:ascii="Arial" w:hAnsi="Arial" w:cs="Arial"/>
          <w:sz w:val="20"/>
          <w:szCs w:val="20"/>
        </w:rPr>
        <w:t xml:space="preserve">% (65/249) of isolates </w:t>
      </w:r>
      <w:r w:rsidR="00831D46" w:rsidRPr="006C6010">
        <w:rPr>
          <w:rFonts w:ascii="Arial" w:hAnsi="Arial" w:cs="Arial"/>
          <w:sz w:val="20"/>
          <w:szCs w:val="20"/>
        </w:rPr>
        <w:t xml:space="preserve">which had genus </w:t>
      </w:r>
      <w:r w:rsidRPr="006C6010">
        <w:rPr>
          <w:rFonts w:ascii="Arial" w:hAnsi="Arial" w:cs="Arial"/>
          <w:sz w:val="20"/>
          <w:szCs w:val="20"/>
        </w:rPr>
        <w:t xml:space="preserve">previously identified by </w:t>
      </w:r>
      <w:r w:rsidR="00646BE1" w:rsidRPr="006C6010">
        <w:rPr>
          <w:rFonts w:ascii="Arial" w:hAnsi="Arial" w:cs="Arial"/>
          <w:sz w:val="20"/>
          <w:szCs w:val="20"/>
        </w:rPr>
        <w:t>R</w:t>
      </w:r>
      <w:r w:rsidRPr="006C6010">
        <w:rPr>
          <w:rFonts w:ascii="Arial" w:hAnsi="Arial" w:cs="Arial"/>
          <w:sz w:val="20"/>
          <w:szCs w:val="20"/>
        </w:rPr>
        <w:t xml:space="preserve">M (Table </w:t>
      </w:r>
      <w:r w:rsidR="00A60A5A">
        <w:rPr>
          <w:rFonts w:ascii="Arial" w:hAnsi="Arial" w:cs="Arial"/>
          <w:sz w:val="20"/>
          <w:szCs w:val="20"/>
        </w:rPr>
        <w:t>3</w:t>
      </w:r>
      <w:r w:rsidRPr="006C6010">
        <w:rPr>
          <w:rFonts w:ascii="Arial" w:hAnsi="Arial" w:cs="Arial"/>
          <w:sz w:val="20"/>
          <w:szCs w:val="20"/>
        </w:rPr>
        <w:t xml:space="preserve">). </w:t>
      </w:r>
      <w:r w:rsidR="00672BD2" w:rsidRPr="006C6010">
        <w:rPr>
          <w:rFonts w:ascii="Arial" w:hAnsi="Arial" w:cs="Arial"/>
          <w:sz w:val="20"/>
          <w:szCs w:val="20"/>
        </w:rPr>
        <w:t>M</w:t>
      </w:r>
      <w:r w:rsidRPr="006C6010">
        <w:rPr>
          <w:rFonts w:ascii="Arial" w:hAnsi="Arial" w:cs="Arial"/>
          <w:sz w:val="20"/>
          <w:szCs w:val="20"/>
        </w:rPr>
        <w:t xml:space="preserve">S therefore increased the reliability of identification of the isolates </w:t>
      </w:r>
      <w:r w:rsidR="00B24202" w:rsidRPr="006C6010">
        <w:rPr>
          <w:rFonts w:ascii="Arial" w:hAnsi="Arial" w:cs="Arial"/>
          <w:sz w:val="20"/>
          <w:szCs w:val="20"/>
        </w:rPr>
        <w:t>in our study</w:t>
      </w:r>
      <w:r w:rsidRPr="006C6010">
        <w:rPr>
          <w:rFonts w:ascii="Arial" w:hAnsi="Arial" w:cs="Arial"/>
          <w:sz w:val="20"/>
          <w:szCs w:val="20"/>
        </w:rPr>
        <w:t xml:space="preserve"> by 46.98</w:t>
      </w:r>
      <w:r w:rsidR="00B629F5" w:rsidRPr="006C6010">
        <w:rPr>
          <w:rFonts w:ascii="Arial" w:hAnsi="Arial" w:cs="Arial"/>
          <w:sz w:val="20"/>
          <w:szCs w:val="20"/>
        </w:rPr>
        <w:t xml:space="preserve"> </w:t>
      </w:r>
      <w:r w:rsidRPr="006C6010">
        <w:rPr>
          <w:rFonts w:ascii="Arial" w:hAnsi="Arial" w:cs="Arial"/>
          <w:sz w:val="20"/>
          <w:szCs w:val="20"/>
        </w:rPr>
        <w:t xml:space="preserve">%, corroborating the data of Ranque </w:t>
      </w:r>
      <w:r w:rsidRPr="004A5D86">
        <w:rPr>
          <w:rFonts w:ascii="Arial" w:hAnsi="Arial" w:cs="Arial"/>
          <w:i/>
          <w:iCs/>
          <w:sz w:val="20"/>
          <w:szCs w:val="20"/>
        </w:rPr>
        <w:t>et al,</w:t>
      </w:r>
      <w:r w:rsidRPr="006C6010">
        <w:rPr>
          <w:rFonts w:ascii="Arial" w:hAnsi="Arial" w:cs="Arial"/>
          <w:sz w:val="20"/>
          <w:szCs w:val="20"/>
        </w:rPr>
        <w:t xml:space="preserve"> 2014. This approach also enabled the technical staff of these laboratories to review the macroscopic and microscopic aspects of the identified </w:t>
      </w:r>
      <w:r w:rsidR="008B4792" w:rsidRPr="006C6010">
        <w:rPr>
          <w:rFonts w:ascii="Arial" w:hAnsi="Arial" w:cs="Arial"/>
          <w:sz w:val="20"/>
          <w:szCs w:val="20"/>
        </w:rPr>
        <w:t xml:space="preserve">fungi </w:t>
      </w:r>
      <w:r w:rsidRPr="006C6010">
        <w:rPr>
          <w:rFonts w:ascii="Arial" w:hAnsi="Arial" w:cs="Arial"/>
          <w:sz w:val="20"/>
          <w:szCs w:val="20"/>
        </w:rPr>
        <w:t xml:space="preserve">by MS in order to assimilate them so as to put them to use in the diagnostic approach </w:t>
      </w:r>
      <w:r w:rsidR="00E00274" w:rsidRPr="006C6010">
        <w:rPr>
          <w:rFonts w:ascii="Arial" w:hAnsi="Arial" w:cs="Arial"/>
          <w:sz w:val="20"/>
          <w:szCs w:val="20"/>
        </w:rPr>
        <w:t>in</w:t>
      </w:r>
      <w:r w:rsidRPr="006C6010">
        <w:rPr>
          <w:rFonts w:ascii="Arial" w:hAnsi="Arial" w:cs="Arial"/>
          <w:sz w:val="20"/>
          <w:szCs w:val="20"/>
        </w:rPr>
        <w:t xml:space="preserve"> routine </w:t>
      </w:r>
      <w:r w:rsidR="001D6290" w:rsidRPr="006C6010">
        <w:rPr>
          <w:rFonts w:ascii="Arial" w:hAnsi="Arial" w:cs="Arial"/>
          <w:sz w:val="20"/>
          <w:szCs w:val="20"/>
        </w:rPr>
        <w:t>procedure</w:t>
      </w:r>
      <w:r w:rsidRPr="006C6010">
        <w:rPr>
          <w:rFonts w:ascii="Arial" w:hAnsi="Arial" w:cs="Arial"/>
          <w:sz w:val="20"/>
          <w:szCs w:val="20"/>
        </w:rPr>
        <w:t>.</w:t>
      </w:r>
    </w:p>
    <w:p w14:paraId="4AEC0E62" w14:textId="55F70FE6" w:rsidR="002C3189" w:rsidRPr="006C6010" w:rsidRDefault="002C3189" w:rsidP="00451967">
      <w:pPr>
        <w:spacing w:line="480" w:lineRule="auto"/>
        <w:jc w:val="both"/>
        <w:rPr>
          <w:rFonts w:ascii="Arial" w:hAnsi="Arial" w:cs="Arial"/>
          <w:sz w:val="20"/>
          <w:szCs w:val="20"/>
        </w:rPr>
      </w:pPr>
      <w:r w:rsidRPr="006C6010">
        <w:rPr>
          <w:rFonts w:ascii="Arial" w:hAnsi="Arial" w:cs="Arial"/>
          <w:sz w:val="20"/>
          <w:szCs w:val="20"/>
        </w:rPr>
        <w:t>In our study, 0.80</w:t>
      </w:r>
      <w:r w:rsidR="00B629F5" w:rsidRPr="006C6010">
        <w:rPr>
          <w:rFonts w:ascii="Arial" w:hAnsi="Arial" w:cs="Arial"/>
          <w:sz w:val="20"/>
          <w:szCs w:val="20"/>
        </w:rPr>
        <w:t xml:space="preserve"> </w:t>
      </w:r>
      <w:r w:rsidRPr="006C6010">
        <w:rPr>
          <w:rFonts w:ascii="Arial" w:hAnsi="Arial" w:cs="Arial"/>
          <w:sz w:val="20"/>
          <w:szCs w:val="20"/>
        </w:rPr>
        <w:t xml:space="preserve">% (2/249) of isolates could not be identified by either </w:t>
      </w:r>
      <w:r w:rsidR="00F3760C" w:rsidRPr="006C6010">
        <w:rPr>
          <w:rFonts w:ascii="Arial" w:hAnsi="Arial" w:cs="Arial"/>
          <w:sz w:val="20"/>
          <w:szCs w:val="20"/>
        </w:rPr>
        <w:t>R</w:t>
      </w:r>
      <w:r w:rsidRPr="006C6010">
        <w:rPr>
          <w:rFonts w:ascii="Arial" w:hAnsi="Arial" w:cs="Arial"/>
          <w:sz w:val="20"/>
          <w:szCs w:val="20"/>
        </w:rPr>
        <w:t xml:space="preserve">M </w:t>
      </w:r>
      <w:r w:rsidR="00E46090" w:rsidRPr="006C6010">
        <w:rPr>
          <w:rFonts w:ascii="Arial" w:hAnsi="Arial" w:cs="Arial"/>
          <w:sz w:val="20"/>
          <w:szCs w:val="20"/>
        </w:rPr>
        <w:t xml:space="preserve">neither </w:t>
      </w:r>
      <w:r w:rsidR="00F3760C" w:rsidRPr="006C6010">
        <w:rPr>
          <w:rFonts w:ascii="Arial" w:hAnsi="Arial" w:cs="Arial"/>
          <w:sz w:val="20"/>
          <w:szCs w:val="20"/>
        </w:rPr>
        <w:t>M</w:t>
      </w:r>
      <w:r w:rsidRPr="006C6010">
        <w:rPr>
          <w:rFonts w:ascii="Arial" w:hAnsi="Arial" w:cs="Arial"/>
          <w:sz w:val="20"/>
          <w:szCs w:val="20"/>
        </w:rPr>
        <w:t xml:space="preserve">S, </w:t>
      </w:r>
      <w:r w:rsidR="00B73213" w:rsidRPr="006C6010">
        <w:rPr>
          <w:rFonts w:ascii="Arial" w:hAnsi="Arial" w:cs="Arial"/>
          <w:sz w:val="20"/>
          <w:szCs w:val="20"/>
        </w:rPr>
        <w:t>nor</w:t>
      </w:r>
      <w:r w:rsidRPr="006C6010">
        <w:rPr>
          <w:rFonts w:ascii="Arial" w:hAnsi="Arial" w:cs="Arial"/>
          <w:sz w:val="20"/>
          <w:szCs w:val="20"/>
        </w:rPr>
        <w:t xml:space="preserve"> a further 0.40</w:t>
      </w:r>
      <w:r w:rsidR="00B629F5" w:rsidRPr="006C6010">
        <w:rPr>
          <w:rFonts w:ascii="Arial" w:hAnsi="Arial" w:cs="Arial"/>
          <w:sz w:val="20"/>
          <w:szCs w:val="20"/>
        </w:rPr>
        <w:t xml:space="preserve"> </w:t>
      </w:r>
      <w:r w:rsidRPr="006C6010">
        <w:rPr>
          <w:rFonts w:ascii="Arial" w:hAnsi="Arial" w:cs="Arial"/>
          <w:sz w:val="20"/>
          <w:szCs w:val="20"/>
        </w:rPr>
        <w:t xml:space="preserve">% (1/249) could not be identified by </w:t>
      </w:r>
      <w:r w:rsidR="00AB6B80" w:rsidRPr="006C6010">
        <w:rPr>
          <w:rFonts w:ascii="Arial" w:hAnsi="Arial" w:cs="Arial"/>
          <w:sz w:val="20"/>
          <w:szCs w:val="20"/>
        </w:rPr>
        <w:t>M</w:t>
      </w:r>
      <w:r w:rsidRPr="006C6010">
        <w:rPr>
          <w:rFonts w:ascii="Arial" w:hAnsi="Arial" w:cs="Arial"/>
          <w:sz w:val="20"/>
          <w:szCs w:val="20"/>
        </w:rPr>
        <w:t xml:space="preserve">S. Most of these were filamentous fungi of the mold type. This may be due, on the one hand, to the limitations of </w:t>
      </w:r>
      <w:r w:rsidR="00FE73E9" w:rsidRPr="006C6010">
        <w:rPr>
          <w:rFonts w:ascii="Arial" w:hAnsi="Arial" w:cs="Arial"/>
          <w:sz w:val="20"/>
          <w:szCs w:val="20"/>
        </w:rPr>
        <w:t>R</w:t>
      </w:r>
      <w:r w:rsidRPr="006C6010">
        <w:rPr>
          <w:rFonts w:ascii="Arial" w:hAnsi="Arial" w:cs="Arial"/>
          <w:sz w:val="20"/>
          <w:szCs w:val="20"/>
        </w:rPr>
        <w:t xml:space="preserve">M </w:t>
      </w:r>
      <w:r w:rsidR="00FE73E9" w:rsidRPr="006C6010">
        <w:rPr>
          <w:rFonts w:ascii="Arial" w:hAnsi="Arial" w:cs="Arial"/>
          <w:sz w:val="20"/>
          <w:szCs w:val="20"/>
        </w:rPr>
        <w:t>to identify</w:t>
      </w:r>
      <w:r w:rsidRPr="006C6010">
        <w:rPr>
          <w:rFonts w:ascii="Arial" w:hAnsi="Arial" w:cs="Arial"/>
          <w:sz w:val="20"/>
          <w:szCs w:val="20"/>
        </w:rPr>
        <w:t xml:space="preserve"> certain rare or emerging fungal species</w:t>
      </w:r>
      <w:r w:rsidR="00D44163" w:rsidRPr="006C6010">
        <w:rPr>
          <w:rFonts w:ascii="Arial" w:hAnsi="Arial" w:cs="Arial"/>
          <w:sz w:val="20"/>
          <w:szCs w:val="20"/>
        </w:rPr>
        <w:fldChar w:fldCharType="begin" w:fldLock="1"/>
      </w:r>
      <w:r w:rsidR="00D7462F" w:rsidRPr="006C6010">
        <w:rPr>
          <w:rFonts w:ascii="Arial" w:hAnsi="Arial" w:cs="Arial"/>
          <w:sz w:val="20"/>
          <w:szCs w:val="20"/>
        </w:rPr>
        <w:instrText>ADDIN CSL_CITATION {"citationItems":[{"id":"ITEM-1","itemData":{"author":[{"dropping-particle":"","family":"Simon","given":"Émilie","non-dropping-particle":"","parse-names":false,"suffix":""}],"container-title":"HAL Id dumas-03213063","id":"ITEM-1","issued":{"date-parts":[["2021"]]},"number-of-pages":"1-126","title":"Mise au point d ’ une technique de séquençage pour l ’ identification fongique To cite this version : HAL Id : dumas-03213063 Université de Rouen Normandie UFR Santé – Département Pharmacie","type":"report"},"uris":["http://www.mendeley.com/documents/?uuid=28e0043c-f919-4ddf-a2b7-027b21affaad"]},{"id":"ITEM-2","itemData":{"DOI":"10.1016/j.reaurg.2010.03.019","abstract":"Résumé Les zygomycoses ou mucormycoses, les fusarioses, les scédosporioses et les trichospo- ronoses font partie des mycoses émergentes chez les malades sévèrement immunodéprimés. Cette émergence est multifactorielle mais il s’agit souvent de la pression de sélection d’un traitement antifongique préalable. Ces infections disséminées sont grevées d’une mortalité élevée et leur prise en charge optimale nécessite de connaître les critères diagnostiques et les stratégies thérapeutiques, les spectres positifs et négatifs des antifongiques, leur maniement correct, afin de favoriser la précocité du diagnostic et du traitement, gages d’une amélioration pronostique. La réduction de l’immunodépression est également importante. Ces objectifs sont atteints en particulier grâce à un travail coopératif entre le mycologue clinicien, les labora- toires de mycologie et de pharmacologie, les chirurgiens, les réanimateurs et les médecins en charge des pathologies sous-jacentes.","author":[{"dropping-particle":"","family":"Bastides","given":"F","non-dropping-particle":"","parse-names":false,"suffix":""}],"container-title":"Société de réanimation de langue française","id":"ITEM-2","issue":"19","issued":{"date-parts":[["2010"]]},"page":"319-326","title":"trichosporonoses : les nouvelles mycoses émergentes Zygomycosis , fusariosis , scedosporiosis , trichosporonosis : The new","type":"article-journal"},"uris":["http://www.mendeley.com/documents/?uuid=8810f2c5-0185-40f0-90fc-aec85afa6095"]}],"mendeley":{"formattedCitation":"(Bastides, 2010; Simon, 2021)","plainTextFormattedCitation":"(Bastides, 2010; Simon, 2021)","previouslyFormattedCitation":"(Bastides, 2010; Simon, 2021)"},"properties":{"noteIndex":0},"schema":"https://github.com/citation-style-language/schema/raw/master/csl-citation.json"}</w:instrText>
      </w:r>
      <w:r w:rsidR="00D44163" w:rsidRPr="006C6010">
        <w:rPr>
          <w:rFonts w:ascii="Arial" w:hAnsi="Arial" w:cs="Arial"/>
          <w:sz w:val="20"/>
          <w:szCs w:val="20"/>
        </w:rPr>
        <w:fldChar w:fldCharType="separate"/>
      </w:r>
      <w:r w:rsidR="00DA7D66" w:rsidRPr="006C6010">
        <w:rPr>
          <w:rFonts w:ascii="Arial" w:hAnsi="Arial" w:cs="Arial"/>
          <w:sz w:val="20"/>
          <w:szCs w:val="20"/>
        </w:rPr>
        <w:t>(Bastides, 2010; Simon, 2021)</w:t>
      </w:r>
      <w:r w:rsidR="00D44163" w:rsidRPr="006C6010">
        <w:rPr>
          <w:rFonts w:ascii="Arial" w:hAnsi="Arial" w:cs="Arial"/>
          <w:sz w:val="20"/>
          <w:szCs w:val="20"/>
        </w:rPr>
        <w:fldChar w:fldCharType="end"/>
      </w:r>
      <w:r w:rsidR="00D44163" w:rsidRPr="006C6010">
        <w:rPr>
          <w:rFonts w:ascii="Arial" w:hAnsi="Arial" w:cs="Arial"/>
          <w:sz w:val="20"/>
          <w:szCs w:val="20"/>
        </w:rPr>
        <w:t xml:space="preserve"> </w:t>
      </w:r>
      <w:r w:rsidRPr="006C6010">
        <w:rPr>
          <w:rFonts w:ascii="Arial" w:hAnsi="Arial" w:cs="Arial"/>
          <w:sz w:val="20"/>
          <w:szCs w:val="20"/>
        </w:rPr>
        <w:t xml:space="preserve">and, on the other hand, to the lack of completeness of the spectral library for these types of fungi as discussed by Stein </w:t>
      </w:r>
      <w:r w:rsidRPr="006C6010">
        <w:rPr>
          <w:rFonts w:ascii="Arial" w:hAnsi="Arial" w:cs="Arial"/>
          <w:i/>
          <w:iCs/>
          <w:sz w:val="20"/>
          <w:szCs w:val="20"/>
        </w:rPr>
        <w:t>et al.</w:t>
      </w:r>
      <w:r w:rsidRPr="006C6010">
        <w:rPr>
          <w:rFonts w:ascii="Arial" w:hAnsi="Arial" w:cs="Arial"/>
          <w:sz w:val="20"/>
          <w:szCs w:val="20"/>
        </w:rPr>
        <w:t>, 2018</w:t>
      </w:r>
      <w:r w:rsidR="005A4297" w:rsidRPr="006C6010">
        <w:rPr>
          <w:rFonts w:ascii="Arial" w:hAnsi="Arial" w:cs="Arial"/>
          <w:sz w:val="20"/>
          <w:szCs w:val="20"/>
        </w:rPr>
        <w:t xml:space="preserve">, </w:t>
      </w:r>
      <w:r w:rsidRPr="006C6010">
        <w:rPr>
          <w:rFonts w:ascii="Arial" w:hAnsi="Arial" w:cs="Arial"/>
          <w:sz w:val="20"/>
          <w:szCs w:val="20"/>
        </w:rPr>
        <w:t>who compared the performance of 3 spectral libraries: Bruker, “National Institutes of Health” (NIH) and Mass Spectrometry Identification (MSI), to routine and molecular method</w:t>
      </w:r>
      <w:r w:rsidR="000E3D0E" w:rsidRPr="006C6010">
        <w:rPr>
          <w:rFonts w:ascii="Arial" w:hAnsi="Arial" w:cs="Arial"/>
          <w:sz w:val="20"/>
          <w:szCs w:val="20"/>
        </w:rPr>
        <w:t>s</w:t>
      </w:r>
      <w:r w:rsidRPr="006C6010">
        <w:rPr>
          <w:rFonts w:ascii="Arial" w:hAnsi="Arial" w:cs="Arial"/>
          <w:sz w:val="20"/>
          <w:szCs w:val="20"/>
        </w:rPr>
        <w:t>. The failure of these three libraries to identify 20</w:t>
      </w:r>
      <w:r w:rsidR="00B629F5" w:rsidRPr="006C6010">
        <w:rPr>
          <w:rFonts w:ascii="Arial" w:hAnsi="Arial" w:cs="Arial"/>
          <w:sz w:val="20"/>
          <w:szCs w:val="20"/>
        </w:rPr>
        <w:t xml:space="preserve"> </w:t>
      </w:r>
      <w:r w:rsidRPr="006C6010">
        <w:rPr>
          <w:rFonts w:ascii="Arial" w:hAnsi="Arial" w:cs="Arial"/>
          <w:sz w:val="20"/>
          <w:szCs w:val="20"/>
        </w:rPr>
        <w:t xml:space="preserve">% of molds was attributed to their limitations and the imperfect nature of their spectra. Another determinant of fungal strain identification performance is the purity of the isolates. Indeed, to obtain optimal identification by MS, one of the conditions remains the purity of the culture to be identified, as performance in identifying </w:t>
      </w:r>
      <w:r w:rsidRPr="006C6010">
        <w:rPr>
          <w:rFonts w:ascii="Arial" w:hAnsi="Arial" w:cs="Arial"/>
          <w:sz w:val="20"/>
          <w:szCs w:val="20"/>
        </w:rPr>
        <w:lastRenderedPageBreak/>
        <w:t>fungal species by MS requires a pure culture</w:t>
      </w:r>
      <w:r w:rsidR="005A4297" w:rsidRPr="006C6010">
        <w:rPr>
          <w:rFonts w:ascii="Arial" w:hAnsi="Arial" w:cs="Arial"/>
          <w:sz w:val="20"/>
          <w:szCs w:val="20"/>
        </w:rPr>
        <w:t xml:space="preserve"> </w:t>
      </w:r>
      <w:r w:rsidR="005A4297" w:rsidRPr="006C6010">
        <w:rPr>
          <w:rFonts w:ascii="Arial" w:hAnsi="Arial" w:cs="Arial"/>
          <w:sz w:val="20"/>
          <w:szCs w:val="20"/>
        </w:rPr>
        <w:fldChar w:fldCharType="begin" w:fldLock="1"/>
      </w:r>
      <w:r w:rsidR="004A5D86">
        <w:rPr>
          <w:rFonts w:ascii="Arial" w:hAnsi="Arial" w:cs="Arial"/>
          <w:sz w:val="20"/>
          <w:szCs w:val="20"/>
        </w:rPr>
        <w:instrText>ADDIN CSL_CITATION {"citationItems":[{"id":"ITEM-1","itemData":{"DOI":"10.1111/myc.12800","ISBN":"0000000191","abstract":"La spectrométrie de masse à temps de vol et désorption-ionisation laser assistée par matrice (MALDI-TOF MS) est couramment utilisée par les laboratoires de microbiologie clinique pour identifier les agents pathogènes bactériens et les levures, mais pas pour l'identification des moisissures. Les progrès récents dans les protocoles d'extraction et la composition des bibliothèques comparatives soutiennent l'application potentielle de la spectrométrie de masse MALDI-TOF pour l'identification des moisissures dans les laboratoires de microbiologie clinique. Nous avons évalué les performances de l'instrument Bruker Microflex™ MALDI-TOF MS (Billerica, MA, États-Unis) pour identifier les isolats cliniques et les souches de référence de moisissures à l'aide de 3 bibliothèques, la bibliothèque de moisissures Bruker, la bibliothèque des National Institutes of Health (NIH) et la bibliothèque en ligne Mass Spectrometry Identification (MSI), et avons comparé ces résultats aux méthodes d'identification conventionnelles (morphologiques) et moléculaires (18S/ITS ; référence absolue). Les 3 bibliothèques ont démontré une plus grande précision dans l'identification du genre (≥ 94,9 %) que les méthodes conventionnelles (86,4 %). La spectrométrie de masse MALDI-TOF a permis d'identifier 73,3 % des isolats au niveau de l'espèce, contre seulement 31,7 % par les méthodes conventionnelles. La bibliothèque MSI a démontré le taux le plus élevé d'identification au niveau de l'espèce (72,0 %) par rapport aux bibliothèques NIH (19,5 %) et Bruker (13,6 %). Plus de 20 % des moisissures sont restées non identifiées au niveau de l'espèce par les 3 bibliothèques MALDI-TOF MS, principalement en raison des limitations de la bibliothèque ou de spectres imparfaits. Le taux d'identification global de chaque bibliothèque MALDI-TOF MS dépendait du nombre d'espèces et du nombre de spectres représentant chaque espèce dans la bibliothèque.","author":[{"dropping-particle":"","family":"Stein Markus, Vanessa Tran, A. Nichol, Philippe Lagacé-Wiens, Peter Pieroni, Heather J. Adam, Christine Turenne, Andrew J. Walkty, Anne-Cécile Normand, Marijike Hendrickx","given":"Renaud Piarroux and A. Karlowsky","non-dropping-particle":"","parse-names":false,"suffix":""}],"container-title":"Mycoses","id":"ITEM-1","issue":"10","issued":{"date-parts":[["2018"]]},"page":"1-26","title":"Evaluation of Three MALDI-TOF Mass Spectrometry Librairies for Identification of Filamentous Fungi in Three Clinical Microbiology Laboratories in Manitoba, Canada","type":"article-journal","volume":"61"},"uris":["http://www.mendeley.com/documents/?uuid=0a76709a-17ca-474f-82a2-0212fdcab044"]},{"id":"ITEM-2","itemData":{"DOI":"10.3168/jds.2018-15424","ISSN":"0022-0302","author":[{"dropping-particle":"","family":"Nonnemann","given":"Bettina","non-dropping-particle":"","parse-names":false,"suffix":""},{"dropping-particle":"","family":"Lyhs","given":"Ulrike","non-dropping-particle":"","parse-names":false,"suffix":""},{"dropping-particle":"","family":"Svennesen","given":"Line","non-dropping-particle":"","parse-names":false,"suffix":""},{"dropping-particle":"","family":"Kristensen","given":"Katja Ann","non-dropping-particle":"","parse-names":false,"suffix":""},{"dropping-particle":"","family":"Klaas","given":"Ilka C","non-dropping-particle":"","parse-names":false,"suffix":""},{"dropping-particle":"","family":"Pedersen","given":"Karl","non-dropping-particle":"","parse-names":false,"suffix":""}],"container-title":"Journal of Dairy Science","id":"ITEM-2","issued":{"date-parts":[["2019"]]},"page":"1-10","publisher":"American Dairy Science Association","title":"Bovine mastitis bacteria resolved by MALDI-TOF mass spectrometry","type":"article-journal"},"uris":["http://www.mendeley.com/documents/?uuid=8001f89e-12f4-4fbd-bf47-4c0a8349065e"]}],"mendeley":{"formattedCitation":"(Nonnemann et al., 2019; Stein Markus, Vanessa Tran, A. Nichol, Philippe Lagacé-Wiens, Peter Pieroni, Heather J. Adam, Christine Turenne, Andrew J. Walkty, Anne-Cécile Normand, Marijike Hendrickx, 2018)","manualFormatting":"(Nonnemann et al., 2019; Stein Markus et al., 2018)","plainTextFormattedCitation":"(Nonnemann et al., 2019; Stein Markus, Vanessa Tran, A. Nichol, Philippe Lagacé-Wiens, Peter Pieroni, Heather J. Adam, Christine Turenne, Andrew J. Walkty, Anne-Cécile Normand, Marijike Hendrickx, 2018)","previouslyFormattedCitation":"(Nonnemann et al., 2019; Stein Markus, Vanessa Tran, A. Nichol, Philippe Lagacé-Wiens, Peter Pieroni, Heather J. Adam, Christine Turenne, Andrew J. Walkty, Anne-Cécile Normand, Marijike Hendrickx, 2018)"},"properties":{"noteIndex":0},"schema":"https://github.com/citation-style-language/schema/raw/master/csl-citation.json"}</w:instrText>
      </w:r>
      <w:r w:rsidR="005A4297" w:rsidRPr="006C6010">
        <w:rPr>
          <w:rFonts w:ascii="Arial" w:hAnsi="Arial" w:cs="Arial"/>
          <w:sz w:val="20"/>
          <w:szCs w:val="20"/>
        </w:rPr>
        <w:fldChar w:fldCharType="separate"/>
      </w:r>
      <w:r w:rsidR="00DA7D66" w:rsidRPr="006C6010">
        <w:rPr>
          <w:rFonts w:ascii="Arial" w:hAnsi="Arial" w:cs="Arial"/>
          <w:sz w:val="20"/>
          <w:szCs w:val="20"/>
        </w:rPr>
        <w:t xml:space="preserve">(Nonnemann </w:t>
      </w:r>
      <w:r w:rsidR="00DA7D66" w:rsidRPr="004A5D86">
        <w:rPr>
          <w:rFonts w:ascii="Arial" w:hAnsi="Arial" w:cs="Arial"/>
          <w:i/>
          <w:iCs/>
          <w:sz w:val="20"/>
          <w:szCs w:val="20"/>
        </w:rPr>
        <w:t>et al</w:t>
      </w:r>
      <w:r w:rsidR="00DA7D66" w:rsidRPr="006C6010">
        <w:rPr>
          <w:rFonts w:ascii="Arial" w:hAnsi="Arial" w:cs="Arial"/>
          <w:sz w:val="20"/>
          <w:szCs w:val="20"/>
        </w:rPr>
        <w:t>., 2019; Stein Markus</w:t>
      </w:r>
      <w:r w:rsidR="004A5D86">
        <w:rPr>
          <w:rFonts w:ascii="Arial" w:hAnsi="Arial" w:cs="Arial"/>
          <w:sz w:val="20"/>
          <w:szCs w:val="20"/>
        </w:rPr>
        <w:t xml:space="preserve"> </w:t>
      </w:r>
      <w:r w:rsidR="004A5D86" w:rsidRPr="004A5D86">
        <w:rPr>
          <w:rFonts w:ascii="Arial" w:hAnsi="Arial" w:cs="Arial"/>
          <w:i/>
          <w:iCs/>
          <w:sz w:val="20"/>
          <w:szCs w:val="20"/>
        </w:rPr>
        <w:t>et al.</w:t>
      </w:r>
      <w:r w:rsidR="00DA7D66" w:rsidRPr="006C6010">
        <w:rPr>
          <w:rFonts w:ascii="Arial" w:hAnsi="Arial" w:cs="Arial"/>
          <w:sz w:val="20"/>
          <w:szCs w:val="20"/>
        </w:rPr>
        <w:t>, 2018)</w:t>
      </w:r>
      <w:r w:rsidR="005A4297" w:rsidRPr="006C6010">
        <w:rPr>
          <w:rFonts w:ascii="Arial" w:hAnsi="Arial" w:cs="Arial"/>
          <w:sz w:val="20"/>
          <w:szCs w:val="20"/>
        </w:rPr>
        <w:fldChar w:fldCharType="end"/>
      </w:r>
      <w:r w:rsidRPr="006C6010">
        <w:rPr>
          <w:rFonts w:ascii="Arial" w:hAnsi="Arial" w:cs="Arial"/>
          <w:sz w:val="20"/>
          <w:szCs w:val="20"/>
        </w:rPr>
        <w:t>, which may have been lacking in our various cultures submitted for analysis by MS.</w:t>
      </w:r>
    </w:p>
    <w:p w14:paraId="593BC4CB" w14:textId="37A25C8C" w:rsidR="002C3189" w:rsidRPr="008A0A7D" w:rsidRDefault="008A0A7D" w:rsidP="00E85FF3">
      <w:pPr>
        <w:pStyle w:val="Heading1"/>
        <w:numPr>
          <w:ilvl w:val="0"/>
          <w:numId w:val="4"/>
        </w:numPr>
        <w:spacing w:before="240" w:line="480" w:lineRule="auto"/>
        <w:jc w:val="left"/>
        <w:rPr>
          <w:sz w:val="22"/>
          <w:szCs w:val="22"/>
        </w:rPr>
      </w:pPr>
      <w:bookmarkStart w:id="17" w:name="_Hlk193405073"/>
      <w:bookmarkEnd w:id="16"/>
      <w:r w:rsidRPr="008A0A7D">
        <w:rPr>
          <w:sz w:val="22"/>
          <w:szCs w:val="22"/>
        </w:rPr>
        <w:t>CONCLUSION</w:t>
      </w:r>
    </w:p>
    <w:p w14:paraId="42A2E9F3" w14:textId="1974DFA5" w:rsidR="00EC5B2F" w:rsidRPr="008A0A7D" w:rsidRDefault="00100ED2" w:rsidP="00451967">
      <w:pPr>
        <w:spacing w:line="480" w:lineRule="auto"/>
        <w:jc w:val="both"/>
        <w:rPr>
          <w:rFonts w:ascii="Arial" w:hAnsi="Arial" w:cs="Arial"/>
          <w:sz w:val="20"/>
          <w:szCs w:val="20"/>
        </w:rPr>
      </w:pPr>
      <w:r w:rsidRPr="008A0A7D">
        <w:rPr>
          <w:rFonts w:ascii="Arial" w:hAnsi="Arial" w:cs="Arial"/>
          <w:sz w:val="20"/>
          <w:szCs w:val="20"/>
        </w:rPr>
        <w:t>T</w:t>
      </w:r>
      <w:r w:rsidR="002C3189" w:rsidRPr="008A0A7D">
        <w:rPr>
          <w:rFonts w:ascii="Arial" w:hAnsi="Arial" w:cs="Arial"/>
          <w:sz w:val="20"/>
          <w:szCs w:val="20"/>
        </w:rPr>
        <w:t>his study</w:t>
      </w:r>
      <w:r w:rsidR="0015766A" w:rsidRPr="008A0A7D">
        <w:rPr>
          <w:rFonts w:ascii="Arial" w:hAnsi="Arial" w:cs="Arial"/>
          <w:sz w:val="20"/>
          <w:szCs w:val="20"/>
        </w:rPr>
        <w:t xml:space="preserve"> </w:t>
      </w:r>
      <w:r w:rsidRPr="008A0A7D">
        <w:rPr>
          <w:rFonts w:ascii="Arial" w:hAnsi="Arial" w:cs="Arial"/>
          <w:sz w:val="20"/>
          <w:szCs w:val="20"/>
        </w:rPr>
        <w:t xml:space="preserve">showed </w:t>
      </w:r>
      <w:r w:rsidR="0015766A" w:rsidRPr="008A0A7D">
        <w:rPr>
          <w:rFonts w:ascii="Arial" w:hAnsi="Arial" w:cs="Arial"/>
          <w:sz w:val="20"/>
          <w:szCs w:val="20"/>
        </w:rPr>
        <w:t>that</w:t>
      </w:r>
      <w:r w:rsidR="00D2612B" w:rsidRPr="008A0A7D">
        <w:rPr>
          <w:rFonts w:ascii="Arial" w:hAnsi="Arial" w:cs="Arial"/>
          <w:sz w:val="20"/>
          <w:szCs w:val="20"/>
        </w:rPr>
        <w:t xml:space="preserve"> the</w:t>
      </w:r>
      <w:r w:rsidR="002C3189" w:rsidRPr="008A0A7D">
        <w:rPr>
          <w:rFonts w:ascii="Arial" w:hAnsi="Arial" w:cs="Arial"/>
          <w:sz w:val="20"/>
          <w:szCs w:val="20"/>
        </w:rPr>
        <w:t xml:space="preserve"> identification of fungal strains isolated by MR in the two medical mycology laboratories in Lomé was less than 52</w:t>
      </w:r>
      <w:r w:rsidR="003841CF" w:rsidRPr="008A0A7D">
        <w:rPr>
          <w:rFonts w:ascii="Arial" w:hAnsi="Arial" w:cs="Arial"/>
          <w:sz w:val="20"/>
          <w:szCs w:val="20"/>
        </w:rPr>
        <w:t xml:space="preserve"> </w:t>
      </w:r>
      <w:r w:rsidR="002C3189" w:rsidRPr="008A0A7D">
        <w:rPr>
          <w:rFonts w:ascii="Arial" w:hAnsi="Arial" w:cs="Arial"/>
          <w:sz w:val="20"/>
          <w:szCs w:val="20"/>
        </w:rPr>
        <w:t xml:space="preserve">% concordant with MS. </w:t>
      </w:r>
      <w:r w:rsidR="002B1F04" w:rsidRPr="008A0A7D">
        <w:rPr>
          <w:rFonts w:ascii="Arial" w:hAnsi="Arial" w:cs="Arial"/>
          <w:sz w:val="20"/>
          <w:szCs w:val="20"/>
        </w:rPr>
        <w:t xml:space="preserve">This last technique </w:t>
      </w:r>
      <w:r w:rsidR="002C3189" w:rsidRPr="008A0A7D">
        <w:rPr>
          <w:rFonts w:ascii="Arial" w:hAnsi="Arial" w:cs="Arial"/>
          <w:sz w:val="20"/>
          <w:szCs w:val="20"/>
        </w:rPr>
        <w:t>improved this identification by increasing the level of reliability by almost 47</w:t>
      </w:r>
      <w:r w:rsidR="003841CF" w:rsidRPr="008A0A7D">
        <w:rPr>
          <w:rFonts w:ascii="Arial" w:hAnsi="Arial" w:cs="Arial"/>
          <w:sz w:val="20"/>
          <w:szCs w:val="20"/>
        </w:rPr>
        <w:t xml:space="preserve"> </w:t>
      </w:r>
      <w:r w:rsidR="002C3189" w:rsidRPr="008A0A7D">
        <w:rPr>
          <w:rFonts w:ascii="Arial" w:hAnsi="Arial" w:cs="Arial"/>
          <w:sz w:val="20"/>
          <w:szCs w:val="20"/>
        </w:rPr>
        <w:t>%.  To enable mycology laboratories</w:t>
      </w:r>
      <w:r w:rsidR="00894BAE" w:rsidRPr="008A0A7D">
        <w:rPr>
          <w:rFonts w:ascii="Arial" w:hAnsi="Arial" w:cs="Arial"/>
          <w:sz w:val="20"/>
          <w:szCs w:val="20"/>
        </w:rPr>
        <w:t xml:space="preserve"> in Togo </w:t>
      </w:r>
      <w:r w:rsidR="0004569C" w:rsidRPr="008A0A7D">
        <w:rPr>
          <w:rFonts w:ascii="Arial" w:hAnsi="Arial" w:cs="Arial"/>
          <w:sz w:val="20"/>
          <w:szCs w:val="20"/>
        </w:rPr>
        <w:t>t</w:t>
      </w:r>
      <w:r w:rsidR="002C3189" w:rsidRPr="008A0A7D">
        <w:rPr>
          <w:rFonts w:ascii="Arial" w:hAnsi="Arial" w:cs="Arial"/>
          <w:sz w:val="20"/>
          <w:szCs w:val="20"/>
        </w:rPr>
        <w:t xml:space="preserve">o provide </w:t>
      </w:r>
      <w:r w:rsidR="0004569C" w:rsidRPr="008A0A7D">
        <w:rPr>
          <w:rFonts w:ascii="Arial" w:hAnsi="Arial" w:cs="Arial"/>
          <w:sz w:val="20"/>
          <w:szCs w:val="20"/>
        </w:rPr>
        <w:t xml:space="preserve">to the </w:t>
      </w:r>
      <w:r w:rsidR="002C3189" w:rsidRPr="008A0A7D">
        <w:rPr>
          <w:rFonts w:ascii="Arial" w:hAnsi="Arial" w:cs="Arial"/>
          <w:sz w:val="20"/>
          <w:szCs w:val="20"/>
        </w:rPr>
        <w:t xml:space="preserve">clinicians </w:t>
      </w:r>
      <w:r w:rsidR="0004569C" w:rsidRPr="008A0A7D">
        <w:rPr>
          <w:rFonts w:ascii="Arial" w:hAnsi="Arial" w:cs="Arial"/>
          <w:sz w:val="20"/>
          <w:szCs w:val="20"/>
        </w:rPr>
        <w:t xml:space="preserve">the </w:t>
      </w:r>
      <w:r w:rsidR="00EA2213" w:rsidRPr="008A0A7D">
        <w:rPr>
          <w:rFonts w:ascii="Arial" w:hAnsi="Arial" w:cs="Arial"/>
          <w:sz w:val="20"/>
          <w:szCs w:val="20"/>
        </w:rPr>
        <w:t>better</w:t>
      </w:r>
      <w:r w:rsidR="00F1231E" w:rsidRPr="008A0A7D">
        <w:rPr>
          <w:rFonts w:ascii="Arial" w:hAnsi="Arial" w:cs="Arial"/>
          <w:sz w:val="20"/>
          <w:szCs w:val="20"/>
        </w:rPr>
        <w:t xml:space="preserve"> </w:t>
      </w:r>
      <w:r w:rsidR="0004569C" w:rsidRPr="008A0A7D">
        <w:rPr>
          <w:rFonts w:ascii="Arial" w:hAnsi="Arial" w:cs="Arial"/>
          <w:sz w:val="20"/>
          <w:szCs w:val="20"/>
        </w:rPr>
        <w:t>diagno</w:t>
      </w:r>
      <w:r w:rsidR="00EA2213" w:rsidRPr="008A0A7D">
        <w:rPr>
          <w:rFonts w:ascii="Arial" w:hAnsi="Arial" w:cs="Arial"/>
          <w:sz w:val="20"/>
          <w:szCs w:val="20"/>
        </w:rPr>
        <w:t>se of the pathogens involved in</w:t>
      </w:r>
      <w:r w:rsidR="002C3189" w:rsidRPr="008A0A7D">
        <w:rPr>
          <w:rFonts w:ascii="Arial" w:hAnsi="Arial" w:cs="Arial"/>
          <w:sz w:val="20"/>
          <w:szCs w:val="20"/>
        </w:rPr>
        <w:t xml:space="preserve"> superficial mycoses, a plan needs to be put in place to upgrade the technical facilities of existing laboratories in order to improve mycological identifications. This could be done in the following </w:t>
      </w:r>
      <w:r w:rsidR="00C433B3" w:rsidRPr="008A0A7D">
        <w:rPr>
          <w:rFonts w:ascii="Arial" w:hAnsi="Arial" w:cs="Arial"/>
          <w:sz w:val="20"/>
          <w:szCs w:val="20"/>
        </w:rPr>
        <w:t>points</w:t>
      </w:r>
      <w:r w:rsidR="002C3189" w:rsidRPr="008A0A7D">
        <w:rPr>
          <w:rFonts w:ascii="Arial" w:hAnsi="Arial" w:cs="Arial"/>
          <w:sz w:val="20"/>
          <w:szCs w:val="20"/>
        </w:rPr>
        <w:t xml:space="preserve">: i) In the short term, continue the mycological confirmation of strains </w:t>
      </w:r>
      <w:r w:rsidR="00CB0F33" w:rsidRPr="008A0A7D">
        <w:rPr>
          <w:rFonts w:ascii="Arial" w:hAnsi="Arial" w:cs="Arial"/>
          <w:sz w:val="20"/>
          <w:szCs w:val="20"/>
        </w:rPr>
        <w:t>isola</w:t>
      </w:r>
      <w:r w:rsidR="009A58FD" w:rsidRPr="008A0A7D">
        <w:rPr>
          <w:rFonts w:ascii="Arial" w:hAnsi="Arial" w:cs="Arial"/>
          <w:sz w:val="20"/>
          <w:szCs w:val="20"/>
        </w:rPr>
        <w:t>t</w:t>
      </w:r>
      <w:r w:rsidR="00CB0F33" w:rsidRPr="008A0A7D">
        <w:rPr>
          <w:rFonts w:ascii="Arial" w:hAnsi="Arial" w:cs="Arial"/>
          <w:sz w:val="20"/>
          <w:szCs w:val="20"/>
        </w:rPr>
        <w:t xml:space="preserve">ed </w:t>
      </w:r>
      <w:r w:rsidR="009A58FD" w:rsidRPr="008A0A7D">
        <w:rPr>
          <w:rFonts w:ascii="Arial" w:hAnsi="Arial" w:cs="Arial"/>
          <w:sz w:val="20"/>
          <w:szCs w:val="20"/>
        </w:rPr>
        <w:t>by</w:t>
      </w:r>
      <w:r w:rsidR="002C3189" w:rsidRPr="008A0A7D">
        <w:rPr>
          <w:rFonts w:ascii="Arial" w:hAnsi="Arial" w:cs="Arial"/>
          <w:sz w:val="20"/>
          <w:szCs w:val="20"/>
        </w:rPr>
        <w:t xml:space="preserve"> MR</w:t>
      </w:r>
      <w:r w:rsidR="009A58FD" w:rsidRPr="008A0A7D">
        <w:rPr>
          <w:rFonts w:ascii="Arial" w:hAnsi="Arial" w:cs="Arial"/>
          <w:sz w:val="20"/>
          <w:szCs w:val="20"/>
        </w:rPr>
        <w:t>,</w:t>
      </w:r>
      <w:r w:rsidR="002C3189" w:rsidRPr="008A0A7D">
        <w:rPr>
          <w:rFonts w:ascii="Arial" w:hAnsi="Arial" w:cs="Arial"/>
          <w:sz w:val="20"/>
          <w:szCs w:val="20"/>
        </w:rPr>
        <w:t xml:space="preserve"> </w:t>
      </w:r>
      <w:r w:rsidR="009A58FD" w:rsidRPr="008A0A7D">
        <w:rPr>
          <w:rFonts w:ascii="Arial" w:hAnsi="Arial" w:cs="Arial"/>
          <w:sz w:val="20"/>
          <w:szCs w:val="20"/>
        </w:rPr>
        <w:t>with</w:t>
      </w:r>
      <w:r w:rsidR="002C3189" w:rsidRPr="008A0A7D">
        <w:rPr>
          <w:rFonts w:ascii="Arial" w:hAnsi="Arial" w:cs="Arial"/>
          <w:sz w:val="20"/>
          <w:szCs w:val="20"/>
        </w:rPr>
        <w:t xml:space="preserve"> SM through the preparation of targets sent by post to Paris for identification, thanks to collaboration with the Parasitology and Mycology laboratory at the Pitié Salpêtrière Hospital in Paris (France); ii) In the medium term, to increase the number of diagnostic facilities offering mycological services, and to continuously build the capacity of the technical staff of these laboratories through the ongoing transfer of skills via this collaborative North-South approach; iii) In the long term, to acquire a mass spectrometer in order to optimize on-the-spot identification of mycoses and improve the care of patients suffering from mycosis</w:t>
      </w:r>
      <w:r w:rsidR="00EC5B2F" w:rsidRPr="008A0A7D">
        <w:rPr>
          <w:rFonts w:ascii="Arial" w:hAnsi="Arial" w:cs="Arial"/>
          <w:sz w:val="20"/>
          <w:szCs w:val="20"/>
        </w:rPr>
        <w:t xml:space="preserve"> in Togo.</w:t>
      </w:r>
    </w:p>
    <w:p w14:paraId="2FCB0E7A" w14:textId="63CA664D" w:rsidR="00AD47C8" w:rsidRPr="008A0A7D" w:rsidRDefault="008A0A7D" w:rsidP="008A0A7D">
      <w:pPr>
        <w:pStyle w:val="Heading1"/>
        <w:spacing w:before="240" w:line="480" w:lineRule="auto"/>
        <w:jc w:val="left"/>
        <w:rPr>
          <w:sz w:val="22"/>
          <w:szCs w:val="22"/>
        </w:rPr>
      </w:pPr>
      <w:bookmarkStart w:id="18" w:name="_Hlk193383867"/>
      <w:bookmarkEnd w:id="17"/>
      <w:r w:rsidRPr="008A0A7D">
        <w:rPr>
          <w:sz w:val="22"/>
          <w:szCs w:val="22"/>
        </w:rPr>
        <w:t>DISCLAIMER (ARTIFICIAL INTELLIGENCE)</w:t>
      </w:r>
    </w:p>
    <w:p w14:paraId="3A2C9EE4" w14:textId="5EA5E01E" w:rsidR="00AD47C8" w:rsidRPr="008A0A7D" w:rsidRDefault="00AD47C8" w:rsidP="00451967">
      <w:pPr>
        <w:spacing w:line="480" w:lineRule="auto"/>
        <w:jc w:val="both"/>
        <w:rPr>
          <w:rFonts w:ascii="Arial" w:hAnsi="Arial" w:cs="Arial"/>
          <w:sz w:val="20"/>
          <w:szCs w:val="20"/>
        </w:rPr>
      </w:pPr>
      <w:r w:rsidRPr="008A0A7D">
        <w:rPr>
          <w:rFonts w:ascii="Arial" w:hAnsi="Arial" w:cs="Arial"/>
          <w:sz w:val="20"/>
          <w:szCs w:val="20"/>
        </w:rPr>
        <w:t>Author(s)  hereby  declare  that  NO  generative  AI technologies  such  as  Large  Language  Models (ChatGPT,   COPILOT,   etc)   and   text-to-image generators  have  been  used  during  writing  or editing of this manuscript.</w:t>
      </w:r>
    </w:p>
    <w:bookmarkEnd w:id="18"/>
    <w:p w14:paraId="755FF727" w14:textId="012853F2" w:rsidR="00EC1EE6" w:rsidRDefault="00EF28E1" w:rsidP="00E64617">
      <w:pPr>
        <w:pStyle w:val="Heading1"/>
        <w:spacing w:before="240" w:line="480" w:lineRule="auto"/>
        <w:jc w:val="both"/>
        <w:rPr>
          <w:sz w:val="22"/>
          <w:szCs w:val="22"/>
        </w:rPr>
      </w:pPr>
      <w:r w:rsidRPr="00E64617">
        <w:rPr>
          <w:sz w:val="22"/>
          <w:szCs w:val="22"/>
        </w:rPr>
        <w:t>CONSENT</w:t>
      </w:r>
    </w:p>
    <w:p w14:paraId="7D0A998E" w14:textId="659B77D1" w:rsidR="006D34B4" w:rsidRPr="006D34B4" w:rsidRDefault="006D34B4" w:rsidP="006D34B4">
      <w:pPr>
        <w:spacing w:line="480" w:lineRule="auto"/>
        <w:rPr>
          <w:rFonts w:ascii="Arial" w:hAnsi="Arial" w:cs="Arial"/>
          <w:sz w:val="20"/>
          <w:szCs w:val="20"/>
          <w:lang w:val="en-ZA" w:eastAsia="en-ZA"/>
        </w:rPr>
      </w:pPr>
      <w:r w:rsidRPr="006D34B4">
        <w:rPr>
          <w:rFonts w:ascii="Arial" w:hAnsi="Arial" w:cs="Arial"/>
          <w:sz w:val="20"/>
          <w:szCs w:val="20"/>
          <w:lang w:eastAsia="en-ZA"/>
        </w:rPr>
        <w:t>All authors declare that ‘written informed consent was obtained from the patient (or other approved parties)    for publication    of    this    study    and accompanying  images.  A  copy  of  the  written consent  is  available  for  review  by  the  Editorial office/Chief  Editor/Editorial  Board  members  of this journal.</w:t>
      </w:r>
    </w:p>
    <w:p w14:paraId="539B6BDA" w14:textId="5450BE75" w:rsidR="00EC1EE6" w:rsidRPr="00EF28E1" w:rsidRDefault="00EF28E1" w:rsidP="00EC1EE6">
      <w:pPr>
        <w:pStyle w:val="Heading1"/>
        <w:spacing w:before="240" w:line="480" w:lineRule="auto"/>
        <w:jc w:val="both"/>
        <w:rPr>
          <w:sz w:val="22"/>
          <w:szCs w:val="22"/>
        </w:rPr>
      </w:pPr>
      <w:r w:rsidRPr="00EF28E1">
        <w:rPr>
          <w:sz w:val="22"/>
          <w:szCs w:val="22"/>
        </w:rPr>
        <w:t>ETHICAL APPROVAL</w:t>
      </w:r>
    </w:p>
    <w:p w14:paraId="0C855A4C" w14:textId="69BC6C65" w:rsidR="00EC1EE6" w:rsidRPr="00EF28E1" w:rsidRDefault="00EC1EE6" w:rsidP="00EC1EE6">
      <w:pPr>
        <w:spacing w:line="480" w:lineRule="auto"/>
        <w:jc w:val="both"/>
        <w:rPr>
          <w:rFonts w:ascii="Arial" w:hAnsi="Arial" w:cs="Arial"/>
          <w:b/>
          <w:bCs/>
          <w:sz w:val="20"/>
          <w:szCs w:val="20"/>
        </w:rPr>
      </w:pPr>
      <w:r w:rsidRPr="00EF28E1">
        <w:rPr>
          <w:rFonts w:ascii="Arial" w:hAnsi="Arial" w:cs="Arial"/>
          <w:sz w:val="20"/>
          <w:szCs w:val="20"/>
        </w:rPr>
        <w:t xml:space="preserve">This study obtained ethical approval from the Bioethics Committee for Health Research of the Ministry of Health of Togo (CBRS) (N° 017/2022/ CBRS dated May 24, 2022) before its implementation. In </w:t>
      </w:r>
      <w:r w:rsidRPr="00EF28E1">
        <w:rPr>
          <w:rFonts w:ascii="Arial" w:hAnsi="Arial" w:cs="Arial"/>
          <w:sz w:val="20"/>
          <w:szCs w:val="20"/>
        </w:rPr>
        <w:lastRenderedPageBreak/>
        <w:t>addition, written informed consent was obtained from each enrolled adult and the parent or guardian of each child participating in the study prior to their inclusion. The data collected is stored in a secure, password-protected environment and evaluated only by the survey team</w:t>
      </w:r>
      <w:r w:rsidR="00440413">
        <w:rPr>
          <w:rFonts w:ascii="Arial" w:hAnsi="Arial" w:cs="Arial"/>
          <w:sz w:val="20"/>
          <w:szCs w:val="20"/>
        </w:rPr>
        <w:t>.</w:t>
      </w:r>
    </w:p>
    <w:p w14:paraId="553DAAC4" w14:textId="7FBD9EC0" w:rsidR="00EC5B2F" w:rsidRPr="00C770DD" w:rsidRDefault="00EF28E1" w:rsidP="00451967">
      <w:pPr>
        <w:pStyle w:val="Heading1"/>
        <w:spacing w:before="240" w:line="480" w:lineRule="auto"/>
        <w:jc w:val="both"/>
        <w:rPr>
          <w:sz w:val="22"/>
          <w:szCs w:val="22"/>
          <w:lang w:val="fr-FR"/>
        </w:rPr>
      </w:pPr>
      <w:r w:rsidRPr="00C770DD">
        <w:rPr>
          <w:sz w:val="22"/>
          <w:szCs w:val="22"/>
          <w:lang w:val="fr-FR"/>
        </w:rPr>
        <w:t>REFERENCES</w:t>
      </w:r>
    </w:p>
    <w:bookmarkStart w:id="19" w:name="_Hlk193406804"/>
    <w:p w14:paraId="7C31D974" w14:textId="600AC26A" w:rsidR="00422B90" w:rsidRPr="00C770DD" w:rsidRDefault="00846342" w:rsidP="00422B90">
      <w:pPr>
        <w:widowControl w:val="0"/>
        <w:autoSpaceDE w:val="0"/>
        <w:autoSpaceDN w:val="0"/>
        <w:adjustRightInd w:val="0"/>
        <w:spacing w:before="240" w:line="480" w:lineRule="auto"/>
        <w:ind w:left="480" w:hanging="480"/>
        <w:rPr>
          <w:rFonts w:ascii="Arial" w:hAnsi="Arial" w:cs="Arial"/>
          <w:kern w:val="0"/>
          <w:sz w:val="20"/>
          <w:lang w:val="fr-FR"/>
        </w:rPr>
      </w:pPr>
      <w:r w:rsidRPr="00070FED">
        <w:rPr>
          <w:rFonts w:ascii="Arial" w:hAnsi="Arial" w:cs="Arial"/>
          <w:b/>
          <w:bCs/>
          <w:sz w:val="20"/>
          <w:szCs w:val="20"/>
          <w:lang w:val="fr-FR"/>
        </w:rPr>
        <w:fldChar w:fldCharType="begin" w:fldLock="1"/>
      </w:r>
      <w:r w:rsidRPr="00C770DD">
        <w:rPr>
          <w:rFonts w:ascii="Arial" w:hAnsi="Arial" w:cs="Arial"/>
          <w:b/>
          <w:bCs/>
          <w:sz w:val="20"/>
          <w:szCs w:val="20"/>
          <w:lang w:val="fr-FR"/>
        </w:rPr>
        <w:instrText xml:space="preserve">ADDIN Mendeley Bibliography CSL_BIBLIOGRAPHY </w:instrText>
      </w:r>
      <w:r w:rsidRPr="00070FED">
        <w:rPr>
          <w:rFonts w:ascii="Arial" w:hAnsi="Arial" w:cs="Arial"/>
          <w:b/>
          <w:bCs/>
          <w:sz w:val="20"/>
          <w:szCs w:val="20"/>
          <w:lang w:val="fr-FR"/>
        </w:rPr>
        <w:fldChar w:fldCharType="separate"/>
      </w:r>
      <w:r w:rsidR="00422B90" w:rsidRPr="00C770DD">
        <w:rPr>
          <w:rFonts w:ascii="Arial" w:hAnsi="Arial" w:cs="Arial"/>
          <w:kern w:val="0"/>
          <w:sz w:val="20"/>
          <w:lang w:val="fr-FR"/>
        </w:rPr>
        <w:t>Bastides, F., 2010. trichosporonoses : les nouvelles mycoses émergentes Zygomycosis , fusariosis , scedosporiosis , trichosporonosis : The new. Société réanimation Lang. française 319–326. https://doi.org/10.1016/j.reaurg.2010.03.019</w:t>
      </w:r>
    </w:p>
    <w:p w14:paraId="1F703AA4"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C770DD">
        <w:rPr>
          <w:rFonts w:ascii="Arial" w:hAnsi="Arial" w:cs="Arial"/>
          <w:kern w:val="0"/>
          <w:sz w:val="20"/>
          <w:lang w:val="fr-FR"/>
        </w:rPr>
        <w:t xml:space="preserve">Becker, P., Normand, A.C., Vanantwerpen, G., Vanrobaeys, M., Haesendonck, R., Vercammen, F., Stubbe, D., Piarroux, R., Hendrickx, M., 2019. </w:t>
      </w:r>
      <w:r w:rsidRPr="00422B90">
        <w:rPr>
          <w:rFonts w:ascii="Arial" w:hAnsi="Arial" w:cs="Arial"/>
          <w:kern w:val="0"/>
          <w:sz w:val="20"/>
        </w:rPr>
        <w:t>Identification of fungal isolates by MALDI-TOF mass spectrometry in veterinary practice: validation of a web application. J. Vet. Diagnostic Investig. 31, 471–474. https://doi.org/10.1177/1040638719835577</w:t>
      </w:r>
    </w:p>
    <w:p w14:paraId="2F867707" w14:textId="77777777" w:rsidR="00422B90" w:rsidRPr="00C770DD" w:rsidRDefault="00422B90" w:rsidP="00422B90">
      <w:pPr>
        <w:widowControl w:val="0"/>
        <w:autoSpaceDE w:val="0"/>
        <w:autoSpaceDN w:val="0"/>
        <w:adjustRightInd w:val="0"/>
        <w:spacing w:before="240" w:line="480" w:lineRule="auto"/>
        <w:ind w:left="480" w:hanging="480"/>
        <w:rPr>
          <w:rFonts w:ascii="Arial" w:hAnsi="Arial" w:cs="Arial"/>
          <w:kern w:val="0"/>
          <w:sz w:val="20"/>
          <w:lang w:val="fr-FR"/>
        </w:rPr>
      </w:pPr>
      <w:r w:rsidRPr="00422B90">
        <w:rPr>
          <w:rFonts w:ascii="Arial" w:hAnsi="Arial" w:cs="Arial"/>
          <w:kern w:val="0"/>
          <w:sz w:val="20"/>
        </w:rPr>
        <w:t xml:space="preserve">Birhanu, A.G., 2023. Mass spectrometry-based proteomics as an emerging tool in clinical laboratories. </w:t>
      </w:r>
      <w:r w:rsidRPr="00C770DD">
        <w:rPr>
          <w:rFonts w:ascii="Arial" w:hAnsi="Arial" w:cs="Arial"/>
          <w:kern w:val="0"/>
          <w:sz w:val="20"/>
          <w:lang w:val="fr-FR"/>
        </w:rPr>
        <w:t>Clin. Proteomics 20, 1–20. https://doi.org/10.1186/s12014-023-09424-x</w:t>
      </w:r>
    </w:p>
    <w:p w14:paraId="73641A41" w14:textId="77777777" w:rsidR="00B2288B" w:rsidRDefault="00B2288B" w:rsidP="00422B90">
      <w:pPr>
        <w:widowControl w:val="0"/>
        <w:autoSpaceDE w:val="0"/>
        <w:autoSpaceDN w:val="0"/>
        <w:adjustRightInd w:val="0"/>
        <w:spacing w:before="240" w:line="480" w:lineRule="auto"/>
        <w:ind w:left="480" w:hanging="480"/>
        <w:rPr>
          <w:rFonts w:ascii="Arial" w:hAnsi="Arial" w:cs="Arial"/>
          <w:kern w:val="0"/>
          <w:sz w:val="20"/>
          <w:lang w:val="fr-FR"/>
        </w:rPr>
      </w:pPr>
      <w:r w:rsidRPr="00B2288B">
        <w:rPr>
          <w:rFonts w:ascii="Arial" w:hAnsi="Arial" w:cs="Arial"/>
          <w:kern w:val="0"/>
          <w:sz w:val="20"/>
          <w:lang w:val="fr-FR"/>
        </w:rPr>
        <w:t>Blaize, M., Normand, A.-C., Fekkar, A., Piarroux, R., 2021. Identification of molds in the routine hospital laboratory. Rev. Francoph. des Lab. 2021, 58–65. https://doi.org/10.1016/s1773-035x(21)00039-3</w:t>
      </w:r>
    </w:p>
    <w:p w14:paraId="5B874321" w14:textId="5B9EBA76" w:rsidR="00422B90" w:rsidRPr="00C770DD" w:rsidRDefault="00422B90" w:rsidP="00422B90">
      <w:pPr>
        <w:widowControl w:val="0"/>
        <w:autoSpaceDE w:val="0"/>
        <w:autoSpaceDN w:val="0"/>
        <w:adjustRightInd w:val="0"/>
        <w:spacing w:before="240" w:line="480" w:lineRule="auto"/>
        <w:ind w:left="480" w:hanging="480"/>
        <w:rPr>
          <w:rFonts w:ascii="Arial" w:hAnsi="Arial" w:cs="Arial"/>
          <w:kern w:val="0"/>
          <w:sz w:val="20"/>
          <w:lang w:val="fr-FR"/>
        </w:rPr>
      </w:pPr>
      <w:r w:rsidRPr="00C770DD">
        <w:rPr>
          <w:rFonts w:ascii="Arial" w:hAnsi="Arial" w:cs="Arial"/>
          <w:kern w:val="0"/>
          <w:sz w:val="20"/>
          <w:lang w:val="fr-FR"/>
        </w:rPr>
        <w:t>Calderón-Celis, F., Encinar, J.R., Sanz-Medel, A., 2018. Standardization approaches in absolute quantitative proteomics with mass spectrometry. Mass Spectrom. Rev. 37, 715–737. https://doi.org/10.1002/mas.21542</w:t>
      </w:r>
    </w:p>
    <w:p w14:paraId="6F2739FA"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C770DD">
        <w:rPr>
          <w:rFonts w:ascii="Arial" w:hAnsi="Arial" w:cs="Arial"/>
          <w:kern w:val="0"/>
          <w:sz w:val="20"/>
          <w:lang w:val="fr-FR"/>
        </w:rPr>
        <w:t xml:space="preserve">Cassagne, C., Cella, A.L., Suchon, P., Normand, A.C., Ranque, S., Piarroux, R., 2013. </w:t>
      </w:r>
      <w:r w:rsidRPr="00422B90">
        <w:rPr>
          <w:rFonts w:ascii="Arial" w:hAnsi="Arial" w:cs="Arial"/>
          <w:kern w:val="0"/>
          <w:sz w:val="20"/>
        </w:rPr>
        <w:t>Evaluation of four pretreatment procedures for MALDI-TOF MS yeast identification in the routine clinical laboratory. Med. Mycol. 51, 371–377. https://doi.org/10.3109/13693786.2012.720720</w:t>
      </w:r>
    </w:p>
    <w:p w14:paraId="7E261DE9" w14:textId="77777777" w:rsidR="00B2288B" w:rsidRDefault="00B2288B" w:rsidP="00422B90">
      <w:pPr>
        <w:widowControl w:val="0"/>
        <w:autoSpaceDE w:val="0"/>
        <w:autoSpaceDN w:val="0"/>
        <w:adjustRightInd w:val="0"/>
        <w:spacing w:before="240" w:line="480" w:lineRule="auto"/>
        <w:ind w:left="480" w:hanging="480"/>
        <w:rPr>
          <w:rFonts w:ascii="Arial" w:hAnsi="Arial" w:cs="Arial"/>
          <w:kern w:val="0"/>
          <w:sz w:val="20"/>
        </w:rPr>
      </w:pPr>
      <w:r w:rsidRPr="00B2288B">
        <w:rPr>
          <w:rFonts w:ascii="Arial" w:hAnsi="Arial" w:cs="Arial"/>
          <w:kern w:val="0"/>
          <w:sz w:val="20"/>
        </w:rPr>
        <w:t>Desoubeaux, G., Poulain, D., Courcol, R., Chandenier, J., Sendid, B., 2010a. MALDI-TOF mass spectrometry, a new tool that medical mycology cannot bypass. Preliminary exploration of an application concerning the identification of yeasts isolated in a French University Hospital 263–267. https://doi.org/10.1016/j.mycmed.2010.10.003</w:t>
      </w:r>
    </w:p>
    <w:p w14:paraId="35023844" w14:textId="7A287BE6" w:rsidR="00422B90" w:rsidRPr="00C770DD" w:rsidRDefault="00422B90" w:rsidP="00422B90">
      <w:pPr>
        <w:widowControl w:val="0"/>
        <w:autoSpaceDE w:val="0"/>
        <w:autoSpaceDN w:val="0"/>
        <w:adjustRightInd w:val="0"/>
        <w:spacing w:before="240" w:line="480" w:lineRule="auto"/>
        <w:ind w:left="480" w:hanging="480"/>
        <w:rPr>
          <w:rFonts w:ascii="Arial" w:hAnsi="Arial" w:cs="Arial"/>
          <w:kern w:val="0"/>
          <w:sz w:val="20"/>
          <w:lang w:val="fr-FR"/>
        </w:rPr>
      </w:pPr>
      <w:r w:rsidRPr="00C770DD">
        <w:rPr>
          <w:rFonts w:ascii="Arial" w:hAnsi="Arial" w:cs="Arial"/>
          <w:kern w:val="0"/>
          <w:sz w:val="20"/>
          <w:lang w:val="fr-FR"/>
        </w:rPr>
        <w:lastRenderedPageBreak/>
        <w:t>Efoé S</w:t>
      </w:r>
      <w:r w:rsidR="006B0C8F" w:rsidRPr="00C770DD">
        <w:rPr>
          <w:rFonts w:ascii="Arial" w:hAnsi="Arial" w:cs="Arial"/>
          <w:kern w:val="0"/>
          <w:sz w:val="20"/>
          <w:lang w:val="fr-FR"/>
        </w:rPr>
        <w:t>ossou</w:t>
      </w:r>
      <w:r w:rsidRPr="00C770DD">
        <w:rPr>
          <w:rFonts w:ascii="Arial" w:hAnsi="Arial" w:cs="Arial"/>
          <w:kern w:val="0"/>
          <w:sz w:val="20"/>
          <w:lang w:val="fr-FR"/>
        </w:rPr>
        <w:t>, Ameyo D</w:t>
      </w:r>
      <w:r w:rsidR="006B0C8F" w:rsidRPr="00C770DD">
        <w:rPr>
          <w:rFonts w:ascii="Arial" w:hAnsi="Arial" w:cs="Arial"/>
          <w:kern w:val="0"/>
          <w:sz w:val="20"/>
          <w:lang w:val="fr-FR"/>
        </w:rPr>
        <w:t>orkenoo</w:t>
      </w:r>
      <w:r w:rsidRPr="00C770DD">
        <w:rPr>
          <w:rFonts w:ascii="Arial" w:hAnsi="Arial" w:cs="Arial"/>
          <w:kern w:val="0"/>
          <w:sz w:val="20"/>
          <w:lang w:val="fr-FR"/>
        </w:rPr>
        <w:t>, A.K.A.-T., 2024. Profil des espèces fongiques isolées lors de consultations dermatologiques à Lomé (Togo). MÉDECINE Trop. SANTÉ Int. 1–13. https://doi.org/DOI : 10.48327/mtsi.v4i3.2024.545</w:t>
      </w:r>
    </w:p>
    <w:p w14:paraId="313568B0"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C770DD">
        <w:rPr>
          <w:rFonts w:ascii="Arial" w:hAnsi="Arial" w:cs="Arial"/>
          <w:kern w:val="0"/>
          <w:sz w:val="20"/>
          <w:lang w:val="fr-FR"/>
        </w:rPr>
        <w:t xml:space="preserve">Kiki-Barro, P.C.M., Konaté, A., Angora, E.K., Kassi, F.K., Bosson-Vanga, H., Bedia-Tanoh, A. V., Djohan, V., Yavo, W., Menan, E.I.H., 2017. </w:t>
      </w:r>
      <w:r w:rsidRPr="00422B90">
        <w:rPr>
          <w:rFonts w:ascii="Arial" w:hAnsi="Arial" w:cs="Arial"/>
          <w:kern w:val="0"/>
          <w:sz w:val="20"/>
        </w:rPr>
        <w:t>Fungal aetiologies and contributing factors of interdigital tinea pedis among policemen in Abidjan (Ivory Coast). J. Mycol. Med. 27, 561–566. https://doi.org/10.1016/j.mycmed.2017.07.011</w:t>
      </w:r>
    </w:p>
    <w:p w14:paraId="68FDF590"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422B90">
        <w:rPr>
          <w:rFonts w:ascii="Arial" w:hAnsi="Arial" w:cs="Arial"/>
          <w:kern w:val="0"/>
          <w:sz w:val="20"/>
        </w:rPr>
        <w:t>Lacroix, C., Gicquel, A., Sendid, B., Meyer, J., Accoceberry, I., François, N., Morio, F., Desoubeaux, G., Chandenier, J., Kauffmann-Lacroix, C., Hennequin, C., Guitard, J., Nassif, X., Bougnoux, M.E., 2014. Evaluation of two matrix-assisted laser desorption ionization-time of flight mass spectrometry (MALDI-TOF MS) systems for the identification of Candida species. Clin. Microbiol. Infect. 20, 153–158. https://doi.org/10.1111/1469-0691.12210</w:t>
      </w:r>
    </w:p>
    <w:p w14:paraId="71C2760B"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422B90">
        <w:rPr>
          <w:rFonts w:ascii="Arial" w:hAnsi="Arial" w:cs="Arial"/>
          <w:kern w:val="0"/>
          <w:sz w:val="20"/>
        </w:rPr>
        <w:t>Lipner, S.R., Scher, R.K., 2019. Onychomycosis: Treatment and prevention of recurrence. J. Am. Acad. Dermatol. 80, 853–867. https://doi.org/10.1016/j.jaad.2018.05.1260</w:t>
      </w:r>
    </w:p>
    <w:p w14:paraId="4C3770F1"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422B90">
        <w:rPr>
          <w:rFonts w:ascii="Arial" w:hAnsi="Arial" w:cs="Arial"/>
          <w:kern w:val="0"/>
          <w:sz w:val="20"/>
        </w:rPr>
        <w:t>Lombardi, G., Lo Cascio, G., Andreoni, S., Blasi, E., Conte, M., Farina, C., Fazii, P., Sanna, S., Trovato, L., 2020. Superficial and subcutaneous mycoses. Microbiol. Medica 35. https://doi.org/10.4081/mm.2020.9156</w:t>
      </w:r>
    </w:p>
    <w:p w14:paraId="05F4AB97"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C770DD">
        <w:rPr>
          <w:rFonts w:ascii="Arial" w:hAnsi="Arial" w:cs="Arial"/>
          <w:kern w:val="0"/>
          <w:sz w:val="20"/>
          <w:lang w:val="sv-SE"/>
        </w:rPr>
        <w:t xml:space="preserve">Nonnemann, B., Lyhs, U., Svennesen, L., Kristensen, K.A., Klaas, I.C., Pedersen, K., 2019. </w:t>
      </w:r>
      <w:r w:rsidRPr="00422B90">
        <w:rPr>
          <w:rFonts w:ascii="Arial" w:hAnsi="Arial" w:cs="Arial"/>
          <w:kern w:val="0"/>
          <w:sz w:val="20"/>
        </w:rPr>
        <w:t>Bovine mastitis bacteria resolved by MALDI-TOF mass spectrometry. J. Dairy Sci. 1–10. https://doi.org/10.3168/jds.2018-15424</w:t>
      </w:r>
    </w:p>
    <w:p w14:paraId="166771C3"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422B90">
        <w:rPr>
          <w:rFonts w:ascii="Arial" w:hAnsi="Arial" w:cs="Arial"/>
          <w:kern w:val="0"/>
          <w:sz w:val="20"/>
        </w:rPr>
        <w:t>Normand AC, Blaize M, Imbert S, Packeu A, Becker P, Fekkar A, Stubbe D, P.R., 2021. Identification of Molds with Matrix-Assisted Laser Desorption Ionization-Time of Flight Mass Spectrometry: Performance of the Newly Developed MSI-2 Application in Comparison with the Bruker Filamentous Fungi Database and MSI-1. J Clin Microbiol. 20;59, e0129921. https://doi.org/10.1128/JCM.01299-21.</w:t>
      </w:r>
    </w:p>
    <w:p w14:paraId="1983F845"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422B90">
        <w:rPr>
          <w:rFonts w:ascii="Arial" w:hAnsi="Arial" w:cs="Arial"/>
          <w:kern w:val="0"/>
          <w:sz w:val="20"/>
        </w:rPr>
        <w:t xml:space="preserve">Osa, M., Belo, M.C., Dela Merced, Z., Villanueva, A.M.G., Mauhay, J., Celis, A., Catli, M., Suzuki, S., Ukawa, T., Tamaki, S., Dhoubhadel, B.G., Ariyoshi, K., Telan, E.F.O., Umipig, D.V., Parry, C.M., </w:t>
      </w:r>
      <w:r w:rsidRPr="00422B90">
        <w:rPr>
          <w:rFonts w:ascii="Arial" w:hAnsi="Arial" w:cs="Arial"/>
          <w:kern w:val="0"/>
          <w:sz w:val="20"/>
        </w:rPr>
        <w:lastRenderedPageBreak/>
        <w:t>Saito, N., Smith, C., 2021. Performance of maldi–tof mass spectrometry in the philippines. Trop. Med. Infect. Dis. 6, 1–9. https://doi.org/10.3390/tropicalmed6030112</w:t>
      </w:r>
    </w:p>
    <w:p w14:paraId="76D82BE8" w14:textId="77777777" w:rsidR="00422B90" w:rsidRPr="00C770DD" w:rsidRDefault="00422B90" w:rsidP="00422B90">
      <w:pPr>
        <w:widowControl w:val="0"/>
        <w:autoSpaceDE w:val="0"/>
        <w:autoSpaceDN w:val="0"/>
        <w:adjustRightInd w:val="0"/>
        <w:spacing w:before="240" w:line="480" w:lineRule="auto"/>
        <w:ind w:left="480" w:hanging="480"/>
        <w:rPr>
          <w:rFonts w:ascii="Arial" w:hAnsi="Arial" w:cs="Arial"/>
          <w:kern w:val="0"/>
          <w:sz w:val="20"/>
          <w:lang w:val="fr-FR"/>
        </w:rPr>
      </w:pPr>
      <w:r w:rsidRPr="00422B90">
        <w:rPr>
          <w:rFonts w:ascii="Arial" w:hAnsi="Arial" w:cs="Arial"/>
          <w:kern w:val="0"/>
          <w:sz w:val="20"/>
        </w:rPr>
        <w:t xml:space="preserve">Pham, D., Sivalingam, V., Tang, H.M., Montgomery, J.M., Chen, S.C., Halliday, C.L., 2024. Molecular Diagnostics for Invasive Fungal Diseases : Current and Future Approaches. </w:t>
      </w:r>
      <w:r w:rsidRPr="00C770DD">
        <w:rPr>
          <w:rFonts w:ascii="Arial" w:hAnsi="Arial" w:cs="Arial"/>
          <w:kern w:val="0"/>
          <w:sz w:val="20"/>
          <w:lang w:val="fr-FR"/>
        </w:rPr>
        <w:t>J. Fungi 1–31. https://doi.org/https://doi.org/10.3390/jof10070447</w:t>
      </w:r>
    </w:p>
    <w:p w14:paraId="5E195000" w14:textId="77777777" w:rsidR="00422B90" w:rsidRPr="00C770DD" w:rsidRDefault="00422B90" w:rsidP="00422B90">
      <w:pPr>
        <w:widowControl w:val="0"/>
        <w:autoSpaceDE w:val="0"/>
        <w:autoSpaceDN w:val="0"/>
        <w:adjustRightInd w:val="0"/>
        <w:spacing w:before="240" w:line="480" w:lineRule="auto"/>
        <w:ind w:left="480" w:hanging="480"/>
        <w:rPr>
          <w:rFonts w:ascii="Arial" w:hAnsi="Arial" w:cs="Arial"/>
          <w:kern w:val="0"/>
          <w:sz w:val="20"/>
          <w:lang w:val="fr-FR"/>
        </w:rPr>
      </w:pPr>
      <w:r w:rsidRPr="00C770DD">
        <w:rPr>
          <w:rFonts w:ascii="Arial" w:hAnsi="Arial" w:cs="Arial"/>
          <w:kern w:val="0"/>
          <w:sz w:val="20"/>
          <w:lang w:val="fr-FR"/>
        </w:rPr>
        <w:t xml:space="preserve">Sendid, B., Ducoroy, P., François, N., Lucchi, G., Spinali, S., Vagner, O., Damiens, S., Bonnin, A., Poulain, D., Dalle, F., 2013. </w:t>
      </w:r>
      <w:r w:rsidRPr="00422B90">
        <w:rPr>
          <w:rFonts w:ascii="Arial" w:hAnsi="Arial" w:cs="Arial"/>
          <w:kern w:val="0"/>
          <w:sz w:val="20"/>
        </w:rPr>
        <w:t xml:space="preserve">Evaluation of MALDI-TOF mass spectrometry for the identification of medically-important yeasts in the clinical laboratories of Dijon and Lille hospitals. </w:t>
      </w:r>
      <w:r w:rsidRPr="00C770DD">
        <w:rPr>
          <w:rFonts w:ascii="Arial" w:hAnsi="Arial" w:cs="Arial"/>
          <w:kern w:val="0"/>
          <w:sz w:val="20"/>
          <w:lang w:val="fr-FR"/>
        </w:rPr>
        <w:t>Med. Mycol. 51, 25–32. https://doi.org/10.3109/13693786.2012.693631</w:t>
      </w:r>
    </w:p>
    <w:p w14:paraId="7E721AD3" w14:textId="77777777" w:rsidR="00B2288B" w:rsidRDefault="00B2288B" w:rsidP="00422B90">
      <w:pPr>
        <w:widowControl w:val="0"/>
        <w:autoSpaceDE w:val="0"/>
        <w:autoSpaceDN w:val="0"/>
        <w:adjustRightInd w:val="0"/>
        <w:spacing w:before="240" w:line="480" w:lineRule="auto"/>
        <w:ind w:left="480" w:hanging="480"/>
        <w:rPr>
          <w:rFonts w:ascii="Arial" w:hAnsi="Arial" w:cs="Arial"/>
          <w:kern w:val="0"/>
          <w:sz w:val="20"/>
          <w:lang w:val="fr-FR"/>
        </w:rPr>
      </w:pPr>
      <w:r w:rsidRPr="00B2288B">
        <w:rPr>
          <w:rFonts w:ascii="Arial" w:hAnsi="Arial" w:cs="Arial"/>
          <w:kern w:val="0"/>
          <w:sz w:val="20"/>
          <w:lang w:val="fr-FR"/>
        </w:rPr>
        <w:t>Simon, É., 2021. Development of a sequencing technique for fungal identification To cite this version: HAL Id: dumas-03213063 University of Rouen Normandy UFR Health – Pharmacy Department, HAL Id dumas-03213063.</w:t>
      </w:r>
    </w:p>
    <w:p w14:paraId="1C398989" w14:textId="6F17C875"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C770DD">
        <w:rPr>
          <w:rFonts w:ascii="Arial" w:hAnsi="Arial" w:cs="Arial"/>
          <w:kern w:val="0"/>
          <w:sz w:val="20"/>
          <w:lang w:val="sv-SE"/>
        </w:rPr>
        <w:t xml:space="preserve">Singhal, N., Kumar, M., Kanaujia, P.K., Virdi, J.S., 2015. </w:t>
      </w:r>
      <w:r w:rsidRPr="00422B90">
        <w:rPr>
          <w:rFonts w:ascii="Arial" w:hAnsi="Arial" w:cs="Arial"/>
          <w:kern w:val="0"/>
          <w:sz w:val="20"/>
        </w:rPr>
        <w:t>MALDI-TOF mass spectrometry: An emerging technology for microbial identification and diagnosis. Front. Microbiol. 6, 1–16. https://doi.org/10.3389/fmicb.2015.00791</w:t>
      </w:r>
    </w:p>
    <w:p w14:paraId="665E0231" w14:textId="77777777" w:rsidR="00422B90" w:rsidRPr="00C770DD" w:rsidRDefault="00422B90" w:rsidP="00422B90">
      <w:pPr>
        <w:widowControl w:val="0"/>
        <w:autoSpaceDE w:val="0"/>
        <w:autoSpaceDN w:val="0"/>
        <w:adjustRightInd w:val="0"/>
        <w:spacing w:before="240" w:line="480" w:lineRule="auto"/>
        <w:ind w:left="480" w:hanging="480"/>
        <w:rPr>
          <w:rFonts w:ascii="Arial" w:hAnsi="Arial" w:cs="Arial"/>
          <w:kern w:val="0"/>
          <w:sz w:val="20"/>
          <w:lang w:val="fr-FR"/>
        </w:rPr>
      </w:pPr>
      <w:r w:rsidRPr="00422B90">
        <w:rPr>
          <w:rFonts w:ascii="Arial" w:hAnsi="Arial" w:cs="Arial"/>
          <w:kern w:val="0"/>
          <w:sz w:val="20"/>
        </w:rPr>
        <w:t xml:space="preserve">Stein Markus, Vanessa Tran, A. Nichol, Philippe Lagacé-Wiens, Peter Pieroni, Heather J. Adam, Christine Turenne, Andrew J. Walkty, Anne-Cécile Normand, Marijike Hendrickx, R.P. and A.K., 2018. Evaluation of Three MALDI-TOF Mass Spectrometry Librairies for Identification of Filamentous Fungi in Three Clinical Microbiology Laboratories in Manitoba, Canada. </w:t>
      </w:r>
      <w:r w:rsidRPr="00C770DD">
        <w:rPr>
          <w:rFonts w:ascii="Arial" w:hAnsi="Arial" w:cs="Arial"/>
          <w:kern w:val="0"/>
          <w:sz w:val="20"/>
          <w:lang w:val="fr-FR"/>
        </w:rPr>
        <w:t>Mycoses 61, 1–26. https://doi.org/10.1111/myc.12800</w:t>
      </w:r>
    </w:p>
    <w:p w14:paraId="3F86FF32" w14:textId="77777777" w:rsidR="00422B90" w:rsidRPr="00C770DD" w:rsidRDefault="00422B90" w:rsidP="00422B90">
      <w:pPr>
        <w:widowControl w:val="0"/>
        <w:autoSpaceDE w:val="0"/>
        <w:autoSpaceDN w:val="0"/>
        <w:adjustRightInd w:val="0"/>
        <w:spacing w:before="240" w:line="480" w:lineRule="auto"/>
        <w:ind w:left="480" w:hanging="480"/>
        <w:rPr>
          <w:rFonts w:ascii="Arial" w:hAnsi="Arial" w:cs="Arial"/>
          <w:kern w:val="0"/>
          <w:sz w:val="20"/>
          <w:lang w:val="fr-FR"/>
        </w:rPr>
      </w:pPr>
      <w:r w:rsidRPr="00C770DD">
        <w:rPr>
          <w:rFonts w:ascii="Arial" w:hAnsi="Arial" w:cs="Arial"/>
          <w:kern w:val="0"/>
          <w:sz w:val="20"/>
          <w:lang w:val="fr-FR"/>
        </w:rPr>
        <w:t xml:space="preserve">Stéphane Ranque, Anne-Cécile Normand, Carole Cassagne, Jean-Benjamin Murat, Nathalie Bourgeois, Frédéric Dalle, Martine Gari-Toussaint, Patrick Fourquet, Marijke Hendrickx, R.P., 2014. </w:t>
      </w:r>
      <w:r w:rsidRPr="00422B90">
        <w:rPr>
          <w:rFonts w:ascii="Arial" w:hAnsi="Arial" w:cs="Arial"/>
          <w:kern w:val="0"/>
          <w:sz w:val="20"/>
        </w:rPr>
        <w:t xml:space="preserve">Identification of filamentous fungi by MALDI-TOF mass spectrometry in clinical laboratories. </w:t>
      </w:r>
      <w:r w:rsidRPr="00C770DD">
        <w:rPr>
          <w:rFonts w:ascii="Arial" w:hAnsi="Arial" w:cs="Arial"/>
          <w:kern w:val="0"/>
          <w:sz w:val="20"/>
          <w:lang w:val="fr-FR"/>
        </w:rPr>
        <w:t>Mycoses 57, 135–140. https://doi.org/10.1111/myc.12115</w:t>
      </w:r>
    </w:p>
    <w:p w14:paraId="38F9027F"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C770DD">
        <w:rPr>
          <w:rFonts w:ascii="Arial" w:hAnsi="Arial" w:cs="Arial"/>
          <w:kern w:val="0"/>
          <w:sz w:val="20"/>
          <w:lang w:val="fr-FR"/>
        </w:rPr>
        <w:t xml:space="preserve">Stéphane Ranque, Normand, A.C., Cassagne, C., Murat, J.B., Al., B. et, 2014. </w:t>
      </w:r>
      <w:r w:rsidRPr="00422B90">
        <w:rPr>
          <w:rFonts w:ascii="Arial" w:hAnsi="Arial" w:cs="Arial"/>
          <w:kern w:val="0"/>
          <w:sz w:val="20"/>
        </w:rPr>
        <w:t>MALDI-TOF mass spectrometry identification of filamentous fungi in the clinical laboratory. Mycoses 57, 135–140. https://doi.org/10.1111/myc.12115</w:t>
      </w:r>
    </w:p>
    <w:p w14:paraId="43E19A1A"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kern w:val="0"/>
          <w:sz w:val="20"/>
        </w:rPr>
      </w:pPr>
      <w:r w:rsidRPr="00422B90">
        <w:rPr>
          <w:rFonts w:ascii="Arial" w:hAnsi="Arial" w:cs="Arial"/>
          <w:kern w:val="0"/>
          <w:sz w:val="20"/>
        </w:rPr>
        <w:lastRenderedPageBreak/>
        <w:t>Topić Popović, N., Kazazić, S.P., Bojanić, K., Strunjak-Perović, I., Čož-Rakovac, R., 2023. Sample preparation and culture condition effects on MALDI-TOF MS identification of bacteria: A review. Mass Spectrom. Rev. 42, 1589–1603. https://doi.org/10.1002/mas.21739</w:t>
      </w:r>
    </w:p>
    <w:p w14:paraId="40E1BABA" w14:textId="77777777" w:rsidR="00422B90" w:rsidRPr="00422B90" w:rsidRDefault="00422B90" w:rsidP="00422B90">
      <w:pPr>
        <w:widowControl w:val="0"/>
        <w:autoSpaceDE w:val="0"/>
        <w:autoSpaceDN w:val="0"/>
        <w:adjustRightInd w:val="0"/>
        <w:spacing w:before="240" w:line="480" w:lineRule="auto"/>
        <w:ind w:left="480" w:hanging="480"/>
        <w:rPr>
          <w:rFonts w:ascii="Arial" w:hAnsi="Arial" w:cs="Arial"/>
          <w:sz w:val="20"/>
        </w:rPr>
      </w:pPr>
      <w:r w:rsidRPr="00422B90">
        <w:rPr>
          <w:rFonts w:ascii="Arial" w:hAnsi="Arial" w:cs="Arial"/>
          <w:kern w:val="0"/>
          <w:sz w:val="20"/>
        </w:rPr>
        <w:t>Tsuchida S, Umemura H, N.T., 2023. Current Status of Matrix-Assisted Laser Desorption/Ionization-Time-of-Flight Mass Spectrometry (MALDI-TOF MS) in Clinical Diagnostic Microbiology. Molecules 17, 4775. https://doi.org/10.3390/molecules25204775.</w:t>
      </w:r>
    </w:p>
    <w:p w14:paraId="3172C8D2" w14:textId="704F73D5" w:rsidR="00B65807" w:rsidRPr="006A6222" w:rsidRDefault="00846342" w:rsidP="006B0C8F">
      <w:pPr>
        <w:widowControl w:val="0"/>
        <w:autoSpaceDE w:val="0"/>
        <w:autoSpaceDN w:val="0"/>
        <w:adjustRightInd w:val="0"/>
        <w:spacing w:before="240" w:line="480" w:lineRule="auto"/>
        <w:jc w:val="both"/>
        <w:rPr>
          <w:rFonts w:ascii="Arial" w:hAnsi="Arial" w:cs="Arial"/>
          <w:b/>
          <w:bCs/>
          <w:sz w:val="24"/>
          <w:szCs w:val="24"/>
        </w:rPr>
      </w:pPr>
      <w:r w:rsidRPr="00070FED">
        <w:rPr>
          <w:rFonts w:ascii="Arial" w:hAnsi="Arial" w:cs="Arial"/>
          <w:b/>
          <w:bCs/>
          <w:sz w:val="20"/>
          <w:szCs w:val="20"/>
          <w:lang w:val="fr-FR"/>
        </w:rPr>
        <w:fldChar w:fldCharType="end"/>
      </w:r>
      <w:bookmarkEnd w:id="19"/>
    </w:p>
    <w:sectPr w:rsidR="00B65807" w:rsidRPr="006A6222" w:rsidSect="00D25F96">
      <w:headerReference w:type="even" r:id="rId20"/>
      <w:headerReference w:type="default" r:id="rId21"/>
      <w:footerReference w:type="even" r:id="rId22"/>
      <w:footerReference w:type="default" r:id="rId23"/>
      <w:headerReference w:type="first" r:id="rId24"/>
      <w:footerReference w:type="first" r:id="rId25"/>
      <w:footnotePr>
        <w:numFmt w:val="lowerLetter"/>
      </w:footnotePr>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455D" w14:textId="77777777" w:rsidR="00F76336" w:rsidRPr="004C630E" w:rsidRDefault="00F76336" w:rsidP="007C4EA8">
      <w:pPr>
        <w:spacing w:after="0" w:line="240" w:lineRule="auto"/>
      </w:pPr>
      <w:r w:rsidRPr="004C630E">
        <w:separator/>
      </w:r>
    </w:p>
  </w:endnote>
  <w:endnote w:type="continuationSeparator" w:id="0">
    <w:p w14:paraId="44A3B966" w14:textId="77777777" w:rsidR="00F76336" w:rsidRPr="004C630E" w:rsidRDefault="00F76336" w:rsidP="007C4EA8">
      <w:pPr>
        <w:spacing w:after="0" w:line="240" w:lineRule="auto"/>
      </w:pPr>
      <w:r w:rsidRPr="004C63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05C9" w14:textId="77777777" w:rsidR="00D25F96" w:rsidRDefault="00D25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281799"/>
      <w:docPartObj>
        <w:docPartGallery w:val="Page Numbers (Bottom of Page)"/>
        <w:docPartUnique/>
      </w:docPartObj>
    </w:sdtPr>
    <w:sdtContent>
      <w:p w14:paraId="1992B42C" w14:textId="38DB3CC7" w:rsidR="00972B28" w:rsidRDefault="00972B28">
        <w:pPr>
          <w:pStyle w:val="Footer"/>
          <w:jc w:val="center"/>
        </w:pPr>
        <w:r>
          <w:fldChar w:fldCharType="begin"/>
        </w:r>
        <w:r>
          <w:instrText>PAGE   \* MERGEFORMAT</w:instrText>
        </w:r>
        <w:r>
          <w:fldChar w:fldCharType="separate"/>
        </w:r>
        <w:r>
          <w:rPr>
            <w:lang w:val="fr-FR"/>
          </w:rPr>
          <w:t>2</w:t>
        </w:r>
        <w:r>
          <w:fldChar w:fldCharType="end"/>
        </w:r>
      </w:p>
    </w:sdtContent>
  </w:sdt>
  <w:p w14:paraId="03D19240" w14:textId="77777777" w:rsidR="002467DA" w:rsidRPr="004C630E" w:rsidRDefault="002467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95C4" w14:textId="77777777" w:rsidR="00D25F96" w:rsidRDefault="00D25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FEBC4" w14:textId="77777777" w:rsidR="00F76336" w:rsidRPr="004C630E" w:rsidRDefault="00F76336" w:rsidP="007C4EA8">
      <w:pPr>
        <w:spacing w:after="0" w:line="240" w:lineRule="auto"/>
      </w:pPr>
      <w:r w:rsidRPr="004C630E">
        <w:separator/>
      </w:r>
    </w:p>
  </w:footnote>
  <w:footnote w:type="continuationSeparator" w:id="0">
    <w:p w14:paraId="5643DF5F" w14:textId="77777777" w:rsidR="00F76336" w:rsidRPr="004C630E" w:rsidRDefault="00F76336" w:rsidP="007C4EA8">
      <w:pPr>
        <w:spacing w:after="0" w:line="240" w:lineRule="auto"/>
      </w:pPr>
      <w:r w:rsidRPr="004C630E">
        <w:continuationSeparator/>
      </w:r>
    </w:p>
  </w:footnote>
  <w:footnote w:id="1">
    <w:p w14:paraId="093EF111" w14:textId="6AC8DA27" w:rsidR="00740EE0" w:rsidRPr="008A35CD" w:rsidRDefault="00740EE0">
      <w:pPr>
        <w:pStyle w:val="FootnoteText"/>
        <w:rPr>
          <w:rFonts w:ascii="Arial" w:hAnsi="Arial" w:cs="Arial"/>
          <w:lang w:val="en-US"/>
        </w:rPr>
      </w:pPr>
      <w:r w:rsidRPr="00C770DD">
        <w:rPr>
          <w:rStyle w:val="FootnoteReference"/>
        </w:rPr>
        <w:t>a</w:t>
      </w:r>
      <w:r>
        <w:t xml:space="preserve"> </w:t>
      </w:r>
      <w:r w:rsidRPr="008A35CD">
        <w:rPr>
          <w:rFonts w:ascii="Arial" w:hAnsi="Arial" w:cs="Arial"/>
        </w:rPr>
        <w:t>Routine Method</w:t>
      </w:r>
    </w:p>
  </w:footnote>
  <w:footnote w:id="2">
    <w:p w14:paraId="61B97EA9" w14:textId="64A84942" w:rsidR="00740EE0" w:rsidRPr="00740EE0" w:rsidRDefault="00740EE0">
      <w:pPr>
        <w:pStyle w:val="FootnoteText"/>
      </w:pPr>
      <w:r w:rsidRPr="00C770DD">
        <w:rPr>
          <w:rStyle w:val="FootnoteReference"/>
        </w:rPr>
        <w:t>b</w:t>
      </w:r>
      <w:r w:rsidRPr="008A35CD">
        <w:rPr>
          <w:rFonts w:ascii="Arial" w:hAnsi="Arial" w:cs="Arial"/>
        </w:rPr>
        <w:t xml:space="preserve"> </w:t>
      </w:r>
      <w:r w:rsidRPr="008A35CD">
        <w:rPr>
          <w:rFonts w:ascii="Arial" w:hAnsi="Arial" w:cs="Arial"/>
          <w:lang w:val="en-US"/>
        </w:rPr>
        <w:t>Mass Spectrometry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F294" w14:textId="30A494E5" w:rsidR="00D25F96" w:rsidRDefault="00D25F96">
    <w:pPr>
      <w:pStyle w:val="Header"/>
    </w:pPr>
    <w:r>
      <w:pict w14:anchorId="3DC7A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542969"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55D3" w14:textId="2BE02546" w:rsidR="002467DA" w:rsidRPr="004C630E" w:rsidRDefault="00D25F96">
    <w:pPr>
      <w:pStyle w:val="Header"/>
      <w:jc w:val="right"/>
    </w:pPr>
    <w:r>
      <w:pict w14:anchorId="43ABA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542970" o:spid="_x0000_s1027"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302C8D0B" w14:textId="77777777" w:rsidR="002467DA" w:rsidRPr="004C630E" w:rsidRDefault="002467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078E" w14:textId="4BB1C2AA" w:rsidR="00D25F96" w:rsidRDefault="00D25F96">
    <w:pPr>
      <w:pStyle w:val="Header"/>
    </w:pPr>
    <w:r>
      <w:pict w14:anchorId="2EAA0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542968"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67DB2"/>
    <w:multiLevelType w:val="hybridMultilevel"/>
    <w:tmpl w:val="AA82CE76"/>
    <w:lvl w:ilvl="0" w:tplc="6C36DD42">
      <w:start w:val="3"/>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21770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070EA4"/>
    <w:multiLevelType w:val="multilevel"/>
    <w:tmpl w:val="A3C4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FD081F"/>
    <w:multiLevelType w:val="hybridMultilevel"/>
    <w:tmpl w:val="A8F8AC60"/>
    <w:lvl w:ilvl="0" w:tplc="2DD2400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10398677">
    <w:abstractNumId w:val="2"/>
  </w:num>
  <w:num w:numId="2" w16cid:durableId="349067408">
    <w:abstractNumId w:val="3"/>
  </w:num>
  <w:num w:numId="3" w16cid:durableId="1641688171">
    <w:abstractNumId w:val="0"/>
  </w:num>
  <w:num w:numId="4" w16cid:durableId="209697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hdrShapeDefaults>
    <o:shapedefaults v:ext="edit" spidmax="2050"/>
    <o:shapelayout v:ext="edit">
      <o:idmap v:ext="edit" data="1"/>
    </o:shapelayout>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A0"/>
    <w:rsid w:val="000010B9"/>
    <w:rsid w:val="00002227"/>
    <w:rsid w:val="000043DF"/>
    <w:rsid w:val="0001211A"/>
    <w:rsid w:val="000215D1"/>
    <w:rsid w:val="000226A4"/>
    <w:rsid w:val="00023129"/>
    <w:rsid w:val="00032BFD"/>
    <w:rsid w:val="0003344E"/>
    <w:rsid w:val="00037463"/>
    <w:rsid w:val="0004569C"/>
    <w:rsid w:val="00050B7D"/>
    <w:rsid w:val="0005250B"/>
    <w:rsid w:val="00067FCC"/>
    <w:rsid w:val="00070FED"/>
    <w:rsid w:val="000716AB"/>
    <w:rsid w:val="00075971"/>
    <w:rsid w:val="0007614C"/>
    <w:rsid w:val="00076B29"/>
    <w:rsid w:val="0007797A"/>
    <w:rsid w:val="00081FFF"/>
    <w:rsid w:val="00083606"/>
    <w:rsid w:val="00085E82"/>
    <w:rsid w:val="0008783A"/>
    <w:rsid w:val="00090C79"/>
    <w:rsid w:val="000930BE"/>
    <w:rsid w:val="00095384"/>
    <w:rsid w:val="000A3C71"/>
    <w:rsid w:val="000A3D6B"/>
    <w:rsid w:val="000A5101"/>
    <w:rsid w:val="000A79FF"/>
    <w:rsid w:val="000B0780"/>
    <w:rsid w:val="000B315A"/>
    <w:rsid w:val="000B715C"/>
    <w:rsid w:val="000C29EE"/>
    <w:rsid w:val="000C3CFB"/>
    <w:rsid w:val="000D0DF9"/>
    <w:rsid w:val="000D1E89"/>
    <w:rsid w:val="000D2363"/>
    <w:rsid w:val="000D28CD"/>
    <w:rsid w:val="000D36E5"/>
    <w:rsid w:val="000E18A0"/>
    <w:rsid w:val="000E1E87"/>
    <w:rsid w:val="000E1EA7"/>
    <w:rsid w:val="000E3D0E"/>
    <w:rsid w:val="000E3E19"/>
    <w:rsid w:val="000E6A17"/>
    <w:rsid w:val="000F2E4B"/>
    <w:rsid w:val="000F4B78"/>
    <w:rsid w:val="000F4FE8"/>
    <w:rsid w:val="00100ED2"/>
    <w:rsid w:val="00104AB3"/>
    <w:rsid w:val="001065C1"/>
    <w:rsid w:val="00106D83"/>
    <w:rsid w:val="00107107"/>
    <w:rsid w:val="00111982"/>
    <w:rsid w:val="00114BA2"/>
    <w:rsid w:val="00114DB4"/>
    <w:rsid w:val="00117CED"/>
    <w:rsid w:val="0012263D"/>
    <w:rsid w:val="00126673"/>
    <w:rsid w:val="001377F4"/>
    <w:rsid w:val="00142346"/>
    <w:rsid w:val="00150089"/>
    <w:rsid w:val="0015704A"/>
    <w:rsid w:val="001575A9"/>
    <w:rsid w:val="0015766A"/>
    <w:rsid w:val="001624F6"/>
    <w:rsid w:val="001643A3"/>
    <w:rsid w:val="00180384"/>
    <w:rsid w:val="001807EA"/>
    <w:rsid w:val="00181BE3"/>
    <w:rsid w:val="00185769"/>
    <w:rsid w:val="00186C39"/>
    <w:rsid w:val="00194FE2"/>
    <w:rsid w:val="001968F8"/>
    <w:rsid w:val="001A30FE"/>
    <w:rsid w:val="001B7996"/>
    <w:rsid w:val="001C0BC0"/>
    <w:rsid w:val="001C3075"/>
    <w:rsid w:val="001C33DB"/>
    <w:rsid w:val="001C5D11"/>
    <w:rsid w:val="001C6D7E"/>
    <w:rsid w:val="001D228D"/>
    <w:rsid w:val="001D2B4F"/>
    <w:rsid w:val="001D49FE"/>
    <w:rsid w:val="001D6290"/>
    <w:rsid w:val="001D7D15"/>
    <w:rsid w:val="001E02ED"/>
    <w:rsid w:val="001E7035"/>
    <w:rsid w:val="001F07B3"/>
    <w:rsid w:val="001F0A70"/>
    <w:rsid w:val="001F2EAD"/>
    <w:rsid w:val="001F3E4B"/>
    <w:rsid w:val="001F5453"/>
    <w:rsid w:val="001F6BB0"/>
    <w:rsid w:val="002030E2"/>
    <w:rsid w:val="00205051"/>
    <w:rsid w:val="002066BE"/>
    <w:rsid w:val="00207E29"/>
    <w:rsid w:val="002128A3"/>
    <w:rsid w:val="00212E3D"/>
    <w:rsid w:val="00215F92"/>
    <w:rsid w:val="00220272"/>
    <w:rsid w:val="00224937"/>
    <w:rsid w:val="00237558"/>
    <w:rsid w:val="00240341"/>
    <w:rsid w:val="00242C93"/>
    <w:rsid w:val="00242E5F"/>
    <w:rsid w:val="002467DA"/>
    <w:rsid w:val="00250909"/>
    <w:rsid w:val="00251ACF"/>
    <w:rsid w:val="00263847"/>
    <w:rsid w:val="00263991"/>
    <w:rsid w:val="00263EF6"/>
    <w:rsid w:val="00264C84"/>
    <w:rsid w:val="00266238"/>
    <w:rsid w:val="00273E61"/>
    <w:rsid w:val="002809CA"/>
    <w:rsid w:val="00282A5B"/>
    <w:rsid w:val="00285635"/>
    <w:rsid w:val="002869E7"/>
    <w:rsid w:val="00287457"/>
    <w:rsid w:val="0029497B"/>
    <w:rsid w:val="002A0C8D"/>
    <w:rsid w:val="002B000A"/>
    <w:rsid w:val="002B1AA0"/>
    <w:rsid w:val="002B1F04"/>
    <w:rsid w:val="002B2C15"/>
    <w:rsid w:val="002C0F7B"/>
    <w:rsid w:val="002C3189"/>
    <w:rsid w:val="002C4417"/>
    <w:rsid w:val="002C5E6B"/>
    <w:rsid w:val="002C6E2F"/>
    <w:rsid w:val="002D11F4"/>
    <w:rsid w:val="002D1EDB"/>
    <w:rsid w:val="002D2C23"/>
    <w:rsid w:val="002D42C7"/>
    <w:rsid w:val="002D7FCA"/>
    <w:rsid w:val="002E0EA3"/>
    <w:rsid w:val="002E1C06"/>
    <w:rsid w:val="002E43F3"/>
    <w:rsid w:val="002E4EC0"/>
    <w:rsid w:val="002E6FE9"/>
    <w:rsid w:val="002F149F"/>
    <w:rsid w:val="002F18E1"/>
    <w:rsid w:val="002F37E4"/>
    <w:rsid w:val="002F3BEC"/>
    <w:rsid w:val="002F4649"/>
    <w:rsid w:val="002F5C2A"/>
    <w:rsid w:val="002F6374"/>
    <w:rsid w:val="002F67ED"/>
    <w:rsid w:val="002F794E"/>
    <w:rsid w:val="003009C6"/>
    <w:rsid w:val="00300F34"/>
    <w:rsid w:val="00305114"/>
    <w:rsid w:val="00305208"/>
    <w:rsid w:val="0030620B"/>
    <w:rsid w:val="00310025"/>
    <w:rsid w:val="003106CB"/>
    <w:rsid w:val="00310DAE"/>
    <w:rsid w:val="0031143F"/>
    <w:rsid w:val="00311FA7"/>
    <w:rsid w:val="00312796"/>
    <w:rsid w:val="0031461F"/>
    <w:rsid w:val="00321F6C"/>
    <w:rsid w:val="00323C1B"/>
    <w:rsid w:val="00327336"/>
    <w:rsid w:val="00330425"/>
    <w:rsid w:val="003307D2"/>
    <w:rsid w:val="00333294"/>
    <w:rsid w:val="003376E4"/>
    <w:rsid w:val="0034196B"/>
    <w:rsid w:val="00343C89"/>
    <w:rsid w:val="0034673A"/>
    <w:rsid w:val="0035237E"/>
    <w:rsid w:val="00355246"/>
    <w:rsid w:val="003557F6"/>
    <w:rsid w:val="0035720E"/>
    <w:rsid w:val="00361487"/>
    <w:rsid w:val="0036162A"/>
    <w:rsid w:val="00362118"/>
    <w:rsid w:val="00364882"/>
    <w:rsid w:val="003712E8"/>
    <w:rsid w:val="00371EB9"/>
    <w:rsid w:val="00383ED0"/>
    <w:rsid w:val="003841CF"/>
    <w:rsid w:val="00384FC0"/>
    <w:rsid w:val="00386113"/>
    <w:rsid w:val="0038617D"/>
    <w:rsid w:val="003922BC"/>
    <w:rsid w:val="003979EF"/>
    <w:rsid w:val="003A009F"/>
    <w:rsid w:val="003A1E8C"/>
    <w:rsid w:val="003A23F4"/>
    <w:rsid w:val="003A3034"/>
    <w:rsid w:val="003A4A33"/>
    <w:rsid w:val="003A5075"/>
    <w:rsid w:val="003A54A8"/>
    <w:rsid w:val="003C4FC0"/>
    <w:rsid w:val="003C657F"/>
    <w:rsid w:val="003D0B64"/>
    <w:rsid w:val="003D0EDD"/>
    <w:rsid w:val="003D691C"/>
    <w:rsid w:val="003D7A65"/>
    <w:rsid w:val="003E10F5"/>
    <w:rsid w:val="003E168D"/>
    <w:rsid w:val="003E4F9D"/>
    <w:rsid w:val="003E5C8C"/>
    <w:rsid w:val="003F216B"/>
    <w:rsid w:val="003F22DB"/>
    <w:rsid w:val="003F37CD"/>
    <w:rsid w:val="003F409E"/>
    <w:rsid w:val="003F5672"/>
    <w:rsid w:val="00406D41"/>
    <w:rsid w:val="004116AF"/>
    <w:rsid w:val="004130D4"/>
    <w:rsid w:val="00420C34"/>
    <w:rsid w:val="00422B90"/>
    <w:rsid w:val="004231BA"/>
    <w:rsid w:val="00424ECD"/>
    <w:rsid w:val="00431C27"/>
    <w:rsid w:val="0043256E"/>
    <w:rsid w:val="00432598"/>
    <w:rsid w:val="00434569"/>
    <w:rsid w:val="00434DF2"/>
    <w:rsid w:val="0043582A"/>
    <w:rsid w:val="0043670F"/>
    <w:rsid w:val="004370E5"/>
    <w:rsid w:val="00440413"/>
    <w:rsid w:val="004467CB"/>
    <w:rsid w:val="00451967"/>
    <w:rsid w:val="00451D3E"/>
    <w:rsid w:val="00460382"/>
    <w:rsid w:val="0046255A"/>
    <w:rsid w:val="00463A02"/>
    <w:rsid w:val="004655F5"/>
    <w:rsid w:val="004658C3"/>
    <w:rsid w:val="0047743B"/>
    <w:rsid w:val="00481197"/>
    <w:rsid w:val="004811FD"/>
    <w:rsid w:val="0048501F"/>
    <w:rsid w:val="00496C13"/>
    <w:rsid w:val="004A4921"/>
    <w:rsid w:val="004A5D86"/>
    <w:rsid w:val="004B059E"/>
    <w:rsid w:val="004B304A"/>
    <w:rsid w:val="004B5844"/>
    <w:rsid w:val="004C0693"/>
    <w:rsid w:val="004C0C05"/>
    <w:rsid w:val="004C4657"/>
    <w:rsid w:val="004C555B"/>
    <w:rsid w:val="004C630E"/>
    <w:rsid w:val="004D6B07"/>
    <w:rsid w:val="004E1336"/>
    <w:rsid w:val="004E2BF6"/>
    <w:rsid w:val="004E4921"/>
    <w:rsid w:val="004E615A"/>
    <w:rsid w:val="004E761A"/>
    <w:rsid w:val="004F04FA"/>
    <w:rsid w:val="004F16BD"/>
    <w:rsid w:val="004F2681"/>
    <w:rsid w:val="004F4AC3"/>
    <w:rsid w:val="00500776"/>
    <w:rsid w:val="00503860"/>
    <w:rsid w:val="005076CB"/>
    <w:rsid w:val="00510F9B"/>
    <w:rsid w:val="00515731"/>
    <w:rsid w:val="00515A7E"/>
    <w:rsid w:val="00515F33"/>
    <w:rsid w:val="005221BD"/>
    <w:rsid w:val="005231C5"/>
    <w:rsid w:val="00531B6F"/>
    <w:rsid w:val="005329B2"/>
    <w:rsid w:val="005366C5"/>
    <w:rsid w:val="00536A89"/>
    <w:rsid w:val="005403E0"/>
    <w:rsid w:val="00540EB3"/>
    <w:rsid w:val="00541A3F"/>
    <w:rsid w:val="00543B3E"/>
    <w:rsid w:val="0054449B"/>
    <w:rsid w:val="00547EA7"/>
    <w:rsid w:val="005513AD"/>
    <w:rsid w:val="00552806"/>
    <w:rsid w:val="00555B68"/>
    <w:rsid w:val="00562A27"/>
    <w:rsid w:val="0056656F"/>
    <w:rsid w:val="00576006"/>
    <w:rsid w:val="00576965"/>
    <w:rsid w:val="005775B0"/>
    <w:rsid w:val="00581909"/>
    <w:rsid w:val="0058334E"/>
    <w:rsid w:val="00583719"/>
    <w:rsid w:val="005A058E"/>
    <w:rsid w:val="005A0701"/>
    <w:rsid w:val="005A0F83"/>
    <w:rsid w:val="005A1A24"/>
    <w:rsid w:val="005A1C68"/>
    <w:rsid w:val="005A203C"/>
    <w:rsid w:val="005A316B"/>
    <w:rsid w:val="005A4297"/>
    <w:rsid w:val="005A7555"/>
    <w:rsid w:val="005B2158"/>
    <w:rsid w:val="005C03C7"/>
    <w:rsid w:val="005C43F5"/>
    <w:rsid w:val="005C5070"/>
    <w:rsid w:val="005D005C"/>
    <w:rsid w:val="005D787B"/>
    <w:rsid w:val="005E1E6A"/>
    <w:rsid w:val="005E2016"/>
    <w:rsid w:val="005E4655"/>
    <w:rsid w:val="005E4C7E"/>
    <w:rsid w:val="005E4DF5"/>
    <w:rsid w:val="005F0874"/>
    <w:rsid w:val="006000E8"/>
    <w:rsid w:val="006006B4"/>
    <w:rsid w:val="00606A91"/>
    <w:rsid w:val="00610745"/>
    <w:rsid w:val="006112DD"/>
    <w:rsid w:val="006121E7"/>
    <w:rsid w:val="00616270"/>
    <w:rsid w:val="00616AFD"/>
    <w:rsid w:val="00616B18"/>
    <w:rsid w:val="00621D96"/>
    <w:rsid w:val="00621F7F"/>
    <w:rsid w:val="00622F1F"/>
    <w:rsid w:val="00623FB9"/>
    <w:rsid w:val="006245F4"/>
    <w:rsid w:val="00624CAE"/>
    <w:rsid w:val="00626A9B"/>
    <w:rsid w:val="0063044D"/>
    <w:rsid w:val="00631920"/>
    <w:rsid w:val="006324AB"/>
    <w:rsid w:val="00632B6D"/>
    <w:rsid w:val="00632D97"/>
    <w:rsid w:val="00634E6C"/>
    <w:rsid w:val="00640081"/>
    <w:rsid w:val="00640BA7"/>
    <w:rsid w:val="006464AC"/>
    <w:rsid w:val="00646BE1"/>
    <w:rsid w:val="006527A3"/>
    <w:rsid w:val="00652D90"/>
    <w:rsid w:val="006565E6"/>
    <w:rsid w:val="00657A85"/>
    <w:rsid w:val="00662610"/>
    <w:rsid w:val="00664C0E"/>
    <w:rsid w:val="00666B73"/>
    <w:rsid w:val="00667BD0"/>
    <w:rsid w:val="00672BD2"/>
    <w:rsid w:val="00672C7A"/>
    <w:rsid w:val="00682070"/>
    <w:rsid w:val="00682665"/>
    <w:rsid w:val="00695587"/>
    <w:rsid w:val="006A0BC6"/>
    <w:rsid w:val="006A6222"/>
    <w:rsid w:val="006A6A07"/>
    <w:rsid w:val="006B0C8F"/>
    <w:rsid w:val="006B0E4F"/>
    <w:rsid w:val="006C2970"/>
    <w:rsid w:val="006C6010"/>
    <w:rsid w:val="006D34B4"/>
    <w:rsid w:val="006D6966"/>
    <w:rsid w:val="006E197C"/>
    <w:rsid w:val="006F15CA"/>
    <w:rsid w:val="006F1FDE"/>
    <w:rsid w:val="00704641"/>
    <w:rsid w:val="0071439D"/>
    <w:rsid w:val="007158B2"/>
    <w:rsid w:val="0072233B"/>
    <w:rsid w:val="00722F0D"/>
    <w:rsid w:val="00724095"/>
    <w:rsid w:val="00724F6B"/>
    <w:rsid w:val="00725D77"/>
    <w:rsid w:val="00726723"/>
    <w:rsid w:val="00730814"/>
    <w:rsid w:val="007312B3"/>
    <w:rsid w:val="00733623"/>
    <w:rsid w:val="00737017"/>
    <w:rsid w:val="00740EE0"/>
    <w:rsid w:val="00743866"/>
    <w:rsid w:val="007444B3"/>
    <w:rsid w:val="0074476C"/>
    <w:rsid w:val="00744A42"/>
    <w:rsid w:val="00750E84"/>
    <w:rsid w:val="00751BA1"/>
    <w:rsid w:val="007521BA"/>
    <w:rsid w:val="00754285"/>
    <w:rsid w:val="00754A8F"/>
    <w:rsid w:val="0075513F"/>
    <w:rsid w:val="00757068"/>
    <w:rsid w:val="00760DFB"/>
    <w:rsid w:val="007617DD"/>
    <w:rsid w:val="00763562"/>
    <w:rsid w:val="00770776"/>
    <w:rsid w:val="00770DBD"/>
    <w:rsid w:val="00771ADD"/>
    <w:rsid w:val="00773693"/>
    <w:rsid w:val="00774F30"/>
    <w:rsid w:val="00777F34"/>
    <w:rsid w:val="007845BB"/>
    <w:rsid w:val="00790977"/>
    <w:rsid w:val="0079289D"/>
    <w:rsid w:val="00795A7A"/>
    <w:rsid w:val="00795B3B"/>
    <w:rsid w:val="007A26F1"/>
    <w:rsid w:val="007A2BEC"/>
    <w:rsid w:val="007A44BF"/>
    <w:rsid w:val="007A45D2"/>
    <w:rsid w:val="007A5B03"/>
    <w:rsid w:val="007A7F25"/>
    <w:rsid w:val="007B042C"/>
    <w:rsid w:val="007B1DCD"/>
    <w:rsid w:val="007B591B"/>
    <w:rsid w:val="007B5E59"/>
    <w:rsid w:val="007B78B3"/>
    <w:rsid w:val="007C105D"/>
    <w:rsid w:val="007C1ED2"/>
    <w:rsid w:val="007C282C"/>
    <w:rsid w:val="007C35F7"/>
    <w:rsid w:val="007C445A"/>
    <w:rsid w:val="007C4EA8"/>
    <w:rsid w:val="007C59CA"/>
    <w:rsid w:val="007C6138"/>
    <w:rsid w:val="007D25A5"/>
    <w:rsid w:val="007D3947"/>
    <w:rsid w:val="007D6308"/>
    <w:rsid w:val="007E2095"/>
    <w:rsid w:val="007E39D5"/>
    <w:rsid w:val="007E3A7F"/>
    <w:rsid w:val="007F0B6E"/>
    <w:rsid w:val="007F2E9B"/>
    <w:rsid w:val="007F494C"/>
    <w:rsid w:val="007F6ACB"/>
    <w:rsid w:val="00802C1B"/>
    <w:rsid w:val="00803041"/>
    <w:rsid w:val="0080344C"/>
    <w:rsid w:val="00805CAA"/>
    <w:rsid w:val="00805F2C"/>
    <w:rsid w:val="00806D12"/>
    <w:rsid w:val="00806D84"/>
    <w:rsid w:val="008114CB"/>
    <w:rsid w:val="00811D9A"/>
    <w:rsid w:val="008125AB"/>
    <w:rsid w:val="00812E5E"/>
    <w:rsid w:val="008148FE"/>
    <w:rsid w:val="00814BD1"/>
    <w:rsid w:val="008200F4"/>
    <w:rsid w:val="008251A8"/>
    <w:rsid w:val="0082593E"/>
    <w:rsid w:val="00826310"/>
    <w:rsid w:val="00830EB6"/>
    <w:rsid w:val="00831D46"/>
    <w:rsid w:val="0083230C"/>
    <w:rsid w:val="008438CA"/>
    <w:rsid w:val="00845307"/>
    <w:rsid w:val="00846342"/>
    <w:rsid w:val="00846671"/>
    <w:rsid w:val="00846FC2"/>
    <w:rsid w:val="00851580"/>
    <w:rsid w:val="00852128"/>
    <w:rsid w:val="0086253E"/>
    <w:rsid w:val="00862D9F"/>
    <w:rsid w:val="00865927"/>
    <w:rsid w:val="00866079"/>
    <w:rsid w:val="00866400"/>
    <w:rsid w:val="008751A5"/>
    <w:rsid w:val="00875842"/>
    <w:rsid w:val="00875855"/>
    <w:rsid w:val="00875C6A"/>
    <w:rsid w:val="008764F9"/>
    <w:rsid w:val="008819C6"/>
    <w:rsid w:val="008830FA"/>
    <w:rsid w:val="00891EFD"/>
    <w:rsid w:val="00893DDC"/>
    <w:rsid w:val="00894BAE"/>
    <w:rsid w:val="00896223"/>
    <w:rsid w:val="00897B5A"/>
    <w:rsid w:val="00897F92"/>
    <w:rsid w:val="00897FFD"/>
    <w:rsid w:val="008A06A9"/>
    <w:rsid w:val="008A0A7D"/>
    <w:rsid w:val="008A1B6C"/>
    <w:rsid w:val="008A2DA8"/>
    <w:rsid w:val="008A35CD"/>
    <w:rsid w:val="008A7C15"/>
    <w:rsid w:val="008B4792"/>
    <w:rsid w:val="008B5EEB"/>
    <w:rsid w:val="008B6AD6"/>
    <w:rsid w:val="008C1721"/>
    <w:rsid w:val="008C2ADE"/>
    <w:rsid w:val="008C65E2"/>
    <w:rsid w:val="008C6D91"/>
    <w:rsid w:val="008C72BF"/>
    <w:rsid w:val="008D0B40"/>
    <w:rsid w:val="008D111C"/>
    <w:rsid w:val="008D22CE"/>
    <w:rsid w:val="008D4FDC"/>
    <w:rsid w:val="008E27F7"/>
    <w:rsid w:val="008E37FA"/>
    <w:rsid w:val="008E5737"/>
    <w:rsid w:val="008F201F"/>
    <w:rsid w:val="008F384B"/>
    <w:rsid w:val="008F535A"/>
    <w:rsid w:val="008F7ACC"/>
    <w:rsid w:val="009027C1"/>
    <w:rsid w:val="00903576"/>
    <w:rsid w:val="00907BB5"/>
    <w:rsid w:val="00910C64"/>
    <w:rsid w:val="009115E9"/>
    <w:rsid w:val="00917F5A"/>
    <w:rsid w:val="0092718D"/>
    <w:rsid w:val="0092722B"/>
    <w:rsid w:val="00930365"/>
    <w:rsid w:val="00934012"/>
    <w:rsid w:val="00934618"/>
    <w:rsid w:val="00940B0E"/>
    <w:rsid w:val="00943013"/>
    <w:rsid w:val="00945DC6"/>
    <w:rsid w:val="00950385"/>
    <w:rsid w:val="00950B18"/>
    <w:rsid w:val="00951350"/>
    <w:rsid w:val="00951996"/>
    <w:rsid w:val="00952407"/>
    <w:rsid w:val="0095393B"/>
    <w:rsid w:val="00957845"/>
    <w:rsid w:val="00957A9D"/>
    <w:rsid w:val="00957AEF"/>
    <w:rsid w:val="0096011E"/>
    <w:rsid w:val="00961320"/>
    <w:rsid w:val="00966D02"/>
    <w:rsid w:val="009717F4"/>
    <w:rsid w:val="00972B28"/>
    <w:rsid w:val="00977166"/>
    <w:rsid w:val="00980581"/>
    <w:rsid w:val="009812CF"/>
    <w:rsid w:val="00982990"/>
    <w:rsid w:val="00985264"/>
    <w:rsid w:val="00991823"/>
    <w:rsid w:val="0099434C"/>
    <w:rsid w:val="00994956"/>
    <w:rsid w:val="00994E6C"/>
    <w:rsid w:val="00994FB2"/>
    <w:rsid w:val="0099702B"/>
    <w:rsid w:val="009A132D"/>
    <w:rsid w:val="009A16CD"/>
    <w:rsid w:val="009A2870"/>
    <w:rsid w:val="009A4085"/>
    <w:rsid w:val="009A454C"/>
    <w:rsid w:val="009A48C7"/>
    <w:rsid w:val="009A58FD"/>
    <w:rsid w:val="009A5917"/>
    <w:rsid w:val="009B22C8"/>
    <w:rsid w:val="009B243F"/>
    <w:rsid w:val="009B42BB"/>
    <w:rsid w:val="009C0CB2"/>
    <w:rsid w:val="009C7739"/>
    <w:rsid w:val="009C7D3A"/>
    <w:rsid w:val="009D43B9"/>
    <w:rsid w:val="009E12D3"/>
    <w:rsid w:val="009E1F90"/>
    <w:rsid w:val="009E6C8F"/>
    <w:rsid w:val="009F0B3F"/>
    <w:rsid w:val="009F27F5"/>
    <w:rsid w:val="009F3474"/>
    <w:rsid w:val="009F51D3"/>
    <w:rsid w:val="009F6367"/>
    <w:rsid w:val="00A028EC"/>
    <w:rsid w:val="00A03A08"/>
    <w:rsid w:val="00A04AA5"/>
    <w:rsid w:val="00A054CB"/>
    <w:rsid w:val="00A11562"/>
    <w:rsid w:val="00A12C38"/>
    <w:rsid w:val="00A132FF"/>
    <w:rsid w:val="00A13A8D"/>
    <w:rsid w:val="00A1590A"/>
    <w:rsid w:val="00A15D66"/>
    <w:rsid w:val="00A20ECD"/>
    <w:rsid w:val="00A22E40"/>
    <w:rsid w:val="00A311F8"/>
    <w:rsid w:val="00A33B7B"/>
    <w:rsid w:val="00A355B3"/>
    <w:rsid w:val="00A405DD"/>
    <w:rsid w:val="00A41D8D"/>
    <w:rsid w:val="00A5000C"/>
    <w:rsid w:val="00A512F1"/>
    <w:rsid w:val="00A51A2A"/>
    <w:rsid w:val="00A60A5A"/>
    <w:rsid w:val="00A62158"/>
    <w:rsid w:val="00A641DC"/>
    <w:rsid w:val="00A719EE"/>
    <w:rsid w:val="00A7263C"/>
    <w:rsid w:val="00A76E86"/>
    <w:rsid w:val="00A77124"/>
    <w:rsid w:val="00A80878"/>
    <w:rsid w:val="00A845CB"/>
    <w:rsid w:val="00A84DD5"/>
    <w:rsid w:val="00A860C5"/>
    <w:rsid w:val="00A9698C"/>
    <w:rsid w:val="00A975C2"/>
    <w:rsid w:val="00A9771A"/>
    <w:rsid w:val="00A97A84"/>
    <w:rsid w:val="00AA3DE4"/>
    <w:rsid w:val="00AA6B23"/>
    <w:rsid w:val="00AA740A"/>
    <w:rsid w:val="00AB04E9"/>
    <w:rsid w:val="00AB06F6"/>
    <w:rsid w:val="00AB1A29"/>
    <w:rsid w:val="00AB6B80"/>
    <w:rsid w:val="00AC4714"/>
    <w:rsid w:val="00AD19AC"/>
    <w:rsid w:val="00AD318F"/>
    <w:rsid w:val="00AD36FA"/>
    <w:rsid w:val="00AD4640"/>
    <w:rsid w:val="00AD47C8"/>
    <w:rsid w:val="00AD65D0"/>
    <w:rsid w:val="00AE1593"/>
    <w:rsid w:val="00AE3DEA"/>
    <w:rsid w:val="00AF5EE4"/>
    <w:rsid w:val="00AF6CFE"/>
    <w:rsid w:val="00B01166"/>
    <w:rsid w:val="00B0158C"/>
    <w:rsid w:val="00B03573"/>
    <w:rsid w:val="00B038C8"/>
    <w:rsid w:val="00B041AB"/>
    <w:rsid w:val="00B16812"/>
    <w:rsid w:val="00B16D8D"/>
    <w:rsid w:val="00B21921"/>
    <w:rsid w:val="00B2288B"/>
    <w:rsid w:val="00B22E09"/>
    <w:rsid w:val="00B24202"/>
    <w:rsid w:val="00B244E3"/>
    <w:rsid w:val="00B262B2"/>
    <w:rsid w:val="00B26FA4"/>
    <w:rsid w:val="00B31403"/>
    <w:rsid w:val="00B40E9D"/>
    <w:rsid w:val="00B427AA"/>
    <w:rsid w:val="00B45250"/>
    <w:rsid w:val="00B46446"/>
    <w:rsid w:val="00B51916"/>
    <w:rsid w:val="00B51B2F"/>
    <w:rsid w:val="00B53274"/>
    <w:rsid w:val="00B54504"/>
    <w:rsid w:val="00B56EDC"/>
    <w:rsid w:val="00B629F5"/>
    <w:rsid w:val="00B65807"/>
    <w:rsid w:val="00B67B60"/>
    <w:rsid w:val="00B73213"/>
    <w:rsid w:val="00B73A14"/>
    <w:rsid w:val="00B750B7"/>
    <w:rsid w:val="00B77D47"/>
    <w:rsid w:val="00B80DBB"/>
    <w:rsid w:val="00B815A3"/>
    <w:rsid w:val="00B817AD"/>
    <w:rsid w:val="00B826AA"/>
    <w:rsid w:val="00B85CC2"/>
    <w:rsid w:val="00B90340"/>
    <w:rsid w:val="00B9130A"/>
    <w:rsid w:val="00B93800"/>
    <w:rsid w:val="00B9430B"/>
    <w:rsid w:val="00B95408"/>
    <w:rsid w:val="00B95427"/>
    <w:rsid w:val="00B95FDB"/>
    <w:rsid w:val="00B960DB"/>
    <w:rsid w:val="00B97543"/>
    <w:rsid w:val="00BA0C80"/>
    <w:rsid w:val="00BA1D43"/>
    <w:rsid w:val="00BA1D81"/>
    <w:rsid w:val="00BA22F3"/>
    <w:rsid w:val="00BA51EC"/>
    <w:rsid w:val="00BA7FB2"/>
    <w:rsid w:val="00BB1829"/>
    <w:rsid w:val="00BC3A06"/>
    <w:rsid w:val="00BC420B"/>
    <w:rsid w:val="00BC4441"/>
    <w:rsid w:val="00BC4CB6"/>
    <w:rsid w:val="00BC5FF1"/>
    <w:rsid w:val="00BC6A40"/>
    <w:rsid w:val="00BC7E19"/>
    <w:rsid w:val="00BD3075"/>
    <w:rsid w:val="00BD386B"/>
    <w:rsid w:val="00BD44AC"/>
    <w:rsid w:val="00BD4E56"/>
    <w:rsid w:val="00BD7D1A"/>
    <w:rsid w:val="00BD7D69"/>
    <w:rsid w:val="00BE08CD"/>
    <w:rsid w:val="00BE2250"/>
    <w:rsid w:val="00BE2BFB"/>
    <w:rsid w:val="00BE641D"/>
    <w:rsid w:val="00BF059C"/>
    <w:rsid w:val="00C12914"/>
    <w:rsid w:val="00C157C8"/>
    <w:rsid w:val="00C206CE"/>
    <w:rsid w:val="00C23EB4"/>
    <w:rsid w:val="00C25BEC"/>
    <w:rsid w:val="00C311EB"/>
    <w:rsid w:val="00C35E51"/>
    <w:rsid w:val="00C36F1B"/>
    <w:rsid w:val="00C433B3"/>
    <w:rsid w:val="00C466BB"/>
    <w:rsid w:val="00C537BC"/>
    <w:rsid w:val="00C5412C"/>
    <w:rsid w:val="00C54D3C"/>
    <w:rsid w:val="00C55FBE"/>
    <w:rsid w:val="00C57FB9"/>
    <w:rsid w:val="00C62AB8"/>
    <w:rsid w:val="00C6394F"/>
    <w:rsid w:val="00C639C2"/>
    <w:rsid w:val="00C6692C"/>
    <w:rsid w:val="00C706A4"/>
    <w:rsid w:val="00C72439"/>
    <w:rsid w:val="00C76A20"/>
    <w:rsid w:val="00C770DD"/>
    <w:rsid w:val="00C77DBE"/>
    <w:rsid w:val="00C8519B"/>
    <w:rsid w:val="00C873BC"/>
    <w:rsid w:val="00C87E23"/>
    <w:rsid w:val="00C909EC"/>
    <w:rsid w:val="00C94D2B"/>
    <w:rsid w:val="00C975C2"/>
    <w:rsid w:val="00C97B08"/>
    <w:rsid w:val="00C97E55"/>
    <w:rsid w:val="00CA6852"/>
    <w:rsid w:val="00CB09AE"/>
    <w:rsid w:val="00CB0F33"/>
    <w:rsid w:val="00CB1726"/>
    <w:rsid w:val="00CB1CC9"/>
    <w:rsid w:val="00CB3B7E"/>
    <w:rsid w:val="00CB739D"/>
    <w:rsid w:val="00CB794A"/>
    <w:rsid w:val="00CC0A94"/>
    <w:rsid w:val="00CC4A13"/>
    <w:rsid w:val="00CD2125"/>
    <w:rsid w:val="00CD3FA8"/>
    <w:rsid w:val="00CD4C21"/>
    <w:rsid w:val="00CD4DD8"/>
    <w:rsid w:val="00CD596D"/>
    <w:rsid w:val="00CE0671"/>
    <w:rsid w:val="00CE07B3"/>
    <w:rsid w:val="00CE18FC"/>
    <w:rsid w:val="00CE4487"/>
    <w:rsid w:val="00CE7A15"/>
    <w:rsid w:val="00CF09D0"/>
    <w:rsid w:val="00CF1B52"/>
    <w:rsid w:val="00CF1ED7"/>
    <w:rsid w:val="00CF2942"/>
    <w:rsid w:val="00CF33DE"/>
    <w:rsid w:val="00D0632B"/>
    <w:rsid w:val="00D1010F"/>
    <w:rsid w:val="00D105CA"/>
    <w:rsid w:val="00D1155F"/>
    <w:rsid w:val="00D12ACB"/>
    <w:rsid w:val="00D12E7F"/>
    <w:rsid w:val="00D13434"/>
    <w:rsid w:val="00D200CC"/>
    <w:rsid w:val="00D25F96"/>
    <w:rsid w:val="00D2612B"/>
    <w:rsid w:val="00D26EE8"/>
    <w:rsid w:val="00D27585"/>
    <w:rsid w:val="00D341EB"/>
    <w:rsid w:val="00D37AF6"/>
    <w:rsid w:val="00D37BD5"/>
    <w:rsid w:val="00D44163"/>
    <w:rsid w:val="00D518EC"/>
    <w:rsid w:val="00D57055"/>
    <w:rsid w:val="00D60A3E"/>
    <w:rsid w:val="00D65BF1"/>
    <w:rsid w:val="00D7462F"/>
    <w:rsid w:val="00D75B38"/>
    <w:rsid w:val="00D766F3"/>
    <w:rsid w:val="00D84283"/>
    <w:rsid w:val="00D867D2"/>
    <w:rsid w:val="00D9033C"/>
    <w:rsid w:val="00D90398"/>
    <w:rsid w:val="00D95389"/>
    <w:rsid w:val="00D961F2"/>
    <w:rsid w:val="00DA12B6"/>
    <w:rsid w:val="00DA2CAA"/>
    <w:rsid w:val="00DA467E"/>
    <w:rsid w:val="00DA6231"/>
    <w:rsid w:val="00DA6912"/>
    <w:rsid w:val="00DA7D66"/>
    <w:rsid w:val="00DB6A07"/>
    <w:rsid w:val="00DB7FD2"/>
    <w:rsid w:val="00DC1EFF"/>
    <w:rsid w:val="00DC3402"/>
    <w:rsid w:val="00DC4482"/>
    <w:rsid w:val="00DC48DD"/>
    <w:rsid w:val="00DC5C15"/>
    <w:rsid w:val="00DD1124"/>
    <w:rsid w:val="00DD495C"/>
    <w:rsid w:val="00DD4D00"/>
    <w:rsid w:val="00DD71FF"/>
    <w:rsid w:val="00DE32A9"/>
    <w:rsid w:val="00DE5807"/>
    <w:rsid w:val="00DE6393"/>
    <w:rsid w:val="00DF191F"/>
    <w:rsid w:val="00DF35E3"/>
    <w:rsid w:val="00DF3A67"/>
    <w:rsid w:val="00DF3E57"/>
    <w:rsid w:val="00E000FA"/>
    <w:rsid w:val="00E00274"/>
    <w:rsid w:val="00E0288C"/>
    <w:rsid w:val="00E03AD4"/>
    <w:rsid w:val="00E124D7"/>
    <w:rsid w:val="00E12949"/>
    <w:rsid w:val="00E13139"/>
    <w:rsid w:val="00E2563C"/>
    <w:rsid w:val="00E263A5"/>
    <w:rsid w:val="00E268A3"/>
    <w:rsid w:val="00E32387"/>
    <w:rsid w:val="00E33AE1"/>
    <w:rsid w:val="00E33F81"/>
    <w:rsid w:val="00E341A9"/>
    <w:rsid w:val="00E34462"/>
    <w:rsid w:val="00E409B0"/>
    <w:rsid w:val="00E4292E"/>
    <w:rsid w:val="00E432EE"/>
    <w:rsid w:val="00E441EC"/>
    <w:rsid w:val="00E46090"/>
    <w:rsid w:val="00E4610D"/>
    <w:rsid w:val="00E54179"/>
    <w:rsid w:val="00E542E7"/>
    <w:rsid w:val="00E552A8"/>
    <w:rsid w:val="00E55766"/>
    <w:rsid w:val="00E56DD4"/>
    <w:rsid w:val="00E600A3"/>
    <w:rsid w:val="00E60823"/>
    <w:rsid w:val="00E6253D"/>
    <w:rsid w:val="00E62D17"/>
    <w:rsid w:val="00E640D3"/>
    <w:rsid w:val="00E64617"/>
    <w:rsid w:val="00E64C58"/>
    <w:rsid w:val="00E718F6"/>
    <w:rsid w:val="00E72523"/>
    <w:rsid w:val="00E729C7"/>
    <w:rsid w:val="00E74B1D"/>
    <w:rsid w:val="00E74E51"/>
    <w:rsid w:val="00E764AA"/>
    <w:rsid w:val="00E85041"/>
    <w:rsid w:val="00E8506B"/>
    <w:rsid w:val="00E85FF3"/>
    <w:rsid w:val="00E9147A"/>
    <w:rsid w:val="00E919EB"/>
    <w:rsid w:val="00E93104"/>
    <w:rsid w:val="00E93DF3"/>
    <w:rsid w:val="00E9567D"/>
    <w:rsid w:val="00EA2213"/>
    <w:rsid w:val="00EA3AD9"/>
    <w:rsid w:val="00EA6522"/>
    <w:rsid w:val="00EB192E"/>
    <w:rsid w:val="00EB33B3"/>
    <w:rsid w:val="00EB35B7"/>
    <w:rsid w:val="00EB4CF7"/>
    <w:rsid w:val="00EB5967"/>
    <w:rsid w:val="00EC0172"/>
    <w:rsid w:val="00EC19DE"/>
    <w:rsid w:val="00EC1EE6"/>
    <w:rsid w:val="00EC286F"/>
    <w:rsid w:val="00EC5B2F"/>
    <w:rsid w:val="00ED0434"/>
    <w:rsid w:val="00ED09D5"/>
    <w:rsid w:val="00ED0A21"/>
    <w:rsid w:val="00ED3CD3"/>
    <w:rsid w:val="00EE1135"/>
    <w:rsid w:val="00EE4F03"/>
    <w:rsid w:val="00EF26DD"/>
    <w:rsid w:val="00EF28E1"/>
    <w:rsid w:val="00EF5021"/>
    <w:rsid w:val="00EF5972"/>
    <w:rsid w:val="00EF6207"/>
    <w:rsid w:val="00EF761B"/>
    <w:rsid w:val="00F0165F"/>
    <w:rsid w:val="00F04718"/>
    <w:rsid w:val="00F05339"/>
    <w:rsid w:val="00F05B53"/>
    <w:rsid w:val="00F06C6F"/>
    <w:rsid w:val="00F1160C"/>
    <w:rsid w:val="00F1231E"/>
    <w:rsid w:val="00F12682"/>
    <w:rsid w:val="00F12B40"/>
    <w:rsid w:val="00F13B58"/>
    <w:rsid w:val="00F145E9"/>
    <w:rsid w:val="00F17319"/>
    <w:rsid w:val="00F20C71"/>
    <w:rsid w:val="00F22D41"/>
    <w:rsid w:val="00F23B0F"/>
    <w:rsid w:val="00F24FE4"/>
    <w:rsid w:val="00F31176"/>
    <w:rsid w:val="00F33713"/>
    <w:rsid w:val="00F343E5"/>
    <w:rsid w:val="00F35139"/>
    <w:rsid w:val="00F3760C"/>
    <w:rsid w:val="00F37F38"/>
    <w:rsid w:val="00F4127B"/>
    <w:rsid w:val="00F4611A"/>
    <w:rsid w:val="00F508B6"/>
    <w:rsid w:val="00F50E65"/>
    <w:rsid w:val="00F53227"/>
    <w:rsid w:val="00F54A51"/>
    <w:rsid w:val="00F61ED2"/>
    <w:rsid w:val="00F754FC"/>
    <w:rsid w:val="00F76336"/>
    <w:rsid w:val="00F769BB"/>
    <w:rsid w:val="00F82EFE"/>
    <w:rsid w:val="00F843BA"/>
    <w:rsid w:val="00F8599D"/>
    <w:rsid w:val="00F863CA"/>
    <w:rsid w:val="00FA0298"/>
    <w:rsid w:val="00FA04F5"/>
    <w:rsid w:val="00FA2073"/>
    <w:rsid w:val="00FA40FB"/>
    <w:rsid w:val="00FA506C"/>
    <w:rsid w:val="00FB2B9F"/>
    <w:rsid w:val="00FB3B5C"/>
    <w:rsid w:val="00FB522A"/>
    <w:rsid w:val="00FB5241"/>
    <w:rsid w:val="00FB5506"/>
    <w:rsid w:val="00FB7C4C"/>
    <w:rsid w:val="00FC2183"/>
    <w:rsid w:val="00FC2BD7"/>
    <w:rsid w:val="00FC4569"/>
    <w:rsid w:val="00FD034A"/>
    <w:rsid w:val="00FD0511"/>
    <w:rsid w:val="00FD0B99"/>
    <w:rsid w:val="00FD4E47"/>
    <w:rsid w:val="00FD7375"/>
    <w:rsid w:val="00FE5CB5"/>
    <w:rsid w:val="00FE6E7E"/>
    <w:rsid w:val="00FE73E9"/>
    <w:rsid w:val="00FF08A8"/>
    <w:rsid w:val="00FF30B8"/>
    <w:rsid w:val="00FF33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774C1"/>
  <w15:chartTrackingRefBased/>
  <w15:docId w15:val="{5232FD68-238D-4687-B086-E234F18F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618"/>
    <w:rPr>
      <w:noProof/>
      <w:lang w:val="en-GB"/>
    </w:rPr>
  </w:style>
  <w:style w:type="paragraph" w:styleId="Heading1">
    <w:name w:val="heading 1"/>
    <w:basedOn w:val="Normal"/>
    <w:next w:val="Normal"/>
    <w:link w:val="Heading1Char"/>
    <w:uiPriority w:val="9"/>
    <w:qFormat/>
    <w:rsid w:val="00A33B7B"/>
    <w:pPr>
      <w:spacing w:after="0" w:line="360" w:lineRule="auto"/>
      <w:jc w:val="center"/>
      <w:outlineLvl w:val="0"/>
    </w:pPr>
    <w:rPr>
      <w:rFonts w:ascii="Arial" w:eastAsia="Times New Roman" w:hAnsi="Arial" w:cs="Arial"/>
      <w:b/>
      <w:bCs/>
      <w:noProof w:val="0"/>
      <w:kern w:val="0"/>
      <w:sz w:val="28"/>
      <w:szCs w:val="28"/>
      <w:lang w:val="en-ZA" w:eastAsia="en-ZA"/>
      <w14:ligatures w14:val="none"/>
    </w:rPr>
  </w:style>
  <w:style w:type="paragraph" w:styleId="Heading2">
    <w:name w:val="heading 2"/>
    <w:basedOn w:val="Normal"/>
    <w:next w:val="Normal"/>
    <w:link w:val="Heading2Char"/>
    <w:uiPriority w:val="9"/>
    <w:semiHidden/>
    <w:unhideWhenUsed/>
    <w:qFormat/>
    <w:rsid w:val="005A1C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4D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C286F"/>
    <w:pPr>
      <w:keepNext/>
      <w:keepLines/>
      <w:spacing w:before="40" w:after="0"/>
      <w:outlineLvl w:val="3"/>
    </w:pPr>
    <w:rPr>
      <w:rFonts w:ascii="Cambria" w:eastAsia="Cambria" w:hAnsi="Cambria" w:cs="Cambria"/>
      <w:b/>
      <w:color w:val="4F81BD"/>
      <w:kern w:val="0"/>
      <w:lang w:val="en-US" w:eastAsia="fr-M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C3189"/>
    <w:rPr>
      <w:color w:val="0000FF"/>
      <w:u w:val="single"/>
    </w:rPr>
  </w:style>
  <w:style w:type="character" w:styleId="CommentReference">
    <w:name w:val="annotation reference"/>
    <w:basedOn w:val="DefaultParagraphFont"/>
    <w:uiPriority w:val="99"/>
    <w:semiHidden/>
    <w:unhideWhenUsed/>
    <w:rsid w:val="007617DD"/>
    <w:rPr>
      <w:sz w:val="16"/>
      <w:szCs w:val="16"/>
    </w:rPr>
  </w:style>
  <w:style w:type="paragraph" w:styleId="CommentText">
    <w:name w:val="annotation text"/>
    <w:basedOn w:val="Normal"/>
    <w:link w:val="CommentTextChar"/>
    <w:uiPriority w:val="99"/>
    <w:unhideWhenUsed/>
    <w:rsid w:val="007617DD"/>
    <w:pPr>
      <w:spacing w:line="240" w:lineRule="auto"/>
    </w:pPr>
    <w:rPr>
      <w:sz w:val="20"/>
      <w:szCs w:val="20"/>
    </w:rPr>
  </w:style>
  <w:style w:type="character" w:customStyle="1" w:styleId="CommentTextChar">
    <w:name w:val="Comment Text Char"/>
    <w:basedOn w:val="DefaultParagraphFont"/>
    <w:link w:val="CommentText"/>
    <w:uiPriority w:val="99"/>
    <w:rsid w:val="007617DD"/>
    <w:rPr>
      <w:sz w:val="20"/>
      <w:szCs w:val="20"/>
    </w:rPr>
  </w:style>
  <w:style w:type="paragraph" w:styleId="CommentSubject">
    <w:name w:val="annotation subject"/>
    <w:basedOn w:val="CommentText"/>
    <w:next w:val="CommentText"/>
    <w:link w:val="CommentSubjectChar"/>
    <w:uiPriority w:val="99"/>
    <w:semiHidden/>
    <w:unhideWhenUsed/>
    <w:rsid w:val="007617DD"/>
    <w:rPr>
      <w:b/>
      <w:bCs/>
    </w:rPr>
  </w:style>
  <w:style w:type="character" w:customStyle="1" w:styleId="CommentSubjectChar">
    <w:name w:val="Comment Subject Char"/>
    <w:basedOn w:val="CommentTextChar"/>
    <w:link w:val="CommentSubject"/>
    <w:uiPriority w:val="99"/>
    <w:semiHidden/>
    <w:rsid w:val="007617DD"/>
    <w:rPr>
      <w:b/>
      <w:bCs/>
      <w:sz w:val="20"/>
      <w:szCs w:val="20"/>
    </w:rPr>
  </w:style>
  <w:style w:type="paragraph" w:styleId="BalloonText">
    <w:name w:val="Balloon Text"/>
    <w:basedOn w:val="Normal"/>
    <w:link w:val="BalloonTextChar"/>
    <w:uiPriority w:val="99"/>
    <w:semiHidden/>
    <w:unhideWhenUsed/>
    <w:rsid w:val="00761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7DD"/>
    <w:rPr>
      <w:rFonts w:ascii="Segoe UI" w:hAnsi="Segoe UI" w:cs="Segoe UI"/>
      <w:sz w:val="18"/>
      <w:szCs w:val="18"/>
    </w:rPr>
  </w:style>
  <w:style w:type="paragraph" w:styleId="Revision">
    <w:name w:val="Revision"/>
    <w:hidden/>
    <w:uiPriority w:val="99"/>
    <w:semiHidden/>
    <w:rsid w:val="00D26EE8"/>
    <w:pPr>
      <w:spacing w:after="0" w:line="240" w:lineRule="auto"/>
    </w:pPr>
  </w:style>
  <w:style w:type="character" w:styleId="UnresolvedMention">
    <w:name w:val="Unresolved Mention"/>
    <w:basedOn w:val="DefaultParagraphFont"/>
    <w:uiPriority w:val="99"/>
    <w:semiHidden/>
    <w:unhideWhenUsed/>
    <w:rsid w:val="00907BB5"/>
    <w:rPr>
      <w:color w:val="605E5C"/>
      <w:shd w:val="clear" w:color="auto" w:fill="E1DFDD"/>
    </w:rPr>
  </w:style>
  <w:style w:type="paragraph" w:styleId="Header">
    <w:name w:val="header"/>
    <w:basedOn w:val="Normal"/>
    <w:link w:val="HeaderChar"/>
    <w:uiPriority w:val="99"/>
    <w:unhideWhenUsed/>
    <w:rsid w:val="007C4E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4EA8"/>
  </w:style>
  <w:style w:type="paragraph" w:styleId="Footer">
    <w:name w:val="footer"/>
    <w:basedOn w:val="Normal"/>
    <w:link w:val="FooterChar"/>
    <w:uiPriority w:val="99"/>
    <w:unhideWhenUsed/>
    <w:rsid w:val="007C4E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4EA8"/>
  </w:style>
  <w:style w:type="character" w:customStyle="1" w:styleId="Heading4Char">
    <w:name w:val="Heading 4 Char"/>
    <w:basedOn w:val="DefaultParagraphFont"/>
    <w:link w:val="Heading4"/>
    <w:uiPriority w:val="9"/>
    <w:semiHidden/>
    <w:rsid w:val="00EC286F"/>
    <w:rPr>
      <w:rFonts w:ascii="Cambria" w:eastAsia="Cambria" w:hAnsi="Cambria" w:cs="Cambria"/>
      <w:b/>
      <w:color w:val="4F81BD"/>
      <w:kern w:val="0"/>
      <w:lang w:val="en-US" w:eastAsia="fr-ML"/>
      <w14:ligatures w14:val="none"/>
    </w:rPr>
  </w:style>
  <w:style w:type="character" w:styleId="Strong">
    <w:name w:val="Strong"/>
    <w:basedOn w:val="DefaultParagraphFont"/>
    <w:uiPriority w:val="22"/>
    <w:qFormat/>
    <w:rsid w:val="00EC286F"/>
    <w:rPr>
      <w:b/>
      <w:bCs/>
    </w:rPr>
  </w:style>
  <w:style w:type="character" w:customStyle="1" w:styleId="Heading2Char">
    <w:name w:val="Heading 2 Char"/>
    <w:basedOn w:val="DefaultParagraphFont"/>
    <w:link w:val="Heading2"/>
    <w:uiPriority w:val="9"/>
    <w:semiHidden/>
    <w:rsid w:val="005A1C6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E4DF5"/>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805C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5CAA"/>
    <w:rPr>
      <w:sz w:val="20"/>
      <w:szCs w:val="20"/>
    </w:rPr>
  </w:style>
  <w:style w:type="character" w:styleId="FootnoteReference">
    <w:name w:val="footnote reference"/>
    <w:basedOn w:val="DefaultParagraphFont"/>
    <w:uiPriority w:val="99"/>
    <w:semiHidden/>
    <w:unhideWhenUsed/>
    <w:rsid w:val="00805CAA"/>
    <w:rPr>
      <w:vertAlign w:val="superscript"/>
    </w:rPr>
  </w:style>
  <w:style w:type="character" w:styleId="LineNumber">
    <w:name w:val="line number"/>
    <w:basedOn w:val="DefaultParagraphFont"/>
    <w:uiPriority w:val="99"/>
    <w:semiHidden/>
    <w:unhideWhenUsed/>
    <w:rsid w:val="00321F6C"/>
  </w:style>
  <w:style w:type="paragraph" w:styleId="Caption">
    <w:name w:val="caption"/>
    <w:basedOn w:val="Normal"/>
    <w:next w:val="Normal"/>
    <w:uiPriority w:val="35"/>
    <w:unhideWhenUsed/>
    <w:qFormat/>
    <w:rsid w:val="00AA3DE4"/>
    <w:pPr>
      <w:spacing w:after="200" w:line="240" w:lineRule="auto"/>
      <w:ind w:left="714" w:hanging="357"/>
      <w:jc w:val="both"/>
    </w:pPr>
    <w:rPr>
      <w:rFonts w:ascii="Calibri" w:eastAsia="Calibri" w:hAnsi="Calibri" w:cs="Times New Roman"/>
      <w:i/>
      <w:iCs/>
      <w:noProof w:val="0"/>
      <w:color w:val="44546A" w:themeColor="text2"/>
      <w:kern w:val="0"/>
      <w:sz w:val="18"/>
      <w:szCs w:val="18"/>
      <w:lang w:val="fr-FR"/>
      <w14:ligatures w14:val="none"/>
    </w:rPr>
  </w:style>
  <w:style w:type="table" w:styleId="TableGrid">
    <w:name w:val="Table Grid"/>
    <w:basedOn w:val="TableNormal"/>
    <w:uiPriority w:val="39"/>
    <w:rsid w:val="00667BD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94FB2"/>
    <w:rPr>
      <w:i/>
      <w:iCs/>
    </w:rPr>
  </w:style>
  <w:style w:type="paragraph" w:styleId="ListParagraph">
    <w:name w:val="List Paragraph"/>
    <w:basedOn w:val="Normal"/>
    <w:uiPriority w:val="34"/>
    <w:qFormat/>
    <w:rsid w:val="00B51916"/>
    <w:pPr>
      <w:ind w:left="720"/>
      <w:contextualSpacing/>
    </w:pPr>
  </w:style>
  <w:style w:type="paragraph" w:styleId="HTMLPreformatted">
    <w:name w:val="HTML Preformatted"/>
    <w:basedOn w:val="Normal"/>
    <w:link w:val="HTMLPreformattedChar"/>
    <w:uiPriority w:val="99"/>
    <w:semiHidden/>
    <w:unhideWhenUsed/>
    <w:rsid w:val="00A6215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62158"/>
    <w:rPr>
      <w:rFonts w:ascii="Consolas" w:hAnsi="Consolas"/>
      <w:noProof/>
      <w:sz w:val="20"/>
      <w:szCs w:val="20"/>
      <w:lang w:val="en-GB"/>
    </w:rPr>
  </w:style>
  <w:style w:type="character" w:customStyle="1" w:styleId="Heading1Char">
    <w:name w:val="Heading 1 Char"/>
    <w:basedOn w:val="DefaultParagraphFont"/>
    <w:link w:val="Heading1"/>
    <w:uiPriority w:val="9"/>
    <w:rsid w:val="00A33B7B"/>
    <w:rPr>
      <w:rFonts w:ascii="Arial" w:eastAsia="Times New Roman" w:hAnsi="Arial" w:cs="Arial"/>
      <w:b/>
      <w:bCs/>
      <w:kern w:val="0"/>
      <w:sz w:val="28"/>
      <w:szCs w:val="28"/>
      <w:lang w:val="en-ZA" w:eastAsia="en-ZA"/>
      <w14:ligatures w14:val="none"/>
    </w:rPr>
  </w:style>
  <w:style w:type="character" w:styleId="EndnoteReference">
    <w:name w:val="endnote reference"/>
    <w:basedOn w:val="DefaultParagraphFont"/>
    <w:uiPriority w:val="99"/>
    <w:semiHidden/>
    <w:unhideWhenUsed/>
    <w:rsid w:val="005A20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2266">
      <w:bodyDiv w:val="1"/>
      <w:marLeft w:val="0"/>
      <w:marRight w:val="0"/>
      <w:marTop w:val="0"/>
      <w:marBottom w:val="0"/>
      <w:divBdr>
        <w:top w:val="none" w:sz="0" w:space="0" w:color="auto"/>
        <w:left w:val="none" w:sz="0" w:space="0" w:color="auto"/>
        <w:bottom w:val="none" w:sz="0" w:space="0" w:color="auto"/>
        <w:right w:val="none" w:sz="0" w:space="0" w:color="auto"/>
      </w:divBdr>
      <w:divsChild>
        <w:div w:id="481895747">
          <w:marLeft w:val="0"/>
          <w:marRight w:val="0"/>
          <w:marTop w:val="0"/>
          <w:marBottom w:val="0"/>
          <w:divBdr>
            <w:top w:val="none" w:sz="0" w:space="0" w:color="auto"/>
            <w:left w:val="none" w:sz="0" w:space="0" w:color="auto"/>
            <w:bottom w:val="none" w:sz="0" w:space="0" w:color="auto"/>
            <w:right w:val="none" w:sz="0" w:space="0" w:color="auto"/>
          </w:divBdr>
          <w:divsChild>
            <w:div w:id="1298341938">
              <w:marLeft w:val="0"/>
              <w:marRight w:val="0"/>
              <w:marTop w:val="0"/>
              <w:marBottom w:val="0"/>
              <w:divBdr>
                <w:top w:val="none" w:sz="0" w:space="0" w:color="auto"/>
                <w:left w:val="none" w:sz="0" w:space="0" w:color="auto"/>
                <w:bottom w:val="none" w:sz="0" w:space="0" w:color="auto"/>
                <w:right w:val="none" w:sz="0" w:space="0" w:color="auto"/>
              </w:divBdr>
            </w:div>
          </w:divsChild>
        </w:div>
        <w:div w:id="900365527">
          <w:marLeft w:val="0"/>
          <w:marRight w:val="0"/>
          <w:marTop w:val="0"/>
          <w:marBottom w:val="0"/>
          <w:divBdr>
            <w:top w:val="single" w:sz="6" w:space="0" w:color="F0F0F0"/>
            <w:left w:val="none" w:sz="0" w:space="0" w:color="auto"/>
            <w:bottom w:val="none" w:sz="0" w:space="0" w:color="auto"/>
            <w:right w:val="none" w:sz="0" w:space="0" w:color="auto"/>
          </w:divBdr>
          <w:divsChild>
            <w:div w:id="129128786">
              <w:marLeft w:val="0"/>
              <w:marRight w:val="0"/>
              <w:marTop w:val="0"/>
              <w:marBottom w:val="0"/>
              <w:divBdr>
                <w:top w:val="none" w:sz="0" w:space="0" w:color="auto"/>
                <w:left w:val="none" w:sz="0" w:space="0" w:color="auto"/>
                <w:bottom w:val="none" w:sz="0" w:space="0" w:color="auto"/>
                <w:right w:val="none" w:sz="0" w:space="0" w:color="auto"/>
              </w:divBdr>
              <w:divsChild>
                <w:div w:id="1648121245">
                  <w:marLeft w:val="0"/>
                  <w:marRight w:val="0"/>
                  <w:marTop w:val="0"/>
                  <w:marBottom w:val="0"/>
                  <w:divBdr>
                    <w:top w:val="none" w:sz="0" w:space="0" w:color="auto"/>
                    <w:left w:val="none" w:sz="0" w:space="0" w:color="auto"/>
                    <w:bottom w:val="none" w:sz="0" w:space="0" w:color="auto"/>
                    <w:right w:val="none" w:sz="0" w:space="0" w:color="auto"/>
                  </w:divBdr>
                  <w:divsChild>
                    <w:div w:id="1807626596">
                      <w:marLeft w:val="0"/>
                      <w:marRight w:val="0"/>
                      <w:marTop w:val="0"/>
                      <w:marBottom w:val="0"/>
                      <w:divBdr>
                        <w:top w:val="none" w:sz="0" w:space="0" w:color="auto"/>
                        <w:left w:val="none" w:sz="0" w:space="0" w:color="auto"/>
                        <w:bottom w:val="none" w:sz="0" w:space="0" w:color="auto"/>
                        <w:right w:val="none" w:sz="0" w:space="0" w:color="auto"/>
                      </w:divBdr>
                      <w:divsChild>
                        <w:div w:id="14978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68807">
      <w:bodyDiv w:val="1"/>
      <w:marLeft w:val="0"/>
      <w:marRight w:val="0"/>
      <w:marTop w:val="0"/>
      <w:marBottom w:val="0"/>
      <w:divBdr>
        <w:top w:val="none" w:sz="0" w:space="0" w:color="auto"/>
        <w:left w:val="none" w:sz="0" w:space="0" w:color="auto"/>
        <w:bottom w:val="none" w:sz="0" w:space="0" w:color="auto"/>
        <w:right w:val="none" w:sz="0" w:space="0" w:color="auto"/>
      </w:divBdr>
      <w:divsChild>
        <w:div w:id="354891506">
          <w:marLeft w:val="0"/>
          <w:marRight w:val="0"/>
          <w:marTop w:val="0"/>
          <w:marBottom w:val="0"/>
          <w:divBdr>
            <w:top w:val="single" w:sz="6" w:space="0" w:color="F0F0F0"/>
            <w:left w:val="none" w:sz="0" w:space="0" w:color="auto"/>
            <w:bottom w:val="none" w:sz="0" w:space="0" w:color="auto"/>
            <w:right w:val="none" w:sz="0" w:space="0" w:color="auto"/>
          </w:divBdr>
          <w:divsChild>
            <w:div w:id="1871381091">
              <w:marLeft w:val="0"/>
              <w:marRight w:val="0"/>
              <w:marTop w:val="0"/>
              <w:marBottom w:val="0"/>
              <w:divBdr>
                <w:top w:val="none" w:sz="0" w:space="0" w:color="auto"/>
                <w:left w:val="none" w:sz="0" w:space="0" w:color="auto"/>
                <w:bottom w:val="none" w:sz="0" w:space="0" w:color="auto"/>
                <w:right w:val="none" w:sz="0" w:space="0" w:color="auto"/>
              </w:divBdr>
              <w:divsChild>
                <w:div w:id="1596859130">
                  <w:marLeft w:val="0"/>
                  <w:marRight w:val="0"/>
                  <w:marTop w:val="0"/>
                  <w:marBottom w:val="0"/>
                  <w:divBdr>
                    <w:top w:val="none" w:sz="0" w:space="0" w:color="auto"/>
                    <w:left w:val="none" w:sz="0" w:space="0" w:color="auto"/>
                    <w:bottom w:val="none" w:sz="0" w:space="0" w:color="auto"/>
                    <w:right w:val="none" w:sz="0" w:space="0" w:color="auto"/>
                  </w:divBdr>
                  <w:divsChild>
                    <w:div w:id="1010596685">
                      <w:marLeft w:val="0"/>
                      <w:marRight w:val="0"/>
                      <w:marTop w:val="0"/>
                      <w:marBottom w:val="0"/>
                      <w:divBdr>
                        <w:top w:val="none" w:sz="0" w:space="0" w:color="auto"/>
                        <w:left w:val="none" w:sz="0" w:space="0" w:color="auto"/>
                        <w:bottom w:val="none" w:sz="0" w:space="0" w:color="auto"/>
                        <w:right w:val="none" w:sz="0" w:space="0" w:color="auto"/>
                      </w:divBdr>
                      <w:divsChild>
                        <w:div w:id="17432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72666">
          <w:marLeft w:val="0"/>
          <w:marRight w:val="0"/>
          <w:marTop w:val="0"/>
          <w:marBottom w:val="0"/>
          <w:divBdr>
            <w:top w:val="none" w:sz="0" w:space="0" w:color="auto"/>
            <w:left w:val="none" w:sz="0" w:space="0" w:color="auto"/>
            <w:bottom w:val="none" w:sz="0" w:space="0" w:color="auto"/>
            <w:right w:val="none" w:sz="0" w:space="0" w:color="auto"/>
          </w:divBdr>
          <w:divsChild>
            <w:div w:id="10875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2377">
      <w:bodyDiv w:val="1"/>
      <w:marLeft w:val="0"/>
      <w:marRight w:val="0"/>
      <w:marTop w:val="0"/>
      <w:marBottom w:val="0"/>
      <w:divBdr>
        <w:top w:val="none" w:sz="0" w:space="0" w:color="auto"/>
        <w:left w:val="none" w:sz="0" w:space="0" w:color="auto"/>
        <w:bottom w:val="none" w:sz="0" w:space="0" w:color="auto"/>
        <w:right w:val="none" w:sz="0" w:space="0" w:color="auto"/>
      </w:divBdr>
    </w:div>
    <w:div w:id="90705732">
      <w:bodyDiv w:val="1"/>
      <w:marLeft w:val="0"/>
      <w:marRight w:val="0"/>
      <w:marTop w:val="0"/>
      <w:marBottom w:val="0"/>
      <w:divBdr>
        <w:top w:val="none" w:sz="0" w:space="0" w:color="auto"/>
        <w:left w:val="none" w:sz="0" w:space="0" w:color="auto"/>
        <w:bottom w:val="none" w:sz="0" w:space="0" w:color="auto"/>
        <w:right w:val="none" w:sz="0" w:space="0" w:color="auto"/>
      </w:divBdr>
    </w:div>
    <w:div w:id="179469821">
      <w:bodyDiv w:val="1"/>
      <w:marLeft w:val="0"/>
      <w:marRight w:val="0"/>
      <w:marTop w:val="0"/>
      <w:marBottom w:val="0"/>
      <w:divBdr>
        <w:top w:val="none" w:sz="0" w:space="0" w:color="auto"/>
        <w:left w:val="none" w:sz="0" w:space="0" w:color="auto"/>
        <w:bottom w:val="none" w:sz="0" w:space="0" w:color="auto"/>
        <w:right w:val="none" w:sz="0" w:space="0" w:color="auto"/>
      </w:divBdr>
      <w:divsChild>
        <w:div w:id="129173279">
          <w:marLeft w:val="0"/>
          <w:marRight w:val="0"/>
          <w:marTop w:val="0"/>
          <w:marBottom w:val="0"/>
          <w:divBdr>
            <w:top w:val="none" w:sz="0" w:space="0" w:color="auto"/>
            <w:left w:val="none" w:sz="0" w:space="0" w:color="auto"/>
            <w:bottom w:val="none" w:sz="0" w:space="0" w:color="auto"/>
            <w:right w:val="none" w:sz="0" w:space="0" w:color="auto"/>
          </w:divBdr>
        </w:div>
      </w:divsChild>
    </w:div>
    <w:div w:id="200438561">
      <w:bodyDiv w:val="1"/>
      <w:marLeft w:val="0"/>
      <w:marRight w:val="0"/>
      <w:marTop w:val="0"/>
      <w:marBottom w:val="0"/>
      <w:divBdr>
        <w:top w:val="none" w:sz="0" w:space="0" w:color="auto"/>
        <w:left w:val="none" w:sz="0" w:space="0" w:color="auto"/>
        <w:bottom w:val="none" w:sz="0" w:space="0" w:color="auto"/>
        <w:right w:val="none" w:sz="0" w:space="0" w:color="auto"/>
      </w:divBdr>
      <w:divsChild>
        <w:div w:id="498547651">
          <w:marLeft w:val="0"/>
          <w:marRight w:val="0"/>
          <w:marTop w:val="0"/>
          <w:marBottom w:val="0"/>
          <w:divBdr>
            <w:top w:val="none" w:sz="0" w:space="0" w:color="auto"/>
            <w:left w:val="none" w:sz="0" w:space="0" w:color="auto"/>
            <w:bottom w:val="none" w:sz="0" w:space="0" w:color="auto"/>
            <w:right w:val="none" w:sz="0" w:space="0" w:color="auto"/>
          </w:divBdr>
        </w:div>
        <w:div w:id="1411272142">
          <w:marLeft w:val="0"/>
          <w:marRight w:val="0"/>
          <w:marTop w:val="0"/>
          <w:marBottom w:val="0"/>
          <w:divBdr>
            <w:top w:val="none" w:sz="0" w:space="0" w:color="auto"/>
            <w:left w:val="none" w:sz="0" w:space="0" w:color="auto"/>
            <w:bottom w:val="none" w:sz="0" w:space="0" w:color="auto"/>
            <w:right w:val="none" w:sz="0" w:space="0" w:color="auto"/>
          </w:divBdr>
        </w:div>
        <w:div w:id="66654933">
          <w:marLeft w:val="0"/>
          <w:marRight w:val="0"/>
          <w:marTop w:val="0"/>
          <w:marBottom w:val="0"/>
          <w:divBdr>
            <w:top w:val="none" w:sz="0" w:space="0" w:color="auto"/>
            <w:left w:val="none" w:sz="0" w:space="0" w:color="auto"/>
            <w:bottom w:val="none" w:sz="0" w:space="0" w:color="auto"/>
            <w:right w:val="none" w:sz="0" w:space="0" w:color="auto"/>
          </w:divBdr>
        </w:div>
        <w:div w:id="114717233">
          <w:marLeft w:val="0"/>
          <w:marRight w:val="0"/>
          <w:marTop w:val="0"/>
          <w:marBottom w:val="0"/>
          <w:divBdr>
            <w:top w:val="none" w:sz="0" w:space="0" w:color="auto"/>
            <w:left w:val="none" w:sz="0" w:space="0" w:color="auto"/>
            <w:bottom w:val="none" w:sz="0" w:space="0" w:color="auto"/>
            <w:right w:val="none" w:sz="0" w:space="0" w:color="auto"/>
          </w:divBdr>
        </w:div>
        <w:div w:id="2027251457">
          <w:marLeft w:val="0"/>
          <w:marRight w:val="0"/>
          <w:marTop w:val="0"/>
          <w:marBottom w:val="0"/>
          <w:divBdr>
            <w:top w:val="none" w:sz="0" w:space="0" w:color="auto"/>
            <w:left w:val="none" w:sz="0" w:space="0" w:color="auto"/>
            <w:bottom w:val="none" w:sz="0" w:space="0" w:color="auto"/>
            <w:right w:val="none" w:sz="0" w:space="0" w:color="auto"/>
          </w:divBdr>
        </w:div>
        <w:div w:id="692532873">
          <w:marLeft w:val="0"/>
          <w:marRight w:val="0"/>
          <w:marTop w:val="0"/>
          <w:marBottom w:val="0"/>
          <w:divBdr>
            <w:top w:val="none" w:sz="0" w:space="0" w:color="auto"/>
            <w:left w:val="none" w:sz="0" w:space="0" w:color="auto"/>
            <w:bottom w:val="none" w:sz="0" w:space="0" w:color="auto"/>
            <w:right w:val="none" w:sz="0" w:space="0" w:color="auto"/>
          </w:divBdr>
        </w:div>
        <w:div w:id="1245845431">
          <w:marLeft w:val="0"/>
          <w:marRight w:val="0"/>
          <w:marTop w:val="0"/>
          <w:marBottom w:val="0"/>
          <w:divBdr>
            <w:top w:val="none" w:sz="0" w:space="0" w:color="auto"/>
            <w:left w:val="none" w:sz="0" w:space="0" w:color="auto"/>
            <w:bottom w:val="none" w:sz="0" w:space="0" w:color="auto"/>
            <w:right w:val="none" w:sz="0" w:space="0" w:color="auto"/>
          </w:divBdr>
        </w:div>
        <w:div w:id="1265528000">
          <w:marLeft w:val="0"/>
          <w:marRight w:val="0"/>
          <w:marTop w:val="0"/>
          <w:marBottom w:val="0"/>
          <w:divBdr>
            <w:top w:val="none" w:sz="0" w:space="0" w:color="auto"/>
            <w:left w:val="none" w:sz="0" w:space="0" w:color="auto"/>
            <w:bottom w:val="none" w:sz="0" w:space="0" w:color="auto"/>
            <w:right w:val="none" w:sz="0" w:space="0" w:color="auto"/>
          </w:divBdr>
        </w:div>
        <w:div w:id="564341679">
          <w:marLeft w:val="0"/>
          <w:marRight w:val="0"/>
          <w:marTop w:val="0"/>
          <w:marBottom w:val="0"/>
          <w:divBdr>
            <w:top w:val="none" w:sz="0" w:space="0" w:color="auto"/>
            <w:left w:val="none" w:sz="0" w:space="0" w:color="auto"/>
            <w:bottom w:val="none" w:sz="0" w:space="0" w:color="auto"/>
            <w:right w:val="none" w:sz="0" w:space="0" w:color="auto"/>
          </w:divBdr>
        </w:div>
        <w:div w:id="1844927580">
          <w:marLeft w:val="0"/>
          <w:marRight w:val="0"/>
          <w:marTop w:val="0"/>
          <w:marBottom w:val="0"/>
          <w:divBdr>
            <w:top w:val="none" w:sz="0" w:space="0" w:color="auto"/>
            <w:left w:val="none" w:sz="0" w:space="0" w:color="auto"/>
            <w:bottom w:val="none" w:sz="0" w:space="0" w:color="auto"/>
            <w:right w:val="none" w:sz="0" w:space="0" w:color="auto"/>
          </w:divBdr>
        </w:div>
        <w:div w:id="1227448484">
          <w:marLeft w:val="0"/>
          <w:marRight w:val="0"/>
          <w:marTop w:val="0"/>
          <w:marBottom w:val="0"/>
          <w:divBdr>
            <w:top w:val="none" w:sz="0" w:space="0" w:color="auto"/>
            <w:left w:val="none" w:sz="0" w:space="0" w:color="auto"/>
            <w:bottom w:val="none" w:sz="0" w:space="0" w:color="auto"/>
            <w:right w:val="none" w:sz="0" w:space="0" w:color="auto"/>
          </w:divBdr>
        </w:div>
      </w:divsChild>
    </w:div>
    <w:div w:id="286015441">
      <w:bodyDiv w:val="1"/>
      <w:marLeft w:val="0"/>
      <w:marRight w:val="0"/>
      <w:marTop w:val="0"/>
      <w:marBottom w:val="0"/>
      <w:divBdr>
        <w:top w:val="none" w:sz="0" w:space="0" w:color="auto"/>
        <w:left w:val="none" w:sz="0" w:space="0" w:color="auto"/>
        <w:bottom w:val="none" w:sz="0" w:space="0" w:color="auto"/>
        <w:right w:val="none" w:sz="0" w:space="0" w:color="auto"/>
      </w:divBdr>
    </w:div>
    <w:div w:id="339892947">
      <w:bodyDiv w:val="1"/>
      <w:marLeft w:val="0"/>
      <w:marRight w:val="0"/>
      <w:marTop w:val="0"/>
      <w:marBottom w:val="0"/>
      <w:divBdr>
        <w:top w:val="none" w:sz="0" w:space="0" w:color="auto"/>
        <w:left w:val="none" w:sz="0" w:space="0" w:color="auto"/>
        <w:bottom w:val="none" w:sz="0" w:space="0" w:color="auto"/>
        <w:right w:val="none" w:sz="0" w:space="0" w:color="auto"/>
      </w:divBdr>
      <w:divsChild>
        <w:div w:id="2071154532">
          <w:marLeft w:val="0"/>
          <w:marRight w:val="0"/>
          <w:marTop w:val="0"/>
          <w:marBottom w:val="0"/>
          <w:divBdr>
            <w:top w:val="none" w:sz="0" w:space="0" w:color="auto"/>
            <w:left w:val="none" w:sz="0" w:space="0" w:color="auto"/>
            <w:bottom w:val="none" w:sz="0" w:space="0" w:color="auto"/>
            <w:right w:val="none" w:sz="0" w:space="0" w:color="auto"/>
          </w:divBdr>
        </w:div>
        <w:div w:id="1630747542">
          <w:marLeft w:val="0"/>
          <w:marRight w:val="0"/>
          <w:marTop w:val="0"/>
          <w:marBottom w:val="0"/>
          <w:divBdr>
            <w:top w:val="none" w:sz="0" w:space="0" w:color="auto"/>
            <w:left w:val="none" w:sz="0" w:space="0" w:color="auto"/>
            <w:bottom w:val="none" w:sz="0" w:space="0" w:color="auto"/>
            <w:right w:val="none" w:sz="0" w:space="0" w:color="auto"/>
          </w:divBdr>
        </w:div>
        <w:div w:id="84884284">
          <w:marLeft w:val="0"/>
          <w:marRight w:val="0"/>
          <w:marTop w:val="0"/>
          <w:marBottom w:val="0"/>
          <w:divBdr>
            <w:top w:val="none" w:sz="0" w:space="0" w:color="auto"/>
            <w:left w:val="none" w:sz="0" w:space="0" w:color="auto"/>
            <w:bottom w:val="none" w:sz="0" w:space="0" w:color="auto"/>
            <w:right w:val="none" w:sz="0" w:space="0" w:color="auto"/>
          </w:divBdr>
        </w:div>
      </w:divsChild>
    </w:div>
    <w:div w:id="473715426">
      <w:bodyDiv w:val="1"/>
      <w:marLeft w:val="0"/>
      <w:marRight w:val="0"/>
      <w:marTop w:val="0"/>
      <w:marBottom w:val="0"/>
      <w:divBdr>
        <w:top w:val="none" w:sz="0" w:space="0" w:color="auto"/>
        <w:left w:val="none" w:sz="0" w:space="0" w:color="auto"/>
        <w:bottom w:val="none" w:sz="0" w:space="0" w:color="auto"/>
        <w:right w:val="none" w:sz="0" w:space="0" w:color="auto"/>
      </w:divBdr>
    </w:div>
    <w:div w:id="512769675">
      <w:bodyDiv w:val="1"/>
      <w:marLeft w:val="0"/>
      <w:marRight w:val="0"/>
      <w:marTop w:val="0"/>
      <w:marBottom w:val="0"/>
      <w:divBdr>
        <w:top w:val="none" w:sz="0" w:space="0" w:color="auto"/>
        <w:left w:val="none" w:sz="0" w:space="0" w:color="auto"/>
        <w:bottom w:val="none" w:sz="0" w:space="0" w:color="auto"/>
        <w:right w:val="none" w:sz="0" w:space="0" w:color="auto"/>
      </w:divBdr>
    </w:div>
    <w:div w:id="567812956">
      <w:bodyDiv w:val="1"/>
      <w:marLeft w:val="0"/>
      <w:marRight w:val="0"/>
      <w:marTop w:val="0"/>
      <w:marBottom w:val="0"/>
      <w:divBdr>
        <w:top w:val="none" w:sz="0" w:space="0" w:color="auto"/>
        <w:left w:val="none" w:sz="0" w:space="0" w:color="auto"/>
        <w:bottom w:val="none" w:sz="0" w:space="0" w:color="auto"/>
        <w:right w:val="none" w:sz="0" w:space="0" w:color="auto"/>
      </w:divBdr>
    </w:div>
    <w:div w:id="599223247">
      <w:bodyDiv w:val="1"/>
      <w:marLeft w:val="0"/>
      <w:marRight w:val="0"/>
      <w:marTop w:val="0"/>
      <w:marBottom w:val="0"/>
      <w:divBdr>
        <w:top w:val="none" w:sz="0" w:space="0" w:color="auto"/>
        <w:left w:val="none" w:sz="0" w:space="0" w:color="auto"/>
        <w:bottom w:val="none" w:sz="0" w:space="0" w:color="auto"/>
        <w:right w:val="none" w:sz="0" w:space="0" w:color="auto"/>
      </w:divBdr>
    </w:div>
    <w:div w:id="675620862">
      <w:bodyDiv w:val="1"/>
      <w:marLeft w:val="0"/>
      <w:marRight w:val="0"/>
      <w:marTop w:val="0"/>
      <w:marBottom w:val="0"/>
      <w:divBdr>
        <w:top w:val="none" w:sz="0" w:space="0" w:color="auto"/>
        <w:left w:val="none" w:sz="0" w:space="0" w:color="auto"/>
        <w:bottom w:val="none" w:sz="0" w:space="0" w:color="auto"/>
        <w:right w:val="none" w:sz="0" w:space="0" w:color="auto"/>
      </w:divBdr>
      <w:divsChild>
        <w:div w:id="910701271">
          <w:marLeft w:val="0"/>
          <w:marRight w:val="0"/>
          <w:marTop w:val="0"/>
          <w:marBottom w:val="0"/>
          <w:divBdr>
            <w:top w:val="none" w:sz="0" w:space="0" w:color="auto"/>
            <w:left w:val="none" w:sz="0" w:space="0" w:color="auto"/>
            <w:bottom w:val="none" w:sz="0" w:space="0" w:color="auto"/>
            <w:right w:val="none" w:sz="0" w:space="0" w:color="auto"/>
          </w:divBdr>
          <w:divsChild>
            <w:div w:id="195122947">
              <w:marLeft w:val="0"/>
              <w:marRight w:val="0"/>
              <w:marTop w:val="0"/>
              <w:marBottom w:val="0"/>
              <w:divBdr>
                <w:top w:val="none" w:sz="0" w:space="0" w:color="auto"/>
                <w:left w:val="none" w:sz="0" w:space="0" w:color="auto"/>
                <w:bottom w:val="none" w:sz="0" w:space="0" w:color="auto"/>
                <w:right w:val="none" w:sz="0" w:space="0" w:color="auto"/>
              </w:divBdr>
            </w:div>
          </w:divsChild>
        </w:div>
        <w:div w:id="1436439168">
          <w:marLeft w:val="0"/>
          <w:marRight w:val="0"/>
          <w:marTop w:val="0"/>
          <w:marBottom w:val="0"/>
          <w:divBdr>
            <w:top w:val="single" w:sz="6" w:space="0" w:color="F0F0F0"/>
            <w:left w:val="none" w:sz="0" w:space="0" w:color="auto"/>
            <w:bottom w:val="none" w:sz="0" w:space="0" w:color="auto"/>
            <w:right w:val="none" w:sz="0" w:space="0" w:color="auto"/>
          </w:divBdr>
          <w:divsChild>
            <w:div w:id="692341988">
              <w:marLeft w:val="0"/>
              <w:marRight w:val="0"/>
              <w:marTop w:val="0"/>
              <w:marBottom w:val="0"/>
              <w:divBdr>
                <w:top w:val="none" w:sz="0" w:space="0" w:color="auto"/>
                <w:left w:val="none" w:sz="0" w:space="0" w:color="auto"/>
                <w:bottom w:val="none" w:sz="0" w:space="0" w:color="auto"/>
                <w:right w:val="none" w:sz="0" w:space="0" w:color="auto"/>
              </w:divBdr>
              <w:divsChild>
                <w:div w:id="912155209">
                  <w:marLeft w:val="0"/>
                  <w:marRight w:val="0"/>
                  <w:marTop w:val="0"/>
                  <w:marBottom w:val="0"/>
                  <w:divBdr>
                    <w:top w:val="none" w:sz="0" w:space="0" w:color="auto"/>
                    <w:left w:val="none" w:sz="0" w:space="0" w:color="auto"/>
                    <w:bottom w:val="none" w:sz="0" w:space="0" w:color="auto"/>
                    <w:right w:val="none" w:sz="0" w:space="0" w:color="auto"/>
                  </w:divBdr>
                  <w:divsChild>
                    <w:div w:id="1633635071">
                      <w:marLeft w:val="0"/>
                      <w:marRight w:val="0"/>
                      <w:marTop w:val="0"/>
                      <w:marBottom w:val="0"/>
                      <w:divBdr>
                        <w:top w:val="none" w:sz="0" w:space="0" w:color="auto"/>
                        <w:left w:val="none" w:sz="0" w:space="0" w:color="auto"/>
                        <w:bottom w:val="none" w:sz="0" w:space="0" w:color="auto"/>
                        <w:right w:val="none" w:sz="0" w:space="0" w:color="auto"/>
                      </w:divBdr>
                      <w:divsChild>
                        <w:div w:id="12980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764399">
      <w:bodyDiv w:val="1"/>
      <w:marLeft w:val="0"/>
      <w:marRight w:val="0"/>
      <w:marTop w:val="0"/>
      <w:marBottom w:val="0"/>
      <w:divBdr>
        <w:top w:val="none" w:sz="0" w:space="0" w:color="auto"/>
        <w:left w:val="none" w:sz="0" w:space="0" w:color="auto"/>
        <w:bottom w:val="none" w:sz="0" w:space="0" w:color="auto"/>
        <w:right w:val="none" w:sz="0" w:space="0" w:color="auto"/>
      </w:divBdr>
    </w:div>
    <w:div w:id="717585632">
      <w:bodyDiv w:val="1"/>
      <w:marLeft w:val="0"/>
      <w:marRight w:val="0"/>
      <w:marTop w:val="0"/>
      <w:marBottom w:val="0"/>
      <w:divBdr>
        <w:top w:val="none" w:sz="0" w:space="0" w:color="auto"/>
        <w:left w:val="none" w:sz="0" w:space="0" w:color="auto"/>
        <w:bottom w:val="none" w:sz="0" w:space="0" w:color="auto"/>
        <w:right w:val="none" w:sz="0" w:space="0" w:color="auto"/>
      </w:divBdr>
      <w:divsChild>
        <w:div w:id="875384815">
          <w:marLeft w:val="0"/>
          <w:marRight w:val="0"/>
          <w:marTop w:val="0"/>
          <w:marBottom w:val="0"/>
          <w:divBdr>
            <w:top w:val="none" w:sz="0" w:space="0" w:color="auto"/>
            <w:left w:val="none" w:sz="0" w:space="0" w:color="auto"/>
            <w:bottom w:val="none" w:sz="0" w:space="0" w:color="auto"/>
            <w:right w:val="none" w:sz="0" w:space="0" w:color="auto"/>
          </w:divBdr>
        </w:div>
      </w:divsChild>
    </w:div>
    <w:div w:id="777523527">
      <w:bodyDiv w:val="1"/>
      <w:marLeft w:val="0"/>
      <w:marRight w:val="0"/>
      <w:marTop w:val="0"/>
      <w:marBottom w:val="0"/>
      <w:divBdr>
        <w:top w:val="none" w:sz="0" w:space="0" w:color="auto"/>
        <w:left w:val="none" w:sz="0" w:space="0" w:color="auto"/>
        <w:bottom w:val="none" w:sz="0" w:space="0" w:color="auto"/>
        <w:right w:val="none" w:sz="0" w:space="0" w:color="auto"/>
      </w:divBdr>
    </w:div>
    <w:div w:id="811412100">
      <w:bodyDiv w:val="1"/>
      <w:marLeft w:val="0"/>
      <w:marRight w:val="0"/>
      <w:marTop w:val="0"/>
      <w:marBottom w:val="0"/>
      <w:divBdr>
        <w:top w:val="none" w:sz="0" w:space="0" w:color="auto"/>
        <w:left w:val="none" w:sz="0" w:space="0" w:color="auto"/>
        <w:bottom w:val="none" w:sz="0" w:space="0" w:color="auto"/>
        <w:right w:val="none" w:sz="0" w:space="0" w:color="auto"/>
      </w:divBdr>
    </w:div>
    <w:div w:id="816728512">
      <w:bodyDiv w:val="1"/>
      <w:marLeft w:val="0"/>
      <w:marRight w:val="0"/>
      <w:marTop w:val="0"/>
      <w:marBottom w:val="0"/>
      <w:divBdr>
        <w:top w:val="none" w:sz="0" w:space="0" w:color="auto"/>
        <w:left w:val="none" w:sz="0" w:space="0" w:color="auto"/>
        <w:bottom w:val="none" w:sz="0" w:space="0" w:color="auto"/>
        <w:right w:val="none" w:sz="0" w:space="0" w:color="auto"/>
      </w:divBdr>
    </w:div>
    <w:div w:id="818690702">
      <w:bodyDiv w:val="1"/>
      <w:marLeft w:val="0"/>
      <w:marRight w:val="0"/>
      <w:marTop w:val="0"/>
      <w:marBottom w:val="0"/>
      <w:divBdr>
        <w:top w:val="none" w:sz="0" w:space="0" w:color="auto"/>
        <w:left w:val="none" w:sz="0" w:space="0" w:color="auto"/>
        <w:bottom w:val="none" w:sz="0" w:space="0" w:color="auto"/>
        <w:right w:val="none" w:sz="0" w:space="0" w:color="auto"/>
      </w:divBdr>
    </w:div>
    <w:div w:id="971178357">
      <w:bodyDiv w:val="1"/>
      <w:marLeft w:val="0"/>
      <w:marRight w:val="0"/>
      <w:marTop w:val="0"/>
      <w:marBottom w:val="0"/>
      <w:divBdr>
        <w:top w:val="none" w:sz="0" w:space="0" w:color="auto"/>
        <w:left w:val="none" w:sz="0" w:space="0" w:color="auto"/>
        <w:bottom w:val="none" w:sz="0" w:space="0" w:color="auto"/>
        <w:right w:val="none" w:sz="0" w:space="0" w:color="auto"/>
      </w:divBdr>
    </w:div>
    <w:div w:id="990720990">
      <w:bodyDiv w:val="1"/>
      <w:marLeft w:val="0"/>
      <w:marRight w:val="0"/>
      <w:marTop w:val="0"/>
      <w:marBottom w:val="0"/>
      <w:divBdr>
        <w:top w:val="none" w:sz="0" w:space="0" w:color="auto"/>
        <w:left w:val="none" w:sz="0" w:space="0" w:color="auto"/>
        <w:bottom w:val="none" w:sz="0" w:space="0" w:color="auto"/>
        <w:right w:val="none" w:sz="0" w:space="0" w:color="auto"/>
      </w:divBdr>
    </w:div>
    <w:div w:id="1092318607">
      <w:bodyDiv w:val="1"/>
      <w:marLeft w:val="0"/>
      <w:marRight w:val="0"/>
      <w:marTop w:val="0"/>
      <w:marBottom w:val="0"/>
      <w:divBdr>
        <w:top w:val="none" w:sz="0" w:space="0" w:color="auto"/>
        <w:left w:val="none" w:sz="0" w:space="0" w:color="auto"/>
        <w:bottom w:val="none" w:sz="0" w:space="0" w:color="auto"/>
        <w:right w:val="none" w:sz="0" w:space="0" w:color="auto"/>
      </w:divBdr>
      <w:divsChild>
        <w:div w:id="1510028363">
          <w:marLeft w:val="0"/>
          <w:marRight w:val="0"/>
          <w:marTop w:val="0"/>
          <w:marBottom w:val="0"/>
          <w:divBdr>
            <w:top w:val="none" w:sz="0" w:space="0" w:color="auto"/>
            <w:left w:val="none" w:sz="0" w:space="0" w:color="auto"/>
            <w:bottom w:val="none" w:sz="0" w:space="0" w:color="auto"/>
            <w:right w:val="none" w:sz="0" w:space="0" w:color="auto"/>
          </w:divBdr>
        </w:div>
        <w:div w:id="911239416">
          <w:marLeft w:val="0"/>
          <w:marRight w:val="0"/>
          <w:marTop w:val="0"/>
          <w:marBottom w:val="0"/>
          <w:divBdr>
            <w:top w:val="none" w:sz="0" w:space="0" w:color="auto"/>
            <w:left w:val="none" w:sz="0" w:space="0" w:color="auto"/>
            <w:bottom w:val="none" w:sz="0" w:space="0" w:color="auto"/>
            <w:right w:val="none" w:sz="0" w:space="0" w:color="auto"/>
          </w:divBdr>
        </w:div>
        <w:div w:id="654650089">
          <w:marLeft w:val="0"/>
          <w:marRight w:val="0"/>
          <w:marTop w:val="0"/>
          <w:marBottom w:val="0"/>
          <w:divBdr>
            <w:top w:val="none" w:sz="0" w:space="0" w:color="auto"/>
            <w:left w:val="none" w:sz="0" w:space="0" w:color="auto"/>
            <w:bottom w:val="none" w:sz="0" w:space="0" w:color="auto"/>
            <w:right w:val="none" w:sz="0" w:space="0" w:color="auto"/>
          </w:divBdr>
        </w:div>
      </w:divsChild>
    </w:div>
    <w:div w:id="1194153493">
      <w:bodyDiv w:val="1"/>
      <w:marLeft w:val="0"/>
      <w:marRight w:val="0"/>
      <w:marTop w:val="0"/>
      <w:marBottom w:val="0"/>
      <w:divBdr>
        <w:top w:val="none" w:sz="0" w:space="0" w:color="auto"/>
        <w:left w:val="none" w:sz="0" w:space="0" w:color="auto"/>
        <w:bottom w:val="none" w:sz="0" w:space="0" w:color="auto"/>
        <w:right w:val="none" w:sz="0" w:space="0" w:color="auto"/>
      </w:divBdr>
    </w:div>
    <w:div w:id="1241595428">
      <w:bodyDiv w:val="1"/>
      <w:marLeft w:val="0"/>
      <w:marRight w:val="0"/>
      <w:marTop w:val="0"/>
      <w:marBottom w:val="0"/>
      <w:divBdr>
        <w:top w:val="none" w:sz="0" w:space="0" w:color="auto"/>
        <w:left w:val="none" w:sz="0" w:space="0" w:color="auto"/>
        <w:bottom w:val="none" w:sz="0" w:space="0" w:color="auto"/>
        <w:right w:val="none" w:sz="0" w:space="0" w:color="auto"/>
      </w:divBdr>
    </w:div>
    <w:div w:id="1260404924">
      <w:bodyDiv w:val="1"/>
      <w:marLeft w:val="0"/>
      <w:marRight w:val="0"/>
      <w:marTop w:val="0"/>
      <w:marBottom w:val="0"/>
      <w:divBdr>
        <w:top w:val="none" w:sz="0" w:space="0" w:color="auto"/>
        <w:left w:val="none" w:sz="0" w:space="0" w:color="auto"/>
        <w:bottom w:val="none" w:sz="0" w:space="0" w:color="auto"/>
        <w:right w:val="none" w:sz="0" w:space="0" w:color="auto"/>
      </w:divBdr>
    </w:div>
    <w:div w:id="1272929534">
      <w:bodyDiv w:val="1"/>
      <w:marLeft w:val="0"/>
      <w:marRight w:val="0"/>
      <w:marTop w:val="0"/>
      <w:marBottom w:val="0"/>
      <w:divBdr>
        <w:top w:val="none" w:sz="0" w:space="0" w:color="auto"/>
        <w:left w:val="none" w:sz="0" w:space="0" w:color="auto"/>
        <w:bottom w:val="none" w:sz="0" w:space="0" w:color="auto"/>
        <w:right w:val="none" w:sz="0" w:space="0" w:color="auto"/>
      </w:divBdr>
      <w:divsChild>
        <w:div w:id="100154591">
          <w:marLeft w:val="0"/>
          <w:marRight w:val="0"/>
          <w:marTop w:val="0"/>
          <w:marBottom w:val="0"/>
          <w:divBdr>
            <w:top w:val="none" w:sz="0" w:space="0" w:color="auto"/>
            <w:left w:val="none" w:sz="0" w:space="0" w:color="auto"/>
            <w:bottom w:val="none" w:sz="0" w:space="0" w:color="auto"/>
            <w:right w:val="none" w:sz="0" w:space="0" w:color="auto"/>
          </w:divBdr>
        </w:div>
      </w:divsChild>
    </w:div>
    <w:div w:id="1289700527">
      <w:bodyDiv w:val="1"/>
      <w:marLeft w:val="0"/>
      <w:marRight w:val="0"/>
      <w:marTop w:val="0"/>
      <w:marBottom w:val="0"/>
      <w:divBdr>
        <w:top w:val="none" w:sz="0" w:space="0" w:color="auto"/>
        <w:left w:val="none" w:sz="0" w:space="0" w:color="auto"/>
        <w:bottom w:val="none" w:sz="0" w:space="0" w:color="auto"/>
        <w:right w:val="none" w:sz="0" w:space="0" w:color="auto"/>
      </w:divBdr>
      <w:divsChild>
        <w:div w:id="1368721571">
          <w:marLeft w:val="0"/>
          <w:marRight w:val="0"/>
          <w:marTop w:val="0"/>
          <w:marBottom w:val="0"/>
          <w:divBdr>
            <w:top w:val="single" w:sz="6" w:space="0" w:color="F0F0F0"/>
            <w:left w:val="none" w:sz="0" w:space="0" w:color="auto"/>
            <w:bottom w:val="none" w:sz="0" w:space="0" w:color="auto"/>
            <w:right w:val="none" w:sz="0" w:space="0" w:color="auto"/>
          </w:divBdr>
          <w:divsChild>
            <w:div w:id="439103740">
              <w:marLeft w:val="0"/>
              <w:marRight w:val="0"/>
              <w:marTop w:val="0"/>
              <w:marBottom w:val="0"/>
              <w:divBdr>
                <w:top w:val="none" w:sz="0" w:space="0" w:color="auto"/>
                <w:left w:val="none" w:sz="0" w:space="0" w:color="auto"/>
                <w:bottom w:val="none" w:sz="0" w:space="0" w:color="auto"/>
                <w:right w:val="none" w:sz="0" w:space="0" w:color="auto"/>
              </w:divBdr>
              <w:divsChild>
                <w:div w:id="648707945">
                  <w:marLeft w:val="0"/>
                  <w:marRight w:val="0"/>
                  <w:marTop w:val="0"/>
                  <w:marBottom w:val="0"/>
                  <w:divBdr>
                    <w:top w:val="none" w:sz="0" w:space="0" w:color="auto"/>
                    <w:left w:val="none" w:sz="0" w:space="0" w:color="auto"/>
                    <w:bottom w:val="none" w:sz="0" w:space="0" w:color="auto"/>
                    <w:right w:val="none" w:sz="0" w:space="0" w:color="auto"/>
                  </w:divBdr>
                  <w:divsChild>
                    <w:div w:id="1669940133">
                      <w:marLeft w:val="0"/>
                      <w:marRight w:val="0"/>
                      <w:marTop w:val="0"/>
                      <w:marBottom w:val="0"/>
                      <w:divBdr>
                        <w:top w:val="none" w:sz="0" w:space="0" w:color="auto"/>
                        <w:left w:val="none" w:sz="0" w:space="0" w:color="auto"/>
                        <w:bottom w:val="none" w:sz="0" w:space="0" w:color="auto"/>
                        <w:right w:val="none" w:sz="0" w:space="0" w:color="auto"/>
                      </w:divBdr>
                      <w:divsChild>
                        <w:div w:id="20525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329659">
          <w:marLeft w:val="0"/>
          <w:marRight w:val="0"/>
          <w:marTop w:val="0"/>
          <w:marBottom w:val="0"/>
          <w:divBdr>
            <w:top w:val="none" w:sz="0" w:space="0" w:color="auto"/>
            <w:left w:val="none" w:sz="0" w:space="0" w:color="auto"/>
            <w:bottom w:val="none" w:sz="0" w:space="0" w:color="auto"/>
            <w:right w:val="none" w:sz="0" w:space="0" w:color="auto"/>
          </w:divBdr>
          <w:divsChild>
            <w:div w:id="19197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8522">
      <w:bodyDiv w:val="1"/>
      <w:marLeft w:val="0"/>
      <w:marRight w:val="0"/>
      <w:marTop w:val="0"/>
      <w:marBottom w:val="0"/>
      <w:divBdr>
        <w:top w:val="none" w:sz="0" w:space="0" w:color="auto"/>
        <w:left w:val="none" w:sz="0" w:space="0" w:color="auto"/>
        <w:bottom w:val="none" w:sz="0" w:space="0" w:color="auto"/>
        <w:right w:val="none" w:sz="0" w:space="0" w:color="auto"/>
      </w:divBdr>
      <w:divsChild>
        <w:div w:id="618073686">
          <w:marLeft w:val="0"/>
          <w:marRight w:val="0"/>
          <w:marTop w:val="0"/>
          <w:marBottom w:val="0"/>
          <w:divBdr>
            <w:top w:val="none" w:sz="0" w:space="0" w:color="auto"/>
            <w:left w:val="none" w:sz="0" w:space="0" w:color="auto"/>
            <w:bottom w:val="none" w:sz="0" w:space="0" w:color="auto"/>
            <w:right w:val="none" w:sz="0" w:space="0" w:color="auto"/>
          </w:divBdr>
        </w:div>
        <w:div w:id="234751836">
          <w:marLeft w:val="0"/>
          <w:marRight w:val="0"/>
          <w:marTop w:val="0"/>
          <w:marBottom w:val="0"/>
          <w:divBdr>
            <w:top w:val="none" w:sz="0" w:space="0" w:color="auto"/>
            <w:left w:val="none" w:sz="0" w:space="0" w:color="auto"/>
            <w:bottom w:val="none" w:sz="0" w:space="0" w:color="auto"/>
            <w:right w:val="none" w:sz="0" w:space="0" w:color="auto"/>
          </w:divBdr>
        </w:div>
        <w:div w:id="1511069573">
          <w:marLeft w:val="0"/>
          <w:marRight w:val="0"/>
          <w:marTop w:val="0"/>
          <w:marBottom w:val="0"/>
          <w:divBdr>
            <w:top w:val="none" w:sz="0" w:space="0" w:color="auto"/>
            <w:left w:val="none" w:sz="0" w:space="0" w:color="auto"/>
            <w:bottom w:val="none" w:sz="0" w:space="0" w:color="auto"/>
            <w:right w:val="none" w:sz="0" w:space="0" w:color="auto"/>
          </w:divBdr>
        </w:div>
        <w:div w:id="1291016622">
          <w:marLeft w:val="0"/>
          <w:marRight w:val="0"/>
          <w:marTop w:val="0"/>
          <w:marBottom w:val="0"/>
          <w:divBdr>
            <w:top w:val="none" w:sz="0" w:space="0" w:color="auto"/>
            <w:left w:val="none" w:sz="0" w:space="0" w:color="auto"/>
            <w:bottom w:val="none" w:sz="0" w:space="0" w:color="auto"/>
            <w:right w:val="none" w:sz="0" w:space="0" w:color="auto"/>
          </w:divBdr>
        </w:div>
        <w:div w:id="244194053">
          <w:marLeft w:val="0"/>
          <w:marRight w:val="0"/>
          <w:marTop w:val="0"/>
          <w:marBottom w:val="0"/>
          <w:divBdr>
            <w:top w:val="none" w:sz="0" w:space="0" w:color="auto"/>
            <w:left w:val="none" w:sz="0" w:space="0" w:color="auto"/>
            <w:bottom w:val="none" w:sz="0" w:space="0" w:color="auto"/>
            <w:right w:val="none" w:sz="0" w:space="0" w:color="auto"/>
          </w:divBdr>
        </w:div>
        <w:div w:id="598485264">
          <w:marLeft w:val="0"/>
          <w:marRight w:val="0"/>
          <w:marTop w:val="0"/>
          <w:marBottom w:val="0"/>
          <w:divBdr>
            <w:top w:val="none" w:sz="0" w:space="0" w:color="auto"/>
            <w:left w:val="none" w:sz="0" w:space="0" w:color="auto"/>
            <w:bottom w:val="none" w:sz="0" w:space="0" w:color="auto"/>
            <w:right w:val="none" w:sz="0" w:space="0" w:color="auto"/>
          </w:divBdr>
        </w:div>
        <w:div w:id="1498420004">
          <w:marLeft w:val="0"/>
          <w:marRight w:val="0"/>
          <w:marTop w:val="0"/>
          <w:marBottom w:val="0"/>
          <w:divBdr>
            <w:top w:val="none" w:sz="0" w:space="0" w:color="auto"/>
            <w:left w:val="none" w:sz="0" w:space="0" w:color="auto"/>
            <w:bottom w:val="none" w:sz="0" w:space="0" w:color="auto"/>
            <w:right w:val="none" w:sz="0" w:space="0" w:color="auto"/>
          </w:divBdr>
        </w:div>
        <w:div w:id="1504929204">
          <w:marLeft w:val="0"/>
          <w:marRight w:val="0"/>
          <w:marTop w:val="0"/>
          <w:marBottom w:val="0"/>
          <w:divBdr>
            <w:top w:val="none" w:sz="0" w:space="0" w:color="auto"/>
            <w:left w:val="none" w:sz="0" w:space="0" w:color="auto"/>
            <w:bottom w:val="none" w:sz="0" w:space="0" w:color="auto"/>
            <w:right w:val="none" w:sz="0" w:space="0" w:color="auto"/>
          </w:divBdr>
        </w:div>
        <w:div w:id="1101947066">
          <w:marLeft w:val="0"/>
          <w:marRight w:val="0"/>
          <w:marTop w:val="0"/>
          <w:marBottom w:val="0"/>
          <w:divBdr>
            <w:top w:val="none" w:sz="0" w:space="0" w:color="auto"/>
            <w:left w:val="none" w:sz="0" w:space="0" w:color="auto"/>
            <w:bottom w:val="none" w:sz="0" w:space="0" w:color="auto"/>
            <w:right w:val="none" w:sz="0" w:space="0" w:color="auto"/>
          </w:divBdr>
        </w:div>
        <w:div w:id="1781337596">
          <w:marLeft w:val="0"/>
          <w:marRight w:val="0"/>
          <w:marTop w:val="0"/>
          <w:marBottom w:val="0"/>
          <w:divBdr>
            <w:top w:val="none" w:sz="0" w:space="0" w:color="auto"/>
            <w:left w:val="none" w:sz="0" w:space="0" w:color="auto"/>
            <w:bottom w:val="none" w:sz="0" w:space="0" w:color="auto"/>
            <w:right w:val="none" w:sz="0" w:space="0" w:color="auto"/>
          </w:divBdr>
        </w:div>
        <w:div w:id="266279056">
          <w:marLeft w:val="0"/>
          <w:marRight w:val="0"/>
          <w:marTop w:val="0"/>
          <w:marBottom w:val="0"/>
          <w:divBdr>
            <w:top w:val="none" w:sz="0" w:space="0" w:color="auto"/>
            <w:left w:val="none" w:sz="0" w:space="0" w:color="auto"/>
            <w:bottom w:val="none" w:sz="0" w:space="0" w:color="auto"/>
            <w:right w:val="none" w:sz="0" w:space="0" w:color="auto"/>
          </w:divBdr>
        </w:div>
      </w:divsChild>
    </w:div>
    <w:div w:id="1389764810">
      <w:bodyDiv w:val="1"/>
      <w:marLeft w:val="0"/>
      <w:marRight w:val="0"/>
      <w:marTop w:val="0"/>
      <w:marBottom w:val="0"/>
      <w:divBdr>
        <w:top w:val="none" w:sz="0" w:space="0" w:color="auto"/>
        <w:left w:val="none" w:sz="0" w:space="0" w:color="auto"/>
        <w:bottom w:val="none" w:sz="0" w:space="0" w:color="auto"/>
        <w:right w:val="none" w:sz="0" w:space="0" w:color="auto"/>
      </w:divBdr>
    </w:div>
    <w:div w:id="1429962081">
      <w:bodyDiv w:val="1"/>
      <w:marLeft w:val="0"/>
      <w:marRight w:val="0"/>
      <w:marTop w:val="0"/>
      <w:marBottom w:val="0"/>
      <w:divBdr>
        <w:top w:val="none" w:sz="0" w:space="0" w:color="auto"/>
        <w:left w:val="none" w:sz="0" w:space="0" w:color="auto"/>
        <w:bottom w:val="none" w:sz="0" w:space="0" w:color="auto"/>
        <w:right w:val="none" w:sz="0" w:space="0" w:color="auto"/>
      </w:divBdr>
      <w:divsChild>
        <w:div w:id="1974557514">
          <w:marLeft w:val="0"/>
          <w:marRight w:val="0"/>
          <w:marTop w:val="0"/>
          <w:marBottom w:val="0"/>
          <w:divBdr>
            <w:top w:val="none" w:sz="0" w:space="0" w:color="auto"/>
            <w:left w:val="none" w:sz="0" w:space="0" w:color="auto"/>
            <w:bottom w:val="none" w:sz="0" w:space="0" w:color="auto"/>
            <w:right w:val="none" w:sz="0" w:space="0" w:color="auto"/>
          </w:divBdr>
        </w:div>
      </w:divsChild>
    </w:div>
    <w:div w:id="1446997635">
      <w:bodyDiv w:val="1"/>
      <w:marLeft w:val="0"/>
      <w:marRight w:val="0"/>
      <w:marTop w:val="0"/>
      <w:marBottom w:val="0"/>
      <w:divBdr>
        <w:top w:val="none" w:sz="0" w:space="0" w:color="auto"/>
        <w:left w:val="none" w:sz="0" w:space="0" w:color="auto"/>
        <w:bottom w:val="none" w:sz="0" w:space="0" w:color="auto"/>
        <w:right w:val="none" w:sz="0" w:space="0" w:color="auto"/>
      </w:divBdr>
    </w:div>
    <w:div w:id="1466435734">
      <w:bodyDiv w:val="1"/>
      <w:marLeft w:val="0"/>
      <w:marRight w:val="0"/>
      <w:marTop w:val="0"/>
      <w:marBottom w:val="0"/>
      <w:divBdr>
        <w:top w:val="none" w:sz="0" w:space="0" w:color="auto"/>
        <w:left w:val="none" w:sz="0" w:space="0" w:color="auto"/>
        <w:bottom w:val="none" w:sz="0" w:space="0" w:color="auto"/>
        <w:right w:val="none" w:sz="0" w:space="0" w:color="auto"/>
      </w:divBdr>
      <w:divsChild>
        <w:div w:id="1265647274">
          <w:marLeft w:val="0"/>
          <w:marRight w:val="0"/>
          <w:marTop w:val="0"/>
          <w:marBottom w:val="0"/>
          <w:divBdr>
            <w:top w:val="none" w:sz="0" w:space="0" w:color="auto"/>
            <w:left w:val="none" w:sz="0" w:space="0" w:color="auto"/>
            <w:bottom w:val="none" w:sz="0" w:space="0" w:color="auto"/>
            <w:right w:val="none" w:sz="0" w:space="0" w:color="auto"/>
          </w:divBdr>
          <w:divsChild>
            <w:div w:id="15884150">
              <w:marLeft w:val="0"/>
              <w:marRight w:val="0"/>
              <w:marTop w:val="0"/>
              <w:marBottom w:val="0"/>
              <w:divBdr>
                <w:top w:val="none" w:sz="0" w:space="0" w:color="auto"/>
                <w:left w:val="none" w:sz="0" w:space="0" w:color="auto"/>
                <w:bottom w:val="none" w:sz="0" w:space="0" w:color="auto"/>
                <w:right w:val="none" w:sz="0" w:space="0" w:color="auto"/>
              </w:divBdr>
            </w:div>
          </w:divsChild>
        </w:div>
        <w:div w:id="1943105282">
          <w:marLeft w:val="0"/>
          <w:marRight w:val="0"/>
          <w:marTop w:val="0"/>
          <w:marBottom w:val="0"/>
          <w:divBdr>
            <w:top w:val="single" w:sz="6" w:space="0" w:color="F0F0F0"/>
            <w:left w:val="none" w:sz="0" w:space="0" w:color="auto"/>
            <w:bottom w:val="none" w:sz="0" w:space="0" w:color="auto"/>
            <w:right w:val="none" w:sz="0" w:space="0" w:color="auto"/>
          </w:divBdr>
          <w:divsChild>
            <w:div w:id="1049720703">
              <w:marLeft w:val="0"/>
              <w:marRight w:val="0"/>
              <w:marTop w:val="0"/>
              <w:marBottom w:val="0"/>
              <w:divBdr>
                <w:top w:val="none" w:sz="0" w:space="0" w:color="auto"/>
                <w:left w:val="none" w:sz="0" w:space="0" w:color="auto"/>
                <w:bottom w:val="none" w:sz="0" w:space="0" w:color="auto"/>
                <w:right w:val="none" w:sz="0" w:space="0" w:color="auto"/>
              </w:divBdr>
              <w:divsChild>
                <w:div w:id="764422642">
                  <w:marLeft w:val="0"/>
                  <w:marRight w:val="0"/>
                  <w:marTop w:val="0"/>
                  <w:marBottom w:val="0"/>
                  <w:divBdr>
                    <w:top w:val="none" w:sz="0" w:space="0" w:color="auto"/>
                    <w:left w:val="none" w:sz="0" w:space="0" w:color="auto"/>
                    <w:bottom w:val="none" w:sz="0" w:space="0" w:color="auto"/>
                    <w:right w:val="none" w:sz="0" w:space="0" w:color="auto"/>
                  </w:divBdr>
                  <w:divsChild>
                    <w:div w:id="1437600610">
                      <w:marLeft w:val="0"/>
                      <w:marRight w:val="0"/>
                      <w:marTop w:val="0"/>
                      <w:marBottom w:val="0"/>
                      <w:divBdr>
                        <w:top w:val="none" w:sz="0" w:space="0" w:color="auto"/>
                        <w:left w:val="none" w:sz="0" w:space="0" w:color="auto"/>
                        <w:bottom w:val="none" w:sz="0" w:space="0" w:color="auto"/>
                        <w:right w:val="none" w:sz="0" w:space="0" w:color="auto"/>
                      </w:divBdr>
                      <w:divsChild>
                        <w:div w:id="4680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299466">
      <w:bodyDiv w:val="1"/>
      <w:marLeft w:val="0"/>
      <w:marRight w:val="0"/>
      <w:marTop w:val="0"/>
      <w:marBottom w:val="0"/>
      <w:divBdr>
        <w:top w:val="none" w:sz="0" w:space="0" w:color="auto"/>
        <w:left w:val="none" w:sz="0" w:space="0" w:color="auto"/>
        <w:bottom w:val="none" w:sz="0" w:space="0" w:color="auto"/>
        <w:right w:val="none" w:sz="0" w:space="0" w:color="auto"/>
      </w:divBdr>
    </w:div>
    <w:div w:id="1844395557">
      <w:bodyDiv w:val="1"/>
      <w:marLeft w:val="0"/>
      <w:marRight w:val="0"/>
      <w:marTop w:val="0"/>
      <w:marBottom w:val="0"/>
      <w:divBdr>
        <w:top w:val="none" w:sz="0" w:space="0" w:color="auto"/>
        <w:left w:val="none" w:sz="0" w:space="0" w:color="auto"/>
        <w:bottom w:val="none" w:sz="0" w:space="0" w:color="auto"/>
        <w:right w:val="none" w:sz="0" w:space="0" w:color="auto"/>
      </w:divBdr>
    </w:div>
    <w:div w:id="1874264193">
      <w:bodyDiv w:val="1"/>
      <w:marLeft w:val="0"/>
      <w:marRight w:val="0"/>
      <w:marTop w:val="0"/>
      <w:marBottom w:val="0"/>
      <w:divBdr>
        <w:top w:val="none" w:sz="0" w:space="0" w:color="auto"/>
        <w:left w:val="none" w:sz="0" w:space="0" w:color="auto"/>
        <w:bottom w:val="none" w:sz="0" w:space="0" w:color="auto"/>
        <w:right w:val="none" w:sz="0" w:space="0" w:color="auto"/>
      </w:divBdr>
    </w:div>
    <w:div w:id="1876426951">
      <w:bodyDiv w:val="1"/>
      <w:marLeft w:val="0"/>
      <w:marRight w:val="0"/>
      <w:marTop w:val="0"/>
      <w:marBottom w:val="0"/>
      <w:divBdr>
        <w:top w:val="none" w:sz="0" w:space="0" w:color="auto"/>
        <w:left w:val="none" w:sz="0" w:space="0" w:color="auto"/>
        <w:bottom w:val="none" w:sz="0" w:space="0" w:color="auto"/>
        <w:right w:val="none" w:sz="0" w:space="0" w:color="auto"/>
      </w:divBdr>
      <w:divsChild>
        <w:div w:id="2089883829">
          <w:marLeft w:val="0"/>
          <w:marRight w:val="0"/>
          <w:marTop w:val="0"/>
          <w:marBottom w:val="0"/>
          <w:divBdr>
            <w:top w:val="single" w:sz="6" w:space="0" w:color="F0F0F0"/>
            <w:left w:val="none" w:sz="0" w:space="0" w:color="auto"/>
            <w:bottom w:val="none" w:sz="0" w:space="0" w:color="auto"/>
            <w:right w:val="none" w:sz="0" w:space="0" w:color="auto"/>
          </w:divBdr>
          <w:divsChild>
            <w:div w:id="1713338199">
              <w:marLeft w:val="0"/>
              <w:marRight w:val="0"/>
              <w:marTop w:val="0"/>
              <w:marBottom w:val="0"/>
              <w:divBdr>
                <w:top w:val="none" w:sz="0" w:space="0" w:color="auto"/>
                <w:left w:val="none" w:sz="0" w:space="0" w:color="auto"/>
                <w:bottom w:val="none" w:sz="0" w:space="0" w:color="auto"/>
                <w:right w:val="none" w:sz="0" w:space="0" w:color="auto"/>
              </w:divBdr>
              <w:divsChild>
                <w:div w:id="1780637792">
                  <w:marLeft w:val="0"/>
                  <w:marRight w:val="0"/>
                  <w:marTop w:val="0"/>
                  <w:marBottom w:val="0"/>
                  <w:divBdr>
                    <w:top w:val="none" w:sz="0" w:space="0" w:color="auto"/>
                    <w:left w:val="none" w:sz="0" w:space="0" w:color="auto"/>
                    <w:bottom w:val="none" w:sz="0" w:space="0" w:color="auto"/>
                    <w:right w:val="none" w:sz="0" w:space="0" w:color="auto"/>
                  </w:divBdr>
                  <w:divsChild>
                    <w:div w:id="1126854506">
                      <w:marLeft w:val="0"/>
                      <w:marRight w:val="0"/>
                      <w:marTop w:val="0"/>
                      <w:marBottom w:val="0"/>
                      <w:divBdr>
                        <w:top w:val="none" w:sz="0" w:space="0" w:color="auto"/>
                        <w:left w:val="none" w:sz="0" w:space="0" w:color="auto"/>
                        <w:bottom w:val="none" w:sz="0" w:space="0" w:color="auto"/>
                        <w:right w:val="none" w:sz="0" w:space="0" w:color="auto"/>
                      </w:divBdr>
                      <w:divsChild>
                        <w:div w:id="2701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963025">
          <w:marLeft w:val="0"/>
          <w:marRight w:val="0"/>
          <w:marTop w:val="0"/>
          <w:marBottom w:val="0"/>
          <w:divBdr>
            <w:top w:val="none" w:sz="0" w:space="0" w:color="auto"/>
            <w:left w:val="none" w:sz="0" w:space="0" w:color="auto"/>
            <w:bottom w:val="none" w:sz="0" w:space="0" w:color="auto"/>
            <w:right w:val="none" w:sz="0" w:space="0" w:color="auto"/>
          </w:divBdr>
          <w:divsChild>
            <w:div w:id="13265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18637">
      <w:bodyDiv w:val="1"/>
      <w:marLeft w:val="0"/>
      <w:marRight w:val="0"/>
      <w:marTop w:val="0"/>
      <w:marBottom w:val="0"/>
      <w:divBdr>
        <w:top w:val="none" w:sz="0" w:space="0" w:color="auto"/>
        <w:left w:val="none" w:sz="0" w:space="0" w:color="auto"/>
        <w:bottom w:val="none" w:sz="0" w:space="0" w:color="auto"/>
        <w:right w:val="none" w:sz="0" w:space="0" w:color="auto"/>
      </w:divBdr>
    </w:div>
    <w:div w:id="1979796565">
      <w:bodyDiv w:val="1"/>
      <w:marLeft w:val="0"/>
      <w:marRight w:val="0"/>
      <w:marTop w:val="0"/>
      <w:marBottom w:val="0"/>
      <w:divBdr>
        <w:top w:val="none" w:sz="0" w:space="0" w:color="auto"/>
        <w:left w:val="none" w:sz="0" w:space="0" w:color="auto"/>
        <w:bottom w:val="none" w:sz="0" w:space="0" w:color="auto"/>
        <w:right w:val="none" w:sz="0" w:space="0" w:color="auto"/>
      </w:divBdr>
    </w:div>
    <w:div w:id="1995140427">
      <w:bodyDiv w:val="1"/>
      <w:marLeft w:val="0"/>
      <w:marRight w:val="0"/>
      <w:marTop w:val="0"/>
      <w:marBottom w:val="0"/>
      <w:divBdr>
        <w:top w:val="none" w:sz="0" w:space="0" w:color="auto"/>
        <w:left w:val="none" w:sz="0" w:space="0" w:color="auto"/>
        <w:bottom w:val="none" w:sz="0" w:space="0" w:color="auto"/>
        <w:right w:val="none" w:sz="0" w:space="0" w:color="auto"/>
      </w:divBdr>
    </w:div>
    <w:div w:id="2000379428">
      <w:bodyDiv w:val="1"/>
      <w:marLeft w:val="0"/>
      <w:marRight w:val="0"/>
      <w:marTop w:val="0"/>
      <w:marBottom w:val="0"/>
      <w:divBdr>
        <w:top w:val="none" w:sz="0" w:space="0" w:color="auto"/>
        <w:left w:val="none" w:sz="0" w:space="0" w:color="auto"/>
        <w:bottom w:val="none" w:sz="0" w:space="0" w:color="auto"/>
        <w:right w:val="none" w:sz="0" w:space="0" w:color="auto"/>
      </w:divBdr>
    </w:div>
    <w:div w:id="2019305738">
      <w:bodyDiv w:val="1"/>
      <w:marLeft w:val="0"/>
      <w:marRight w:val="0"/>
      <w:marTop w:val="0"/>
      <w:marBottom w:val="0"/>
      <w:divBdr>
        <w:top w:val="none" w:sz="0" w:space="0" w:color="auto"/>
        <w:left w:val="none" w:sz="0" w:space="0" w:color="auto"/>
        <w:bottom w:val="none" w:sz="0" w:space="0" w:color="auto"/>
        <w:right w:val="none" w:sz="0" w:space="0" w:color="auto"/>
      </w:divBdr>
      <w:divsChild>
        <w:div w:id="316807977">
          <w:marLeft w:val="0"/>
          <w:marRight w:val="0"/>
          <w:marTop w:val="0"/>
          <w:marBottom w:val="0"/>
          <w:divBdr>
            <w:top w:val="none" w:sz="0" w:space="0" w:color="auto"/>
            <w:left w:val="none" w:sz="0" w:space="0" w:color="auto"/>
            <w:bottom w:val="none" w:sz="0" w:space="0" w:color="auto"/>
            <w:right w:val="none" w:sz="0" w:space="0" w:color="auto"/>
          </w:divBdr>
        </w:div>
      </w:divsChild>
    </w:div>
    <w:div w:id="2035690974">
      <w:bodyDiv w:val="1"/>
      <w:marLeft w:val="0"/>
      <w:marRight w:val="0"/>
      <w:marTop w:val="0"/>
      <w:marBottom w:val="0"/>
      <w:divBdr>
        <w:top w:val="none" w:sz="0" w:space="0" w:color="auto"/>
        <w:left w:val="none" w:sz="0" w:space="0" w:color="auto"/>
        <w:bottom w:val="none" w:sz="0" w:space="0" w:color="auto"/>
        <w:right w:val="none" w:sz="0" w:space="0" w:color="auto"/>
      </w:divBdr>
      <w:divsChild>
        <w:div w:id="1071806769">
          <w:marLeft w:val="0"/>
          <w:marRight w:val="0"/>
          <w:marTop w:val="0"/>
          <w:marBottom w:val="0"/>
          <w:divBdr>
            <w:top w:val="none" w:sz="0" w:space="0" w:color="auto"/>
            <w:left w:val="none" w:sz="0" w:space="0" w:color="auto"/>
            <w:bottom w:val="none" w:sz="0" w:space="0" w:color="auto"/>
            <w:right w:val="none" w:sz="0" w:space="0" w:color="auto"/>
          </w:divBdr>
        </w:div>
      </w:divsChild>
    </w:div>
    <w:div w:id="212056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msi.happy-dev.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FA671-BD89-4F3E-95EC-0870EB558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19480</Words>
  <Characters>111040</Characters>
  <Application>Microsoft Office Word</Application>
  <DocSecurity>0</DocSecurity>
  <Lines>925</Lines>
  <Paragraphs>260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Efoe SOSSOU</dc:creator>
  <cp:keywords/>
  <dc:description/>
  <cp:lastModifiedBy>Editor-22</cp:lastModifiedBy>
  <cp:revision>9</cp:revision>
  <cp:lastPrinted>2025-03-17T10:51:00Z</cp:lastPrinted>
  <dcterms:created xsi:type="dcterms:W3CDTF">2025-05-05T17:11:00Z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d407a47a182ee1dbc7e0997d7caed65419f06a93ea73145b1169db6a4b70245f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http://www.zotero.org/styles/asian-pacific-journal-of-tropical-biomedicine</vt:lpwstr>
  </property>
  <property fmtid="{D5CDD505-2E9C-101B-9397-08002B2CF9AE}" pid="8" name="Mendeley Recent Style Name 2_1">
    <vt:lpwstr>Asian Pacific Journal of Tropical Biomedicine</vt:lpwstr>
  </property>
  <property fmtid="{D5CDD505-2E9C-101B-9397-08002B2CF9AE}" pid="9" name="Mendeley Recent Style Id 3_1">
    <vt:lpwstr>http://www.zotero.org/styles/indian-journal-of-medical-research</vt:lpwstr>
  </property>
  <property fmtid="{D5CDD505-2E9C-101B-9397-08002B2CF9AE}" pid="10" name="Mendeley Recent Style Name 3_1">
    <vt:lpwstr>Indian Journal of Medical Research</vt:lpwstr>
  </property>
  <property fmtid="{D5CDD505-2E9C-101B-9397-08002B2CF9AE}" pid="11" name="Mendeley Recent Style Id 4_1">
    <vt:lpwstr>http://www.zotero.org/styles/journal-of-microbiological-methods</vt:lpwstr>
  </property>
  <property fmtid="{D5CDD505-2E9C-101B-9397-08002B2CF9AE}" pid="12" name="Mendeley Recent Style Name 4_1">
    <vt:lpwstr>Journal of Microbiological Methods</vt:lpwstr>
  </property>
  <property fmtid="{D5CDD505-2E9C-101B-9397-08002B2CF9AE}" pid="13" name="Mendeley Recent Style Id 5_1">
    <vt:lpwstr>http://www.zotero.org/styles/national-library-of-medicine</vt:lpwstr>
  </property>
  <property fmtid="{D5CDD505-2E9C-101B-9397-08002B2CF9AE}" pid="14" name="Mendeley Recent Style Name 5_1">
    <vt:lpwstr>National Library of Medicine</vt:lpwstr>
  </property>
  <property fmtid="{D5CDD505-2E9C-101B-9397-08002B2CF9AE}" pid="15" name="Mendeley Recent Style Id 6_1">
    <vt:lpwstr>http://www.zotero.org/styles/nature</vt:lpwstr>
  </property>
  <property fmtid="{D5CDD505-2E9C-101B-9397-08002B2CF9AE}" pid="16" name="Mendeley Recent Style Name 6_1">
    <vt:lpwstr>Nature</vt:lpwstr>
  </property>
  <property fmtid="{D5CDD505-2E9C-101B-9397-08002B2CF9AE}" pid="17" name="Mendeley Recent Style Id 7_1">
    <vt:lpwstr>http://www.zotero.org/styles/south-african-journal-of-animal-science</vt:lpwstr>
  </property>
  <property fmtid="{D5CDD505-2E9C-101B-9397-08002B2CF9AE}" pid="18" name="Mendeley Recent Style Name 7_1">
    <vt:lpwstr>South African Journal of Animal Science</vt:lpwstr>
  </property>
  <property fmtid="{D5CDD505-2E9C-101B-9397-08002B2CF9AE}" pid="19" name="Mendeley Recent Style Id 8_1">
    <vt:lpwstr>http://www.zotero.org/styles/transfusion-clinique-et-biologique</vt:lpwstr>
  </property>
  <property fmtid="{D5CDD505-2E9C-101B-9397-08002B2CF9AE}" pid="20" name="Mendeley Recent Style Name 8_1">
    <vt:lpwstr>Transfusion clinique et biologique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cedbeaec-2597-39bf-bdaa-7ea01e088f8f</vt:lpwstr>
  </property>
  <property fmtid="{D5CDD505-2E9C-101B-9397-08002B2CF9AE}" pid="25" name="Mendeley Citation Style_1">
    <vt:lpwstr>http://www.zotero.org/styles/journal-of-microbiological-methods</vt:lpwstr>
  </property>
</Properties>
</file>