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6995D" w14:textId="77777777" w:rsidR="009439B9" w:rsidRDefault="009439B9" w:rsidP="00101FAE">
      <w:pPr>
        <w:jc w:val="center"/>
        <w:rPr>
          <w:rFonts w:ascii="Arial" w:hAnsi="Arial" w:cs="Arial"/>
          <w:b/>
          <w:bCs/>
          <w:sz w:val="36"/>
          <w:szCs w:val="36"/>
        </w:rPr>
      </w:pPr>
      <w:bookmarkStart w:id="0" w:name="_GoBack"/>
      <w:bookmarkEnd w:id="0"/>
      <w:r w:rsidRPr="009439B9">
        <w:rPr>
          <w:rFonts w:ascii="Arial" w:hAnsi="Arial" w:cs="Arial"/>
          <w:b/>
          <w:bCs/>
          <w:sz w:val="36"/>
          <w:szCs w:val="36"/>
        </w:rPr>
        <w:t>Original Research Article</w:t>
      </w:r>
    </w:p>
    <w:p w14:paraId="771A159F" w14:textId="760039CE" w:rsidR="00101FAE" w:rsidRDefault="00101FAE" w:rsidP="00101FAE">
      <w:pPr>
        <w:jc w:val="center"/>
        <w:rPr>
          <w:rFonts w:ascii="Arial" w:hAnsi="Arial" w:cs="Arial"/>
          <w:b/>
          <w:bCs/>
          <w:sz w:val="36"/>
          <w:szCs w:val="36"/>
        </w:rPr>
      </w:pPr>
      <w:r w:rsidRPr="00101FAE">
        <w:rPr>
          <w:rFonts w:ascii="Arial" w:hAnsi="Arial" w:cs="Arial"/>
          <w:b/>
          <w:bCs/>
          <w:sz w:val="36"/>
          <w:szCs w:val="36"/>
        </w:rPr>
        <w:t>SMALL TEA GROWERS OF ASSAM</w:t>
      </w:r>
      <w:r w:rsidR="00613162">
        <w:rPr>
          <w:rFonts w:ascii="Arial" w:hAnsi="Arial" w:cs="Arial"/>
          <w:b/>
          <w:bCs/>
          <w:sz w:val="36"/>
          <w:szCs w:val="36"/>
        </w:rPr>
        <w:t>: A SOCIO-ECONOMIC PERSPECTIVE</w:t>
      </w:r>
    </w:p>
    <w:p w14:paraId="19260CC8" w14:textId="77777777" w:rsidR="00710F8A" w:rsidRPr="00101FAE" w:rsidRDefault="00710F8A" w:rsidP="00101FAE">
      <w:pPr>
        <w:jc w:val="center"/>
        <w:rPr>
          <w:rFonts w:ascii="Arial" w:hAnsi="Arial" w:cs="Arial"/>
          <w:b/>
          <w:bCs/>
          <w:sz w:val="36"/>
          <w:szCs w:val="36"/>
        </w:rPr>
      </w:pPr>
    </w:p>
    <w:p w14:paraId="1C1FEAE7" w14:textId="728CC957" w:rsidR="00101FAE" w:rsidRDefault="00101FAE" w:rsidP="00101FAE">
      <w:pPr>
        <w:spacing w:line="240" w:lineRule="auto"/>
        <w:ind w:left="142" w:hanging="142"/>
        <w:rPr>
          <w:rFonts w:ascii="Arial" w:hAnsi="Arial" w:cs="Arial"/>
          <w:b/>
          <w:bCs/>
          <w:sz w:val="22"/>
          <w:szCs w:val="22"/>
        </w:rPr>
      </w:pPr>
      <w:r w:rsidRPr="00101FAE">
        <w:rPr>
          <w:rFonts w:ascii="Arial" w:hAnsi="Arial" w:cs="Arial"/>
          <w:b/>
          <w:bCs/>
          <w:sz w:val="22"/>
          <w:szCs w:val="22"/>
        </w:rPr>
        <w:t>ABSTRACT</w:t>
      </w:r>
    </w:p>
    <w:p w14:paraId="759B639B" w14:textId="77777777" w:rsidR="005D445C" w:rsidRPr="002505BC" w:rsidRDefault="005D445C" w:rsidP="005D445C">
      <w:pPr>
        <w:autoSpaceDE w:val="0"/>
        <w:autoSpaceDN w:val="0"/>
        <w:adjustRightInd w:val="0"/>
        <w:spacing w:after="0" w:line="360" w:lineRule="auto"/>
        <w:jc w:val="both"/>
        <w:rPr>
          <w:rFonts w:ascii="Arial" w:hAnsi="Arial" w:cs="Arial"/>
          <w:color w:val="0D0D0D"/>
          <w:kern w:val="0"/>
          <w:sz w:val="20"/>
          <w:szCs w:val="20"/>
        </w:rPr>
      </w:pPr>
      <w:r w:rsidRPr="002505BC">
        <w:rPr>
          <w:rFonts w:ascii="Arial" w:hAnsi="Arial" w:cs="Arial"/>
          <w:color w:val="0D0D0D"/>
          <w:kern w:val="0"/>
          <w:sz w:val="20"/>
          <w:szCs w:val="20"/>
        </w:rPr>
        <w:t xml:space="preserve">Tea production in India has seen rapid expansion over the years with its inception in the colonial period. The tea industry of Assam has seen a paradigm change with the rise of small tea farmers, which has grown in importance over the years. Currently, small tea farmers are be found in 27 districts of Assam, but the majority of small tea growers are located in the five districts viz. Dibrugarh, Tinsukia, Jorhat, </w:t>
      </w:r>
      <w:proofErr w:type="spellStart"/>
      <w:r w:rsidRPr="002505BC">
        <w:rPr>
          <w:rFonts w:ascii="Arial" w:hAnsi="Arial" w:cs="Arial"/>
          <w:color w:val="0D0D0D"/>
          <w:kern w:val="0"/>
          <w:sz w:val="20"/>
          <w:szCs w:val="20"/>
        </w:rPr>
        <w:t>Sivsagar</w:t>
      </w:r>
      <w:proofErr w:type="spellEnd"/>
      <w:r w:rsidRPr="002505BC">
        <w:rPr>
          <w:rFonts w:ascii="Arial" w:hAnsi="Arial" w:cs="Arial"/>
          <w:color w:val="0D0D0D"/>
          <w:kern w:val="0"/>
          <w:sz w:val="20"/>
          <w:szCs w:val="20"/>
        </w:rPr>
        <w:t xml:space="preserve">, and </w:t>
      </w:r>
      <w:proofErr w:type="spellStart"/>
      <w:r w:rsidRPr="002505BC">
        <w:rPr>
          <w:rFonts w:ascii="Arial" w:hAnsi="Arial" w:cs="Arial"/>
          <w:color w:val="0D0D0D"/>
          <w:kern w:val="0"/>
          <w:sz w:val="20"/>
          <w:szCs w:val="20"/>
        </w:rPr>
        <w:t>Golaghat</w:t>
      </w:r>
      <w:proofErr w:type="spellEnd"/>
      <w:r w:rsidRPr="002505BC">
        <w:rPr>
          <w:rFonts w:ascii="Arial" w:hAnsi="Arial" w:cs="Arial"/>
          <w:color w:val="0D0D0D"/>
          <w:kern w:val="0"/>
          <w:sz w:val="20"/>
          <w:szCs w:val="20"/>
        </w:rPr>
        <w:t xml:space="preserve">. </w:t>
      </w:r>
    </w:p>
    <w:p w14:paraId="2D882474" w14:textId="24033513" w:rsidR="005D445C" w:rsidRPr="002505BC" w:rsidRDefault="005D445C" w:rsidP="005D445C">
      <w:pPr>
        <w:autoSpaceDE w:val="0"/>
        <w:autoSpaceDN w:val="0"/>
        <w:adjustRightInd w:val="0"/>
        <w:spacing w:after="0" w:line="360" w:lineRule="auto"/>
        <w:jc w:val="both"/>
        <w:rPr>
          <w:rFonts w:ascii="Arial" w:hAnsi="Arial" w:cs="Arial"/>
          <w:color w:val="0D0D0D"/>
          <w:kern w:val="0"/>
          <w:sz w:val="20"/>
          <w:szCs w:val="20"/>
        </w:rPr>
      </w:pPr>
      <w:r w:rsidRPr="002505BC">
        <w:rPr>
          <w:rFonts w:ascii="Arial" w:hAnsi="Arial" w:cs="Arial"/>
          <w:b/>
          <w:bCs/>
          <w:color w:val="0D0D0D"/>
          <w:kern w:val="0"/>
          <w:sz w:val="20"/>
          <w:szCs w:val="20"/>
        </w:rPr>
        <w:t>Aim:</w:t>
      </w:r>
      <w:r w:rsidRPr="002505BC">
        <w:rPr>
          <w:rFonts w:ascii="Arial" w:hAnsi="Arial" w:cs="Arial"/>
          <w:color w:val="0D0D0D"/>
          <w:kern w:val="0"/>
          <w:sz w:val="20"/>
          <w:szCs w:val="20"/>
        </w:rPr>
        <w:t xml:space="preserve"> The current study, titled "A socio-economic study of the small tea growers in Assam," seeks to </w:t>
      </w:r>
      <w:proofErr w:type="spellStart"/>
      <w:r w:rsidRPr="002505BC">
        <w:rPr>
          <w:rFonts w:ascii="Arial" w:hAnsi="Arial" w:cs="Arial"/>
          <w:color w:val="0D0D0D"/>
          <w:kern w:val="0"/>
          <w:sz w:val="20"/>
          <w:szCs w:val="20"/>
        </w:rPr>
        <w:t>analyze</w:t>
      </w:r>
      <w:proofErr w:type="spellEnd"/>
      <w:r w:rsidRPr="002505BC">
        <w:rPr>
          <w:rFonts w:ascii="Arial" w:hAnsi="Arial" w:cs="Arial"/>
          <w:color w:val="0D0D0D"/>
          <w:kern w:val="0"/>
          <w:sz w:val="20"/>
          <w:szCs w:val="20"/>
        </w:rPr>
        <w:t xml:space="preserve"> the socioeconomic makeup of the small tea growers in the area.</w:t>
      </w:r>
    </w:p>
    <w:p w14:paraId="5AEB306F" w14:textId="1F9FECE3" w:rsidR="005D445C" w:rsidRPr="002505BC" w:rsidRDefault="005D445C" w:rsidP="005D445C">
      <w:pPr>
        <w:spacing w:line="360" w:lineRule="auto"/>
        <w:jc w:val="both"/>
        <w:rPr>
          <w:rFonts w:ascii="Arial" w:hAnsi="Arial" w:cs="Arial"/>
          <w:color w:val="0D0D0D"/>
          <w:kern w:val="0"/>
          <w:sz w:val="20"/>
          <w:szCs w:val="20"/>
        </w:rPr>
      </w:pPr>
      <w:r w:rsidRPr="002505BC">
        <w:rPr>
          <w:rFonts w:ascii="Arial" w:hAnsi="Arial" w:cs="Arial"/>
          <w:b/>
          <w:bCs/>
          <w:color w:val="0D0D0D"/>
          <w:kern w:val="0"/>
          <w:sz w:val="20"/>
          <w:szCs w:val="20"/>
        </w:rPr>
        <w:t>Methodology:</w:t>
      </w:r>
      <w:r w:rsidRPr="002505BC">
        <w:rPr>
          <w:rFonts w:ascii="Arial" w:hAnsi="Arial" w:cs="Arial"/>
          <w:color w:val="0D0D0D"/>
          <w:kern w:val="0"/>
          <w:sz w:val="20"/>
          <w:szCs w:val="20"/>
        </w:rPr>
        <w:t xml:space="preserve"> Tinsukia and Dibrugarh districts of Assam served as the area of the current investigation. The study utilized a multi-staged random sampling technique. Primary and secondary sources of data were utilized in the research.197 growers from the districts were randomly chosen to constitute the sampling unit. </w:t>
      </w:r>
    </w:p>
    <w:p w14:paraId="0BADF84E" w14:textId="78C5669C" w:rsidR="005D445C" w:rsidRPr="002505BC" w:rsidRDefault="005D445C" w:rsidP="005D445C">
      <w:pPr>
        <w:spacing w:line="360" w:lineRule="auto"/>
        <w:jc w:val="both"/>
        <w:rPr>
          <w:rFonts w:ascii="Arial" w:hAnsi="Arial" w:cs="Arial"/>
          <w:color w:val="0D0D0D"/>
          <w:kern w:val="0"/>
          <w:sz w:val="20"/>
          <w:szCs w:val="20"/>
        </w:rPr>
      </w:pPr>
      <w:r w:rsidRPr="002505BC">
        <w:rPr>
          <w:rFonts w:ascii="Arial" w:hAnsi="Arial" w:cs="Arial"/>
          <w:b/>
          <w:bCs/>
          <w:color w:val="0D0D0D"/>
          <w:kern w:val="0"/>
          <w:sz w:val="20"/>
          <w:szCs w:val="20"/>
        </w:rPr>
        <w:t>Results:</w:t>
      </w:r>
      <w:r w:rsidRPr="002505BC">
        <w:rPr>
          <w:rFonts w:ascii="Arial" w:hAnsi="Arial" w:cs="Arial"/>
          <w:color w:val="0D0D0D"/>
          <w:kern w:val="0"/>
          <w:sz w:val="20"/>
          <w:szCs w:val="20"/>
        </w:rPr>
        <w:t xml:space="preserve"> The age wise distribution of the small-tea growers indicated distinct predominance of middle-aged individuals. Participation of young growers was observed to be limited. The family size of small-tea growers showed the dominance of smaller families across all categories of the growers suggesting that smaller family units were a common characteristic among the small-tea growers.</w:t>
      </w:r>
      <w:r w:rsidRPr="002505BC">
        <w:rPr>
          <w:rFonts w:ascii="Arial" w:hAnsi="Arial" w:cs="Arial"/>
          <w:sz w:val="20"/>
          <w:szCs w:val="20"/>
        </w:rPr>
        <w:t xml:space="preserve"> </w:t>
      </w:r>
      <w:r w:rsidRPr="002505BC">
        <w:rPr>
          <w:rFonts w:ascii="Arial" w:hAnsi="Arial" w:cs="Arial"/>
          <w:color w:val="0D0D0D"/>
          <w:kern w:val="0"/>
          <w:sz w:val="20"/>
          <w:szCs w:val="20"/>
        </w:rPr>
        <w:t xml:space="preserve">Illiteracy rates remained minimal across all groups highlighting the growing penetration of basic education among small growers. </w:t>
      </w:r>
      <w:bookmarkStart w:id="1" w:name="_Hlk197275124"/>
      <w:bookmarkStart w:id="2" w:name="_Hlk197273897"/>
      <w:r w:rsidRPr="002505BC">
        <w:rPr>
          <w:rFonts w:ascii="Arial" w:hAnsi="Arial" w:cs="Arial"/>
          <w:color w:val="0D0D0D"/>
          <w:kern w:val="0"/>
          <w:sz w:val="20"/>
          <w:szCs w:val="20"/>
        </w:rPr>
        <w:t xml:space="preserve">The occupational patterns of the small growers revealed that tea cultivation was the predominant activity across all categories- marginal, small-scale and medium growers. </w:t>
      </w:r>
      <w:bookmarkEnd w:id="1"/>
      <w:r w:rsidRPr="002505BC">
        <w:rPr>
          <w:rFonts w:ascii="Arial" w:hAnsi="Arial" w:cs="Arial"/>
          <w:color w:val="0D0D0D"/>
          <w:kern w:val="0"/>
          <w:sz w:val="20"/>
          <w:szCs w:val="20"/>
        </w:rPr>
        <w:t xml:space="preserve">The analysis of annual income of respondents revealed that among marginal growers, majority the fall into the middle-income bracket (₹3–6 lakhs annually). In contrast, small-scale grower category exhibited a significant concentration in the high-income group. </w:t>
      </w:r>
      <w:bookmarkEnd w:id="2"/>
    </w:p>
    <w:p w14:paraId="45F432ED" w14:textId="369D4993" w:rsidR="002505BC" w:rsidRPr="002505BC" w:rsidRDefault="002505BC" w:rsidP="005D445C">
      <w:pPr>
        <w:spacing w:line="360" w:lineRule="auto"/>
        <w:jc w:val="both"/>
        <w:rPr>
          <w:rFonts w:ascii="Arial" w:hAnsi="Arial" w:cs="Arial"/>
          <w:i/>
          <w:iCs/>
          <w:color w:val="0D0D0D"/>
          <w:kern w:val="0"/>
          <w:sz w:val="20"/>
          <w:szCs w:val="20"/>
        </w:rPr>
      </w:pPr>
      <w:r w:rsidRPr="002505BC">
        <w:rPr>
          <w:rFonts w:ascii="Arial" w:hAnsi="Arial" w:cs="Arial"/>
          <w:i/>
          <w:iCs/>
          <w:color w:val="0D0D0D"/>
          <w:kern w:val="0"/>
          <w:sz w:val="20"/>
          <w:szCs w:val="20"/>
        </w:rPr>
        <w:t>Keywords: Small-tea cultivation, Small-tea growers, Marginal growers, Multi-staged random sampling, sampling unit</w:t>
      </w:r>
    </w:p>
    <w:p w14:paraId="30E21AB1" w14:textId="0AB6CA6E" w:rsidR="002505BC" w:rsidRDefault="00BF6EAA" w:rsidP="005D445C">
      <w:pPr>
        <w:spacing w:line="360" w:lineRule="auto"/>
        <w:jc w:val="both"/>
        <w:rPr>
          <w:rFonts w:ascii="Arial" w:hAnsi="Arial" w:cs="Arial"/>
          <w:b/>
          <w:bCs/>
          <w:color w:val="0D0D0D"/>
          <w:kern w:val="0"/>
          <w:sz w:val="22"/>
          <w:szCs w:val="22"/>
        </w:rPr>
      </w:pPr>
      <w:r>
        <w:rPr>
          <w:rFonts w:ascii="Arial" w:hAnsi="Arial" w:cs="Arial"/>
          <w:b/>
          <w:bCs/>
          <w:color w:val="0D0D0D"/>
          <w:kern w:val="0"/>
          <w:sz w:val="22"/>
          <w:szCs w:val="22"/>
        </w:rPr>
        <w:t xml:space="preserve">1. </w:t>
      </w:r>
      <w:r w:rsidR="002505BC">
        <w:rPr>
          <w:rFonts w:ascii="Arial" w:hAnsi="Arial" w:cs="Arial"/>
          <w:b/>
          <w:bCs/>
          <w:color w:val="0D0D0D"/>
          <w:kern w:val="0"/>
          <w:sz w:val="22"/>
          <w:szCs w:val="22"/>
        </w:rPr>
        <w:t>INTRODUCTION</w:t>
      </w:r>
    </w:p>
    <w:p w14:paraId="2A1A8AC9" w14:textId="7C0DFBAF" w:rsidR="002505BC" w:rsidRPr="00AA2BEC" w:rsidRDefault="002505BC" w:rsidP="002505BC">
      <w:pPr>
        <w:spacing w:line="360" w:lineRule="auto"/>
        <w:jc w:val="both"/>
        <w:rPr>
          <w:rFonts w:ascii="Arial" w:hAnsi="Arial" w:cs="Arial"/>
          <w:color w:val="0D0D0D"/>
          <w:kern w:val="0"/>
          <w:sz w:val="20"/>
          <w:szCs w:val="20"/>
        </w:rPr>
      </w:pPr>
      <w:r w:rsidRPr="002505BC">
        <w:rPr>
          <w:rFonts w:ascii="Arial" w:hAnsi="Arial" w:cs="Arial"/>
          <w:color w:val="0D0D0D"/>
          <w:kern w:val="0"/>
          <w:sz w:val="20"/>
          <w:szCs w:val="20"/>
        </w:rPr>
        <w:t>The tea industry has long been a cornerstone of Assam's economy, contributing significantly to employment, export revenue, and rural development. Among the various stakeholders in this sector, Small Tea Growers (STGs) have emerged as pivotal players, cultivating over 45% of Assam's total tea area (Tea Board of India, 2020). These growers, typically owning less than 10 hectares of land, represent a decentralized and grassroots movement in tea production that has gained momentum since the 1990s due to liberalization policies and the decline of large estate dominance (Baruah, 2018</w:t>
      </w:r>
      <w:r w:rsidRPr="00AA2BEC">
        <w:rPr>
          <w:rFonts w:ascii="Arial" w:hAnsi="Arial" w:cs="Arial"/>
          <w:color w:val="0D0D0D"/>
          <w:kern w:val="0"/>
          <w:sz w:val="20"/>
          <w:szCs w:val="20"/>
        </w:rPr>
        <w:t>).</w:t>
      </w:r>
      <w:r w:rsidR="00AA2BEC" w:rsidRPr="00AA2BEC">
        <w:rPr>
          <w:rFonts w:ascii="Arial" w:hAnsi="Arial" w:cs="Arial"/>
          <w:color w:val="0D0D0D"/>
          <w:kern w:val="0"/>
          <w:sz w:val="20"/>
          <w:szCs w:val="20"/>
        </w:rPr>
        <w:t xml:space="preserve"> At </w:t>
      </w:r>
      <w:r w:rsidR="00AA2BEC" w:rsidRPr="00AA2BEC">
        <w:rPr>
          <w:rFonts w:ascii="Arial" w:hAnsi="Arial" w:cs="Arial"/>
          <w:color w:val="0D0D0D"/>
          <w:kern w:val="0"/>
          <w:sz w:val="20"/>
          <w:szCs w:val="20"/>
        </w:rPr>
        <w:lastRenderedPageBreak/>
        <w:t>present, number of Small Tea Growers is 1,25,548 and the area under STGs in the state is 1,17,635 hectares with production of 189.82 million kgs in the year 2023 (Statistical Handbook, Assam, 2023)</w:t>
      </w:r>
    </w:p>
    <w:p w14:paraId="230A328E" w14:textId="29E3DE7A" w:rsidR="002505BC" w:rsidRDefault="002505BC" w:rsidP="002505BC">
      <w:pPr>
        <w:spacing w:line="360" w:lineRule="auto"/>
        <w:jc w:val="both"/>
        <w:rPr>
          <w:rFonts w:ascii="Arial" w:hAnsi="Arial" w:cs="Arial"/>
          <w:color w:val="0D0D0D"/>
          <w:kern w:val="0"/>
          <w:sz w:val="20"/>
          <w:szCs w:val="20"/>
        </w:rPr>
      </w:pPr>
      <w:r w:rsidRPr="002505BC">
        <w:rPr>
          <w:rFonts w:ascii="Arial" w:hAnsi="Arial" w:cs="Arial"/>
          <w:color w:val="0D0D0D"/>
          <w:kern w:val="0"/>
          <w:sz w:val="20"/>
          <w:szCs w:val="20"/>
        </w:rPr>
        <w:t>Despite their growing importance, STGs face a myriad of socio-economic challenges, including limited access to formal credit, volatile market prices, and dependency on bought-leaf factories (Goswami, 2021). Furthermore, the lack of collective bargaining power, weak institutional support, and inadequate infrastructure often exacerbate their vulnerability (Hazarika &amp; Das, 2019). These challenges not only constrain their productivity and profitability but also limit their potential contribution to inclusive rural development.</w:t>
      </w:r>
      <w:r w:rsidR="00AA2BEC">
        <w:rPr>
          <w:rFonts w:ascii="Arial" w:hAnsi="Arial" w:cs="Arial"/>
          <w:color w:val="0D0D0D"/>
          <w:kern w:val="0"/>
          <w:sz w:val="20"/>
          <w:szCs w:val="20"/>
        </w:rPr>
        <w:t xml:space="preserve"> </w:t>
      </w:r>
      <w:r w:rsidRPr="002505BC">
        <w:rPr>
          <w:rFonts w:ascii="Arial" w:hAnsi="Arial" w:cs="Arial"/>
          <w:color w:val="0D0D0D"/>
          <w:kern w:val="0"/>
          <w:sz w:val="20"/>
          <w:szCs w:val="20"/>
        </w:rPr>
        <w:t xml:space="preserve">A socio-economic analysis of these growers is thus imperative to understand their livelihood </w:t>
      </w:r>
      <w:r w:rsidR="00AA2BEC">
        <w:rPr>
          <w:rFonts w:ascii="Arial" w:hAnsi="Arial" w:cs="Arial"/>
          <w:color w:val="0D0D0D"/>
          <w:kern w:val="0"/>
          <w:sz w:val="20"/>
          <w:szCs w:val="20"/>
        </w:rPr>
        <w:t>patterns</w:t>
      </w:r>
      <w:r w:rsidRPr="002505BC">
        <w:rPr>
          <w:rFonts w:ascii="Arial" w:hAnsi="Arial" w:cs="Arial"/>
          <w:color w:val="0D0D0D"/>
          <w:kern w:val="0"/>
          <w:sz w:val="20"/>
          <w:szCs w:val="20"/>
        </w:rPr>
        <w:t>, income dynamics</w:t>
      </w:r>
      <w:r w:rsidR="0079129C">
        <w:rPr>
          <w:rFonts w:ascii="Arial" w:hAnsi="Arial" w:cs="Arial"/>
          <w:color w:val="0D0D0D"/>
          <w:kern w:val="0"/>
          <w:sz w:val="20"/>
          <w:szCs w:val="20"/>
        </w:rPr>
        <w:t xml:space="preserve"> and occupational patterns</w:t>
      </w:r>
      <w:r w:rsidRPr="002505BC">
        <w:rPr>
          <w:rFonts w:ascii="Arial" w:hAnsi="Arial" w:cs="Arial"/>
          <w:color w:val="0D0D0D"/>
          <w:kern w:val="0"/>
          <w:sz w:val="20"/>
          <w:szCs w:val="20"/>
        </w:rPr>
        <w:t>. Given the increasing attention on rural entrepreneurship and agrarian livelihoods in India’s development discourse, the small tea growers of Assam warrant focused academic inquiry.</w:t>
      </w:r>
    </w:p>
    <w:p w14:paraId="5DEA28AD" w14:textId="12DC3D47" w:rsidR="0079129C" w:rsidRPr="00BF6EAA" w:rsidRDefault="0079129C" w:rsidP="00BF6EAA">
      <w:pPr>
        <w:pStyle w:val="ListParagraph"/>
        <w:numPr>
          <w:ilvl w:val="1"/>
          <w:numId w:val="4"/>
        </w:numPr>
        <w:spacing w:line="360" w:lineRule="auto"/>
        <w:jc w:val="both"/>
        <w:rPr>
          <w:rFonts w:ascii="Arial" w:hAnsi="Arial" w:cs="Arial"/>
          <w:color w:val="0D0D0D"/>
          <w:kern w:val="0"/>
          <w:sz w:val="20"/>
          <w:szCs w:val="20"/>
        </w:rPr>
      </w:pPr>
      <w:r w:rsidRPr="00BF6EAA">
        <w:rPr>
          <w:rFonts w:ascii="Arial" w:hAnsi="Arial" w:cs="Arial"/>
          <w:b/>
          <w:bCs/>
          <w:color w:val="0D0D0D"/>
          <w:kern w:val="0"/>
          <w:sz w:val="20"/>
          <w:szCs w:val="20"/>
        </w:rPr>
        <w:t xml:space="preserve">OBJECTIVE: </w:t>
      </w:r>
      <w:r w:rsidRPr="00BF6EAA">
        <w:rPr>
          <w:rFonts w:ascii="Arial" w:hAnsi="Arial" w:cs="Arial"/>
          <w:color w:val="0D0D0D"/>
          <w:kern w:val="0"/>
          <w:sz w:val="20"/>
          <w:szCs w:val="20"/>
        </w:rPr>
        <w:t>The objective of the current study is ‘To study the socio-economic profile of the Small Tea growers’ in the study area.</w:t>
      </w:r>
    </w:p>
    <w:p w14:paraId="48C9E7F0" w14:textId="6A7FEC1B" w:rsidR="0079129C" w:rsidRPr="00BF6EAA" w:rsidRDefault="0079129C" w:rsidP="00BF6EAA">
      <w:pPr>
        <w:pStyle w:val="ListParagraph"/>
        <w:numPr>
          <w:ilvl w:val="1"/>
          <w:numId w:val="4"/>
        </w:numPr>
        <w:spacing w:line="360" w:lineRule="auto"/>
        <w:jc w:val="both"/>
        <w:rPr>
          <w:rFonts w:ascii="Arial" w:hAnsi="Arial" w:cs="Arial"/>
          <w:b/>
          <w:bCs/>
          <w:color w:val="0D0D0D"/>
          <w:kern w:val="0"/>
          <w:sz w:val="20"/>
          <w:szCs w:val="20"/>
        </w:rPr>
      </w:pPr>
      <w:r w:rsidRPr="00BF6EAA">
        <w:rPr>
          <w:rFonts w:ascii="Arial" w:hAnsi="Arial" w:cs="Arial"/>
          <w:b/>
          <w:bCs/>
          <w:color w:val="0D0D0D"/>
          <w:kern w:val="0"/>
          <w:sz w:val="20"/>
          <w:szCs w:val="20"/>
        </w:rPr>
        <w:t>LITERATURE REVIEW</w:t>
      </w:r>
    </w:p>
    <w:p w14:paraId="52C4F375" w14:textId="00272691" w:rsidR="0079129C" w:rsidRPr="0079129C" w:rsidRDefault="0079129C" w:rsidP="0079129C">
      <w:pPr>
        <w:autoSpaceDE w:val="0"/>
        <w:autoSpaceDN w:val="0"/>
        <w:adjustRightInd w:val="0"/>
        <w:spacing w:after="0" w:line="360" w:lineRule="auto"/>
        <w:jc w:val="both"/>
        <w:rPr>
          <w:rFonts w:ascii="Arial" w:hAnsi="Arial" w:cs="Arial"/>
          <w:color w:val="0D0D0D"/>
          <w:kern w:val="0"/>
          <w:sz w:val="20"/>
          <w:szCs w:val="20"/>
        </w:rPr>
      </w:pPr>
      <w:r w:rsidRPr="0079129C">
        <w:rPr>
          <w:rFonts w:ascii="Arial" w:hAnsi="Arial" w:cs="Arial"/>
          <w:color w:val="0D0D0D"/>
          <w:kern w:val="0"/>
          <w:sz w:val="20"/>
          <w:szCs w:val="20"/>
        </w:rPr>
        <w:t>In the study,</w:t>
      </w:r>
      <w:r w:rsidRPr="0079129C">
        <w:rPr>
          <w:rFonts w:ascii="Arial" w:hAnsi="Arial" w:cs="Arial"/>
          <w:b/>
          <w:bCs/>
          <w:color w:val="0D0D0D"/>
          <w:kern w:val="0"/>
          <w:sz w:val="20"/>
          <w:szCs w:val="20"/>
        </w:rPr>
        <w:t xml:space="preserve"> Hazarika and Borah (2013)</w:t>
      </w:r>
      <w:r w:rsidRPr="0079129C">
        <w:rPr>
          <w:rFonts w:ascii="Arial" w:hAnsi="Arial" w:cs="Arial"/>
          <w:color w:val="0D0D0D"/>
          <w:kern w:val="0"/>
          <w:sz w:val="20"/>
          <w:szCs w:val="20"/>
        </w:rPr>
        <w:t xml:space="preserve"> observed that</w:t>
      </w:r>
      <w:r>
        <w:rPr>
          <w:rFonts w:ascii="Arial" w:hAnsi="Arial" w:cs="Arial"/>
          <w:color w:val="0D0D0D"/>
          <w:kern w:val="0"/>
          <w:sz w:val="20"/>
          <w:szCs w:val="20"/>
        </w:rPr>
        <w:t xml:space="preserve"> </w:t>
      </w:r>
      <w:r w:rsidRPr="0079129C">
        <w:rPr>
          <w:rFonts w:ascii="Arial" w:hAnsi="Arial" w:cs="Arial"/>
          <w:color w:val="0D0D0D"/>
          <w:kern w:val="0"/>
          <w:sz w:val="20"/>
          <w:szCs w:val="20"/>
        </w:rPr>
        <w:t xml:space="preserve">Indian tea business has seen a number of structural shifts in recent years, including the establishment of Bought Leaf Factories (BLFs). The small tea sector, despite its need for significant labour, has become a hopeful avenue for job creation for the local population in Assam. It can positively influence the economy by providing jobs, making good use of local resources, and generating income. </w:t>
      </w:r>
    </w:p>
    <w:p w14:paraId="68BCAAEA" w14:textId="78FF3D46" w:rsidR="0079129C" w:rsidRPr="0079129C" w:rsidRDefault="0079129C" w:rsidP="0079129C">
      <w:pPr>
        <w:autoSpaceDE w:val="0"/>
        <w:autoSpaceDN w:val="0"/>
        <w:adjustRightInd w:val="0"/>
        <w:spacing w:after="0" w:line="360" w:lineRule="auto"/>
        <w:jc w:val="both"/>
        <w:rPr>
          <w:rFonts w:ascii="Arial" w:hAnsi="Arial" w:cs="Arial"/>
          <w:color w:val="0D0D0D"/>
          <w:kern w:val="0"/>
          <w:sz w:val="20"/>
          <w:szCs w:val="20"/>
        </w:rPr>
      </w:pPr>
      <w:r w:rsidRPr="0079129C">
        <w:rPr>
          <w:rFonts w:ascii="Arial" w:hAnsi="Arial" w:cs="Arial"/>
          <w:b/>
          <w:bCs/>
          <w:color w:val="0D0D0D"/>
          <w:kern w:val="0"/>
          <w:sz w:val="20"/>
          <w:szCs w:val="20"/>
        </w:rPr>
        <w:t>Ghosh. A (2015)</w:t>
      </w:r>
      <w:r w:rsidRPr="0079129C">
        <w:rPr>
          <w:rFonts w:ascii="Arial" w:hAnsi="Arial" w:cs="Arial"/>
          <w:sz w:val="20"/>
          <w:szCs w:val="20"/>
        </w:rPr>
        <w:t xml:space="preserve"> </w:t>
      </w:r>
      <w:r w:rsidRPr="0079129C">
        <w:rPr>
          <w:rFonts w:ascii="Arial" w:hAnsi="Arial" w:cs="Arial"/>
          <w:color w:val="0D0D0D"/>
          <w:kern w:val="0"/>
          <w:sz w:val="20"/>
          <w:szCs w:val="20"/>
        </w:rPr>
        <w:t>discovers that small tea farming is becoming more popular among younger, small, and marginal farmers because it has higher returns when compared to other crops and low risks of crop failure. People have been drawn to small tea cultivation due to its high profitability and increased prospects for consistent income.</w:t>
      </w:r>
    </w:p>
    <w:p w14:paraId="776A2AAB" w14:textId="5E948FC3" w:rsidR="0079129C" w:rsidRPr="0079129C" w:rsidRDefault="0079129C" w:rsidP="0079129C">
      <w:pPr>
        <w:autoSpaceDE w:val="0"/>
        <w:autoSpaceDN w:val="0"/>
        <w:adjustRightInd w:val="0"/>
        <w:spacing w:after="0" w:line="360" w:lineRule="auto"/>
        <w:jc w:val="both"/>
        <w:rPr>
          <w:rFonts w:ascii="Arial" w:hAnsi="Arial" w:cs="Arial"/>
          <w:color w:val="0D0D0D"/>
          <w:kern w:val="0"/>
          <w:sz w:val="20"/>
          <w:szCs w:val="20"/>
        </w:rPr>
      </w:pPr>
      <w:r w:rsidRPr="0079129C">
        <w:rPr>
          <w:rFonts w:ascii="Arial" w:hAnsi="Arial" w:cs="Arial"/>
          <w:color w:val="0D0D0D"/>
          <w:kern w:val="0"/>
          <w:sz w:val="20"/>
          <w:szCs w:val="20"/>
        </w:rPr>
        <w:t xml:space="preserve">According to </w:t>
      </w:r>
      <w:proofErr w:type="spellStart"/>
      <w:r w:rsidRPr="0079129C">
        <w:rPr>
          <w:rFonts w:ascii="Arial" w:hAnsi="Arial" w:cs="Arial"/>
          <w:b/>
          <w:bCs/>
          <w:color w:val="0D0D0D"/>
          <w:kern w:val="0"/>
          <w:sz w:val="20"/>
          <w:szCs w:val="20"/>
        </w:rPr>
        <w:t>Harrizon</w:t>
      </w:r>
      <w:proofErr w:type="spellEnd"/>
      <w:r w:rsidRPr="0079129C">
        <w:rPr>
          <w:rFonts w:ascii="Arial" w:hAnsi="Arial" w:cs="Arial"/>
          <w:b/>
          <w:bCs/>
          <w:color w:val="0D0D0D"/>
          <w:kern w:val="0"/>
          <w:sz w:val="20"/>
          <w:szCs w:val="20"/>
        </w:rPr>
        <w:t xml:space="preserve"> et al. (2016)</w:t>
      </w:r>
      <w:r w:rsidRPr="0079129C">
        <w:rPr>
          <w:rFonts w:ascii="Arial" w:hAnsi="Arial" w:cs="Arial"/>
          <w:color w:val="0D0D0D"/>
          <w:kern w:val="0"/>
          <w:sz w:val="20"/>
          <w:szCs w:val="20"/>
        </w:rPr>
        <w:t>, educating producers is essential, as it significantly influences their selection of marketing channels</w:t>
      </w:r>
      <w:r>
        <w:rPr>
          <w:rFonts w:ascii="Arial" w:hAnsi="Arial" w:cs="Arial"/>
          <w:color w:val="0D0D0D"/>
          <w:kern w:val="0"/>
          <w:sz w:val="20"/>
          <w:szCs w:val="20"/>
        </w:rPr>
        <w:t xml:space="preserve">. </w:t>
      </w:r>
      <w:r w:rsidRPr="0079129C">
        <w:rPr>
          <w:rFonts w:ascii="Arial" w:hAnsi="Arial" w:cs="Arial"/>
          <w:color w:val="0D0D0D"/>
          <w:kern w:val="0"/>
          <w:sz w:val="20"/>
          <w:szCs w:val="20"/>
        </w:rPr>
        <w:t>Literate farmers often are believed to be better equipped to understand market trends and participate more effectively. Also, the numeric of years spent in farming also plays a crucial role in marketing channel choice. Farmers with more experience tend to have greater exposure to tea production and marketing practices, which enhances their decision-making abilities in choosing appropriate channels.</w:t>
      </w:r>
    </w:p>
    <w:p w14:paraId="2CAEA25E" w14:textId="77777777" w:rsidR="0079129C" w:rsidRPr="0079129C" w:rsidRDefault="0079129C" w:rsidP="0079129C">
      <w:pPr>
        <w:autoSpaceDE w:val="0"/>
        <w:autoSpaceDN w:val="0"/>
        <w:adjustRightInd w:val="0"/>
        <w:spacing w:after="0" w:line="360" w:lineRule="auto"/>
        <w:jc w:val="both"/>
        <w:rPr>
          <w:rFonts w:ascii="Arial" w:hAnsi="Arial" w:cs="Arial"/>
          <w:color w:val="0D0D0D"/>
          <w:kern w:val="0"/>
          <w:sz w:val="20"/>
          <w:szCs w:val="20"/>
        </w:rPr>
      </w:pPr>
      <w:r w:rsidRPr="0079129C">
        <w:rPr>
          <w:rFonts w:ascii="Arial" w:hAnsi="Arial" w:cs="Arial"/>
          <w:b/>
          <w:bCs/>
          <w:color w:val="0D0D0D"/>
          <w:kern w:val="0"/>
          <w:sz w:val="20"/>
          <w:szCs w:val="20"/>
        </w:rPr>
        <w:t>Chatterjee and Chattopadhyay (2018)</w:t>
      </w:r>
      <w:r w:rsidRPr="0079129C">
        <w:rPr>
          <w:rFonts w:ascii="Arial" w:hAnsi="Arial" w:cs="Arial"/>
          <w:color w:val="0D0D0D"/>
          <w:kern w:val="0"/>
          <w:sz w:val="20"/>
          <w:szCs w:val="20"/>
        </w:rPr>
        <w:t xml:space="preserve"> emphasize that despite their growing numbers, STGs often lack adequate institutional support in terms of credit, extension services, and marketing channels. This leaves them vulnerable to exploitation by bought-leaf factories and middlemen. Additionally, their socio-economic status is also influenced by limited access to modern agricultural practices and inputs, which in turn impacts their income levels and quality of life.</w:t>
      </w:r>
    </w:p>
    <w:p w14:paraId="4297B861" w14:textId="77777777" w:rsidR="0079129C" w:rsidRPr="0079129C" w:rsidRDefault="0079129C" w:rsidP="0079129C">
      <w:pPr>
        <w:autoSpaceDE w:val="0"/>
        <w:autoSpaceDN w:val="0"/>
        <w:adjustRightInd w:val="0"/>
        <w:spacing w:after="0" w:line="360" w:lineRule="auto"/>
        <w:jc w:val="both"/>
        <w:rPr>
          <w:rFonts w:ascii="Arial" w:hAnsi="Arial" w:cs="Arial"/>
          <w:b/>
          <w:bCs/>
          <w:color w:val="0D0D0D"/>
          <w:kern w:val="0"/>
          <w:sz w:val="20"/>
          <w:szCs w:val="20"/>
        </w:rPr>
      </w:pPr>
    </w:p>
    <w:p w14:paraId="51893EF9" w14:textId="693E8B4C" w:rsidR="0079129C" w:rsidRPr="0079129C" w:rsidRDefault="0079129C" w:rsidP="0079129C">
      <w:pPr>
        <w:autoSpaceDE w:val="0"/>
        <w:autoSpaceDN w:val="0"/>
        <w:adjustRightInd w:val="0"/>
        <w:spacing w:after="0" w:line="360" w:lineRule="auto"/>
        <w:jc w:val="both"/>
        <w:rPr>
          <w:rFonts w:ascii="Arial" w:hAnsi="Arial" w:cs="Arial"/>
          <w:color w:val="0D0D0D"/>
          <w:kern w:val="0"/>
          <w:sz w:val="20"/>
          <w:szCs w:val="20"/>
        </w:rPr>
      </w:pPr>
      <w:r w:rsidRPr="0079129C">
        <w:rPr>
          <w:rFonts w:ascii="Arial" w:hAnsi="Arial" w:cs="Arial"/>
          <w:b/>
          <w:bCs/>
          <w:color w:val="0D0D0D"/>
          <w:kern w:val="0"/>
          <w:sz w:val="20"/>
          <w:szCs w:val="20"/>
        </w:rPr>
        <w:t xml:space="preserve">Das (2019) </w:t>
      </w:r>
      <w:r w:rsidRPr="0079129C">
        <w:rPr>
          <w:rFonts w:ascii="Arial" w:hAnsi="Arial" w:cs="Arial"/>
          <w:color w:val="0D0D0D"/>
          <w:kern w:val="0"/>
          <w:sz w:val="20"/>
          <w:szCs w:val="20"/>
        </w:rPr>
        <w:t>conducted a study to examine the socioeconomic traits of small tea farmers. The</w:t>
      </w:r>
      <w:r>
        <w:rPr>
          <w:rFonts w:ascii="Arial" w:hAnsi="Arial" w:cs="Arial"/>
          <w:color w:val="FFFFFF" w:themeColor="background1"/>
          <w:kern w:val="0"/>
          <w:sz w:val="20"/>
          <w:szCs w:val="20"/>
        </w:rPr>
        <w:t xml:space="preserve"> </w:t>
      </w:r>
      <w:r w:rsidRPr="0079129C">
        <w:rPr>
          <w:rFonts w:ascii="Arial" w:hAnsi="Arial" w:cs="Arial"/>
          <w:color w:val="0D0D0D"/>
          <w:kern w:val="0"/>
          <w:sz w:val="20"/>
          <w:szCs w:val="20"/>
        </w:rPr>
        <w:t xml:space="preserve">researcher discovered that most of these farmers were in their middle- ages, specifically between 30 to 40 years old, and came from households with 5 to 7 members. It was also found that a significantly large number of small tea farmers were dependent on tea farming as the primary income source. Furthermore, he </w:t>
      </w:r>
      <w:r w:rsidRPr="0079129C">
        <w:rPr>
          <w:rFonts w:ascii="Arial" w:hAnsi="Arial" w:cs="Arial"/>
          <w:color w:val="0D0D0D"/>
          <w:kern w:val="0"/>
          <w:sz w:val="20"/>
          <w:szCs w:val="20"/>
        </w:rPr>
        <w:lastRenderedPageBreak/>
        <w:t>pointed out that the breakdown of the joint family system was a key factor for the prevalence of tea farmers in middle-sized households.</w:t>
      </w:r>
    </w:p>
    <w:p w14:paraId="43D7F51A" w14:textId="77777777" w:rsidR="0079129C" w:rsidRPr="0079129C" w:rsidRDefault="0079129C" w:rsidP="0079129C">
      <w:pPr>
        <w:autoSpaceDE w:val="0"/>
        <w:autoSpaceDN w:val="0"/>
        <w:adjustRightInd w:val="0"/>
        <w:spacing w:after="0" w:line="360" w:lineRule="auto"/>
        <w:jc w:val="both"/>
        <w:rPr>
          <w:rFonts w:ascii="Arial" w:hAnsi="Arial" w:cs="Arial"/>
          <w:color w:val="0D0D0D"/>
          <w:kern w:val="0"/>
          <w:sz w:val="20"/>
          <w:szCs w:val="20"/>
        </w:rPr>
      </w:pPr>
      <w:r w:rsidRPr="0079129C">
        <w:rPr>
          <w:rFonts w:ascii="Arial" w:hAnsi="Arial" w:cs="Arial"/>
          <w:color w:val="0D0D0D"/>
          <w:kern w:val="0"/>
          <w:sz w:val="20"/>
          <w:szCs w:val="20"/>
        </w:rPr>
        <w:t xml:space="preserve">A study by </w:t>
      </w:r>
      <w:r w:rsidRPr="0079129C">
        <w:rPr>
          <w:rFonts w:ascii="Arial" w:hAnsi="Arial" w:cs="Arial"/>
          <w:b/>
          <w:bCs/>
          <w:color w:val="0D0D0D"/>
          <w:kern w:val="0"/>
          <w:sz w:val="20"/>
          <w:szCs w:val="20"/>
        </w:rPr>
        <w:t>Basu and Saikia (2020)</w:t>
      </w:r>
      <w:r w:rsidRPr="0079129C">
        <w:rPr>
          <w:rFonts w:ascii="Arial" w:hAnsi="Arial" w:cs="Arial"/>
          <w:color w:val="0D0D0D"/>
          <w:kern w:val="0"/>
          <w:sz w:val="20"/>
          <w:szCs w:val="20"/>
        </w:rPr>
        <w:t xml:space="preserve"> in Upper Assam observed that over 70% of STGs do not have formal training in tea cultivation, relying instead on indigenous knowledge passed down through generations. This has implications for productivity, quality, and compliance with international standards, especially when competing in global markets. </w:t>
      </w:r>
    </w:p>
    <w:p w14:paraId="15566D89" w14:textId="77777777" w:rsidR="0079129C" w:rsidRDefault="0079129C" w:rsidP="0079129C">
      <w:pPr>
        <w:autoSpaceDE w:val="0"/>
        <w:autoSpaceDN w:val="0"/>
        <w:adjustRightInd w:val="0"/>
        <w:spacing w:after="0" w:line="360" w:lineRule="auto"/>
        <w:jc w:val="both"/>
        <w:rPr>
          <w:rFonts w:ascii="Times New Roman" w:hAnsi="Times New Roman" w:cs="Times New Roman"/>
          <w:color w:val="0D0D0D"/>
          <w:kern w:val="0"/>
        </w:rPr>
      </w:pPr>
    </w:p>
    <w:p w14:paraId="7C462D69" w14:textId="48A13938" w:rsidR="00D20F15" w:rsidRDefault="00D20F15" w:rsidP="0079129C">
      <w:pPr>
        <w:autoSpaceDE w:val="0"/>
        <w:autoSpaceDN w:val="0"/>
        <w:adjustRightInd w:val="0"/>
        <w:spacing w:after="0" w:line="360" w:lineRule="auto"/>
        <w:jc w:val="both"/>
        <w:rPr>
          <w:rFonts w:ascii="Arial" w:hAnsi="Arial" w:cs="Arial"/>
          <w:b/>
          <w:bCs/>
          <w:color w:val="0D0D0D"/>
          <w:kern w:val="0"/>
          <w:sz w:val="22"/>
          <w:szCs w:val="22"/>
        </w:rPr>
      </w:pPr>
      <w:r>
        <w:rPr>
          <w:rFonts w:ascii="Arial" w:hAnsi="Arial" w:cs="Arial"/>
          <w:b/>
          <w:bCs/>
          <w:color w:val="0D0D0D"/>
          <w:kern w:val="0"/>
          <w:sz w:val="22"/>
          <w:szCs w:val="22"/>
        </w:rPr>
        <w:t>2. METHODOLOGY</w:t>
      </w:r>
    </w:p>
    <w:p w14:paraId="2EA4387F" w14:textId="43C11A75" w:rsidR="00D20F15" w:rsidRPr="00BF6EAA" w:rsidRDefault="00D20F15" w:rsidP="0079129C">
      <w:pPr>
        <w:autoSpaceDE w:val="0"/>
        <w:autoSpaceDN w:val="0"/>
        <w:adjustRightInd w:val="0"/>
        <w:spacing w:after="0" w:line="360" w:lineRule="auto"/>
        <w:jc w:val="both"/>
        <w:rPr>
          <w:rFonts w:ascii="Arial" w:hAnsi="Arial" w:cs="Arial"/>
          <w:b/>
          <w:bCs/>
          <w:color w:val="0D0D0D"/>
          <w:kern w:val="0"/>
          <w:sz w:val="20"/>
          <w:szCs w:val="20"/>
        </w:rPr>
      </w:pPr>
      <w:r w:rsidRPr="00BF6EAA">
        <w:rPr>
          <w:rFonts w:ascii="Arial" w:hAnsi="Arial" w:cs="Arial"/>
          <w:b/>
          <w:bCs/>
          <w:color w:val="0D0D0D"/>
          <w:kern w:val="0"/>
          <w:sz w:val="20"/>
          <w:szCs w:val="20"/>
        </w:rPr>
        <w:t>2.1. Sampling Procedure</w:t>
      </w:r>
    </w:p>
    <w:p w14:paraId="1D69604F" w14:textId="77777777" w:rsidR="00D20F15" w:rsidRPr="00D20F15" w:rsidRDefault="00D20F15" w:rsidP="00D20F15">
      <w:p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The current study utilized a multistage random sampling method. In Assam, small tea farms are primarily found in Upper Brahmaputra valley and the North bank plain areas. The Upper Brahmaputra valley represents 97 percent of Assam's overall small tea output. Therefore, at the first stage, Upper Brahmaputra Valley Zone was selected as this zone forms the major tea belt of the state with maximum concentration of tea growing areas.</w:t>
      </w:r>
    </w:p>
    <w:p w14:paraId="6EA08A18" w14:textId="0FB8F13C" w:rsidR="00D20F15" w:rsidRPr="00D20F15" w:rsidRDefault="00D20F15" w:rsidP="00D20F15">
      <w:p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Two districts were purposively selected at the second stage having the highest number of</w:t>
      </w:r>
      <w:r w:rsidRPr="00D20F15">
        <w:rPr>
          <w:rFonts w:ascii="Arial" w:hAnsi="Arial" w:cs="Arial"/>
          <w:color w:val="FFFFFF" w:themeColor="background1"/>
          <w:kern w:val="0"/>
          <w:sz w:val="20"/>
          <w:szCs w:val="20"/>
        </w:rPr>
        <w:t>-</w:t>
      </w:r>
      <w:r w:rsidRPr="00D20F15">
        <w:rPr>
          <w:rFonts w:ascii="Arial" w:hAnsi="Arial" w:cs="Arial"/>
          <w:color w:val="0D0D0D"/>
          <w:kern w:val="0"/>
          <w:sz w:val="20"/>
          <w:szCs w:val="20"/>
        </w:rPr>
        <w:t>small</w:t>
      </w:r>
      <w:r w:rsidRPr="00D20F15">
        <w:rPr>
          <w:rFonts w:ascii="Arial" w:hAnsi="Arial" w:cs="Arial"/>
          <w:color w:val="FFFFFF" w:themeColor="background1"/>
          <w:kern w:val="0"/>
          <w:sz w:val="20"/>
          <w:szCs w:val="20"/>
        </w:rPr>
        <w:t>-</w:t>
      </w:r>
      <w:r w:rsidRPr="00D20F15">
        <w:rPr>
          <w:rFonts w:ascii="Arial" w:hAnsi="Arial" w:cs="Arial"/>
          <w:color w:val="0D0D0D"/>
          <w:kern w:val="0"/>
          <w:sz w:val="20"/>
          <w:szCs w:val="20"/>
        </w:rPr>
        <w:t>tea growers. At the third stage, two blocks from Tinsukia and two blocks from Dibrugarh districts were purposively selected for the investigation. At the fourth stage, small tea growers were selected randomly constituting the final sampling unit from the selected blocks from both the districts.</w:t>
      </w:r>
    </w:p>
    <w:p w14:paraId="5A8EFE8B" w14:textId="57277418" w:rsidR="00D20F15" w:rsidRDefault="00D20F15" w:rsidP="00D20F15">
      <w:pPr>
        <w:autoSpaceDE w:val="0"/>
        <w:autoSpaceDN w:val="0"/>
        <w:adjustRightInd w:val="0"/>
        <w:spacing w:after="0" w:line="360" w:lineRule="auto"/>
        <w:jc w:val="both"/>
        <w:rPr>
          <w:rFonts w:ascii="Arial" w:hAnsi="Arial" w:cs="Arial"/>
          <w:b/>
          <w:bCs/>
          <w:color w:val="0D0D0D"/>
          <w:kern w:val="0"/>
          <w:sz w:val="20"/>
          <w:szCs w:val="20"/>
        </w:rPr>
      </w:pPr>
      <w:r w:rsidRPr="00D20F15">
        <w:rPr>
          <w:rFonts w:ascii="Arial" w:hAnsi="Arial" w:cs="Arial"/>
          <w:b/>
          <w:bCs/>
          <w:color w:val="0D0D0D"/>
          <w:kern w:val="0"/>
          <w:sz w:val="20"/>
          <w:szCs w:val="20"/>
        </w:rPr>
        <w:t xml:space="preserve">2.2. </w:t>
      </w:r>
      <w:r>
        <w:rPr>
          <w:rFonts w:ascii="Arial" w:hAnsi="Arial" w:cs="Arial"/>
          <w:b/>
          <w:bCs/>
          <w:color w:val="0D0D0D"/>
          <w:kern w:val="0"/>
          <w:sz w:val="20"/>
          <w:szCs w:val="20"/>
        </w:rPr>
        <w:t>Selection of blocks</w:t>
      </w:r>
    </w:p>
    <w:p w14:paraId="240F5C6B" w14:textId="77777777" w:rsidR="00D20F15" w:rsidRPr="00D20F15" w:rsidRDefault="00D20F15" w:rsidP="00D20F15">
      <w:p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 xml:space="preserve">Tinsukia consists of 7 </w:t>
      </w:r>
      <w:proofErr w:type="spellStart"/>
      <w:r w:rsidRPr="00D20F15">
        <w:rPr>
          <w:rFonts w:ascii="Arial" w:hAnsi="Arial" w:cs="Arial"/>
          <w:color w:val="0D0D0D"/>
          <w:kern w:val="0"/>
          <w:sz w:val="20"/>
          <w:szCs w:val="20"/>
        </w:rPr>
        <w:t>development</w:t>
      </w:r>
      <w:r w:rsidRPr="00D20F15">
        <w:rPr>
          <w:rFonts w:ascii="Arial" w:hAnsi="Arial" w:cs="Arial"/>
          <w:color w:val="FFFFFF" w:themeColor="background1"/>
          <w:kern w:val="0"/>
          <w:sz w:val="20"/>
          <w:szCs w:val="20"/>
        </w:rPr>
        <w:t>_</w:t>
      </w:r>
      <w:r w:rsidRPr="00D20F15">
        <w:rPr>
          <w:rFonts w:ascii="Arial" w:hAnsi="Arial" w:cs="Arial"/>
          <w:color w:val="0D0D0D"/>
          <w:kern w:val="0"/>
          <w:sz w:val="20"/>
          <w:szCs w:val="20"/>
        </w:rPr>
        <w:t>blocks</w:t>
      </w:r>
      <w:proofErr w:type="spellEnd"/>
      <w:r w:rsidRPr="00D20F15">
        <w:rPr>
          <w:rFonts w:ascii="Arial" w:hAnsi="Arial" w:cs="Arial"/>
          <w:color w:val="0D0D0D"/>
          <w:kern w:val="0"/>
          <w:sz w:val="20"/>
          <w:szCs w:val="20"/>
        </w:rPr>
        <w:t xml:space="preserve"> viz. </w:t>
      </w:r>
      <w:proofErr w:type="spellStart"/>
      <w:r w:rsidRPr="00D20F15">
        <w:rPr>
          <w:rFonts w:ascii="Arial" w:hAnsi="Arial" w:cs="Arial"/>
          <w:color w:val="0D0D0D"/>
          <w:kern w:val="0"/>
          <w:sz w:val="20"/>
          <w:szCs w:val="20"/>
        </w:rPr>
        <w:t>Guijan</w:t>
      </w:r>
      <w:proofErr w:type="spellEnd"/>
      <w:r w:rsidRPr="00D20F15">
        <w:rPr>
          <w:rFonts w:ascii="Arial" w:hAnsi="Arial" w:cs="Arial"/>
          <w:color w:val="0D0D0D"/>
          <w:kern w:val="0"/>
          <w:sz w:val="20"/>
          <w:szCs w:val="20"/>
        </w:rPr>
        <w:t xml:space="preserve">, </w:t>
      </w:r>
      <w:proofErr w:type="spellStart"/>
      <w:r w:rsidRPr="00D20F15">
        <w:rPr>
          <w:rFonts w:ascii="Arial" w:hAnsi="Arial" w:cs="Arial"/>
          <w:color w:val="0D0D0D"/>
          <w:kern w:val="0"/>
          <w:sz w:val="20"/>
          <w:szCs w:val="20"/>
        </w:rPr>
        <w:t>Hapjan</w:t>
      </w:r>
      <w:proofErr w:type="spellEnd"/>
      <w:r w:rsidRPr="00D20F15">
        <w:rPr>
          <w:rFonts w:ascii="Arial" w:hAnsi="Arial" w:cs="Arial"/>
          <w:color w:val="0D0D0D"/>
          <w:kern w:val="0"/>
          <w:sz w:val="20"/>
          <w:szCs w:val="20"/>
        </w:rPr>
        <w:t xml:space="preserve">, </w:t>
      </w:r>
      <w:proofErr w:type="spellStart"/>
      <w:r w:rsidRPr="00D20F15">
        <w:rPr>
          <w:rFonts w:ascii="Arial" w:hAnsi="Arial" w:cs="Arial"/>
          <w:color w:val="0D0D0D"/>
          <w:kern w:val="0"/>
          <w:sz w:val="20"/>
          <w:szCs w:val="20"/>
        </w:rPr>
        <w:t>Itakhuli</w:t>
      </w:r>
      <w:proofErr w:type="spellEnd"/>
      <w:r w:rsidRPr="00D20F15">
        <w:rPr>
          <w:rFonts w:ascii="Arial" w:hAnsi="Arial" w:cs="Arial"/>
          <w:color w:val="0D0D0D"/>
          <w:kern w:val="0"/>
          <w:sz w:val="20"/>
          <w:szCs w:val="20"/>
        </w:rPr>
        <w:t xml:space="preserve">, </w:t>
      </w:r>
      <w:proofErr w:type="spellStart"/>
      <w:r w:rsidRPr="00D20F15">
        <w:rPr>
          <w:rFonts w:ascii="Arial" w:hAnsi="Arial" w:cs="Arial"/>
          <w:color w:val="0D0D0D"/>
          <w:kern w:val="0"/>
          <w:sz w:val="20"/>
          <w:szCs w:val="20"/>
        </w:rPr>
        <w:t>Kakopathar</w:t>
      </w:r>
      <w:proofErr w:type="spellEnd"/>
      <w:r w:rsidRPr="00D20F15">
        <w:rPr>
          <w:rFonts w:ascii="Arial" w:hAnsi="Arial" w:cs="Arial"/>
          <w:color w:val="0D0D0D"/>
          <w:kern w:val="0"/>
          <w:sz w:val="20"/>
          <w:szCs w:val="20"/>
        </w:rPr>
        <w:t xml:space="preserve">, Margherita, </w:t>
      </w:r>
      <w:proofErr w:type="spellStart"/>
      <w:r w:rsidRPr="00D20F15">
        <w:rPr>
          <w:rFonts w:ascii="Arial" w:hAnsi="Arial" w:cs="Arial"/>
          <w:color w:val="0D0D0D"/>
          <w:kern w:val="0"/>
          <w:sz w:val="20"/>
          <w:szCs w:val="20"/>
        </w:rPr>
        <w:t>Sadiya</w:t>
      </w:r>
      <w:proofErr w:type="spellEnd"/>
      <w:r w:rsidRPr="00D20F15">
        <w:rPr>
          <w:rFonts w:ascii="Arial" w:hAnsi="Arial" w:cs="Arial"/>
          <w:color w:val="0D0D0D"/>
          <w:kern w:val="0"/>
          <w:sz w:val="20"/>
          <w:szCs w:val="20"/>
        </w:rPr>
        <w:t xml:space="preserve"> and </w:t>
      </w:r>
      <w:proofErr w:type="spellStart"/>
      <w:r w:rsidRPr="00D20F15">
        <w:rPr>
          <w:rFonts w:ascii="Arial" w:hAnsi="Arial" w:cs="Arial"/>
          <w:color w:val="0D0D0D"/>
          <w:kern w:val="0"/>
          <w:sz w:val="20"/>
          <w:szCs w:val="20"/>
        </w:rPr>
        <w:t>Saikhowa</w:t>
      </w:r>
      <w:proofErr w:type="spellEnd"/>
      <w:r w:rsidRPr="00D20F15">
        <w:rPr>
          <w:rFonts w:ascii="Arial" w:hAnsi="Arial" w:cs="Arial"/>
          <w:color w:val="0D0D0D"/>
          <w:kern w:val="0"/>
          <w:sz w:val="20"/>
          <w:szCs w:val="20"/>
        </w:rPr>
        <w:t xml:space="preserve">. Out of the seven blocks, </w:t>
      </w:r>
      <w:proofErr w:type="spellStart"/>
      <w:r w:rsidRPr="00D20F15">
        <w:rPr>
          <w:rFonts w:ascii="Arial" w:hAnsi="Arial" w:cs="Arial"/>
          <w:color w:val="0D0D0D"/>
          <w:kern w:val="0"/>
          <w:sz w:val="20"/>
          <w:szCs w:val="20"/>
        </w:rPr>
        <w:t>Guijan</w:t>
      </w:r>
      <w:proofErr w:type="spellEnd"/>
      <w:r w:rsidRPr="00D20F15">
        <w:rPr>
          <w:rFonts w:ascii="Arial" w:hAnsi="Arial" w:cs="Arial"/>
          <w:color w:val="0D0D0D"/>
          <w:kern w:val="0"/>
          <w:sz w:val="20"/>
          <w:szCs w:val="20"/>
        </w:rPr>
        <w:t xml:space="preserve"> and </w:t>
      </w:r>
      <w:proofErr w:type="spellStart"/>
      <w:r w:rsidRPr="00D20F15">
        <w:rPr>
          <w:rFonts w:ascii="Arial" w:hAnsi="Arial" w:cs="Arial"/>
          <w:color w:val="0D0D0D"/>
          <w:kern w:val="0"/>
          <w:sz w:val="20"/>
          <w:szCs w:val="20"/>
        </w:rPr>
        <w:t>Itakhuli</w:t>
      </w:r>
      <w:proofErr w:type="spellEnd"/>
      <w:r w:rsidRPr="00D20F15">
        <w:rPr>
          <w:rFonts w:ascii="Arial" w:hAnsi="Arial" w:cs="Arial"/>
          <w:color w:val="0D0D0D"/>
          <w:kern w:val="0"/>
          <w:sz w:val="20"/>
          <w:szCs w:val="20"/>
        </w:rPr>
        <w:t xml:space="preserve"> blocks were purposively selected as these blocks have substantially large numbers of small tea growers.</w:t>
      </w:r>
    </w:p>
    <w:p w14:paraId="07A39F83" w14:textId="7339E93E" w:rsidR="00D20F15" w:rsidRDefault="00D20F15" w:rsidP="00D20F15">
      <w:p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 xml:space="preserve">Similarly, Dibrugarh district has 7 blocks viz. </w:t>
      </w:r>
      <w:proofErr w:type="spellStart"/>
      <w:r w:rsidRPr="00D20F15">
        <w:rPr>
          <w:rFonts w:ascii="Arial" w:hAnsi="Arial" w:cs="Arial"/>
          <w:color w:val="0D0D0D"/>
          <w:kern w:val="0"/>
          <w:sz w:val="20"/>
          <w:szCs w:val="20"/>
        </w:rPr>
        <w:t>Barbaruah</w:t>
      </w:r>
      <w:proofErr w:type="spellEnd"/>
      <w:r w:rsidRPr="00D20F15">
        <w:rPr>
          <w:rFonts w:ascii="Arial" w:hAnsi="Arial" w:cs="Arial"/>
          <w:color w:val="0D0D0D"/>
          <w:kern w:val="0"/>
          <w:sz w:val="20"/>
          <w:szCs w:val="20"/>
        </w:rPr>
        <w:t xml:space="preserve">, </w:t>
      </w:r>
      <w:proofErr w:type="spellStart"/>
      <w:r w:rsidRPr="00D20F15">
        <w:rPr>
          <w:rFonts w:ascii="Arial" w:hAnsi="Arial" w:cs="Arial"/>
          <w:color w:val="0D0D0D"/>
          <w:kern w:val="0"/>
          <w:sz w:val="20"/>
          <w:szCs w:val="20"/>
        </w:rPr>
        <w:t>Joypur</w:t>
      </w:r>
      <w:proofErr w:type="spellEnd"/>
      <w:r w:rsidRPr="00D20F15">
        <w:rPr>
          <w:rFonts w:ascii="Arial" w:hAnsi="Arial" w:cs="Arial"/>
          <w:color w:val="0D0D0D"/>
          <w:kern w:val="0"/>
          <w:sz w:val="20"/>
          <w:szCs w:val="20"/>
        </w:rPr>
        <w:t xml:space="preserve">, </w:t>
      </w:r>
      <w:proofErr w:type="spellStart"/>
      <w:r w:rsidRPr="00D20F15">
        <w:rPr>
          <w:rFonts w:ascii="Arial" w:hAnsi="Arial" w:cs="Arial"/>
          <w:color w:val="0D0D0D"/>
          <w:kern w:val="0"/>
          <w:sz w:val="20"/>
          <w:szCs w:val="20"/>
        </w:rPr>
        <w:t>Khowang</w:t>
      </w:r>
      <w:proofErr w:type="spellEnd"/>
      <w:r w:rsidRPr="00D20F15">
        <w:rPr>
          <w:rFonts w:ascii="Arial" w:hAnsi="Arial" w:cs="Arial"/>
          <w:color w:val="0D0D0D"/>
          <w:kern w:val="0"/>
          <w:sz w:val="20"/>
          <w:szCs w:val="20"/>
        </w:rPr>
        <w:t xml:space="preserve">, </w:t>
      </w:r>
      <w:proofErr w:type="spellStart"/>
      <w:r w:rsidRPr="00D20F15">
        <w:rPr>
          <w:rFonts w:ascii="Arial" w:hAnsi="Arial" w:cs="Arial"/>
          <w:color w:val="0D0D0D"/>
          <w:kern w:val="0"/>
          <w:sz w:val="20"/>
          <w:szCs w:val="20"/>
        </w:rPr>
        <w:t>Lahoal</w:t>
      </w:r>
      <w:proofErr w:type="spellEnd"/>
      <w:r w:rsidRPr="00D20F15">
        <w:rPr>
          <w:rFonts w:ascii="Arial" w:hAnsi="Arial" w:cs="Arial"/>
          <w:color w:val="0D0D0D"/>
          <w:kern w:val="0"/>
          <w:sz w:val="20"/>
          <w:szCs w:val="20"/>
        </w:rPr>
        <w:t xml:space="preserve">, </w:t>
      </w:r>
      <w:proofErr w:type="spellStart"/>
      <w:r w:rsidRPr="00D20F15">
        <w:rPr>
          <w:rFonts w:ascii="Arial" w:hAnsi="Arial" w:cs="Arial"/>
          <w:color w:val="0D0D0D"/>
          <w:kern w:val="0"/>
          <w:sz w:val="20"/>
          <w:szCs w:val="20"/>
        </w:rPr>
        <w:t>Panitola</w:t>
      </w:r>
      <w:proofErr w:type="spellEnd"/>
      <w:r w:rsidRPr="00D20F15">
        <w:rPr>
          <w:rFonts w:ascii="Arial" w:hAnsi="Arial" w:cs="Arial"/>
          <w:color w:val="0D0D0D"/>
          <w:kern w:val="0"/>
          <w:sz w:val="20"/>
          <w:szCs w:val="20"/>
        </w:rPr>
        <w:t xml:space="preserve">, </w:t>
      </w:r>
      <w:proofErr w:type="spellStart"/>
      <w:r w:rsidRPr="00D20F15">
        <w:rPr>
          <w:rFonts w:ascii="Arial" w:hAnsi="Arial" w:cs="Arial"/>
          <w:color w:val="0D0D0D"/>
          <w:kern w:val="0"/>
          <w:sz w:val="20"/>
          <w:szCs w:val="20"/>
        </w:rPr>
        <w:t>Tengakhat</w:t>
      </w:r>
      <w:proofErr w:type="spellEnd"/>
      <w:r w:rsidRPr="00D20F15">
        <w:rPr>
          <w:rFonts w:ascii="Arial" w:hAnsi="Arial" w:cs="Arial"/>
          <w:color w:val="0D0D0D"/>
          <w:kern w:val="0"/>
          <w:sz w:val="20"/>
          <w:szCs w:val="20"/>
        </w:rPr>
        <w:t xml:space="preserve"> and </w:t>
      </w:r>
      <w:proofErr w:type="spellStart"/>
      <w:r w:rsidRPr="00D20F15">
        <w:rPr>
          <w:rFonts w:ascii="Arial" w:hAnsi="Arial" w:cs="Arial"/>
          <w:color w:val="0D0D0D"/>
          <w:kern w:val="0"/>
          <w:sz w:val="20"/>
          <w:szCs w:val="20"/>
        </w:rPr>
        <w:t>Tingkhong</w:t>
      </w:r>
      <w:proofErr w:type="spellEnd"/>
      <w:r w:rsidRPr="00D20F15">
        <w:rPr>
          <w:rFonts w:ascii="Arial" w:hAnsi="Arial" w:cs="Arial"/>
          <w:color w:val="0D0D0D"/>
          <w:kern w:val="0"/>
          <w:sz w:val="20"/>
          <w:szCs w:val="20"/>
        </w:rPr>
        <w:t xml:space="preserve">. Of the seven blocks, </w:t>
      </w:r>
      <w:proofErr w:type="spellStart"/>
      <w:r w:rsidRPr="00D20F15">
        <w:rPr>
          <w:rFonts w:ascii="Arial" w:hAnsi="Arial" w:cs="Arial"/>
          <w:color w:val="0D0D0D"/>
          <w:kern w:val="0"/>
          <w:sz w:val="20"/>
          <w:szCs w:val="20"/>
        </w:rPr>
        <w:t>Panitola</w:t>
      </w:r>
      <w:proofErr w:type="spellEnd"/>
      <w:r w:rsidRPr="00D20F15">
        <w:rPr>
          <w:rFonts w:ascii="Arial" w:hAnsi="Arial" w:cs="Arial"/>
          <w:color w:val="0D0D0D"/>
          <w:kern w:val="0"/>
          <w:sz w:val="20"/>
          <w:szCs w:val="20"/>
        </w:rPr>
        <w:t xml:space="preserve"> and </w:t>
      </w:r>
      <w:proofErr w:type="spellStart"/>
      <w:r w:rsidRPr="00D20F15">
        <w:rPr>
          <w:rFonts w:ascii="Arial" w:hAnsi="Arial" w:cs="Arial"/>
          <w:color w:val="0D0D0D"/>
          <w:kern w:val="0"/>
          <w:sz w:val="20"/>
          <w:szCs w:val="20"/>
        </w:rPr>
        <w:t>Lahoal</w:t>
      </w:r>
      <w:proofErr w:type="spellEnd"/>
      <w:r w:rsidRPr="00D20F15">
        <w:rPr>
          <w:rFonts w:ascii="Arial" w:hAnsi="Arial" w:cs="Arial"/>
          <w:color w:val="0D0D0D"/>
          <w:kern w:val="0"/>
          <w:sz w:val="20"/>
          <w:szCs w:val="20"/>
        </w:rPr>
        <w:t xml:space="preserve"> blocks were</w:t>
      </w:r>
      <w:r>
        <w:rPr>
          <w:rFonts w:ascii="Arial" w:hAnsi="Arial" w:cs="Arial"/>
          <w:color w:val="0D0D0D"/>
          <w:kern w:val="0"/>
          <w:sz w:val="20"/>
          <w:szCs w:val="20"/>
        </w:rPr>
        <w:t xml:space="preserve"> purposively</w:t>
      </w:r>
      <w:r w:rsidRPr="00D20F15">
        <w:rPr>
          <w:rFonts w:ascii="Arial" w:hAnsi="Arial" w:cs="Arial"/>
          <w:color w:val="0D0D0D"/>
          <w:kern w:val="0"/>
          <w:sz w:val="20"/>
          <w:szCs w:val="20"/>
        </w:rPr>
        <w:t xml:space="preserve"> chosen for the current research.</w:t>
      </w:r>
    </w:p>
    <w:p w14:paraId="52C5D837" w14:textId="4E03178A" w:rsidR="00D20F15" w:rsidRDefault="00D20F15" w:rsidP="00D20F15">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2.3. Selection of respondents</w:t>
      </w:r>
    </w:p>
    <w:p w14:paraId="533F4637" w14:textId="23D8B72C" w:rsidR="00D20F15" w:rsidRPr="00D20F15" w:rsidRDefault="00D20F15" w:rsidP="00D20F15">
      <w:pPr>
        <w:autoSpaceDE w:val="0"/>
        <w:autoSpaceDN w:val="0"/>
        <w:adjustRightInd w:val="0"/>
        <w:spacing w:after="0" w:line="360" w:lineRule="auto"/>
        <w:jc w:val="both"/>
        <w:rPr>
          <w:rFonts w:ascii="Arial" w:hAnsi="Arial" w:cs="Arial"/>
          <w:color w:val="0D0D0D"/>
          <w:kern w:val="0"/>
          <w:sz w:val="20"/>
          <w:szCs w:val="20"/>
        </w:rPr>
      </w:pPr>
      <w:r>
        <w:rPr>
          <w:rFonts w:ascii="Arial" w:hAnsi="Arial" w:cs="Arial"/>
          <w:color w:val="0D0D0D"/>
          <w:kern w:val="0"/>
          <w:sz w:val="20"/>
          <w:szCs w:val="20"/>
        </w:rPr>
        <w:t>S</w:t>
      </w:r>
      <w:r w:rsidRPr="00D20F15">
        <w:rPr>
          <w:rFonts w:ascii="Arial" w:hAnsi="Arial" w:cs="Arial"/>
          <w:color w:val="0D0D0D"/>
          <w:kern w:val="0"/>
          <w:sz w:val="20"/>
          <w:szCs w:val="20"/>
        </w:rPr>
        <w:t>mall tea growers were selected randomly constituting the final sampling unit from the selected blocks from both the districts.</w:t>
      </w:r>
      <w:r w:rsidR="00BF6EAA">
        <w:rPr>
          <w:rFonts w:ascii="Arial" w:hAnsi="Arial" w:cs="Arial"/>
          <w:color w:val="0D0D0D"/>
          <w:kern w:val="0"/>
          <w:sz w:val="20"/>
          <w:szCs w:val="20"/>
        </w:rPr>
        <w:t xml:space="preserve"> </w:t>
      </w:r>
      <w:r w:rsidRPr="00D20F15">
        <w:rPr>
          <w:rFonts w:ascii="Arial" w:hAnsi="Arial" w:cs="Arial"/>
          <w:color w:val="0D0D0D"/>
          <w:kern w:val="0"/>
          <w:sz w:val="20"/>
          <w:szCs w:val="20"/>
        </w:rPr>
        <w:t>The growers were classified into three different size group based on their tea plantation holdings.</w:t>
      </w:r>
    </w:p>
    <w:p w14:paraId="3D759CE6" w14:textId="1FEDF669" w:rsidR="00D20F15" w:rsidRPr="00D20F15" w:rsidRDefault="00D20F15" w:rsidP="00D20F15">
      <w:pPr>
        <w:numPr>
          <w:ilvl w:val="0"/>
          <w:numId w:val="1"/>
        </w:num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Marginal-small growers: 0-2.5 hectares</w:t>
      </w:r>
    </w:p>
    <w:p w14:paraId="6410F320" w14:textId="21E316CA" w:rsidR="00D20F15" w:rsidRPr="00D20F15" w:rsidRDefault="00D20F15" w:rsidP="00D20F15">
      <w:pPr>
        <w:numPr>
          <w:ilvl w:val="0"/>
          <w:numId w:val="1"/>
        </w:num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Small-scale growers:</w:t>
      </w:r>
      <w:r w:rsidR="00BF6EAA">
        <w:rPr>
          <w:rFonts w:ascii="Arial" w:hAnsi="Arial" w:cs="Arial"/>
          <w:color w:val="0D0D0D"/>
          <w:kern w:val="0"/>
          <w:sz w:val="20"/>
          <w:szCs w:val="20"/>
        </w:rPr>
        <w:t xml:space="preserve"> </w:t>
      </w:r>
      <w:r w:rsidRPr="00D20F15">
        <w:rPr>
          <w:rFonts w:ascii="Arial" w:hAnsi="Arial" w:cs="Arial"/>
          <w:color w:val="0D0D0D"/>
          <w:kern w:val="0"/>
          <w:sz w:val="20"/>
          <w:szCs w:val="20"/>
        </w:rPr>
        <w:t>2.5-5.00 hectares</w:t>
      </w:r>
    </w:p>
    <w:p w14:paraId="794C0F14" w14:textId="77777777" w:rsidR="00D20F15" w:rsidRPr="00D20F15" w:rsidRDefault="00D20F15" w:rsidP="00D20F15">
      <w:pPr>
        <w:numPr>
          <w:ilvl w:val="0"/>
          <w:numId w:val="1"/>
        </w:num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 xml:space="preserve">Medium small growers: 5.0 hectares and above. </w:t>
      </w:r>
    </w:p>
    <w:p w14:paraId="75EB6727" w14:textId="77777777" w:rsidR="00D20F15" w:rsidRDefault="00D20F15" w:rsidP="00D20F15">
      <w:p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 xml:space="preserve">The sample size of small tea growers from </w:t>
      </w:r>
      <w:proofErr w:type="spellStart"/>
      <w:r w:rsidRPr="00D20F15">
        <w:rPr>
          <w:rFonts w:ascii="Arial" w:hAnsi="Arial" w:cs="Arial"/>
          <w:color w:val="0D0D0D"/>
          <w:kern w:val="0"/>
          <w:sz w:val="20"/>
          <w:szCs w:val="20"/>
        </w:rPr>
        <w:t>Guijan</w:t>
      </w:r>
      <w:proofErr w:type="spellEnd"/>
      <w:r w:rsidRPr="00D20F15">
        <w:rPr>
          <w:rFonts w:ascii="Arial" w:hAnsi="Arial" w:cs="Arial"/>
          <w:color w:val="0D0D0D"/>
          <w:kern w:val="0"/>
          <w:sz w:val="20"/>
          <w:szCs w:val="20"/>
        </w:rPr>
        <w:t xml:space="preserve"> and </w:t>
      </w:r>
      <w:proofErr w:type="spellStart"/>
      <w:r w:rsidRPr="00D20F15">
        <w:rPr>
          <w:rFonts w:ascii="Arial" w:hAnsi="Arial" w:cs="Arial"/>
          <w:color w:val="0D0D0D"/>
          <w:kern w:val="0"/>
          <w:sz w:val="20"/>
          <w:szCs w:val="20"/>
        </w:rPr>
        <w:t>Itakhuli</w:t>
      </w:r>
      <w:proofErr w:type="spellEnd"/>
      <w:r w:rsidRPr="00D20F15">
        <w:rPr>
          <w:rFonts w:ascii="Arial" w:hAnsi="Arial" w:cs="Arial"/>
          <w:color w:val="0D0D0D"/>
          <w:kern w:val="0"/>
          <w:sz w:val="20"/>
          <w:szCs w:val="20"/>
        </w:rPr>
        <w:t xml:space="preserve"> blocks of Tinsukia district was 92. Consequently, 105 small-tea growers were selected from </w:t>
      </w:r>
      <w:proofErr w:type="spellStart"/>
      <w:r w:rsidRPr="00D20F15">
        <w:rPr>
          <w:rFonts w:ascii="Arial" w:hAnsi="Arial" w:cs="Arial"/>
          <w:color w:val="0D0D0D"/>
          <w:kern w:val="0"/>
          <w:sz w:val="20"/>
          <w:szCs w:val="20"/>
        </w:rPr>
        <w:t>Panitola</w:t>
      </w:r>
      <w:proofErr w:type="spellEnd"/>
      <w:r w:rsidRPr="00D20F15">
        <w:rPr>
          <w:rFonts w:ascii="Arial" w:hAnsi="Arial" w:cs="Arial"/>
          <w:color w:val="0D0D0D"/>
          <w:kern w:val="0"/>
          <w:sz w:val="20"/>
          <w:szCs w:val="20"/>
        </w:rPr>
        <w:t xml:space="preserve"> and </w:t>
      </w:r>
      <w:proofErr w:type="spellStart"/>
      <w:r w:rsidRPr="00D20F15">
        <w:rPr>
          <w:rFonts w:ascii="Arial" w:hAnsi="Arial" w:cs="Arial"/>
          <w:color w:val="0D0D0D"/>
          <w:kern w:val="0"/>
          <w:sz w:val="20"/>
          <w:szCs w:val="20"/>
        </w:rPr>
        <w:t>Lahoal</w:t>
      </w:r>
      <w:proofErr w:type="spellEnd"/>
      <w:r w:rsidRPr="00D20F15">
        <w:rPr>
          <w:rFonts w:ascii="Arial" w:hAnsi="Arial" w:cs="Arial"/>
          <w:color w:val="0D0D0D"/>
          <w:kern w:val="0"/>
          <w:sz w:val="20"/>
          <w:szCs w:val="20"/>
        </w:rPr>
        <w:t xml:space="preserve"> blocks of Dibrugarh district randomly. The sample size was constituted of 197 respondents.</w:t>
      </w:r>
    </w:p>
    <w:p w14:paraId="7B695043" w14:textId="407D58CB" w:rsidR="00BF6EAA" w:rsidRDefault="00BF6EAA" w:rsidP="00D20F15">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2.4. Data collection</w:t>
      </w:r>
    </w:p>
    <w:p w14:paraId="0812C303" w14:textId="14B5B1E2" w:rsidR="00BF6EAA" w:rsidRDefault="00BF6EAA" w:rsidP="00BF6EAA">
      <w:pPr>
        <w:autoSpaceDE w:val="0"/>
        <w:autoSpaceDN w:val="0"/>
        <w:adjustRightInd w:val="0"/>
        <w:spacing w:after="0" w:line="360" w:lineRule="auto"/>
        <w:jc w:val="both"/>
        <w:rPr>
          <w:rFonts w:ascii="Arial" w:hAnsi="Arial" w:cs="Arial"/>
          <w:color w:val="0D0D0D"/>
          <w:kern w:val="0"/>
          <w:sz w:val="20"/>
          <w:szCs w:val="20"/>
        </w:rPr>
      </w:pPr>
      <w:r w:rsidRPr="00BF6EAA">
        <w:rPr>
          <w:rFonts w:ascii="Arial" w:hAnsi="Arial" w:cs="Arial"/>
          <w:color w:val="0D0D0D"/>
          <w:kern w:val="0"/>
          <w:sz w:val="20"/>
          <w:szCs w:val="20"/>
        </w:rPr>
        <w:t>The data was gathered through use of primary and secondary sources.</w:t>
      </w:r>
      <w:r>
        <w:rPr>
          <w:rFonts w:ascii="Arial" w:hAnsi="Arial" w:cs="Arial"/>
          <w:color w:val="0D0D0D"/>
          <w:kern w:val="0"/>
          <w:sz w:val="20"/>
          <w:szCs w:val="20"/>
        </w:rPr>
        <w:t xml:space="preserve"> </w:t>
      </w:r>
      <w:r w:rsidRPr="00BF6EAA">
        <w:rPr>
          <w:rFonts w:ascii="Arial" w:hAnsi="Arial" w:cs="Arial"/>
          <w:color w:val="0D0D0D"/>
          <w:kern w:val="0"/>
          <w:sz w:val="20"/>
          <w:szCs w:val="20"/>
        </w:rPr>
        <w:t>The</w:t>
      </w:r>
      <w:r>
        <w:rPr>
          <w:rFonts w:ascii="Arial" w:hAnsi="Arial" w:cs="Arial"/>
          <w:color w:val="0D0D0D"/>
          <w:kern w:val="0"/>
          <w:sz w:val="20"/>
          <w:szCs w:val="20"/>
        </w:rPr>
        <w:t xml:space="preserve"> </w:t>
      </w:r>
      <w:r w:rsidRPr="00BF6EAA">
        <w:rPr>
          <w:rFonts w:ascii="Arial" w:hAnsi="Arial" w:cs="Arial"/>
          <w:color w:val="0D0D0D"/>
          <w:kern w:val="0"/>
          <w:sz w:val="20"/>
          <w:szCs w:val="20"/>
        </w:rPr>
        <w:t>primary</w:t>
      </w:r>
      <w:r>
        <w:rPr>
          <w:rFonts w:ascii="Arial" w:hAnsi="Arial" w:cs="Arial"/>
          <w:color w:val="0D0D0D"/>
          <w:kern w:val="0"/>
          <w:sz w:val="20"/>
          <w:szCs w:val="20"/>
        </w:rPr>
        <w:t xml:space="preserve"> </w:t>
      </w:r>
      <w:r w:rsidRPr="00BF6EAA">
        <w:rPr>
          <w:rFonts w:ascii="Arial" w:hAnsi="Arial" w:cs="Arial"/>
          <w:color w:val="0D0D0D"/>
          <w:kern w:val="0"/>
          <w:sz w:val="20"/>
          <w:szCs w:val="20"/>
        </w:rPr>
        <w:t>data from</w:t>
      </w:r>
      <w:r>
        <w:rPr>
          <w:rFonts w:ascii="Arial" w:hAnsi="Arial" w:cs="Arial"/>
          <w:color w:val="0D0D0D"/>
          <w:kern w:val="0"/>
          <w:sz w:val="20"/>
          <w:szCs w:val="20"/>
        </w:rPr>
        <w:t xml:space="preserve"> </w:t>
      </w:r>
      <w:r w:rsidRPr="00BF6EAA">
        <w:rPr>
          <w:rFonts w:ascii="Arial" w:hAnsi="Arial" w:cs="Arial"/>
          <w:color w:val="0D0D0D"/>
          <w:kern w:val="0"/>
          <w:sz w:val="20"/>
          <w:szCs w:val="20"/>
        </w:rPr>
        <w:t>the</w:t>
      </w:r>
      <w:r>
        <w:rPr>
          <w:rFonts w:ascii="Arial" w:hAnsi="Arial" w:cs="Arial"/>
          <w:color w:val="0D0D0D"/>
          <w:kern w:val="0"/>
          <w:sz w:val="20"/>
          <w:szCs w:val="20"/>
        </w:rPr>
        <w:t xml:space="preserve"> </w:t>
      </w:r>
      <w:r w:rsidRPr="00BF6EAA">
        <w:rPr>
          <w:rFonts w:ascii="Arial" w:hAnsi="Arial" w:cs="Arial"/>
          <w:color w:val="0D0D0D"/>
          <w:kern w:val="0"/>
          <w:sz w:val="20"/>
          <w:szCs w:val="20"/>
        </w:rPr>
        <w:t>respondents w</w:t>
      </w:r>
      <w:r>
        <w:rPr>
          <w:rFonts w:ascii="Arial" w:hAnsi="Arial" w:cs="Arial"/>
          <w:color w:val="0D0D0D"/>
          <w:kern w:val="0"/>
          <w:sz w:val="20"/>
          <w:szCs w:val="20"/>
        </w:rPr>
        <w:t>ere</w:t>
      </w:r>
      <w:r w:rsidRPr="00BF6EAA">
        <w:rPr>
          <w:rFonts w:ascii="Arial" w:hAnsi="Arial" w:cs="Arial"/>
          <w:color w:val="0D0D0D"/>
          <w:kern w:val="0"/>
          <w:sz w:val="20"/>
          <w:szCs w:val="20"/>
        </w:rPr>
        <w:t xml:space="preserve"> collected using a personal</w:t>
      </w:r>
      <w:r>
        <w:rPr>
          <w:rFonts w:ascii="Arial" w:hAnsi="Arial" w:cs="Arial"/>
          <w:color w:val="0D0D0D"/>
          <w:kern w:val="0"/>
          <w:sz w:val="20"/>
          <w:szCs w:val="20"/>
        </w:rPr>
        <w:t xml:space="preserve"> </w:t>
      </w:r>
      <w:r w:rsidRPr="00BF6EAA">
        <w:rPr>
          <w:rFonts w:ascii="Arial" w:hAnsi="Arial" w:cs="Arial"/>
          <w:color w:val="0D0D0D"/>
          <w:kern w:val="0"/>
          <w:sz w:val="20"/>
          <w:szCs w:val="20"/>
        </w:rPr>
        <w:t>interview</w:t>
      </w:r>
      <w:r>
        <w:rPr>
          <w:rFonts w:ascii="Arial" w:hAnsi="Arial" w:cs="Arial"/>
          <w:color w:val="0D0D0D"/>
          <w:kern w:val="0"/>
          <w:sz w:val="20"/>
          <w:szCs w:val="20"/>
        </w:rPr>
        <w:t xml:space="preserve"> </w:t>
      </w:r>
      <w:r w:rsidRPr="00BF6EAA">
        <w:rPr>
          <w:rFonts w:ascii="Arial" w:hAnsi="Arial" w:cs="Arial"/>
          <w:color w:val="0D0D0D"/>
          <w:kern w:val="0"/>
          <w:sz w:val="20"/>
          <w:szCs w:val="20"/>
        </w:rPr>
        <w:t xml:space="preserve">method. The study utilized secondary data obtained from various publications and official reports of Tae Board. of India, Indian Tea Association, publications of Industry and Commerce Department, Govt. of Assam; All Assam/Small Tea/Growers’ </w:t>
      </w:r>
      <w:r w:rsidRPr="00BF6EAA">
        <w:rPr>
          <w:rFonts w:ascii="Arial" w:hAnsi="Arial" w:cs="Arial"/>
          <w:color w:val="0D0D0D"/>
          <w:kern w:val="0"/>
          <w:sz w:val="20"/>
          <w:szCs w:val="20"/>
        </w:rPr>
        <w:lastRenderedPageBreak/>
        <w:t>Association, Statistical Handbook, Assam (2023). Various other works such as Ph.D. Theses, Research Reports, Books, Journal Articles etc. were referred to for collecting relevant secondary information.</w:t>
      </w:r>
    </w:p>
    <w:p w14:paraId="5A923DCE" w14:textId="2A8ADB83" w:rsidR="00BF6EAA" w:rsidRDefault="00BF6EAA" w:rsidP="00BF6EAA">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2.5. Period of study</w:t>
      </w:r>
    </w:p>
    <w:p w14:paraId="15E146A8" w14:textId="2D84D9B2" w:rsidR="00BF6EAA" w:rsidRDefault="00BF6EAA" w:rsidP="00BF6EAA">
      <w:pPr>
        <w:autoSpaceDE w:val="0"/>
        <w:autoSpaceDN w:val="0"/>
        <w:adjustRightInd w:val="0"/>
        <w:spacing w:after="0" w:line="360" w:lineRule="auto"/>
        <w:jc w:val="both"/>
        <w:rPr>
          <w:rFonts w:ascii="Arial" w:hAnsi="Arial" w:cs="Arial"/>
          <w:color w:val="0D0D0D"/>
          <w:kern w:val="0"/>
          <w:sz w:val="20"/>
          <w:szCs w:val="20"/>
        </w:rPr>
      </w:pPr>
      <w:r w:rsidRPr="00BF6EAA">
        <w:rPr>
          <w:rFonts w:ascii="Arial" w:hAnsi="Arial" w:cs="Arial"/>
          <w:color w:val="0D0D0D"/>
          <w:kern w:val="0"/>
          <w:sz w:val="20"/>
          <w:szCs w:val="20"/>
        </w:rPr>
        <w:t xml:space="preserve">The information pertaining to the present study was collected and gathered during the year 2023-24. </w:t>
      </w:r>
    </w:p>
    <w:p w14:paraId="0AC16521" w14:textId="3ABCEEED" w:rsidR="00BF6EAA" w:rsidRDefault="00BF6EAA" w:rsidP="00BF6EAA">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2.6. Analytical Framework</w:t>
      </w:r>
    </w:p>
    <w:p w14:paraId="34941FED" w14:textId="4B63155E" w:rsidR="00BF6EAA" w:rsidRPr="00BF6EAA" w:rsidRDefault="00BF6EAA" w:rsidP="00BF6EAA">
      <w:pPr>
        <w:pStyle w:val="ListParagraph"/>
        <w:numPr>
          <w:ilvl w:val="0"/>
          <w:numId w:val="3"/>
        </w:numPr>
        <w:autoSpaceDE w:val="0"/>
        <w:autoSpaceDN w:val="0"/>
        <w:adjustRightInd w:val="0"/>
        <w:spacing w:after="0" w:line="360" w:lineRule="auto"/>
        <w:jc w:val="both"/>
        <w:rPr>
          <w:rFonts w:ascii="Arial" w:hAnsi="Arial" w:cs="Arial"/>
          <w:b/>
          <w:bCs/>
          <w:color w:val="0D0D0D"/>
          <w:kern w:val="0"/>
          <w:sz w:val="20"/>
          <w:szCs w:val="20"/>
        </w:rPr>
      </w:pPr>
      <w:r w:rsidRPr="00BF6EAA">
        <w:rPr>
          <w:rFonts w:ascii="Arial" w:hAnsi="Arial" w:cs="Arial"/>
          <w:b/>
          <w:bCs/>
          <w:color w:val="0D0D0D"/>
          <w:kern w:val="0"/>
          <w:sz w:val="20"/>
          <w:szCs w:val="20"/>
        </w:rPr>
        <w:t>Tabular analysis</w:t>
      </w:r>
    </w:p>
    <w:p w14:paraId="26F4705B" w14:textId="77777777" w:rsidR="00BF6EAA" w:rsidRPr="00BF6EAA" w:rsidRDefault="00BF6EAA" w:rsidP="00BF6EAA">
      <w:pPr>
        <w:autoSpaceDE w:val="0"/>
        <w:autoSpaceDN w:val="0"/>
        <w:adjustRightInd w:val="0"/>
        <w:spacing w:after="0" w:line="360" w:lineRule="auto"/>
        <w:jc w:val="both"/>
        <w:rPr>
          <w:rFonts w:ascii="Arial" w:hAnsi="Arial" w:cs="Arial"/>
          <w:color w:val="0D0D0D"/>
          <w:kern w:val="0"/>
          <w:sz w:val="20"/>
          <w:szCs w:val="20"/>
        </w:rPr>
      </w:pPr>
      <w:r w:rsidRPr="00BF6EAA">
        <w:rPr>
          <w:rFonts w:ascii="Arial" w:hAnsi="Arial" w:cs="Arial"/>
          <w:color w:val="0D0D0D"/>
          <w:kern w:val="0"/>
          <w:sz w:val="20"/>
          <w:szCs w:val="20"/>
        </w:rPr>
        <w:t>To provide information related to the objectives under study, the primary and secondar data gathered was presented in simple tabular form to analyse and infer conclusions from it.</w:t>
      </w:r>
    </w:p>
    <w:p w14:paraId="2E04513D" w14:textId="1CEC0E7C" w:rsidR="00BF6EAA" w:rsidRPr="00BF6EAA" w:rsidRDefault="00BF6EAA" w:rsidP="00BF6EAA">
      <w:pPr>
        <w:pStyle w:val="ListParagraph"/>
        <w:numPr>
          <w:ilvl w:val="0"/>
          <w:numId w:val="3"/>
        </w:numPr>
        <w:autoSpaceDE w:val="0"/>
        <w:autoSpaceDN w:val="0"/>
        <w:adjustRightInd w:val="0"/>
        <w:spacing w:after="0" w:line="360" w:lineRule="auto"/>
        <w:jc w:val="both"/>
        <w:rPr>
          <w:rFonts w:ascii="Arial" w:hAnsi="Arial" w:cs="Arial"/>
          <w:b/>
          <w:bCs/>
          <w:color w:val="0D0D0D"/>
          <w:kern w:val="0"/>
          <w:sz w:val="20"/>
          <w:szCs w:val="20"/>
        </w:rPr>
      </w:pPr>
      <w:r w:rsidRPr="00BF6EAA">
        <w:rPr>
          <w:rFonts w:ascii="Arial" w:hAnsi="Arial" w:cs="Arial"/>
          <w:b/>
          <w:bCs/>
          <w:color w:val="0D0D0D"/>
          <w:kern w:val="0"/>
          <w:sz w:val="20"/>
          <w:szCs w:val="20"/>
        </w:rPr>
        <w:t>Descriptive statistics</w:t>
      </w:r>
    </w:p>
    <w:p w14:paraId="76AD6514" w14:textId="77777777" w:rsidR="00BF6EAA" w:rsidRPr="00BF6EAA" w:rsidRDefault="00BF6EAA" w:rsidP="00BF6EAA">
      <w:pPr>
        <w:autoSpaceDE w:val="0"/>
        <w:autoSpaceDN w:val="0"/>
        <w:adjustRightInd w:val="0"/>
        <w:spacing w:after="0" w:line="360" w:lineRule="auto"/>
        <w:jc w:val="both"/>
        <w:rPr>
          <w:rFonts w:ascii="Arial" w:hAnsi="Arial" w:cs="Arial"/>
          <w:color w:val="0D0D0D"/>
          <w:kern w:val="0"/>
          <w:sz w:val="20"/>
          <w:szCs w:val="20"/>
        </w:rPr>
      </w:pPr>
      <w:r w:rsidRPr="00BF6EAA">
        <w:rPr>
          <w:rFonts w:ascii="Arial" w:hAnsi="Arial" w:cs="Arial"/>
          <w:color w:val="0D0D0D"/>
          <w:kern w:val="0"/>
          <w:sz w:val="20"/>
          <w:szCs w:val="20"/>
        </w:rPr>
        <w:t>The collected information was summarized through descriptive statistical techniques like averages, means, and percentages to produce significant findings.</w:t>
      </w:r>
    </w:p>
    <w:p w14:paraId="548418D5" w14:textId="77777777" w:rsidR="00BF6EAA" w:rsidRPr="00BF6EAA" w:rsidRDefault="00BF6EAA" w:rsidP="00BF6EAA">
      <w:pPr>
        <w:pStyle w:val="ListParagraph"/>
        <w:numPr>
          <w:ilvl w:val="0"/>
          <w:numId w:val="3"/>
        </w:numPr>
        <w:autoSpaceDE w:val="0"/>
        <w:autoSpaceDN w:val="0"/>
        <w:adjustRightInd w:val="0"/>
        <w:spacing w:after="0" w:line="360" w:lineRule="auto"/>
        <w:jc w:val="both"/>
        <w:rPr>
          <w:rFonts w:ascii="Arial" w:eastAsiaTheme="minorEastAsia" w:hAnsi="Arial" w:cs="Arial"/>
          <w:b/>
          <w:bCs/>
          <w:color w:val="000000"/>
          <w:sz w:val="20"/>
          <w:szCs w:val="20"/>
        </w:rPr>
      </w:pPr>
      <w:r w:rsidRPr="00BF6EAA">
        <w:rPr>
          <w:rFonts w:ascii="Arial" w:eastAsiaTheme="minorEastAsia" w:hAnsi="Arial" w:cs="Arial"/>
          <w:b/>
          <w:bCs/>
          <w:color w:val="000000"/>
          <w:sz w:val="20"/>
          <w:szCs w:val="20"/>
        </w:rPr>
        <w:t>Chi-Square</w:t>
      </w:r>
    </w:p>
    <w:p w14:paraId="6D1ECFCF" w14:textId="7FB2BE6D" w:rsidR="00BF6EAA" w:rsidRPr="00BF6EAA" w:rsidRDefault="00BF6EAA" w:rsidP="00BF6EAA">
      <w:pPr>
        <w:autoSpaceDE w:val="0"/>
        <w:autoSpaceDN w:val="0"/>
        <w:adjustRightInd w:val="0"/>
        <w:spacing w:after="0" w:line="360" w:lineRule="auto"/>
        <w:jc w:val="both"/>
        <w:rPr>
          <w:rFonts w:ascii="Arial" w:eastAsiaTheme="minorEastAsia" w:hAnsi="Arial" w:cs="Arial"/>
          <w:color w:val="000000"/>
          <w:sz w:val="20"/>
          <w:szCs w:val="20"/>
        </w:rPr>
      </w:pPr>
      <w:r w:rsidRPr="00BF6EAA">
        <w:rPr>
          <w:rFonts w:ascii="Arial" w:eastAsiaTheme="minorEastAsia" w:hAnsi="Arial" w:cs="Arial"/>
          <w:color w:val="000000"/>
          <w:sz w:val="20"/>
          <w:szCs w:val="20"/>
        </w:rPr>
        <w:t>A chi-square (χ</w:t>
      </w:r>
      <w:r w:rsidRPr="00BF6EAA">
        <w:rPr>
          <w:rFonts w:ascii="Arial" w:eastAsiaTheme="minorEastAsia" w:hAnsi="Arial" w:cs="Arial"/>
          <w:color w:val="000000"/>
          <w:sz w:val="20"/>
          <w:szCs w:val="20"/>
          <w:vertAlign w:val="superscript"/>
        </w:rPr>
        <w:t>2</w:t>
      </w:r>
      <w:r w:rsidRPr="00BF6EAA">
        <w:rPr>
          <w:rFonts w:ascii="Arial" w:eastAsiaTheme="minorEastAsia" w:hAnsi="Arial" w:cs="Arial"/>
          <w:color w:val="000000"/>
          <w:sz w:val="20"/>
          <w:szCs w:val="20"/>
        </w:rPr>
        <w:t>) statistic tests the difference between a model and the data that has been observed. To calculate a chi-square statistic, the data needs to be random, raw, mutually exclusive, and collected from a sufficiently large sample.</w:t>
      </w:r>
      <w:r>
        <w:rPr>
          <w:rFonts w:ascii="Arial" w:eastAsiaTheme="minorEastAsia" w:hAnsi="Arial" w:cs="Arial"/>
          <w:color w:val="000000"/>
          <w:sz w:val="20"/>
          <w:szCs w:val="20"/>
        </w:rPr>
        <w:t xml:space="preserve"> </w:t>
      </w:r>
      <w:r w:rsidRPr="00BF6EAA">
        <w:rPr>
          <w:rFonts w:ascii="Arial" w:eastAsiaTheme="minorEastAsia" w:hAnsi="Arial" w:cs="Arial"/>
          <w:color w:val="000000"/>
          <w:sz w:val="20"/>
          <w:szCs w:val="20"/>
        </w:rPr>
        <w:t>This statistic looks at the extent of any differences between what was expected and what was actually found, based on the sample size and the number of variables involved in the relationship.</w:t>
      </w:r>
    </w:p>
    <w:p w14:paraId="222C6728" w14:textId="77777777" w:rsidR="00BF6EAA" w:rsidRPr="00BF6EAA" w:rsidRDefault="00BF6EAA" w:rsidP="00BF6EAA">
      <w:pPr>
        <w:pStyle w:val="ListParagraph"/>
        <w:autoSpaceDE w:val="0"/>
        <w:autoSpaceDN w:val="0"/>
        <w:adjustRightInd w:val="0"/>
        <w:spacing w:after="0" w:line="360" w:lineRule="auto"/>
        <w:jc w:val="center"/>
        <w:rPr>
          <w:rFonts w:ascii="Arial" w:eastAsiaTheme="minorEastAsia" w:hAnsi="Arial" w:cs="Arial"/>
          <w:b/>
          <w:bCs/>
          <w:color w:val="000000"/>
          <w:sz w:val="20"/>
          <w:szCs w:val="20"/>
        </w:rPr>
      </w:pPr>
      <w:r w:rsidRPr="00BF6EAA">
        <w:rPr>
          <w:rFonts w:ascii="Arial" w:eastAsiaTheme="minorEastAsia" w:hAnsi="Arial" w:cs="Arial"/>
          <w:b/>
          <w:bCs/>
          <w:color w:val="000000"/>
          <w:sz w:val="20"/>
          <w:szCs w:val="20"/>
        </w:rPr>
        <w:t>χ</w:t>
      </w:r>
      <w:r w:rsidRPr="00BF6EAA">
        <w:rPr>
          <w:rFonts w:ascii="Arial" w:eastAsiaTheme="minorEastAsia" w:hAnsi="Arial" w:cs="Arial"/>
          <w:b/>
          <w:bCs/>
          <w:color w:val="000000"/>
          <w:sz w:val="20"/>
          <w:szCs w:val="20"/>
          <w:vertAlign w:val="superscript"/>
        </w:rPr>
        <w:t>2</w:t>
      </w:r>
      <w:r w:rsidRPr="00BF6EAA">
        <w:rPr>
          <w:rFonts w:ascii="Arial" w:eastAsiaTheme="minorEastAsia" w:hAnsi="Arial" w:cs="Arial"/>
          <w:b/>
          <w:bCs/>
          <w:color w:val="000000"/>
          <w:sz w:val="20"/>
          <w:szCs w:val="20"/>
        </w:rPr>
        <w:t>= ∑</w:t>
      </w:r>
      <m:oMath>
        <m:f>
          <m:fPr>
            <m:ctrlPr>
              <w:rPr>
                <w:rFonts w:ascii="Cambria Math" w:eastAsiaTheme="minorEastAsia" w:hAnsi="Cambria Math" w:cs="Arial"/>
                <w:b/>
                <w:bCs/>
                <w:i/>
                <w:color w:val="000000"/>
                <w:sz w:val="20"/>
                <w:szCs w:val="20"/>
              </w:rPr>
            </m:ctrlPr>
          </m:fPr>
          <m:num>
            <m:sSup>
              <m:sSupPr>
                <m:ctrlPr>
                  <w:rPr>
                    <w:rFonts w:ascii="Cambria Math" w:eastAsiaTheme="minorEastAsia" w:hAnsi="Cambria Math" w:cs="Arial"/>
                    <w:b/>
                    <w:bCs/>
                    <w:i/>
                    <w:color w:val="000000"/>
                    <w:sz w:val="20"/>
                    <w:szCs w:val="20"/>
                  </w:rPr>
                </m:ctrlPr>
              </m:sSupPr>
              <m:e>
                <m:r>
                  <m:rPr>
                    <m:sty m:val="bi"/>
                  </m:rPr>
                  <w:rPr>
                    <w:rFonts w:ascii="Cambria Math" w:eastAsiaTheme="minorEastAsia" w:hAnsi="Cambria Math" w:cs="Arial"/>
                    <w:color w:val="000000"/>
                    <w:sz w:val="20"/>
                    <w:szCs w:val="20"/>
                  </w:rPr>
                  <m:t>(Oi-Ei)</m:t>
                </m:r>
              </m:e>
              <m:sup>
                <m:r>
                  <m:rPr>
                    <m:sty m:val="bi"/>
                  </m:rPr>
                  <w:rPr>
                    <w:rFonts w:ascii="Cambria Math" w:eastAsiaTheme="minorEastAsia" w:hAnsi="Cambria Math" w:cs="Arial"/>
                    <w:color w:val="000000"/>
                    <w:sz w:val="20"/>
                    <w:szCs w:val="20"/>
                  </w:rPr>
                  <m:t>2</m:t>
                </m:r>
              </m:sup>
            </m:sSup>
          </m:num>
          <m:den>
            <m:r>
              <m:rPr>
                <m:sty m:val="bi"/>
              </m:rPr>
              <w:rPr>
                <w:rFonts w:ascii="Cambria Math" w:eastAsiaTheme="minorEastAsia" w:hAnsi="Cambria Math" w:cs="Arial"/>
                <w:color w:val="000000"/>
                <w:sz w:val="20"/>
                <w:szCs w:val="20"/>
              </w:rPr>
              <m:t>Ei</m:t>
            </m:r>
          </m:den>
        </m:f>
      </m:oMath>
    </w:p>
    <w:p w14:paraId="1C7E20AE" w14:textId="77777777" w:rsidR="00BF6EAA" w:rsidRPr="00BF6EAA" w:rsidRDefault="00BF6EAA" w:rsidP="00BF6EAA">
      <w:pPr>
        <w:pStyle w:val="ListParagraph"/>
        <w:autoSpaceDE w:val="0"/>
        <w:autoSpaceDN w:val="0"/>
        <w:adjustRightInd w:val="0"/>
        <w:spacing w:after="0" w:line="360" w:lineRule="auto"/>
        <w:rPr>
          <w:rFonts w:ascii="Arial" w:eastAsiaTheme="minorEastAsia" w:hAnsi="Arial" w:cs="Arial"/>
          <w:b/>
          <w:bCs/>
          <w:color w:val="000000"/>
          <w:sz w:val="20"/>
          <w:szCs w:val="20"/>
        </w:rPr>
      </w:pPr>
    </w:p>
    <w:p w14:paraId="2DB88110" w14:textId="77777777" w:rsidR="00BF6EAA" w:rsidRPr="00BF6EAA" w:rsidRDefault="00BF6EAA" w:rsidP="00BF6EAA">
      <w:pPr>
        <w:pStyle w:val="ListParagraph"/>
        <w:autoSpaceDE w:val="0"/>
        <w:autoSpaceDN w:val="0"/>
        <w:adjustRightInd w:val="0"/>
        <w:spacing w:after="0" w:line="360" w:lineRule="auto"/>
        <w:jc w:val="center"/>
        <w:rPr>
          <w:rFonts w:ascii="Arial" w:eastAsiaTheme="minorEastAsia" w:hAnsi="Arial" w:cs="Arial"/>
          <w:color w:val="000000"/>
          <w:sz w:val="20"/>
          <w:szCs w:val="20"/>
        </w:rPr>
      </w:pPr>
      <w:r w:rsidRPr="00BF6EAA">
        <w:rPr>
          <w:rFonts w:ascii="Arial" w:eastAsiaTheme="minorEastAsia" w:hAnsi="Arial" w:cs="Arial"/>
          <w:color w:val="000000"/>
          <w:sz w:val="20"/>
          <w:szCs w:val="20"/>
        </w:rPr>
        <w:t>where, χ</w:t>
      </w:r>
      <w:r w:rsidRPr="00BF6EAA">
        <w:rPr>
          <w:rFonts w:ascii="Arial" w:eastAsiaTheme="minorEastAsia" w:hAnsi="Arial" w:cs="Arial"/>
          <w:color w:val="000000"/>
          <w:sz w:val="20"/>
          <w:szCs w:val="20"/>
          <w:vertAlign w:val="superscript"/>
        </w:rPr>
        <w:t xml:space="preserve">2= </w:t>
      </w:r>
      <w:r w:rsidRPr="00BF6EAA">
        <w:rPr>
          <w:rFonts w:ascii="Arial" w:eastAsiaTheme="minorEastAsia" w:hAnsi="Arial" w:cs="Arial"/>
          <w:color w:val="000000"/>
          <w:sz w:val="20"/>
          <w:szCs w:val="20"/>
        </w:rPr>
        <w:t>Chi-squared</w:t>
      </w:r>
    </w:p>
    <w:p w14:paraId="1A3C1217" w14:textId="77777777" w:rsidR="00BF6EAA" w:rsidRPr="00BF6EAA" w:rsidRDefault="00BF6EAA" w:rsidP="00BF6EAA">
      <w:pPr>
        <w:pStyle w:val="ListParagraph"/>
        <w:autoSpaceDE w:val="0"/>
        <w:autoSpaceDN w:val="0"/>
        <w:adjustRightInd w:val="0"/>
        <w:spacing w:after="0" w:line="360" w:lineRule="auto"/>
        <w:jc w:val="center"/>
        <w:rPr>
          <w:rFonts w:ascii="Arial" w:eastAsiaTheme="minorEastAsia" w:hAnsi="Arial" w:cs="Arial"/>
          <w:color w:val="000000"/>
          <w:sz w:val="20"/>
          <w:szCs w:val="20"/>
        </w:rPr>
      </w:pPr>
      <w:r w:rsidRPr="00BF6EAA">
        <w:rPr>
          <w:rFonts w:ascii="Arial" w:eastAsiaTheme="minorEastAsia" w:hAnsi="Arial" w:cs="Arial"/>
          <w:color w:val="000000"/>
          <w:sz w:val="20"/>
          <w:szCs w:val="20"/>
        </w:rPr>
        <w:t>Oi= Observed value</w:t>
      </w:r>
    </w:p>
    <w:p w14:paraId="0D8EB694" w14:textId="77777777" w:rsidR="00BF6EAA" w:rsidRDefault="00BF6EAA" w:rsidP="00BF6EAA">
      <w:pPr>
        <w:pStyle w:val="ListParagraph"/>
        <w:autoSpaceDE w:val="0"/>
        <w:autoSpaceDN w:val="0"/>
        <w:adjustRightInd w:val="0"/>
        <w:spacing w:after="0" w:line="360" w:lineRule="auto"/>
        <w:jc w:val="center"/>
        <w:rPr>
          <w:rFonts w:ascii="Arial" w:eastAsiaTheme="minorEastAsia" w:hAnsi="Arial" w:cs="Arial"/>
          <w:color w:val="000000"/>
          <w:sz w:val="20"/>
          <w:szCs w:val="20"/>
        </w:rPr>
      </w:pPr>
      <w:r w:rsidRPr="00BF6EAA">
        <w:rPr>
          <w:rFonts w:ascii="Arial" w:eastAsiaTheme="minorEastAsia" w:hAnsi="Arial" w:cs="Arial"/>
          <w:color w:val="000000"/>
          <w:sz w:val="20"/>
          <w:szCs w:val="20"/>
        </w:rPr>
        <w:t>Ei= Expected value</w:t>
      </w:r>
    </w:p>
    <w:p w14:paraId="4B36D769" w14:textId="3C183ED2" w:rsidR="00BF6EAA" w:rsidRDefault="00AA2F83" w:rsidP="00BF6EAA">
      <w:pPr>
        <w:autoSpaceDE w:val="0"/>
        <w:autoSpaceDN w:val="0"/>
        <w:adjustRightInd w:val="0"/>
        <w:spacing w:after="0" w:line="360" w:lineRule="auto"/>
        <w:jc w:val="both"/>
        <w:rPr>
          <w:rFonts w:ascii="Arial" w:eastAsiaTheme="minorEastAsia" w:hAnsi="Arial" w:cs="Arial"/>
          <w:b/>
          <w:bCs/>
          <w:color w:val="000000"/>
          <w:sz w:val="22"/>
          <w:szCs w:val="22"/>
        </w:rPr>
      </w:pPr>
      <w:r>
        <w:rPr>
          <w:rFonts w:ascii="Arial" w:eastAsiaTheme="minorEastAsia" w:hAnsi="Arial" w:cs="Arial"/>
          <w:b/>
          <w:bCs/>
          <w:color w:val="000000"/>
          <w:sz w:val="22"/>
          <w:szCs w:val="22"/>
        </w:rPr>
        <w:t>3. RESULTS AND DISCUSSION</w:t>
      </w:r>
    </w:p>
    <w:p w14:paraId="61C50296" w14:textId="7003BD8F" w:rsidR="00AA2F83" w:rsidRDefault="00AA2F83" w:rsidP="00BF6EAA">
      <w:pPr>
        <w:autoSpaceDE w:val="0"/>
        <w:autoSpaceDN w:val="0"/>
        <w:adjustRightInd w:val="0"/>
        <w:spacing w:after="0" w:line="360" w:lineRule="auto"/>
        <w:jc w:val="both"/>
        <w:rPr>
          <w:rFonts w:ascii="Arial" w:eastAsiaTheme="minorEastAsia" w:hAnsi="Arial" w:cs="Arial"/>
          <w:color w:val="000000"/>
          <w:sz w:val="20"/>
          <w:szCs w:val="20"/>
        </w:rPr>
      </w:pPr>
      <w:r>
        <w:rPr>
          <w:rFonts w:ascii="Arial" w:eastAsiaTheme="minorEastAsia" w:hAnsi="Arial" w:cs="Arial"/>
          <w:color w:val="000000"/>
          <w:sz w:val="20"/>
          <w:szCs w:val="20"/>
        </w:rPr>
        <w:t>The information on the socio-economic profile of the respondents obtained through the conduct of the study in the study area is presented under this section. For the analysis, the small tea growers were divided into three categories based on their land holdings, viz. marginal small tea growers (0-2.5 ha), small-scale tea growers (2.5-5 ha) and medium small tea growers (5 ha and above).</w:t>
      </w:r>
    </w:p>
    <w:p w14:paraId="4BA32204" w14:textId="6DEE341D" w:rsidR="00AA2F83" w:rsidRDefault="00AA2F83" w:rsidP="00BF6EAA">
      <w:pPr>
        <w:autoSpaceDE w:val="0"/>
        <w:autoSpaceDN w:val="0"/>
        <w:adjustRightInd w:val="0"/>
        <w:spacing w:after="0" w:line="360" w:lineRule="auto"/>
        <w:jc w:val="both"/>
        <w:rPr>
          <w:rFonts w:ascii="Arial" w:eastAsiaTheme="minorEastAsia" w:hAnsi="Arial" w:cs="Arial"/>
          <w:b/>
          <w:bCs/>
          <w:color w:val="000000"/>
          <w:sz w:val="20"/>
          <w:szCs w:val="20"/>
        </w:rPr>
      </w:pPr>
      <w:r>
        <w:rPr>
          <w:rFonts w:ascii="Arial" w:eastAsiaTheme="minorEastAsia" w:hAnsi="Arial" w:cs="Arial"/>
          <w:b/>
          <w:bCs/>
          <w:color w:val="000000"/>
          <w:sz w:val="20"/>
          <w:szCs w:val="20"/>
        </w:rPr>
        <w:t>3.1. Age structure</w:t>
      </w:r>
    </w:p>
    <w:p w14:paraId="7A8100F5" w14:textId="7BF0C85F" w:rsidR="00AA2F83" w:rsidRDefault="00DC136E" w:rsidP="00BF6EAA">
      <w:pPr>
        <w:autoSpaceDE w:val="0"/>
        <w:autoSpaceDN w:val="0"/>
        <w:adjustRightInd w:val="0"/>
        <w:spacing w:after="0" w:line="360" w:lineRule="auto"/>
        <w:jc w:val="both"/>
        <w:rPr>
          <w:rFonts w:ascii="Arial" w:eastAsiaTheme="minorEastAsia" w:hAnsi="Arial" w:cs="Arial"/>
          <w:color w:val="000000"/>
          <w:sz w:val="20"/>
          <w:szCs w:val="20"/>
        </w:rPr>
      </w:pPr>
      <w:r w:rsidRPr="00DC136E">
        <w:rPr>
          <w:rFonts w:ascii="Arial" w:eastAsiaTheme="minorEastAsia" w:hAnsi="Arial" w:cs="Arial"/>
          <w:color w:val="000000"/>
          <w:sz w:val="20"/>
          <w:szCs w:val="20"/>
        </w:rPr>
        <w:t>Age is a vital socioeconomic characteristic that affects decision making in humans. On the</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basis</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of data collected, respondents were categorized into</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three categorical groups: young growers (&lt;30 years), middle aged growers (30-50 years), -and old growers (50</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years and above</w:t>
      </w:r>
      <w:r>
        <w:rPr>
          <w:rFonts w:ascii="Arial" w:eastAsiaTheme="minorEastAsia" w:hAnsi="Arial" w:cs="Arial"/>
          <w:color w:val="000000"/>
          <w:sz w:val="20"/>
          <w:szCs w:val="20"/>
        </w:rPr>
        <w:t>).</w:t>
      </w:r>
    </w:p>
    <w:p w14:paraId="47E457C7" w14:textId="6A81EFC2" w:rsidR="00DC136E" w:rsidRPr="00DC136E" w:rsidRDefault="00DC136E" w:rsidP="00DC136E">
      <w:pPr>
        <w:autoSpaceDE w:val="0"/>
        <w:autoSpaceDN w:val="0"/>
        <w:adjustRightInd w:val="0"/>
        <w:spacing w:after="0" w:line="360" w:lineRule="auto"/>
        <w:jc w:val="both"/>
        <w:rPr>
          <w:rFonts w:ascii="Arial" w:eastAsiaTheme="minorEastAsia" w:hAnsi="Arial" w:cs="Arial"/>
          <w:color w:val="000000"/>
          <w:sz w:val="20"/>
          <w:szCs w:val="20"/>
        </w:rPr>
      </w:pPr>
      <w:r>
        <w:rPr>
          <w:rFonts w:ascii="Arial" w:eastAsiaTheme="minorEastAsia" w:hAnsi="Arial" w:cs="Arial"/>
          <w:color w:val="000000"/>
          <w:sz w:val="20"/>
          <w:szCs w:val="20"/>
        </w:rPr>
        <w:t>T</w:t>
      </w:r>
      <w:r w:rsidRPr="00DC136E">
        <w:rPr>
          <w:rFonts w:ascii="Arial" w:eastAsiaTheme="minorEastAsia" w:hAnsi="Arial" w:cs="Arial"/>
          <w:color w:val="000000"/>
          <w:sz w:val="20"/>
          <w:szCs w:val="20"/>
        </w:rPr>
        <w:t>able</w:t>
      </w:r>
      <w:r>
        <w:rPr>
          <w:rFonts w:ascii="Arial" w:eastAsiaTheme="minorEastAsia" w:hAnsi="Arial" w:cs="Arial"/>
          <w:color w:val="000000"/>
          <w:sz w:val="20"/>
          <w:szCs w:val="20"/>
        </w:rPr>
        <w:t xml:space="preserve"> 1</w:t>
      </w:r>
      <w:r w:rsidRPr="00DC136E">
        <w:rPr>
          <w:rFonts w:ascii="Arial" w:eastAsiaTheme="minorEastAsia" w:hAnsi="Arial" w:cs="Arial"/>
          <w:color w:val="000000"/>
          <w:sz w:val="20"/>
          <w:szCs w:val="20"/>
        </w:rPr>
        <w:t xml:space="preserve"> presents a comprehensive breakdown of the age distribution among small tea growers, segmented by farm size: marginal, small-scale, and medium. </w:t>
      </w:r>
    </w:p>
    <w:p w14:paraId="1E0844E3" w14:textId="77777777" w:rsidR="00DC136E" w:rsidRPr="00DC136E" w:rsidRDefault="00DC136E" w:rsidP="00DC136E">
      <w:pPr>
        <w:autoSpaceDE w:val="0"/>
        <w:autoSpaceDN w:val="0"/>
        <w:adjustRightInd w:val="0"/>
        <w:spacing w:after="0" w:line="360" w:lineRule="auto"/>
        <w:jc w:val="both"/>
        <w:rPr>
          <w:rFonts w:ascii="Arial" w:eastAsiaTheme="minorEastAsia" w:hAnsi="Arial" w:cs="Arial"/>
          <w:color w:val="000000"/>
          <w:sz w:val="20"/>
          <w:szCs w:val="20"/>
        </w:rPr>
      </w:pPr>
      <w:r w:rsidRPr="00DC136E">
        <w:rPr>
          <w:rFonts w:ascii="Arial" w:eastAsiaTheme="minorEastAsia" w:hAnsi="Arial" w:cs="Arial"/>
          <w:color w:val="000000"/>
          <w:sz w:val="20"/>
          <w:szCs w:val="20"/>
        </w:rPr>
        <w:t>The middle-aged category (30–50 years) comprised the largest segment of growers across all farm types, totalling 86 individuals, which represents about 43.7% of the entire sample. This age group was most prevalent among Marginal farmers (44 individuals), indicating that tea farming in this category was largely maintained by individuals in their economically productive years. Small-scale and Medium farmers also showed significant representation in this group, with 27 and 15 individuals respectively.</w:t>
      </w:r>
    </w:p>
    <w:p w14:paraId="3E4778E7" w14:textId="77777777" w:rsidR="00DC136E" w:rsidRPr="00DC136E" w:rsidRDefault="00DC136E" w:rsidP="00DC136E">
      <w:pPr>
        <w:autoSpaceDE w:val="0"/>
        <w:autoSpaceDN w:val="0"/>
        <w:adjustRightInd w:val="0"/>
        <w:spacing w:after="0" w:line="360" w:lineRule="auto"/>
        <w:jc w:val="both"/>
        <w:rPr>
          <w:rFonts w:ascii="Arial" w:eastAsiaTheme="minorEastAsia" w:hAnsi="Arial" w:cs="Arial"/>
          <w:color w:val="000000"/>
          <w:sz w:val="20"/>
          <w:szCs w:val="20"/>
        </w:rPr>
      </w:pPr>
      <w:r w:rsidRPr="00DC136E">
        <w:rPr>
          <w:rFonts w:ascii="Arial" w:eastAsiaTheme="minorEastAsia" w:hAnsi="Arial" w:cs="Arial"/>
          <w:color w:val="000000"/>
          <w:sz w:val="20"/>
          <w:szCs w:val="20"/>
        </w:rPr>
        <w:t xml:space="preserve">The youngest age group (&lt;30 years) was the least represented, with only 48 individuals (24.3%). This suggested a limited participation of younger generations in tea cultivation, a trend that may point to </w:t>
      </w:r>
      <w:r w:rsidRPr="00DC136E">
        <w:rPr>
          <w:rFonts w:ascii="Arial" w:eastAsiaTheme="minorEastAsia" w:hAnsi="Arial" w:cs="Arial"/>
          <w:color w:val="000000"/>
          <w:sz w:val="20"/>
          <w:szCs w:val="20"/>
        </w:rPr>
        <w:lastRenderedPageBreak/>
        <w:t>changing occupational preferences among youth. Within this group, Marginal farms accounted for the largest share (25 individuals), while medium farms had the smallest share (6 individuals), indicating that younger individuals were more likely to be involved in smaller-scale tea production.</w:t>
      </w:r>
    </w:p>
    <w:p w14:paraId="56F617D9" w14:textId="5F80EA70" w:rsidR="00DC136E" w:rsidRPr="00DC136E" w:rsidRDefault="00DC136E" w:rsidP="00DC136E">
      <w:pPr>
        <w:autoSpaceDE w:val="0"/>
        <w:autoSpaceDN w:val="0"/>
        <w:adjustRightInd w:val="0"/>
        <w:spacing w:after="0" w:line="360" w:lineRule="auto"/>
        <w:jc w:val="both"/>
        <w:rPr>
          <w:rFonts w:ascii="Arial" w:eastAsiaTheme="minorEastAsia" w:hAnsi="Arial" w:cs="Arial"/>
          <w:color w:val="000000"/>
          <w:sz w:val="20"/>
          <w:szCs w:val="20"/>
        </w:rPr>
      </w:pPr>
      <w:r w:rsidRPr="00DC136E">
        <w:rPr>
          <w:rFonts w:ascii="Arial" w:eastAsiaTheme="minorEastAsia" w:hAnsi="Arial" w:cs="Arial"/>
          <w:color w:val="000000"/>
          <w:sz w:val="20"/>
          <w:szCs w:val="20"/>
        </w:rPr>
        <w:t xml:space="preserve">The old age group (50 years and above) consisted of 63 individuals (32%), showing a significant presence of older farmers in the sector. </w:t>
      </w:r>
    </w:p>
    <w:p w14:paraId="39FDC92F" w14:textId="24BF7B13" w:rsidR="00DC136E" w:rsidRPr="00DC136E" w:rsidRDefault="00DC136E" w:rsidP="00DC136E">
      <w:pPr>
        <w:autoSpaceDE w:val="0"/>
        <w:autoSpaceDN w:val="0"/>
        <w:adjustRightInd w:val="0"/>
        <w:spacing w:after="0" w:line="360" w:lineRule="auto"/>
        <w:jc w:val="both"/>
        <w:rPr>
          <w:rFonts w:ascii="Arial" w:eastAsiaTheme="minorEastAsia" w:hAnsi="Arial" w:cs="Arial"/>
          <w:color w:val="000000"/>
          <w:sz w:val="20"/>
          <w:szCs w:val="20"/>
        </w:rPr>
      </w:pPr>
      <w:bookmarkStart w:id="3" w:name="_Hlk197274842"/>
      <w:r w:rsidRPr="00DC136E">
        <w:rPr>
          <w:rFonts w:ascii="Arial" w:eastAsiaTheme="minorEastAsia" w:hAnsi="Arial" w:cs="Arial"/>
          <w:color w:val="000000"/>
          <w:sz w:val="20"/>
          <w:szCs w:val="20"/>
        </w:rPr>
        <w:t>The analysis of the age</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composition of the</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small-tea</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 xml:space="preserve">growers indicated distinct predominance of middle-aged individuals (30–50 years) particularly within the marginal grower segment. Participation of young growers (below 30 years) was observed to be limited and their representation was seen to decline with an increase in the scale of operations. Small-scale holdings exhibited a relatively balanced distribution between middle-aged and older growers (50 years and above). The dominance of older age groups may be attributed to their accumulated experience, technical knowledge, and superior risk management capabilities all of which are considered crucial for sustaining tea cultivation. </w:t>
      </w:r>
    </w:p>
    <w:bookmarkEnd w:id="3"/>
    <w:p w14:paraId="5CD7E939" w14:textId="11E46BD1" w:rsidR="00DC136E" w:rsidRDefault="00DC136E" w:rsidP="00BF6EAA">
      <w:pPr>
        <w:autoSpaceDE w:val="0"/>
        <w:autoSpaceDN w:val="0"/>
        <w:adjustRightInd w:val="0"/>
        <w:spacing w:after="0" w:line="360" w:lineRule="auto"/>
        <w:jc w:val="both"/>
        <w:rPr>
          <w:rFonts w:ascii="Arial" w:eastAsiaTheme="minorEastAsia" w:hAnsi="Arial" w:cs="Arial"/>
          <w:b/>
          <w:bCs/>
          <w:color w:val="000000"/>
          <w:sz w:val="20"/>
          <w:szCs w:val="20"/>
        </w:rPr>
      </w:pPr>
      <w:r>
        <w:rPr>
          <w:rFonts w:ascii="Arial" w:eastAsiaTheme="minorEastAsia" w:hAnsi="Arial" w:cs="Arial"/>
          <w:b/>
          <w:bCs/>
          <w:color w:val="000000"/>
          <w:sz w:val="20"/>
          <w:szCs w:val="20"/>
        </w:rPr>
        <w:t>Table 1.: Age structure of the respondents of Tinsukia and Dibrugarh districts</w:t>
      </w:r>
    </w:p>
    <w:tbl>
      <w:tblPr>
        <w:tblStyle w:val="GridTable1Light-Accent3"/>
        <w:tblW w:w="9166" w:type="dxa"/>
        <w:jc w:val="center"/>
        <w:tblLook w:val="04A0" w:firstRow="1" w:lastRow="0" w:firstColumn="1" w:lastColumn="0" w:noHBand="0" w:noVBand="1"/>
      </w:tblPr>
      <w:tblGrid>
        <w:gridCol w:w="2707"/>
        <w:gridCol w:w="1655"/>
        <w:gridCol w:w="1628"/>
        <w:gridCol w:w="1613"/>
        <w:gridCol w:w="1563"/>
      </w:tblGrid>
      <w:tr w:rsidR="00DC136E" w:rsidRPr="00DC136E" w14:paraId="65ECE952" w14:textId="77777777" w:rsidTr="0044118F">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5D1B8D66" w14:textId="77777777" w:rsidR="00DC136E" w:rsidRPr="00DC136E" w:rsidRDefault="00DC136E" w:rsidP="0044118F">
            <w:pPr>
              <w:jc w:val="center"/>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Age structure</w:t>
            </w:r>
          </w:p>
        </w:tc>
        <w:tc>
          <w:tcPr>
            <w:tcW w:w="1655" w:type="dxa"/>
            <w:noWrap/>
            <w:vAlign w:val="center"/>
            <w:hideMark/>
          </w:tcPr>
          <w:p w14:paraId="050C59CD" w14:textId="77777777" w:rsidR="00DC136E" w:rsidRPr="00DC136E" w:rsidRDefault="00DC136E" w:rsidP="0044118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Marginal</w:t>
            </w:r>
          </w:p>
        </w:tc>
        <w:tc>
          <w:tcPr>
            <w:tcW w:w="1628" w:type="dxa"/>
            <w:noWrap/>
            <w:vAlign w:val="center"/>
            <w:hideMark/>
          </w:tcPr>
          <w:p w14:paraId="45DDB57C" w14:textId="77777777" w:rsidR="00DC136E" w:rsidRPr="00DC136E" w:rsidRDefault="00DC136E" w:rsidP="0044118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Small-scale</w:t>
            </w:r>
          </w:p>
        </w:tc>
        <w:tc>
          <w:tcPr>
            <w:tcW w:w="1613" w:type="dxa"/>
            <w:noWrap/>
            <w:vAlign w:val="center"/>
            <w:hideMark/>
          </w:tcPr>
          <w:p w14:paraId="65882FBC" w14:textId="77777777" w:rsidR="00DC136E" w:rsidRPr="00DC136E" w:rsidRDefault="00DC136E" w:rsidP="0044118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Medium</w:t>
            </w:r>
          </w:p>
        </w:tc>
        <w:tc>
          <w:tcPr>
            <w:tcW w:w="1563" w:type="dxa"/>
            <w:noWrap/>
            <w:vAlign w:val="center"/>
            <w:hideMark/>
          </w:tcPr>
          <w:p w14:paraId="349C2965" w14:textId="77777777" w:rsidR="00DC136E" w:rsidRPr="00DC136E" w:rsidRDefault="00DC136E" w:rsidP="0044118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Total</w:t>
            </w:r>
          </w:p>
        </w:tc>
      </w:tr>
      <w:tr w:rsidR="00DC136E" w:rsidRPr="00DC136E" w14:paraId="489C4F9B" w14:textId="77777777" w:rsidTr="0044118F">
        <w:trPr>
          <w:trHeight w:val="454"/>
          <w:jc w:val="center"/>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4CBFE2A1" w14:textId="77777777" w:rsidR="00DC136E" w:rsidRPr="00DC136E" w:rsidRDefault="00DC136E" w:rsidP="0044118F">
            <w:pPr>
              <w:jc w:val="center"/>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Young (&lt;30 years)</w:t>
            </w:r>
          </w:p>
        </w:tc>
        <w:tc>
          <w:tcPr>
            <w:tcW w:w="1655" w:type="dxa"/>
            <w:noWrap/>
            <w:vAlign w:val="center"/>
            <w:hideMark/>
          </w:tcPr>
          <w:p w14:paraId="78660D48"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25</w:t>
            </w:r>
          </w:p>
        </w:tc>
        <w:tc>
          <w:tcPr>
            <w:tcW w:w="1628" w:type="dxa"/>
            <w:noWrap/>
            <w:vAlign w:val="center"/>
            <w:hideMark/>
          </w:tcPr>
          <w:p w14:paraId="7E187857"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17</w:t>
            </w:r>
          </w:p>
        </w:tc>
        <w:tc>
          <w:tcPr>
            <w:tcW w:w="1613" w:type="dxa"/>
            <w:noWrap/>
            <w:vAlign w:val="center"/>
            <w:hideMark/>
          </w:tcPr>
          <w:p w14:paraId="0BCDA51C"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6</w:t>
            </w:r>
          </w:p>
        </w:tc>
        <w:tc>
          <w:tcPr>
            <w:tcW w:w="1563" w:type="dxa"/>
            <w:noWrap/>
            <w:vAlign w:val="center"/>
            <w:hideMark/>
          </w:tcPr>
          <w:p w14:paraId="6B43CE41"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48</w:t>
            </w:r>
          </w:p>
          <w:p w14:paraId="234C7E77"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(24.3)</w:t>
            </w:r>
          </w:p>
        </w:tc>
      </w:tr>
      <w:tr w:rsidR="00DC136E" w:rsidRPr="00DC136E" w14:paraId="67489854" w14:textId="77777777" w:rsidTr="0044118F">
        <w:trPr>
          <w:trHeight w:val="454"/>
          <w:jc w:val="center"/>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2FA6C5E0" w14:textId="77777777" w:rsidR="00DC136E" w:rsidRPr="00DC136E" w:rsidRDefault="00DC136E" w:rsidP="0044118F">
            <w:pPr>
              <w:jc w:val="center"/>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Middle age (30-50 years)</w:t>
            </w:r>
          </w:p>
        </w:tc>
        <w:tc>
          <w:tcPr>
            <w:tcW w:w="1655" w:type="dxa"/>
            <w:noWrap/>
            <w:vAlign w:val="center"/>
            <w:hideMark/>
          </w:tcPr>
          <w:p w14:paraId="2C01F0AD"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44</w:t>
            </w:r>
          </w:p>
        </w:tc>
        <w:tc>
          <w:tcPr>
            <w:tcW w:w="1628" w:type="dxa"/>
            <w:noWrap/>
            <w:vAlign w:val="center"/>
            <w:hideMark/>
          </w:tcPr>
          <w:p w14:paraId="617AEF91"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27</w:t>
            </w:r>
          </w:p>
        </w:tc>
        <w:tc>
          <w:tcPr>
            <w:tcW w:w="1613" w:type="dxa"/>
            <w:noWrap/>
            <w:vAlign w:val="center"/>
            <w:hideMark/>
          </w:tcPr>
          <w:p w14:paraId="44457BE5"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15</w:t>
            </w:r>
          </w:p>
        </w:tc>
        <w:tc>
          <w:tcPr>
            <w:tcW w:w="1563" w:type="dxa"/>
            <w:noWrap/>
            <w:vAlign w:val="center"/>
            <w:hideMark/>
          </w:tcPr>
          <w:p w14:paraId="38AEE173"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86</w:t>
            </w:r>
          </w:p>
          <w:p w14:paraId="280BC9C7"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(43.7)</w:t>
            </w:r>
          </w:p>
        </w:tc>
      </w:tr>
      <w:tr w:rsidR="00DC136E" w:rsidRPr="00DC136E" w14:paraId="374B9DA6" w14:textId="77777777" w:rsidTr="0044118F">
        <w:trPr>
          <w:trHeight w:val="454"/>
          <w:jc w:val="center"/>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6708C1D4" w14:textId="77777777" w:rsidR="00DC136E" w:rsidRPr="00DC136E" w:rsidRDefault="00DC136E" w:rsidP="0044118F">
            <w:pPr>
              <w:jc w:val="center"/>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Old (50 years and above)</w:t>
            </w:r>
          </w:p>
        </w:tc>
        <w:tc>
          <w:tcPr>
            <w:tcW w:w="1655" w:type="dxa"/>
            <w:noWrap/>
            <w:vAlign w:val="center"/>
            <w:hideMark/>
          </w:tcPr>
          <w:p w14:paraId="5600D0C2"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18</w:t>
            </w:r>
          </w:p>
        </w:tc>
        <w:tc>
          <w:tcPr>
            <w:tcW w:w="1628" w:type="dxa"/>
            <w:noWrap/>
            <w:vAlign w:val="center"/>
            <w:hideMark/>
          </w:tcPr>
          <w:p w14:paraId="78558E25"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29</w:t>
            </w:r>
          </w:p>
        </w:tc>
        <w:tc>
          <w:tcPr>
            <w:tcW w:w="1613" w:type="dxa"/>
            <w:noWrap/>
            <w:vAlign w:val="center"/>
            <w:hideMark/>
          </w:tcPr>
          <w:p w14:paraId="053B2252"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16</w:t>
            </w:r>
          </w:p>
        </w:tc>
        <w:tc>
          <w:tcPr>
            <w:tcW w:w="1563" w:type="dxa"/>
            <w:noWrap/>
            <w:vAlign w:val="center"/>
            <w:hideMark/>
          </w:tcPr>
          <w:p w14:paraId="48A06773"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63</w:t>
            </w:r>
          </w:p>
          <w:p w14:paraId="4CAD8171"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(32)</w:t>
            </w:r>
          </w:p>
        </w:tc>
      </w:tr>
      <w:tr w:rsidR="00DC136E" w:rsidRPr="00DC136E" w14:paraId="7A86FF23" w14:textId="77777777" w:rsidTr="0044118F">
        <w:trPr>
          <w:trHeight w:val="454"/>
          <w:jc w:val="center"/>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6AEBBBB9" w14:textId="77777777" w:rsidR="00DC136E" w:rsidRPr="00DC136E" w:rsidRDefault="00DC136E" w:rsidP="0044118F">
            <w:pPr>
              <w:jc w:val="center"/>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Total</w:t>
            </w:r>
          </w:p>
        </w:tc>
        <w:tc>
          <w:tcPr>
            <w:tcW w:w="1655" w:type="dxa"/>
            <w:noWrap/>
            <w:vAlign w:val="center"/>
            <w:hideMark/>
          </w:tcPr>
          <w:p w14:paraId="708DA0EA"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87</w:t>
            </w:r>
          </w:p>
        </w:tc>
        <w:tc>
          <w:tcPr>
            <w:tcW w:w="1628" w:type="dxa"/>
            <w:noWrap/>
            <w:vAlign w:val="center"/>
            <w:hideMark/>
          </w:tcPr>
          <w:p w14:paraId="046322D4"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73</w:t>
            </w:r>
          </w:p>
        </w:tc>
        <w:tc>
          <w:tcPr>
            <w:tcW w:w="1613" w:type="dxa"/>
            <w:noWrap/>
            <w:vAlign w:val="center"/>
            <w:hideMark/>
          </w:tcPr>
          <w:p w14:paraId="6A3BCF31"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37</w:t>
            </w:r>
          </w:p>
        </w:tc>
        <w:tc>
          <w:tcPr>
            <w:tcW w:w="1563" w:type="dxa"/>
            <w:noWrap/>
            <w:vAlign w:val="center"/>
            <w:hideMark/>
          </w:tcPr>
          <w:p w14:paraId="13888323"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197</w:t>
            </w:r>
          </w:p>
          <w:p w14:paraId="771BA49C"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(100)</w:t>
            </w:r>
          </w:p>
        </w:tc>
      </w:tr>
    </w:tbl>
    <w:p w14:paraId="55EB0C5E" w14:textId="11930FAF" w:rsidR="00BF6EAA" w:rsidRDefault="00DC136E" w:rsidP="00BF6EAA">
      <w:pPr>
        <w:autoSpaceDE w:val="0"/>
        <w:autoSpaceDN w:val="0"/>
        <w:adjustRightInd w:val="0"/>
        <w:spacing w:after="0" w:line="360" w:lineRule="auto"/>
        <w:jc w:val="both"/>
        <w:rPr>
          <w:rFonts w:ascii="Arial" w:hAnsi="Arial" w:cs="Arial"/>
          <w:i/>
          <w:iCs/>
          <w:color w:val="0D0D0D"/>
          <w:kern w:val="0"/>
          <w:sz w:val="20"/>
          <w:szCs w:val="20"/>
        </w:rPr>
      </w:pPr>
      <w:r w:rsidRPr="00DC136E">
        <w:rPr>
          <w:rFonts w:ascii="Arial" w:hAnsi="Arial" w:cs="Arial"/>
          <w:color w:val="0D0D0D"/>
          <w:kern w:val="0"/>
          <w:sz w:val="20"/>
          <w:szCs w:val="20"/>
        </w:rPr>
        <w:t>*</w:t>
      </w:r>
      <w:r w:rsidRPr="00DC136E">
        <w:rPr>
          <w:rFonts w:ascii="Arial" w:hAnsi="Arial" w:cs="Arial"/>
          <w:i/>
          <w:iCs/>
          <w:color w:val="0D0D0D"/>
          <w:kern w:val="0"/>
          <w:sz w:val="20"/>
          <w:szCs w:val="20"/>
        </w:rPr>
        <w:t>Figures in parentheses represent percentage</w:t>
      </w:r>
    </w:p>
    <w:p w14:paraId="5649BD06" w14:textId="77777777" w:rsidR="00DC136E" w:rsidRPr="00DC136E" w:rsidRDefault="00DC136E" w:rsidP="00DC136E">
      <w:pPr>
        <w:spacing w:line="360" w:lineRule="auto"/>
        <w:jc w:val="both"/>
        <w:rPr>
          <w:rFonts w:ascii="Arial" w:hAnsi="Arial" w:cs="Arial"/>
          <w:color w:val="0D0D0D"/>
          <w:kern w:val="0"/>
          <w:sz w:val="20"/>
          <w:szCs w:val="20"/>
        </w:rPr>
      </w:pPr>
      <w:r w:rsidRPr="00DC136E">
        <w:rPr>
          <w:rFonts w:ascii="Arial" w:hAnsi="Arial" w:cs="Arial"/>
          <w:color w:val="0D0D0D"/>
          <w:kern w:val="0"/>
          <w:sz w:val="20"/>
          <w:szCs w:val="20"/>
        </w:rPr>
        <w:t>A chi-</w:t>
      </w:r>
      <w:proofErr w:type="spellStart"/>
      <w:r w:rsidRPr="00DC136E">
        <w:rPr>
          <w:rFonts w:ascii="Arial" w:hAnsi="Arial" w:cs="Arial"/>
          <w:color w:val="0D0D0D"/>
          <w:kern w:val="0"/>
          <w:sz w:val="20"/>
          <w:szCs w:val="20"/>
        </w:rPr>
        <w:t>square</w:t>
      </w:r>
      <w:r w:rsidRPr="00DC136E">
        <w:rPr>
          <w:rFonts w:ascii="Arial" w:hAnsi="Arial" w:cs="Arial"/>
          <w:color w:val="FFFFFF" w:themeColor="background1"/>
          <w:kern w:val="0"/>
          <w:sz w:val="20"/>
          <w:szCs w:val="20"/>
        </w:rPr>
        <w:t>_</w:t>
      </w:r>
      <w:r w:rsidRPr="00DC136E">
        <w:rPr>
          <w:rFonts w:ascii="Arial" w:hAnsi="Arial" w:cs="Arial"/>
          <w:color w:val="0D0D0D"/>
          <w:kern w:val="0"/>
          <w:sz w:val="20"/>
          <w:szCs w:val="20"/>
        </w:rPr>
        <w:t>analysis</w:t>
      </w:r>
      <w:proofErr w:type="spellEnd"/>
      <w:r w:rsidRPr="00DC136E">
        <w:rPr>
          <w:rFonts w:ascii="Arial" w:hAnsi="Arial" w:cs="Arial"/>
          <w:color w:val="0D0D0D"/>
          <w:kern w:val="0"/>
          <w:sz w:val="20"/>
          <w:szCs w:val="20"/>
        </w:rPr>
        <w:t xml:space="preserve"> was used to </w:t>
      </w:r>
      <w:proofErr w:type="spellStart"/>
      <w:r w:rsidRPr="00DC136E">
        <w:rPr>
          <w:rFonts w:ascii="Arial" w:hAnsi="Arial" w:cs="Arial"/>
          <w:color w:val="0D0D0D"/>
          <w:kern w:val="0"/>
          <w:sz w:val="20"/>
          <w:szCs w:val="20"/>
        </w:rPr>
        <w:t>determine</w:t>
      </w:r>
      <w:r w:rsidRPr="00DC136E">
        <w:rPr>
          <w:rFonts w:ascii="Arial" w:hAnsi="Arial" w:cs="Arial"/>
          <w:color w:val="FFFFFF" w:themeColor="background1"/>
          <w:kern w:val="0"/>
          <w:sz w:val="20"/>
          <w:szCs w:val="20"/>
        </w:rPr>
        <w:t>_</w:t>
      </w:r>
      <w:r w:rsidRPr="00DC136E">
        <w:rPr>
          <w:rFonts w:ascii="Arial" w:hAnsi="Arial" w:cs="Arial"/>
          <w:color w:val="0D0D0D"/>
          <w:kern w:val="0"/>
          <w:sz w:val="20"/>
          <w:szCs w:val="20"/>
        </w:rPr>
        <w:t>relationship</w:t>
      </w:r>
      <w:r w:rsidRPr="00DC136E">
        <w:rPr>
          <w:rFonts w:ascii="Arial" w:hAnsi="Arial" w:cs="Arial"/>
          <w:color w:val="FFFFFF" w:themeColor="background1"/>
          <w:kern w:val="0"/>
          <w:sz w:val="20"/>
          <w:szCs w:val="20"/>
        </w:rPr>
        <w:t>_</w:t>
      </w:r>
      <w:r w:rsidRPr="00DC136E">
        <w:rPr>
          <w:rFonts w:ascii="Arial" w:hAnsi="Arial" w:cs="Arial"/>
          <w:color w:val="0D0D0D"/>
          <w:kern w:val="0"/>
          <w:sz w:val="20"/>
          <w:szCs w:val="20"/>
        </w:rPr>
        <w:t>between</w:t>
      </w:r>
      <w:proofErr w:type="spellEnd"/>
      <w:r w:rsidRPr="00DC136E">
        <w:rPr>
          <w:rFonts w:ascii="Arial" w:hAnsi="Arial" w:cs="Arial"/>
          <w:color w:val="0D0D0D"/>
          <w:kern w:val="0"/>
          <w:sz w:val="20"/>
          <w:szCs w:val="20"/>
        </w:rPr>
        <w:t xml:space="preserve"> landholding groups and age of respondents on the combined dataset of Tinsukia and Dibrugarh districts. The test results are as follows:</w:t>
      </w:r>
    </w:p>
    <w:p w14:paraId="65E57D2C" w14:textId="17AEFAE0" w:rsidR="00DC136E" w:rsidRPr="00DC136E" w:rsidRDefault="00DC136E" w:rsidP="00DC136E">
      <w:pPr>
        <w:pStyle w:val="ListParagraph"/>
        <w:numPr>
          <w:ilvl w:val="0"/>
          <w:numId w:val="5"/>
        </w:numPr>
        <w:spacing w:line="360" w:lineRule="auto"/>
        <w:jc w:val="both"/>
        <w:rPr>
          <w:rFonts w:ascii="Arial" w:hAnsi="Arial" w:cs="Arial"/>
          <w:color w:val="0D0D0D"/>
          <w:kern w:val="0"/>
          <w:sz w:val="20"/>
          <w:szCs w:val="20"/>
        </w:rPr>
      </w:pPr>
      <w:r w:rsidRPr="00DC136E">
        <w:rPr>
          <w:rFonts w:ascii="Arial" w:hAnsi="Arial" w:cs="Arial"/>
          <w:color w:val="0D0D0D"/>
          <w:kern w:val="0"/>
          <w:sz w:val="20"/>
          <w:szCs w:val="20"/>
        </w:rPr>
        <w:t>Chi-square statistic (</w:t>
      </w:r>
      <m:oMath>
        <m:sSup>
          <m:sSupPr>
            <m:ctrlPr>
              <w:rPr>
                <w:rFonts w:ascii="Cambria Math" w:hAnsi="Cambria Math" w:cs="Arial"/>
                <w:i/>
                <w:color w:val="0D0D0D"/>
                <w:kern w:val="0"/>
                <w:sz w:val="20"/>
                <w:szCs w:val="20"/>
              </w:rPr>
            </m:ctrlPr>
          </m:sSupPr>
          <m:e>
            <m:r>
              <w:rPr>
                <w:rFonts w:ascii="Cambria Math" w:hAnsi="Cambria Math" w:cs="Arial"/>
                <w:color w:val="0D0D0D"/>
                <w:kern w:val="0"/>
                <w:sz w:val="20"/>
                <w:szCs w:val="20"/>
              </w:rPr>
              <m:t>χ</m:t>
            </m:r>
          </m:e>
          <m:sup>
            <m:r>
              <w:rPr>
                <w:rFonts w:ascii="Cambria Math" w:hAnsi="Cambria Math" w:cs="Arial"/>
                <w:color w:val="0D0D0D"/>
                <w:kern w:val="0"/>
                <w:sz w:val="20"/>
                <w:szCs w:val="20"/>
              </w:rPr>
              <m:t>2</m:t>
            </m:r>
          </m:sup>
        </m:sSup>
        <m:r>
          <w:rPr>
            <w:rFonts w:ascii="Cambria Math" w:hAnsi="Cambria Math" w:cs="Arial"/>
            <w:color w:val="0D0D0D"/>
            <w:kern w:val="0"/>
            <w:sz w:val="20"/>
            <w:szCs w:val="20"/>
          </w:rPr>
          <m:t>)</m:t>
        </m:r>
      </m:oMath>
      <w:r w:rsidRPr="00DC136E">
        <w:rPr>
          <w:rFonts w:ascii="Arial" w:eastAsiaTheme="minorEastAsia" w:hAnsi="Arial" w:cs="Arial"/>
          <w:color w:val="0D0D0D"/>
          <w:kern w:val="0"/>
          <w:sz w:val="20"/>
          <w:szCs w:val="20"/>
        </w:rPr>
        <w:t xml:space="preserve">= </w:t>
      </w:r>
      <w:r w:rsidR="007343DD">
        <w:rPr>
          <w:rFonts w:ascii="Arial" w:eastAsiaTheme="minorEastAsia" w:hAnsi="Arial" w:cs="Arial"/>
          <w:color w:val="0D0D0D"/>
          <w:kern w:val="0"/>
          <w:sz w:val="20"/>
          <w:szCs w:val="20"/>
        </w:rPr>
        <w:t>9.81</w:t>
      </w:r>
    </w:p>
    <w:p w14:paraId="2FFFF3B3" w14:textId="79150905" w:rsidR="00DC136E" w:rsidRPr="00DC136E" w:rsidRDefault="00DC136E" w:rsidP="00DC136E">
      <w:pPr>
        <w:pStyle w:val="ListParagraph"/>
        <w:numPr>
          <w:ilvl w:val="0"/>
          <w:numId w:val="5"/>
        </w:numPr>
        <w:spacing w:line="360" w:lineRule="auto"/>
        <w:jc w:val="both"/>
        <w:rPr>
          <w:rFonts w:ascii="Arial" w:hAnsi="Arial" w:cs="Arial"/>
          <w:color w:val="0D0D0D"/>
          <w:kern w:val="0"/>
          <w:sz w:val="20"/>
          <w:szCs w:val="20"/>
        </w:rPr>
      </w:pPr>
      <w:r w:rsidRPr="00DC136E">
        <w:rPr>
          <w:rFonts w:ascii="Arial" w:eastAsiaTheme="minorEastAsia" w:hAnsi="Arial" w:cs="Arial"/>
          <w:i/>
          <w:iCs/>
          <w:color w:val="0D0D0D"/>
          <w:kern w:val="0"/>
          <w:sz w:val="20"/>
          <w:szCs w:val="20"/>
        </w:rPr>
        <w:t>p-</w:t>
      </w:r>
      <w:r w:rsidRPr="00DC136E">
        <w:rPr>
          <w:rFonts w:ascii="Arial" w:eastAsiaTheme="minorEastAsia" w:hAnsi="Arial" w:cs="Arial"/>
          <w:color w:val="0D0D0D"/>
          <w:kern w:val="0"/>
          <w:sz w:val="20"/>
          <w:szCs w:val="20"/>
        </w:rPr>
        <w:t>value= 0.0</w:t>
      </w:r>
      <w:r w:rsidR="007343DD">
        <w:rPr>
          <w:rFonts w:ascii="Arial" w:eastAsiaTheme="minorEastAsia" w:hAnsi="Arial" w:cs="Arial"/>
          <w:color w:val="0D0D0D"/>
          <w:kern w:val="0"/>
          <w:sz w:val="20"/>
          <w:szCs w:val="20"/>
        </w:rPr>
        <w:t>43</w:t>
      </w:r>
    </w:p>
    <w:p w14:paraId="0934F764" w14:textId="77777777" w:rsidR="00DC136E" w:rsidRPr="00DC136E" w:rsidRDefault="00DC136E" w:rsidP="00DC136E">
      <w:pPr>
        <w:pStyle w:val="ListParagraph"/>
        <w:numPr>
          <w:ilvl w:val="0"/>
          <w:numId w:val="5"/>
        </w:numPr>
        <w:spacing w:line="360" w:lineRule="auto"/>
        <w:jc w:val="both"/>
        <w:rPr>
          <w:rFonts w:ascii="Arial" w:hAnsi="Arial" w:cs="Arial"/>
          <w:color w:val="0D0D0D"/>
          <w:kern w:val="0"/>
          <w:sz w:val="20"/>
          <w:szCs w:val="20"/>
        </w:rPr>
      </w:pPr>
      <w:r w:rsidRPr="00DC136E">
        <w:rPr>
          <w:rFonts w:ascii="Arial" w:eastAsiaTheme="minorEastAsia" w:hAnsi="Arial" w:cs="Arial"/>
          <w:color w:val="0D0D0D"/>
          <w:kern w:val="0"/>
          <w:sz w:val="20"/>
          <w:szCs w:val="20"/>
        </w:rPr>
        <w:t>Degrees</w:t>
      </w:r>
      <w:r w:rsidRPr="00DC136E">
        <w:rPr>
          <w:rFonts w:ascii="Arial" w:eastAsiaTheme="minorEastAsia" w:hAnsi="Arial" w:cs="Arial"/>
          <w:color w:val="FFFFFF" w:themeColor="background1"/>
          <w:kern w:val="0"/>
          <w:sz w:val="20"/>
          <w:szCs w:val="20"/>
        </w:rPr>
        <w:t>-</w:t>
      </w:r>
      <w:r w:rsidRPr="00DC136E">
        <w:rPr>
          <w:rFonts w:ascii="Arial" w:eastAsiaTheme="minorEastAsia" w:hAnsi="Arial" w:cs="Arial"/>
          <w:color w:val="0D0D0D"/>
          <w:kern w:val="0"/>
          <w:sz w:val="20"/>
          <w:szCs w:val="20"/>
        </w:rPr>
        <w:t>of</w:t>
      </w:r>
      <w:r w:rsidRPr="00DC136E">
        <w:rPr>
          <w:rFonts w:ascii="Arial" w:eastAsiaTheme="minorEastAsia" w:hAnsi="Arial" w:cs="Arial"/>
          <w:color w:val="FFFFFF" w:themeColor="background1"/>
          <w:kern w:val="0"/>
          <w:sz w:val="20"/>
          <w:szCs w:val="20"/>
        </w:rPr>
        <w:t>-</w:t>
      </w:r>
      <w:r w:rsidRPr="00DC136E">
        <w:rPr>
          <w:rFonts w:ascii="Arial" w:eastAsiaTheme="minorEastAsia" w:hAnsi="Arial" w:cs="Arial"/>
          <w:color w:val="0D0D0D"/>
          <w:kern w:val="0"/>
          <w:sz w:val="20"/>
          <w:szCs w:val="20"/>
        </w:rPr>
        <w:t>freedom= 4</w:t>
      </w:r>
    </w:p>
    <w:p w14:paraId="5003773E" w14:textId="094524DE" w:rsidR="00DC136E" w:rsidRPr="00DC136E" w:rsidRDefault="00DC136E" w:rsidP="00DC136E">
      <w:pPr>
        <w:spacing w:line="360" w:lineRule="auto"/>
        <w:jc w:val="both"/>
        <w:rPr>
          <w:rFonts w:ascii="Arial" w:hAnsi="Arial" w:cs="Arial"/>
          <w:color w:val="0D0D0D"/>
          <w:kern w:val="0"/>
          <w:sz w:val="20"/>
          <w:szCs w:val="20"/>
        </w:rPr>
      </w:pPr>
      <w:r w:rsidRPr="00DC136E">
        <w:rPr>
          <w:rFonts w:ascii="Arial" w:hAnsi="Arial" w:cs="Arial"/>
          <w:color w:val="0D0D0D"/>
          <w:kern w:val="0"/>
          <w:sz w:val="20"/>
          <w:szCs w:val="20"/>
        </w:rPr>
        <w:t xml:space="preserve"> </w:t>
      </w:r>
      <w:r w:rsidRPr="00DC136E">
        <w:rPr>
          <w:rFonts w:ascii="Arial" w:hAnsi="Arial" w:cs="Arial"/>
          <w:i/>
          <w:iCs/>
          <w:color w:val="0D0D0D"/>
          <w:kern w:val="0"/>
          <w:sz w:val="20"/>
          <w:szCs w:val="20"/>
        </w:rPr>
        <w:t>p</w:t>
      </w:r>
      <w:r w:rsidRPr="00DC136E">
        <w:rPr>
          <w:rFonts w:ascii="Arial" w:hAnsi="Arial" w:cs="Arial"/>
          <w:color w:val="0D0D0D"/>
          <w:kern w:val="0"/>
          <w:sz w:val="20"/>
          <w:szCs w:val="20"/>
        </w:rPr>
        <w:t>-value for the dataset is 0.0</w:t>
      </w:r>
      <w:r w:rsidR="007343DD">
        <w:rPr>
          <w:rFonts w:ascii="Arial" w:hAnsi="Arial" w:cs="Arial"/>
          <w:color w:val="0D0D0D"/>
          <w:kern w:val="0"/>
          <w:sz w:val="20"/>
          <w:szCs w:val="20"/>
        </w:rPr>
        <w:t>43</w:t>
      </w:r>
      <w:r w:rsidRPr="00DC136E">
        <w:rPr>
          <w:rFonts w:ascii="Arial" w:hAnsi="Arial" w:cs="Arial"/>
          <w:color w:val="0D0D0D"/>
          <w:kern w:val="0"/>
          <w:sz w:val="20"/>
          <w:szCs w:val="20"/>
        </w:rPr>
        <w:t xml:space="preserve"> that is lower than 0.05, thus, there exists a significant relationship between age and landholding categories at 5% significance level. This</w:t>
      </w:r>
      <w:r w:rsidRPr="00DC136E">
        <w:rPr>
          <w:rFonts w:ascii="Arial" w:hAnsi="Arial" w:cs="Arial"/>
          <w:color w:val="FFFFFF" w:themeColor="background1"/>
          <w:kern w:val="0"/>
          <w:sz w:val="20"/>
          <w:szCs w:val="20"/>
        </w:rPr>
        <w:t>_</w:t>
      </w:r>
      <w:r w:rsidRPr="00DC136E">
        <w:rPr>
          <w:rFonts w:ascii="Arial" w:hAnsi="Arial" w:cs="Arial"/>
          <w:color w:val="0D0D0D"/>
          <w:kern w:val="0"/>
          <w:sz w:val="20"/>
          <w:szCs w:val="20"/>
        </w:rPr>
        <w:t xml:space="preserve"> shows</w:t>
      </w:r>
      <w:r w:rsidR="001A2C7C">
        <w:rPr>
          <w:rFonts w:ascii="Arial" w:hAnsi="Arial" w:cs="Arial"/>
          <w:color w:val="FFFFFF" w:themeColor="background1"/>
          <w:kern w:val="0"/>
          <w:sz w:val="20"/>
          <w:szCs w:val="20"/>
        </w:rPr>
        <w:t xml:space="preserve"> </w:t>
      </w:r>
      <w:r w:rsidRPr="00DC136E">
        <w:rPr>
          <w:rFonts w:ascii="Arial" w:hAnsi="Arial" w:cs="Arial"/>
          <w:color w:val="0D0D0D"/>
          <w:kern w:val="0"/>
          <w:sz w:val="20"/>
          <w:szCs w:val="20"/>
        </w:rPr>
        <w:t>that</w:t>
      </w:r>
      <w:r w:rsidR="001A2C7C">
        <w:rPr>
          <w:rFonts w:ascii="Arial" w:hAnsi="Arial" w:cs="Arial"/>
          <w:color w:val="0D0D0D"/>
          <w:kern w:val="0"/>
          <w:sz w:val="20"/>
          <w:szCs w:val="20"/>
        </w:rPr>
        <w:t xml:space="preserve"> </w:t>
      </w:r>
      <w:r w:rsidRPr="00DC136E">
        <w:rPr>
          <w:rFonts w:ascii="Arial" w:hAnsi="Arial" w:cs="Arial"/>
          <w:color w:val="0D0D0D"/>
          <w:kern w:val="0"/>
          <w:sz w:val="20"/>
          <w:szCs w:val="20"/>
        </w:rPr>
        <w:t>age and landholding pattern are dependent and show distinct patterns.</w:t>
      </w:r>
    </w:p>
    <w:p w14:paraId="482ECEE2" w14:textId="6DD8F32F" w:rsidR="00DC136E" w:rsidRDefault="00DC136E" w:rsidP="00BF6EAA">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 xml:space="preserve">3.2. </w:t>
      </w:r>
      <w:r w:rsidR="007343DD">
        <w:rPr>
          <w:rFonts w:ascii="Arial" w:hAnsi="Arial" w:cs="Arial"/>
          <w:b/>
          <w:bCs/>
          <w:color w:val="0D0D0D"/>
          <w:kern w:val="0"/>
          <w:sz w:val="20"/>
          <w:szCs w:val="20"/>
        </w:rPr>
        <w:t>Family size</w:t>
      </w:r>
    </w:p>
    <w:p w14:paraId="6782489C" w14:textId="4DC11CD0" w:rsidR="007343DD" w:rsidRDefault="007343DD" w:rsidP="007343DD">
      <w:pPr>
        <w:autoSpaceDE w:val="0"/>
        <w:autoSpaceDN w:val="0"/>
        <w:adjustRightInd w:val="0"/>
        <w:spacing w:after="0" w:line="360" w:lineRule="auto"/>
        <w:jc w:val="both"/>
        <w:rPr>
          <w:rFonts w:ascii="Arial" w:hAnsi="Arial" w:cs="Arial"/>
          <w:color w:val="0D0D0D"/>
          <w:kern w:val="0"/>
          <w:sz w:val="20"/>
          <w:szCs w:val="20"/>
        </w:rPr>
      </w:pPr>
      <w:r w:rsidRPr="007343DD">
        <w:rPr>
          <w:rFonts w:ascii="Arial" w:hAnsi="Arial" w:cs="Arial"/>
          <w:color w:val="0D0D0D"/>
          <w:kern w:val="0"/>
          <w:sz w:val="20"/>
          <w:szCs w:val="20"/>
        </w:rPr>
        <w:t xml:space="preserve">The unit size of a family significantly affects economic </w:t>
      </w:r>
      <w:proofErr w:type="spellStart"/>
      <w:r w:rsidRPr="007343DD">
        <w:rPr>
          <w:rFonts w:ascii="Arial" w:hAnsi="Arial" w:cs="Arial"/>
          <w:color w:val="0D0D0D"/>
          <w:kern w:val="0"/>
          <w:sz w:val="20"/>
          <w:szCs w:val="20"/>
        </w:rPr>
        <w:t>behavior</w:t>
      </w:r>
      <w:proofErr w:type="spellEnd"/>
      <w:r w:rsidRPr="007343DD">
        <w:rPr>
          <w:rFonts w:ascii="Arial" w:hAnsi="Arial" w:cs="Arial"/>
          <w:color w:val="0D0D0D"/>
          <w:kern w:val="0"/>
          <w:sz w:val="20"/>
          <w:szCs w:val="20"/>
        </w:rPr>
        <w:t>. To examine this, the participants were divided into three groups: small</w:t>
      </w:r>
      <w:r>
        <w:rPr>
          <w:rFonts w:ascii="Arial" w:hAnsi="Arial" w:cs="Arial"/>
          <w:color w:val="0D0D0D"/>
          <w:kern w:val="0"/>
          <w:sz w:val="20"/>
          <w:szCs w:val="20"/>
        </w:rPr>
        <w:t xml:space="preserve"> </w:t>
      </w:r>
      <w:r w:rsidRPr="007343DD">
        <w:rPr>
          <w:rFonts w:ascii="Arial" w:hAnsi="Arial" w:cs="Arial"/>
          <w:color w:val="0D0D0D"/>
          <w:kern w:val="0"/>
          <w:sz w:val="20"/>
          <w:szCs w:val="20"/>
        </w:rPr>
        <w:t>(&lt;=4 members), medium (5</w:t>
      </w:r>
      <w:r>
        <w:rPr>
          <w:rFonts w:ascii="Arial" w:hAnsi="Arial" w:cs="Arial"/>
          <w:color w:val="0D0D0D"/>
          <w:kern w:val="0"/>
          <w:sz w:val="20"/>
          <w:szCs w:val="20"/>
        </w:rPr>
        <w:t>-</w:t>
      </w:r>
      <w:r w:rsidRPr="007343DD">
        <w:rPr>
          <w:rFonts w:ascii="Arial" w:hAnsi="Arial" w:cs="Arial"/>
          <w:color w:val="0D0D0D"/>
          <w:kern w:val="0"/>
          <w:sz w:val="20"/>
          <w:szCs w:val="20"/>
        </w:rPr>
        <w:t>7 members), and,</w:t>
      </w:r>
      <w:r>
        <w:rPr>
          <w:rFonts w:ascii="Arial" w:hAnsi="Arial" w:cs="Arial"/>
          <w:color w:val="0D0D0D"/>
          <w:kern w:val="0"/>
          <w:sz w:val="20"/>
          <w:szCs w:val="20"/>
        </w:rPr>
        <w:t xml:space="preserve"> </w:t>
      </w:r>
      <w:r w:rsidRPr="007343DD">
        <w:rPr>
          <w:rFonts w:ascii="Arial" w:hAnsi="Arial" w:cs="Arial"/>
          <w:color w:val="0D0D0D"/>
          <w:kern w:val="0"/>
          <w:sz w:val="20"/>
          <w:szCs w:val="20"/>
        </w:rPr>
        <w:t>large (more than 7-members). Below is the characterization of the sample respondents based on family size</w:t>
      </w:r>
      <w:r>
        <w:rPr>
          <w:rFonts w:ascii="Arial" w:hAnsi="Arial" w:cs="Arial"/>
          <w:color w:val="0D0D0D"/>
          <w:kern w:val="0"/>
          <w:sz w:val="20"/>
          <w:szCs w:val="20"/>
        </w:rPr>
        <w:t xml:space="preserve"> (Table 2.).</w:t>
      </w:r>
    </w:p>
    <w:p w14:paraId="7C0ACE77" w14:textId="77777777" w:rsidR="007343DD" w:rsidRDefault="007343DD" w:rsidP="007343DD">
      <w:pPr>
        <w:autoSpaceDE w:val="0"/>
        <w:autoSpaceDN w:val="0"/>
        <w:adjustRightInd w:val="0"/>
        <w:spacing w:after="0" w:line="360" w:lineRule="auto"/>
        <w:jc w:val="both"/>
        <w:rPr>
          <w:rFonts w:ascii="Arial" w:hAnsi="Arial" w:cs="Arial"/>
          <w:color w:val="0D0D0D"/>
          <w:kern w:val="0"/>
          <w:sz w:val="20"/>
          <w:szCs w:val="20"/>
        </w:rPr>
      </w:pPr>
    </w:p>
    <w:p w14:paraId="04DBA4D0" w14:textId="77777777" w:rsidR="007343DD" w:rsidRPr="007343DD" w:rsidRDefault="007343DD" w:rsidP="007343DD">
      <w:pPr>
        <w:autoSpaceDE w:val="0"/>
        <w:autoSpaceDN w:val="0"/>
        <w:adjustRightInd w:val="0"/>
        <w:spacing w:after="0" w:line="360" w:lineRule="auto"/>
        <w:jc w:val="both"/>
        <w:rPr>
          <w:rFonts w:ascii="Arial" w:hAnsi="Arial" w:cs="Arial"/>
          <w:color w:val="0D0D0D"/>
          <w:kern w:val="0"/>
          <w:sz w:val="20"/>
          <w:szCs w:val="20"/>
        </w:rPr>
      </w:pPr>
      <w:r w:rsidRPr="007343DD">
        <w:rPr>
          <w:rFonts w:ascii="Arial" w:hAnsi="Arial" w:cs="Arial"/>
          <w:color w:val="0D0D0D"/>
          <w:kern w:val="0"/>
          <w:sz w:val="20"/>
          <w:szCs w:val="20"/>
        </w:rPr>
        <w:t xml:space="preserve">The data revealed that small families (≤4 members) constituted the largest proportion of the sample, accounting for 100 households, which is approximately 50.8% of the total population. This was followed by medium-sized families (5–7 members) with 69 households (35%), and large families (&gt;7 members) </w:t>
      </w:r>
      <w:r w:rsidRPr="007343DD">
        <w:rPr>
          <w:rFonts w:ascii="Arial" w:hAnsi="Arial" w:cs="Arial"/>
          <w:color w:val="0D0D0D"/>
          <w:kern w:val="0"/>
          <w:sz w:val="20"/>
          <w:szCs w:val="20"/>
        </w:rPr>
        <w:lastRenderedPageBreak/>
        <w:t>representing the smallest group with 28 households (14.2%). This distribution suggested a demographic trend toward nuclear or smaller family units among farming households in the region.</w:t>
      </w:r>
    </w:p>
    <w:p w14:paraId="794E7CDA" w14:textId="3DDDB053" w:rsidR="007343DD" w:rsidRDefault="007343DD" w:rsidP="007343DD">
      <w:pPr>
        <w:autoSpaceDE w:val="0"/>
        <w:autoSpaceDN w:val="0"/>
        <w:adjustRightInd w:val="0"/>
        <w:spacing w:after="0" w:line="360" w:lineRule="auto"/>
        <w:jc w:val="both"/>
        <w:rPr>
          <w:rFonts w:ascii="Arial" w:hAnsi="Arial" w:cs="Arial"/>
          <w:color w:val="0D0D0D"/>
          <w:kern w:val="0"/>
          <w:sz w:val="20"/>
          <w:szCs w:val="20"/>
        </w:rPr>
      </w:pPr>
      <w:r w:rsidRPr="007343DD">
        <w:rPr>
          <w:rFonts w:ascii="Arial" w:hAnsi="Arial" w:cs="Arial"/>
          <w:color w:val="0D0D0D"/>
          <w:kern w:val="0"/>
          <w:sz w:val="20"/>
          <w:szCs w:val="20"/>
        </w:rPr>
        <w:t>The family size distribution of small-tea growers showed the dominance of smaller families across all categories of the growers. Among marginal, small-scale, and medium growers, the majority belonged to the small family group (up to 4 members), the highest proportion being seen was among marginal growers. Medium-sized families (5–7 members) were moderately represented while large families (more than 7 members) were rare across all categories. It was observed that as the scale of tea cultivation increased from marginal to medium, the overall number of growers in each family size category was tending to decrease. This suggested that smaller family units were common characteristic amongst</w:t>
      </w:r>
      <w:r w:rsidR="00D40596">
        <w:rPr>
          <w:rFonts w:ascii="Arial" w:hAnsi="Arial" w:cs="Arial"/>
          <w:color w:val="0D0D0D"/>
          <w:kern w:val="0"/>
          <w:sz w:val="20"/>
          <w:szCs w:val="20"/>
        </w:rPr>
        <w:t xml:space="preserve"> </w:t>
      </w:r>
      <w:r w:rsidRPr="007343DD">
        <w:rPr>
          <w:rFonts w:ascii="Arial" w:hAnsi="Arial" w:cs="Arial"/>
          <w:color w:val="0D0D0D"/>
          <w:kern w:val="0"/>
          <w:sz w:val="20"/>
          <w:szCs w:val="20"/>
        </w:rPr>
        <w:t>the</w:t>
      </w:r>
      <w:r w:rsidR="00D40596">
        <w:rPr>
          <w:rFonts w:ascii="Arial" w:hAnsi="Arial" w:cs="Arial"/>
          <w:color w:val="0D0D0D"/>
          <w:kern w:val="0"/>
          <w:sz w:val="20"/>
          <w:szCs w:val="20"/>
        </w:rPr>
        <w:t xml:space="preserve"> </w:t>
      </w:r>
      <w:r w:rsidRPr="007343DD">
        <w:rPr>
          <w:rFonts w:ascii="Arial" w:hAnsi="Arial" w:cs="Arial"/>
          <w:color w:val="0D0D0D"/>
          <w:kern w:val="0"/>
          <w:sz w:val="20"/>
          <w:szCs w:val="20"/>
        </w:rPr>
        <w:t>small-tea growers regardless of th</w:t>
      </w:r>
      <w:r w:rsidR="00D40596">
        <w:rPr>
          <w:rFonts w:ascii="Arial" w:hAnsi="Arial" w:cs="Arial"/>
          <w:color w:val="0D0D0D"/>
          <w:kern w:val="0"/>
          <w:sz w:val="20"/>
          <w:szCs w:val="20"/>
        </w:rPr>
        <w:t>e</w:t>
      </w:r>
      <w:r w:rsidRPr="007343DD">
        <w:rPr>
          <w:rFonts w:ascii="Arial" w:hAnsi="Arial" w:cs="Arial"/>
          <w:color w:val="0D0D0D"/>
          <w:kern w:val="0"/>
          <w:sz w:val="20"/>
          <w:szCs w:val="20"/>
        </w:rPr>
        <w:t xml:space="preserve"> scale of operation. </w:t>
      </w:r>
    </w:p>
    <w:p w14:paraId="0F7B2B5C" w14:textId="088FC6A6" w:rsidR="00D40596" w:rsidRDefault="00D40596" w:rsidP="007343DD">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Table 2.: Family size of the respondents of Tinsukia and Dibrugarh districts</w:t>
      </w:r>
    </w:p>
    <w:tbl>
      <w:tblPr>
        <w:tblStyle w:val="GridTable1Light-Accent3"/>
        <w:tblpPr w:leftFromText="180" w:rightFromText="180" w:vertAnchor="text" w:horzAnchor="margin" w:tblpY="-30"/>
        <w:tblW w:w="9000" w:type="dxa"/>
        <w:tblLook w:val="04A0" w:firstRow="1" w:lastRow="0" w:firstColumn="1" w:lastColumn="0" w:noHBand="0" w:noVBand="1"/>
      </w:tblPr>
      <w:tblGrid>
        <w:gridCol w:w="2060"/>
        <w:gridCol w:w="2123"/>
        <w:gridCol w:w="1669"/>
        <w:gridCol w:w="1451"/>
        <w:gridCol w:w="1697"/>
      </w:tblGrid>
      <w:tr w:rsidR="00D40596" w:rsidRPr="00D40596" w14:paraId="7582C920" w14:textId="77777777" w:rsidTr="00D4059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044BF48A" w14:textId="77777777" w:rsidR="00D40596" w:rsidRPr="00D40596" w:rsidRDefault="00D40596" w:rsidP="00D40596">
            <w:pPr>
              <w:jc w:val="center"/>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Family size</w:t>
            </w:r>
          </w:p>
        </w:tc>
        <w:tc>
          <w:tcPr>
            <w:tcW w:w="2123" w:type="dxa"/>
            <w:noWrap/>
            <w:vAlign w:val="center"/>
            <w:hideMark/>
          </w:tcPr>
          <w:p w14:paraId="70F11318"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Marginal</w:t>
            </w:r>
          </w:p>
        </w:tc>
        <w:tc>
          <w:tcPr>
            <w:tcW w:w="1669" w:type="dxa"/>
            <w:noWrap/>
            <w:vAlign w:val="center"/>
            <w:hideMark/>
          </w:tcPr>
          <w:p w14:paraId="6B766C10"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Small-scale</w:t>
            </w:r>
          </w:p>
        </w:tc>
        <w:tc>
          <w:tcPr>
            <w:tcW w:w="1451" w:type="dxa"/>
            <w:noWrap/>
            <w:vAlign w:val="center"/>
            <w:hideMark/>
          </w:tcPr>
          <w:p w14:paraId="391C94D4"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Medium</w:t>
            </w:r>
          </w:p>
        </w:tc>
        <w:tc>
          <w:tcPr>
            <w:tcW w:w="1697" w:type="dxa"/>
            <w:noWrap/>
            <w:vAlign w:val="center"/>
            <w:hideMark/>
          </w:tcPr>
          <w:p w14:paraId="18865BF7"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Total</w:t>
            </w:r>
          </w:p>
        </w:tc>
      </w:tr>
      <w:tr w:rsidR="00D40596" w:rsidRPr="00D40596" w14:paraId="28242567"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356ACBE2" w14:textId="77777777" w:rsidR="00D40596" w:rsidRPr="00D40596" w:rsidRDefault="00D40596" w:rsidP="00D40596">
            <w:pPr>
              <w:jc w:val="center"/>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Small (</w:t>
            </w:r>
            <w:proofErr w:type="spellStart"/>
            <w:r w:rsidRPr="00D40596">
              <w:rPr>
                <w:rFonts w:ascii="Arial" w:eastAsia="Times New Roman" w:hAnsi="Arial" w:cs="Arial"/>
                <w:color w:val="000000"/>
                <w:kern w:val="0"/>
                <w:sz w:val="20"/>
                <w:szCs w:val="20"/>
                <w:lang w:eastAsia="en-IN"/>
                <w14:ligatures w14:val="none"/>
              </w:rPr>
              <w:t>upto</w:t>
            </w:r>
            <w:proofErr w:type="spellEnd"/>
            <w:r w:rsidRPr="00D40596">
              <w:rPr>
                <w:rFonts w:ascii="Arial" w:eastAsia="Times New Roman" w:hAnsi="Arial" w:cs="Arial"/>
                <w:color w:val="000000"/>
                <w:kern w:val="0"/>
                <w:sz w:val="20"/>
                <w:szCs w:val="20"/>
                <w:lang w:eastAsia="en-IN"/>
                <w14:ligatures w14:val="none"/>
              </w:rPr>
              <w:t xml:space="preserve"> 4)</w:t>
            </w:r>
          </w:p>
        </w:tc>
        <w:tc>
          <w:tcPr>
            <w:tcW w:w="2123" w:type="dxa"/>
            <w:noWrap/>
            <w:vAlign w:val="center"/>
            <w:hideMark/>
          </w:tcPr>
          <w:p w14:paraId="5D1C6F4C"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46</w:t>
            </w:r>
          </w:p>
        </w:tc>
        <w:tc>
          <w:tcPr>
            <w:tcW w:w="1669" w:type="dxa"/>
            <w:noWrap/>
            <w:vAlign w:val="center"/>
            <w:hideMark/>
          </w:tcPr>
          <w:p w14:paraId="26E69A6A"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37</w:t>
            </w:r>
          </w:p>
        </w:tc>
        <w:tc>
          <w:tcPr>
            <w:tcW w:w="1451" w:type="dxa"/>
            <w:noWrap/>
            <w:vAlign w:val="center"/>
            <w:hideMark/>
          </w:tcPr>
          <w:p w14:paraId="77BEAC3F"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17</w:t>
            </w:r>
          </w:p>
        </w:tc>
        <w:tc>
          <w:tcPr>
            <w:tcW w:w="1697" w:type="dxa"/>
            <w:noWrap/>
            <w:vAlign w:val="center"/>
            <w:hideMark/>
          </w:tcPr>
          <w:p w14:paraId="68E2E19F"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100</w:t>
            </w:r>
          </w:p>
          <w:p w14:paraId="62F690F6"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(50.8)</w:t>
            </w:r>
          </w:p>
        </w:tc>
      </w:tr>
      <w:tr w:rsidR="00D40596" w:rsidRPr="00D40596" w14:paraId="0797A7F8"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0DBBB9D0" w14:textId="77777777" w:rsidR="00D40596" w:rsidRPr="00D40596" w:rsidRDefault="00D40596" w:rsidP="00D40596">
            <w:pPr>
              <w:jc w:val="center"/>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Medium (5-7)</w:t>
            </w:r>
          </w:p>
        </w:tc>
        <w:tc>
          <w:tcPr>
            <w:tcW w:w="2123" w:type="dxa"/>
            <w:noWrap/>
            <w:vAlign w:val="center"/>
            <w:hideMark/>
          </w:tcPr>
          <w:p w14:paraId="75D4086C"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30</w:t>
            </w:r>
          </w:p>
        </w:tc>
        <w:tc>
          <w:tcPr>
            <w:tcW w:w="1669" w:type="dxa"/>
            <w:noWrap/>
            <w:vAlign w:val="center"/>
            <w:hideMark/>
          </w:tcPr>
          <w:p w14:paraId="62540959"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25</w:t>
            </w:r>
          </w:p>
        </w:tc>
        <w:tc>
          <w:tcPr>
            <w:tcW w:w="1451" w:type="dxa"/>
            <w:noWrap/>
            <w:vAlign w:val="center"/>
            <w:hideMark/>
          </w:tcPr>
          <w:p w14:paraId="4CF78DBF"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14</w:t>
            </w:r>
          </w:p>
        </w:tc>
        <w:tc>
          <w:tcPr>
            <w:tcW w:w="1697" w:type="dxa"/>
            <w:noWrap/>
            <w:vAlign w:val="center"/>
            <w:hideMark/>
          </w:tcPr>
          <w:p w14:paraId="5005C03D"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69</w:t>
            </w:r>
          </w:p>
          <w:p w14:paraId="07ACB490"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(35)</w:t>
            </w:r>
          </w:p>
        </w:tc>
      </w:tr>
      <w:tr w:rsidR="00D40596" w:rsidRPr="00D40596" w14:paraId="1591781B"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60139CA6" w14:textId="77777777" w:rsidR="00D40596" w:rsidRPr="00D40596" w:rsidRDefault="00D40596" w:rsidP="00D40596">
            <w:pPr>
              <w:jc w:val="center"/>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 xml:space="preserve">Large </w:t>
            </w:r>
            <w:proofErr w:type="gramStart"/>
            <w:r w:rsidRPr="00D40596">
              <w:rPr>
                <w:rFonts w:ascii="Arial" w:eastAsia="Times New Roman" w:hAnsi="Arial" w:cs="Arial"/>
                <w:color w:val="000000"/>
                <w:kern w:val="0"/>
                <w:sz w:val="20"/>
                <w:szCs w:val="20"/>
                <w:lang w:eastAsia="en-IN"/>
                <w14:ligatures w14:val="none"/>
              </w:rPr>
              <w:t>( &gt;</w:t>
            </w:r>
            <w:proofErr w:type="gramEnd"/>
            <w:r w:rsidRPr="00D40596">
              <w:rPr>
                <w:rFonts w:ascii="Arial" w:eastAsia="Times New Roman" w:hAnsi="Arial" w:cs="Arial"/>
                <w:color w:val="000000"/>
                <w:kern w:val="0"/>
                <w:sz w:val="20"/>
                <w:szCs w:val="20"/>
                <w:lang w:eastAsia="en-IN"/>
                <w14:ligatures w14:val="none"/>
              </w:rPr>
              <w:t>7)</w:t>
            </w:r>
          </w:p>
        </w:tc>
        <w:tc>
          <w:tcPr>
            <w:tcW w:w="2123" w:type="dxa"/>
            <w:noWrap/>
            <w:vAlign w:val="center"/>
            <w:hideMark/>
          </w:tcPr>
          <w:p w14:paraId="6B6D780D"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11</w:t>
            </w:r>
          </w:p>
        </w:tc>
        <w:tc>
          <w:tcPr>
            <w:tcW w:w="1669" w:type="dxa"/>
            <w:noWrap/>
            <w:vAlign w:val="center"/>
            <w:hideMark/>
          </w:tcPr>
          <w:p w14:paraId="61A36C34"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11</w:t>
            </w:r>
          </w:p>
        </w:tc>
        <w:tc>
          <w:tcPr>
            <w:tcW w:w="1451" w:type="dxa"/>
            <w:noWrap/>
            <w:vAlign w:val="center"/>
            <w:hideMark/>
          </w:tcPr>
          <w:p w14:paraId="557AECDE"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6</w:t>
            </w:r>
          </w:p>
        </w:tc>
        <w:tc>
          <w:tcPr>
            <w:tcW w:w="1697" w:type="dxa"/>
            <w:noWrap/>
            <w:vAlign w:val="center"/>
            <w:hideMark/>
          </w:tcPr>
          <w:p w14:paraId="67DDE2A7"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28</w:t>
            </w:r>
          </w:p>
          <w:p w14:paraId="464D10FC"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(14.2)</w:t>
            </w:r>
          </w:p>
        </w:tc>
      </w:tr>
      <w:tr w:rsidR="00D40596" w:rsidRPr="00D40596" w14:paraId="79E14B87"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08B94E26" w14:textId="77777777" w:rsidR="00D40596" w:rsidRPr="00D40596" w:rsidRDefault="00D40596" w:rsidP="00D40596">
            <w:pPr>
              <w:jc w:val="center"/>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Total</w:t>
            </w:r>
          </w:p>
        </w:tc>
        <w:tc>
          <w:tcPr>
            <w:tcW w:w="2123" w:type="dxa"/>
            <w:noWrap/>
            <w:vAlign w:val="center"/>
            <w:hideMark/>
          </w:tcPr>
          <w:p w14:paraId="47F7ACF8"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87</w:t>
            </w:r>
          </w:p>
        </w:tc>
        <w:tc>
          <w:tcPr>
            <w:tcW w:w="1669" w:type="dxa"/>
            <w:noWrap/>
            <w:vAlign w:val="center"/>
            <w:hideMark/>
          </w:tcPr>
          <w:p w14:paraId="03B38389"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73</w:t>
            </w:r>
          </w:p>
        </w:tc>
        <w:tc>
          <w:tcPr>
            <w:tcW w:w="1451" w:type="dxa"/>
            <w:noWrap/>
            <w:vAlign w:val="center"/>
            <w:hideMark/>
          </w:tcPr>
          <w:p w14:paraId="18C9BF4B"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37</w:t>
            </w:r>
          </w:p>
        </w:tc>
        <w:tc>
          <w:tcPr>
            <w:tcW w:w="1697" w:type="dxa"/>
            <w:noWrap/>
            <w:vAlign w:val="center"/>
            <w:hideMark/>
          </w:tcPr>
          <w:p w14:paraId="0EBC4D48"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197</w:t>
            </w:r>
          </w:p>
          <w:p w14:paraId="68ED7D00"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(100)</w:t>
            </w:r>
          </w:p>
        </w:tc>
      </w:tr>
    </w:tbl>
    <w:p w14:paraId="6F114333" w14:textId="7EE579EB" w:rsidR="00D40596" w:rsidRDefault="00D40596" w:rsidP="007343DD">
      <w:pPr>
        <w:autoSpaceDE w:val="0"/>
        <w:autoSpaceDN w:val="0"/>
        <w:adjustRightInd w:val="0"/>
        <w:spacing w:after="0" w:line="360" w:lineRule="auto"/>
        <w:jc w:val="both"/>
        <w:rPr>
          <w:rFonts w:ascii="Arial" w:hAnsi="Arial" w:cs="Arial"/>
          <w:i/>
          <w:iCs/>
          <w:color w:val="0D0D0D"/>
          <w:kern w:val="0"/>
          <w:sz w:val="20"/>
          <w:szCs w:val="20"/>
        </w:rPr>
      </w:pPr>
      <w:r w:rsidRPr="00DC136E">
        <w:rPr>
          <w:rFonts w:ascii="Arial" w:hAnsi="Arial" w:cs="Arial"/>
          <w:color w:val="0D0D0D"/>
          <w:kern w:val="0"/>
          <w:sz w:val="20"/>
          <w:szCs w:val="20"/>
        </w:rPr>
        <w:t>*</w:t>
      </w:r>
      <w:r w:rsidRPr="00DC136E">
        <w:rPr>
          <w:rFonts w:ascii="Arial" w:hAnsi="Arial" w:cs="Arial"/>
          <w:i/>
          <w:iCs/>
          <w:color w:val="0D0D0D"/>
          <w:kern w:val="0"/>
          <w:sz w:val="20"/>
          <w:szCs w:val="20"/>
        </w:rPr>
        <w:t>Figures in parentheses represent percentage</w:t>
      </w:r>
    </w:p>
    <w:p w14:paraId="757D4A27" w14:textId="240A7F33" w:rsidR="00D40596" w:rsidRDefault="00D40596" w:rsidP="007343DD">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3.3. Literacy level</w:t>
      </w:r>
    </w:p>
    <w:p w14:paraId="26120B10" w14:textId="5DEA285A" w:rsidR="00D40596" w:rsidRDefault="00D40596" w:rsidP="00D40596">
      <w:pPr>
        <w:spacing w:line="360" w:lineRule="auto"/>
        <w:jc w:val="both"/>
        <w:rPr>
          <w:rFonts w:ascii="Arial" w:hAnsi="Arial" w:cs="Arial"/>
          <w:color w:val="0D0D0D"/>
          <w:kern w:val="0"/>
          <w:sz w:val="20"/>
          <w:szCs w:val="20"/>
        </w:rPr>
      </w:pPr>
      <w:r w:rsidRPr="00D40596">
        <w:rPr>
          <w:rFonts w:ascii="Arial" w:hAnsi="Arial" w:cs="Arial"/>
          <w:color w:val="0D0D0D"/>
          <w:kern w:val="0"/>
          <w:sz w:val="20"/>
          <w:szCs w:val="20"/>
        </w:rPr>
        <w:t>A literate person is expected to adapt to changes and adopt newer agricultural technology more quickly than illiterate ones. It was imperative to study the literacy levels of the small tea growers under investigation realising</w:t>
      </w:r>
      <w:r w:rsidRPr="00D40596">
        <w:rPr>
          <w:rFonts w:ascii="Arial" w:hAnsi="Arial" w:cs="Arial"/>
          <w:color w:val="FFFFFF" w:themeColor="background1"/>
          <w:kern w:val="0"/>
          <w:sz w:val="20"/>
          <w:szCs w:val="20"/>
        </w:rPr>
        <w:t>-</w:t>
      </w:r>
      <w:r w:rsidRPr="00D40596">
        <w:rPr>
          <w:rFonts w:ascii="Arial" w:hAnsi="Arial" w:cs="Arial"/>
          <w:color w:val="0D0D0D"/>
          <w:kern w:val="0"/>
          <w:sz w:val="20"/>
          <w:szCs w:val="20"/>
        </w:rPr>
        <w:t>the</w:t>
      </w:r>
      <w:r w:rsidRPr="00D40596">
        <w:rPr>
          <w:rFonts w:ascii="Arial" w:hAnsi="Arial" w:cs="Arial"/>
          <w:color w:val="FFFFFF" w:themeColor="background1"/>
          <w:kern w:val="0"/>
          <w:sz w:val="20"/>
          <w:szCs w:val="20"/>
        </w:rPr>
        <w:t>-</w:t>
      </w:r>
      <w:r w:rsidRPr="00D40596">
        <w:rPr>
          <w:rFonts w:ascii="Arial" w:hAnsi="Arial" w:cs="Arial"/>
          <w:color w:val="0D0D0D"/>
          <w:kern w:val="0"/>
          <w:sz w:val="20"/>
          <w:szCs w:val="20"/>
        </w:rPr>
        <w:t>importance</w:t>
      </w:r>
      <w:r w:rsidRPr="00D40596">
        <w:rPr>
          <w:rFonts w:ascii="Arial" w:hAnsi="Arial" w:cs="Arial"/>
          <w:color w:val="FFFFFF" w:themeColor="background1"/>
          <w:kern w:val="0"/>
          <w:sz w:val="20"/>
          <w:szCs w:val="20"/>
        </w:rPr>
        <w:t xml:space="preserve"> </w:t>
      </w:r>
      <w:r w:rsidRPr="00D40596">
        <w:rPr>
          <w:rFonts w:ascii="Arial" w:hAnsi="Arial" w:cs="Arial"/>
          <w:color w:val="0D0D0D"/>
          <w:kern w:val="0"/>
          <w:sz w:val="20"/>
          <w:szCs w:val="20"/>
        </w:rPr>
        <w:t>of education in all activities related to everyday activities as well as activities related to green leaf production. For the purpose of analysis, levels of education were grouped into illiterate, primary, secondary and graduation or above.</w:t>
      </w:r>
    </w:p>
    <w:p w14:paraId="6650C2D7" w14:textId="24FE3875" w:rsidR="00D40596" w:rsidRPr="00D40596" w:rsidRDefault="00D40596" w:rsidP="00D40596">
      <w:pPr>
        <w:spacing w:line="360" w:lineRule="auto"/>
        <w:jc w:val="both"/>
        <w:rPr>
          <w:rFonts w:ascii="Arial" w:hAnsi="Arial" w:cs="Arial"/>
          <w:color w:val="0D0D0D"/>
          <w:kern w:val="0"/>
          <w:sz w:val="20"/>
          <w:szCs w:val="20"/>
        </w:rPr>
      </w:pPr>
      <w:r w:rsidRPr="00D40596">
        <w:rPr>
          <w:rFonts w:ascii="Arial" w:hAnsi="Arial" w:cs="Arial"/>
          <w:color w:val="0D0D0D"/>
          <w:kern w:val="0"/>
          <w:sz w:val="20"/>
          <w:szCs w:val="20"/>
        </w:rPr>
        <w:t xml:space="preserve">From the </w:t>
      </w:r>
      <w:r>
        <w:rPr>
          <w:rFonts w:ascii="Arial" w:hAnsi="Arial" w:cs="Arial"/>
          <w:color w:val="0D0D0D"/>
          <w:kern w:val="0"/>
          <w:sz w:val="20"/>
          <w:szCs w:val="20"/>
        </w:rPr>
        <w:t>Table 3.</w:t>
      </w:r>
      <w:r w:rsidRPr="00D40596">
        <w:rPr>
          <w:rFonts w:ascii="Arial" w:hAnsi="Arial" w:cs="Arial"/>
          <w:color w:val="0D0D0D"/>
          <w:kern w:val="0"/>
          <w:sz w:val="20"/>
          <w:szCs w:val="20"/>
        </w:rPr>
        <w:t>, it is evident that individuals with secondary education form the largest group. This group is most heavily represented in marginal (43) and small-scale (30) employment, with a relatively smaller share in medium-scale activities (15). The illiterate category represents the smallest segment, comprising only 8 individuals</w:t>
      </w:r>
      <w:r>
        <w:rPr>
          <w:rFonts w:ascii="Arial" w:hAnsi="Arial" w:cs="Arial"/>
          <w:color w:val="0D0D0D"/>
          <w:kern w:val="0"/>
          <w:sz w:val="20"/>
          <w:szCs w:val="20"/>
        </w:rPr>
        <w:t xml:space="preserve">. </w:t>
      </w:r>
      <w:r w:rsidRPr="00D40596">
        <w:rPr>
          <w:rFonts w:ascii="Arial" w:hAnsi="Arial" w:cs="Arial"/>
          <w:color w:val="0D0D0D"/>
          <w:kern w:val="0"/>
          <w:sz w:val="20"/>
          <w:szCs w:val="20"/>
        </w:rPr>
        <w:t>Participants with graduation-level education and above make up 57 of the</w:t>
      </w:r>
      <w:r w:rsidR="001A2C7C">
        <w:rPr>
          <w:rFonts w:ascii="Arial" w:hAnsi="Arial" w:cs="Arial"/>
          <w:color w:val="0D0D0D"/>
          <w:kern w:val="0"/>
          <w:sz w:val="20"/>
          <w:szCs w:val="20"/>
        </w:rPr>
        <w:t xml:space="preserve"> </w:t>
      </w:r>
      <w:proofErr w:type="gramStart"/>
      <w:r w:rsidRPr="00D40596">
        <w:rPr>
          <w:rFonts w:ascii="Arial" w:hAnsi="Arial" w:cs="Arial"/>
          <w:color w:val="0D0D0D"/>
          <w:kern w:val="0"/>
          <w:sz w:val="20"/>
          <w:szCs w:val="20"/>
        </w:rPr>
        <w:t>total</w:t>
      </w:r>
      <w:proofErr w:type="gramEnd"/>
      <w:r w:rsidRPr="00D40596">
        <w:rPr>
          <w:rFonts w:ascii="Arial" w:hAnsi="Arial" w:cs="Arial"/>
          <w:color w:val="0D0D0D"/>
          <w:kern w:val="0"/>
          <w:sz w:val="20"/>
          <w:szCs w:val="20"/>
        </w:rPr>
        <w:t>. Notably, they have a stronger presence in small-scale (25) and medium-scale (18) employment, reflecting the positive correlation between higher education and access to more stable or structured economic opportunities.</w:t>
      </w:r>
    </w:p>
    <w:p w14:paraId="434FA14D" w14:textId="77777777" w:rsidR="00D40596" w:rsidRDefault="00D40596" w:rsidP="00D40596">
      <w:pPr>
        <w:spacing w:line="360" w:lineRule="auto"/>
        <w:jc w:val="both"/>
        <w:rPr>
          <w:rFonts w:ascii="Arial" w:hAnsi="Arial" w:cs="Arial"/>
          <w:color w:val="0D0D0D"/>
          <w:kern w:val="0"/>
          <w:sz w:val="20"/>
          <w:szCs w:val="20"/>
        </w:rPr>
      </w:pPr>
      <w:r w:rsidRPr="00D40596">
        <w:rPr>
          <w:rFonts w:ascii="Arial" w:hAnsi="Arial" w:cs="Arial"/>
          <w:color w:val="0D0D0D"/>
          <w:kern w:val="0"/>
          <w:sz w:val="20"/>
          <w:szCs w:val="20"/>
        </w:rPr>
        <w:t xml:space="preserve">The literacy level of the small-tea growers revealed significant variations across farm sizes. A majority of marginal growers possessed secondary education indicating a concentration of basic formal schooling. Small-scale growers showed a more balanced distribution between secondary education and graduation-level qualifications suggesting a gradual improvement in educational status with increased scale of operations. Medium growers demonstrated relatively higher rates of growers having education level of graduation and above reflecting a trend where education and farm expansion may be positively correlated. </w:t>
      </w:r>
      <w:bookmarkStart w:id="4" w:name="_Hlk197275085"/>
      <w:r w:rsidRPr="00D40596">
        <w:rPr>
          <w:rFonts w:ascii="Arial" w:hAnsi="Arial" w:cs="Arial"/>
          <w:color w:val="0D0D0D"/>
          <w:kern w:val="0"/>
          <w:sz w:val="20"/>
          <w:szCs w:val="20"/>
        </w:rPr>
        <w:t xml:space="preserve">Illiteracy rates remained minimal across all groups highlighting the growing penetration of basic education among small tea growers. The literacy trend is critical as higher </w:t>
      </w:r>
      <w:r w:rsidRPr="00D40596">
        <w:rPr>
          <w:rFonts w:ascii="Arial" w:hAnsi="Arial" w:cs="Arial"/>
          <w:color w:val="0D0D0D"/>
          <w:kern w:val="0"/>
          <w:sz w:val="20"/>
          <w:szCs w:val="20"/>
        </w:rPr>
        <w:lastRenderedPageBreak/>
        <w:t>education levels are often associated with better adoption of modern agricultural practices, improved market access and enhanced decision-making capacities.</w:t>
      </w:r>
    </w:p>
    <w:tbl>
      <w:tblPr>
        <w:tblStyle w:val="GridTable1Light-Accent3"/>
        <w:tblpPr w:leftFromText="180" w:rightFromText="180" w:vertAnchor="text" w:horzAnchor="margin" w:tblpY="387"/>
        <w:tblW w:w="9149" w:type="dxa"/>
        <w:tblLook w:val="04A0" w:firstRow="1" w:lastRow="0" w:firstColumn="1" w:lastColumn="0" w:noHBand="0" w:noVBand="1"/>
      </w:tblPr>
      <w:tblGrid>
        <w:gridCol w:w="2764"/>
        <w:gridCol w:w="1487"/>
        <w:gridCol w:w="1697"/>
        <w:gridCol w:w="1648"/>
        <w:gridCol w:w="1553"/>
      </w:tblGrid>
      <w:tr w:rsidR="00D40596" w:rsidRPr="00D40596" w14:paraId="09CB694B" w14:textId="77777777" w:rsidTr="00D4059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64" w:type="dxa"/>
            <w:noWrap/>
            <w:vAlign w:val="center"/>
            <w:hideMark/>
          </w:tcPr>
          <w:p w14:paraId="2F9C0888" w14:textId="77777777" w:rsidR="00D40596" w:rsidRPr="00D40596" w:rsidRDefault="00D40596" w:rsidP="00D40596">
            <w:pPr>
              <w:jc w:val="center"/>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Literacy level</w:t>
            </w:r>
          </w:p>
        </w:tc>
        <w:tc>
          <w:tcPr>
            <w:tcW w:w="1487" w:type="dxa"/>
            <w:noWrap/>
            <w:vAlign w:val="center"/>
            <w:hideMark/>
          </w:tcPr>
          <w:p w14:paraId="10000474"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Marginal</w:t>
            </w:r>
          </w:p>
        </w:tc>
        <w:tc>
          <w:tcPr>
            <w:tcW w:w="1697" w:type="dxa"/>
            <w:noWrap/>
            <w:vAlign w:val="center"/>
            <w:hideMark/>
          </w:tcPr>
          <w:p w14:paraId="6BB78EB6"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Small-scale</w:t>
            </w:r>
          </w:p>
        </w:tc>
        <w:tc>
          <w:tcPr>
            <w:tcW w:w="1648" w:type="dxa"/>
            <w:noWrap/>
            <w:vAlign w:val="center"/>
            <w:hideMark/>
          </w:tcPr>
          <w:p w14:paraId="7BEABB46"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Medium</w:t>
            </w:r>
          </w:p>
        </w:tc>
        <w:tc>
          <w:tcPr>
            <w:tcW w:w="1553" w:type="dxa"/>
            <w:noWrap/>
            <w:vAlign w:val="center"/>
            <w:hideMark/>
          </w:tcPr>
          <w:p w14:paraId="771F60A4"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Total</w:t>
            </w:r>
          </w:p>
        </w:tc>
      </w:tr>
      <w:tr w:rsidR="00D40596" w:rsidRPr="00D40596" w14:paraId="4AE0739A"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764" w:type="dxa"/>
            <w:noWrap/>
            <w:vAlign w:val="center"/>
            <w:hideMark/>
          </w:tcPr>
          <w:p w14:paraId="5B932382" w14:textId="77777777" w:rsidR="00D40596" w:rsidRPr="00D40596" w:rsidRDefault="00D40596" w:rsidP="00D40596">
            <w:pPr>
              <w:jc w:val="center"/>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Illiterate</w:t>
            </w:r>
          </w:p>
        </w:tc>
        <w:tc>
          <w:tcPr>
            <w:tcW w:w="1487" w:type="dxa"/>
            <w:noWrap/>
            <w:vAlign w:val="center"/>
            <w:hideMark/>
          </w:tcPr>
          <w:p w14:paraId="36C61415"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w:t>
            </w:r>
          </w:p>
        </w:tc>
        <w:tc>
          <w:tcPr>
            <w:tcW w:w="1697" w:type="dxa"/>
            <w:noWrap/>
            <w:vAlign w:val="center"/>
            <w:hideMark/>
          </w:tcPr>
          <w:p w14:paraId="67FD4C02"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w:t>
            </w:r>
          </w:p>
        </w:tc>
        <w:tc>
          <w:tcPr>
            <w:tcW w:w="1648" w:type="dxa"/>
            <w:noWrap/>
            <w:vAlign w:val="center"/>
            <w:hideMark/>
          </w:tcPr>
          <w:p w14:paraId="7B59D585"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0</w:t>
            </w:r>
          </w:p>
        </w:tc>
        <w:tc>
          <w:tcPr>
            <w:tcW w:w="1553" w:type="dxa"/>
            <w:noWrap/>
            <w:vAlign w:val="center"/>
            <w:hideMark/>
          </w:tcPr>
          <w:p w14:paraId="406145A1"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8</w:t>
            </w:r>
          </w:p>
          <w:p w14:paraId="6EB90422"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w:t>
            </w:r>
          </w:p>
        </w:tc>
      </w:tr>
      <w:tr w:rsidR="00D40596" w:rsidRPr="00D40596" w14:paraId="218117F9"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764" w:type="dxa"/>
            <w:noWrap/>
            <w:vAlign w:val="center"/>
            <w:hideMark/>
          </w:tcPr>
          <w:p w14:paraId="1FBFC07A" w14:textId="77777777" w:rsidR="00D40596" w:rsidRPr="00D40596" w:rsidRDefault="00D40596" w:rsidP="00D40596">
            <w:pPr>
              <w:jc w:val="center"/>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Primary</w:t>
            </w:r>
          </w:p>
        </w:tc>
        <w:tc>
          <w:tcPr>
            <w:tcW w:w="1487" w:type="dxa"/>
            <w:noWrap/>
            <w:vAlign w:val="center"/>
            <w:hideMark/>
          </w:tcPr>
          <w:p w14:paraId="1A47C085"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26</w:t>
            </w:r>
          </w:p>
        </w:tc>
        <w:tc>
          <w:tcPr>
            <w:tcW w:w="1697" w:type="dxa"/>
            <w:noWrap/>
            <w:vAlign w:val="center"/>
            <w:hideMark/>
          </w:tcPr>
          <w:p w14:paraId="4DB16AA2"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14</w:t>
            </w:r>
          </w:p>
        </w:tc>
        <w:tc>
          <w:tcPr>
            <w:tcW w:w="1648" w:type="dxa"/>
            <w:noWrap/>
            <w:vAlign w:val="center"/>
            <w:hideMark/>
          </w:tcPr>
          <w:p w14:paraId="2A54AB29"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w:t>
            </w:r>
          </w:p>
        </w:tc>
        <w:tc>
          <w:tcPr>
            <w:tcW w:w="1553" w:type="dxa"/>
            <w:noWrap/>
            <w:vAlign w:val="center"/>
            <w:hideMark/>
          </w:tcPr>
          <w:p w14:paraId="0D37035D"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44</w:t>
            </w:r>
          </w:p>
          <w:p w14:paraId="1288B47F"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(22.3)</w:t>
            </w:r>
          </w:p>
        </w:tc>
      </w:tr>
      <w:tr w:rsidR="00D40596" w:rsidRPr="00D40596" w14:paraId="60B7FD47"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764" w:type="dxa"/>
            <w:noWrap/>
            <w:vAlign w:val="center"/>
            <w:hideMark/>
          </w:tcPr>
          <w:p w14:paraId="708168E5" w14:textId="77777777" w:rsidR="00D40596" w:rsidRPr="00D40596" w:rsidRDefault="00D40596" w:rsidP="00D40596">
            <w:pPr>
              <w:jc w:val="center"/>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Secondary</w:t>
            </w:r>
          </w:p>
        </w:tc>
        <w:tc>
          <w:tcPr>
            <w:tcW w:w="1487" w:type="dxa"/>
            <w:noWrap/>
            <w:vAlign w:val="center"/>
            <w:hideMark/>
          </w:tcPr>
          <w:p w14:paraId="2FA2174C"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43</w:t>
            </w:r>
          </w:p>
        </w:tc>
        <w:tc>
          <w:tcPr>
            <w:tcW w:w="1697" w:type="dxa"/>
            <w:noWrap/>
            <w:vAlign w:val="center"/>
            <w:hideMark/>
          </w:tcPr>
          <w:p w14:paraId="78648D0E"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30</w:t>
            </w:r>
          </w:p>
        </w:tc>
        <w:tc>
          <w:tcPr>
            <w:tcW w:w="1648" w:type="dxa"/>
            <w:noWrap/>
            <w:vAlign w:val="center"/>
            <w:hideMark/>
          </w:tcPr>
          <w:p w14:paraId="4484591B"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15</w:t>
            </w:r>
          </w:p>
        </w:tc>
        <w:tc>
          <w:tcPr>
            <w:tcW w:w="1553" w:type="dxa"/>
            <w:noWrap/>
            <w:vAlign w:val="center"/>
            <w:hideMark/>
          </w:tcPr>
          <w:p w14:paraId="245B46F0"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88</w:t>
            </w:r>
          </w:p>
          <w:p w14:paraId="5CBD2EC4"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(44.7)</w:t>
            </w:r>
          </w:p>
        </w:tc>
      </w:tr>
      <w:tr w:rsidR="00D40596" w:rsidRPr="00D40596" w14:paraId="108BE5EC"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764" w:type="dxa"/>
            <w:noWrap/>
            <w:vAlign w:val="center"/>
            <w:hideMark/>
          </w:tcPr>
          <w:p w14:paraId="0D7C7219" w14:textId="77777777" w:rsidR="00D40596" w:rsidRPr="00D40596" w:rsidRDefault="00D40596" w:rsidP="00D40596">
            <w:pPr>
              <w:jc w:val="center"/>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Graduation and above</w:t>
            </w:r>
          </w:p>
        </w:tc>
        <w:tc>
          <w:tcPr>
            <w:tcW w:w="1487" w:type="dxa"/>
            <w:noWrap/>
            <w:vAlign w:val="center"/>
            <w:hideMark/>
          </w:tcPr>
          <w:p w14:paraId="7A31F2BC"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14</w:t>
            </w:r>
          </w:p>
        </w:tc>
        <w:tc>
          <w:tcPr>
            <w:tcW w:w="1697" w:type="dxa"/>
            <w:noWrap/>
            <w:vAlign w:val="center"/>
            <w:hideMark/>
          </w:tcPr>
          <w:p w14:paraId="693A0557"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25</w:t>
            </w:r>
          </w:p>
        </w:tc>
        <w:tc>
          <w:tcPr>
            <w:tcW w:w="1648" w:type="dxa"/>
            <w:noWrap/>
            <w:vAlign w:val="center"/>
            <w:hideMark/>
          </w:tcPr>
          <w:p w14:paraId="71EBBBEF"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18</w:t>
            </w:r>
          </w:p>
        </w:tc>
        <w:tc>
          <w:tcPr>
            <w:tcW w:w="1553" w:type="dxa"/>
            <w:noWrap/>
            <w:vAlign w:val="center"/>
            <w:hideMark/>
          </w:tcPr>
          <w:p w14:paraId="7B95BE26"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57</w:t>
            </w:r>
          </w:p>
          <w:p w14:paraId="3AACC199"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(29)</w:t>
            </w:r>
          </w:p>
        </w:tc>
      </w:tr>
      <w:tr w:rsidR="00D40596" w:rsidRPr="00D40596" w14:paraId="4020C0BA"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764" w:type="dxa"/>
            <w:noWrap/>
            <w:vAlign w:val="center"/>
            <w:hideMark/>
          </w:tcPr>
          <w:p w14:paraId="62005251" w14:textId="77777777" w:rsidR="00D40596" w:rsidRPr="00D40596" w:rsidRDefault="00D40596" w:rsidP="00D40596">
            <w:pPr>
              <w:jc w:val="center"/>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Total</w:t>
            </w:r>
          </w:p>
        </w:tc>
        <w:tc>
          <w:tcPr>
            <w:tcW w:w="1487" w:type="dxa"/>
            <w:noWrap/>
            <w:vAlign w:val="center"/>
            <w:hideMark/>
          </w:tcPr>
          <w:p w14:paraId="4162E77C"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87</w:t>
            </w:r>
          </w:p>
        </w:tc>
        <w:tc>
          <w:tcPr>
            <w:tcW w:w="1697" w:type="dxa"/>
            <w:noWrap/>
            <w:vAlign w:val="center"/>
            <w:hideMark/>
          </w:tcPr>
          <w:p w14:paraId="0A5755C5"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73</w:t>
            </w:r>
          </w:p>
        </w:tc>
        <w:tc>
          <w:tcPr>
            <w:tcW w:w="1648" w:type="dxa"/>
            <w:noWrap/>
            <w:vAlign w:val="center"/>
            <w:hideMark/>
          </w:tcPr>
          <w:p w14:paraId="53821240"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37</w:t>
            </w:r>
          </w:p>
        </w:tc>
        <w:tc>
          <w:tcPr>
            <w:tcW w:w="1553" w:type="dxa"/>
            <w:noWrap/>
            <w:vAlign w:val="center"/>
            <w:hideMark/>
          </w:tcPr>
          <w:p w14:paraId="4002F71E"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197</w:t>
            </w:r>
          </w:p>
          <w:p w14:paraId="4CCF19E2"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(100)</w:t>
            </w:r>
          </w:p>
        </w:tc>
      </w:tr>
    </w:tbl>
    <w:p w14:paraId="75D8C9DF" w14:textId="78880BD2" w:rsidR="00D40596" w:rsidRDefault="00D40596" w:rsidP="00D40596">
      <w:pPr>
        <w:spacing w:line="360" w:lineRule="auto"/>
        <w:jc w:val="both"/>
        <w:rPr>
          <w:rFonts w:ascii="Arial" w:hAnsi="Arial" w:cs="Arial"/>
          <w:b/>
          <w:bCs/>
          <w:color w:val="0D0D0D"/>
          <w:kern w:val="0"/>
          <w:sz w:val="20"/>
          <w:szCs w:val="20"/>
        </w:rPr>
      </w:pPr>
      <w:r>
        <w:rPr>
          <w:rFonts w:ascii="Arial" w:hAnsi="Arial" w:cs="Arial"/>
          <w:b/>
          <w:bCs/>
          <w:color w:val="0D0D0D"/>
          <w:kern w:val="0"/>
          <w:sz w:val="20"/>
          <w:szCs w:val="20"/>
        </w:rPr>
        <w:t>Table 3.: Literacy levels of the respondents of Tinsukia and Dibrugarh districts</w:t>
      </w:r>
    </w:p>
    <w:p w14:paraId="6C3EEDD7" w14:textId="77777777" w:rsidR="00D40596" w:rsidRDefault="00D40596" w:rsidP="00D40596">
      <w:pPr>
        <w:autoSpaceDE w:val="0"/>
        <w:autoSpaceDN w:val="0"/>
        <w:adjustRightInd w:val="0"/>
        <w:spacing w:after="0" w:line="360" w:lineRule="auto"/>
        <w:jc w:val="both"/>
        <w:rPr>
          <w:rFonts w:ascii="Arial" w:hAnsi="Arial" w:cs="Arial"/>
          <w:i/>
          <w:iCs/>
          <w:color w:val="0D0D0D"/>
          <w:kern w:val="0"/>
          <w:sz w:val="20"/>
          <w:szCs w:val="20"/>
        </w:rPr>
      </w:pPr>
      <w:r w:rsidRPr="00DC136E">
        <w:rPr>
          <w:rFonts w:ascii="Arial" w:hAnsi="Arial" w:cs="Arial"/>
          <w:color w:val="0D0D0D"/>
          <w:kern w:val="0"/>
          <w:sz w:val="20"/>
          <w:szCs w:val="20"/>
        </w:rPr>
        <w:t>*</w:t>
      </w:r>
      <w:r w:rsidRPr="00DC136E">
        <w:rPr>
          <w:rFonts w:ascii="Arial" w:hAnsi="Arial" w:cs="Arial"/>
          <w:i/>
          <w:iCs/>
          <w:color w:val="0D0D0D"/>
          <w:kern w:val="0"/>
          <w:sz w:val="20"/>
          <w:szCs w:val="20"/>
        </w:rPr>
        <w:t>Figures in parentheses represent percentage</w:t>
      </w:r>
    </w:p>
    <w:p w14:paraId="480500E3" w14:textId="3995D347" w:rsidR="00D40596" w:rsidRPr="002A4C4E" w:rsidRDefault="00D40596" w:rsidP="00D40596">
      <w:pPr>
        <w:spacing w:line="360" w:lineRule="auto"/>
        <w:jc w:val="both"/>
        <w:rPr>
          <w:rFonts w:ascii="Arial" w:hAnsi="Arial" w:cs="Arial"/>
          <w:color w:val="0D0D0D"/>
          <w:kern w:val="0"/>
          <w:sz w:val="20"/>
          <w:szCs w:val="20"/>
        </w:rPr>
      </w:pPr>
      <w:r w:rsidRPr="002A4C4E">
        <w:rPr>
          <w:rFonts w:ascii="Arial" w:hAnsi="Arial" w:cs="Arial"/>
          <w:color w:val="0D0D0D"/>
          <w:kern w:val="0"/>
          <w:sz w:val="20"/>
          <w:szCs w:val="20"/>
        </w:rPr>
        <w:t>A chi-square-test</w:t>
      </w:r>
      <w:r w:rsidRPr="002A4C4E">
        <w:rPr>
          <w:rFonts w:ascii="Arial" w:hAnsi="Arial" w:cs="Arial"/>
          <w:color w:val="FFFFFF" w:themeColor="background1"/>
          <w:kern w:val="0"/>
          <w:sz w:val="20"/>
          <w:szCs w:val="20"/>
        </w:rPr>
        <w:t>-</w:t>
      </w:r>
      <w:r w:rsidRPr="002A4C4E">
        <w:rPr>
          <w:rFonts w:ascii="Arial" w:hAnsi="Arial" w:cs="Arial"/>
          <w:color w:val="0D0D0D"/>
          <w:kern w:val="0"/>
          <w:sz w:val="20"/>
          <w:szCs w:val="20"/>
        </w:rPr>
        <w:t>was conducted to find out the</w:t>
      </w:r>
      <w:r w:rsidR="002A4C4E" w:rsidRPr="002A4C4E">
        <w:rPr>
          <w:rFonts w:ascii="Arial" w:hAnsi="Arial" w:cs="Arial"/>
          <w:color w:val="FFFFFF" w:themeColor="background1"/>
          <w:kern w:val="0"/>
          <w:sz w:val="20"/>
          <w:szCs w:val="20"/>
        </w:rPr>
        <w:t xml:space="preserve"> </w:t>
      </w:r>
      <w:r w:rsidRPr="002A4C4E">
        <w:rPr>
          <w:rFonts w:ascii="Arial" w:hAnsi="Arial" w:cs="Arial"/>
          <w:color w:val="0D0D0D"/>
          <w:kern w:val="0"/>
          <w:sz w:val="20"/>
          <w:szCs w:val="20"/>
        </w:rPr>
        <w:t>association</w:t>
      </w:r>
      <w:r w:rsidR="002A4C4E" w:rsidRPr="002A4C4E">
        <w:rPr>
          <w:rFonts w:ascii="Arial" w:hAnsi="Arial" w:cs="Arial"/>
          <w:color w:val="FFFFFF" w:themeColor="background1"/>
          <w:kern w:val="0"/>
          <w:sz w:val="20"/>
          <w:szCs w:val="20"/>
        </w:rPr>
        <w:t xml:space="preserve"> </w:t>
      </w:r>
      <w:r w:rsidRPr="002A4C4E">
        <w:rPr>
          <w:rFonts w:ascii="Arial" w:hAnsi="Arial" w:cs="Arial"/>
          <w:color w:val="0D0D0D"/>
          <w:kern w:val="0"/>
          <w:sz w:val="20"/>
          <w:szCs w:val="20"/>
        </w:rPr>
        <w:t>between different landholding groups and literacy levels of respondents in the dataset from Tinsukia and Dibrugarh districts. The test results are as follows:</w:t>
      </w:r>
    </w:p>
    <w:p w14:paraId="76E372D7" w14:textId="77777777" w:rsidR="002A4C4E" w:rsidRPr="002A4C4E" w:rsidRDefault="002A4C4E" w:rsidP="002A4C4E">
      <w:pPr>
        <w:pStyle w:val="ListParagraph"/>
        <w:numPr>
          <w:ilvl w:val="0"/>
          <w:numId w:val="5"/>
        </w:numPr>
        <w:spacing w:line="360" w:lineRule="auto"/>
        <w:jc w:val="both"/>
        <w:rPr>
          <w:rFonts w:ascii="Arial" w:hAnsi="Arial" w:cs="Arial"/>
          <w:color w:val="0D0D0D"/>
          <w:kern w:val="0"/>
          <w:sz w:val="20"/>
          <w:szCs w:val="20"/>
        </w:rPr>
      </w:pPr>
      <w:r w:rsidRPr="002A4C4E">
        <w:rPr>
          <w:rFonts w:ascii="Arial" w:hAnsi="Arial" w:cs="Arial"/>
          <w:color w:val="0D0D0D"/>
          <w:kern w:val="0"/>
          <w:sz w:val="20"/>
          <w:szCs w:val="20"/>
        </w:rPr>
        <w:t>Chi-square statistic (</w:t>
      </w:r>
      <m:oMath>
        <m:sSup>
          <m:sSupPr>
            <m:ctrlPr>
              <w:rPr>
                <w:rFonts w:ascii="Cambria Math" w:hAnsi="Cambria Math" w:cs="Arial"/>
                <w:i/>
                <w:color w:val="0D0D0D"/>
                <w:kern w:val="0"/>
                <w:sz w:val="20"/>
                <w:szCs w:val="20"/>
              </w:rPr>
            </m:ctrlPr>
          </m:sSupPr>
          <m:e>
            <m:r>
              <w:rPr>
                <w:rFonts w:ascii="Cambria Math" w:hAnsi="Cambria Math" w:cs="Arial"/>
                <w:color w:val="0D0D0D"/>
                <w:kern w:val="0"/>
                <w:sz w:val="20"/>
                <w:szCs w:val="20"/>
              </w:rPr>
              <m:t>χ</m:t>
            </m:r>
          </m:e>
          <m:sup>
            <m:r>
              <w:rPr>
                <w:rFonts w:ascii="Cambria Math" w:hAnsi="Cambria Math" w:cs="Arial"/>
                <w:color w:val="0D0D0D"/>
                <w:kern w:val="0"/>
                <w:sz w:val="20"/>
                <w:szCs w:val="20"/>
              </w:rPr>
              <m:t>2</m:t>
            </m:r>
          </m:sup>
        </m:sSup>
        <m:r>
          <w:rPr>
            <w:rFonts w:ascii="Cambria Math" w:hAnsi="Cambria Math" w:cs="Arial"/>
            <w:color w:val="0D0D0D"/>
            <w:kern w:val="0"/>
            <w:sz w:val="20"/>
            <w:szCs w:val="20"/>
          </w:rPr>
          <m:t>)</m:t>
        </m:r>
      </m:oMath>
      <w:r w:rsidRPr="002A4C4E">
        <w:rPr>
          <w:rFonts w:ascii="Arial" w:eastAsiaTheme="minorEastAsia" w:hAnsi="Arial" w:cs="Arial"/>
          <w:color w:val="0D0D0D"/>
          <w:kern w:val="0"/>
          <w:sz w:val="20"/>
          <w:szCs w:val="20"/>
        </w:rPr>
        <w:t>= 15.89</w:t>
      </w:r>
    </w:p>
    <w:p w14:paraId="0EB9974C" w14:textId="77777777" w:rsidR="002A4C4E" w:rsidRPr="002A4C4E" w:rsidRDefault="002A4C4E" w:rsidP="002A4C4E">
      <w:pPr>
        <w:pStyle w:val="ListParagraph"/>
        <w:numPr>
          <w:ilvl w:val="0"/>
          <w:numId w:val="5"/>
        </w:numPr>
        <w:spacing w:line="360" w:lineRule="auto"/>
        <w:jc w:val="both"/>
        <w:rPr>
          <w:rFonts w:ascii="Arial" w:hAnsi="Arial" w:cs="Arial"/>
          <w:color w:val="0D0D0D"/>
          <w:kern w:val="0"/>
          <w:sz w:val="20"/>
          <w:szCs w:val="20"/>
        </w:rPr>
      </w:pPr>
      <w:r w:rsidRPr="002A4C4E">
        <w:rPr>
          <w:rFonts w:ascii="Arial" w:eastAsiaTheme="minorEastAsia" w:hAnsi="Arial" w:cs="Arial"/>
          <w:i/>
          <w:iCs/>
          <w:color w:val="0D0D0D"/>
          <w:kern w:val="0"/>
          <w:sz w:val="20"/>
          <w:szCs w:val="20"/>
        </w:rPr>
        <w:t>p-</w:t>
      </w:r>
      <w:r w:rsidRPr="002A4C4E">
        <w:rPr>
          <w:rFonts w:ascii="Arial" w:eastAsiaTheme="minorEastAsia" w:hAnsi="Arial" w:cs="Arial"/>
          <w:color w:val="0D0D0D"/>
          <w:kern w:val="0"/>
          <w:sz w:val="20"/>
          <w:szCs w:val="20"/>
        </w:rPr>
        <w:t>value= 0.014</w:t>
      </w:r>
    </w:p>
    <w:p w14:paraId="00EDF563" w14:textId="77777777" w:rsidR="002A4C4E" w:rsidRPr="002A4C4E" w:rsidRDefault="002A4C4E" w:rsidP="002A4C4E">
      <w:pPr>
        <w:pStyle w:val="ListParagraph"/>
        <w:numPr>
          <w:ilvl w:val="0"/>
          <w:numId w:val="5"/>
        </w:numPr>
        <w:spacing w:line="360" w:lineRule="auto"/>
        <w:jc w:val="both"/>
        <w:rPr>
          <w:rFonts w:ascii="Arial" w:hAnsi="Arial" w:cs="Arial"/>
          <w:color w:val="0D0D0D"/>
          <w:kern w:val="0"/>
          <w:sz w:val="20"/>
          <w:szCs w:val="20"/>
        </w:rPr>
      </w:pPr>
      <w:r w:rsidRPr="002A4C4E">
        <w:rPr>
          <w:rFonts w:ascii="Arial" w:eastAsiaTheme="minorEastAsia" w:hAnsi="Arial" w:cs="Arial"/>
          <w:color w:val="0D0D0D"/>
          <w:kern w:val="0"/>
          <w:sz w:val="20"/>
          <w:szCs w:val="20"/>
        </w:rPr>
        <w:t>Degree of freedom= 6</w:t>
      </w:r>
    </w:p>
    <w:p w14:paraId="5BC4FC35" w14:textId="615D68CF" w:rsidR="00D40596" w:rsidRDefault="00D40596" w:rsidP="00D40596">
      <w:pPr>
        <w:spacing w:line="360" w:lineRule="auto"/>
        <w:jc w:val="both"/>
        <w:rPr>
          <w:rFonts w:ascii="Arial" w:hAnsi="Arial" w:cs="Arial"/>
          <w:color w:val="0D0D0D"/>
          <w:kern w:val="0"/>
          <w:sz w:val="20"/>
          <w:szCs w:val="20"/>
        </w:rPr>
      </w:pPr>
      <w:r w:rsidRPr="002A4C4E">
        <w:rPr>
          <w:rFonts w:ascii="Arial" w:hAnsi="Arial" w:cs="Arial"/>
          <w:color w:val="0D0D0D"/>
          <w:kern w:val="0"/>
          <w:sz w:val="20"/>
          <w:szCs w:val="20"/>
        </w:rPr>
        <w:t xml:space="preserve">Since, the </w:t>
      </w:r>
      <w:r w:rsidRPr="002A4C4E">
        <w:rPr>
          <w:rFonts w:ascii="Arial" w:hAnsi="Arial" w:cs="Arial"/>
          <w:i/>
          <w:iCs/>
          <w:color w:val="0D0D0D"/>
          <w:kern w:val="0"/>
          <w:sz w:val="20"/>
          <w:szCs w:val="20"/>
        </w:rPr>
        <w:t>p</w:t>
      </w:r>
      <w:r w:rsidRPr="002A4C4E">
        <w:rPr>
          <w:rFonts w:ascii="Arial" w:hAnsi="Arial" w:cs="Arial"/>
          <w:color w:val="0D0D0D"/>
          <w:kern w:val="0"/>
          <w:sz w:val="20"/>
          <w:szCs w:val="20"/>
        </w:rPr>
        <w:t>-value for the dataset is less than 0.05, therefore there is</w:t>
      </w:r>
      <w:r w:rsidRPr="002A4C4E">
        <w:rPr>
          <w:rFonts w:ascii="Arial" w:hAnsi="Arial" w:cs="Arial"/>
          <w:color w:val="FFFFFF" w:themeColor="background1"/>
          <w:kern w:val="0"/>
          <w:sz w:val="20"/>
          <w:szCs w:val="20"/>
        </w:rPr>
        <w:t>-</w:t>
      </w:r>
      <w:r w:rsidRPr="002A4C4E">
        <w:rPr>
          <w:rFonts w:ascii="Arial" w:hAnsi="Arial" w:cs="Arial"/>
          <w:color w:val="0D0D0D"/>
          <w:kern w:val="0"/>
          <w:sz w:val="20"/>
          <w:szCs w:val="20"/>
        </w:rPr>
        <w:t>significant relationship between</w:t>
      </w:r>
      <w:r w:rsidR="002A4C4E">
        <w:rPr>
          <w:rFonts w:ascii="Arial" w:hAnsi="Arial" w:cs="Arial"/>
          <w:color w:val="FFFFFF" w:themeColor="background1"/>
          <w:kern w:val="0"/>
          <w:sz w:val="20"/>
          <w:szCs w:val="20"/>
        </w:rPr>
        <w:t xml:space="preserve"> </w:t>
      </w:r>
      <w:r w:rsidRPr="002A4C4E">
        <w:rPr>
          <w:rFonts w:ascii="Arial" w:hAnsi="Arial" w:cs="Arial"/>
          <w:color w:val="0D0D0D"/>
          <w:kern w:val="0"/>
          <w:sz w:val="20"/>
          <w:szCs w:val="20"/>
        </w:rPr>
        <w:t>literacy</w:t>
      </w:r>
      <w:r w:rsidR="002A4C4E">
        <w:rPr>
          <w:rFonts w:ascii="Arial" w:hAnsi="Arial" w:cs="Arial"/>
          <w:color w:val="FFFFFF" w:themeColor="background1"/>
          <w:kern w:val="0"/>
          <w:sz w:val="20"/>
          <w:szCs w:val="20"/>
        </w:rPr>
        <w:t xml:space="preserve"> </w:t>
      </w:r>
      <w:r w:rsidRPr="002A4C4E">
        <w:rPr>
          <w:rFonts w:ascii="Arial" w:hAnsi="Arial" w:cs="Arial"/>
          <w:color w:val="0D0D0D"/>
          <w:kern w:val="0"/>
          <w:sz w:val="20"/>
          <w:szCs w:val="20"/>
        </w:rPr>
        <w:t xml:space="preserve">level and landholding categories at 5% significance level. </w:t>
      </w:r>
    </w:p>
    <w:p w14:paraId="7F6A62F4" w14:textId="5E985096" w:rsidR="002A4C4E" w:rsidRDefault="002A4C4E" w:rsidP="00D40596">
      <w:pPr>
        <w:spacing w:line="360" w:lineRule="auto"/>
        <w:jc w:val="both"/>
        <w:rPr>
          <w:rFonts w:ascii="Arial" w:hAnsi="Arial" w:cs="Arial"/>
          <w:b/>
          <w:bCs/>
          <w:color w:val="0D0D0D"/>
          <w:kern w:val="0"/>
          <w:sz w:val="20"/>
          <w:szCs w:val="20"/>
        </w:rPr>
      </w:pPr>
      <w:r>
        <w:rPr>
          <w:rFonts w:ascii="Arial" w:hAnsi="Arial" w:cs="Arial"/>
          <w:b/>
          <w:bCs/>
          <w:color w:val="0D0D0D"/>
          <w:kern w:val="0"/>
          <w:sz w:val="20"/>
          <w:szCs w:val="20"/>
        </w:rPr>
        <w:t>3.4. Occupational pattern</w:t>
      </w:r>
    </w:p>
    <w:p w14:paraId="33689B0E" w14:textId="5C77098D" w:rsidR="002A4C4E" w:rsidRPr="002A4C4E" w:rsidRDefault="002A4C4E" w:rsidP="002A4C4E">
      <w:pPr>
        <w:spacing w:line="360" w:lineRule="auto"/>
        <w:jc w:val="both"/>
        <w:rPr>
          <w:rFonts w:ascii="Arial" w:hAnsi="Arial" w:cs="Arial"/>
          <w:color w:val="0D0D0D"/>
          <w:kern w:val="0"/>
          <w:sz w:val="20"/>
          <w:szCs w:val="20"/>
        </w:rPr>
      </w:pPr>
      <w:r w:rsidRPr="002A4C4E">
        <w:rPr>
          <w:rFonts w:ascii="Arial" w:hAnsi="Arial" w:cs="Arial"/>
          <w:color w:val="0D0D0D"/>
          <w:kern w:val="0"/>
          <w:sz w:val="20"/>
          <w:szCs w:val="20"/>
        </w:rPr>
        <w:t>The job of each person or family shows the economic status of that family. Below are the different jobs of the tea growers from the sample in the Tinsukia and Dibrugarh areas.</w:t>
      </w:r>
      <w:r>
        <w:rPr>
          <w:rFonts w:ascii="Arial" w:hAnsi="Arial" w:cs="Arial"/>
          <w:color w:val="0D0D0D"/>
          <w:kern w:val="0"/>
          <w:sz w:val="20"/>
          <w:szCs w:val="20"/>
        </w:rPr>
        <w:t xml:space="preserve"> </w:t>
      </w:r>
      <w:r w:rsidRPr="002A4C4E">
        <w:rPr>
          <w:rFonts w:ascii="Arial" w:hAnsi="Arial" w:cs="Arial"/>
          <w:color w:val="0D0D0D"/>
          <w:kern w:val="0"/>
          <w:sz w:val="20"/>
          <w:szCs w:val="20"/>
        </w:rPr>
        <w:t>T</w:t>
      </w:r>
      <w:r>
        <w:rPr>
          <w:rFonts w:ascii="Arial" w:hAnsi="Arial" w:cs="Arial"/>
          <w:color w:val="0D0D0D"/>
          <w:kern w:val="0"/>
          <w:sz w:val="20"/>
          <w:szCs w:val="20"/>
        </w:rPr>
        <w:t>able 4.</w:t>
      </w:r>
      <w:r w:rsidRPr="002A4C4E">
        <w:rPr>
          <w:rFonts w:ascii="Arial" w:hAnsi="Arial" w:cs="Arial"/>
          <w:color w:val="0D0D0D"/>
          <w:kern w:val="0"/>
          <w:sz w:val="20"/>
          <w:szCs w:val="20"/>
        </w:rPr>
        <w:t xml:space="preserve"> illustrates the distribution of individuals across various occupational categories</w:t>
      </w:r>
      <w:r>
        <w:rPr>
          <w:rFonts w:ascii="Arial" w:hAnsi="Arial" w:cs="Arial"/>
          <w:color w:val="0D0D0D"/>
          <w:kern w:val="0"/>
          <w:sz w:val="20"/>
          <w:szCs w:val="20"/>
        </w:rPr>
        <w:t xml:space="preserve">. </w:t>
      </w:r>
      <w:r w:rsidRPr="002A4C4E">
        <w:rPr>
          <w:rFonts w:ascii="Arial" w:hAnsi="Arial" w:cs="Arial"/>
          <w:color w:val="0D0D0D"/>
          <w:kern w:val="0"/>
          <w:sz w:val="20"/>
          <w:szCs w:val="20"/>
        </w:rPr>
        <w:t>The occupations are categorized into three distinct groups: those engaged solely in tea cultivation, those combining tea cultivation with government or private sector employment, and those engaged in tea cultivation alongside business activities.</w:t>
      </w:r>
    </w:p>
    <w:p w14:paraId="640F7349" w14:textId="68665A7E" w:rsidR="002A4C4E" w:rsidRPr="002A4C4E" w:rsidRDefault="002A4C4E" w:rsidP="002A4C4E">
      <w:pPr>
        <w:spacing w:line="360" w:lineRule="auto"/>
        <w:jc w:val="both"/>
        <w:rPr>
          <w:rFonts w:ascii="Arial" w:hAnsi="Arial" w:cs="Arial"/>
          <w:color w:val="0D0D0D"/>
          <w:kern w:val="0"/>
          <w:sz w:val="20"/>
          <w:szCs w:val="20"/>
        </w:rPr>
      </w:pPr>
      <w:r w:rsidRPr="002A4C4E">
        <w:rPr>
          <w:rFonts w:ascii="Arial" w:hAnsi="Arial" w:cs="Arial"/>
          <w:color w:val="0D0D0D"/>
          <w:kern w:val="0"/>
          <w:sz w:val="20"/>
          <w:szCs w:val="20"/>
        </w:rPr>
        <w:t>The majority of individuals (134) were involved exclusively in tea cultivation, making it the dominant occupation in the dataset. This widespread engagement across all three categories suggests that tea cultivation serves as a foundational livelihood for many, adaptable to both low and moderate scales of economic participation.</w:t>
      </w:r>
      <w:r>
        <w:rPr>
          <w:rFonts w:ascii="Arial" w:hAnsi="Arial" w:cs="Arial"/>
          <w:color w:val="0D0D0D"/>
          <w:kern w:val="0"/>
          <w:sz w:val="20"/>
          <w:szCs w:val="20"/>
        </w:rPr>
        <w:t xml:space="preserve"> </w:t>
      </w:r>
      <w:r w:rsidRPr="002A4C4E">
        <w:rPr>
          <w:rFonts w:ascii="Arial" w:hAnsi="Arial" w:cs="Arial"/>
          <w:color w:val="0D0D0D"/>
          <w:kern w:val="0"/>
          <w:sz w:val="20"/>
          <w:szCs w:val="20"/>
        </w:rPr>
        <w:t xml:space="preserve">A smaller, yet significant portion (47 individuals) combined tea cultivation with government or private sector employment. This group likely reflects individuals who use tea cultivation as a supplementary income source alongside formal sector jobs, demonstrating a diversification of livelihoods. The third group consisted of individuals engaged in cultivation of tea in conjunction with business activities. </w:t>
      </w:r>
    </w:p>
    <w:p w14:paraId="6096F548" w14:textId="1A4CB87B" w:rsidR="002A4C4E" w:rsidRDefault="002A4C4E" w:rsidP="002A4C4E">
      <w:pPr>
        <w:spacing w:line="360" w:lineRule="auto"/>
        <w:jc w:val="both"/>
        <w:rPr>
          <w:rFonts w:ascii="Arial" w:hAnsi="Arial" w:cs="Arial"/>
          <w:color w:val="0D0D0D"/>
          <w:kern w:val="0"/>
          <w:sz w:val="20"/>
          <w:szCs w:val="20"/>
        </w:rPr>
      </w:pPr>
      <w:r w:rsidRPr="002A4C4E">
        <w:rPr>
          <w:rFonts w:ascii="Arial" w:hAnsi="Arial" w:cs="Arial"/>
          <w:color w:val="0D0D0D"/>
          <w:kern w:val="0"/>
          <w:sz w:val="20"/>
          <w:szCs w:val="20"/>
        </w:rPr>
        <w:t>The analysis of occupational patterns of</w:t>
      </w:r>
      <w:r>
        <w:rPr>
          <w:rFonts w:ascii="Arial" w:hAnsi="Arial" w:cs="Arial"/>
          <w:color w:val="0D0D0D"/>
          <w:kern w:val="0"/>
          <w:sz w:val="20"/>
          <w:szCs w:val="20"/>
        </w:rPr>
        <w:t xml:space="preserve"> </w:t>
      </w:r>
      <w:r w:rsidRPr="002A4C4E">
        <w:rPr>
          <w:rFonts w:ascii="Arial" w:hAnsi="Arial" w:cs="Arial"/>
          <w:color w:val="0D0D0D"/>
          <w:kern w:val="0"/>
          <w:sz w:val="20"/>
          <w:szCs w:val="20"/>
        </w:rPr>
        <w:t>small</w:t>
      </w:r>
      <w:r>
        <w:rPr>
          <w:rFonts w:ascii="Arial" w:hAnsi="Arial" w:cs="Arial"/>
          <w:color w:val="0D0D0D"/>
          <w:kern w:val="0"/>
          <w:sz w:val="20"/>
          <w:szCs w:val="20"/>
        </w:rPr>
        <w:t xml:space="preserve"> </w:t>
      </w:r>
      <w:r w:rsidRPr="002A4C4E">
        <w:rPr>
          <w:rFonts w:ascii="Arial" w:hAnsi="Arial" w:cs="Arial"/>
          <w:color w:val="0D0D0D"/>
          <w:kern w:val="0"/>
          <w:sz w:val="20"/>
          <w:szCs w:val="20"/>
        </w:rPr>
        <w:t>tea</w:t>
      </w:r>
      <w:r>
        <w:rPr>
          <w:rFonts w:ascii="Arial" w:hAnsi="Arial" w:cs="Arial"/>
          <w:color w:val="0D0D0D"/>
          <w:kern w:val="0"/>
          <w:sz w:val="20"/>
          <w:szCs w:val="20"/>
        </w:rPr>
        <w:t xml:space="preserve"> </w:t>
      </w:r>
      <w:r w:rsidRPr="002A4C4E">
        <w:rPr>
          <w:rFonts w:ascii="Arial" w:hAnsi="Arial" w:cs="Arial"/>
          <w:color w:val="0D0D0D"/>
          <w:kern w:val="0"/>
          <w:sz w:val="20"/>
          <w:szCs w:val="20"/>
        </w:rPr>
        <w:t xml:space="preserve">growers had revealed that cultivation of tea was the predominant activity across all categories- marginal, small-scale and medium growers. A significant </w:t>
      </w:r>
      <w:r w:rsidRPr="002A4C4E">
        <w:rPr>
          <w:rFonts w:ascii="Arial" w:hAnsi="Arial" w:cs="Arial"/>
          <w:color w:val="0D0D0D"/>
          <w:kern w:val="0"/>
          <w:sz w:val="20"/>
          <w:szCs w:val="20"/>
        </w:rPr>
        <w:lastRenderedPageBreak/>
        <w:t>proportion of respondents were exclusively engaged</w:t>
      </w:r>
      <w:r>
        <w:rPr>
          <w:rFonts w:ascii="Arial" w:hAnsi="Arial" w:cs="Arial"/>
          <w:color w:val="0D0D0D"/>
          <w:kern w:val="0"/>
          <w:sz w:val="20"/>
          <w:szCs w:val="20"/>
        </w:rPr>
        <w:t xml:space="preserve"> </w:t>
      </w:r>
      <w:r w:rsidRPr="002A4C4E">
        <w:rPr>
          <w:rFonts w:ascii="Arial" w:hAnsi="Arial" w:cs="Arial"/>
          <w:color w:val="0D0D0D"/>
          <w:kern w:val="0"/>
          <w:sz w:val="20"/>
          <w:szCs w:val="20"/>
        </w:rPr>
        <w:t>in</w:t>
      </w:r>
      <w:r>
        <w:rPr>
          <w:rFonts w:ascii="Arial" w:hAnsi="Arial" w:cs="Arial"/>
          <w:color w:val="0D0D0D"/>
          <w:kern w:val="0"/>
          <w:sz w:val="20"/>
          <w:szCs w:val="20"/>
        </w:rPr>
        <w:t xml:space="preserve"> </w:t>
      </w:r>
      <w:r w:rsidRPr="002A4C4E">
        <w:rPr>
          <w:rFonts w:ascii="Arial" w:hAnsi="Arial" w:cs="Arial"/>
          <w:color w:val="0D0D0D"/>
          <w:kern w:val="0"/>
          <w:sz w:val="20"/>
          <w:szCs w:val="20"/>
        </w:rPr>
        <w:t>t</w:t>
      </w:r>
      <w:r>
        <w:rPr>
          <w:rFonts w:ascii="Arial" w:hAnsi="Arial" w:cs="Arial"/>
          <w:color w:val="0D0D0D"/>
          <w:kern w:val="0"/>
          <w:sz w:val="20"/>
          <w:szCs w:val="20"/>
        </w:rPr>
        <w:t xml:space="preserve">ea </w:t>
      </w:r>
      <w:r w:rsidRPr="002A4C4E">
        <w:rPr>
          <w:rFonts w:ascii="Arial" w:hAnsi="Arial" w:cs="Arial"/>
          <w:color w:val="0D0D0D"/>
          <w:kern w:val="0"/>
          <w:sz w:val="20"/>
          <w:szCs w:val="20"/>
        </w:rPr>
        <w:t>cultivation. In contrast, relatively smaller share of growers was seen to diversify the occupations by</w:t>
      </w:r>
      <w:r>
        <w:rPr>
          <w:rFonts w:ascii="Arial" w:hAnsi="Arial" w:cs="Arial"/>
          <w:color w:val="0D0D0D"/>
          <w:kern w:val="0"/>
          <w:sz w:val="20"/>
          <w:szCs w:val="20"/>
        </w:rPr>
        <w:t xml:space="preserve"> </w:t>
      </w:r>
      <w:r w:rsidRPr="002A4C4E">
        <w:rPr>
          <w:rFonts w:ascii="Arial" w:hAnsi="Arial" w:cs="Arial"/>
          <w:color w:val="0D0D0D"/>
          <w:kern w:val="0"/>
          <w:sz w:val="20"/>
          <w:szCs w:val="20"/>
        </w:rPr>
        <w:t>combining</w:t>
      </w:r>
      <w:r>
        <w:rPr>
          <w:rFonts w:ascii="Arial" w:hAnsi="Arial" w:cs="Arial"/>
          <w:color w:val="0D0D0D"/>
          <w:kern w:val="0"/>
          <w:sz w:val="20"/>
          <w:szCs w:val="20"/>
        </w:rPr>
        <w:t xml:space="preserve"> </w:t>
      </w:r>
      <w:r w:rsidRPr="002A4C4E">
        <w:rPr>
          <w:rFonts w:ascii="Arial" w:hAnsi="Arial" w:cs="Arial"/>
          <w:color w:val="0D0D0D"/>
          <w:kern w:val="0"/>
          <w:sz w:val="20"/>
          <w:szCs w:val="20"/>
        </w:rPr>
        <w:t xml:space="preserve">cultivation of tea with government or private sector employment and an even smaller fraction integrated business activities alongside tea farming. Marginal growers exhibited a slightly greater tendency toward occupational diversification compared to their small-scale and medium counterparts. However, the overall trend indicated the centrality of tea cultivation as the primary livelihood activity. </w:t>
      </w:r>
    </w:p>
    <w:p w14:paraId="2696E7AA" w14:textId="34B30CC0" w:rsidR="002A4C4E" w:rsidRDefault="002A4C4E" w:rsidP="002A4C4E">
      <w:pPr>
        <w:spacing w:line="360" w:lineRule="auto"/>
        <w:jc w:val="both"/>
        <w:rPr>
          <w:rFonts w:ascii="Arial" w:hAnsi="Arial" w:cs="Arial"/>
          <w:b/>
          <w:bCs/>
          <w:color w:val="0D0D0D"/>
          <w:kern w:val="0"/>
          <w:sz w:val="20"/>
          <w:szCs w:val="20"/>
        </w:rPr>
      </w:pPr>
      <w:r>
        <w:rPr>
          <w:rFonts w:ascii="Arial" w:hAnsi="Arial" w:cs="Arial"/>
          <w:b/>
          <w:bCs/>
          <w:color w:val="0D0D0D"/>
          <w:kern w:val="0"/>
          <w:sz w:val="20"/>
          <w:szCs w:val="20"/>
        </w:rPr>
        <w:t>Table 4.: Occupational pattern of the respondents of Tinsukia and Dibrugarh districts</w:t>
      </w:r>
    </w:p>
    <w:tbl>
      <w:tblPr>
        <w:tblStyle w:val="GridTable1Light-Accent3"/>
        <w:tblpPr w:leftFromText="180" w:rightFromText="180" w:vertAnchor="text" w:horzAnchor="margin" w:tblpY="-27"/>
        <w:tblW w:w="9118" w:type="dxa"/>
        <w:tblLook w:val="04A0" w:firstRow="1" w:lastRow="0" w:firstColumn="1" w:lastColumn="0" w:noHBand="0" w:noVBand="1"/>
      </w:tblPr>
      <w:tblGrid>
        <w:gridCol w:w="3007"/>
        <w:gridCol w:w="1506"/>
        <w:gridCol w:w="1505"/>
        <w:gridCol w:w="1506"/>
        <w:gridCol w:w="1594"/>
      </w:tblGrid>
      <w:tr w:rsidR="002A4C4E" w:rsidRPr="002A4C4E" w14:paraId="52F56F17" w14:textId="77777777" w:rsidTr="00BA231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7" w:type="dxa"/>
            <w:noWrap/>
            <w:hideMark/>
          </w:tcPr>
          <w:p w14:paraId="6C64AE25" w14:textId="77777777" w:rsidR="002A4C4E" w:rsidRPr="002A4C4E" w:rsidRDefault="002A4C4E" w:rsidP="00BA2319">
            <w:pPr>
              <w:jc w:val="center"/>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Occupation</w:t>
            </w:r>
          </w:p>
        </w:tc>
        <w:tc>
          <w:tcPr>
            <w:tcW w:w="1506" w:type="dxa"/>
            <w:noWrap/>
            <w:hideMark/>
          </w:tcPr>
          <w:p w14:paraId="6D79B8A6" w14:textId="77777777" w:rsidR="002A4C4E" w:rsidRPr="002A4C4E" w:rsidRDefault="002A4C4E" w:rsidP="00BA231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Marginal</w:t>
            </w:r>
          </w:p>
        </w:tc>
        <w:tc>
          <w:tcPr>
            <w:tcW w:w="1505" w:type="dxa"/>
            <w:noWrap/>
            <w:hideMark/>
          </w:tcPr>
          <w:p w14:paraId="71ADB834" w14:textId="77777777" w:rsidR="002A4C4E" w:rsidRPr="002A4C4E" w:rsidRDefault="002A4C4E" w:rsidP="00BA231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Small-scale</w:t>
            </w:r>
          </w:p>
        </w:tc>
        <w:tc>
          <w:tcPr>
            <w:tcW w:w="1506" w:type="dxa"/>
            <w:noWrap/>
            <w:hideMark/>
          </w:tcPr>
          <w:p w14:paraId="3080A57E" w14:textId="77777777" w:rsidR="002A4C4E" w:rsidRPr="002A4C4E" w:rsidRDefault="002A4C4E" w:rsidP="00BA231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Medium</w:t>
            </w:r>
          </w:p>
        </w:tc>
        <w:tc>
          <w:tcPr>
            <w:tcW w:w="1594" w:type="dxa"/>
            <w:noWrap/>
            <w:hideMark/>
          </w:tcPr>
          <w:p w14:paraId="52599D54" w14:textId="77777777" w:rsidR="002A4C4E" w:rsidRPr="002A4C4E" w:rsidRDefault="002A4C4E" w:rsidP="00BA231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Total</w:t>
            </w:r>
          </w:p>
        </w:tc>
      </w:tr>
      <w:tr w:rsidR="002A4C4E" w:rsidRPr="002A4C4E" w14:paraId="65BDB56B" w14:textId="77777777" w:rsidTr="00BA2319">
        <w:trPr>
          <w:trHeight w:val="454"/>
        </w:trPr>
        <w:tc>
          <w:tcPr>
            <w:cnfStyle w:val="001000000000" w:firstRow="0" w:lastRow="0" w:firstColumn="1" w:lastColumn="0" w:oddVBand="0" w:evenVBand="0" w:oddHBand="0" w:evenHBand="0" w:firstRowFirstColumn="0" w:firstRowLastColumn="0" w:lastRowFirstColumn="0" w:lastRowLastColumn="0"/>
            <w:tcW w:w="3007" w:type="dxa"/>
            <w:noWrap/>
            <w:hideMark/>
          </w:tcPr>
          <w:p w14:paraId="2CB39B73" w14:textId="77777777" w:rsidR="002A4C4E" w:rsidRPr="002A4C4E" w:rsidRDefault="002A4C4E" w:rsidP="00BA2319">
            <w:pPr>
              <w:jc w:val="center"/>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Tea cultivation</w:t>
            </w:r>
          </w:p>
        </w:tc>
        <w:tc>
          <w:tcPr>
            <w:tcW w:w="1506" w:type="dxa"/>
            <w:noWrap/>
            <w:hideMark/>
          </w:tcPr>
          <w:p w14:paraId="015F594E"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60</w:t>
            </w:r>
          </w:p>
        </w:tc>
        <w:tc>
          <w:tcPr>
            <w:tcW w:w="1505" w:type="dxa"/>
            <w:noWrap/>
            <w:hideMark/>
          </w:tcPr>
          <w:p w14:paraId="41F1C699"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45</w:t>
            </w:r>
          </w:p>
        </w:tc>
        <w:tc>
          <w:tcPr>
            <w:tcW w:w="1506" w:type="dxa"/>
            <w:noWrap/>
            <w:hideMark/>
          </w:tcPr>
          <w:p w14:paraId="735CBD70"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29</w:t>
            </w:r>
          </w:p>
        </w:tc>
        <w:tc>
          <w:tcPr>
            <w:tcW w:w="1594" w:type="dxa"/>
            <w:noWrap/>
            <w:hideMark/>
          </w:tcPr>
          <w:p w14:paraId="47DC5F88"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134</w:t>
            </w:r>
          </w:p>
          <w:p w14:paraId="6C49C955"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(68)</w:t>
            </w:r>
          </w:p>
        </w:tc>
      </w:tr>
      <w:tr w:rsidR="002A4C4E" w:rsidRPr="002A4C4E" w14:paraId="11B8CC4F" w14:textId="77777777" w:rsidTr="00BA2319">
        <w:trPr>
          <w:trHeight w:val="454"/>
        </w:trPr>
        <w:tc>
          <w:tcPr>
            <w:cnfStyle w:val="001000000000" w:firstRow="0" w:lastRow="0" w:firstColumn="1" w:lastColumn="0" w:oddVBand="0" w:evenVBand="0" w:oddHBand="0" w:evenHBand="0" w:firstRowFirstColumn="0" w:firstRowLastColumn="0" w:lastRowFirstColumn="0" w:lastRowLastColumn="0"/>
            <w:tcW w:w="3007" w:type="dxa"/>
            <w:noWrap/>
            <w:hideMark/>
          </w:tcPr>
          <w:p w14:paraId="39E5A74F" w14:textId="71A77A87" w:rsidR="002A4C4E" w:rsidRPr="002A4C4E" w:rsidRDefault="002A4C4E" w:rsidP="00BA2319">
            <w:pPr>
              <w:jc w:val="center"/>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Tea cultivation+ Govt./</w:t>
            </w:r>
            <w:r w:rsidR="00AF1167">
              <w:rPr>
                <w:rFonts w:ascii="Arial" w:eastAsia="Times New Roman" w:hAnsi="Arial" w:cs="Arial"/>
                <w:kern w:val="0"/>
                <w:sz w:val="20"/>
                <w:szCs w:val="20"/>
                <w:lang w:eastAsia="en-IN"/>
                <w14:ligatures w14:val="none"/>
              </w:rPr>
              <w:t xml:space="preserve"> </w:t>
            </w:r>
            <w:proofErr w:type="spellStart"/>
            <w:r w:rsidRPr="002A4C4E">
              <w:rPr>
                <w:rFonts w:ascii="Arial" w:eastAsia="Times New Roman" w:hAnsi="Arial" w:cs="Arial"/>
                <w:kern w:val="0"/>
                <w:sz w:val="20"/>
                <w:szCs w:val="20"/>
                <w:lang w:eastAsia="en-IN"/>
                <w14:ligatures w14:val="none"/>
              </w:rPr>
              <w:t>Pvt.</w:t>
            </w:r>
            <w:proofErr w:type="spellEnd"/>
            <w:r w:rsidRPr="002A4C4E">
              <w:rPr>
                <w:rFonts w:ascii="Arial" w:eastAsia="Times New Roman" w:hAnsi="Arial" w:cs="Arial"/>
                <w:kern w:val="0"/>
                <w:sz w:val="20"/>
                <w:szCs w:val="20"/>
                <w:lang w:eastAsia="en-IN"/>
                <w14:ligatures w14:val="none"/>
              </w:rPr>
              <w:t xml:space="preserve"> Service</w:t>
            </w:r>
          </w:p>
        </w:tc>
        <w:tc>
          <w:tcPr>
            <w:tcW w:w="1506" w:type="dxa"/>
            <w:noWrap/>
            <w:hideMark/>
          </w:tcPr>
          <w:p w14:paraId="3A504895"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19</w:t>
            </w:r>
          </w:p>
        </w:tc>
        <w:tc>
          <w:tcPr>
            <w:tcW w:w="1505" w:type="dxa"/>
            <w:noWrap/>
            <w:hideMark/>
          </w:tcPr>
          <w:p w14:paraId="34FD4F86"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20</w:t>
            </w:r>
          </w:p>
        </w:tc>
        <w:tc>
          <w:tcPr>
            <w:tcW w:w="1506" w:type="dxa"/>
            <w:noWrap/>
            <w:hideMark/>
          </w:tcPr>
          <w:p w14:paraId="74E0A7E2"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8</w:t>
            </w:r>
          </w:p>
        </w:tc>
        <w:tc>
          <w:tcPr>
            <w:tcW w:w="1594" w:type="dxa"/>
            <w:noWrap/>
            <w:hideMark/>
          </w:tcPr>
          <w:p w14:paraId="699591FE"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47</w:t>
            </w:r>
          </w:p>
          <w:p w14:paraId="2A0EB815"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(24)</w:t>
            </w:r>
          </w:p>
        </w:tc>
      </w:tr>
      <w:tr w:rsidR="002A4C4E" w:rsidRPr="002A4C4E" w14:paraId="1C783CB6" w14:textId="77777777" w:rsidTr="00BA2319">
        <w:trPr>
          <w:trHeight w:val="454"/>
        </w:trPr>
        <w:tc>
          <w:tcPr>
            <w:cnfStyle w:val="001000000000" w:firstRow="0" w:lastRow="0" w:firstColumn="1" w:lastColumn="0" w:oddVBand="0" w:evenVBand="0" w:oddHBand="0" w:evenHBand="0" w:firstRowFirstColumn="0" w:firstRowLastColumn="0" w:lastRowFirstColumn="0" w:lastRowLastColumn="0"/>
            <w:tcW w:w="3007" w:type="dxa"/>
            <w:noWrap/>
            <w:hideMark/>
          </w:tcPr>
          <w:p w14:paraId="79829B88" w14:textId="4D8B3CC7" w:rsidR="002A4C4E" w:rsidRPr="002A4C4E" w:rsidRDefault="002A4C4E" w:rsidP="00BA2319">
            <w:pPr>
              <w:jc w:val="center"/>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Tea cultivation+</w:t>
            </w:r>
            <w:r w:rsidR="00AF1167">
              <w:rPr>
                <w:rFonts w:ascii="Arial" w:eastAsia="Times New Roman" w:hAnsi="Arial" w:cs="Arial"/>
                <w:kern w:val="0"/>
                <w:sz w:val="20"/>
                <w:szCs w:val="20"/>
                <w:lang w:eastAsia="en-IN"/>
                <w14:ligatures w14:val="none"/>
              </w:rPr>
              <w:t xml:space="preserve"> </w:t>
            </w:r>
            <w:r w:rsidRPr="002A4C4E">
              <w:rPr>
                <w:rFonts w:ascii="Arial" w:eastAsia="Times New Roman" w:hAnsi="Arial" w:cs="Arial"/>
                <w:kern w:val="0"/>
                <w:sz w:val="20"/>
                <w:szCs w:val="20"/>
                <w:lang w:eastAsia="en-IN"/>
                <w14:ligatures w14:val="none"/>
              </w:rPr>
              <w:t>Business</w:t>
            </w:r>
          </w:p>
        </w:tc>
        <w:tc>
          <w:tcPr>
            <w:tcW w:w="1506" w:type="dxa"/>
            <w:noWrap/>
            <w:hideMark/>
          </w:tcPr>
          <w:p w14:paraId="2295B063"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8</w:t>
            </w:r>
          </w:p>
        </w:tc>
        <w:tc>
          <w:tcPr>
            <w:tcW w:w="1505" w:type="dxa"/>
            <w:noWrap/>
            <w:hideMark/>
          </w:tcPr>
          <w:p w14:paraId="639C82BB"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8</w:t>
            </w:r>
          </w:p>
        </w:tc>
        <w:tc>
          <w:tcPr>
            <w:tcW w:w="1506" w:type="dxa"/>
            <w:noWrap/>
            <w:hideMark/>
          </w:tcPr>
          <w:p w14:paraId="065025B1"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0</w:t>
            </w:r>
          </w:p>
        </w:tc>
        <w:tc>
          <w:tcPr>
            <w:tcW w:w="1594" w:type="dxa"/>
            <w:noWrap/>
            <w:hideMark/>
          </w:tcPr>
          <w:p w14:paraId="4BC29E0A"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16</w:t>
            </w:r>
          </w:p>
          <w:p w14:paraId="0435BBF4"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(8)</w:t>
            </w:r>
          </w:p>
        </w:tc>
      </w:tr>
      <w:tr w:rsidR="002A4C4E" w:rsidRPr="002A4C4E" w14:paraId="1AAF80EB" w14:textId="77777777" w:rsidTr="00BA2319">
        <w:trPr>
          <w:trHeight w:val="454"/>
        </w:trPr>
        <w:tc>
          <w:tcPr>
            <w:cnfStyle w:val="001000000000" w:firstRow="0" w:lastRow="0" w:firstColumn="1" w:lastColumn="0" w:oddVBand="0" w:evenVBand="0" w:oddHBand="0" w:evenHBand="0" w:firstRowFirstColumn="0" w:firstRowLastColumn="0" w:lastRowFirstColumn="0" w:lastRowLastColumn="0"/>
            <w:tcW w:w="3007" w:type="dxa"/>
            <w:noWrap/>
            <w:hideMark/>
          </w:tcPr>
          <w:p w14:paraId="4BBDC704" w14:textId="77777777" w:rsidR="002A4C4E" w:rsidRPr="002A4C4E" w:rsidRDefault="002A4C4E" w:rsidP="00BA2319">
            <w:pPr>
              <w:jc w:val="center"/>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Total</w:t>
            </w:r>
          </w:p>
        </w:tc>
        <w:tc>
          <w:tcPr>
            <w:tcW w:w="1506" w:type="dxa"/>
            <w:noWrap/>
            <w:hideMark/>
          </w:tcPr>
          <w:p w14:paraId="4A88C76F"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87</w:t>
            </w:r>
          </w:p>
        </w:tc>
        <w:tc>
          <w:tcPr>
            <w:tcW w:w="1505" w:type="dxa"/>
            <w:noWrap/>
            <w:hideMark/>
          </w:tcPr>
          <w:p w14:paraId="7C57C523"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73</w:t>
            </w:r>
          </w:p>
        </w:tc>
        <w:tc>
          <w:tcPr>
            <w:tcW w:w="1506" w:type="dxa"/>
            <w:noWrap/>
            <w:hideMark/>
          </w:tcPr>
          <w:p w14:paraId="4E32CB6C"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37</w:t>
            </w:r>
          </w:p>
        </w:tc>
        <w:tc>
          <w:tcPr>
            <w:tcW w:w="1594" w:type="dxa"/>
            <w:noWrap/>
            <w:hideMark/>
          </w:tcPr>
          <w:p w14:paraId="0DB2C3E1"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197</w:t>
            </w:r>
          </w:p>
          <w:p w14:paraId="1E1159D2"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(100)</w:t>
            </w:r>
          </w:p>
        </w:tc>
      </w:tr>
    </w:tbl>
    <w:p w14:paraId="2743520E" w14:textId="77777777" w:rsidR="00BA2319" w:rsidRPr="00BA2319" w:rsidRDefault="00BA2319" w:rsidP="00BA2319">
      <w:pPr>
        <w:spacing w:line="360" w:lineRule="auto"/>
        <w:jc w:val="both"/>
        <w:rPr>
          <w:rFonts w:ascii="Arial" w:hAnsi="Arial" w:cs="Arial"/>
          <w:i/>
          <w:iCs/>
          <w:color w:val="0D0D0D"/>
          <w:kern w:val="0"/>
          <w:sz w:val="20"/>
          <w:szCs w:val="20"/>
        </w:rPr>
      </w:pPr>
      <w:r w:rsidRPr="00BA2319">
        <w:rPr>
          <w:rFonts w:ascii="Arial" w:hAnsi="Arial" w:cs="Arial"/>
          <w:color w:val="0D0D0D"/>
          <w:kern w:val="0"/>
          <w:sz w:val="20"/>
          <w:szCs w:val="20"/>
        </w:rPr>
        <w:t>*</w:t>
      </w:r>
      <w:r w:rsidRPr="00BA2319">
        <w:rPr>
          <w:rFonts w:ascii="Arial" w:hAnsi="Arial" w:cs="Arial"/>
          <w:i/>
          <w:iCs/>
          <w:color w:val="0D0D0D"/>
          <w:kern w:val="0"/>
          <w:sz w:val="20"/>
          <w:szCs w:val="20"/>
        </w:rPr>
        <w:t>Figures in parentheses represent percentage</w:t>
      </w:r>
    </w:p>
    <w:p w14:paraId="26E7CC56" w14:textId="77777777" w:rsidR="00AF1167" w:rsidRPr="00AF1167" w:rsidRDefault="00AF1167" w:rsidP="00AF1167">
      <w:pPr>
        <w:spacing w:line="360" w:lineRule="auto"/>
        <w:jc w:val="both"/>
        <w:rPr>
          <w:rFonts w:ascii="Arial" w:hAnsi="Arial" w:cs="Arial"/>
          <w:color w:val="0D0D0D"/>
          <w:kern w:val="0"/>
          <w:sz w:val="20"/>
          <w:szCs w:val="20"/>
        </w:rPr>
      </w:pPr>
      <w:r w:rsidRPr="00AF1167">
        <w:rPr>
          <w:rFonts w:ascii="Arial" w:hAnsi="Arial" w:cs="Arial"/>
          <w:color w:val="0D0D0D"/>
          <w:kern w:val="0"/>
          <w:sz w:val="20"/>
          <w:szCs w:val="20"/>
        </w:rPr>
        <w:t>A chi-square test determined the association between landholding groups and occupation of respondents on the dataset of Tinsukia and Dibrugarh districts. The test results are as follows:</w:t>
      </w:r>
    </w:p>
    <w:p w14:paraId="2596C35B" w14:textId="5BB60257" w:rsidR="00AF1167" w:rsidRPr="00AF1167" w:rsidRDefault="00AF1167" w:rsidP="00AF1167">
      <w:pPr>
        <w:pStyle w:val="ListParagraph"/>
        <w:numPr>
          <w:ilvl w:val="0"/>
          <w:numId w:val="5"/>
        </w:numPr>
        <w:spacing w:line="360" w:lineRule="auto"/>
        <w:jc w:val="both"/>
        <w:rPr>
          <w:rFonts w:ascii="Arial" w:hAnsi="Arial" w:cs="Arial"/>
          <w:color w:val="0D0D0D"/>
          <w:kern w:val="0"/>
          <w:sz w:val="20"/>
          <w:szCs w:val="20"/>
        </w:rPr>
      </w:pPr>
      <w:bookmarkStart w:id="5" w:name="_Hlk197898471"/>
      <w:r w:rsidRPr="00AF1167">
        <w:rPr>
          <w:rFonts w:ascii="Arial" w:hAnsi="Arial" w:cs="Arial"/>
          <w:color w:val="0D0D0D"/>
          <w:kern w:val="0"/>
          <w:sz w:val="20"/>
          <w:szCs w:val="20"/>
        </w:rPr>
        <w:t>Chi-square statistic (</w:t>
      </w:r>
      <m:oMath>
        <m:sSup>
          <m:sSupPr>
            <m:ctrlPr>
              <w:rPr>
                <w:rFonts w:ascii="Cambria Math" w:hAnsi="Cambria Math" w:cs="Arial"/>
                <w:i/>
                <w:color w:val="0D0D0D"/>
                <w:kern w:val="0"/>
                <w:sz w:val="20"/>
                <w:szCs w:val="20"/>
              </w:rPr>
            </m:ctrlPr>
          </m:sSupPr>
          <m:e>
            <m:r>
              <w:rPr>
                <w:rFonts w:ascii="Cambria Math" w:hAnsi="Cambria Math" w:cs="Arial"/>
                <w:color w:val="0D0D0D"/>
                <w:kern w:val="0"/>
                <w:sz w:val="20"/>
                <w:szCs w:val="20"/>
              </w:rPr>
              <m:t>χ</m:t>
            </m:r>
          </m:e>
          <m:sup>
            <m:r>
              <w:rPr>
                <w:rFonts w:ascii="Cambria Math" w:hAnsi="Cambria Math" w:cs="Arial"/>
                <w:color w:val="0D0D0D"/>
                <w:kern w:val="0"/>
                <w:sz w:val="20"/>
                <w:szCs w:val="20"/>
              </w:rPr>
              <m:t>2</m:t>
            </m:r>
          </m:sup>
        </m:sSup>
        <m:r>
          <w:rPr>
            <w:rFonts w:ascii="Cambria Math" w:hAnsi="Cambria Math" w:cs="Arial"/>
            <w:color w:val="0D0D0D"/>
            <w:kern w:val="0"/>
            <w:sz w:val="20"/>
            <w:szCs w:val="20"/>
          </w:rPr>
          <m:t>)</m:t>
        </m:r>
      </m:oMath>
      <w:r w:rsidRPr="00AF1167">
        <w:rPr>
          <w:rFonts w:ascii="Arial" w:eastAsiaTheme="minorEastAsia" w:hAnsi="Arial" w:cs="Arial"/>
          <w:color w:val="0D0D0D"/>
          <w:kern w:val="0"/>
          <w:sz w:val="20"/>
          <w:szCs w:val="20"/>
        </w:rPr>
        <w:t>= 3.57</w:t>
      </w:r>
    </w:p>
    <w:p w14:paraId="23D131CF" w14:textId="601176AD" w:rsidR="00AF1167" w:rsidRPr="00AF1167" w:rsidRDefault="00AF1167" w:rsidP="00AF1167">
      <w:pPr>
        <w:pStyle w:val="ListParagraph"/>
        <w:numPr>
          <w:ilvl w:val="0"/>
          <w:numId w:val="5"/>
        </w:numPr>
        <w:spacing w:line="360" w:lineRule="auto"/>
        <w:jc w:val="both"/>
        <w:rPr>
          <w:rFonts w:ascii="Arial" w:hAnsi="Arial" w:cs="Arial"/>
          <w:color w:val="0D0D0D"/>
          <w:kern w:val="0"/>
          <w:sz w:val="20"/>
          <w:szCs w:val="20"/>
        </w:rPr>
      </w:pPr>
      <w:r w:rsidRPr="00AF1167">
        <w:rPr>
          <w:rFonts w:ascii="Arial" w:eastAsiaTheme="minorEastAsia" w:hAnsi="Arial" w:cs="Arial"/>
          <w:i/>
          <w:iCs/>
          <w:color w:val="0D0D0D"/>
          <w:kern w:val="0"/>
          <w:sz w:val="20"/>
          <w:szCs w:val="20"/>
        </w:rPr>
        <w:t>p-</w:t>
      </w:r>
      <w:r w:rsidRPr="00AF1167">
        <w:rPr>
          <w:rFonts w:ascii="Arial" w:eastAsiaTheme="minorEastAsia" w:hAnsi="Arial" w:cs="Arial"/>
          <w:color w:val="0D0D0D"/>
          <w:kern w:val="0"/>
          <w:sz w:val="20"/>
          <w:szCs w:val="20"/>
        </w:rPr>
        <w:t>value= 0.466</w:t>
      </w:r>
    </w:p>
    <w:p w14:paraId="2B708B12" w14:textId="64CF2883" w:rsidR="00AF1167" w:rsidRPr="00AF1167" w:rsidRDefault="00AF1167" w:rsidP="00AF1167">
      <w:pPr>
        <w:pStyle w:val="ListParagraph"/>
        <w:numPr>
          <w:ilvl w:val="0"/>
          <w:numId w:val="5"/>
        </w:numPr>
        <w:spacing w:line="360" w:lineRule="auto"/>
        <w:jc w:val="both"/>
        <w:rPr>
          <w:rFonts w:ascii="Arial" w:hAnsi="Arial" w:cs="Arial"/>
          <w:color w:val="0D0D0D"/>
          <w:kern w:val="0"/>
          <w:sz w:val="20"/>
          <w:szCs w:val="20"/>
        </w:rPr>
      </w:pPr>
      <w:r w:rsidRPr="00AF1167">
        <w:rPr>
          <w:rFonts w:ascii="Arial" w:eastAsiaTheme="minorEastAsia" w:hAnsi="Arial" w:cs="Arial"/>
          <w:color w:val="0D0D0D"/>
          <w:kern w:val="0"/>
          <w:sz w:val="20"/>
          <w:szCs w:val="20"/>
        </w:rPr>
        <w:t>Degrees of freedom = 4</w:t>
      </w:r>
    </w:p>
    <w:bookmarkEnd w:id="5"/>
    <w:p w14:paraId="17940636" w14:textId="7A521ACE" w:rsidR="00AF1167" w:rsidRDefault="00AF1167" w:rsidP="00AF1167">
      <w:pPr>
        <w:spacing w:line="360" w:lineRule="auto"/>
        <w:jc w:val="both"/>
        <w:rPr>
          <w:rFonts w:ascii="Arial" w:hAnsi="Arial" w:cs="Arial"/>
          <w:color w:val="0D0D0D"/>
          <w:kern w:val="0"/>
          <w:sz w:val="20"/>
          <w:szCs w:val="20"/>
        </w:rPr>
      </w:pPr>
      <w:r w:rsidRPr="00AF1167">
        <w:rPr>
          <w:rFonts w:ascii="Arial" w:hAnsi="Arial" w:cs="Arial"/>
          <w:color w:val="0D0D0D"/>
          <w:kern w:val="0"/>
          <w:sz w:val="20"/>
          <w:szCs w:val="20"/>
        </w:rPr>
        <w:t xml:space="preserve">The </w:t>
      </w:r>
      <w:r w:rsidRPr="00AF1167">
        <w:rPr>
          <w:rFonts w:ascii="Arial" w:hAnsi="Arial" w:cs="Arial"/>
          <w:i/>
          <w:iCs/>
          <w:color w:val="0D0D0D"/>
          <w:kern w:val="0"/>
          <w:sz w:val="20"/>
          <w:szCs w:val="20"/>
        </w:rPr>
        <w:t>p</w:t>
      </w:r>
      <w:r w:rsidRPr="00AF1167">
        <w:rPr>
          <w:rFonts w:ascii="Arial" w:hAnsi="Arial" w:cs="Arial"/>
          <w:color w:val="0D0D0D"/>
          <w:kern w:val="0"/>
          <w:sz w:val="20"/>
          <w:szCs w:val="20"/>
        </w:rPr>
        <w:t xml:space="preserve">-value for the dataset is &gt;0.05, thus, there is no statistically significant relationship between occupation and landholding categories. </w:t>
      </w:r>
    </w:p>
    <w:p w14:paraId="7D1E51AE" w14:textId="76924813" w:rsidR="00AF1167" w:rsidRDefault="00AF1167" w:rsidP="00AF1167">
      <w:pPr>
        <w:spacing w:line="360" w:lineRule="auto"/>
        <w:jc w:val="both"/>
        <w:rPr>
          <w:rFonts w:ascii="Arial" w:hAnsi="Arial" w:cs="Arial"/>
          <w:b/>
          <w:bCs/>
          <w:color w:val="0D0D0D"/>
          <w:kern w:val="0"/>
          <w:sz w:val="20"/>
          <w:szCs w:val="20"/>
        </w:rPr>
      </w:pPr>
      <w:r>
        <w:rPr>
          <w:rFonts w:ascii="Arial" w:hAnsi="Arial" w:cs="Arial"/>
          <w:b/>
          <w:bCs/>
          <w:color w:val="0D0D0D"/>
          <w:kern w:val="0"/>
          <w:sz w:val="20"/>
          <w:szCs w:val="20"/>
        </w:rPr>
        <w:t>4.5. Annual Income</w:t>
      </w:r>
    </w:p>
    <w:p w14:paraId="3D751F4B" w14:textId="479AB6F3" w:rsidR="00AF1167" w:rsidRDefault="00AF1167" w:rsidP="00AF1167">
      <w:pPr>
        <w:spacing w:line="360" w:lineRule="auto"/>
        <w:jc w:val="both"/>
        <w:rPr>
          <w:rFonts w:ascii="Arial" w:hAnsi="Arial" w:cs="Arial"/>
          <w:color w:val="0D0D0D"/>
          <w:kern w:val="0"/>
          <w:sz w:val="20"/>
          <w:szCs w:val="20"/>
        </w:rPr>
      </w:pPr>
      <w:r w:rsidRPr="00AF1167">
        <w:rPr>
          <w:rFonts w:ascii="Arial" w:hAnsi="Arial" w:cs="Arial"/>
          <w:color w:val="0D0D0D"/>
          <w:kern w:val="0"/>
          <w:sz w:val="20"/>
          <w:szCs w:val="20"/>
        </w:rPr>
        <w:t>The total earnings of a household from various sources show the financial condition of that specific household. This also serves as a sign of that household's living standard. The study evaluated the yearly income of participants from the study area. For analysis purposes, the</w:t>
      </w:r>
      <w:r w:rsidRPr="00AF1167">
        <w:rPr>
          <w:rFonts w:ascii="Arial" w:hAnsi="Arial" w:cs="Arial"/>
          <w:color w:val="FFFFFF" w:themeColor="background1"/>
          <w:kern w:val="0"/>
          <w:sz w:val="20"/>
          <w:szCs w:val="20"/>
        </w:rPr>
        <w:t xml:space="preserve"> </w:t>
      </w:r>
      <w:r w:rsidRPr="00AF1167">
        <w:rPr>
          <w:rFonts w:ascii="Arial" w:hAnsi="Arial" w:cs="Arial"/>
          <w:color w:val="0D0D0D"/>
          <w:kern w:val="0"/>
          <w:sz w:val="20"/>
          <w:szCs w:val="20"/>
        </w:rPr>
        <w:t>income</w:t>
      </w:r>
      <w:r w:rsidRPr="00AF1167">
        <w:rPr>
          <w:rFonts w:ascii="Arial" w:hAnsi="Arial" w:cs="Arial"/>
          <w:color w:val="FFFFFF" w:themeColor="background1"/>
          <w:kern w:val="0"/>
          <w:sz w:val="20"/>
          <w:szCs w:val="20"/>
        </w:rPr>
        <w:t xml:space="preserve"> </w:t>
      </w:r>
      <w:r w:rsidRPr="00AF1167">
        <w:rPr>
          <w:rFonts w:ascii="Arial" w:hAnsi="Arial" w:cs="Arial"/>
          <w:color w:val="0D0D0D"/>
          <w:kern w:val="0"/>
          <w:sz w:val="20"/>
          <w:szCs w:val="20"/>
        </w:rPr>
        <w:t>of</w:t>
      </w:r>
      <w:r w:rsidRPr="00AF1167">
        <w:rPr>
          <w:rFonts w:ascii="Arial" w:hAnsi="Arial" w:cs="Arial"/>
          <w:color w:val="FFFFFF" w:themeColor="background1"/>
          <w:kern w:val="0"/>
          <w:sz w:val="20"/>
          <w:szCs w:val="20"/>
        </w:rPr>
        <w:t xml:space="preserve"> </w:t>
      </w:r>
      <w:r w:rsidRPr="00AF1167">
        <w:rPr>
          <w:rFonts w:ascii="Arial" w:hAnsi="Arial" w:cs="Arial"/>
          <w:color w:val="0D0D0D"/>
          <w:kern w:val="0"/>
          <w:sz w:val="20"/>
          <w:szCs w:val="20"/>
        </w:rPr>
        <w:t>the sampled</w:t>
      </w:r>
      <w:r w:rsidRPr="00AF1167">
        <w:rPr>
          <w:rFonts w:ascii="Arial" w:hAnsi="Arial" w:cs="Arial"/>
          <w:color w:val="FFFFFF" w:themeColor="background1"/>
          <w:kern w:val="0"/>
          <w:sz w:val="20"/>
          <w:szCs w:val="20"/>
        </w:rPr>
        <w:t xml:space="preserve"> </w:t>
      </w:r>
      <w:r w:rsidRPr="00AF1167">
        <w:rPr>
          <w:rFonts w:ascii="Arial" w:hAnsi="Arial" w:cs="Arial"/>
          <w:color w:val="0D0D0D"/>
          <w:kern w:val="0"/>
          <w:sz w:val="20"/>
          <w:szCs w:val="20"/>
        </w:rPr>
        <w:t>households had been divided into</w:t>
      </w:r>
      <w:r w:rsidRPr="00AF1167">
        <w:rPr>
          <w:rFonts w:ascii="Arial" w:hAnsi="Arial" w:cs="Arial"/>
          <w:color w:val="FFFFFF" w:themeColor="background1"/>
          <w:kern w:val="0"/>
          <w:sz w:val="20"/>
          <w:szCs w:val="20"/>
        </w:rPr>
        <w:t xml:space="preserve"> </w:t>
      </w:r>
      <w:r w:rsidRPr="00AF1167">
        <w:rPr>
          <w:rFonts w:ascii="Arial" w:hAnsi="Arial" w:cs="Arial"/>
          <w:kern w:val="0"/>
          <w:sz w:val="20"/>
          <w:szCs w:val="20"/>
        </w:rPr>
        <w:t>three-groups</w:t>
      </w:r>
      <w:r w:rsidRPr="00AF1167">
        <w:rPr>
          <w:rFonts w:ascii="Arial" w:hAnsi="Arial" w:cs="Arial"/>
          <w:color w:val="0D0D0D"/>
          <w:kern w:val="0"/>
          <w:sz w:val="20"/>
          <w:szCs w:val="20"/>
        </w:rPr>
        <w:t>: low</w:t>
      </w:r>
      <w:r w:rsidRPr="00AF1167">
        <w:rPr>
          <w:rFonts w:ascii="Arial" w:hAnsi="Arial" w:cs="Arial"/>
          <w:color w:val="FFFFFF" w:themeColor="background1"/>
          <w:kern w:val="0"/>
          <w:sz w:val="20"/>
          <w:szCs w:val="20"/>
        </w:rPr>
        <w:t>-</w:t>
      </w:r>
      <w:r w:rsidRPr="00AF1167">
        <w:rPr>
          <w:rFonts w:ascii="Arial" w:hAnsi="Arial" w:cs="Arial"/>
          <w:color w:val="0D0D0D"/>
          <w:kern w:val="0"/>
          <w:sz w:val="20"/>
          <w:szCs w:val="20"/>
        </w:rPr>
        <w:t>-income (less than 3 lakhs), middle-income (between 3 and 6 lakhs), and high-income (&gt;6 lakhs).</w:t>
      </w:r>
    </w:p>
    <w:p w14:paraId="56BC8BBC" w14:textId="1806458A" w:rsidR="00AF1167" w:rsidRPr="00AF1167" w:rsidRDefault="00AF1167" w:rsidP="00AF1167">
      <w:pPr>
        <w:spacing w:line="360" w:lineRule="auto"/>
        <w:jc w:val="both"/>
        <w:rPr>
          <w:rFonts w:ascii="Arial" w:hAnsi="Arial" w:cs="Arial"/>
          <w:color w:val="0D0D0D"/>
          <w:kern w:val="0"/>
          <w:sz w:val="20"/>
          <w:szCs w:val="20"/>
        </w:rPr>
      </w:pPr>
      <w:r w:rsidRPr="00AF1167">
        <w:rPr>
          <w:rFonts w:ascii="Arial" w:hAnsi="Arial" w:cs="Arial"/>
          <w:color w:val="0D0D0D"/>
          <w:kern w:val="0"/>
          <w:sz w:val="20"/>
          <w:szCs w:val="20"/>
        </w:rPr>
        <w:t>From the dataset, a significant concentration of individuals (88) fell under the high-income group, making it the largest income bracket represented. Interestingly, the majority within this group were involved in small-scale (39) and medium-scale (29)</w:t>
      </w:r>
      <w:r>
        <w:rPr>
          <w:rFonts w:ascii="Arial" w:hAnsi="Arial" w:cs="Arial"/>
          <w:color w:val="0D0D0D"/>
          <w:kern w:val="0"/>
          <w:sz w:val="20"/>
          <w:szCs w:val="20"/>
        </w:rPr>
        <w:t xml:space="preserve"> cultivation practices</w:t>
      </w:r>
      <w:r w:rsidRPr="00AF1167">
        <w:rPr>
          <w:rFonts w:ascii="Arial" w:hAnsi="Arial" w:cs="Arial"/>
          <w:color w:val="0D0D0D"/>
          <w:kern w:val="0"/>
          <w:sz w:val="20"/>
          <w:szCs w:val="20"/>
        </w:rPr>
        <w:t>. This suggested that higher income was more commonly associated with larger-scale operations, which likely offer more stability, resources, or returns. The presence of high-income individuals even in the small-scale category also reflects the potential for profitability outside of fully formal or large enterprises.</w:t>
      </w:r>
    </w:p>
    <w:p w14:paraId="10EFE81D" w14:textId="20E72C13" w:rsidR="00AF1167" w:rsidRPr="00AF1167" w:rsidRDefault="00AF1167" w:rsidP="00AF1167">
      <w:pPr>
        <w:spacing w:line="360" w:lineRule="auto"/>
        <w:jc w:val="both"/>
        <w:rPr>
          <w:rFonts w:ascii="Arial" w:hAnsi="Arial" w:cs="Arial"/>
          <w:color w:val="0D0D0D"/>
          <w:kern w:val="0"/>
          <w:sz w:val="20"/>
          <w:szCs w:val="20"/>
        </w:rPr>
      </w:pPr>
      <w:r w:rsidRPr="00AF1167">
        <w:rPr>
          <w:rFonts w:ascii="Arial" w:hAnsi="Arial" w:cs="Arial"/>
          <w:color w:val="0D0D0D"/>
          <w:kern w:val="0"/>
          <w:sz w:val="20"/>
          <w:szCs w:val="20"/>
        </w:rPr>
        <w:t>The analysis</w:t>
      </w:r>
      <w:r>
        <w:rPr>
          <w:rFonts w:ascii="Arial" w:hAnsi="Arial" w:cs="Arial"/>
          <w:color w:val="0D0D0D"/>
          <w:kern w:val="0"/>
          <w:sz w:val="20"/>
          <w:szCs w:val="20"/>
        </w:rPr>
        <w:t xml:space="preserve"> </w:t>
      </w:r>
      <w:r w:rsidRPr="00AF1167">
        <w:rPr>
          <w:rFonts w:ascii="Arial" w:hAnsi="Arial" w:cs="Arial"/>
          <w:color w:val="0D0D0D"/>
          <w:kern w:val="0"/>
          <w:sz w:val="20"/>
          <w:szCs w:val="20"/>
        </w:rPr>
        <w:t>of</w:t>
      </w:r>
      <w:r>
        <w:rPr>
          <w:rFonts w:ascii="Arial" w:hAnsi="Arial" w:cs="Arial"/>
          <w:color w:val="0D0D0D"/>
          <w:kern w:val="0"/>
          <w:sz w:val="20"/>
          <w:szCs w:val="20"/>
        </w:rPr>
        <w:t xml:space="preserve"> </w:t>
      </w:r>
      <w:r w:rsidRPr="00AF1167">
        <w:rPr>
          <w:rFonts w:ascii="Arial" w:hAnsi="Arial" w:cs="Arial"/>
          <w:color w:val="0D0D0D"/>
          <w:kern w:val="0"/>
          <w:sz w:val="20"/>
          <w:szCs w:val="20"/>
        </w:rPr>
        <w:t>the</w:t>
      </w:r>
      <w:r>
        <w:rPr>
          <w:rFonts w:ascii="Arial" w:hAnsi="Arial" w:cs="Arial"/>
          <w:color w:val="0D0D0D"/>
          <w:kern w:val="0"/>
          <w:sz w:val="20"/>
          <w:szCs w:val="20"/>
        </w:rPr>
        <w:t xml:space="preserve"> </w:t>
      </w:r>
      <w:r w:rsidRPr="00AF1167">
        <w:rPr>
          <w:rFonts w:ascii="Arial" w:hAnsi="Arial" w:cs="Arial"/>
          <w:color w:val="0D0D0D"/>
          <w:kern w:val="0"/>
          <w:sz w:val="20"/>
          <w:szCs w:val="20"/>
        </w:rPr>
        <w:t xml:space="preserve">annual income of the-respondents-revealed-that among marginal growers, the majority fall into the middle-income bracket (₹3–6 lakhs annually) while low-income (&lt;₹3 lakhs) and </w:t>
      </w:r>
      <w:r w:rsidRPr="00AF1167">
        <w:rPr>
          <w:rFonts w:ascii="Arial" w:hAnsi="Arial" w:cs="Arial"/>
          <w:color w:val="0D0D0D"/>
          <w:kern w:val="0"/>
          <w:sz w:val="20"/>
          <w:szCs w:val="20"/>
        </w:rPr>
        <w:lastRenderedPageBreak/>
        <w:t>high-income (&gt;₹6 lakhs) groups were relatively balanced. In contrast, small-scale grower category exhibited a significant concentration in the high-income group earning more than ₹6 lakhs annually and a smaller proportion remained in the low-income category. Similarly, medium growers were predominantly represented in the high-income bracket achieving incomes above ₹6 lakhs and a marginal presence in the middle-income group. The presence of middle and high-income groups across all categories could be attributed to the relatively high returns from tea cultivation when supported by better management practices, economies of scale, and access to markets.</w:t>
      </w:r>
    </w:p>
    <w:tbl>
      <w:tblPr>
        <w:tblStyle w:val="GridTable1Light-Accent3"/>
        <w:tblpPr w:leftFromText="180" w:rightFromText="180" w:vertAnchor="text" w:horzAnchor="margin" w:tblpY="377"/>
        <w:tblW w:w="9143" w:type="dxa"/>
        <w:tblLook w:val="04A0" w:firstRow="1" w:lastRow="0" w:firstColumn="1" w:lastColumn="0" w:noHBand="0" w:noVBand="1"/>
      </w:tblPr>
      <w:tblGrid>
        <w:gridCol w:w="2764"/>
        <w:gridCol w:w="1486"/>
        <w:gridCol w:w="1696"/>
        <w:gridCol w:w="1499"/>
        <w:gridCol w:w="1698"/>
      </w:tblGrid>
      <w:tr w:rsidR="004B0DD5" w:rsidRPr="004B0DD5" w14:paraId="0B9B0B7D" w14:textId="77777777" w:rsidTr="004B0DD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64" w:type="dxa"/>
            <w:noWrap/>
            <w:hideMark/>
          </w:tcPr>
          <w:p w14:paraId="4618D3E3" w14:textId="77777777" w:rsidR="004B0DD5" w:rsidRPr="004B0DD5" w:rsidRDefault="004B0DD5" w:rsidP="004B0DD5">
            <w:pPr>
              <w:jc w:val="center"/>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Income level</w:t>
            </w:r>
          </w:p>
        </w:tc>
        <w:tc>
          <w:tcPr>
            <w:tcW w:w="1486" w:type="dxa"/>
            <w:noWrap/>
            <w:hideMark/>
          </w:tcPr>
          <w:p w14:paraId="41858587" w14:textId="77777777" w:rsidR="004B0DD5" w:rsidRPr="004B0DD5" w:rsidRDefault="004B0DD5" w:rsidP="004B0DD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Marginal</w:t>
            </w:r>
          </w:p>
        </w:tc>
        <w:tc>
          <w:tcPr>
            <w:tcW w:w="1696" w:type="dxa"/>
            <w:noWrap/>
            <w:hideMark/>
          </w:tcPr>
          <w:p w14:paraId="3A60729F" w14:textId="77777777" w:rsidR="004B0DD5" w:rsidRPr="004B0DD5" w:rsidRDefault="004B0DD5" w:rsidP="004B0DD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Small-scale</w:t>
            </w:r>
          </w:p>
        </w:tc>
        <w:tc>
          <w:tcPr>
            <w:tcW w:w="1499" w:type="dxa"/>
            <w:noWrap/>
            <w:hideMark/>
          </w:tcPr>
          <w:p w14:paraId="211A0ACA" w14:textId="77777777" w:rsidR="004B0DD5" w:rsidRPr="004B0DD5" w:rsidRDefault="004B0DD5" w:rsidP="004B0DD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Medium</w:t>
            </w:r>
          </w:p>
        </w:tc>
        <w:tc>
          <w:tcPr>
            <w:tcW w:w="1698" w:type="dxa"/>
            <w:noWrap/>
            <w:hideMark/>
          </w:tcPr>
          <w:p w14:paraId="7F1CB6BA" w14:textId="77777777" w:rsidR="004B0DD5" w:rsidRPr="004B0DD5" w:rsidRDefault="004B0DD5" w:rsidP="004B0DD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Total</w:t>
            </w:r>
          </w:p>
        </w:tc>
      </w:tr>
      <w:tr w:rsidR="004B0DD5" w:rsidRPr="004B0DD5" w14:paraId="59553609" w14:textId="77777777" w:rsidTr="004B0DD5">
        <w:trPr>
          <w:trHeight w:val="454"/>
        </w:trPr>
        <w:tc>
          <w:tcPr>
            <w:cnfStyle w:val="001000000000" w:firstRow="0" w:lastRow="0" w:firstColumn="1" w:lastColumn="0" w:oddVBand="0" w:evenVBand="0" w:oddHBand="0" w:evenHBand="0" w:firstRowFirstColumn="0" w:firstRowLastColumn="0" w:lastRowFirstColumn="0" w:lastRowLastColumn="0"/>
            <w:tcW w:w="2764" w:type="dxa"/>
            <w:noWrap/>
            <w:hideMark/>
          </w:tcPr>
          <w:p w14:paraId="56146F15" w14:textId="77777777" w:rsidR="004B0DD5" w:rsidRPr="004B0DD5" w:rsidRDefault="004B0DD5" w:rsidP="004B0DD5">
            <w:pPr>
              <w:jc w:val="center"/>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Low income (&lt;3 lakhs)</w:t>
            </w:r>
          </w:p>
        </w:tc>
        <w:tc>
          <w:tcPr>
            <w:tcW w:w="1486" w:type="dxa"/>
            <w:noWrap/>
            <w:hideMark/>
          </w:tcPr>
          <w:p w14:paraId="68F66D11"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19</w:t>
            </w:r>
          </w:p>
        </w:tc>
        <w:tc>
          <w:tcPr>
            <w:tcW w:w="1696" w:type="dxa"/>
            <w:noWrap/>
            <w:hideMark/>
          </w:tcPr>
          <w:p w14:paraId="50C3095B"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8</w:t>
            </w:r>
          </w:p>
        </w:tc>
        <w:tc>
          <w:tcPr>
            <w:tcW w:w="1499" w:type="dxa"/>
            <w:noWrap/>
            <w:hideMark/>
          </w:tcPr>
          <w:p w14:paraId="654ABC47"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0</w:t>
            </w:r>
          </w:p>
        </w:tc>
        <w:tc>
          <w:tcPr>
            <w:tcW w:w="1698" w:type="dxa"/>
            <w:noWrap/>
            <w:hideMark/>
          </w:tcPr>
          <w:p w14:paraId="7F25CFEC"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27</w:t>
            </w:r>
          </w:p>
          <w:p w14:paraId="68A692A8"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(14)</w:t>
            </w:r>
          </w:p>
        </w:tc>
      </w:tr>
      <w:tr w:rsidR="004B0DD5" w:rsidRPr="004B0DD5" w14:paraId="02FE6A90" w14:textId="77777777" w:rsidTr="004B0DD5">
        <w:trPr>
          <w:trHeight w:val="454"/>
        </w:trPr>
        <w:tc>
          <w:tcPr>
            <w:cnfStyle w:val="001000000000" w:firstRow="0" w:lastRow="0" w:firstColumn="1" w:lastColumn="0" w:oddVBand="0" w:evenVBand="0" w:oddHBand="0" w:evenHBand="0" w:firstRowFirstColumn="0" w:firstRowLastColumn="0" w:lastRowFirstColumn="0" w:lastRowLastColumn="0"/>
            <w:tcW w:w="2764" w:type="dxa"/>
            <w:noWrap/>
            <w:hideMark/>
          </w:tcPr>
          <w:p w14:paraId="3506CC8A" w14:textId="77777777" w:rsidR="004B0DD5" w:rsidRPr="004B0DD5" w:rsidRDefault="004B0DD5" w:rsidP="004B0DD5">
            <w:pPr>
              <w:jc w:val="center"/>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Middle Income (3-6 lakhs)</w:t>
            </w:r>
          </w:p>
        </w:tc>
        <w:tc>
          <w:tcPr>
            <w:tcW w:w="1486" w:type="dxa"/>
            <w:noWrap/>
            <w:hideMark/>
          </w:tcPr>
          <w:p w14:paraId="60E198BB"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48</w:t>
            </w:r>
          </w:p>
        </w:tc>
        <w:tc>
          <w:tcPr>
            <w:tcW w:w="1696" w:type="dxa"/>
            <w:noWrap/>
            <w:hideMark/>
          </w:tcPr>
          <w:p w14:paraId="49AD2C87"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26</w:t>
            </w:r>
          </w:p>
        </w:tc>
        <w:tc>
          <w:tcPr>
            <w:tcW w:w="1499" w:type="dxa"/>
            <w:noWrap/>
            <w:hideMark/>
          </w:tcPr>
          <w:p w14:paraId="139214C8"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8</w:t>
            </w:r>
          </w:p>
        </w:tc>
        <w:tc>
          <w:tcPr>
            <w:tcW w:w="1698" w:type="dxa"/>
            <w:noWrap/>
            <w:hideMark/>
          </w:tcPr>
          <w:p w14:paraId="6633F90C"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82</w:t>
            </w:r>
          </w:p>
          <w:p w14:paraId="72E62AA1"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(41)</w:t>
            </w:r>
          </w:p>
        </w:tc>
      </w:tr>
      <w:tr w:rsidR="004B0DD5" w:rsidRPr="004B0DD5" w14:paraId="0DB6CF60" w14:textId="77777777" w:rsidTr="004B0DD5">
        <w:trPr>
          <w:trHeight w:val="454"/>
        </w:trPr>
        <w:tc>
          <w:tcPr>
            <w:cnfStyle w:val="001000000000" w:firstRow="0" w:lastRow="0" w:firstColumn="1" w:lastColumn="0" w:oddVBand="0" w:evenVBand="0" w:oddHBand="0" w:evenHBand="0" w:firstRowFirstColumn="0" w:firstRowLastColumn="0" w:lastRowFirstColumn="0" w:lastRowLastColumn="0"/>
            <w:tcW w:w="2764" w:type="dxa"/>
            <w:noWrap/>
            <w:hideMark/>
          </w:tcPr>
          <w:p w14:paraId="754AC464" w14:textId="77777777" w:rsidR="004B0DD5" w:rsidRPr="004B0DD5" w:rsidRDefault="004B0DD5" w:rsidP="004B0DD5">
            <w:pPr>
              <w:jc w:val="center"/>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High Income (&gt;6 lakhs)</w:t>
            </w:r>
          </w:p>
        </w:tc>
        <w:tc>
          <w:tcPr>
            <w:tcW w:w="1486" w:type="dxa"/>
            <w:noWrap/>
            <w:hideMark/>
          </w:tcPr>
          <w:p w14:paraId="505D255E"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20</w:t>
            </w:r>
          </w:p>
        </w:tc>
        <w:tc>
          <w:tcPr>
            <w:tcW w:w="1696" w:type="dxa"/>
            <w:noWrap/>
            <w:hideMark/>
          </w:tcPr>
          <w:p w14:paraId="206F6D6E"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39</w:t>
            </w:r>
          </w:p>
        </w:tc>
        <w:tc>
          <w:tcPr>
            <w:tcW w:w="1499" w:type="dxa"/>
            <w:noWrap/>
            <w:hideMark/>
          </w:tcPr>
          <w:p w14:paraId="6DC5C61D"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29</w:t>
            </w:r>
          </w:p>
        </w:tc>
        <w:tc>
          <w:tcPr>
            <w:tcW w:w="1698" w:type="dxa"/>
            <w:noWrap/>
            <w:hideMark/>
          </w:tcPr>
          <w:p w14:paraId="574E265E"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88</w:t>
            </w:r>
          </w:p>
          <w:p w14:paraId="6C22CA46"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(45)</w:t>
            </w:r>
          </w:p>
        </w:tc>
      </w:tr>
      <w:tr w:rsidR="004B0DD5" w:rsidRPr="004B0DD5" w14:paraId="01D36FB2" w14:textId="77777777" w:rsidTr="004B0DD5">
        <w:trPr>
          <w:trHeight w:val="454"/>
        </w:trPr>
        <w:tc>
          <w:tcPr>
            <w:cnfStyle w:val="001000000000" w:firstRow="0" w:lastRow="0" w:firstColumn="1" w:lastColumn="0" w:oddVBand="0" w:evenVBand="0" w:oddHBand="0" w:evenHBand="0" w:firstRowFirstColumn="0" w:firstRowLastColumn="0" w:lastRowFirstColumn="0" w:lastRowLastColumn="0"/>
            <w:tcW w:w="2764" w:type="dxa"/>
            <w:noWrap/>
            <w:hideMark/>
          </w:tcPr>
          <w:p w14:paraId="393E57BD" w14:textId="77777777" w:rsidR="004B0DD5" w:rsidRPr="004B0DD5" w:rsidRDefault="004B0DD5" w:rsidP="004B0DD5">
            <w:pPr>
              <w:jc w:val="center"/>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Total</w:t>
            </w:r>
          </w:p>
        </w:tc>
        <w:tc>
          <w:tcPr>
            <w:tcW w:w="1486" w:type="dxa"/>
            <w:noWrap/>
            <w:hideMark/>
          </w:tcPr>
          <w:p w14:paraId="27B8BA8A"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87</w:t>
            </w:r>
          </w:p>
        </w:tc>
        <w:tc>
          <w:tcPr>
            <w:tcW w:w="1696" w:type="dxa"/>
            <w:noWrap/>
            <w:hideMark/>
          </w:tcPr>
          <w:p w14:paraId="74D9018B"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73</w:t>
            </w:r>
          </w:p>
        </w:tc>
        <w:tc>
          <w:tcPr>
            <w:tcW w:w="1499" w:type="dxa"/>
            <w:noWrap/>
            <w:hideMark/>
          </w:tcPr>
          <w:p w14:paraId="441D214A"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37</w:t>
            </w:r>
          </w:p>
        </w:tc>
        <w:tc>
          <w:tcPr>
            <w:tcW w:w="1698" w:type="dxa"/>
            <w:noWrap/>
            <w:hideMark/>
          </w:tcPr>
          <w:p w14:paraId="2C92EE06"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197</w:t>
            </w:r>
          </w:p>
          <w:p w14:paraId="1BC2235D"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(100)</w:t>
            </w:r>
          </w:p>
        </w:tc>
      </w:tr>
    </w:tbl>
    <w:p w14:paraId="072527BB" w14:textId="2BB6FCBE" w:rsidR="00AF1167" w:rsidRDefault="00AF1167" w:rsidP="00AF1167">
      <w:pPr>
        <w:spacing w:line="360" w:lineRule="auto"/>
        <w:jc w:val="both"/>
        <w:rPr>
          <w:rFonts w:ascii="Arial" w:hAnsi="Arial" w:cs="Arial"/>
          <w:b/>
          <w:bCs/>
          <w:color w:val="0D0D0D"/>
          <w:kern w:val="0"/>
          <w:sz w:val="20"/>
          <w:szCs w:val="20"/>
        </w:rPr>
      </w:pPr>
      <w:r>
        <w:rPr>
          <w:rFonts w:ascii="Arial" w:hAnsi="Arial" w:cs="Arial"/>
          <w:b/>
          <w:bCs/>
          <w:color w:val="0D0D0D"/>
          <w:kern w:val="0"/>
          <w:sz w:val="20"/>
          <w:szCs w:val="20"/>
        </w:rPr>
        <w:t>Table 5.: Annual income of the respondents of Tinsukia and Dibrugarh districts</w:t>
      </w:r>
    </w:p>
    <w:p w14:paraId="3B81C597" w14:textId="77777777" w:rsidR="004B0DD5" w:rsidRPr="00BA2319" w:rsidRDefault="004B0DD5" w:rsidP="004B0DD5">
      <w:pPr>
        <w:spacing w:line="360" w:lineRule="auto"/>
        <w:jc w:val="both"/>
        <w:rPr>
          <w:rFonts w:ascii="Arial" w:hAnsi="Arial" w:cs="Arial"/>
          <w:i/>
          <w:iCs/>
          <w:color w:val="0D0D0D"/>
          <w:kern w:val="0"/>
          <w:sz w:val="20"/>
          <w:szCs w:val="20"/>
        </w:rPr>
      </w:pPr>
      <w:r w:rsidRPr="00BA2319">
        <w:rPr>
          <w:rFonts w:ascii="Arial" w:hAnsi="Arial" w:cs="Arial"/>
          <w:color w:val="0D0D0D"/>
          <w:kern w:val="0"/>
          <w:sz w:val="20"/>
          <w:szCs w:val="20"/>
        </w:rPr>
        <w:t>*</w:t>
      </w:r>
      <w:r w:rsidRPr="00BA2319">
        <w:rPr>
          <w:rFonts w:ascii="Arial" w:hAnsi="Arial" w:cs="Arial"/>
          <w:i/>
          <w:iCs/>
          <w:color w:val="0D0D0D"/>
          <w:kern w:val="0"/>
          <w:sz w:val="20"/>
          <w:szCs w:val="20"/>
        </w:rPr>
        <w:t>Figures in parentheses represent percentage</w:t>
      </w:r>
    </w:p>
    <w:p w14:paraId="71BB4A6C" w14:textId="6DA2192D" w:rsidR="004B0DD5" w:rsidRPr="004B0DD5" w:rsidRDefault="004B0DD5" w:rsidP="004B0DD5">
      <w:pPr>
        <w:spacing w:line="360" w:lineRule="auto"/>
        <w:jc w:val="both"/>
        <w:rPr>
          <w:rFonts w:ascii="Arial" w:hAnsi="Arial" w:cs="Arial"/>
          <w:color w:val="0D0D0D"/>
          <w:kern w:val="0"/>
          <w:sz w:val="20"/>
          <w:szCs w:val="20"/>
        </w:rPr>
      </w:pPr>
      <w:r w:rsidRPr="004B0DD5">
        <w:rPr>
          <w:rFonts w:ascii="Arial" w:hAnsi="Arial" w:cs="Arial"/>
          <w:color w:val="0D0D0D"/>
          <w:kern w:val="0"/>
          <w:sz w:val="20"/>
          <w:szCs w:val="20"/>
        </w:rPr>
        <w:t>A chi-square</w:t>
      </w:r>
      <w:r w:rsidRPr="004B0DD5">
        <w:rPr>
          <w:rFonts w:ascii="Arial" w:hAnsi="Arial" w:cs="Arial"/>
          <w:color w:val="FFFFFF" w:themeColor="background1"/>
          <w:kern w:val="0"/>
          <w:sz w:val="20"/>
          <w:szCs w:val="20"/>
        </w:rPr>
        <w:t xml:space="preserve"> </w:t>
      </w:r>
      <w:r w:rsidRPr="004B0DD5">
        <w:rPr>
          <w:rFonts w:ascii="Arial" w:hAnsi="Arial" w:cs="Arial"/>
          <w:color w:val="0D0D0D"/>
          <w:kern w:val="0"/>
          <w:sz w:val="20"/>
          <w:szCs w:val="20"/>
        </w:rPr>
        <w:t>test</w:t>
      </w:r>
      <w:r w:rsidRPr="004B0DD5">
        <w:rPr>
          <w:rFonts w:ascii="Arial" w:hAnsi="Arial" w:cs="Arial"/>
          <w:color w:val="FFFFFF" w:themeColor="background1"/>
          <w:kern w:val="0"/>
          <w:sz w:val="20"/>
          <w:szCs w:val="20"/>
        </w:rPr>
        <w:t xml:space="preserve"> </w:t>
      </w:r>
      <w:r w:rsidRPr="004B0DD5">
        <w:rPr>
          <w:rFonts w:ascii="Arial" w:hAnsi="Arial" w:cs="Arial"/>
          <w:color w:val="0D0D0D"/>
          <w:kern w:val="0"/>
          <w:sz w:val="20"/>
          <w:szCs w:val="20"/>
        </w:rPr>
        <w:t>was</w:t>
      </w:r>
      <w:r w:rsidRPr="004B0DD5">
        <w:rPr>
          <w:rFonts w:ascii="Arial" w:hAnsi="Arial" w:cs="Arial"/>
          <w:color w:val="FFFFFF" w:themeColor="background1"/>
          <w:kern w:val="0"/>
          <w:sz w:val="20"/>
          <w:szCs w:val="20"/>
        </w:rPr>
        <w:t xml:space="preserve"> </w:t>
      </w:r>
      <w:r w:rsidRPr="004B0DD5">
        <w:rPr>
          <w:rFonts w:ascii="Arial" w:hAnsi="Arial" w:cs="Arial"/>
          <w:color w:val="0D0D0D"/>
          <w:kern w:val="0"/>
          <w:sz w:val="20"/>
          <w:szCs w:val="20"/>
        </w:rPr>
        <w:t>put to determine relationship</w:t>
      </w:r>
      <w:r w:rsidRPr="004B0DD5">
        <w:rPr>
          <w:rFonts w:ascii="Arial" w:hAnsi="Arial" w:cs="Arial"/>
          <w:color w:val="FFFFFF" w:themeColor="background1"/>
          <w:kern w:val="0"/>
          <w:sz w:val="20"/>
          <w:szCs w:val="20"/>
        </w:rPr>
        <w:t xml:space="preserve"> </w:t>
      </w:r>
      <w:r w:rsidRPr="004B0DD5">
        <w:rPr>
          <w:rFonts w:ascii="Arial" w:hAnsi="Arial" w:cs="Arial"/>
          <w:color w:val="0D0D0D"/>
          <w:kern w:val="0"/>
          <w:sz w:val="20"/>
          <w:szCs w:val="20"/>
        </w:rPr>
        <w:t>between landholding groups and annual income of respondents on the combined dataset of Tinsukia and Dibrugarh districts. The test results are as follows:</w:t>
      </w:r>
    </w:p>
    <w:p w14:paraId="3922F3FE" w14:textId="77777777" w:rsidR="004B0DD5" w:rsidRPr="004B0DD5" w:rsidRDefault="004B0DD5" w:rsidP="004B0DD5">
      <w:pPr>
        <w:pStyle w:val="ListParagraph"/>
        <w:numPr>
          <w:ilvl w:val="0"/>
          <w:numId w:val="5"/>
        </w:numPr>
        <w:spacing w:line="360" w:lineRule="auto"/>
        <w:jc w:val="both"/>
        <w:rPr>
          <w:rFonts w:ascii="Arial" w:hAnsi="Arial" w:cs="Arial"/>
          <w:color w:val="0D0D0D"/>
          <w:kern w:val="0"/>
          <w:sz w:val="20"/>
          <w:szCs w:val="20"/>
        </w:rPr>
      </w:pPr>
      <w:r w:rsidRPr="004B0DD5">
        <w:rPr>
          <w:rFonts w:ascii="Arial" w:hAnsi="Arial" w:cs="Arial"/>
          <w:color w:val="0D0D0D"/>
          <w:kern w:val="0"/>
          <w:sz w:val="20"/>
          <w:szCs w:val="20"/>
        </w:rPr>
        <w:t>Chi-square statistic (</w:t>
      </w:r>
      <m:oMath>
        <m:sSup>
          <m:sSupPr>
            <m:ctrlPr>
              <w:rPr>
                <w:rFonts w:ascii="Cambria Math" w:hAnsi="Cambria Math" w:cs="Arial"/>
                <w:i/>
                <w:color w:val="0D0D0D"/>
                <w:kern w:val="0"/>
                <w:sz w:val="20"/>
                <w:szCs w:val="20"/>
              </w:rPr>
            </m:ctrlPr>
          </m:sSupPr>
          <m:e>
            <m:r>
              <w:rPr>
                <w:rFonts w:ascii="Cambria Math" w:hAnsi="Cambria Math" w:cs="Arial"/>
                <w:color w:val="0D0D0D"/>
                <w:kern w:val="0"/>
                <w:sz w:val="20"/>
                <w:szCs w:val="20"/>
              </w:rPr>
              <m:t>χ</m:t>
            </m:r>
          </m:e>
          <m:sup>
            <m:r>
              <w:rPr>
                <w:rFonts w:ascii="Cambria Math" w:hAnsi="Cambria Math" w:cs="Arial"/>
                <w:color w:val="0D0D0D"/>
                <w:kern w:val="0"/>
                <w:sz w:val="20"/>
                <w:szCs w:val="20"/>
              </w:rPr>
              <m:t>2</m:t>
            </m:r>
          </m:sup>
        </m:sSup>
        <m:r>
          <w:rPr>
            <w:rFonts w:ascii="Cambria Math" w:hAnsi="Cambria Math" w:cs="Arial"/>
            <w:color w:val="0D0D0D"/>
            <w:kern w:val="0"/>
            <w:sz w:val="20"/>
            <w:szCs w:val="20"/>
          </w:rPr>
          <m:t>)</m:t>
        </m:r>
      </m:oMath>
      <w:r w:rsidRPr="004B0DD5">
        <w:rPr>
          <w:rFonts w:ascii="Arial" w:eastAsiaTheme="minorEastAsia" w:hAnsi="Arial" w:cs="Arial"/>
          <w:color w:val="0D0D0D"/>
          <w:kern w:val="0"/>
          <w:sz w:val="20"/>
          <w:szCs w:val="20"/>
        </w:rPr>
        <w:t>= 36.52</w:t>
      </w:r>
    </w:p>
    <w:p w14:paraId="0CF71A56" w14:textId="77777777" w:rsidR="004B0DD5" w:rsidRPr="004B0DD5" w:rsidRDefault="004B0DD5" w:rsidP="004B0DD5">
      <w:pPr>
        <w:pStyle w:val="ListParagraph"/>
        <w:numPr>
          <w:ilvl w:val="0"/>
          <w:numId w:val="5"/>
        </w:numPr>
        <w:spacing w:line="360" w:lineRule="auto"/>
        <w:jc w:val="both"/>
        <w:rPr>
          <w:rFonts w:ascii="Arial" w:hAnsi="Arial" w:cs="Arial"/>
          <w:color w:val="0D0D0D"/>
          <w:kern w:val="0"/>
          <w:sz w:val="20"/>
          <w:szCs w:val="20"/>
        </w:rPr>
      </w:pPr>
      <w:r w:rsidRPr="004B0DD5">
        <w:rPr>
          <w:rFonts w:ascii="Arial" w:eastAsiaTheme="minorEastAsia" w:hAnsi="Arial" w:cs="Arial"/>
          <w:i/>
          <w:iCs/>
          <w:color w:val="0D0D0D"/>
          <w:kern w:val="0"/>
          <w:sz w:val="20"/>
          <w:szCs w:val="20"/>
        </w:rPr>
        <w:t>p-</w:t>
      </w:r>
      <w:r w:rsidRPr="004B0DD5">
        <w:rPr>
          <w:rFonts w:ascii="Arial" w:eastAsiaTheme="minorEastAsia" w:hAnsi="Arial" w:cs="Arial"/>
          <w:color w:val="0D0D0D"/>
          <w:kern w:val="0"/>
          <w:sz w:val="20"/>
          <w:szCs w:val="20"/>
        </w:rPr>
        <w:t>value= 0.00001</w:t>
      </w:r>
    </w:p>
    <w:p w14:paraId="7EBA1E85" w14:textId="77777777" w:rsidR="004B0DD5" w:rsidRPr="004B0DD5" w:rsidRDefault="004B0DD5" w:rsidP="004B0DD5">
      <w:pPr>
        <w:pStyle w:val="ListParagraph"/>
        <w:numPr>
          <w:ilvl w:val="0"/>
          <w:numId w:val="5"/>
        </w:numPr>
        <w:spacing w:line="360" w:lineRule="auto"/>
        <w:jc w:val="both"/>
        <w:rPr>
          <w:rFonts w:ascii="Arial" w:hAnsi="Arial" w:cs="Arial"/>
          <w:color w:val="0D0D0D"/>
          <w:kern w:val="0"/>
          <w:sz w:val="20"/>
          <w:szCs w:val="20"/>
        </w:rPr>
      </w:pPr>
      <w:r w:rsidRPr="004B0DD5">
        <w:rPr>
          <w:rFonts w:ascii="Arial" w:eastAsiaTheme="minorEastAsia" w:hAnsi="Arial" w:cs="Arial"/>
          <w:color w:val="0D0D0D"/>
          <w:kern w:val="0"/>
          <w:sz w:val="20"/>
          <w:szCs w:val="20"/>
        </w:rPr>
        <w:t>Degrees of freedom= 4</w:t>
      </w:r>
    </w:p>
    <w:p w14:paraId="4531C6E2" w14:textId="1ADC6C78" w:rsidR="004B0DD5" w:rsidRPr="004B0DD5" w:rsidRDefault="004B0DD5" w:rsidP="004B0DD5">
      <w:pPr>
        <w:spacing w:line="360" w:lineRule="auto"/>
        <w:jc w:val="both"/>
        <w:rPr>
          <w:rFonts w:ascii="Arial" w:hAnsi="Arial" w:cs="Arial"/>
          <w:color w:val="0D0D0D"/>
          <w:kern w:val="0"/>
          <w:sz w:val="20"/>
          <w:szCs w:val="20"/>
        </w:rPr>
      </w:pPr>
      <w:r w:rsidRPr="004B0DD5">
        <w:rPr>
          <w:rFonts w:ascii="Arial" w:hAnsi="Arial" w:cs="Arial"/>
          <w:color w:val="0D0D0D"/>
          <w:kern w:val="0"/>
          <w:sz w:val="20"/>
          <w:szCs w:val="20"/>
        </w:rPr>
        <w:t xml:space="preserve">The </w:t>
      </w:r>
      <w:r w:rsidRPr="004B0DD5">
        <w:rPr>
          <w:rFonts w:ascii="Arial" w:hAnsi="Arial" w:cs="Arial"/>
          <w:i/>
          <w:iCs/>
          <w:color w:val="0D0D0D"/>
          <w:kern w:val="0"/>
          <w:sz w:val="20"/>
          <w:szCs w:val="20"/>
        </w:rPr>
        <w:t>p</w:t>
      </w:r>
      <w:r w:rsidRPr="004B0DD5">
        <w:rPr>
          <w:rFonts w:ascii="Arial" w:hAnsi="Arial" w:cs="Arial"/>
          <w:color w:val="0D0D0D"/>
          <w:kern w:val="0"/>
          <w:sz w:val="20"/>
          <w:szCs w:val="20"/>
        </w:rPr>
        <w:t>-value is less than 0.05, thus, indicating relationship between annual income and landholding categories at significance level of 5%.</w:t>
      </w:r>
    </w:p>
    <w:bookmarkEnd w:id="4"/>
    <w:p w14:paraId="430CD1EB" w14:textId="034C1DE9" w:rsidR="0079129C" w:rsidRDefault="004B0DD5" w:rsidP="002505BC">
      <w:pPr>
        <w:spacing w:line="360" w:lineRule="auto"/>
        <w:jc w:val="both"/>
        <w:rPr>
          <w:rFonts w:ascii="Arial" w:hAnsi="Arial" w:cs="Arial"/>
          <w:b/>
          <w:bCs/>
          <w:color w:val="0D0D0D"/>
          <w:kern w:val="0"/>
          <w:sz w:val="22"/>
          <w:szCs w:val="22"/>
        </w:rPr>
      </w:pPr>
      <w:r>
        <w:rPr>
          <w:rFonts w:ascii="Arial" w:hAnsi="Arial" w:cs="Arial"/>
          <w:b/>
          <w:bCs/>
          <w:color w:val="0D0D0D"/>
          <w:kern w:val="0"/>
          <w:sz w:val="22"/>
          <w:szCs w:val="22"/>
        </w:rPr>
        <w:t>4. CONCLUSION</w:t>
      </w:r>
    </w:p>
    <w:p w14:paraId="745863AF" w14:textId="786F9E60" w:rsidR="004B0DD5" w:rsidRDefault="004B0DD5" w:rsidP="002505BC">
      <w:pPr>
        <w:spacing w:line="360" w:lineRule="auto"/>
        <w:jc w:val="both"/>
        <w:rPr>
          <w:rFonts w:ascii="Arial" w:hAnsi="Arial" w:cs="Arial"/>
          <w:color w:val="0D0D0D"/>
          <w:kern w:val="0"/>
          <w:sz w:val="20"/>
          <w:szCs w:val="20"/>
        </w:rPr>
      </w:pPr>
      <w:r w:rsidRPr="004B0DD5">
        <w:rPr>
          <w:rFonts w:ascii="Arial" w:hAnsi="Arial" w:cs="Arial"/>
          <w:color w:val="0D0D0D"/>
          <w:kern w:val="0"/>
          <w:sz w:val="20"/>
          <w:szCs w:val="20"/>
        </w:rPr>
        <w:t>Tea plantation industry is an important industry in Assam empowering and bringing economic upliftment in the state. It makes a substantial contribution to income, foreign currency revenue, and job creation, both directly and indirectly.</w:t>
      </w:r>
      <w:r>
        <w:rPr>
          <w:rFonts w:ascii="Arial" w:hAnsi="Arial" w:cs="Arial"/>
          <w:color w:val="0D0D0D"/>
          <w:kern w:val="0"/>
          <w:sz w:val="20"/>
          <w:szCs w:val="20"/>
        </w:rPr>
        <w:t xml:space="preserve"> </w:t>
      </w:r>
      <w:r w:rsidRPr="002505BC">
        <w:rPr>
          <w:rFonts w:ascii="Arial" w:hAnsi="Arial" w:cs="Arial"/>
          <w:color w:val="0D0D0D"/>
          <w:kern w:val="0"/>
          <w:sz w:val="20"/>
          <w:szCs w:val="20"/>
        </w:rPr>
        <w:t>Despite their growing importance, STGs face a myriad of socio-economic challenges</w:t>
      </w:r>
      <w:r>
        <w:rPr>
          <w:rFonts w:ascii="Arial" w:hAnsi="Arial" w:cs="Arial"/>
          <w:color w:val="0D0D0D"/>
          <w:kern w:val="0"/>
          <w:sz w:val="20"/>
          <w:szCs w:val="20"/>
        </w:rPr>
        <w:t xml:space="preserve">. The study was an attempt to </w:t>
      </w:r>
      <w:r w:rsidR="00AC7E44">
        <w:rPr>
          <w:rFonts w:ascii="Arial" w:hAnsi="Arial" w:cs="Arial"/>
          <w:color w:val="0D0D0D"/>
          <w:kern w:val="0"/>
          <w:sz w:val="20"/>
          <w:szCs w:val="20"/>
        </w:rPr>
        <w:t>understand the</w:t>
      </w:r>
      <w:r w:rsidRPr="002505BC">
        <w:rPr>
          <w:rFonts w:ascii="Arial" w:hAnsi="Arial" w:cs="Arial"/>
          <w:color w:val="0D0D0D"/>
          <w:kern w:val="0"/>
          <w:sz w:val="20"/>
          <w:szCs w:val="20"/>
        </w:rPr>
        <w:t xml:space="preserve"> socio-economic </w:t>
      </w:r>
      <w:r w:rsidR="00AC7E44">
        <w:rPr>
          <w:rFonts w:ascii="Arial" w:hAnsi="Arial" w:cs="Arial"/>
          <w:color w:val="0D0D0D"/>
          <w:kern w:val="0"/>
          <w:sz w:val="20"/>
          <w:szCs w:val="20"/>
        </w:rPr>
        <w:t>profile</w:t>
      </w:r>
      <w:r w:rsidRPr="002505BC">
        <w:rPr>
          <w:rFonts w:ascii="Arial" w:hAnsi="Arial" w:cs="Arial"/>
          <w:color w:val="0D0D0D"/>
          <w:kern w:val="0"/>
          <w:sz w:val="20"/>
          <w:szCs w:val="20"/>
        </w:rPr>
        <w:t xml:space="preserve"> of these growers i</w:t>
      </w:r>
      <w:r w:rsidR="00AC7E44">
        <w:rPr>
          <w:rFonts w:ascii="Arial" w:hAnsi="Arial" w:cs="Arial"/>
          <w:color w:val="0D0D0D"/>
          <w:kern w:val="0"/>
          <w:sz w:val="20"/>
          <w:szCs w:val="20"/>
        </w:rPr>
        <w:t>n order</w:t>
      </w:r>
      <w:r w:rsidRPr="002505BC">
        <w:rPr>
          <w:rFonts w:ascii="Arial" w:hAnsi="Arial" w:cs="Arial"/>
          <w:color w:val="0D0D0D"/>
          <w:kern w:val="0"/>
          <w:sz w:val="20"/>
          <w:szCs w:val="20"/>
        </w:rPr>
        <w:t xml:space="preserve"> to understand their livelihood </w:t>
      </w:r>
      <w:r>
        <w:rPr>
          <w:rFonts w:ascii="Arial" w:hAnsi="Arial" w:cs="Arial"/>
          <w:color w:val="0D0D0D"/>
          <w:kern w:val="0"/>
          <w:sz w:val="20"/>
          <w:szCs w:val="20"/>
        </w:rPr>
        <w:t>patterns</w:t>
      </w:r>
      <w:r w:rsidRPr="002505BC">
        <w:rPr>
          <w:rFonts w:ascii="Arial" w:hAnsi="Arial" w:cs="Arial"/>
          <w:color w:val="0D0D0D"/>
          <w:kern w:val="0"/>
          <w:sz w:val="20"/>
          <w:szCs w:val="20"/>
        </w:rPr>
        <w:t>, income dynamics</w:t>
      </w:r>
      <w:r>
        <w:rPr>
          <w:rFonts w:ascii="Arial" w:hAnsi="Arial" w:cs="Arial"/>
          <w:color w:val="0D0D0D"/>
          <w:kern w:val="0"/>
          <w:sz w:val="20"/>
          <w:szCs w:val="20"/>
        </w:rPr>
        <w:t xml:space="preserve"> and occupational patterns</w:t>
      </w:r>
      <w:r w:rsidRPr="002505BC">
        <w:rPr>
          <w:rFonts w:ascii="Arial" w:hAnsi="Arial" w:cs="Arial"/>
          <w:color w:val="0D0D0D"/>
          <w:kern w:val="0"/>
          <w:sz w:val="20"/>
          <w:szCs w:val="20"/>
        </w:rPr>
        <w:t>.</w:t>
      </w:r>
    </w:p>
    <w:p w14:paraId="618E97D4" w14:textId="73CC786D" w:rsidR="00AC7E44" w:rsidRDefault="00AC7E44" w:rsidP="00AC7E44">
      <w:pPr>
        <w:spacing w:line="360" w:lineRule="auto"/>
        <w:jc w:val="both"/>
        <w:rPr>
          <w:rFonts w:ascii="Arial" w:hAnsi="Arial" w:cs="Arial"/>
          <w:color w:val="0D0D0D"/>
          <w:kern w:val="0"/>
          <w:sz w:val="20"/>
          <w:szCs w:val="20"/>
        </w:rPr>
      </w:pPr>
      <w:r>
        <w:rPr>
          <w:rFonts w:ascii="Arial" w:hAnsi="Arial" w:cs="Arial"/>
          <w:color w:val="0D0D0D"/>
          <w:kern w:val="0"/>
          <w:sz w:val="20"/>
          <w:szCs w:val="20"/>
        </w:rPr>
        <w:t>In conclusion, the study revealed that</w:t>
      </w:r>
      <w:r w:rsidRPr="002505BC">
        <w:rPr>
          <w:rFonts w:ascii="Arial" w:hAnsi="Arial" w:cs="Arial"/>
          <w:color w:val="0D0D0D"/>
          <w:kern w:val="0"/>
          <w:sz w:val="20"/>
          <w:szCs w:val="20"/>
        </w:rPr>
        <w:t xml:space="preserve"> age wise distribution of the small-tea growers indicated distinct predominance of middle-aged individuals. Participation of young growers was observed to be limited. The family size of small-tea growers showed the dominance of smaller families across all categories of the growers suggesting that smaller family units were a common characteristic among the small-tea growers.</w:t>
      </w:r>
      <w:r w:rsidRPr="002505BC">
        <w:rPr>
          <w:rFonts w:ascii="Arial" w:hAnsi="Arial" w:cs="Arial"/>
          <w:sz w:val="20"/>
          <w:szCs w:val="20"/>
        </w:rPr>
        <w:t xml:space="preserve"> </w:t>
      </w:r>
      <w:r w:rsidRPr="002505BC">
        <w:rPr>
          <w:rFonts w:ascii="Arial" w:hAnsi="Arial" w:cs="Arial"/>
          <w:color w:val="0D0D0D"/>
          <w:kern w:val="0"/>
          <w:sz w:val="20"/>
          <w:szCs w:val="20"/>
        </w:rPr>
        <w:t>Illiteracy rates remained minimal across all groups highlighting the growing penetration of basic education among small growers. The occupational patterns of the small growers revealed that tea cultivation was the predominant activity across all categories</w:t>
      </w:r>
      <w:r>
        <w:rPr>
          <w:rFonts w:ascii="Arial" w:hAnsi="Arial" w:cs="Arial"/>
          <w:color w:val="0D0D0D"/>
          <w:kern w:val="0"/>
          <w:sz w:val="20"/>
          <w:szCs w:val="20"/>
        </w:rPr>
        <w:t xml:space="preserve"> of growers. It was seen that there was </w:t>
      </w:r>
      <w:r>
        <w:rPr>
          <w:rFonts w:ascii="Arial" w:hAnsi="Arial" w:cs="Arial"/>
          <w:color w:val="0D0D0D"/>
          <w:kern w:val="0"/>
          <w:sz w:val="20"/>
          <w:szCs w:val="20"/>
        </w:rPr>
        <w:lastRenderedPageBreak/>
        <w:t xml:space="preserve">a positive association between income of the small tea growers with their scale of operations. </w:t>
      </w:r>
      <w:r w:rsidRPr="00AC7E44">
        <w:rPr>
          <w:rFonts w:ascii="Arial" w:hAnsi="Arial" w:cs="Arial"/>
          <w:color w:val="0D0D0D"/>
          <w:kern w:val="0"/>
          <w:sz w:val="20"/>
          <w:szCs w:val="20"/>
        </w:rPr>
        <w:t>The findings reveal the diverse socio-economic backgrounds of small tea growers, highlighting the necessity for customized policies that promote sustainable practices and improve the livelihoods of growers in the region.</w:t>
      </w:r>
    </w:p>
    <w:p w14:paraId="3709A96E" w14:textId="27B46E09" w:rsidR="00AC7E44" w:rsidRDefault="00AC7E44" w:rsidP="00AC7E44">
      <w:pPr>
        <w:spacing w:line="360" w:lineRule="auto"/>
        <w:jc w:val="both"/>
        <w:rPr>
          <w:rFonts w:ascii="Arial" w:hAnsi="Arial" w:cs="Arial"/>
          <w:b/>
          <w:bCs/>
          <w:color w:val="0D0D0D"/>
          <w:kern w:val="0"/>
          <w:sz w:val="22"/>
          <w:szCs w:val="22"/>
        </w:rPr>
      </w:pPr>
      <w:r>
        <w:rPr>
          <w:rFonts w:ascii="Arial" w:hAnsi="Arial" w:cs="Arial"/>
          <w:b/>
          <w:bCs/>
          <w:color w:val="0D0D0D"/>
          <w:kern w:val="0"/>
          <w:sz w:val="22"/>
          <w:szCs w:val="22"/>
        </w:rPr>
        <w:t>REFERENCES</w:t>
      </w:r>
    </w:p>
    <w:p w14:paraId="6A3EB57F" w14:textId="77777777" w:rsidR="001A2C7C" w:rsidRP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Baruah, S. (2018). Small Tea Growers and the New Dynamics of Assam’s Tea Economy. Economic and Political Weekly, 53(42), 25–30.</w:t>
      </w:r>
    </w:p>
    <w:p w14:paraId="02C5B078" w14:textId="77777777" w:rsidR="001A2C7C" w:rsidRP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Basu, P., &amp; Saikia, S. (2020). Knowledge and practices among small tea growers in Upper Assam: An empirical analysis. Journal of Rural Development, 39(2), 212–230.</w:t>
      </w:r>
    </w:p>
    <w:p w14:paraId="750F8B36" w14:textId="77777777" w:rsidR="001A2C7C" w:rsidRP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Chatterjee, S., &amp; Chattopadhyay, S. (2018). Socio-economic challenges of small tea growers in North Bengal. Journal of Plantation Crops, 46(1), 60–66.</w:t>
      </w:r>
    </w:p>
    <w:p w14:paraId="705C897B" w14:textId="77777777" w:rsidR="001A2C7C" w:rsidRP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Das, A. (2019). A study on Socio-economic profile of small tea (</w:t>
      </w:r>
      <w:r w:rsidRPr="001A2C7C">
        <w:rPr>
          <w:rFonts w:ascii="Arial" w:hAnsi="Arial" w:cs="Arial"/>
          <w:i/>
          <w:iCs/>
          <w:color w:val="0D0D0D"/>
          <w:kern w:val="0"/>
          <w:sz w:val="20"/>
          <w:szCs w:val="20"/>
        </w:rPr>
        <w:t xml:space="preserve">Camellia sinensis) </w:t>
      </w:r>
      <w:r w:rsidRPr="001A2C7C">
        <w:rPr>
          <w:rFonts w:ascii="Arial" w:hAnsi="Arial" w:cs="Arial"/>
          <w:color w:val="0D0D0D"/>
          <w:kern w:val="0"/>
          <w:sz w:val="20"/>
          <w:szCs w:val="20"/>
        </w:rPr>
        <w:t xml:space="preserve">growers in the state of Assam. </w:t>
      </w:r>
      <w:r w:rsidRPr="001A2C7C">
        <w:rPr>
          <w:rFonts w:ascii="Arial" w:hAnsi="Arial" w:cs="Arial"/>
          <w:i/>
          <w:iCs/>
          <w:color w:val="0D0D0D"/>
          <w:kern w:val="0"/>
          <w:sz w:val="20"/>
          <w:szCs w:val="20"/>
        </w:rPr>
        <w:t xml:space="preserve">Research Journal of Agricultural Sciences. </w:t>
      </w:r>
      <w:r w:rsidRPr="001A2C7C">
        <w:rPr>
          <w:rFonts w:ascii="Arial" w:hAnsi="Arial" w:cs="Arial"/>
          <w:color w:val="0D0D0D"/>
          <w:kern w:val="0"/>
          <w:sz w:val="20"/>
          <w:szCs w:val="20"/>
        </w:rPr>
        <w:t>10 (5/6). 803-808.</w:t>
      </w:r>
    </w:p>
    <w:p w14:paraId="291335FC" w14:textId="77777777" w:rsidR="001A2C7C" w:rsidRP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 xml:space="preserve">Ghosh, A. (2015). </w:t>
      </w:r>
      <w:r w:rsidRPr="001A2C7C">
        <w:rPr>
          <w:rFonts w:ascii="Arial" w:hAnsi="Arial" w:cs="Arial"/>
          <w:i/>
          <w:iCs/>
          <w:color w:val="0D0D0D"/>
          <w:kern w:val="0"/>
          <w:sz w:val="20"/>
          <w:szCs w:val="20"/>
        </w:rPr>
        <w:t>Studies on small tea growers in North Bengal- Prospects and Perspectives</w:t>
      </w:r>
      <w:r w:rsidRPr="001A2C7C">
        <w:rPr>
          <w:rFonts w:ascii="Arial" w:hAnsi="Arial" w:cs="Arial"/>
          <w:color w:val="0D0D0D"/>
          <w:kern w:val="0"/>
          <w:sz w:val="20"/>
          <w:szCs w:val="20"/>
        </w:rPr>
        <w:t xml:space="preserve">. (Doctoral thesis, Uttar Banga Krishi Vishwavidyalaya, West Bengal).  </w:t>
      </w:r>
    </w:p>
    <w:p w14:paraId="610AD997" w14:textId="77777777" w:rsidR="001A2C7C" w:rsidRP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Goswami, B. (2021). Socio-economic Conditions of Small Tea Growers in Assam: Challenges and Opportunities. Journal of Rural Development and Planning, 5(2), 87–95.</w:t>
      </w:r>
    </w:p>
    <w:p w14:paraId="784A55E9" w14:textId="77777777" w:rsidR="001A2C7C" w:rsidRPr="001A2C7C" w:rsidRDefault="001A2C7C" w:rsidP="001A2C7C">
      <w:pPr>
        <w:spacing w:line="360" w:lineRule="auto"/>
        <w:jc w:val="both"/>
        <w:rPr>
          <w:rFonts w:ascii="Arial" w:hAnsi="Arial" w:cs="Arial"/>
          <w:color w:val="0D0D0D"/>
          <w:kern w:val="0"/>
          <w:sz w:val="20"/>
          <w:szCs w:val="20"/>
        </w:rPr>
      </w:pPr>
      <w:proofErr w:type="spellStart"/>
      <w:r w:rsidRPr="001A2C7C">
        <w:rPr>
          <w:rFonts w:ascii="Arial" w:hAnsi="Arial" w:cs="Arial"/>
          <w:color w:val="0D0D0D"/>
          <w:kern w:val="0"/>
          <w:sz w:val="20"/>
          <w:szCs w:val="20"/>
        </w:rPr>
        <w:t>Harrizon</w:t>
      </w:r>
      <w:proofErr w:type="spellEnd"/>
      <w:r w:rsidRPr="001A2C7C">
        <w:rPr>
          <w:rFonts w:ascii="Arial" w:hAnsi="Arial" w:cs="Arial"/>
          <w:color w:val="0D0D0D"/>
          <w:kern w:val="0"/>
          <w:sz w:val="20"/>
          <w:szCs w:val="20"/>
        </w:rPr>
        <w:t>, K., Benjamin, M. K., Patrick, K. R., and Anthony, M. (2016). Determinants of tea marketing channel choice and sales intensity among smallholder farmers in Kericho District, Kenya. </w:t>
      </w:r>
      <w:r w:rsidRPr="001A2C7C">
        <w:rPr>
          <w:rFonts w:ascii="Arial" w:hAnsi="Arial" w:cs="Arial"/>
          <w:i/>
          <w:iCs/>
          <w:color w:val="0D0D0D"/>
          <w:kern w:val="0"/>
          <w:sz w:val="20"/>
          <w:szCs w:val="20"/>
        </w:rPr>
        <w:t>Journal of Economics and Sustainable Development</w:t>
      </w:r>
      <w:r w:rsidRPr="001A2C7C">
        <w:rPr>
          <w:rFonts w:ascii="Arial" w:hAnsi="Arial" w:cs="Arial"/>
          <w:color w:val="0D0D0D"/>
          <w:kern w:val="0"/>
          <w:sz w:val="20"/>
          <w:szCs w:val="20"/>
        </w:rPr>
        <w:t>, 7(7), 105-114.</w:t>
      </w:r>
    </w:p>
    <w:p w14:paraId="56CEC69A" w14:textId="77777777" w:rsid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Hazarika, K., and Borah, K. (2013). Small tea cultivation in the process of self-employment: a study on the indigenous people of Assam (India).</w:t>
      </w:r>
    </w:p>
    <w:p w14:paraId="55A5DEA1" w14:textId="77777777" w:rsidR="001A2C7C" w:rsidRP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Hazarika, M., &amp; Das, D. (2019). Institutional Challenges Facing Small Tea Growers in Assam. International Journal of Agricultural Economics, 4(3), 112–118.</w:t>
      </w:r>
    </w:p>
    <w:p w14:paraId="5A8664F6" w14:textId="4EF35317" w:rsidR="002505BC" w:rsidRPr="003E3F26" w:rsidRDefault="001A2C7C" w:rsidP="005D445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Tea Board of India. Annual Report 2019–20. Ministry of Commerce and Industry, Government of India</w:t>
      </w:r>
      <w:r>
        <w:rPr>
          <w:rFonts w:ascii="Arial" w:hAnsi="Arial" w:cs="Arial"/>
          <w:color w:val="0D0D0D"/>
          <w:kern w:val="0"/>
          <w:sz w:val="20"/>
          <w:szCs w:val="20"/>
        </w:rPr>
        <w:t>.</w:t>
      </w:r>
    </w:p>
    <w:p w14:paraId="6BD9533A" w14:textId="77777777" w:rsidR="00101FAE" w:rsidRPr="002505BC" w:rsidRDefault="00101FAE" w:rsidP="003E3F26">
      <w:pPr>
        <w:spacing w:line="240" w:lineRule="auto"/>
        <w:jc w:val="both"/>
        <w:rPr>
          <w:rFonts w:ascii="Arial" w:hAnsi="Arial" w:cs="Arial"/>
          <w:sz w:val="22"/>
          <w:szCs w:val="22"/>
        </w:rPr>
      </w:pPr>
    </w:p>
    <w:p w14:paraId="2CDF0C7B" w14:textId="5E954604" w:rsidR="00101FAE" w:rsidRPr="002505BC" w:rsidRDefault="00101FAE" w:rsidP="00101FAE">
      <w:pPr>
        <w:spacing w:line="240" w:lineRule="auto"/>
        <w:jc w:val="right"/>
        <w:rPr>
          <w:rFonts w:ascii="Arial" w:hAnsi="Arial" w:cs="Arial"/>
          <w:sz w:val="22"/>
          <w:szCs w:val="22"/>
        </w:rPr>
      </w:pPr>
    </w:p>
    <w:p w14:paraId="318BE6F8" w14:textId="77777777" w:rsidR="00101FAE" w:rsidRPr="002505BC" w:rsidRDefault="00101FAE" w:rsidP="00101FAE">
      <w:pPr>
        <w:jc w:val="center"/>
        <w:rPr>
          <w:rFonts w:ascii="Arial" w:hAnsi="Arial" w:cs="Arial"/>
          <w:sz w:val="20"/>
          <w:szCs w:val="20"/>
        </w:rPr>
      </w:pPr>
    </w:p>
    <w:sectPr w:rsidR="00101FAE" w:rsidRPr="002505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352ED" w14:textId="77777777" w:rsidR="00DC1FA9" w:rsidRDefault="00DC1FA9" w:rsidP="006A626E">
      <w:pPr>
        <w:spacing w:after="0" w:line="240" w:lineRule="auto"/>
      </w:pPr>
      <w:r>
        <w:separator/>
      </w:r>
    </w:p>
  </w:endnote>
  <w:endnote w:type="continuationSeparator" w:id="0">
    <w:p w14:paraId="74762FEC" w14:textId="77777777" w:rsidR="00DC1FA9" w:rsidRDefault="00DC1FA9" w:rsidP="006A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D04C7" w14:textId="77777777" w:rsidR="00225DC8" w:rsidRDefault="00225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7E88" w14:textId="77777777" w:rsidR="00225DC8" w:rsidRDefault="00225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9908A" w14:textId="77777777" w:rsidR="00225DC8" w:rsidRDefault="00225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3F407" w14:textId="77777777" w:rsidR="00DC1FA9" w:rsidRDefault="00DC1FA9" w:rsidP="006A626E">
      <w:pPr>
        <w:spacing w:after="0" w:line="240" w:lineRule="auto"/>
      </w:pPr>
      <w:r>
        <w:separator/>
      </w:r>
    </w:p>
  </w:footnote>
  <w:footnote w:type="continuationSeparator" w:id="0">
    <w:p w14:paraId="71155581" w14:textId="77777777" w:rsidR="00DC1FA9" w:rsidRDefault="00DC1FA9" w:rsidP="006A6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33F49" w14:textId="1A13598C" w:rsidR="00225DC8" w:rsidRDefault="00225DC8">
    <w:pPr>
      <w:pStyle w:val="Header"/>
    </w:pPr>
    <w:r>
      <w:rPr>
        <w:noProof/>
      </w:rPr>
      <w:pict w14:anchorId="51E00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22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ED42" w14:textId="4D34181B" w:rsidR="00225DC8" w:rsidRDefault="00225DC8">
    <w:pPr>
      <w:pStyle w:val="Header"/>
    </w:pPr>
    <w:r>
      <w:rPr>
        <w:noProof/>
      </w:rPr>
      <w:pict w14:anchorId="2CDA4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22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39F0" w14:textId="5E3FD788" w:rsidR="00225DC8" w:rsidRDefault="00225DC8">
    <w:pPr>
      <w:pStyle w:val="Header"/>
    </w:pPr>
    <w:r>
      <w:rPr>
        <w:noProof/>
      </w:rPr>
      <w:pict w14:anchorId="3FBD5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22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C5EEC"/>
    <w:multiLevelType w:val="multilevel"/>
    <w:tmpl w:val="685E3C4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6B3ACF"/>
    <w:multiLevelType w:val="multilevel"/>
    <w:tmpl w:val="C5D8A84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B7B6262"/>
    <w:multiLevelType w:val="hybridMultilevel"/>
    <w:tmpl w:val="048A70EC"/>
    <w:lvl w:ilvl="0" w:tplc="5D46D080">
      <w:start w:val="4"/>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96045F5"/>
    <w:multiLevelType w:val="hybridMultilevel"/>
    <w:tmpl w:val="81E826E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4A208C"/>
    <w:multiLevelType w:val="hybridMultilevel"/>
    <w:tmpl w:val="B5344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AE"/>
    <w:rsid w:val="000B6141"/>
    <w:rsid w:val="00101FAE"/>
    <w:rsid w:val="001A2C7C"/>
    <w:rsid w:val="00225DC8"/>
    <w:rsid w:val="002505BC"/>
    <w:rsid w:val="002A3919"/>
    <w:rsid w:val="002A4C4E"/>
    <w:rsid w:val="002F1E91"/>
    <w:rsid w:val="00302683"/>
    <w:rsid w:val="00355357"/>
    <w:rsid w:val="003871BE"/>
    <w:rsid w:val="003E3F26"/>
    <w:rsid w:val="0044118F"/>
    <w:rsid w:val="004A5543"/>
    <w:rsid w:val="004B0DD5"/>
    <w:rsid w:val="005947AB"/>
    <w:rsid w:val="005D445C"/>
    <w:rsid w:val="00613162"/>
    <w:rsid w:val="006156F6"/>
    <w:rsid w:val="006A626E"/>
    <w:rsid w:val="00710F8A"/>
    <w:rsid w:val="007343DD"/>
    <w:rsid w:val="0079129C"/>
    <w:rsid w:val="008268E8"/>
    <w:rsid w:val="008278FB"/>
    <w:rsid w:val="009439B9"/>
    <w:rsid w:val="00A440B1"/>
    <w:rsid w:val="00AA2BEC"/>
    <w:rsid w:val="00AA2F83"/>
    <w:rsid w:val="00AC7E44"/>
    <w:rsid w:val="00AF1167"/>
    <w:rsid w:val="00BA2319"/>
    <w:rsid w:val="00BF6EAA"/>
    <w:rsid w:val="00D20F15"/>
    <w:rsid w:val="00D40596"/>
    <w:rsid w:val="00D740BA"/>
    <w:rsid w:val="00DC136E"/>
    <w:rsid w:val="00DC1FA9"/>
    <w:rsid w:val="00F01A3E"/>
    <w:rsid w:val="00F521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24660C"/>
  <w15:chartTrackingRefBased/>
  <w15:docId w15:val="{B5B83F62-8F74-4433-9CEC-9A3B17E0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F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1F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1F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1F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1F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1F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F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F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F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F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1F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1F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1F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1F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1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FAE"/>
    <w:rPr>
      <w:rFonts w:eastAsiaTheme="majorEastAsia" w:cstheme="majorBidi"/>
      <w:color w:val="272727" w:themeColor="text1" w:themeTint="D8"/>
    </w:rPr>
  </w:style>
  <w:style w:type="paragraph" w:styleId="Title">
    <w:name w:val="Title"/>
    <w:basedOn w:val="Normal"/>
    <w:next w:val="Normal"/>
    <w:link w:val="TitleChar"/>
    <w:uiPriority w:val="10"/>
    <w:qFormat/>
    <w:rsid w:val="00101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F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FAE"/>
    <w:pPr>
      <w:spacing w:before="160"/>
      <w:jc w:val="center"/>
    </w:pPr>
    <w:rPr>
      <w:i/>
      <w:iCs/>
      <w:color w:val="404040" w:themeColor="text1" w:themeTint="BF"/>
    </w:rPr>
  </w:style>
  <w:style w:type="character" w:customStyle="1" w:styleId="QuoteChar">
    <w:name w:val="Quote Char"/>
    <w:basedOn w:val="DefaultParagraphFont"/>
    <w:link w:val="Quote"/>
    <w:uiPriority w:val="29"/>
    <w:rsid w:val="00101FAE"/>
    <w:rPr>
      <w:i/>
      <w:iCs/>
      <w:color w:val="404040" w:themeColor="text1" w:themeTint="BF"/>
    </w:rPr>
  </w:style>
  <w:style w:type="paragraph" w:styleId="ListParagraph">
    <w:name w:val="List Paragraph"/>
    <w:basedOn w:val="Normal"/>
    <w:uiPriority w:val="34"/>
    <w:qFormat/>
    <w:rsid w:val="00101FAE"/>
    <w:pPr>
      <w:ind w:left="720"/>
      <w:contextualSpacing/>
    </w:pPr>
  </w:style>
  <w:style w:type="character" w:styleId="IntenseEmphasis">
    <w:name w:val="Intense Emphasis"/>
    <w:basedOn w:val="DefaultParagraphFont"/>
    <w:uiPriority w:val="21"/>
    <w:qFormat/>
    <w:rsid w:val="00101FAE"/>
    <w:rPr>
      <w:i/>
      <w:iCs/>
      <w:color w:val="2F5496" w:themeColor="accent1" w:themeShade="BF"/>
    </w:rPr>
  </w:style>
  <w:style w:type="paragraph" w:styleId="IntenseQuote">
    <w:name w:val="Intense Quote"/>
    <w:basedOn w:val="Normal"/>
    <w:next w:val="Normal"/>
    <w:link w:val="IntenseQuoteChar"/>
    <w:uiPriority w:val="30"/>
    <w:qFormat/>
    <w:rsid w:val="00101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1FAE"/>
    <w:rPr>
      <w:i/>
      <w:iCs/>
      <w:color w:val="2F5496" w:themeColor="accent1" w:themeShade="BF"/>
    </w:rPr>
  </w:style>
  <w:style w:type="character" w:styleId="IntenseReference">
    <w:name w:val="Intense Reference"/>
    <w:basedOn w:val="DefaultParagraphFont"/>
    <w:uiPriority w:val="32"/>
    <w:qFormat/>
    <w:rsid w:val="00101FAE"/>
    <w:rPr>
      <w:b/>
      <w:bCs/>
      <w:smallCaps/>
      <w:color w:val="2F5496" w:themeColor="accent1" w:themeShade="BF"/>
      <w:spacing w:val="5"/>
    </w:rPr>
  </w:style>
  <w:style w:type="table" w:styleId="GridTable6Colorful-Accent2">
    <w:name w:val="Grid Table 6 Colorful Accent 2"/>
    <w:basedOn w:val="TableNormal"/>
    <w:uiPriority w:val="51"/>
    <w:rsid w:val="00DC136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3">
    <w:name w:val="Grid Table 1 Light Accent 3"/>
    <w:basedOn w:val="TableNormal"/>
    <w:uiPriority w:val="46"/>
    <w:rsid w:val="00DC136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A6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26E"/>
  </w:style>
  <w:style w:type="paragraph" w:styleId="Footer">
    <w:name w:val="footer"/>
    <w:basedOn w:val="Normal"/>
    <w:link w:val="FooterChar"/>
    <w:uiPriority w:val="99"/>
    <w:unhideWhenUsed/>
    <w:rsid w:val="006A6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26E"/>
  </w:style>
  <w:style w:type="character" w:styleId="Hyperlink">
    <w:name w:val="Hyperlink"/>
    <w:basedOn w:val="DefaultParagraphFont"/>
    <w:uiPriority w:val="99"/>
    <w:unhideWhenUsed/>
    <w:rsid w:val="00710F8A"/>
    <w:rPr>
      <w:color w:val="0563C1" w:themeColor="hyperlink"/>
      <w:u w:val="single"/>
    </w:rPr>
  </w:style>
  <w:style w:type="character" w:styleId="UnresolvedMention">
    <w:name w:val="Unresolved Mention"/>
    <w:basedOn w:val="DefaultParagraphFont"/>
    <w:uiPriority w:val="99"/>
    <w:semiHidden/>
    <w:unhideWhenUsed/>
    <w:rsid w:val="00710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10</Pages>
  <Words>4049</Words>
  <Characters>23083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Mrinmoyee Sharma</dc:creator>
  <cp:keywords/>
  <dc:description/>
  <cp:lastModifiedBy>SDI 1084</cp:lastModifiedBy>
  <cp:revision>17</cp:revision>
  <dcterms:created xsi:type="dcterms:W3CDTF">2025-05-11T13:40:00Z</dcterms:created>
  <dcterms:modified xsi:type="dcterms:W3CDTF">2025-05-13T12:13:00Z</dcterms:modified>
</cp:coreProperties>
</file>