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E6AFE" w14:textId="77777777" w:rsidR="00804262" w:rsidRPr="00804262" w:rsidRDefault="00804262" w:rsidP="00804262">
      <w:pPr>
        <w:jc w:val="right"/>
        <w:rPr>
          <w:rFonts w:eastAsia="Times New Roman"/>
          <w:b/>
          <w:bCs/>
          <w:i/>
          <w:iCs/>
          <w:sz w:val="36"/>
          <w:szCs w:val="36"/>
          <w:u w:val="single"/>
        </w:rPr>
      </w:pPr>
      <w:r w:rsidRPr="00804262">
        <w:rPr>
          <w:rFonts w:eastAsia="Times New Roman"/>
          <w:b/>
          <w:bCs/>
          <w:i/>
          <w:iCs/>
          <w:sz w:val="36"/>
          <w:szCs w:val="36"/>
          <w:u w:val="single"/>
        </w:rPr>
        <w:t>Original Research Article</w:t>
      </w:r>
    </w:p>
    <w:p w14:paraId="755CA4CA" w14:textId="77777777" w:rsidR="00AF27A5" w:rsidRPr="0017107A" w:rsidRDefault="00AF27A5" w:rsidP="00B36FD9">
      <w:pPr>
        <w:jc w:val="right"/>
        <w:rPr>
          <w:rFonts w:eastAsia="Times New Roman"/>
          <w:b/>
          <w:sz w:val="36"/>
          <w:szCs w:val="36"/>
        </w:rPr>
      </w:pPr>
      <w:r w:rsidRPr="0017107A">
        <w:rPr>
          <w:rFonts w:eastAsia="Times New Roman"/>
          <w:b/>
          <w:sz w:val="36"/>
          <w:szCs w:val="36"/>
        </w:rPr>
        <w:t xml:space="preserve">Demographic Determinants of Millet Commercialization in Rainfed Hilly Regions: Evidence from a North Himalayan </w:t>
      </w:r>
      <w:r w:rsidR="00F22DAB" w:rsidRPr="0017107A">
        <w:rPr>
          <w:rFonts w:eastAsia="Times New Roman"/>
          <w:b/>
          <w:sz w:val="36"/>
          <w:szCs w:val="36"/>
        </w:rPr>
        <w:t>State of</w:t>
      </w:r>
      <w:r w:rsidRPr="0017107A">
        <w:rPr>
          <w:rFonts w:eastAsia="Times New Roman"/>
          <w:b/>
          <w:sz w:val="36"/>
          <w:szCs w:val="36"/>
        </w:rPr>
        <w:t xml:space="preserve"> India</w:t>
      </w:r>
    </w:p>
    <w:p w14:paraId="7E2AC5BA" w14:textId="77777777" w:rsidR="00F63BD3" w:rsidRPr="0017107A" w:rsidRDefault="00F63BD3" w:rsidP="00B36FD9">
      <w:pPr>
        <w:jc w:val="right"/>
        <w:rPr>
          <w:rFonts w:eastAsia="Times New Roman"/>
          <w:b/>
          <w:sz w:val="14"/>
          <w:szCs w:val="36"/>
        </w:rPr>
      </w:pPr>
    </w:p>
    <w:p w14:paraId="16C46557" w14:textId="77777777" w:rsidR="003650C3" w:rsidRDefault="003650C3">
      <w:pPr>
        <w:jc w:val="center"/>
        <w:rPr>
          <w:rFonts w:eastAsia="Times New Roman"/>
          <w:b/>
          <w:sz w:val="10"/>
          <w:szCs w:val="24"/>
        </w:rPr>
      </w:pPr>
    </w:p>
    <w:p w14:paraId="4293B62F" w14:textId="77777777" w:rsidR="008C3D38" w:rsidRPr="0017107A" w:rsidRDefault="008C3D38">
      <w:pPr>
        <w:jc w:val="center"/>
        <w:rPr>
          <w:rFonts w:eastAsia="Times New Roman"/>
          <w:b/>
          <w:sz w:val="10"/>
          <w:szCs w:val="24"/>
        </w:rPr>
      </w:pPr>
    </w:p>
    <w:p w14:paraId="07707175" w14:textId="77777777" w:rsidR="003650C3" w:rsidRPr="0017107A" w:rsidRDefault="00AE2236">
      <w:pPr>
        <w:jc w:val="center"/>
        <w:rPr>
          <w:rFonts w:eastAsia="Times New Roman"/>
          <w:b/>
          <w:sz w:val="24"/>
          <w:szCs w:val="24"/>
        </w:rPr>
      </w:pPr>
      <w:r w:rsidRPr="0017107A">
        <w:rPr>
          <w:rFonts w:eastAsia="Times New Roman"/>
          <w:b/>
          <w:sz w:val="24"/>
          <w:szCs w:val="24"/>
        </w:rPr>
        <w:t>Abstract</w:t>
      </w:r>
    </w:p>
    <w:p w14:paraId="7FBD477A" w14:textId="77777777" w:rsidR="00A6766A" w:rsidRPr="00B6165E" w:rsidRDefault="00A6766A" w:rsidP="00D8627F">
      <w:pPr>
        <w:pBdr>
          <w:top w:val="single" w:sz="4" w:space="1" w:color="auto"/>
          <w:left w:val="single" w:sz="4" w:space="4" w:color="auto"/>
          <w:bottom w:val="single" w:sz="4" w:space="1" w:color="auto"/>
          <w:right w:val="single" w:sz="4" w:space="4" w:color="auto"/>
        </w:pBdr>
        <w:spacing w:after="120" w:line="360" w:lineRule="auto"/>
        <w:jc w:val="both"/>
        <w:rPr>
          <w:rFonts w:eastAsia="Times New Roman"/>
          <w:b/>
          <w:bCs/>
          <w:lang w:val="en-IN"/>
        </w:rPr>
      </w:pPr>
      <w:r w:rsidRPr="00B6165E">
        <w:rPr>
          <w:rFonts w:eastAsia="Times New Roman"/>
          <w:b/>
          <w:bCs/>
          <w:lang w:val="en-IN"/>
        </w:rPr>
        <w:t xml:space="preserve">Millets, historically sidelined during Green Revolution due to the prioritization of high-yielding cereals, are now witnessing a global resurgence owing to their nutritional superiority, climate resilience, and minimal external input requirements. As food systems evolve from addressing hunger to promoting holistic nutrition and sustainability, millets have re-emerged as </w:t>
      </w:r>
      <w:r w:rsidR="00902FB7" w:rsidRPr="00B6165E">
        <w:rPr>
          <w:rFonts w:eastAsia="Times New Roman"/>
          <w:b/>
          <w:bCs/>
          <w:lang w:val="en-IN"/>
        </w:rPr>
        <w:t xml:space="preserve">the </w:t>
      </w:r>
      <w:r w:rsidRPr="00B6165E">
        <w:rPr>
          <w:rFonts w:eastAsia="Times New Roman"/>
          <w:b/>
          <w:bCs/>
          <w:lang w:val="en-IN"/>
        </w:rPr>
        <w:t xml:space="preserve">vital crops for achieving food and livelihood security, particularly in marginal and rainfed regions. In this context, the present study examines the role of demographic determinants in influencing the commercialization of millets in the rainfed hilly regions of Uttarakhand, India. A total of 244 millet-growing households were surveyed, selected through a cluster sampling technique with purposive facilitation by the local NGO, </w:t>
      </w:r>
      <w:proofErr w:type="spellStart"/>
      <w:r w:rsidRPr="00D8627F">
        <w:rPr>
          <w:rFonts w:eastAsia="Times New Roman"/>
          <w:b/>
          <w:bCs/>
          <w:i/>
          <w:iCs/>
          <w:lang w:val="en-IN"/>
        </w:rPr>
        <w:t>Himmothan</w:t>
      </w:r>
      <w:proofErr w:type="spellEnd"/>
      <w:r w:rsidR="00902FB7" w:rsidRPr="00B6165E">
        <w:rPr>
          <w:rFonts w:eastAsia="Times New Roman"/>
          <w:b/>
          <w:bCs/>
          <w:lang w:val="en-IN"/>
        </w:rPr>
        <w:t>, working to promote millets cultivation and commercialisation</w:t>
      </w:r>
      <w:r w:rsidRPr="00B6165E">
        <w:rPr>
          <w:rFonts w:eastAsia="Times New Roman"/>
          <w:b/>
          <w:bCs/>
          <w:lang w:val="en-IN"/>
        </w:rPr>
        <w:t xml:space="preserve">. The study </w:t>
      </w:r>
      <w:r w:rsidR="00902FB7" w:rsidRPr="00B6165E">
        <w:rPr>
          <w:rFonts w:eastAsia="Times New Roman"/>
          <w:b/>
          <w:bCs/>
          <w:lang w:val="en-IN"/>
        </w:rPr>
        <w:t>included</w:t>
      </w:r>
      <w:r w:rsidRPr="00B6165E">
        <w:rPr>
          <w:rFonts w:eastAsia="Times New Roman"/>
          <w:b/>
          <w:bCs/>
          <w:lang w:val="en-IN"/>
        </w:rPr>
        <w:t xml:space="preserve"> four clusters</w:t>
      </w:r>
      <w:r w:rsidR="00902FB7" w:rsidRPr="00B6165E">
        <w:rPr>
          <w:rFonts w:eastAsia="Times New Roman"/>
          <w:b/>
          <w:bCs/>
          <w:lang w:val="en-IN"/>
        </w:rPr>
        <w:t xml:space="preserve"> -</w:t>
      </w:r>
      <w:r w:rsidRPr="00B6165E">
        <w:rPr>
          <w:rFonts w:eastAsia="Times New Roman"/>
          <w:b/>
          <w:bCs/>
          <w:lang w:val="en-IN"/>
        </w:rPr>
        <w:t>two each from the Garhwal and Kumaon divisions</w:t>
      </w:r>
      <w:r w:rsidR="00902FB7" w:rsidRPr="00B6165E">
        <w:rPr>
          <w:rFonts w:eastAsia="Times New Roman"/>
          <w:b/>
          <w:bCs/>
          <w:lang w:val="en-IN"/>
        </w:rPr>
        <w:t xml:space="preserve"> - </w:t>
      </w:r>
      <w:r w:rsidRPr="00B6165E">
        <w:rPr>
          <w:rFonts w:eastAsia="Times New Roman"/>
          <w:b/>
          <w:bCs/>
          <w:lang w:val="en-IN"/>
        </w:rPr>
        <w:t>chosen for their distinct agro-ecological characteristics and active government-led interventions aimed at millet promotion. Respondents were identified using proportionate probability sampling to ensure regional representativeness. The study assessed how demographic variables—such as age, gender, education, income, farming experience, cropping intensity, and landholding size—affect the extent and level of millet commercialization. The findings aim to identify key demographic profiles that are most responsive to millet commercial opportunities. These insights are expected to inform evidence-based policy formulation and programmatic interventions to support inclusive, scalable, and context-specific millet commercialization strategies in similar hill agro-ecosystems.</w:t>
      </w:r>
    </w:p>
    <w:p w14:paraId="1B6C1972" w14:textId="77777777" w:rsidR="00F52B8C" w:rsidRPr="0017107A" w:rsidRDefault="00F52B8C" w:rsidP="00D8627F">
      <w:pPr>
        <w:spacing w:after="120" w:line="360" w:lineRule="auto"/>
        <w:rPr>
          <w:rFonts w:eastAsia="Times New Roman"/>
          <w:b/>
          <w:bCs/>
          <w:sz w:val="20"/>
          <w:szCs w:val="24"/>
        </w:rPr>
      </w:pPr>
      <w:r w:rsidRPr="0017107A">
        <w:rPr>
          <w:rFonts w:eastAsia="Times New Roman"/>
          <w:b/>
          <w:bCs/>
          <w:sz w:val="20"/>
          <w:szCs w:val="24"/>
        </w:rPr>
        <w:t xml:space="preserve">Keywords: </w:t>
      </w:r>
      <w:r w:rsidR="00767EFF" w:rsidRPr="0017107A">
        <w:rPr>
          <w:rFonts w:eastAsia="Times New Roman"/>
          <w:bCs/>
          <w:sz w:val="20"/>
          <w:szCs w:val="24"/>
        </w:rPr>
        <w:t>Millet commercialization,</w:t>
      </w:r>
      <w:r w:rsidR="00767EFF" w:rsidRPr="0017107A">
        <w:rPr>
          <w:rFonts w:eastAsia="Times New Roman"/>
          <w:b/>
          <w:bCs/>
          <w:sz w:val="20"/>
          <w:szCs w:val="24"/>
        </w:rPr>
        <w:t xml:space="preserve"> </w:t>
      </w:r>
      <w:r w:rsidR="00767EFF" w:rsidRPr="0017107A">
        <w:rPr>
          <w:rFonts w:eastAsia="Times New Roman"/>
          <w:bCs/>
          <w:sz w:val="20"/>
          <w:szCs w:val="24"/>
        </w:rPr>
        <w:t>Demographic determinants,</w:t>
      </w:r>
      <w:r w:rsidR="00767EFF" w:rsidRPr="0017107A">
        <w:rPr>
          <w:rFonts w:eastAsia="Times New Roman"/>
          <w:b/>
          <w:bCs/>
          <w:sz w:val="20"/>
          <w:szCs w:val="24"/>
        </w:rPr>
        <w:t xml:space="preserve"> </w:t>
      </w:r>
      <w:r w:rsidR="00767EFF" w:rsidRPr="0017107A">
        <w:rPr>
          <w:rFonts w:eastAsia="Times New Roman"/>
          <w:bCs/>
          <w:sz w:val="20"/>
          <w:szCs w:val="24"/>
        </w:rPr>
        <w:t>Rainfed agriculture, Hilly regions, Farmers characteristics, Sustainable agriculture, Uttarakhand, etc.</w:t>
      </w:r>
    </w:p>
    <w:p w14:paraId="1D18E349" w14:textId="77777777" w:rsidR="00902FB7" w:rsidRPr="0017107A" w:rsidRDefault="00902FB7" w:rsidP="00AD4E64">
      <w:pPr>
        <w:spacing w:line="360" w:lineRule="auto"/>
        <w:rPr>
          <w:rFonts w:eastAsia="Times New Roman"/>
          <w:b/>
          <w:sz w:val="12"/>
          <w:szCs w:val="24"/>
        </w:rPr>
      </w:pPr>
    </w:p>
    <w:p w14:paraId="5ED43C30" w14:textId="77777777" w:rsidR="003650C3" w:rsidRPr="0017107A" w:rsidRDefault="0017107A" w:rsidP="00797411">
      <w:pPr>
        <w:spacing w:line="360" w:lineRule="auto"/>
        <w:rPr>
          <w:rFonts w:eastAsia="Times New Roman"/>
          <w:b/>
          <w:szCs w:val="24"/>
        </w:rPr>
      </w:pPr>
      <w:r w:rsidRPr="0017107A">
        <w:rPr>
          <w:rFonts w:eastAsia="Times New Roman"/>
          <w:b/>
          <w:szCs w:val="24"/>
        </w:rPr>
        <w:t xml:space="preserve">1. </w:t>
      </w:r>
      <w:r w:rsidR="00797411" w:rsidRPr="0017107A">
        <w:rPr>
          <w:rFonts w:eastAsia="Times New Roman"/>
          <w:b/>
          <w:szCs w:val="24"/>
        </w:rPr>
        <w:t>INTRODUCTION</w:t>
      </w:r>
    </w:p>
    <w:p w14:paraId="0F15E105" w14:textId="77777777" w:rsidR="00E33E60" w:rsidRPr="0017107A" w:rsidRDefault="00AE2236" w:rsidP="00797411">
      <w:pPr>
        <w:spacing w:line="360" w:lineRule="auto"/>
        <w:jc w:val="both"/>
        <w:rPr>
          <w:rFonts w:eastAsia="Times New Roman"/>
          <w:sz w:val="20"/>
          <w:szCs w:val="24"/>
        </w:rPr>
      </w:pPr>
      <w:r w:rsidRPr="0017107A">
        <w:rPr>
          <w:rFonts w:eastAsia="Times New Roman"/>
          <w:sz w:val="20"/>
          <w:szCs w:val="24"/>
        </w:rPr>
        <w:t xml:space="preserve">The global food system is grappling with a range of unprecedented challenges, particularly in developing countries, where food insecurity and malnutrition continue to rise. Sub-Saharan Africa (SSA) faces the </w:t>
      </w:r>
      <w:r w:rsidRPr="0017107A">
        <w:rPr>
          <w:rFonts w:eastAsia="Times New Roman"/>
          <w:sz w:val="20"/>
          <w:szCs w:val="24"/>
        </w:rPr>
        <w:lastRenderedPageBreak/>
        <w:t>highest prevalence, affecting 22.3% of its population (FAO et al., 2022). However, countries like India are also significantly impacted, facing a triple burden of malnutrition</w:t>
      </w:r>
      <w:r w:rsidR="007626AB" w:rsidRPr="0017107A">
        <w:rPr>
          <w:rFonts w:eastAsia="Times New Roman"/>
          <w:sz w:val="20"/>
          <w:szCs w:val="24"/>
        </w:rPr>
        <w:t xml:space="preserve">, </w:t>
      </w:r>
      <w:r w:rsidRPr="0017107A">
        <w:rPr>
          <w:rFonts w:eastAsia="Times New Roman"/>
          <w:sz w:val="20"/>
          <w:szCs w:val="24"/>
        </w:rPr>
        <w:t>under</w:t>
      </w:r>
      <w:r w:rsidR="007626AB" w:rsidRPr="0017107A">
        <w:rPr>
          <w:rFonts w:eastAsia="Times New Roman"/>
          <w:sz w:val="20"/>
          <w:szCs w:val="24"/>
        </w:rPr>
        <w:t>-</w:t>
      </w:r>
      <w:r w:rsidRPr="0017107A">
        <w:rPr>
          <w:rFonts w:eastAsia="Times New Roman"/>
          <w:sz w:val="20"/>
          <w:szCs w:val="24"/>
        </w:rPr>
        <w:t>nutrition, over</w:t>
      </w:r>
      <w:r w:rsidR="005E3BC0" w:rsidRPr="0017107A">
        <w:rPr>
          <w:rFonts w:eastAsia="Times New Roman"/>
          <w:sz w:val="20"/>
          <w:szCs w:val="24"/>
        </w:rPr>
        <w:t>-</w:t>
      </w:r>
      <w:r w:rsidRPr="0017107A">
        <w:rPr>
          <w:rFonts w:eastAsia="Times New Roman"/>
          <w:sz w:val="20"/>
          <w:szCs w:val="24"/>
        </w:rPr>
        <w:t>nutrition, and micronutrient deficiencies. Despite these challenges, India has made considerable efforts to enhance food production and resource utilization, beginning with the historic Green Revolution of the 1970s, which marked a turning point toward self-sufficiency in several food sectors.</w:t>
      </w:r>
      <w:r w:rsidR="007626AB" w:rsidRPr="0017107A">
        <w:rPr>
          <w:rFonts w:eastAsia="Times New Roman"/>
          <w:sz w:val="20"/>
          <w:szCs w:val="24"/>
        </w:rPr>
        <w:t xml:space="preserve"> </w:t>
      </w:r>
      <w:r w:rsidRPr="0017107A">
        <w:rPr>
          <w:rFonts w:eastAsia="Times New Roman"/>
          <w:sz w:val="20"/>
          <w:szCs w:val="24"/>
        </w:rPr>
        <w:t>In recent years, Indian millets have emerged as a promising solution to global food security concerns. These ancient grains offer superior nutritional, environmental, and economic advantages compared to widely consumed staples such as rice and wheat (Amadou e</w:t>
      </w:r>
      <w:r w:rsidR="004865DD" w:rsidRPr="0017107A">
        <w:rPr>
          <w:rFonts w:eastAsia="Times New Roman"/>
          <w:sz w:val="20"/>
          <w:szCs w:val="24"/>
        </w:rPr>
        <w:t>t al., 2013; Mishra et al., 2024</w:t>
      </w:r>
      <w:r w:rsidRPr="0017107A">
        <w:rPr>
          <w:rFonts w:eastAsia="Times New Roman"/>
          <w:sz w:val="20"/>
          <w:szCs w:val="24"/>
        </w:rPr>
        <w:t>). As a resilient cereal crop, millet is extensively cultivated across India, positioning the country as one of the world’s l</w:t>
      </w:r>
      <w:r w:rsidR="004865DD" w:rsidRPr="0017107A">
        <w:rPr>
          <w:rFonts w:eastAsia="Times New Roman"/>
          <w:sz w:val="20"/>
          <w:szCs w:val="24"/>
        </w:rPr>
        <w:t>eading millet exporters (Singh, et al.</w:t>
      </w:r>
      <w:r w:rsidR="007626AB" w:rsidRPr="0017107A">
        <w:rPr>
          <w:rFonts w:eastAsia="Times New Roman"/>
          <w:sz w:val="20"/>
          <w:szCs w:val="24"/>
        </w:rPr>
        <w:t>, 2023</w:t>
      </w:r>
      <w:r w:rsidRPr="0017107A">
        <w:rPr>
          <w:rFonts w:eastAsia="Times New Roman"/>
          <w:sz w:val="20"/>
          <w:szCs w:val="24"/>
        </w:rPr>
        <w:t>). With changing dietary patterns, climate stress, and resource scarcity, promoting millet production and consumption could play a critical role in addressing food security challenges both in India and</w:t>
      </w:r>
      <w:r w:rsidR="00E33E60" w:rsidRPr="0017107A">
        <w:rPr>
          <w:rFonts w:eastAsia="Times New Roman"/>
          <w:sz w:val="20"/>
          <w:szCs w:val="24"/>
        </w:rPr>
        <w:t xml:space="preserve"> globally.</w:t>
      </w:r>
    </w:p>
    <w:p w14:paraId="55663FA7" w14:textId="77777777" w:rsidR="00E33E60" w:rsidRPr="0017107A" w:rsidRDefault="00E33E60" w:rsidP="00E33E60">
      <w:pPr>
        <w:spacing w:line="360" w:lineRule="auto"/>
        <w:jc w:val="both"/>
        <w:rPr>
          <w:sz w:val="20"/>
          <w:szCs w:val="24"/>
        </w:rPr>
      </w:pPr>
      <w:r w:rsidRPr="0017107A">
        <w:rPr>
          <w:sz w:val="20"/>
          <w:szCs w:val="24"/>
        </w:rPr>
        <w:t xml:space="preserve">Millets, often referred to as "nutri-cereals," are a group of small-seeded grasses cultivated for food and fodder. Despite their historical significance in traditional farming systems across India, millets were sidelined during the </w:t>
      </w:r>
      <w:r w:rsidR="007626AB" w:rsidRPr="0017107A">
        <w:rPr>
          <w:sz w:val="20"/>
          <w:szCs w:val="24"/>
        </w:rPr>
        <w:t>green revolution</w:t>
      </w:r>
      <w:r w:rsidRPr="0017107A">
        <w:rPr>
          <w:sz w:val="20"/>
          <w:szCs w:val="24"/>
        </w:rPr>
        <w:t>, which prioritized high-yielding varieties of rice and wheat to ensure food security (Pingali, 2012). However, in recent years, there has been a resurgence of interest in millets due to their superior nutritional profile, ability to thrive in marginal environments, and low input requirements (Bora et al., 2021; Gupta et al., 2023).</w:t>
      </w:r>
    </w:p>
    <w:p w14:paraId="4EA4C468" w14:textId="77777777" w:rsidR="00E33E60" w:rsidRPr="0017107A" w:rsidRDefault="00E33E60" w:rsidP="00E33E60">
      <w:pPr>
        <w:spacing w:line="240" w:lineRule="auto"/>
        <w:jc w:val="both"/>
        <w:rPr>
          <w:sz w:val="20"/>
          <w:szCs w:val="24"/>
        </w:rPr>
      </w:pPr>
    </w:p>
    <w:p w14:paraId="220FA259" w14:textId="77777777" w:rsidR="00E33E60" w:rsidRPr="0017107A" w:rsidRDefault="00E33E60" w:rsidP="00E33E60">
      <w:pPr>
        <w:spacing w:line="360" w:lineRule="auto"/>
        <w:jc w:val="both"/>
        <w:rPr>
          <w:sz w:val="20"/>
          <w:szCs w:val="24"/>
        </w:rPr>
      </w:pPr>
      <w:r w:rsidRPr="0017107A">
        <w:rPr>
          <w:sz w:val="20"/>
          <w:szCs w:val="24"/>
        </w:rPr>
        <w:t>In the wake of rising concerns about climate change, food insecurity, and soil degradation, millets are being promoted as climate-resilient crops that support sustainable agriculture (</w:t>
      </w:r>
      <w:proofErr w:type="spellStart"/>
      <w:r w:rsidRPr="0017107A">
        <w:rPr>
          <w:sz w:val="20"/>
          <w:szCs w:val="24"/>
        </w:rPr>
        <w:t>Muthamilarasan</w:t>
      </w:r>
      <w:proofErr w:type="spellEnd"/>
      <w:r w:rsidRPr="0017107A">
        <w:rPr>
          <w:sz w:val="20"/>
          <w:szCs w:val="24"/>
        </w:rPr>
        <w:t xml:space="preserve"> &amp; Prasad, 2021). Their adaptability to drought-prone and rain-fed agro-ecological zones makes them ideal for cultivation in hilly terrains such as those found in Uttarakhand. Recognizing this, the Government of India and various development organizations have launched several initiatives, including the declaration of 2023 as the "International Year of Millets" by the United Nations, to revive millet production and consumption (FAO, 2022).</w:t>
      </w:r>
    </w:p>
    <w:p w14:paraId="4CD3FEA2" w14:textId="77777777" w:rsidR="00E33E60" w:rsidRPr="0017107A" w:rsidRDefault="00E33E60" w:rsidP="00E33E60">
      <w:pPr>
        <w:spacing w:line="240" w:lineRule="auto"/>
        <w:jc w:val="both"/>
        <w:rPr>
          <w:sz w:val="20"/>
          <w:szCs w:val="24"/>
        </w:rPr>
      </w:pPr>
    </w:p>
    <w:p w14:paraId="7BDC5F92" w14:textId="77777777" w:rsidR="00E33E60" w:rsidRPr="0017107A" w:rsidRDefault="00E33E60" w:rsidP="00E33E60">
      <w:pPr>
        <w:spacing w:line="360" w:lineRule="auto"/>
        <w:jc w:val="both"/>
        <w:rPr>
          <w:sz w:val="20"/>
          <w:szCs w:val="24"/>
        </w:rPr>
      </w:pPr>
      <w:r w:rsidRPr="0017107A">
        <w:rPr>
          <w:sz w:val="20"/>
          <w:szCs w:val="24"/>
        </w:rPr>
        <w:t>While production-focused interventions have shown promise, there remains a significant gap in understanding the dynamics of millet commercialization</w:t>
      </w:r>
      <w:r w:rsidR="007626AB" w:rsidRPr="0017107A">
        <w:rPr>
          <w:sz w:val="20"/>
          <w:szCs w:val="24"/>
        </w:rPr>
        <w:t xml:space="preserve">, </w:t>
      </w:r>
      <w:r w:rsidRPr="0017107A">
        <w:rPr>
          <w:sz w:val="20"/>
          <w:szCs w:val="24"/>
        </w:rPr>
        <w:t xml:space="preserve">particularly how demographic factors influence a farmer’s decision to transition from subsistence millet farming to market-oriented production. Previous studies have highlighted factors such as age, education, access to markets, and landholding size </w:t>
      </w:r>
      <w:r w:rsidR="007626AB" w:rsidRPr="0017107A">
        <w:rPr>
          <w:sz w:val="20"/>
          <w:szCs w:val="24"/>
        </w:rPr>
        <w:t xml:space="preserve">which </w:t>
      </w:r>
      <w:r w:rsidRPr="0017107A">
        <w:rPr>
          <w:sz w:val="20"/>
          <w:szCs w:val="24"/>
        </w:rPr>
        <w:t xml:space="preserve">significantly influence the adoption of improved agricultural practices and market participation (Barrett, 2008; </w:t>
      </w:r>
      <w:proofErr w:type="spellStart"/>
      <w:r w:rsidRPr="0017107A">
        <w:rPr>
          <w:sz w:val="20"/>
          <w:szCs w:val="24"/>
        </w:rPr>
        <w:t>Puskur</w:t>
      </w:r>
      <w:proofErr w:type="spellEnd"/>
      <w:r w:rsidRPr="0017107A">
        <w:rPr>
          <w:sz w:val="20"/>
          <w:szCs w:val="24"/>
        </w:rPr>
        <w:t xml:space="preserve"> et al., 2011). However, empirical studies focused specifically on millet commercialization in ecologically sensitive and economically constrained regions like rain-fed hill areas are limited.</w:t>
      </w:r>
    </w:p>
    <w:p w14:paraId="504B5242" w14:textId="77777777" w:rsidR="003650C3" w:rsidRPr="0017107A" w:rsidRDefault="00AE2236" w:rsidP="00AD4E64">
      <w:pPr>
        <w:spacing w:before="240" w:after="240" w:line="360" w:lineRule="auto"/>
        <w:jc w:val="both"/>
        <w:rPr>
          <w:sz w:val="20"/>
          <w:szCs w:val="24"/>
        </w:rPr>
      </w:pPr>
      <w:r w:rsidRPr="0017107A">
        <w:rPr>
          <w:rFonts w:eastAsia="Times New Roman"/>
          <w:sz w:val="20"/>
          <w:szCs w:val="24"/>
        </w:rPr>
        <w:t xml:space="preserve">To enhance </w:t>
      </w:r>
      <w:r w:rsidR="007626AB" w:rsidRPr="0017107A">
        <w:rPr>
          <w:rFonts w:eastAsia="Times New Roman"/>
          <w:sz w:val="20"/>
          <w:szCs w:val="24"/>
        </w:rPr>
        <w:t xml:space="preserve">the </w:t>
      </w:r>
      <w:r w:rsidRPr="0017107A">
        <w:rPr>
          <w:rFonts w:eastAsia="Times New Roman"/>
          <w:sz w:val="20"/>
          <w:szCs w:val="24"/>
        </w:rPr>
        <w:t>millet production, similar levels of support and investment in research and development as those received by staple crops are essential. Millets are widely recognized for their climate resilience and nutritional value, making them a strategic component of sustainable agriculture (Yadav et a</w:t>
      </w:r>
      <w:r w:rsidR="00686673" w:rsidRPr="0017107A">
        <w:rPr>
          <w:rFonts w:eastAsia="Times New Roman"/>
          <w:sz w:val="20"/>
          <w:szCs w:val="24"/>
        </w:rPr>
        <w:t xml:space="preserve">l., 2024). </w:t>
      </w:r>
      <w:r w:rsidR="00686673" w:rsidRPr="0017107A">
        <w:rPr>
          <w:rFonts w:eastAsia="Times New Roman"/>
          <w:sz w:val="20"/>
          <w:szCs w:val="24"/>
        </w:rPr>
        <w:lastRenderedPageBreak/>
        <w:t>However, as Bar (2012</w:t>
      </w:r>
      <w:r w:rsidRPr="0017107A">
        <w:rPr>
          <w:rFonts w:eastAsia="Times New Roman"/>
          <w:sz w:val="20"/>
          <w:szCs w:val="24"/>
        </w:rPr>
        <w:t xml:space="preserve">) highlighted, while yield-enhancing agricultural technologies are necessary, they alone are not sufficient to drive market participation or increase </w:t>
      </w:r>
      <w:r w:rsidR="00642D45" w:rsidRPr="0017107A">
        <w:rPr>
          <w:rFonts w:eastAsia="Times New Roman"/>
          <w:sz w:val="20"/>
          <w:szCs w:val="24"/>
        </w:rPr>
        <w:t>commercialization</w:t>
      </w:r>
      <w:r w:rsidRPr="0017107A">
        <w:rPr>
          <w:rFonts w:eastAsia="Times New Roman"/>
          <w:sz w:val="20"/>
          <w:szCs w:val="24"/>
        </w:rPr>
        <w:t xml:space="preserve">. Farming households often face multiple constraints, such as limited asset holdings and inadequate infrastructure, which lead to high transaction costs (Fischer &amp; Qaim, 2012). Therefore, in addition to </w:t>
      </w:r>
      <w:r w:rsidR="000E6E0B" w:rsidRPr="0017107A">
        <w:rPr>
          <w:rFonts w:eastAsia="Times New Roman"/>
          <w:sz w:val="20"/>
          <w:szCs w:val="24"/>
        </w:rPr>
        <w:t xml:space="preserve">the </w:t>
      </w:r>
      <w:r w:rsidRPr="0017107A">
        <w:rPr>
          <w:rFonts w:eastAsia="Times New Roman"/>
          <w:sz w:val="20"/>
          <w:szCs w:val="24"/>
        </w:rPr>
        <w:t>technological improvements, research institutions should also focus on promoting market organization and developing commercial platforms to reduce transaction costs and strengthen farmers' bargaining power, ultimately ensuring fair remuneration.</w:t>
      </w:r>
      <w:r w:rsidR="007626AB" w:rsidRPr="0017107A">
        <w:rPr>
          <w:rFonts w:eastAsia="Times New Roman"/>
          <w:sz w:val="20"/>
          <w:szCs w:val="24"/>
        </w:rPr>
        <w:t xml:space="preserve"> </w:t>
      </w:r>
      <w:r w:rsidRPr="0017107A">
        <w:rPr>
          <w:rFonts w:eastAsia="Times New Roman"/>
          <w:sz w:val="20"/>
          <w:szCs w:val="24"/>
        </w:rPr>
        <w:t xml:space="preserve">In this context, the primary objective of this article is to assess the level of adoption of millet farming for commercial purposes in Uttarakhand and to examine the </w:t>
      </w:r>
      <w:r w:rsidR="000E6E0B" w:rsidRPr="0017107A">
        <w:rPr>
          <w:rFonts w:eastAsia="Times New Roman"/>
          <w:sz w:val="20"/>
          <w:szCs w:val="24"/>
        </w:rPr>
        <w:t xml:space="preserve">demographic </w:t>
      </w:r>
      <w:r w:rsidRPr="0017107A">
        <w:rPr>
          <w:rFonts w:eastAsia="Times New Roman"/>
          <w:sz w:val="20"/>
          <w:szCs w:val="24"/>
        </w:rPr>
        <w:t>factors that hinder its wider adoption</w:t>
      </w:r>
      <w:r w:rsidR="000E6E0B" w:rsidRPr="0017107A">
        <w:rPr>
          <w:rFonts w:eastAsia="Times New Roman"/>
          <w:sz w:val="20"/>
          <w:szCs w:val="24"/>
        </w:rPr>
        <w:t xml:space="preserve"> and scale-up</w:t>
      </w:r>
      <w:r w:rsidRPr="0017107A">
        <w:rPr>
          <w:rFonts w:eastAsia="Times New Roman"/>
          <w:sz w:val="20"/>
          <w:szCs w:val="24"/>
        </w:rPr>
        <w:t>.</w:t>
      </w:r>
    </w:p>
    <w:p w14:paraId="749F8F4E" w14:textId="77777777" w:rsidR="00EE6D15" w:rsidRPr="0017107A" w:rsidRDefault="002D54A5" w:rsidP="00EE6D15">
      <w:pPr>
        <w:spacing w:line="360" w:lineRule="auto"/>
        <w:jc w:val="both"/>
        <w:rPr>
          <w:b/>
          <w:bCs/>
          <w:sz w:val="20"/>
          <w:szCs w:val="24"/>
        </w:rPr>
      </w:pPr>
      <w:r w:rsidRPr="0017107A">
        <w:rPr>
          <w:b/>
          <w:bCs/>
          <w:sz w:val="20"/>
          <w:szCs w:val="24"/>
        </w:rPr>
        <w:t xml:space="preserve">Literature Review: </w:t>
      </w:r>
    </w:p>
    <w:p w14:paraId="2849A1AB" w14:textId="77777777" w:rsidR="004058CE" w:rsidRPr="0017107A" w:rsidRDefault="004058CE" w:rsidP="00EE6D15">
      <w:pPr>
        <w:spacing w:line="360" w:lineRule="auto"/>
        <w:jc w:val="both"/>
        <w:rPr>
          <w:sz w:val="20"/>
          <w:szCs w:val="24"/>
        </w:rPr>
      </w:pPr>
      <w:r w:rsidRPr="0017107A">
        <w:rPr>
          <w:sz w:val="20"/>
          <w:szCs w:val="24"/>
        </w:rPr>
        <w:t>Millet commercialization in India has gained renewed attention due to its nutritional benefits, climate resilience, and government promotion under initiatives like the </w:t>
      </w:r>
      <w:r w:rsidRPr="0017107A">
        <w:rPr>
          <w:b/>
          <w:bCs/>
          <w:sz w:val="20"/>
          <w:szCs w:val="24"/>
        </w:rPr>
        <w:t>National Millet Mission (2018)</w:t>
      </w:r>
      <w:r w:rsidRPr="0017107A">
        <w:rPr>
          <w:sz w:val="20"/>
          <w:szCs w:val="24"/>
        </w:rPr>
        <w:t> and the </w:t>
      </w:r>
      <w:r w:rsidRPr="0017107A">
        <w:rPr>
          <w:b/>
          <w:bCs/>
          <w:sz w:val="20"/>
          <w:szCs w:val="24"/>
        </w:rPr>
        <w:t>International Year of Millets (2023)</w:t>
      </w:r>
      <w:r w:rsidRPr="0017107A">
        <w:rPr>
          <w:sz w:val="20"/>
          <w:szCs w:val="24"/>
        </w:rPr>
        <w:t>. However, its market penetration is influenced by demographic factors such as age, education, gender, income, and regional preferences.</w:t>
      </w:r>
      <w:r w:rsidR="000E6E0B" w:rsidRPr="0017107A">
        <w:rPr>
          <w:sz w:val="20"/>
          <w:szCs w:val="24"/>
        </w:rPr>
        <w:t xml:space="preserve"> </w:t>
      </w:r>
      <w:r w:rsidR="002D54A5" w:rsidRPr="0017107A">
        <w:rPr>
          <w:sz w:val="20"/>
          <w:szCs w:val="24"/>
        </w:rPr>
        <w:t xml:space="preserve">A number of researches studies have been undertaken which explored millets commercialization in India. </w:t>
      </w:r>
    </w:p>
    <w:p w14:paraId="2BCBDA30" w14:textId="77777777" w:rsidR="004058CE" w:rsidRPr="0017107A" w:rsidRDefault="000E6E0B" w:rsidP="00EE6D15">
      <w:pPr>
        <w:spacing w:line="360" w:lineRule="auto"/>
        <w:jc w:val="both"/>
        <w:rPr>
          <w:sz w:val="20"/>
          <w:szCs w:val="24"/>
        </w:rPr>
      </w:pPr>
      <w:r w:rsidRPr="0017107A">
        <w:rPr>
          <w:sz w:val="20"/>
          <w:szCs w:val="24"/>
        </w:rPr>
        <w:t>Kane-Prabhu et al., (2020), in a</w:t>
      </w:r>
      <w:r w:rsidR="009D4029" w:rsidRPr="0017107A">
        <w:rPr>
          <w:sz w:val="20"/>
          <w:szCs w:val="24"/>
        </w:rPr>
        <w:t xml:space="preserve"> study indicated that younger, urban, and more educated consumers are more likely to adopt millets due to health awareness. Conversely, older farmers in rural areas often resist commercializing millets due to traditional subsistence farming practices (</w:t>
      </w:r>
      <w:proofErr w:type="spellStart"/>
      <w:r w:rsidR="009D4029" w:rsidRPr="0017107A">
        <w:rPr>
          <w:sz w:val="20"/>
          <w:szCs w:val="24"/>
        </w:rPr>
        <w:t>Padulosi</w:t>
      </w:r>
      <w:proofErr w:type="spellEnd"/>
      <w:r w:rsidR="009D4029" w:rsidRPr="0017107A">
        <w:rPr>
          <w:sz w:val="20"/>
          <w:szCs w:val="24"/>
        </w:rPr>
        <w:t xml:space="preserve"> et al., 2015).</w:t>
      </w:r>
    </w:p>
    <w:p w14:paraId="467E3EB3" w14:textId="77777777" w:rsidR="00F024EA" w:rsidRPr="0017107A" w:rsidRDefault="002D5508" w:rsidP="00EE6D15">
      <w:pPr>
        <w:spacing w:line="360" w:lineRule="auto"/>
        <w:jc w:val="both"/>
        <w:rPr>
          <w:sz w:val="20"/>
          <w:szCs w:val="24"/>
        </w:rPr>
      </w:pPr>
      <w:r w:rsidRPr="0017107A">
        <w:rPr>
          <w:sz w:val="20"/>
          <w:szCs w:val="24"/>
        </w:rPr>
        <w:t>Rao et al. (2006) reiterated that women play a crucial role in millet processing and marketing, particularly in South India. However, limited access to credit facilities and land rights restricts female farmers from scaling up millet enterprises (Agarwal, 2018).</w:t>
      </w:r>
      <w:r w:rsidR="000E6E0B" w:rsidRPr="0017107A">
        <w:rPr>
          <w:sz w:val="20"/>
          <w:szCs w:val="24"/>
        </w:rPr>
        <w:t xml:space="preserve"> </w:t>
      </w:r>
      <w:r w:rsidR="00F024EA" w:rsidRPr="0017107A">
        <w:rPr>
          <w:sz w:val="20"/>
          <w:szCs w:val="24"/>
        </w:rPr>
        <w:t>Further, higher-income households show greater willingness to pay for processed millet products (Ravi et al., 2021) whereas, smallholder farmers face challenges in accessing formal markets due to intermediaries and lack of infrastructure (</w:t>
      </w:r>
      <w:proofErr w:type="spellStart"/>
      <w:r w:rsidR="00F024EA" w:rsidRPr="0017107A">
        <w:rPr>
          <w:sz w:val="20"/>
          <w:szCs w:val="24"/>
        </w:rPr>
        <w:t>Birthal</w:t>
      </w:r>
      <w:proofErr w:type="spellEnd"/>
      <w:r w:rsidR="00F024EA" w:rsidRPr="0017107A">
        <w:rPr>
          <w:sz w:val="20"/>
          <w:szCs w:val="24"/>
        </w:rPr>
        <w:t xml:space="preserve"> et al., 2014).</w:t>
      </w:r>
      <w:r w:rsidR="001837D1" w:rsidRPr="0017107A">
        <w:rPr>
          <w:sz w:val="20"/>
          <w:szCs w:val="24"/>
        </w:rPr>
        <w:t xml:space="preserve"> Regarding regional variations in millets </w:t>
      </w:r>
      <w:r w:rsidR="003A5A7F" w:rsidRPr="0017107A">
        <w:rPr>
          <w:sz w:val="20"/>
          <w:szCs w:val="24"/>
        </w:rPr>
        <w:t>commercialization</w:t>
      </w:r>
      <w:r w:rsidR="001837D1" w:rsidRPr="0017107A">
        <w:rPr>
          <w:sz w:val="20"/>
          <w:szCs w:val="24"/>
        </w:rPr>
        <w:t xml:space="preserve">, NITI Aayog (2022) observed that </w:t>
      </w:r>
      <w:r w:rsidR="000E6E0B" w:rsidRPr="0017107A">
        <w:rPr>
          <w:sz w:val="20"/>
          <w:szCs w:val="24"/>
        </w:rPr>
        <w:t xml:space="preserve">millet </w:t>
      </w:r>
      <w:r w:rsidR="001837D1" w:rsidRPr="0017107A">
        <w:rPr>
          <w:sz w:val="20"/>
          <w:szCs w:val="24"/>
        </w:rPr>
        <w:t>commercialization is stronger in states like Karnataka and Rajasthan due to state-supported value chains whereas eastern India lags behind due to rice-dominated diets (Mishra et al., 2023).</w:t>
      </w:r>
    </w:p>
    <w:p w14:paraId="74383C01" w14:textId="77777777" w:rsidR="001837D1" w:rsidRPr="0017107A" w:rsidRDefault="001837D1" w:rsidP="00EE6D15">
      <w:pPr>
        <w:spacing w:line="360" w:lineRule="auto"/>
        <w:jc w:val="both"/>
        <w:rPr>
          <w:sz w:val="20"/>
          <w:szCs w:val="24"/>
        </w:rPr>
      </w:pPr>
    </w:p>
    <w:p w14:paraId="2C62F08B" w14:textId="77777777" w:rsidR="002D54A5" w:rsidRPr="0017107A" w:rsidRDefault="00EE6D15" w:rsidP="00EE6D15">
      <w:pPr>
        <w:spacing w:line="360" w:lineRule="auto"/>
        <w:jc w:val="both"/>
        <w:rPr>
          <w:sz w:val="20"/>
          <w:szCs w:val="24"/>
        </w:rPr>
      </w:pPr>
      <w:proofErr w:type="spellStart"/>
      <w:r w:rsidRPr="0017107A">
        <w:rPr>
          <w:sz w:val="20"/>
          <w:szCs w:val="24"/>
        </w:rPr>
        <w:t>Muthamilarasan</w:t>
      </w:r>
      <w:proofErr w:type="spellEnd"/>
      <w:r w:rsidRPr="0017107A">
        <w:rPr>
          <w:sz w:val="20"/>
          <w:szCs w:val="24"/>
        </w:rPr>
        <w:t xml:space="preserve"> &amp; Prasad (2021) observed that m</w:t>
      </w:r>
      <w:r w:rsidR="002D54A5" w:rsidRPr="0017107A">
        <w:rPr>
          <w:sz w:val="20"/>
          <w:szCs w:val="24"/>
        </w:rPr>
        <w:t>illets are gaining policy attention as crops of the future due to their resilience to climate extremes and their role in food and nutrition security</w:t>
      </w:r>
      <w:r w:rsidRPr="0017107A">
        <w:rPr>
          <w:sz w:val="20"/>
          <w:szCs w:val="24"/>
        </w:rPr>
        <w:t xml:space="preserve">. It will help in revival and resurgence of millet crops and bring them into the mainstream of agriculture. </w:t>
      </w:r>
      <w:r w:rsidR="000E6E0B" w:rsidRPr="0017107A">
        <w:rPr>
          <w:sz w:val="20"/>
          <w:szCs w:val="24"/>
        </w:rPr>
        <w:t>However</w:t>
      </w:r>
      <w:r w:rsidRPr="0017107A">
        <w:rPr>
          <w:sz w:val="20"/>
          <w:szCs w:val="24"/>
        </w:rPr>
        <w:t>, Karthikeyan et al.</w:t>
      </w:r>
      <w:r w:rsidR="0021340A" w:rsidRPr="0017107A">
        <w:rPr>
          <w:sz w:val="20"/>
          <w:szCs w:val="24"/>
        </w:rPr>
        <w:t xml:space="preserve"> (</w:t>
      </w:r>
      <w:r w:rsidRPr="0017107A">
        <w:rPr>
          <w:sz w:val="20"/>
          <w:szCs w:val="24"/>
        </w:rPr>
        <w:t xml:space="preserve">2020) indicated that despite </w:t>
      </w:r>
      <w:r w:rsidR="0021340A" w:rsidRPr="0017107A">
        <w:rPr>
          <w:sz w:val="20"/>
          <w:szCs w:val="24"/>
        </w:rPr>
        <w:t xml:space="preserve">the </w:t>
      </w:r>
      <w:r w:rsidRPr="0017107A">
        <w:rPr>
          <w:sz w:val="20"/>
          <w:szCs w:val="24"/>
        </w:rPr>
        <w:t xml:space="preserve">policy push, </w:t>
      </w:r>
      <w:r w:rsidR="0021340A" w:rsidRPr="0017107A">
        <w:rPr>
          <w:sz w:val="20"/>
          <w:szCs w:val="24"/>
        </w:rPr>
        <w:t xml:space="preserve">millets’ </w:t>
      </w:r>
      <w:r w:rsidRPr="0017107A">
        <w:rPr>
          <w:sz w:val="20"/>
          <w:szCs w:val="24"/>
        </w:rPr>
        <w:t xml:space="preserve">commercialization remains low due to lack of market linkages, processing infrastructure, and low consumer awareness. </w:t>
      </w:r>
      <w:r w:rsidR="000E6E0B" w:rsidRPr="0017107A">
        <w:rPr>
          <w:sz w:val="20"/>
          <w:szCs w:val="24"/>
        </w:rPr>
        <w:t xml:space="preserve">Further, </w:t>
      </w:r>
      <w:r w:rsidRPr="0017107A">
        <w:rPr>
          <w:sz w:val="20"/>
          <w:szCs w:val="24"/>
        </w:rPr>
        <w:t xml:space="preserve">Barrett (2008) and Wossen et al. (2017) observed that empirical evidence suggests that farmer characteristics such as age, education, gender, and income level significantly shape agricultural commercialization decisions. Negi &amp; Joshi (2022) reported that research focusing on hill regions is sparse, highlighting the need to contextualize commercialization strategies for areas like Uttarakhand. </w:t>
      </w:r>
      <w:r w:rsidR="0021340A" w:rsidRPr="0017107A">
        <w:rPr>
          <w:sz w:val="20"/>
          <w:szCs w:val="24"/>
        </w:rPr>
        <w:t xml:space="preserve">Hence there is ample scope for </w:t>
      </w:r>
      <w:r w:rsidR="0021340A" w:rsidRPr="0017107A">
        <w:rPr>
          <w:sz w:val="20"/>
          <w:szCs w:val="24"/>
        </w:rPr>
        <w:lastRenderedPageBreak/>
        <w:t xml:space="preserve">commercialization of </w:t>
      </w:r>
      <w:r w:rsidR="0081359D" w:rsidRPr="0017107A">
        <w:rPr>
          <w:sz w:val="20"/>
          <w:szCs w:val="24"/>
        </w:rPr>
        <w:t>millets in</w:t>
      </w:r>
      <w:r w:rsidR="0021340A" w:rsidRPr="0017107A">
        <w:rPr>
          <w:sz w:val="20"/>
          <w:szCs w:val="24"/>
        </w:rPr>
        <w:t xml:space="preserve"> Uttarakhand, a North Him</w:t>
      </w:r>
      <w:r w:rsidR="001C6F70" w:rsidRPr="0017107A">
        <w:rPr>
          <w:sz w:val="20"/>
          <w:szCs w:val="24"/>
        </w:rPr>
        <w:t xml:space="preserve">alayan state of India which has </w:t>
      </w:r>
      <w:r w:rsidR="0021340A" w:rsidRPr="0017107A">
        <w:rPr>
          <w:sz w:val="20"/>
          <w:szCs w:val="24"/>
        </w:rPr>
        <w:t>conducive climate for cultivation and its commercialization of millets.</w:t>
      </w:r>
    </w:p>
    <w:p w14:paraId="6AB2D9D6" w14:textId="77777777" w:rsidR="003650C3" w:rsidRPr="0017107A" w:rsidRDefault="0017107A" w:rsidP="00C06DD7">
      <w:pPr>
        <w:spacing w:line="360" w:lineRule="auto"/>
        <w:jc w:val="both"/>
        <w:rPr>
          <w:szCs w:val="24"/>
        </w:rPr>
      </w:pPr>
      <w:r w:rsidRPr="0017107A">
        <w:rPr>
          <w:rFonts w:eastAsia="Times New Roman"/>
          <w:b/>
          <w:szCs w:val="24"/>
        </w:rPr>
        <w:t xml:space="preserve">2. </w:t>
      </w:r>
      <w:r w:rsidR="00C06DD7" w:rsidRPr="0017107A">
        <w:rPr>
          <w:rFonts w:eastAsia="Times New Roman"/>
          <w:b/>
          <w:szCs w:val="24"/>
        </w:rPr>
        <w:t>METHODOLOGY</w:t>
      </w:r>
    </w:p>
    <w:p w14:paraId="6A5BE2AC" w14:textId="5C1DEA1E" w:rsidR="008E382E" w:rsidRPr="0017107A" w:rsidRDefault="00000000" w:rsidP="00C06DD7">
      <w:pPr>
        <w:spacing w:line="360" w:lineRule="auto"/>
        <w:jc w:val="both"/>
        <w:rPr>
          <w:rFonts w:eastAsia="Times New Roman"/>
          <w:sz w:val="24"/>
          <w:szCs w:val="24"/>
        </w:rPr>
      </w:pPr>
      <w:r>
        <w:rPr>
          <w:rFonts w:eastAsia="Times New Roman"/>
          <w:noProof/>
          <w:szCs w:val="24"/>
        </w:rPr>
        <w:pict w14:anchorId="3FB10C9B">
          <v:shapetype id="_x0000_t202" coordsize="21600,21600" o:spt="202" path="m,l,21600r21600,l21600,xe">
            <v:stroke joinstyle="miter"/>
            <v:path gradientshapeok="t" o:connecttype="rect"/>
          </v:shapetype>
          <v:shape id="Text Box 2" o:spid="_x0000_s2050" type="#_x0000_t202" style="position:absolute;left:0;text-align:left;margin-left:220.4pt;margin-top:60.9pt;width:185.65pt;height:22.5pt;z-index:251661312;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" strokecolor="white [3212]">
            <v:textbox style="mso-next-textbox:#Text Box 2;mso-fit-shape-to-text:t">
              <w:txbxContent>
                <w:p w14:paraId="16965FAE" w14:textId="128321DB" w:rsidR="00790B40" w:rsidRDefault="00790B40">
                  <w:r w:rsidRPr="008E382E">
                    <w:t>Figure-</w:t>
                  </w:r>
                  <w:r w:rsidR="00605FB4">
                    <w:t>1</w:t>
                  </w:r>
                  <w:r w:rsidRPr="008E382E">
                    <w:t>: Map of Uttarakhand</w:t>
                  </w:r>
                </w:p>
              </w:txbxContent>
            </v:textbox>
            <w10:wrap type="square"/>
          </v:shape>
        </w:pict>
      </w:r>
      <w:r w:rsidR="00323D6D" w:rsidRPr="0017107A">
        <w:rPr>
          <w:rFonts w:eastAsia="Times New Roman"/>
          <w:noProof/>
          <w:szCs w:val="24"/>
        </w:rPr>
        <w:drawing>
          <wp:anchor distT="0" distB="0" distL="114300" distR="114300" simplePos="0" relativeHeight="251659264" behindDoc="1" locked="0" layoutInCell="1" allowOverlap="1" wp14:anchorId="43E85DA3" wp14:editId="445D05B7">
            <wp:simplePos x="0" y="0"/>
            <wp:positionH relativeFrom="margin">
              <wp:posOffset>2249805</wp:posOffset>
            </wp:positionH>
            <wp:positionV relativeFrom="paragraph">
              <wp:posOffset>1092200</wp:posOffset>
            </wp:positionV>
            <wp:extent cx="3616325" cy="2373630"/>
            <wp:effectExtent l="19050" t="19050" r="22225" b="26670"/>
            <wp:wrapTight wrapText="bothSides">
              <wp:wrapPolygon edited="0">
                <wp:start x="-114" y="-173"/>
                <wp:lineTo x="-114" y="21843"/>
                <wp:lineTo x="21733" y="21843"/>
                <wp:lineTo x="21733" y="-173"/>
                <wp:lineTo x="-114" y="-173"/>
              </wp:wrapPolygon>
            </wp:wrapTight>
            <wp:docPr id="42" name="image1.jpg" descr="https://upload.wikimedia.org/wikipedia/commons/2/2b/Kumaon_Garhwal.jpg"/>
            <wp:cNvGraphicFramePr/>
            <a:graphic xmlns:a="http://schemas.openxmlformats.org/drawingml/2006/main">
              <a:graphicData uri="http://schemas.openxmlformats.org/drawingml/2006/picture">
                <pic:pic xmlns:pic="http://schemas.openxmlformats.org/drawingml/2006/picture">
                  <pic:nvPicPr>
                    <pic:cNvPr id="0" name="image1.jpg" descr="https://upload.wikimedia.org/wikipedia/commons/2/2b/Kumaon_Garhwal.jp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3616325" cy="2373630"/>
                    </a:xfrm>
                    <a:prstGeom prst="rect">
                      <a:avLst/>
                    </a:prstGeom>
                    <a:ln>
                      <a:solidFill>
                        <a:schemeClr val="tx1"/>
                      </a:solidFill>
                    </a:ln>
                  </pic:spPr>
                </pic:pic>
              </a:graphicData>
            </a:graphic>
          </wp:anchor>
        </w:drawing>
      </w:r>
      <w:r w:rsidR="00AE2236" w:rsidRPr="0017107A">
        <w:rPr>
          <w:rFonts w:eastAsia="Times New Roman"/>
          <w:szCs w:val="24"/>
        </w:rPr>
        <w:t xml:space="preserve">The current investigation was </w:t>
      </w:r>
      <w:r w:rsidR="00F608DF" w:rsidRPr="0017107A">
        <w:rPr>
          <w:rFonts w:eastAsia="Times New Roman"/>
          <w:szCs w:val="24"/>
        </w:rPr>
        <w:t xml:space="preserve">undertaken </w:t>
      </w:r>
      <w:r w:rsidR="00AE2236" w:rsidRPr="0017107A">
        <w:rPr>
          <w:rFonts w:eastAsia="Times New Roman"/>
          <w:szCs w:val="24"/>
        </w:rPr>
        <w:t>in two regions of Uttarakhand</w:t>
      </w:r>
      <w:r w:rsidR="000E6E0B" w:rsidRPr="0017107A">
        <w:rPr>
          <w:rFonts w:eastAsia="Times New Roman"/>
          <w:szCs w:val="24"/>
        </w:rPr>
        <w:t xml:space="preserve"> </w:t>
      </w:r>
      <w:r w:rsidR="00AE2236" w:rsidRPr="0017107A">
        <w:rPr>
          <w:rFonts w:eastAsia="Times New Roman"/>
          <w:szCs w:val="24"/>
        </w:rPr>
        <w:t>- Garhwal and Kumaon.</w:t>
      </w:r>
      <w:r w:rsidR="000E6E0B" w:rsidRPr="0017107A">
        <w:rPr>
          <w:rFonts w:eastAsia="Times New Roman"/>
          <w:szCs w:val="24"/>
        </w:rPr>
        <w:t xml:space="preserve"> </w:t>
      </w:r>
      <w:r w:rsidR="004A46AB" w:rsidRPr="0017107A">
        <w:rPr>
          <w:rFonts w:eastAsia="Times New Roman"/>
          <w:szCs w:val="24"/>
        </w:rPr>
        <w:t xml:space="preserve">The state of </w:t>
      </w:r>
      <w:r w:rsidR="00E0595C" w:rsidRPr="0017107A">
        <w:rPr>
          <w:rFonts w:eastAsia="Times New Roman"/>
          <w:szCs w:val="24"/>
        </w:rPr>
        <w:t>Uttarakhand</w:t>
      </w:r>
      <w:r w:rsidR="004A46AB" w:rsidRPr="0017107A">
        <w:rPr>
          <w:rFonts w:eastAsia="Times New Roman"/>
          <w:szCs w:val="24"/>
        </w:rPr>
        <w:t xml:space="preserve"> was carved out of Uttar Pradesh on </w:t>
      </w:r>
      <w:r w:rsidR="00E0595C" w:rsidRPr="0017107A">
        <w:rPr>
          <w:rFonts w:eastAsia="Times New Roman"/>
          <w:szCs w:val="24"/>
        </w:rPr>
        <w:t>9</w:t>
      </w:r>
      <w:r w:rsidR="00E0595C" w:rsidRPr="0017107A">
        <w:rPr>
          <w:rFonts w:eastAsia="Times New Roman"/>
          <w:szCs w:val="24"/>
          <w:vertAlign w:val="superscript"/>
        </w:rPr>
        <w:t>th</w:t>
      </w:r>
      <w:r w:rsidR="00E0595C" w:rsidRPr="0017107A">
        <w:rPr>
          <w:rFonts w:eastAsia="Times New Roman"/>
          <w:szCs w:val="24"/>
        </w:rPr>
        <w:t xml:space="preserve"> November</w:t>
      </w:r>
      <w:r w:rsidR="004A46AB" w:rsidRPr="0017107A">
        <w:rPr>
          <w:rFonts w:eastAsia="Times New Roman"/>
          <w:szCs w:val="24"/>
        </w:rPr>
        <w:t xml:space="preserve">, 2000. It shares its borders with Nepal </w:t>
      </w:r>
      <w:r w:rsidR="00E0595C" w:rsidRPr="0017107A">
        <w:rPr>
          <w:rFonts w:eastAsia="Times New Roman"/>
          <w:szCs w:val="24"/>
        </w:rPr>
        <w:t>in</w:t>
      </w:r>
      <w:r w:rsidR="004A46AB" w:rsidRPr="0017107A">
        <w:rPr>
          <w:rFonts w:eastAsia="Times New Roman"/>
          <w:szCs w:val="24"/>
        </w:rPr>
        <w:t xml:space="preserve"> the east, Himachal Pradesh </w:t>
      </w:r>
      <w:r w:rsidR="00E0595C" w:rsidRPr="0017107A">
        <w:rPr>
          <w:rFonts w:eastAsia="Times New Roman"/>
          <w:szCs w:val="24"/>
        </w:rPr>
        <w:t>in</w:t>
      </w:r>
      <w:r w:rsidR="004A46AB" w:rsidRPr="0017107A">
        <w:rPr>
          <w:rFonts w:eastAsia="Times New Roman"/>
          <w:szCs w:val="24"/>
        </w:rPr>
        <w:t xml:space="preserve"> the west, China </w:t>
      </w:r>
      <w:r w:rsidR="00E0595C" w:rsidRPr="0017107A">
        <w:rPr>
          <w:rFonts w:eastAsia="Times New Roman"/>
          <w:szCs w:val="24"/>
        </w:rPr>
        <w:t>in</w:t>
      </w:r>
      <w:r w:rsidR="004A46AB" w:rsidRPr="0017107A">
        <w:rPr>
          <w:rFonts w:eastAsia="Times New Roman"/>
          <w:szCs w:val="24"/>
        </w:rPr>
        <w:t xml:space="preserve"> the north, and Uttar Pradesh </w:t>
      </w:r>
      <w:r w:rsidR="00E0595C" w:rsidRPr="0017107A">
        <w:rPr>
          <w:rFonts w:eastAsia="Times New Roman"/>
          <w:szCs w:val="24"/>
        </w:rPr>
        <w:t>in</w:t>
      </w:r>
      <w:r w:rsidR="004A46AB" w:rsidRPr="0017107A">
        <w:rPr>
          <w:rFonts w:eastAsia="Times New Roman"/>
          <w:szCs w:val="24"/>
        </w:rPr>
        <w:t xml:space="preserve"> the south. </w:t>
      </w:r>
    </w:p>
    <w:p w14:paraId="6213CAF5" w14:textId="12B2456C" w:rsidR="008E382E" w:rsidRPr="0017107A" w:rsidRDefault="004A46AB" w:rsidP="008E382E">
      <w:pPr>
        <w:spacing w:before="240" w:after="240" w:line="360" w:lineRule="auto"/>
        <w:jc w:val="both"/>
        <w:rPr>
          <w:rFonts w:eastAsia="Times New Roman"/>
          <w:szCs w:val="24"/>
        </w:rPr>
      </w:pPr>
      <w:r w:rsidRPr="0017107A">
        <w:rPr>
          <w:rFonts w:eastAsia="Times New Roman"/>
          <w:szCs w:val="24"/>
        </w:rPr>
        <w:t>According to the Census of India 2011,</w:t>
      </w:r>
      <w:r w:rsidR="000E6E0B" w:rsidRPr="0017107A">
        <w:rPr>
          <w:rFonts w:eastAsia="Times New Roman"/>
          <w:szCs w:val="24"/>
        </w:rPr>
        <w:t xml:space="preserve"> </w:t>
      </w:r>
      <w:r w:rsidRPr="0017107A">
        <w:rPr>
          <w:rFonts w:eastAsia="Times New Roman"/>
          <w:szCs w:val="24"/>
        </w:rPr>
        <w:t xml:space="preserve">Uttarakhand has a population of approximately 10.1 million, with males numbering 5,137,773 and females 4,948,519 (source: </w:t>
      </w:r>
      <w:hyperlink r:id="rId9">
        <w:r w:rsidRPr="0017107A">
          <w:rPr>
            <w:rStyle w:val="Hyperlink"/>
            <w:rFonts w:eastAsia="Times New Roman"/>
            <w:szCs w:val="24"/>
          </w:rPr>
          <w:t>http://www.census2011.co.in</w:t>
        </w:r>
      </w:hyperlink>
      <w:r w:rsidRPr="0017107A">
        <w:rPr>
          <w:rFonts w:eastAsia="Times New Roman"/>
          <w:szCs w:val="24"/>
        </w:rPr>
        <w:t>). Being an agrarian state, nearly 90 percent of Uttarakhand population relies on agriculture for their livelihood. The state exemplifies regional diversity in terms of geography, cropping systems, lifestyle, and settlements. Uttarakhand is divided into 13 districts,</w:t>
      </w:r>
      <w:r w:rsidR="000E6E0B" w:rsidRPr="0017107A">
        <w:rPr>
          <w:rFonts w:eastAsia="Times New Roman"/>
          <w:szCs w:val="24"/>
        </w:rPr>
        <w:t xml:space="preserve"> organized into two divisions: </w:t>
      </w:r>
      <w:r w:rsidRPr="0017107A">
        <w:rPr>
          <w:rFonts w:eastAsia="Times New Roman"/>
          <w:szCs w:val="24"/>
        </w:rPr>
        <w:t xml:space="preserve">Garhwal division, comprising seven districts, and Kumaon division, consisting of six districts. </w:t>
      </w:r>
      <w:r w:rsidR="008E382E" w:rsidRPr="0017107A">
        <w:rPr>
          <w:rFonts w:eastAsia="Times New Roman"/>
          <w:szCs w:val="24"/>
        </w:rPr>
        <w:t xml:space="preserve">From the Garhwal region, </w:t>
      </w:r>
      <w:r w:rsidR="000E6E0B" w:rsidRPr="0017107A">
        <w:rPr>
          <w:rFonts w:eastAsia="Times New Roman"/>
          <w:szCs w:val="24"/>
        </w:rPr>
        <w:t>two district (</w:t>
      </w:r>
      <w:r w:rsidR="008E382E" w:rsidRPr="0017107A">
        <w:rPr>
          <w:rFonts w:eastAsia="Times New Roman"/>
          <w:szCs w:val="24"/>
        </w:rPr>
        <w:t xml:space="preserve">Tehri Garhwal, </w:t>
      </w:r>
      <w:r w:rsidR="000E6E0B" w:rsidRPr="0017107A">
        <w:rPr>
          <w:rFonts w:eastAsia="Times New Roman"/>
          <w:szCs w:val="24"/>
        </w:rPr>
        <w:t xml:space="preserve">and </w:t>
      </w:r>
      <w:r w:rsidR="008E382E" w:rsidRPr="0017107A">
        <w:rPr>
          <w:rFonts w:eastAsia="Times New Roman"/>
          <w:szCs w:val="24"/>
        </w:rPr>
        <w:t>Pauri Garhwal</w:t>
      </w:r>
      <w:r w:rsidR="000E6E0B" w:rsidRPr="0017107A">
        <w:rPr>
          <w:rFonts w:eastAsia="Times New Roman"/>
          <w:szCs w:val="24"/>
        </w:rPr>
        <w:t>),</w:t>
      </w:r>
      <w:r w:rsidR="008E382E" w:rsidRPr="0017107A">
        <w:rPr>
          <w:rFonts w:eastAsia="Times New Roman"/>
          <w:szCs w:val="24"/>
        </w:rPr>
        <w:t xml:space="preserve"> f</w:t>
      </w:r>
      <w:r w:rsidR="000E6E0B" w:rsidRPr="0017107A">
        <w:rPr>
          <w:rFonts w:eastAsia="Times New Roman"/>
          <w:szCs w:val="24"/>
        </w:rPr>
        <w:t>rom</w:t>
      </w:r>
      <w:r w:rsidR="008E382E" w:rsidRPr="0017107A">
        <w:rPr>
          <w:rFonts w:eastAsia="Times New Roman"/>
          <w:szCs w:val="24"/>
        </w:rPr>
        <w:t xml:space="preserve"> Kumaon region, </w:t>
      </w:r>
      <w:r w:rsidR="000E6E0B" w:rsidRPr="0017107A">
        <w:rPr>
          <w:rFonts w:eastAsia="Times New Roman"/>
          <w:szCs w:val="24"/>
        </w:rPr>
        <w:t xml:space="preserve">two districts (Almora and Pithoragarh) </w:t>
      </w:r>
      <w:r w:rsidR="008E382E" w:rsidRPr="0017107A">
        <w:rPr>
          <w:rFonts w:eastAsia="Times New Roman"/>
          <w:szCs w:val="24"/>
        </w:rPr>
        <w:t>w</w:t>
      </w:r>
      <w:r w:rsidR="000E6E0B" w:rsidRPr="0017107A">
        <w:rPr>
          <w:rFonts w:eastAsia="Times New Roman"/>
          <w:szCs w:val="24"/>
        </w:rPr>
        <w:t>ere</w:t>
      </w:r>
      <w:r w:rsidR="008E382E" w:rsidRPr="0017107A">
        <w:rPr>
          <w:rFonts w:eastAsia="Times New Roman"/>
          <w:szCs w:val="24"/>
        </w:rPr>
        <w:t xml:space="preserve"> purposively selected for the study as both the districts are primarily agrarian in nature and having high production of </w:t>
      </w:r>
      <w:r w:rsidR="000E6E0B" w:rsidRPr="0017107A">
        <w:rPr>
          <w:rFonts w:eastAsia="Times New Roman"/>
          <w:szCs w:val="24"/>
        </w:rPr>
        <w:t xml:space="preserve">millets, especially </w:t>
      </w:r>
      <w:r w:rsidR="008E382E" w:rsidRPr="0017107A">
        <w:rPr>
          <w:rFonts w:eastAsia="Times New Roman"/>
          <w:szCs w:val="24"/>
        </w:rPr>
        <w:t xml:space="preserve">finger millet and small millet in comparison of other districts. </w:t>
      </w:r>
    </w:p>
    <w:p w14:paraId="2C5DF71E" w14:textId="77777777" w:rsidR="001B7060" w:rsidRPr="0017107A" w:rsidRDefault="004F6F1F" w:rsidP="00AD4E64">
      <w:pPr>
        <w:spacing w:before="240" w:after="240" w:line="360" w:lineRule="auto"/>
        <w:jc w:val="both"/>
        <w:rPr>
          <w:rFonts w:eastAsia="Times New Roman"/>
          <w:szCs w:val="24"/>
        </w:rPr>
      </w:pPr>
      <w:r w:rsidRPr="0017107A">
        <w:rPr>
          <w:rFonts w:eastAsia="Times New Roman"/>
          <w:szCs w:val="24"/>
        </w:rPr>
        <w:t>The study sample comprised of a</w:t>
      </w:r>
      <w:r w:rsidR="00AE2236" w:rsidRPr="0017107A">
        <w:rPr>
          <w:rFonts w:eastAsia="Times New Roman"/>
          <w:szCs w:val="24"/>
        </w:rPr>
        <w:t xml:space="preserve"> total of 244 </w:t>
      </w:r>
      <w:r w:rsidR="00D23521" w:rsidRPr="0017107A">
        <w:rPr>
          <w:rFonts w:eastAsia="Times New Roman"/>
          <w:szCs w:val="24"/>
        </w:rPr>
        <w:t>millets</w:t>
      </w:r>
      <w:r w:rsidRPr="0017107A">
        <w:rPr>
          <w:rFonts w:eastAsia="Times New Roman"/>
          <w:szCs w:val="24"/>
        </w:rPr>
        <w:t xml:space="preserve"> </w:t>
      </w:r>
      <w:r w:rsidR="00D23521" w:rsidRPr="0017107A">
        <w:rPr>
          <w:rFonts w:eastAsia="Times New Roman"/>
          <w:szCs w:val="24"/>
        </w:rPr>
        <w:t>grower’s</w:t>
      </w:r>
      <w:r w:rsidR="00AE2236" w:rsidRPr="0017107A">
        <w:rPr>
          <w:rFonts w:eastAsia="Times New Roman"/>
          <w:szCs w:val="24"/>
        </w:rPr>
        <w:t xml:space="preserve"> households</w:t>
      </w:r>
      <w:r w:rsidRPr="0017107A">
        <w:rPr>
          <w:rFonts w:eastAsia="Times New Roman"/>
          <w:szCs w:val="24"/>
        </w:rPr>
        <w:t xml:space="preserve">, </w:t>
      </w:r>
      <w:r w:rsidR="00AE2236" w:rsidRPr="0017107A">
        <w:rPr>
          <w:rFonts w:eastAsia="Times New Roman"/>
          <w:szCs w:val="24"/>
        </w:rPr>
        <w:t xml:space="preserve">selected using cluster sampling technique. It </w:t>
      </w:r>
      <w:r w:rsidRPr="0017107A">
        <w:rPr>
          <w:rFonts w:eastAsia="Times New Roman"/>
          <w:szCs w:val="24"/>
        </w:rPr>
        <w:t xml:space="preserve">also </w:t>
      </w:r>
      <w:r w:rsidR="00AE2236" w:rsidRPr="0017107A">
        <w:rPr>
          <w:rFonts w:eastAsia="Times New Roman"/>
          <w:szCs w:val="24"/>
        </w:rPr>
        <w:t>involve</w:t>
      </w:r>
      <w:r w:rsidR="002310B3" w:rsidRPr="0017107A">
        <w:rPr>
          <w:rFonts w:eastAsia="Times New Roman"/>
          <w:szCs w:val="24"/>
        </w:rPr>
        <w:t>d</w:t>
      </w:r>
      <w:r w:rsidR="00AE2236" w:rsidRPr="0017107A">
        <w:rPr>
          <w:rFonts w:eastAsia="Times New Roman"/>
          <w:szCs w:val="24"/>
        </w:rPr>
        <w:t xml:space="preserve"> a purposive </w:t>
      </w:r>
      <w:r w:rsidR="00D23521" w:rsidRPr="0017107A">
        <w:rPr>
          <w:rFonts w:eastAsia="Times New Roman"/>
          <w:szCs w:val="24"/>
        </w:rPr>
        <w:t>selection with</w:t>
      </w:r>
      <w:r w:rsidR="00AE2236" w:rsidRPr="0017107A">
        <w:rPr>
          <w:rFonts w:eastAsia="Times New Roman"/>
          <w:szCs w:val="24"/>
        </w:rPr>
        <w:t xml:space="preserve"> the help of </w:t>
      </w:r>
      <w:r w:rsidR="002310B3" w:rsidRPr="0017107A">
        <w:rPr>
          <w:rFonts w:eastAsia="Times New Roman"/>
          <w:szCs w:val="24"/>
        </w:rPr>
        <w:t xml:space="preserve">local </w:t>
      </w:r>
      <w:r w:rsidR="00D23521" w:rsidRPr="0017107A">
        <w:rPr>
          <w:rFonts w:eastAsia="Times New Roman"/>
          <w:szCs w:val="24"/>
        </w:rPr>
        <w:t xml:space="preserve">NGO </w:t>
      </w:r>
      <w:r w:rsidR="002310B3" w:rsidRPr="0017107A">
        <w:rPr>
          <w:rFonts w:eastAsia="Times New Roman"/>
          <w:szCs w:val="24"/>
        </w:rPr>
        <w:t>(</w:t>
      </w:r>
      <w:proofErr w:type="spellStart"/>
      <w:r w:rsidR="005E3BC0" w:rsidRPr="0017107A">
        <w:rPr>
          <w:rFonts w:eastAsia="Times New Roman"/>
          <w:i/>
          <w:iCs/>
          <w:szCs w:val="24"/>
        </w:rPr>
        <w:t>Himmothan</w:t>
      </w:r>
      <w:proofErr w:type="spellEnd"/>
      <w:r w:rsidR="001C6F70" w:rsidRPr="0017107A">
        <w:rPr>
          <w:rFonts w:eastAsia="Times New Roman"/>
          <w:szCs w:val="24"/>
        </w:rPr>
        <w:t>) that</w:t>
      </w:r>
      <w:r w:rsidR="008256C7" w:rsidRPr="0017107A">
        <w:rPr>
          <w:rFonts w:eastAsia="Times New Roman"/>
          <w:szCs w:val="24"/>
        </w:rPr>
        <w:t xml:space="preserve"> is </w:t>
      </w:r>
      <w:r w:rsidR="002310B3" w:rsidRPr="0017107A">
        <w:rPr>
          <w:rFonts w:eastAsia="Times New Roman"/>
          <w:szCs w:val="24"/>
        </w:rPr>
        <w:t xml:space="preserve">working to </w:t>
      </w:r>
      <w:r w:rsidR="0081359D" w:rsidRPr="0017107A">
        <w:rPr>
          <w:rFonts w:eastAsia="Times New Roman"/>
          <w:szCs w:val="24"/>
        </w:rPr>
        <w:t>popularize</w:t>
      </w:r>
      <w:r w:rsidR="002310B3" w:rsidRPr="0017107A">
        <w:rPr>
          <w:rFonts w:eastAsia="Times New Roman"/>
          <w:szCs w:val="24"/>
        </w:rPr>
        <w:t xml:space="preserve"> millets cultivation as well as its commercialization in selected pockets </w:t>
      </w:r>
      <w:r w:rsidR="008256C7" w:rsidRPr="0017107A">
        <w:rPr>
          <w:rFonts w:eastAsia="Times New Roman"/>
          <w:szCs w:val="24"/>
        </w:rPr>
        <w:t>of</w:t>
      </w:r>
      <w:r w:rsidRPr="0017107A">
        <w:rPr>
          <w:rFonts w:eastAsia="Times New Roman"/>
          <w:szCs w:val="24"/>
        </w:rPr>
        <w:t xml:space="preserve"> </w:t>
      </w:r>
      <w:r w:rsidR="0081359D" w:rsidRPr="0017107A">
        <w:rPr>
          <w:rFonts w:eastAsia="Times New Roman"/>
          <w:szCs w:val="24"/>
        </w:rPr>
        <w:t>Uttarakhand.</w:t>
      </w:r>
      <w:r w:rsidR="00AE2236" w:rsidRPr="0017107A">
        <w:rPr>
          <w:rFonts w:eastAsia="Times New Roman"/>
          <w:szCs w:val="24"/>
        </w:rPr>
        <w:t xml:space="preserve"> Four clusters</w:t>
      </w:r>
      <w:r w:rsidR="008256C7" w:rsidRPr="0017107A">
        <w:rPr>
          <w:rFonts w:eastAsia="Times New Roman"/>
          <w:szCs w:val="24"/>
        </w:rPr>
        <w:t xml:space="preserve"> - </w:t>
      </w:r>
      <w:r w:rsidR="00AE2236" w:rsidRPr="0017107A">
        <w:rPr>
          <w:rFonts w:eastAsia="Times New Roman"/>
          <w:szCs w:val="24"/>
        </w:rPr>
        <w:t>two from Garhwal and two from Kumaon</w:t>
      </w:r>
      <w:r w:rsidR="008256C7" w:rsidRPr="0017107A">
        <w:rPr>
          <w:rFonts w:eastAsia="Times New Roman"/>
          <w:szCs w:val="24"/>
        </w:rPr>
        <w:t xml:space="preserve"> </w:t>
      </w:r>
      <w:r w:rsidRPr="0017107A">
        <w:rPr>
          <w:rFonts w:eastAsia="Times New Roman"/>
          <w:szCs w:val="24"/>
        </w:rPr>
        <w:t>divisions</w:t>
      </w:r>
      <w:r w:rsidR="008256C7" w:rsidRPr="0017107A">
        <w:rPr>
          <w:rFonts w:eastAsia="Times New Roman"/>
          <w:szCs w:val="24"/>
        </w:rPr>
        <w:t xml:space="preserve"> -</w:t>
      </w:r>
      <w:r w:rsidR="00AE2236" w:rsidRPr="0017107A">
        <w:rPr>
          <w:rFonts w:eastAsia="Times New Roman"/>
          <w:szCs w:val="24"/>
        </w:rPr>
        <w:t xml:space="preserve"> were selected</w:t>
      </w:r>
      <w:r w:rsidR="008256C7" w:rsidRPr="0017107A">
        <w:rPr>
          <w:rFonts w:eastAsia="Times New Roman"/>
          <w:szCs w:val="24"/>
        </w:rPr>
        <w:t xml:space="preserve">. </w:t>
      </w:r>
      <w:r w:rsidR="0081359D" w:rsidRPr="0017107A">
        <w:rPr>
          <w:rFonts w:eastAsia="Times New Roman"/>
          <w:szCs w:val="24"/>
        </w:rPr>
        <w:t>Basically, these</w:t>
      </w:r>
      <w:r w:rsidRPr="0017107A">
        <w:rPr>
          <w:rFonts w:eastAsia="Times New Roman"/>
          <w:szCs w:val="24"/>
        </w:rPr>
        <w:t xml:space="preserve"> </w:t>
      </w:r>
      <w:r w:rsidR="00AE2236" w:rsidRPr="0017107A">
        <w:rPr>
          <w:rFonts w:eastAsia="Times New Roman"/>
          <w:szCs w:val="24"/>
        </w:rPr>
        <w:t>regions</w:t>
      </w:r>
      <w:r w:rsidRPr="0017107A">
        <w:rPr>
          <w:rFonts w:eastAsia="Times New Roman"/>
          <w:szCs w:val="24"/>
        </w:rPr>
        <w:t xml:space="preserve"> </w:t>
      </w:r>
      <w:r w:rsidR="006957D1" w:rsidRPr="0017107A">
        <w:rPr>
          <w:rFonts w:eastAsia="Times New Roman"/>
          <w:szCs w:val="24"/>
        </w:rPr>
        <w:t>have undertaken</w:t>
      </w:r>
      <w:r w:rsidR="00AE2236" w:rsidRPr="0017107A">
        <w:rPr>
          <w:rFonts w:eastAsia="Times New Roman"/>
          <w:szCs w:val="24"/>
        </w:rPr>
        <w:t xml:space="preserve"> various initiatives in the area targeting improvement of millet farming for commercialization. Primary data </w:t>
      </w:r>
      <w:r w:rsidR="002D54A5" w:rsidRPr="0017107A">
        <w:rPr>
          <w:rFonts w:eastAsia="Times New Roman"/>
          <w:szCs w:val="24"/>
        </w:rPr>
        <w:t xml:space="preserve">was collected </w:t>
      </w:r>
      <w:r w:rsidR="00AE2236" w:rsidRPr="0017107A">
        <w:rPr>
          <w:rFonts w:eastAsia="Times New Roman"/>
          <w:szCs w:val="24"/>
        </w:rPr>
        <w:t>for the study us</w:t>
      </w:r>
      <w:r w:rsidR="004A46AB" w:rsidRPr="0017107A">
        <w:rPr>
          <w:rFonts w:eastAsia="Times New Roman"/>
          <w:szCs w:val="24"/>
        </w:rPr>
        <w:t>ing a pre-tested</w:t>
      </w:r>
      <w:r w:rsidR="00AE2236" w:rsidRPr="0017107A">
        <w:rPr>
          <w:rFonts w:eastAsia="Times New Roman"/>
          <w:szCs w:val="24"/>
        </w:rPr>
        <w:t xml:space="preserve"> structur</w:t>
      </w:r>
      <w:r w:rsidR="00D23521" w:rsidRPr="0017107A">
        <w:rPr>
          <w:rFonts w:eastAsia="Times New Roman"/>
          <w:szCs w:val="24"/>
        </w:rPr>
        <w:t xml:space="preserve">ed </w:t>
      </w:r>
      <w:r w:rsidR="00BC30A2" w:rsidRPr="0017107A">
        <w:rPr>
          <w:rFonts w:eastAsia="Times New Roman"/>
          <w:szCs w:val="24"/>
        </w:rPr>
        <w:t>questionnaire;</w:t>
      </w:r>
      <w:r w:rsidR="00D23521" w:rsidRPr="0017107A">
        <w:rPr>
          <w:rFonts w:eastAsia="Times New Roman"/>
          <w:szCs w:val="24"/>
        </w:rPr>
        <w:t xml:space="preserve"> </w:t>
      </w:r>
      <w:r w:rsidR="00BC30A2" w:rsidRPr="0017107A">
        <w:rPr>
          <w:rFonts w:eastAsia="Times New Roman"/>
          <w:szCs w:val="24"/>
        </w:rPr>
        <w:t>and the</w:t>
      </w:r>
      <w:r w:rsidR="002D54A5" w:rsidRPr="0017107A">
        <w:rPr>
          <w:rFonts w:eastAsia="Times New Roman"/>
          <w:szCs w:val="24"/>
        </w:rPr>
        <w:t xml:space="preserve"> </w:t>
      </w:r>
      <w:r w:rsidR="00BC30A2" w:rsidRPr="0017107A">
        <w:rPr>
          <w:rFonts w:eastAsia="Times New Roman"/>
          <w:szCs w:val="24"/>
        </w:rPr>
        <w:t>selected variables included for the study were</w:t>
      </w:r>
      <w:r w:rsidR="0081359D" w:rsidRPr="0017107A">
        <w:rPr>
          <w:rFonts w:eastAsia="Times New Roman"/>
          <w:szCs w:val="24"/>
        </w:rPr>
        <w:t xml:space="preserve"> grower</w:t>
      </w:r>
      <w:r w:rsidR="00D23521" w:rsidRPr="0017107A">
        <w:rPr>
          <w:rFonts w:eastAsia="Times New Roman"/>
          <w:szCs w:val="24"/>
        </w:rPr>
        <w:t xml:space="preserve"> characteristics</w:t>
      </w:r>
      <w:r w:rsidR="004A46AB" w:rsidRPr="0017107A">
        <w:rPr>
          <w:rFonts w:eastAsia="Times New Roman"/>
          <w:szCs w:val="24"/>
        </w:rPr>
        <w:t xml:space="preserve"> as well as </w:t>
      </w:r>
      <w:r w:rsidR="00D23521" w:rsidRPr="0017107A">
        <w:rPr>
          <w:rFonts w:eastAsia="Times New Roman"/>
          <w:szCs w:val="24"/>
        </w:rPr>
        <w:t>farm</w:t>
      </w:r>
      <w:r w:rsidR="00AE2236" w:rsidRPr="0017107A">
        <w:rPr>
          <w:rFonts w:eastAsia="Times New Roman"/>
          <w:szCs w:val="24"/>
        </w:rPr>
        <w:t xml:space="preserve"> characteristics of millet growers</w:t>
      </w:r>
      <w:r w:rsidR="008E382E" w:rsidRPr="0017107A">
        <w:rPr>
          <w:rFonts w:eastAsia="Times New Roman"/>
          <w:szCs w:val="24"/>
        </w:rPr>
        <w:t xml:space="preserve"> (Table-1)</w:t>
      </w:r>
      <w:r w:rsidR="00D23521" w:rsidRPr="0017107A">
        <w:rPr>
          <w:rFonts w:eastAsia="Times New Roman"/>
          <w:szCs w:val="24"/>
        </w:rPr>
        <w:t>.</w:t>
      </w:r>
      <w:r w:rsidR="001B7060" w:rsidRPr="0017107A">
        <w:rPr>
          <w:rFonts w:eastAsia="Times New Roman"/>
          <w:szCs w:val="24"/>
        </w:rPr>
        <w:t xml:space="preserve"> </w:t>
      </w:r>
      <w:r w:rsidR="001B7060" w:rsidRPr="0017107A">
        <w:rPr>
          <w:rFonts w:eastAsia="Times New Roman"/>
          <w:szCs w:val="24"/>
        </w:rPr>
        <w:lastRenderedPageBreak/>
        <w:t>Also, the c</w:t>
      </w:r>
      <w:r w:rsidR="00391200" w:rsidRPr="0017107A">
        <w:rPr>
          <w:rFonts w:eastAsia="Times New Roman"/>
          <w:szCs w:val="24"/>
        </w:rPr>
        <w:t xml:space="preserve">orrelation </w:t>
      </w:r>
      <w:r w:rsidR="0019185D" w:rsidRPr="0017107A">
        <w:rPr>
          <w:rFonts w:eastAsia="Times New Roman"/>
          <w:szCs w:val="24"/>
        </w:rPr>
        <w:t>and regression</w:t>
      </w:r>
      <w:r w:rsidR="001B7060" w:rsidRPr="0017107A">
        <w:rPr>
          <w:rFonts w:eastAsia="Times New Roman"/>
          <w:szCs w:val="24"/>
        </w:rPr>
        <w:t xml:space="preserve"> analysis </w:t>
      </w:r>
      <w:r w:rsidR="002D54A5" w:rsidRPr="0017107A">
        <w:rPr>
          <w:rFonts w:eastAsia="Times New Roman"/>
          <w:szCs w:val="24"/>
        </w:rPr>
        <w:t>were</w:t>
      </w:r>
      <w:r w:rsidR="001B7060" w:rsidRPr="0017107A">
        <w:rPr>
          <w:rFonts w:eastAsia="Times New Roman"/>
          <w:szCs w:val="24"/>
        </w:rPr>
        <w:t xml:space="preserve"> used to study the influence of p</w:t>
      </w:r>
      <w:r w:rsidR="00391200" w:rsidRPr="0017107A">
        <w:rPr>
          <w:rFonts w:eastAsia="Times New Roman"/>
          <w:szCs w:val="24"/>
        </w:rPr>
        <w:t xml:space="preserve">rofile characteristics of the </w:t>
      </w:r>
      <w:r w:rsidR="001B7060" w:rsidRPr="0017107A">
        <w:rPr>
          <w:rFonts w:eastAsia="Times New Roman"/>
          <w:szCs w:val="24"/>
        </w:rPr>
        <w:t>farmers on</w:t>
      </w:r>
      <w:r w:rsidR="00391200" w:rsidRPr="0017107A">
        <w:rPr>
          <w:rFonts w:eastAsia="Times New Roman"/>
          <w:szCs w:val="24"/>
        </w:rPr>
        <w:t xml:space="preserve"> their adoption score with regard millet farming at commercial </w:t>
      </w:r>
      <w:r w:rsidR="001B7060" w:rsidRPr="0017107A">
        <w:rPr>
          <w:rFonts w:eastAsia="Times New Roman"/>
          <w:szCs w:val="24"/>
        </w:rPr>
        <w:t xml:space="preserve">level. </w:t>
      </w:r>
      <w:r w:rsidR="008E382E" w:rsidRPr="0017107A">
        <w:rPr>
          <w:rFonts w:eastAsia="Times New Roman"/>
          <w:szCs w:val="24"/>
        </w:rPr>
        <w:tab/>
      </w:r>
      <w:r w:rsidR="008E382E" w:rsidRPr="0017107A">
        <w:rPr>
          <w:rFonts w:eastAsia="Times New Roman"/>
          <w:szCs w:val="24"/>
        </w:rPr>
        <w:tab/>
      </w:r>
    </w:p>
    <w:p w14:paraId="2BDDF2C5" w14:textId="77777777" w:rsidR="002D54A5" w:rsidRPr="0017107A" w:rsidRDefault="002D54A5" w:rsidP="00AD4E64">
      <w:pPr>
        <w:spacing w:before="240" w:after="240" w:line="360" w:lineRule="auto"/>
        <w:jc w:val="both"/>
        <w:rPr>
          <w:rFonts w:eastAsia="Times New Roman"/>
          <w:szCs w:val="24"/>
        </w:rPr>
      </w:pPr>
      <w:r w:rsidRPr="0017107A">
        <w:rPr>
          <w:rFonts w:eastAsia="Times New Roman"/>
          <w:szCs w:val="24"/>
        </w:rPr>
        <w:t>The correlation as well as regression equations used were as follow:</w:t>
      </w:r>
    </w:p>
    <w:p w14:paraId="7CB7443B" w14:textId="77777777" w:rsidR="0019185D" w:rsidRPr="0017107A" w:rsidRDefault="001842F9" w:rsidP="00AD4E64">
      <w:pPr>
        <w:spacing w:before="240" w:after="240" w:line="360" w:lineRule="auto"/>
        <w:jc w:val="both"/>
        <w:rPr>
          <w:rFonts w:eastAsia="Times New Roman"/>
          <w:szCs w:val="24"/>
        </w:rPr>
      </w:pPr>
      <w:r w:rsidRPr="0017107A">
        <w:rPr>
          <w:rFonts w:eastAsia="Times New Roman"/>
          <w:szCs w:val="24"/>
        </w:rPr>
        <w:t>(</w:t>
      </w:r>
      <w:r w:rsidR="000F0A70" w:rsidRPr="0017107A">
        <w:rPr>
          <w:rFonts w:eastAsia="Times New Roman"/>
          <w:szCs w:val="24"/>
        </w:rPr>
        <w:t xml:space="preserve">Correlation Coefficient) </w:t>
      </w:r>
      <w:r w:rsidR="000F0A70" w:rsidRPr="0017107A">
        <w:rPr>
          <w:rFonts w:eastAsia="Times New Roman"/>
          <w:szCs w:val="24"/>
        </w:rPr>
        <w:tab/>
      </w:r>
      <w:r w:rsidR="0019185D" w:rsidRPr="0017107A">
        <w:rPr>
          <w:rFonts w:eastAsia="Times New Roman"/>
          <w:szCs w:val="24"/>
        </w:rPr>
        <w:t>r=</w:t>
      </w:r>
      <m:oMath>
        <m:f>
          <m:fPr>
            <m:ctrlPr>
              <w:rPr>
                <w:rFonts w:ascii="Cambria Math" w:eastAsia="Times New Roman" w:hAnsi="Cambria Math"/>
                <w:i/>
                <w:szCs w:val="24"/>
              </w:rPr>
            </m:ctrlPr>
          </m:fPr>
          <m:num>
            <m:r>
              <w:rPr>
                <w:rFonts w:ascii="Cambria Math" w:eastAsia="Times New Roman"/>
                <w:szCs w:val="24"/>
              </w:rPr>
              <m:t>(</m:t>
            </m:r>
            <m:r>
              <m:rPr>
                <m:sty m:val="p"/>
              </m:rPr>
              <w:rPr>
                <w:rFonts w:ascii="Cambria Math"/>
                <w:szCs w:val="24"/>
              </w:rPr>
              <m:t>Xi</m:t>
            </m:r>
            <m:r>
              <m:rPr>
                <m:sty m:val="p"/>
              </m:rPr>
              <w:rPr>
                <w:rFonts w:ascii="Cambria Math" w:hAnsi="Cambria Math"/>
                <w:szCs w:val="24"/>
              </w:rPr>
              <m:t>-</m:t>
            </m:r>
            <m:r>
              <m:rPr>
                <m:sty m:val="p"/>
              </m:rPr>
              <w:rPr>
                <w:rFonts w:ascii="Cambria Math"/>
                <w:szCs w:val="24"/>
              </w:rPr>
              <m:t>X)(Yi</m:t>
            </m:r>
            <m:r>
              <m:rPr>
                <m:sty m:val="p"/>
              </m:rPr>
              <w:rPr>
                <w:rFonts w:ascii="Cambria Math" w:hAnsi="Cambria Math"/>
                <w:szCs w:val="24"/>
              </w:rPr>
              <m:t>-</m:t>
            </m:r>
            <m:r>
              <m:rPr>
                <m:sty m:val="p"/>
              </m:rPr>
              <w:rPr>
                <w:rFonts w:ascii="Cambria Math"/>
                <w:szCs w:val="24"/>
              </w:rPr>
              <m:t>Y)</m:t>
            </m:r>
          </m:num>
          <m:den>
            <m:r>
              <m:rPr>
                <m:sty m:val="p"/>
              </m:rPr>
              <w:rPr>
                <w:rFonts w:ascii="Cambria Math"/>
                <w:szCs w:val="24"/>
              </w:rPr>
              <m:t xml:space="preserve">n. </m:t>
            </m:r>
            <m:r>
              <m:rPr>
                <m:sty m:val="p"/>
              </m:rPr>
              <w:rPr>
                <w:rFonts w:ascii="Cambria Math" w:hAnsi="Cambria Math"/>
                <w:szCs w:val="24"/>
              </w:rPr>
              <m:t>σ</m:t>
            </m:r>
            <m:r>
              <m:rPr>
                <m:sty m:val="p"/>
              </m:rPr>
              <w:rPr>
                <w:rFonts w:ascii="Cambria Math"/>
                <w:szCs w:val="24"/>
              </w:rPr>
              <m:t>x</m:t>
            </m:r>
            <m:r>
              <m:rPr>
                <m:sty m:val="p"/>
              </m:rPr>
              <w:rPr>
                <w:rFonts w:ascii="Cambria Math" w:hAnsi="Cambria Math"/>
                <w:szCs w:val="24"/>
              </w:rPr>
              <m:t>σ</m:t>
            </m:r>
            <m:r>
              <m:rPr>
                <m:sty m:val="p"/>
              </m:rPr>
              <w:rPr>
                <w:rFonts w:ascii="Cambria Math"/>
                <w:szCs w:val="24"/>
              </w:rPr>
              <m:t xml:space="preserve">y </m:t>
            </m:r>
          </m:den>
        </m:f>
      </m:oMath>
    </w:p>
    <w:p w14:paraId="1DC19561" w14:textId="77777777" w:rsidR="0019185D" w:rsidRPr="0017107A" w:rsidRDefault="0019185D" w:rsidP="00AD4E64">
      <w:pPr>
        <w:spacing w:before="240" w:after="240" w:line="360" w:lineRule="auto"/>
        <w:jc w:val="both"/>
        <w:rPr>
          <w:rFonts w:eastAsia="Times New Roman"/>
          <w:szCs w:val="24"/>
        </w:rPr>
      </w:pPr>
      <w:r w:rsidRPr="0017107A">
        <w:rPr>
          <w:szCs w:val="24"/>
        </w:rPr>
        <w:t xml:space="preserve">Where, Xi= </w:t>
      </w:r>
      <w:proofErr w:type="spellStart"/>
      <w:r w:rsidRPr="0017107A">
        <w:rPr>
          <w:szCs w:val="24"/>
        </w:rPr>
        <w:t>ith</w:t>
      </w:r>
      <w:proofErr w:type="spellEnd"/>
      <w:r w:rsidR="00BC30A2" w:rsidRPr="0017107A">
        <w:rPr>
          <w:szCs w:val="24"/>
        </w:rPr>
        <w:t xml:space="preserve"> </w:t>
      </w:r>
      <w:r w:rsidRPr="0017107A">
        <w:rPr>
          <w:szCs w:val="24"/>
        </w:rPr>
        <w:t xml:space="preserve">value of X </w:t>
      </w:r>
      <w:r w:rsidR="00680B4B" w:rsidRPr="0017107A">
        <w:rPr>
          <w:szCs w:val="24"/>
        </w:rPr>
        <w:t>Variable</w:t>
      </w:r>
      <w:r w:rsidR="00BC30A2" w:rsidRPr="0017107A">
        <w:rPr>
          <w:szCs w:val="24"/>
        </w:rPr>
        <w:t>,</w:t>
      </w:r>
      <w:r w:rsidRPr="0017107A">
        <w:rPr>
          <w:szCs w:val="24"/>
        </w:rPr>
        <w:t xml:space="preserve"> X=mean of X Yi=</w:t>
      </w:r>
      <w:proofErr w:type="spellStart"/>
      <w:r w:rsidRPr="0017107A">
        <w:rPr>
          <w:szCs w:val="24"/>
        </w:rPr>
        <w:t>ith</w:t>
      </w:r>
      <w:proofErr w:type="spellEnd"/>
      <w:r w:rsidRPr="0017107A">
        <w:rPr>
          <w:szCs w:val="24"/>
        </w:rPr>
        <w:t xml:space="preserve"> value of Y</w:t>
      </w:r>
      <w:r w:rsidR="00BC30A2" w:rsidRPr="0017107A">
        <w:rPr>
          <w:szCs w:val="24"/>
        </w:rPr>
        <w:t>,</w:t>
      </w:r>
      <w:r w:rsidRPr="0017107A">
        <w:rPr>
          <w:szCs w:val="24"/>
        </w:rPr>
        <w:t xml:space="preserve"> </w:t>
      </w:r>
      <w:r w:rsidR="004E55EE" w:rsidRPr="0017107A">
        <w:rPr>
          <w:szCs w:val="24"/>
        </w:rPr>
        <w:t>Variable</w:t>
      </w:r>
      <w:r w:rsidRPr="0017107A">
        <w:rPr>
          <w:szCs w:val="24"/>
        </w:rPr>
        <w:t xml:space="preserve"> Y=mean of Y</w:t>
      </w:r>
    </w:p>
    <w:p w14:paraId="268C6D27" w14:textId="77777777" w:rsidR="0031117D" w:rsidRPr="0017107A" w:rsidRDefault="0031117D" w:rsidP="00AD4E64">
      <w:pPr>
        <w:spacing w:before="240" w:after="240" w:line="360" w:lineRule="auto"/>
        <w:jc w:val="both"/>
        <w:rPr>
          <w:rFonts w:eastAsia="Times New Roman"/>
          <w:szCs w:val="24"/>
        </w:rPr>
      </w:pPr>
      <w:r w:rsidRPr="0017107A">
        <w:rPr>
          <w:rFonts w:eastAsia="Times New Roman"/>
          <w:szCs w:val="24"/>
        </w:rPr>
        <w:t xml:space="preserve">Regression analysis generates regression coefficients to measure how strongly each predictor variable predicts the dependent variables. </w:t>
      </w:r>
      <w:r w:rsidR="00BD4B8B" w:rsidRPr="0017107A">
        <w:rPr>
          <w:rFonts w:eastAsia="Times New Roman"/>
          <w:szCs w:val="24"/>
        </w:rPr>
        <w:t>(</w:t>
      </w:r>
      <w:r w:rsidR="00BD4B8B" w:rsidRPr="0017107A">
        <w:rPr>
          <w:szCs w:val="24"/>
        </w:rPr>
        <w:t xml:space="preserve">Tranmer </w:t>
      </w:r>
      <w:r w:rsidR="00BD4B8B" w:rsidRPr="0017107A">
        <w:rPr>
          <w:i/>
          <w:szCs w:val="24"/>
        </w:rPr>
        <w:t>et al.,</w:t>
      </w:r>
      <w:r w:rsidR="00BD4B8B" w:rsidRPr="0017107A">
        <w:rPr>
          <w:szCs w:val="24"/>
        </w:rPr>
        <w:t>2008)</w:t>
      </w:r>
    </w:p>
    <w:p w14:paraId="74442C82" w14:textId="77777777" w:rsidR="00E07C98" w:rsidRPr="0017107A" w:rsidRDefault="001842F9" w:rsidP="00AD4E64">
      <w:pPr>
        <w:spacing w:before="240" w:after="240" w:line="360" w:lineRule="auto"/>
        <w:jc w:val="both"/>
        <w:rPr>
          <w:szCs w:val="24"/>
        </w:rPr>
      </w:pPr>
      <w:r w:rsidRPr="0017107A">
        <w:rPr>
          <w:szCs w:val="24"/>
        </w:rPr>
        <w:t xml:space="preserve"> (The regression model) </w:t>
      </w:r>
      <w:r w:rsidR="000F0A70" w:rsidRPr="0017107A">
        <w:rPr>
          <w:szCs w:val="24"/>
        </w:rPr>
        <w:tab/>
      </w:r>
      <w:r w:rsidR="00E07C98" w:rsidRPr="0017107A">
        <w:rPr>
          <w:szCs w:val="24"/>
        </w:rPr>
        <w:t>Y =</w:t>
      </w:r>
      <w:r w:rsidR="00E07C98" w:rsidRPr="0017107A">
        <w:rPr>
          <w:rFonts w:ascii="Cambria Math" w:hAnsi="Cambria Math"/>
          <w:szCs w:val="24"/>
        </w:rPr>
        <w:t>𝛽</w:t>
      </w:r>
      <w:r w:rsidR="00E07C98" w:rsidRPr="0017107A">
        <w:rPr>
          <w:szCs w:val="24"/>
        </w:rPr>
        <w:t>0+</w:t>
      </w:r>
      <w:r w:rsidR="00E07C98" w:rsidRPr="0017107A">
        <w:rPr>
          <w:rFonts w:ascii="Cambria Math" w:hAnsi="Cambria Math"/>
          <w:szCs w:val="24"/>
        </w:rPr>
        <w:t>𝛽</w:t>
      </w:r>
      <w:r w:rsidR="00E07C98" w:rsidRPr="0017107A">
        <w:rPr>
          <w:szCs w:val="24"/>
        </w:rPr>
        <w:t>1</w:t>
      </w:r>
      <w:r w:rsidR="00E07C98" w:rsidRPr="0017107A">
        <w:rPr>
          <w:rFonts w:ascii="Cambria Math" w:hAnsi="Cambria Math"/>
          <w:szCs w:val="24"/>
        </w:rPr>
        <w:t>𝑋</w:t>
      </w:r>
      <w:r w:rsidR="00E07C98" w:rsidRPr="0017107A">
        <w:rPr>
          <w:szCs w:val="24"/>
        </w:rPr>
        <w:t>1+</w:t>
      </w:r>
      <w:r w:rsidRPr="0017107A">
        <w:rPr>
          <w:rFonts w:ascii="Cambria Math" w:hAnsi="Cambria Math"/>
          <w:szCs w:val="24"/>
        </w:rPr>
        <w:t>𝛽</w:t>
      </w:r>
      <w:r w:rsidRPr="0017107A">
        <w:rPr>
          <w:szCs w:val="24"/>
        </w:rPr>
        <w:t>2</w:t>
      </w:r>
      <w:r w:rsidRPr="0017107A">
        <w:rPr>
          <w:rFonts w:ascii="Cambria Math" w:hAnsi="Cambria Math"/>
          <w:szCs w:val="24"/>
        </w:rPr>
        <w:t>𝑋</w:t>
      </w:r>
      <w:r w:rsidRPr="0017107A">
        <w:rPr>
          <w:szCs w:val="24"/>
        </w:rPr>
        <w:t xml:space="preserve">2+ </w:t>
      </w:r>
      <w:r w:rsidRPr="0017107A">
        <w:rPr>
          <w:rFonts w:ascii="Cambria Math" w:hAnsi="Cambria Math"/>
          <w:szCs w:val="24"/>
        </w:rPr>
        <w:t>𝛽</w:t>
      </w:r>
      <w:r w:rsidRPr="0017107A">
        <w:rPr>
          <w:szCs w:val="24"/>
        </w:rPr>
        <w:t>3</w:t>
      </w:r>
      <w:r w:rsidRPr="0017107A">
        <w:rPr>
          <w:rFonts w:ascii="Cambria Math" w:hAnsi="Cambria Math"/>
          <w:szCs w:val="24"/>
        </w:rPr>
        <w:t>𝑋</w:t>
      </w:r>
      <w:r w:rsidRPr="0017107A">
        <w:rPr>
          <w:szCs w:val="24"/>
        </w:rPr>
        <w:t xml:space="preserve">3+ </w:t>
      </w:r>
      <w:r w:rsidRPr="0017107A">
        <w:rPr>
          <w:rFonts w:ascii="Cambria Math" w:hAnsi="Cambria Math"/>
          <w:szCs w:val="24"/>
        </w:rPr>
        <w:t>𝛽</w:t>
      </w:r>
      <w:r w:rsidRPr="0017107A">
        <w:rPr>
          <w:szCs w:val="24"/>
        </w:rPr>
        <w:t>4</w:t>
      </w:r>
      <w:r w:rsidRPr="0017107A">
        <w:rPr>
          <w:rFonts w:ascii="Cambria Math" w:hAnsi="Cambria Math"/>
          <w:szCs w:val="24"/>
        </w:rPr>
        <w:t>𝑋</w:t>
      </w:r>
      <w:r w:rsidRPr="0017107A">
        <w:rPr>
          <w:szCs w:val="24"/>
        </w:rPr>
        <w:t xml:space="preserve">4+ </w:t>
      </w:r>
      <w:r w:rsidRPr="0017107A">
        <w:rPr>
          <w:rFonts w:ascii="Cambria Math" w:hAnsi="Cambria Math"/>
          <w:szCs w:val="24"/>
        </w:rPr>
        <w:t>𝛽</w:t>
      </w:r>
      <w:r w:rsidRPr="0017107A">
        <w:rPr>
          <w:szCs w:val="24"/>
        </w:rPr>
        <w:t>5</w:t>
      </w:r>
      <w:r w:rsidRPr="0017107A">
        <w:rPr>
          <w:rFonts w:ascii="Cambria Math" w:hAnsi="Cambria Math"/>
          <w:szCs w:val="24"/>
        </w:rPr>
        <w:t>𝑋</w:t>
      </w:r>
      <w:r w:rsidRPr="0017107A">
        <w:rPr>
          <w:szCs w:val="24"/>
        </w:rPr>
        <w:t xml:space="preserve">5+ </w:t>
      </w:r>
      <w:r w:rsidRPr="0017107A">
        <w:rPr>
          <w:rFonts w:ascii="Cambria Math" w:hAnsi="Cambria Math"/>
          <w:szCs w:val="24"/>
        </w:rPr>
        <w:t>𝛽</w:t>
      </w:r>
      <w:r w:rsidRPr="0017107A">
        <w:rPr>
          <w:szCs w:val="24"/>
        </w:rPr>
        <w:t>6</w:t>
      </w:r>
      <w:r w:rsidRPr="0017107A">
        <w:rPr>
          <w:rFonts w:ascii="Cambria Math" w:hAnsi="Cambria Math"/>
          <w:szCs w:val="24"/>
        </w:rPr>
        <w:t>𝑋</w:t>
      </w:r>
      <w:r w:rsidRPr="0017107A">
        <w:rPr>
          <w:szCs w:val="24"/>
        </w:rPr>
        <w:t xml:space="preserve">6 </w:t>
      </w:r>
      <w:r w:rsidR="00E07C98" w:rsidRPr="0017107A">
        <w:rPr>
          <w:szCs w:val="24"/>
        </w:rPr>
        <w:t>+</w:t>
      </w:r>
      <w:r w:rsidR="0019185D" w:rsidRPr="0017107A">
        <w:rPr>
          <w:szCs w:val="24"/>
        </w:rPr>
        <w:t>ε</w:t>
      </w:r>
    </w:p>
    <w:p w14:paraId="766C7208" w14:textId="77777777" w:rsidR="003778A2" w:rsidRPr="0017107A" w:rsidRDefault="00BC30A2" w:rsidP="00AD4E64">
      <w:pPr>
        <w:spacing w:before="240" w:after="240" w:line="360" w:lineRule="auto"/>
        <w:jc w:val="both"/>
        <w:rPr>
          <w:szCs w:val="24"/>
        </w:rPr>
      </w:pPr>
      <w:r w:rsidRPr="0017107A">
        <w:rPr>
          <w:szCs w:val="24"/>
        </w:rPr>
        <w:t>Where,</w:t>
      </w:r>
      <w:r w:rsidR="001842F9" w:rsidRPr="0017107A">
        <w:rPr>
          <w:szCs w:val="24"/>
        </w:rPr>
        <w:t xml:space="preserve"> for a dependent variable Y= adoption</w:t>
      </w:r>
      <w:r w:rsidRPr="0017107A">
        <w:rPr>
          <w:szCs w:val="24"/>
        </w:rPr>
        <w:t>,</w:t>
      </w:r>
      <w:r w:rsidR="001842F9" w:rsidRPr="0017107A">
        <w:rPr>
          <w:szCs w:val="24"/>
        </w:rPr>
        <w:t xml:space="preserve"> and predictor variables X1= Age, X2= Educational </w:t>
      </w:r>
      <w:r w:rsidR="00BD4B8B" w:rsidRPr="0017107A">
        <w:rPr>
          <w:szCs w:val="24"/>
        </w:rPr>
        <w:t>qualification,</w:t>
      </w:r>
      <w:r w:rsidR="001842F9" w:rsidRPr="0017107A">
        <w:rPr>
          <w:szCs w:val="24"/>
        </w:rPr>
        <w:t xml:space="preserve"> X3 = Monthly </w:t>
      </w:r>
      <w:r w:rsidR="00BD4B8B" w:rsidRPr="0017107A">
        <w:rPr>
          <w:szCs w:val="24"/>
        </w:rPr>
        <w:t>income, X4 = Cropping intensity</w:t>
      </w:r>
      <w:r w:rsidR="001842F9" w:rsidRPr="0017107A">
        <w:rPr>
          <w:szCs w:val="24"/>
        </w:rPr>
        <w:t xml:space="preserve">, X5= Cultivable land, X6= Farming experience; </w:t>
      </w:r>
      <w:r w:rsidR="00E07C98" w:rsidRPr="0017107A">
        <w:rPr>
          <w:szCs w:val="24"/>
        </w:rPr>
        <w:t xml:space="preserve">β, β1, βk=regression </w:t>
      </w:r>
      <w:r w:rsidR="001842F9" w:rsidRPr="0017107A">
        <w:rPr>
          <w:szCs w:val="24"/>
        </w:rPr>
        <w:t xml:space="preserve">coefficients; </w:t>
      </w:r>
      <w:r w:rsidR="0019185D" w:rsidRPr="0017107A">
        <w:rPr>
          <w:szCs w:val="24"/>
        </w:rPr>
        <w:t>ε</w:t>
      </w:r>
      <w:r w:rsidR="00E07C98" w:rsidRPr="0017107A">
        <w:rPr>
          <w:szCs w:val="24"/>
        </w:rPr>
        <w:t>=error</w:t>
      </w:r>
    </w:p>
    <w:p w14:paraId="395F9205" w14:textId="77777777" w:rsidR="00CB5057" w:rsidRPr="0017107A" w:rsidRDefault="0017107A" w:rsidP="00AD4E64">
      <w:pPr>
        <w:spacing w:before="240" w:after="240" w:line="360" w:lineRule="auto"/>
        <w:jc w:val="both"/>
        <w:rPr>
          <w:rFonts w:eastAsia="Times New Roman"/>
        </w:rPr>
      </w:pPr>
      <w:r w:rsidRPr="0017107A">
        <w:rPr>
          <w:rFonts w:eastAsia="Times New Roman"/>
          <w:b/>
        </w:rPr>
        <w:t xml:space="preserve">3. </w:t>
      </w:r>
      <w:r w:rsidR="000954D2" w:rsidRPr="0017107A">
        <w:rPr>
          <w:rFonts w:eastAsia="Times New Roman"/>
          <w:b/>
        </w:rPr>
        <w:t>RESULTS AND DISCUSSION</w:t>
      </w:r>
    </w:p>
    <w:p w14:paraId="2271A010" w14:textId="77777777" w:rsidR="006132BA" w:rsidRPr="0017107A" w:rsidRDefault="0017107A" w:rsidP="00AD4E64">
      <w:pPr>
        <w:spacing w:before="240" w:after="240" w:line="360" w:lineRule="auto"/>
        <w:jc w:val="both"/>
        <w:rPr>
          <w:rFonts w:eastAsia="Times New Roman"/>
          <w:iCs/>
        </w:rPr>
      </w:pPr>
      <w:r w:rsidRPr="0017107A">
        <w:rPr>
          <w:rFonts w:eastAsia="Times New Roman"/>
          <w:b/>
          <w:bCs/>
          <w:i/>
        </w:rPr>
        <w:t xml:space="preserve">3.1 </w:t>
      </w:r>
      <w:r w:rsidR="00CB5057" w:rsidRPr="0017107A">
        <w:rPr>
          <w:rFonts w:eastAsia="Times New Roman"/>
          <w:b/>
          <w:bCs/>
          <w:i/>
        </w:rPr>
        <w:t>Farmers</w:t>
      </w:r>
      <w:r w:rsidR="008E382E" w:rsidRPr="0017107A">
        <w:rPr>
          <w:rFonts w:eastAsia="Times New Roman"/>
          <w:b/>
          <w:bCs/>
          <w:i/>
        </w:rPr>
        <w:t>’</w:t>
      </w:r>
      <w:r w:rsidR="000424CE" w:rsidRPr="0017107A">
        <w:rPr>
          <w:rFonts w:eastAsia="Times New Roman"/>
          <w:b/>
          <w:bCs/>
          <w:i/>
        </w:rPr>
        <w:t xml:space="preserve"> and Farm</w:t>
      </w:r>
      <w:r w:rsidR="00CB5057" w:rsidRPr="0017107A">
        <w:rPr>
          <w:rFonts w:eastAsia="Times New Roman"/>
          <w:b/>
          <w:bCs/>
          <w:i/>
        </w:rPr>
        <w:t xml:space="preserve"> characteristics</w:t>
      </w:r>
      <w:r w:rsidR="008E382E" w:rsidRPr="0017107A">
        <w:rPr>
          <w:rFonts w:eastAsia="Times New Roman"/>
          <w:i/>
        </w:rPr>
        <w:t>:</w:t>
      </w:r>
      <w:r w:rsidR="00474C49" w:rsidRPr="0017107A">
        <w:rPr>
          <w:rFonts w:eastAsia="Times New Roman"/>
          <w:iCs/>
        </w:rPr>
        <w:t xml:space="preserve"> In the context of millet commercialization, both farmers’ as well as farm characteristics play a critical role in influencing adoption, production scale, and market engagement. </w:t>
      </w:r>
      <w:r w:rsidR="005462A8" w:rsidRPr="0017107A">
        <w:rPr>
          <w:rFonts w:eastAsia="Times New Roman"/>
          <w:iCs/>
        </w:rPr>
        <w:t>Researchers have emphasised that farmers</w:t>
      </w:r>
      <w:r w:rsidR="00474C49" w:rsidRPr="0017107A">
        <w:rPr>
          <w:rFonts w:eastAsia="Times New Roman"/>
          <w:iCs/>
        </w:rPr>
        <w:t>’ characteristics such as age, education, gender, income level, and risk perception significantly shape their readiness to transition from subsistence to commercial millet cultivation. Educated and younger farmers are generally more open to adopting improved practices and accessing market information. Similarly, gender roles often determine the division of labo</w:t>
      </w:r>
      <w:r w:rsidR="005462A8" w:rsidRPr="0017107A">
        <w:rPr>
          <w:rFonts w:eastAsia="Times New Roman"/>
          <w:iCs/>
        </w:rPr>
        <w:t>u</w:t>
      </w:r>
      <w:r w:rsidR="00474C49" w:rsidRPr="0017107A">
        <w:rPr>
          <w:rFonts w:eastAsia="Times New Roman"/>
          <w:iCs/>
        </w:rPr>
        <w:t>r and control over income, particularly in hill regions like Uttarakhand where women are primary cultivators. Farm characteristics</w:t>
      </w:r>
      <w:r w:rsidR="005462A8" w:rsidRPr="0017107A">
        <w:rPr>
          <w:rFonts w:eastAsia="Times New Roman"/>
          <w:iCs/>
        </w:rPr>
        <w:t xml:space="preserve">, </w:t>
      </w:r>
      <w:r w:rsidR="00474C49" w:rsidRPr="0017107A">
        <w:rPr>
          <w:rFonts w:eastAsia="Times New Roman"/>
          <w:iCs/>
        </w:rPr>
        <w:t>including landholding size, soil type, altitude, irrigation availability, and proximity to markets</w:t>
      </w:r>
      <w:r w:rsidR="005462A8" w:rsidRPr="0017107A">
        <w:rPr>
          <w:rFonts w:eastAsia="Times New Roman"/>
          <w:iCs/>
        </w:rPr>
        <w:t xml:space="preserve">, </w:t>
      </w:r>
      <w:r w:rsidR="00474C49" w:rsidRPr="0017107A">
        <w:rPr>
          <w:rFonts w:eastAsia="Times New Roman"/>
          <w:iCs/>
        </w:rPr>
        <w:t xml:space="preserve">directly affect productivity, choice of millet varieties, and capacity for surplus generation. Small and fragmented farms may limit mechanization and economies of scale, thereby affecting commercialization prospects. Understanding these factors is essential for designing targeted interventions, enhancing value chain participation, and promoting millet-based livelihood strategies in marginal and climate-sensitive regions. </w:t>
      </w:r>
    </w:p>
    <w:p w14:paraId="7C163BE8" w14:textId="77777777" w:rsidR="00CB5057" w:rsidRPr="0017107A" w:rsidRDefault="00474C49" w:rsidP="00AD4E64">
      <w:pPr>
        <w:spacing w:before="240" w:after="240" w:line="360" w:lineRule="auto"/>
        <w:jc w:val="both"/>
        <w:rPr>
          <w:rFonts w:eastAsia="Times New Roman"/>
          <w:iCs/>
        </w:rPr>
      </w:pPr>
      <w:r w:rsidRPr="0017107A">
        <w:rPr>
          <w:rFonts w:eastAsia="Times New Roman"/>
          <w:iCs/>
        </w:rPr>
        <w:t xml:space="preserve">The </w:t>
      </w:r>
      <w:r w:rsidR="006132BA" w:rsidRPr="0017107A">
        <w:rPr>
          <w:rFonts w:eastAsia="Times New Roman"/>
          <w:iCs/>
        </w:rPr>
        <w:t xml:space="preserve">study findings </w:t>
      </w:r>
      <w:r w:rsidRPr="0017107A">
        <w:rPr>
          <w:rFonts w:eastAsia="Times New Roman"/>
          <w:iCs/>
        </w:rPr>
        <w:t>in this regard are given in table-1 below.</w:t>
      </w:r>
    </w:p>
    <w:p w14:paraId="7C053906" w14:textId="77777777" w:rsidR="00E5149E" w:rsidRPr="0017107A" w:rsidRDefault="00D76143" w:rsidP="0017107A">
      <w:pPr>
        <w:spacing w:line="360" w:lineRule="auto"/>
        <w:jc w:val="center"/>
        <w:rPr>
          <w:rFonts w:eastAsia="Times New Roman"/>
          <w:b/>
        </w:rPr>
      </w:pPr>
      <w:r w:rsidRPr="0017107A">
        <w:rPr>
          <w:rFonts w:eastAsia="Times New Roman"/>
          <w:b/>
        </w:rPr>
        <w:lastRenderedPageBreak/>
        <w:t xml:space="preserve">Table </w:t>
      </w:r>
      <w:r w:rsidR="00ED20D2" w:rsidRPr="0017107A">
        <w:rPr>
          <w:rFonts w:eastAsia="Times New Roman"/>
          <w:b/>
        </w:rPr>
        <w:t xml:space="preserve">1: </w:t>
      </w:r>
      <w:r w:rsidR="00280ABA" w:rsidRPr="0017107A">
        <w:rPr>
          <w:rFonts w:eastAsia="Times New Roman"/>
          <w:b/>
        </w:rPr>
        <w:t xml:space="preserve">Profile </w:t>
      </w:r>
      <w:r w:rsidR="00E5149E" w:rsidRPr="0017107A">
        <w:rPr>
          <w:rFonts w:eastAsia="Times New Roman"/>
          <w:b/>
        </w:rPr>
        <w:t>characteristics of millet growers</w:t>
      </w:r>
    </w:p>
    <w:tbl>
      <w:tblPr>
        <w:tblStyle w:val="TableGrid"/>
        <w:tblW w:w="0" w:type="auto"/>
        <w:tblLook w:val="04A0" w:firstRow="1" w:lastRow="0" w:firstColumn="1" w:lastColumn="0" w:noHBand="0" w:noVBand="1"/>
      </w:tblPr>
      <w:tblGrid>
        <w:gridCol w:w="2875"/>
        <w:gridCol w:w="3240"/>
        <w:gridCol w:w="1530"/>
        <w:gridCol w:w="1705"/>
      </w:tblGrid>
      <w:tr w:rsidR="00B8253A" w:rsidRPr="0017107A" w14:paraId="60069757" w14:textId="77777777" w:rsidTr="004E55EE">
        <w:tc>
          <w:tcPr>
            <w:tcW w:w="2875" w:type="dxa"/>
          </w:tcPr>
          <w:p w14:paraId="6F69A439" w14:textId="77777777" w:rsidR="00B8253A" w:rsidRPr="0017107A" w:rsidRDefault="00B8253A" w:rsidP="0017107A">
            <w:pPr>
              <w:jc w:val="center"/>
              <w:rPr>
                <w:rFonts w:eastAsia="Times New Roman"/>
                <w:b/>
                <w:bCs/>
              </w:rPr>
            </w:pPr>
            <w:r w:rsidRPr="0017107A">
              <w:rPr>
                <w:rFonts w:eastAsia="Times New Roman"/>
                <w:b/>
                <w:bCs/>
              </w:rPr>
              <w:t>Farmers characteristics</w:t>
            </w:r>
          </w:p>
        </w:tc>
        <w:tc>
          <w:tcPr>
            <w:tcW w:w="3240" w:type="dxa"/>
          </w:tcPr>
          <w:p w14:paraId="42CE0117" w14:textId="77777777" w:rsidR="00B8253A" w:rsidRPr="0017107A" w:rsidRDefault="00B8253A" w:rsidP="0017107A">
            <w:pPr>
              <w:jc w:val="center"/>
              <w:rPr>
                <w:rFonts w:eastAsia="Times New Roman"/>
                <w:b/>
                <w:bCs/>
              </w:rPr>
            </w:pPr>
            <w:r w:rsidRPr="0017107A">
              <w:rPr>
                <w:rFonts w:eastAsia="Times New Roman"/>
                <w:b/>
                <w:bCs/>
              </w:rPr>
              <w:t>Category</w:t>
            </w:r>
          </w:p>
        </w:tc>
        <w:tc>
          <w:tcPr>
            <w:tcW w:w="1530" w:type="dxa"/>
          </w:tcPr>
          <w:p w14:paraId="740C95DC" w14:textId="77777777" w:rsidR="00B8253A" w:rsidRPr="0017107A" w:rsidRDefault="00630549" w:rsidP="0017107A">
            <w:pPr>
              <w:jc w:val="center"/>
              <w:rPr>
                <w:rFonts w:eastAsia="Times New Roman"/>
                <w:b/>
                <w:bCs/>
              </w:rPr>
            </w:pPr>
            <w:r w:rsidRPr="0017107A">
              <w:rPr>
                <w:rFonts w:eastAsia="Times New Roman"/>
                <w:b/>
                <w:bCs/>
              </w:rPr>
              <w:t>Frequency</w:t>
            </w:r>
          </w:p>
        </w:tc>
        <w:tc>
          <w:tcPr>
            <w:tcW w:w="1705" w:type="dxa"/>
          </w:tcPr>
          <w:p w14:paraId="21DE1634" w14:textId="77777777" w:rsidR="00B8253A" w:rsidRPr="0017107A" w:rsidRDefault="00630549" w:rsidP="0017107A">
            <w:pPr>
              <w:jc w:val="center"/>
              <w:rPr>
                <w:rFonts w:eastAsia="Times New Roman"/>
                <w:b/>
                <w:bCs/>
              </w:rPr>
            </w:pPr>
            <w:r w:rsidRPr="0017107A">
              <w:rPr>
                <w:rFonts w:eastAsia="Times New Roman"/>
                <w:b/>
                <w:bCs/>
              </w:rPr>
              <w:t>Percentage</w:t>
            </w:r>
          </w:p>
        </w:tc>
      </w:tr>
      <w:tr w:rsidR="00630549" w:rsidRPr="0017107A" w14:paraId="6ED2154E" w14:textId="77777777" w:rsidTr="004E55EE">
        <w:tc>
          <w:tcPr>
            <w:tcW w:w="2875" w:type="dxa"/>
            <w:vMerge w:val="restart"/>
          </w:tcPr>
          <w:p w14:paraId="77E8C543" w14:textId="77777777" w:rsidR="00630549" w:rsidRPr="0017107A" w:rsidRDefault="00630549" w:rsidP="0017107A">
            <w:pPr>
              <w:jc w:val="both"/>
              <w:rPr>
                <w:rFonts w:eastAsia="Times New Roman"/>
              </w:rPr>
            </w:pPr>
          </w:p>
          <w:p w14:paraId="37E48151" w14:textId="77777777" w:rsidR="00630549" w:rsidRPr="0017107A" w:rsidRDefault="00630549" w:rsidP="0017107A">
            <w:pPr>
              <w:jc w:val="both"/>
              <w:rPr>
                <w:rFonts w:eastAsia="Times New Roman"/>
              </w:rPr>
            </w:pPr>
            <w:r w:rsidRPr="0017107A">
              <w:rPr>
                <w:rFonts w:eastAsia="Times New Roman"/>
              </w:rPr>
              <w:t xml:space="preserve">Age </w:t>
            </w:r>
          </w:p>
        </w:tc>
        <w:tc>
          <w:tcPr>
            <w:tcW w:w="3240" w:type="dxa"/>
          </w:tcPr>
          <w:p w14:paraId="5441E282" w14:textId="77777777" w:rsidR="00630549" w:rsidRPr="0017107A" w:rsidRDefault="00630549" w:rsidP="0017107A">
            <w:pPr>
              <w:jc w:val="both"/>
              <w:rPr>
                <w:rFonts w:eastAsia="Times New Roman"/>
              </w:rPr>
            </w:pPr>
            <w:r w:rsidRPr="0017107A">
              <w:rPr>
                <w:rFonts w:eastAsia="Times New Roman"/>
              </w:rPr>
              <w:t>Young</w:t>
            </w:r>
          </w:p>
        </w:tc>
        <w:tc>
          <w:tcPr>
            <w:tcW w:w="1530" w:type="dxa"/>
          </w:tcPr>
          <w:p w14:paraId="7E9B6625" w14:textId="77777777" w:rsidR="00630549" w:rsidRPr="0017107A" w:rsidRDefault="00630549" w:rsidP="0017107A">
            <w:pPr>
              <w:jc w:val="center"/>
              <w:rPr>
                <w:rFonts w:eastAsia="Times New Roman"/>
              </w:rPr>
            </w:pPr>
            <w:r w:rsidRPr="0017107A">
              <w:t>80</w:t>
            </w:r>
          </w:p>
        </w:tc>
        <w:tc>
          <w:tcPr>
            <w:tcW w:w="1705" w:type="dxa"/>
          </w:tcPr>
          <w:p w14:paraId="2AAAA03D" w14:textId="77777777" w:rsidR="00630549" w:rsidRPr="0017107A" w:rsidRDefault="00630549" w:rsidP="0017107A">
            <w:pPr>
              <w:jc w:val="center"/>
              <w:rPr>
                <w:rFonts w:eastAsia="Times New Roman"/>
              </w:rPr>
            </w:pPr>
            <w:r w:rsidRPr="0017107A">
              <w:t>32.7</w:t>
            </w:r>
          </w:p>
        </w:tc>
      </w:tr>
      <w:tr w:rsidR="00630549" w:rsidRPr="0017107A" w14:paraId="602C0A43" w14:textId="77777777" w:rsidTr="004E55EE">
        <w:tc>
          <w:tcPr>
            <w:tcW w:w="2875" w:type="dxa"/>
            <w:vMerge/>
          </w:tcPr>
          <w:p w14:paraId="0C8846AD" w14:textId="77777777" w:rsidR="00630549" w:rsidRPr="0017107A" w:rsidRDefault="00630549" w:rsidP="0014647D">
            <w:pPr>
              <w:jc w:val="both"/>
              <w:rPr>
                <w:rFonts w:eastAsia="Times New Roman"/>
              </w:rPr>
            </w:pPr>
          </w:p>
        </w:tc>
        <w:tc>
          <w:tcPr>
            <w:tcW w:w="3240" w:type="dxa"/>
          </w:tcPr>
          <w:p w14:paraId="630C1FB4" w14:textId="77777777" w:rsidR="00630549" w:rsidRPr="0017107A" w:rsidRDefault="00630549" w:rsidP="0014647D">
            <w:pPr>
              <w:jc w:val="both"/>
              <w:rPr>
                <w:rFonts w:eastAsia="Times New Roman"/>
              </w:rPr>
            </w:pPr>
            <w:r w:rsidRPr="0017107A">
              <w:rPr>
                <w:rFonts w:eastAsia="Times New Roman"/>
              </w:rPr>
              <w:t>Middle age</w:t>
            </w:r>
          </w:p>
        </w:tc>
        <w:tc>
          <w:tcPr>
            <w:tcW w:w="1530" w:type="dxa"/>
          </w:tcPr>
          <w:p w14:paraId="632939D2" w14:textId="77777777" w:rsidR="00630549" w:rsidRPr="0017107A" w:rsidRDefault="00630549" w:rsidP="00133CC6">
            <w:pPr>
              <w:jc w:val="center"/>
              <w:rPr>
                <w:rFonts w:eastAsia="Times New Roman"/>
              </w:rPr>
            </w:pPr>
            <w:r w:rsidRPr="0017107A">
              <w:t>101</w:t>
            </w:r>
          </w:p>
        </w:tc>
        <w:tc>
          <w:tcPr>
            <w:tcW w:w="1705" w:type="dxa"/>
          </w:tcPr>
          <w:p w14:paraId="3F9C09AD" w14:textId="77777777" w:rsidR="00630549" w:rsidRPr="0017107A" w:rsidRDefault="00630549" w:rsidP="00133CC6">
            <w:pPr>
              <w:jc w:val="center"/>
              <w:rPr>
                <w:rFonts w:eastAsia="Times New Roman"/>
              </w:rPr>
            </w:pPr>
            <w:r w:rsidRPr="0017107A">
              <w:t>41.4</w:t>
            </w:r>
          </w:p>
        </w:tc>
      </w:tr>
      <w:tr w:rsidR="00630549" w:rsidRPr="0017107A" w14:paraId="00C10FB9" w14:textId="77777777" w:rsidTr="004E55EE">
        <w:tc>
          <w:tcPr>
            <w:tcW w:w="2875" w:type="dxa"/>
            <w:vMerge/>
          </w:tcPr>
          <w:p w14:paraId="14929312" w14:textId="77777777" w:rsidR="00630549" w:rsidRPr="0017107A" w:rsidRDefault="00630549" w:rsidP="0014647D">
            <w:pPr>
              <w:jc w:val="both"/>
              <w:rPr>
                <w:rFonts w:eastAsia="Times New Roman"/>
              </w:rPr>
            </w:pPr>
          </w:p>
        </w:tc>
        <w:tc>
          <w:tcPr>
            <w:tcW w:w="3240" w:type="dxa"/>
          </w:tcPr>
          <w:p w14:paraId="5620CE23" w14:textId="77777777" w:rsidR="00630549" w:rsidRPr="0017107A" w:rsidRDefault="00630549" w:rsidP="0014647D">
            <w:pPr>
              <w:jc w:val="both"/>
              <w:rPr>
                <w:rFonts w:eastAsia="Times New Roman"/>
              </w:rPr>
            </w:pPr>
            <w:r w:rsidRPr="0017107A">
              <w:rPr>
                <w:rFonts w:eastAsia="Times New Roman"/>
              </w:rPr>
              <w:t xml:space="preserve">Old age </w:t>
            </w:r>
          </w:p>
        </w:tc>
        <w:tc>
          <w:tcPr>
            <w:tcW w:w="1530" w:type="dxa"/>
          </w:tcPr>
          <w:p w14:paraId="4391022F" w14:textId="77777777" w:rsidR="00630549" w:rsidRPr="0017107A" w:rsidRDefault="00630549" w:rsidP="00133CC6">
            <w:pPr>
              <w:jc w:val="center"/>
              <w:rPr>
                <w:rFonts w:eastAsia="Times New Roman"/>
              </w:rPr>
            </w:pPr>
            <w:r w:rsidRPr="0017107A">
              <w:t>63</w:t>
            </w:r>
          </w:p>
        </w:tc>
        <w:tc>
          <w:tcPr>
            <w:tcW w:w="1705" w:type="dxa"/>
          </w:tcPr>
          <w:p w14:paraId="2D0DAD60" w14:textId="77777777" w:rsidR="00630549" w:rsidRPr="0017107A" w:rsidRDefault="00630549" w:rsidP="00133CC6">
            <w:pPr>
              <w:jc w:val="center"/>
              <w:rPr>
                <w:rFonts w:eastAsia="Times New Roman"/>
              </w:rPr>
            </w:pPr>
            <w:r w:rsidRPr="0017107A">
              <w:t>25.8</w:t>
            </w:r>
          </w:p>
        </w:tc>
      </w:tr>
      <w:tr w:rsidR="00630549" w:rsidRPr="0017107A" w14:paraId="14B39931" w14:textId="77777777" w:rsidTr="004E55EE">
        <w:tc>
          <w:tcPr>
            <w:tcW w:w="2875" w:type="dxa"/>
            <w:vMerge w:val="restart"/>
          </w:tcPr>
          <w:p w14:paraId="0984E981" w14:textId="77777777" w:rsidR="00630549" w:rsidRPr="0017107A" w:rsidRDefault="00630549" w:rsidP="0014647D">
            <w:pPr>
              <w:jc w:val="both"/>
              <w:rPr>
                <w:rFonts w:eastAsia="Times New Roman"/>
              </w:rPr>
            </w:pPr>
            <w:r w:rsidRPr="0017107A">
              <w:rPr>
                <w:rFonts w:eastAsia="Times New Roman"/>
              </w:rPr>
              <w:t>Gender</w:t>
            </w:r>
          </w:p>
        </w:tc>
        <w:tc>
          <w:tcPr>
            <w:tcW w:w="3240" w:type="dxa"/>
          </w:tcPr>
          <w:p w14:paraId="4AFE9D4E" w14:textId="77777777" w:rsidR="00630549" w:rsidRPr="0017107A" w:rsidRDefault="00630549" w:rsidP="0014647D">
            <w:pPr>
              <w:jc w:val="both"/>
              <w:rPr>
                <w:rFonts w:eastAsia="Times New Roman"/>
              </w:rPr>
            </w:pPr>
            <w:r w:rsidRPr="0017107A">
              <w:rPr>
                <w:rFonts w:eastAsia="Times New Roman"/>
              </w:rPr>
              <w:t>Male</w:t>
            </w:r>
          </w:p>
        </w:tc>
        <w:tc>
          <w:tcPr>
            <w:tcW w:w="1530" w:type="dxa"/>
          </w:tcPr>
          <w:p w14:paraId="24E59B75" w14:textId="77777777" w:rsidR="00630549" w:rsidRPr="0017107A" w:rsidRDefault="00630549" w:rsidP="00133CC6">
            <w:pPr>
              <w:jc w:val="center"/>
              <w:rPr>
                <w:rFonts w:eastAsia="Times New Roman"/>
              </w:rPr>
            </w:pPr>
            <w:r w:rsidRPr="0017107A">
              <w:t>104</w:t>
            </w:r>
          </w:p>
        </w:tc>
        <w:tc>
          <w:tcPr>
            <w:tcW w:w="1705" w:type="dxa"/>
          </w:tcPr>
          <w:p w14:paraId="178998B2" w14:textId="77777777" w:rsidR="00630549" w:rsidRPr="0017107A" w:rsidRDefault="00630549" w:rsidP="00133CC6">
            <w:pPr>
              <w:jc w:val="center"/>
              <w:rPr>
                <w:rFonts w:eastAsia="Times New Roman"/>
              </w:rPr>
            </w:pPr>
            <w:r w:rsidRPr="0017107A">
              <w:t>42.63</w:t>
            </w:r>
          </w:p>
        </w:tc>
      </w:tr>
      <w:tr w:rsidR="00630549" w:rsidRPr="0017107A" w14:paraId="6D6FA6C3" w14:textId="77777777" w:rsidTr="004E55EE">
        <w:tc>
          <w:tcPr>
            <w:tcW w:w="2875" w:type="dxa"/>
            <w:vMerge/>
          </w:tcPr>
          <w:p w14:paraId="4908ACF0" w14:textId="77777777" w:rsidR="00630549" w:rsidRPr="0017107A" w:rsidRDefault="00630549" w:rsidP="0014647D">
            <w:pPr>
              <w:jc w:val="both"/>
              <w:rPr>
                <w:rFonts w:eastAsia="Times New Roman"/>
              </w:rPr>
            </w:pPr>
          </w:p>
        </w:tc>
        <w:tc>
          <w:tcPr>
            <w:tcW w:w="3240" w:type="dxa"/>
          </w:tcPr>
          <w:p w14:paraId="6CDF5F9B" w14:textId="77777777" w:rsidR="00630549" w:rsidRPr="0017107A" w:rsidRDefault="00630549" w:rsidP="0014647D">
            <w:pPr>
              <w:jc w:val="both"/>
              <w:rPr>
                <w:rFonts w:eastAsia="Times New Roman"/>
              </w:rPr>
            </w:pPr>
            <w:r w:rsidRPr="0017107A">
              <w:rPr>
                <w:rFonts w:eastAsia="Times New Roman"/>
              </w:rPr>
              <w:t xml:space="preserve">Female </w:t>
            </w:r>
          </w:p>
        </w:tc>
        <w:tc>
          <w:tcPr>
            <w:tcW w:w="1530" w:type="dxa"/>
          </w:tcPr>
          <w:p w14:paraId="5063B724" w14:textId="77777777" w:rsidR="00630549" w:rsidRPr="0017107A" w:rsidRDefault="00630549" w:rsidP="00133CC6">
            <w:pPr>
              <w:jc w:val="center"/>
              <w:rPr>
                <w:rFonts w:eastAsia="Times New Roman"/>
              </w:rPr>
            </w:pPr>
            <w:r w:rsidRPr="0017107A">
              <w:t>140</w:t>
            </w:r>
          </w:p>
        </w:tc>
        <w:tc>
          <w:tcPr>
            <w:tcW w:w="1705" w:type="dxa"/>
          </w:tcPr>
          <w:p w14:paraId="1C75C768" w14:textId="77777777" w:rsidR="00630549" w:rsidRPr="0017107A" w:rsidRDefault="00630549" w:rsidP="00133CC6">
            <w:pPr>
              <w:jc w:val="center"/>
              <w:rPr>
                <w:rFonts w:eastAsia="Times New Roman"/>
              </w:rPr>
            </w:pPr>
            <w:r w:rsidRPr="0017107A">
              <w:t>57.37</w:t>
            </w:r>
          </w:p>
        </w:tc>
      </w:tr>
      <w:tr w:rsidR="00630549" w:rsidRPr="0017107A" w14:paraId="71A4D5F5" w14:textId="77777777" w:rsidTr="004E55EE">
        <w:tc>
          <w:tcPr>
            <w:tcW w:w="2875" w:type="dxa"/>
            <w:vMerge w:val="restart"/>
          </w:tcPr>
          <w:p w14:paraId="6F5D79B4" w14:textId="77777777" w:rsidR="00630549" w:rsidRPr="0017107A" w:rsidRDefault="00630549" w:rsidP="0014647D">
            <w:pPr>
              <w:jc w:val="both"/>
              <w:rPr>
                <w:rFonts w:eastAsia="Times New Roman"/>
              </w:rPr>
            </w:pPr>
            <w:r w:rsidRPr="0017107A">
              <w:rPr>
                <w:rFonts w:eastAsia="Times New Roman"/>
              </w:rPr>
              <w:t xml:space="preserve">Educational qualification </w:t>
            </w:r>
          </w:p>
        </w:tc>
        <w:tc>
          <w:tcPr>
            <w:tcW w:w="3240" w:type="dxa"/>
          </w:tcPr>
          <w:p w14:paraId="7012D9C3" w14:textId="77777777" w:rsidR="00630549" w:rsidRPr="0017107A" w:rsidRDefault="00630549" w:rsidP="0014647D">
            <w:pPr>
              <w:jc w:val="both"/>
              <w:rPr>
                <w:rFonts w:eastAsia="Times New Roman"/>
              </w:rPr>
            </w:pPr>
            <w:r w:rsidRPr="0017107A">
              <w:t>Illiterate</w:t>
            </w:r>
          </w:p>
        </w:tc>
        <w:tc>
          <w:tcPr>
            <w:tcW w:w="1530" w:type="dxa"/>
            <w:vAlign w:val="bottom"/>
          </w:tcPr>
          <w:p w14:paraId="1E38F2EC" w14:textId="77777777" w:rsidR="00630549" w:rsidRPr="0017107A" w:rsidRDefault="00630549" w:rsidP="00133CC6">
            <w:pPr>
              <w:jc w:val="center"/>
              <w:rPr>
                <w:rFonts w:eastAsia="Times New Roman"/>
              </w:rPr>
            </w:pPr>
            <w:r w:rsidRPr="0017107A">
              <w:rPr>
                <w:color w:val="000000"/>
              </w:rPr>
              <w:t>3</w:t>
            </w:r>
          </w:p>
        </w:tc>
        <w:tc>
          <w:tcPr>
            <w:tcW w:w="1705" w:type="dxa"/>
          </w:tcPr>
          <w:p w14:paraId="09CBFC90" w14:textId="77777777" w:rsidR="00630549" w:rsidRPr="0017107A" w:rsidRDefault="001B3627" w:rsidP="00133CC6">
            <w:pPr>
              <w:jc w:val="center"/>
              <w:rPr>
                <w:rFonts w:eastAsia="Times New Roman"/>
              </w:rPr>
            </w:pPr>
            <w:r w:rsidRPr="0017107A">
              <w:t>0</w:t>
            </w:r>
            <w:r w:rsidR="00630549" w:rsidRPr="0017107A">
              <w:t>1.2</w:t>
            </w:r>
          </w:p>
        </w:tc>
      </w:tr>
      <w:tr w:rsidR="00630549" w:rsidRPr="0017107A" w14:paraId="12AA4381" w14:textId="77777777" w:rsidTr="004E55EE">
        <w:tc>
          <w:tcPr>
            <w:tcW w:w="2875" w:type="dxa"/>
            <w:vMerge/>
          </w:tcPr>
          <w:p w14:paraId="5BB11A4E" w14:textId="77777777" w:rsidR="00630549" w:rsidRPr="0017107A" w:rsidRDefault="00630549" w:rsidP="0014647D">
            <w:pPr>
              <w:jc w:val="both"/>
              <w:rPr>
                <w:rFonts w:eastAsia="Times New Roman"/>
              </w:rPr>
            </w:pPr>
          </w:p>
        </w:tc>
        <w:tc>
          <w:tcPr>
            <w:tcW w:w="3240" w:type="dxa"/>
          </w:tcPr>
          <w:p w14:paraId="344AF761" w14:textId="77777777" w:rsidR="00630549" w:rsidRPr="0017107A" w:rsidRDefault="00630549" w:rsidP="0014647D">
            <w:pPr>
              <w:jc w:val="both"/>
              <w:rPr>
                <w:rFonts w:eastAsia="Times New Roman"/>
              </w:rPr>
            </w:pPr>
            <w:r w:rsidRPr="0017107A">
              <w:t>Primary school</w:t>
            </w:r>
          </w:p>
        </w:tc>
        <w:tc>
          <w:tcPr>
            <w:tcW w:w="1530" w:type="dxa"/>
            <w:vAlign w:val="bottom"/>
          </w:tcPr>
          <w:p w14:paraId="3B01244C" w14:textId="77777777" w:rsidR="00630549" w:rsidRPr="0017107A" w:rsidRDefault="00630549" w:rsidP="00133CC6">
            <w:pPr>
              <w:jc w:val="center"/>
              <w:rPr>
                <w:rFonts w:eastAsia="Times New Roman"/>
              </w:rPr>
            </w:pPr>
            <w:r w:rsidRPr="0017107A">
              <w:rPr>
                <w:color w:val="000000"/>
              </w:rPr>
              <w:t>25</w:t>
            </w:r>
          </w:p>
        </w:tc>
        <w:tc>
          <w:tcPr>
            <w:tcW w:w="1705" w:type="dxa"/>
          </w:tcPr>
          <w:p w14:paraId="35DA4C34" w14:textId="77777777" w:rsidR="00630549" w:rsidRPr="0017107A" w:rsidRDefault="00630549" w:rsidP="00133CC6">
            <w:pPr>
              <w:jc w:val="center"/>
              <w:rPr>
                <w:rFonts w:eastAsia="Times New Roman"/>
              </w:rPr>
            </w:pPr>
            <w:r w:rsidRPr="0017107A">
              <w:t>10.2</w:t>
            </w:r>
          </w:p>
        </w:tc>
      </w:tr>
      <w:tr w:rsidR="00630549" w:rsidRPr="0017107A" w14:paraId="1D64E1AB" w14:textId="77777777" w:rsidTr="004E55EE">
        <w:tc>
          <w:tcPr>
            <w:tcW w:w="2875" w:type="dxa"/>
            <w:vMerge/>
          </w:tcPr>
          <w:p w14:paraId="28EC72D2" w14:textId="77777777" w:rsidR="00630549" w:rsidRPr="0017107A" w:rsidRDefault="00630549" w:rsidP="0014647D">
            <w:pPr>
              <w:jc w:val="both"/>
              <w:rPr>
                <w:rFonts w:eastAsia="Times New Roman"/>
              </w:rPr>
            </w:pPr>
          </w:p>
        </w:tc>
        <w:tc>
          <w:tcPr>
            <w:tcW w:w="3240" w:type="dxa"/>
          </w:tcPr>
          <w:p w14:paraId="11FDBCA8" w14:textId="77777777" w:rsidR="00630549" w:rsidRPr="0017107A" w:rsidRDefault="00630549" w:rsidP="0014647D">
            <w:pPr>
              <w:jc w:val="both"/>
              <w:rPr>
                <w:rFonts w:eastAsia="Times New Roman"/>
              </w:rPr>
            </w:pPr>
            <w:r w:rsidRPr="0017107A">
              <w:t xml:space="preserve">Middle school </w:t>
            </w:r>
          </w:p>
        </w:tc>
        <w:tc>
          <w:tcPr>
            <w:tcW w:w="1530" w:type="dxa"/>
            <w:vAlign w:val="bottom"/>
          </w:tcPr>
          <w:p w14:paraId="4E3B2EC1" w14:textId="77777777" w:rsidR="00630549" w:rsidRPr="0017107A" w:rsidRDefault="00630549" w:rsidP="00133CC6">
            <w:pPr>
              <w:jc w:val="center"/>
              <w:rPr>
                <w:rFonts w:eastAsia="Times New Roman"/>
              </w:rPr>
            </w:pPr>
            <w:r w:rsidRPr="0017107A">
              <w:rPr>
                <w:color w:val="000000"/>
              </w:rPr>
              <w:t>69</w:t>
            </w:r>
          </w:p>
        </w:tc>
        <w:tc>
          <w:tcPr>
            <w:tcW w:w="1705" w:type="dxa"/>
          </w:tcPr>
          <w:p w14:paraId="4F7D8505" w14:textId="77777777" w:rsidR="00630549" w:rsidRPr="0017107A" w:rsidRDefault="00630549" w:rsidP="00133CC6">
            <w:pPr>
              <w:jc w:val="center"/>
              <w:rPr>
                <w:rFonts w:eastAsia="Times New Roman"/>
              </w:rPr>
            </w:pPr>
            <w:r w:rsidRPr="0017107A">
              <w:t>28.2</w:t>
            </w:r>
          </w:p>
        </w:tc>
      </w:tr>
      <w:tr w:rsidR="00630549" w:rsidRPr="0017107A" w14:paraId="665D35D6" w14:textId="77777777" w:rsidTr="004E55EE">
        <w:tc>
          <w:tcPr>
            <w:tcW w:w="2875" w:type="dxa"/>
            <w:vMerge/>
          </w:tcPr>
          <w:p w14:paraId="42321039" w14:textId="77777777" w:rsidR="00630549" w:rsidRPr="0017107A" w:rsidRDefault="00630549" w:rsidP="0014647D">
            <w:pPr>
              <w:jc w:val="both"/>
              <w:rPr>
                <w:rFonts w:eastAsia="Times New Roman"/>
              </w:rPr>
            </w:pPr>
          </w:p>
        </w:tc>
        <w:tc>
          <w:tcPr>
            <w:tcW w:w="3240" w:type="dxa"/>
          </w:tcPr>
          <w:p w14:paraId="15A52FE7" w14:textId="77777777" w:rsidR="00630549" w:rsidRPr="0017107A" w:rsidRDefault="00630549" w:rsidP="0014647D">
            <w:pPr>
              <w:jc w:val="both"/>
              <w:rPr>
                <w:rFonts w:eastAsia="Times New Roman"/>
              </w:rPr>
            </w:pPr>
            <w:r w:rsidRPr="0017107A">
              <w:t>High school</w:t>
            </w:r>
          </w:p>
        </w:tc>
        <w:tc>
          <w:tcPr>
            <w:tcW w:w="1530" w:type="dxa"/>
            <w:vAlign w:val="bottom"/>
          </w:tcPr>
          <w:p w14:paraId="7D2B788C" w14:textId="77777777" w:rsidR="00630549" w:rsidRPr="0017107A" w:rsidRDefault="00630549" w:rsidP="00133CC6">
            <w:pPr>
              <w:jc w:val="center"/>
              <w:rPr>
                <w:rFonts w:eastAsia="Times New Roman"/>
              </w:rPr>
            </w:pPr>
            <w:r w:rsidRPr="0017107A">
              <w:rPr>
                <w:color w:val="000000"/>
              </w:rPr>
              <w:t>50</w:t>
            </w:r>
          </w:p>
        </w:tc>
        <w:tc>
          <w:tcPr>
            <w:tcW w:w="1705" w:type="dxa"/>
          </w:tcPr>
          <w:p w14:paraId="07BC8594" w14:textId="77777777" w:rsidR="00630549" w:rsidRPr="0017107A" w:rsidRDefault="00630549" w:rsidP="00133CC6">
            <w:pPr>
              <w:jc w:val="center"/>
              <w:rPr>
                <w:rFonts w:eastAsia="Times New Roman"/>
              </w:rPr>
            </w:pPr>
            <w:r w:rsidRPr="0017107A">
              <w:t>20.5</w:t>
            </w:r>
          </w:p>
        </w:tc>
      </w:tr>
      <w:tr w:rsidR="00630549" w:rsidRPr="0017107A" w14:paraId="09D98BEA" w14:textId="77777777" w:rsidTr="004E55EE">
        <w:tc>
          <w:tcPr>
            <w:tcW w:w="2875" w:type="dxa"/>
            <w:vMerge/>
          </w:tcPr>
          <w:p w14:paraId="20E73FFD" w14:textId="77777777" w:rsidR="00630549" w:rsidRPr="0017107A" w:rsidRDefault="00630549" w:rsidP="0014647D">
            <w:pPr>
              <w:jc w:val="both"/>
              <w:rPr>
                <w:rFonts w:eastAsia="Times New Roman"/>
              </w:rPr>
            </w:pPr>
          </w:p>
        </w:tc>
        <w:tc>
          <w:tcPr>
            <w:tcW w:w="3240" w:type="dxa"/>
          </w:tcPr>
          <w:p w14:paraId="628EA04E" w14:textId="77777777" w:rsidR="00630549" w:rsidRPr="0017107A" w:rsidRDefault="00630549" w:rsidP="0014647D">
            <w:pPr>
              <w:jc w:val="both"/>
            </w:pPr>
            <w:r w:rsidRPr="0017107A">
              <w:t>Intermediate</w:t>
            </w:r>
          </w:p>
        </w:tc>
        <w:tc>
          <w:tcPr>
            <w:tcW w:w="1530" w:type="dxa"/>
            <w:vAlign w:val="bottom"/>
          </w:tcPr>
          <w:p w14:paraId="14A8B08C" w14:textId="77777777" w:rsidR="00630549" w:rsidRPr="0017107A" w:rsidRDefault="00630549" w:rsidP="00133CC6">
            <w:pPr>
              <w:jc w:val="center"/>
              <w:rPr>
                <w:rFonts w:eastAsia="Times New Roman"/>
              </w:rPr>
            </w:pPr>
            <w:r w:rsidRPr="0017107A">
              <w:rPr>
                <w:color w:val="000000"/>
              </w:rPr>
              <w:t>51</w:t>
            </w:r>
          </w:p>
        </w:tc>
        <w:tc>
          <w:tcPr>
            <w:tcW w:w="1705" w:type="dxa"/>
          </w:tcPr>
          <w:p w14:paraId="2689A707" w14:textId="77777777" w:rsidR="00630549" w:rsidRPr="0017107A" w:rsidRDefault="00630549" w:rsidP="00133CC6">
            <w:pPr>
              <w:jc w:val="center"/>
              <w:rPr>
                <w:rFonts w:eastAsia="Times New Roman"/>
              </w:rPr>
            </w:pPr>
            <w:r w:rsidRPr="0017107A">
              <w:t>20.9</w:t>
            </w:r>
          </w:p>
        </w:tc>
      </w:tr>
      <w:tr w:rsidR="00630549" w:rsidRPr="0017107A" w14:paraId="4FFE70B6" w14:textId="77777777" w:rsidTr="004E55EE">
        <w:tc>
          <w:tcPr>
            <w:tcW w:w="2875" w:type="dxa"/>
            <w:vMerge/>
          </w:tcPr>
          <w:p w14:paraId="79D957B6" w14:textId="77777777" w:rsidR="00630549" w:rsidRPr="0017107A" w:rsidRDefault="00630549" w:rsidP="0014647D">
            <w:pPr>
              <w:jc w:val="both"/>
              <w:rPr>
                <w:rFonts w:eastAsia="Times New Roman"/>
              </w:rPr>
            </w:pPr>
          </w:p>
        </w:tc>
        <w:tc>
          <w:tcPr>
            <w:tcW w:w="3240" w:type="dxa"/>
          </w:tcPr>
          <w:p w14:paraId="2206DACE" w14:textId="77777777" w:rsidR="00630549" w:rsidRPr="0017107A" w:rsidRDefault="00630549" w:rsidP="0014647D">
            <w:pPr>
              <w:jc w:val="both"/>
            </w:pPr>
            <w:r w:rsidRPr="0017107A">
              <w:t>Graduate</w:t>
            </w:r>
          </w:p>
        </w:tc>
        <w:tc>
          <w:tcPr>
            <w:tcW w:w="1530" w:type="dxa"/>
            <w:vAlign w:val="bottom"/>
          </w:tcPr>
          <w:p w14:paraId="7C04C3B5" w14:textId="77777777" w:rsidR="00630549" w:rsidRPr="0017107A" w:rsidRDefault="00630549" w:rsidP="00133CC6">
            <w:pPr>
              <w:jc w:val="center"/>
              <w:rPr>
                <w:rFonts w:eastAsia="Times New Roman"/>
              </w:rPr>
            </w:pPr>
            <w:r w:rsidRPr="0017107A">
              <w:rPr>
                <w:color w:val="000000"/>
              </w:rPr>
              <w:t>34</w:t>
            </w:r>
          </w:p>
        </w:tc>
        <w:tc>
          <w:tcPr>
            <w:tcW w:w="1705" w:type="dxa"/>
          </w:tcPr>
          <w:p w14:paraId="5DD503C4" w14:textId="77777777" w:rsidR="00630549" w:rsidRPr="0017107A" w:rsidRDefault="00630549" w:rsidP="00133CC6">
            <w:pPr>
              <w:jc w:val="center"/>
              <w:rPr>
                <w:rFonts w:eastAsia="Times New Roman"/>
              </w:rPr>
            </w:pPr>
            <w:r w:rsidRPr="0017107A">
              <w:t>13.9</w:t>
            </w:r>
          </w:p>
        </w:tc>
      </w:tr>
      <w:tr w:rsidR="00630549" w:rsidRPr="0017107A" w14:paraId="1D7E804A" w14:textId="77777777" w:rsidTr="004E55EE">
        <w:tc>
          <w:tcPr>
            <w:tcW w:w="2875" w:type="dxa"/>
            <w:vMerge/>
          </w:tcPr>
          <w:p w14:paraId="6F36CF48" w14:textId="77777777" w:rsidR="00630549" w:rsidRPr="0017107A" w:rsidRDefault="00630549" w:rsidP="0014647D">
            <w:pPr>
              <w:jc w:val="both"/>
              <w:rPr>
                <w:rFonts w:eastAsia="Times New Roman"/>
              </w:rPr>
            </w:pPr>
          </w:p>
        </w:tc>
        <w:tc>
          <w:tcPr>
            <w:tcW w:w="3240" w:type="dxa"/>
          </w:tcPr>
          <w:p w14:paraId="24BADCD7" w14:textId="77777777" w:rsidR="00630549" w:rsidRPr="0017107A" w:rsidRDefault="00630549" w:rsidP="0014647D">
            <w:pPr>
              <w:jc w:val="both"/>
            </w:pPr>
            <w:r w:rsidRPr="0017107A">
              <w:t>Post graduate</w:t>
            </w:r>
          </w:p>
        </w:tc>
        <w:tc>
          <w:tcPr>
            <w:tcW w:w="1530" w:type="dxa"/>
            <w:vAlign w:val="bottom"/>
          </w:tcPr>
          <w:p w14:paraId="2FB6FC4C" w14:textId="77777777" w:rsidR="00630549" w:rsidRPr="0017107A" w:rsidRDefault="00630549" w:rsidP="00133CC6">
            <w:pPr>
              <w:jc w:val="center"/>
              <w:rPr>
                <w:rFonts w:eastAsia="Times New Roman"/>
              </w:rPr>
            </w:pPr>
            <w:r w:rsidRPr="0017107A">
              <w:rPr>
                <w:color w:val="000000"/>
              </w:rPr>
              <w:t>12</w:t>
            </w:r>
          </w:p>
        </w:tc>
        <w:tc>
          <w:tcPr>
            <w:tcW w:w="1705" w:type="dxa"/>
          </w:tcPr>
          <w:p w14:paraId="19F9C16F" w14:textId="77777777" w:rsidR="00630549" w:rsidRPr="0017107A" w:rsidRDefault="001B3627" w:rsidP="00133CC6">
            <w:pPr>
              <w:jc w:val="center"/>
              <w:rPr>
                <w:rFonts w:eastAsia="Times New Roman"/>
              </w:rPr>
            </w:pPr>
            <w:r w:rsidRPr="0017107A">
              <w:t>0</w:t>
            </w:r>
            <w:r w:rsidR="00630549" w:rsidRPr="0017107A">
              <w:t>4.9</w:t>
            </w:r>
          </w:p>
        </w:tc>
      </w:tr>
      <w:tr w:rsidR="00630549" w:rsidRPr="0017107A" w14:paraId="558AEA11" w14:textId="77777777" w:rsidTr="004E55EE">
        <w:tc>
          <w:tcPr>
            <w:tcW w:w="2875" w:type="dxa"/>
            <w:vMerge w:val="restart"/>
          </w:tcPr>
          <w:p w14:paraId="190C5CDE" w14:textId="77777777" w:rsidR="00630549" w:rsidRPr="0017107A" w:rsidRDefault="00630549" w:rsidP="0014647D">
            <w:pPr>
              <w:jc w:val="both"/>
              <w:rPr>
                <w:rFonts w:eastAsia="Times New Roman"/>
              </w:rPr>
            </w:pPr>
          </w:p>
          <w:p w14:paraId="0A537D27" w14:textId="77777777" w:rsidR="00630549" w:rsidRPr="0017107A" w:rsidRDefault="00630549" w:rsidP="0014647D">
            <w:pPr>
              <w:jc w:val="both"/>
              <w:rPr>
                <w:rFonts w:eastAsia="Times New Roman"/>
              </w:rPr>
            </w:pPr>
            <w:r w:rsidRPr="0017107A">
              <w:rPr>
                <w:rFonts w:eastAsia="Times New Roman"/>
              </w:rPr>
              <w:t xml:space="preserve">Family type </w:t>
            </w:r>
          </w:p>
        </w:tc>
        <w:tc>
          <w:tcPr>
            <w:tcW w:w="3240" w:type="dxa"/>
          </w:tcPr>
          <w:p w14:paraId="3FF5061A" w14:textId="77777777" w:rsidR="00630549" w:rsidRPr="0017107A" w:rsidRDefault="00630549" w:rsidP="0014647D">
            <w:pPr>
              <w:jc w:val="both"/>
            </w:pPr>
            <w:r w:rsidRPr="0017107A">
              <w:t>Nuclear</w:t>
            </w:r>
          </w:p>
        </w:tc>
        <w:tc>
          <w:tcPr>
            <w:tcW w:w="1530" w:type="dxa"/>
            <w:vAlign w:val="bottom"/>
          </w:tcPr>
          <w:p w14:paraId="35F7F17B" w14:textId="77777777" w:rsidR="00630549" w:rsidRPr="0017107A" w:rsidRDefault="00630549" w:rsidP="00133CC6">
            <w:pPr>
              <w:jc w:val="center"/>
              <w:rPr>
                <w:rFonts w:eastAsia="Times New Roman"/>
              </w:rPr>
            </w:pPr>
            <w:r w:rsidRPr="0017107A">
              <w:rPr>
                <w:color w:val="000000"/>
              </w:rPr>
              <w:t>162</w:t>
            </w:r>
          </w:p>
        </w:tc>
        <w:tc>
          <w:tcPr>
            <w:tcW w:w="1705" w:type="dxa"/>
          </w:tcPr>
          <w:p w14:paraId="03F7D3F4" w14:textId="77777777" w:rsidR="00630549" w:rsidRPr="0017107A" w:rsidRDefault="00630549" w:rsidP="00133CC6">
            <w:pPr>
              <w:jc w:val="center"/>
              <w:rPr>
                <w:rFonts w:eastAsia="Times New Roman"/>
              </w:rPr>
            </w:pPr>
            <w:r w:rsidRPr="0017107A">
              <w:t>66.3</w:t>
            </w:r>
          </w:p>
        </w:tc>
      </w:tr>
      <w:tr w:rsidR="00630549" w:rsidRPr="0017107A" w14:paraId="0A6DFF17" w14:textId="77777777" w:rsidTr="004E55EE">
        <w:tc>
          <w:tcPr>
            <w:tcW w:w="2875" w:type="dxa"/>
            <w:vMerge/>
          </w:tcPr>
          <w:p w14:paraId="4D427161" w14:textId="77777777" w:rsidR="00630549" w:rsidRPr="0017107A" w:rsidRDefault="00630549" w:rsidP="0014647D">
            <w:pPr>
              <w:jc w:val="both"/>
              <w:rPr>
                <w:rFonts w:eastAsia="Times New Roman"/>
              </w:rPr>
            </w:pPr>
          </w:p>
        </w:tc>
        <w:tc>
          <w:tcPr>
            <w:tcW w:w="3240" w:type="dxa"/>
          </w:tcPr>
          <w:p w14:paraId="090482F7" w14:textId="77777777" w:rsidR="00630549" w:rsidRPr="0017107A" w:rsidRDefault="00630549" w:rsidP="0014647D">
            <w:pPr>
              <w:jc w:val="both"/>
            </w:pPr>
            <w:r w:rsidRPr="0017107A">
              <w:t>Joint</w:t>
            </w:r>
          </w:p>
        </w:tc>
        <w:tc>
          <w:tcPr>
            <w:tcW w:w="1530" w:type="dxa"/>
            <w:vAlign w:val="bottom"/>
          </w:tcPr>
          <w:p w14:paraId="0D20E05A" w14:textId="77777777" w:rsidR="00630549" w:rsidRPr="0017107A" w:rsidRDefault="00630549" w:rsidP="00133CC6">
            <w:pPr>
              <w:jc w:val="center"/>
              <w:rPr>
                <w:rFonts w:eastAsia="Times New Roman"/>
              </w:rPr>
            </w:pPr>
            <w:r w:rsidRPr="0017107A">
              <w:rPr>
                <w:color w:val="000000"/>
              </w:rPr>
              <w:t>82</w:t>
            </w:r>
          </w:p>
        </w:tc>
        <w:tc>
          <w:tcPr>
            <w:tcW w:w="1705" w:type="dxa"/>
          </w:tcPr>
          <w:p w14:paraId="414B8D06" w14:textId="77777777" w:rsidR="00630549" w:rsidRPr="0017107A" w:rsidRDefault="00630549" w:rsidP="00133CC6">
            <w:pPr>
              <w:jc w:val="center"/>
              <w:rPr>
                <w:rFonts w:eastAsia="Times New Roman"/>
              </w:rPr>
            </w:pPr>
            <w:r w:rsidRPr="0017107A">
              <w:t>33.6</w:t>
            </w:r>
          </w:p>
        </w:tc>
      </w:tr>
      <w:tr w:rsidR="00E5149E" w:rsidRPr="0017107A" w14:paraId="36CF3600" w14:textId="77777777" w:rsidTr="004E55EE">
        <w:tc>
          <w:tcPr>
            <w:tcW w:w="2875" w:type="dxa"/>
            <w:vMerge w:val="restart"/>
          </w:tcPr>
          <w:p w14:paraId="38DFDC03" w14:textId="77777777" w:rsidR="00E5149E" w:rsidRPr="0017107A" w:rsidRDefault="00B9644C" w:rsidP="0014647D">
            <w:pPr>
              <w:jc w:val="both"/>
              <w:rPr>
                <w:rFonts w:eastAsia="Times New Roman"/>
              </w:rPr>
            </w:pPr>
            <w:r w:rsidRPr="0017107A">
              <w:rPr>
                <w:rFonts w:eastAsia="Times New Roman"/>
              </w:rPr>
              <w:t>Monthly Income</w:t>
            </w:r>
          </w:p>
        </w:tc>
        <w:tc>
          <w:tcPr>
            <w:tcW w:w="3240" w:type="dxa"/>
          </w:tcPr>
          <w:p w14:paraId="7F0843F1" w14:textId="77777777" w:rsidR="00E5149E" w:rsidRPr="0017107A" w:rsidRDefault="007E334B" w:rsidP="0014647D">
            <w:pPr>
              <w:jc w:val="both"/>
            </w:pPr>
            <w:r w:rsidRPr="0017107A">
              <w:t>Low (</w:t>
            </w:r>
            <w:r w:rsidR="00CA316E" w:rsidRPr="0017107A">
              <w:t>&lt;</w:t>
            </w:r>
            <w:r w:rsidRPr="0017107A">
              <w:t xml:space="preserve">Rs. </w:t>
            </w:r>
            <w:r w:rsidR="00CA316E" w:rsidRPr="0017107A">
              <w:t>21,543)</w:t>
            </w:r>
          </w:p>
        </w:tc>
        <w:tc>
          <w:tcPr>
            <w:tcW w:w="1530" w:type="dxa"/>
          </w:tcPr>
          <w:p w14:paraId="7B23611E" w14:textId="77777777" w:rsidR="00E5149E" w:rsidRPr="0017107A" w:rsidRDefault="00E5149E" w:rsidP="00133CC6">
            <w:pPr>
              <w:jc w:val="center"/>
              <w:rPr>
                <w:rFonts w:eastAsia="Times New Roman"/>
              </w:rPr>
            </w:pPr>
            <w:r w:rsidRPr="0017107A">
              <w:t>97</w:t>
            </w:r>
          </w:p>
        </w:tc>
        <w:tc>
          <w:tcPr>
            <w:tcW w:w="1705" w:type="dxa"/>
          </w:tcPr>
          <w:p w14:paraId="1751C3BF" w14:textId="77777777" w:rsidR="00E5149E" w:rsidRPr="0017107A" w:rsidRDefault="00E5149E" w:rsidP="00133CC6">
            <w:pPr>
              <w:jc w:val="center"/>
              <w:rPr>
                <w:rFonts w:eastAsia="Times New Roman"/>
              </w:rPr>
            </w:pPr>
            <w:r w:rsidRPr="0017107A">
              <w:t>39.75</w:t>
            </w:r>
          </w:p>
        </w:tc>
      </w:tr>
      <w:tr w:rsidR="00E5149E" w:rsidRPr="0017107A" w14:paraId="1FD05973" w14:textId="77777777" w:rsidTr="004E55EE">
        <w:tc>
          <w:tcPr>
            <w:tcW w:w="2875" w:type="dxa"/>
            <w:vMerge/>
          </w:tcPr>
          <w:p w14:paraId="46578002" w14:textId="77777777" w:rsidR="00E5149E" w:rsidRPr="0017107A" w:rsidRDefault="00E5149E" w:rsidP="0014647D">
            <w:pPr>
              <w:jc w:val="both"/>
              <w:rPr>
                <w:rFonts w:eastAsia="Times New Roman"/>
              </w:rPr>
            </w:pPr>
          </w:p>
        </w:tc>
        <w:tc>
          <w:tcPr>
            <w:tcW w:w="3240" w:type="dxa"/>
          </w:tcPr>
          <w:p w14:paraId="25D696AF" w14:textId="77777777" w:rsidR="00E5149E" w:rsidRPr="0017107A" w:rsidRDefault="00E5149E" w:rsidP="0014647D">
            <w:pPr>
              <w:jc w:val="both"/>
            </w:pPr>
            <w:r w:rsidRPr="0017107A">
              <w:t xml:space="preserve">Medium </w:t>
            </w:r>
            <w:r w:rsidR="003E58A5" w:rsidRPr="0017107A">
              <w:t>(</w:t>
            </w:r>
            <w:r w:rsidR="007E334B" w:rsidRPr="0017107A">
              <w:t xml:space="preserve">Rs. </w:t>
            </w:r>
            <w:r w:rsidR="003E58A5" w:rsidRPr="0017107A">
              <w:t>21,543 to 38,179)</w:t>
            </w:r>
          </w:p>
        </w:tc>
        <w:tc>
          <w:tcPr>
            <w:tcW w:w="1530" w:type="dxa"/>
          </w:tcPr>
          <w:p w14:paraId="345F75C4" w14:textId="77777777" w:rsidR="00E5149E" w:rsidRPr="0017107A" w:rsidRDefault="00E5149E" w:rsidP="00133CC6">
            <w:pPr>
              <w:jc w:val="center"/>
              <w:rPr>
                <w:rFonts w:eastAsia="Times New Roman"/>
              </w:rPr>
            </w:pPr>
            <w:r w:rsidRPr="0017107A">
              <w:t>86</w:t>
            </w:r>
          </w:p>
        </w:tc>
        <w:tc>
          <w:tcPr>
            <w:tcW w:w="1705" w:type="dxa"/>
          </w:tcPr>
          <w:p w14:paraId="4D35B0E7" w14:textId="77777777" w:rsidR="00E5149E" w:rsidRPr="0017107A" w:rsidRDefault="00E5149E" w:rsidP="00133CC6">
            <w:pPr>
              <w:jc w:val="center"/>
              <w:rPr>
                <w:rFonts w:eastAsia="Times New Roman"/>
              </w:rPr>
            </w:pPr>
            <w:r w:rsidRPr="0017107A">
              <w:t>35.21</w:t>
            </w:r>
          </w:p>
        </w:tc>
      </w:tr>
      <w:tr w:rsidR="00E5149E" w:rsidRPr="0017107A" w14:paraId="210E907A" w14:textId="77777777" w:rsidTr="004E55EE">
        <w:tc>
          <w:tcPr>
            <w:tcW w:w="2875" w:type="dxa"/>
            <w:vMerge/>
          </w:tcPr>
          <w:p w14:paraId="170447DA" w14:textId="77777777" w:rsidR="00E5149E" w:rsidRPr="0017107A" w:rsidRDefault="00E5149E" w:rsidP="0014647D">
            <w:pPr>
              <w:jc w:val="both"/>
              <w:rPr>
                <w:rFonts w:eastAsia="Times New Roman"/>
              </w:rPr>
            </w:pPr>
          </w:p>
        </w:tc>
        <w:tc>
          <w:tcPr>
            <w:tcW w:w="3240" w:type="dxa"/>
          </w:tcPr>
          <w:p w14:paraId="1A453D15" w14:textId="77777777" w:rsidR="00E5149E" w:rsidRPr="0017107A" w:rsidRDefault="00E5149E" w:rsidP="0014647D">
            <w:pPr>
              <w:jc w:val="both"/>
            </w:pPr>
            <w:r w:rsidRPr="0017107A">
              <w:t xml:space="preserve">High </w:t>
            </w:r>
            <w:r w:rsidR="003E58A5" w:rsidRPr="0017107A">
              <w:t>(&gt;</w:t>
            </w:r>
            <w:r w:rsidR="007E334B" w:rsidRPr="0017107A">
              <w:t xml:space="preserve"> Rs. </w:t>
            </w:r>
            <w:r w:rsidR="003E58A5" w:rsidRPr="0017107A">
              <w:t>38,179)</w:t>
            </w:r>
          </w:p>
        </w:tc>
        <w:tc>
          <w:tcPr>
            <w:tcW w:w="1530" w:type="dxa"/>
          </w:tcPr>
          <w:p w14:paraId="6D44FBA9" w14:textId="77777777" w:rsidR="00E5149E" w:rsidRPr="0017107A" w:rsidRDefault="00E5149E" w:rsidP="00133CC6">
            <w:pPr>
              <w:jc w:val="center"/>
              <w:rPr>
                <w:rFonts w:eastAsia="Times New Roman"/>
              </w:rPr>
            </w:pPr>
            <w:r w:rsidRPr="0017107A">
              <w:t>61</w:t>
            </w:r>
          </w:p>
        </w:tc>
        <w:tc>
          <w:tcPr>
            <w:tcW w:w="1705" w:type="dxa"/>
          </w:tcPr>
          <w:p w14:paraId="0A77629B" w14:textId="77777777" w:rsidR="00E5149E" w:rsidRPr="0017107A" w:rsidRDefault="00E5149E" w:rsidP="00133CC6">
            <w:pPr>
              <w:jc w:val="center"/>
              <w:rPr>
                <w:rFonts w:eastAsia="Times New Roman"/>
              </w:rPr>
            </w:pPr>
            <w:r w:rsidRPr="0017107A">
              <w:t>25</w:t>
            </w:r>
            <w:r w:rsidR="001B3627" w:rsidRPr="0017107A">
              <w:t>.00</w:t>
            </w:r>
          </w:p>
        </w:tc>
      </w:tr>
      <w:tr w:rsidR="00F67E71" w:rsidRPr="0017107A" w14:paraId="457B973C" w14:textId="77777777" w:rsidTr="004E55EE">
        <w:tc>
          <w:tcPr>
            <w:tcW w:w="2875" w:type="dxa"/>
            <w:vMerge w:val="restart"/>
          </w:tcPr>
          <w:p w14:paraId="46C96CB1" w14:textId="77777777" w:rsidR="00F67E71" w:rsidRPr="0017107A" w:rsidRDefault="00F67E71" w:rsidP="0014647D">
            <w:pPr>
              <w:jc w:val="both"/>
              <w:rPr>
                <w:rFonts w:eastAsia="Times New Roman"/>
              </w:rPr>
            </w:pPr>
            <w:r w:rsidRPr="0017107A">
              <w:rPr>
                <w:rFonts w:eastAsia="Times New Roman"/>
              </w:rPr>
              <w:t>Cropping Intensity</w:t>
            </w:r>
          </w:p>
        </w:tc>
        <w:tc>
          <w:tcPr>
            <w:tcW w:w="3240" w:type="dxa"/>
          </w:tcPr>
          <w:p w14:paraId="385B8A02" w14:textId="77777777" w:rsidR="00F67E71" w:rsidRPr="0017107A" w:rsidRDefault="007E334B" w:rsidP="0014647D">
            <w:pPr>
              <w:jc w:val="both"/>
            </w:pPr>
            <w:r w:rsidRPr="0017107A">
              <w:t>Low (</w:t>
            </w:r>
            <w:r w:rsidR="004E55EE" w:rsidRPr="0017107A">
              <w:t>less 123%)</w:t>
            </w:r>
          </w:p>
        </w:tc>
        <w:tc>
          <w:tcPr>
            <w:tcW w:w="1530" w:type="dxa"/>
          </w:tcPr>
          <w:p w14:paraId="2ACA420C" w14:textId="77777777" w:rsidR="00F67E71" w:rsidRPr="0017107A" w:rsidRDefault="00F67E71" w:rsidP="00133CC6">
            <w:pPr>
              <w:jc w:val="center"/>
              <w:rPr>
                <w:rFonts w:eastAsia="Times New Roman"/>
              </w:rPr>
            </w:pPr>
            <w:r w:rsidRPr="0017107A">
              <w:t>98</w:t>
            </w:r>
          </w:p>
        </w:tc>
        <w:tc>
          <w:tcPr>
            <w:tcW w:w="1705" w:type="dxa"/>
          </w:tcPr>
          <w:p w14:paraId="2C549F9A" w14:textId="77777777" w:rsidR="00F67E71" w:rsidRPr="0017107A" w:rsidRDefault="00F67E71" w:rsidP="00133CC6">
            <w:pPr>
              <w:jc w:val="center"/>
              <w:rPr>
                <w:rFonts w:eastAsia="Times New Roman"/>
              </w:rPr>
            </w:pPr>
            <w:r w:rsidRPr="0017107A">
              <w:t>40.16</w:t>
            </w:r>
          </w:p>
        </w:tc>
      </w:tr>
      <w:tr w:rsidR="00F67E71" w:rsidRPr="0017107A" w14:paraId="48191BFD" w14:textId="77777777" w:rsidTr="004E55EE">
        <w:tc>
          <w:tcPr>
            <w:tcW w:w="2875" w:type="dxa"/>
            <w:vMerge/>
          </w:tcPr>
          <w:p w14:paraId="3165ACCB" w14:textId="77777777" w:rsidR="00F67E71" w:rsidRPr="0017107A" w:rsidRDefault="00F67E71" w:rsidP="0014647D">
            <w:pPr>
              <w:jc w:val="both"/>
              <w:rPr>
                <w:rFonts w:eastAsia="Times New Roman"/>
              </w:rPr>
            </w:pPr>
          </w:p>
        </w:tc>
        <w:tc>
          <w:tcPr>
            <w:tcW w:w="3240" w:type="dxa"/>
          </w:tcPr>
          <w:p w14:paraId="24A2B2FA" w14:textId="77777777" w:rsidR="00F67E71" w:rsidRPr="0017107A" w:rsidRDefault="00F67E71" w:rsidP="0014647D">
            <w:pPr>
              <w:jc w:val="both"/>
            </w:pPr>
            <w:r w:rsidRPr="0017107A">
              <w:t xml:space="preserve">Medium </w:t>
            </w:r>
            <w:r w:rsidR="004E55EE" w:rsidRPr="0017107A">
              <w:t>(123 to 153%)</w:t>
            </w:r>
          </w:p>
        </w:tc>
        <w:tc>
          <w:tcPr>
            <w:tcW w:w="1530" w:type="dxa"/>
          </w:tcPr>
          <w:p w14:paraId="10B8E263" w14:textId="77777777" w:rsidR="00F67E71" w:rsidRPr="0017107A" w:rsidRDefault="00F67E71" w:rsidP="00133CC6">
            <w:pPr>
              <w:jc w:val="center"/>
              <w:rPr>
                <w:rFonts w:eastAsia="Times New Roman"/>
              </w:rPr>
            </w:pPr>
            <w:r w:rsidRPr="0017107A">
              <w:t>118</w:t>
            </w:r>
          </w:p>
        </w:tc>
        <w:tc>
          <w:tcPr>
            <w:tcW w:w="1705" w:type="dxa"/>
          </w:tcPr>
          <w:p w14:paraId="1FD1A0F8" w14:textId="77777777" w:rsidR="00F67E71" w:rsidRPr="0017107A" w:rsidRDefault="00F67E71" w:rsidP="00133CC6">
            <w:pPr>
              <w:jc w:val="center"/>
              <w:rPr>
                <w:rFonts w:eastAsia="Times New Roman"/>
              </w:rPr>
            </w:pPr>
            <w:r w:rsidRPr="0017107A">
              <w:t>48.36</w:t>
            </w:r>
          </w:p>
        </w:tc>
      </w:tr>
      <w:tr w:rsidR="00F67E71" w:rsidRPr="0017107A" w14:paraId="3420092F" w14:textId="77777777" w:rsidTr="004E55EE">
        <w:tc>
          <w:tcPr>
            <w:tcW w:w="2875" w:type="dxa"/>
            <w:vMerge/>
          </w:tcPr>
          <w:p w14:paraId="0653A735" w14:textId="77777777" w:rsidR="00F67E71" w:rsidRPr="0017107A" w:rsidRDefault="00F67E71" w:rsidP="0014647D">
            <w:pPr>
              <w:jc w:val="both"/>
              <w:rPr>
                <w:rFonts w:eastAsia="Times New Roman"/>
              </w:rPr>
            </w:pPr>
          </w:p>
        </w:tc>
        <w:tc>
          <w:tcPr>
            <w:tcW w:w="3240" w:type="dxa"/>
          </w:tcPr>
          <w:p w14:paraId="52425E1D" w14:textId="77777777" w:rsidR="00F67E71" w:rsidRPr="0017107A" w:rsidRDefault="00F67E71" w:rsidP="0014647D">
            <w:pPr>
              <w:jc w:val="both"/>
            </w:pPr>
            <w:r w:rsidRPr="0017107A">
              <w:t xml:space="preserve">High </w:t>
            </w:r>
            <w:r w:rsidR="004E55EE" w:rsidRPr="0017107A">
              <w:t>(above 153%)</w:t>
            </w:r>
          </w:p>
        </w:tc>
        <w:tc>
          <w:tcPr>
            <w:tcW w:w="1530" w:type="dxa"/>
          </w:tcPr>
          <w:p w14:paraId="572171C6" w14:textId="77777777" w:rsidR="00F67E71" w:rsidRPr="0017107A" w:rsidRDefault="00F67E71" w:rsidP="00133CC6">
            <w:pPr>
              <w:jc w:val="center"/>
              <w:rPr>
                <w:rFonts w:eastAsia="Times New Roman"/>
              </w:rPr>
            </w:pPr>
            <w:r w:rsidRPr="0017107A">
              <w:t>28</w:t>
            </w:r>
          </w:p>
        </w:tc>
        <w:tc>
          <w:tcPr>
            <w:tcW w:w="1705" w:type="dxa"/>
          </w:tcPr>
          <w:p w14:paraId="3916A0B5" w14:textId="77777777" w:rsidR="00F67E71" w:rsidRPr="0017107A" w:rsidRDefault="00F67E71" w:rsidP="00133CC6">
            <w:pPr>
              <w:jc w:val="center"/>
              <w:rPr>
                <w:rFonts w:eastAsia="Times New Roman"/>
              </w:rPr>
            </w:pPr>
            <w:r w:rsidRPr="0017107A">
              <w:t>11.47</w:t>
            </w:r>
          </w:p>
        </w:tc>
      </w:tr>
      <w:tr w:rsidR="00F67E71" w:rsidRPr="0017107A" w14:paraId="3FB40A37" w14:textId="77777777" w:rsidTr="004E55EE">
        <w:tc>
          <w:tcPr>
            <w:tcW w:w="2875" w:type="dxa"/>
            <w:vMerge w:val="restart"/>
          </w:tcPr>
          <w:p w14:paraId="4C0D2A36" w14:textId="77777777" w:rsidR="00F67E71" w:rsidRPr="0017107A" w:rsidRDefault="00F67E71" w:rsidP="0014647D">
            <w:pPr>
              <w:jc w:val="both"/>
              <w:rPr>
                <w:rFonts w:eastAsia="Times New Roman"/>
              </w:rPr>
            </w:pPr>
            <w:r w:rsidRPr="0017107A">
              <w:rPr>
                <w:rFonts w:eastAsia="Times New Roman"/>
              </w:rPr>
              <w:t xml:space="preserve">Cultivable land </w:t>
            </w:r>
          </w:p>
        </w:tc>
        <w:tc>
          <w:tcPr>
            <w:tcW w:w="3240" w:type="dxa"/>
          </w:tcPr>
          <w:p w14:paraId="3019472A" w14:textId="77777777" w:rsidR="00F67E71" w:rsidRPr="0017107A" w:rsidRDefault="00F67E71" w:rsidP="0014647D">
            <w:pPr>
              <w:jc w:val="both"/>
            </w:pPr>
            <w:r w:rsidRPr="0017107A">
              <w:t xml:space="preserve">Low </w:t>
            </w:r>
            <w:r w:rsidR="007E334B" w:rsidRPr="0017107A">
              <w:t>(Less</w:t>
            </w:r>
            <w:r w:rsidR="004E55EE" w:rsidRPr="0017107A">
              <w:t xml:space="preserve"> than 20 </w:t>
            </w:r>
            <w:proofErr w:type="spellStart"/>
            <w:r w:rsidR="004E55EE" w:rsidRPr="0017107A">
              <w:t>nali</w:t>
            </w:r>
            <w:proofErr w:type="spellEnd"/>
            <w:r w:rsidR="004E55EE" w:rsidRPr="0017107A">
              <w:t>)</w:t>
            </w:r>
          </w:p>
        </w:tc>
        <w:tc>
          <w:tcPr>
            <w:tcW w:w="1530" w:type="dxa"/>
          </w:tcPr>
          <w:p w14:paraId="54CBDF29" w14:textId="77777777" w:rsidR="00F67E71" w:rsidRPr="0017107A" w:rsidRDefault="00F67E71" w:rsidP="00133CC6">
            <w:pPr>
              <w:jc w:val="center"/>
              <w:rPr>
                <w:rFonts w:eastAsia="Times New Roman"/>
              </w:rPr>
            </w:pPr>
            <w:r w:rsidRPr="0017107A">
              <w:t>157</w:t>
            </w:r>
          </w:p>
        </w:tc>
        <w:tc>
          <w:tcPr>
            <w:tcW w:w="1705" w:type="dxa"/>
          </w:tcPr>
          <w:p w14:paraId="2C3D1DFC" w14:textId="77777777" w:rsidR="00F67E71" w:rsidRPr="0017107A" w:rsidRDefault="00F67E71" w:rsidP="00133CC6">
            <w:pPr>
              <w:jc w:val="center"/>
              <w:rPr>
                <w:rFonts w:eastAsia="Times New Roman"/>
              </w:rPr>
            </w:pPr>
            <w:r w:rsidRPr="0017107A">
              <w:t>64.34</w:t>
            </w:r>
          </w:p>
        </w:tc>
      </w:tr>
      <w:tr w:rsidR="00F67E71" w:rsidRPr="0017107A" w14:paraId="75B53798" w14:textId="77777777" w:rsidTr="004E55EE">
        <w:tc>
          <w:tcPr>
            <w:tcW w:w="2875" w:type="dxa"/>
            <w:vMerge/>
          </w:tcPr>
          <w:p w14:paraId="78F8A643" w14:textId="77777777" w:rsidR="00F67E71" w:rsidRPr="0017107A" w:rsidRDefault="00F67E71" w:rsidP="0014647D">
            <w:pPr>
              <w:jc w:val="both"/>
              <w:rPr>
                <w:rFonts w:eastAsia="Times New Roman"/>
              </w:rPr>
            </w:pPr>
          </w:p>
        </w:tc>
        <w:tc>
          <w:tcPr>
            <w:tcW w:w="3240" w:type="dxa"/>
          </w:tcPr>
          <w:p w14:paraId="760F40B6" w14:textId="77777777" w:rsidR="00F67E71" w:rsidRPr="0017107A" w:rsidRDefault="00F67E71" w:rsidP="0014647D">
            <w:pPr>
              <w:jc w:val="both"/>
            </w:pPr>
            <w:r w:rsidRPr="0017107A">
              <w:t xml:space="preserve">Medium </w:t>
            </w:r>
            <w:r w:rsidR="004E55EE" w:rsidRPr="0017107A">
              <w:t xml:space="preserve">(Between 20-83 </w:t>
            </w:r>
            <w:proofErr w:type="spellStart"/>
            <w:r w:rsidR="004E55EE" w:rsidRPr="0017107A">
              <w:t>nali</w:t>
            </w:r>
            <w:proofErr w:type="spellEnd"/>
            <w:r w:rsidR="004E55EE" w:rsidRPr="0017107A">
              <w:t>)</w:t>
            </w:r>
          </w:p>
        </w:tc>
        <w:tc>
          <w:tcPr>
            <w:tcW w:w="1530" w:type="dxa"/>
          </w:tcPr>
          <w:p w14:paraId="4232875E" w14:textId="77777777" w:rsidR="00F67E71" w:rsidRPr="0017107A" w:rsidRDefault="00F67E71" w:rsidP="00133CC6">
            <w:pPr>
              <w:jc w:val="center"/>
              <w:rPr>
                <w:rFonts w:eastAsia="Times New Roman"/>
              </w:rPr>
            </w:pPr>
            <w:r w:rsidRPr="0017107A">
              <w:t>74</w:t>
            </w:r>
          </w:p>
        </w:tc>
        <w:tc>
          <w:tcPr>
            <w:tcW w:w="1705" w:type="dxa"/>
          </w:tcPr>
          <w:p w14:paraId="278007BA" w14:textId="77777777" w:rsidR="00F67E71" w:rsidRPr="0017107A" w:rsidRDefault="00F67E71" w:rsidP="00133CC6">
            <w:pPr>
              <w:jc w:val="center"/>
              <w:rPr>
                <w:rFonts w:eastAsia="Times New Roman"/>
              </w:rPr>
            </w:pPr>
            <w:r w:rsidRPr="0017107A">
              <w:t>30.32</w:t>
            </w:r>
          </w:p>
        </w:tc>
      </w:tr>
      <w:tr w:rsidR="00F67E71" w:rsidRPr="0017107A" w14:paraId="43C51C6B" w14:textId="77777777" w:rsidTr="004E55EE">
        <w:tc>
          <w:tcPr>
            <w:tcW w:w="2875" w:type="dxa"/>
            <w:vMerge/>
          </w:tcPr>
          <w:p w14:paraId="4422B7EE" w14:textId="77777777" w:rsidR="00F67E71" w:rsidRPr="0017107A" w:rsidRDefault="00F67E71" w:rsidP="0014647D">
            <w:pPr>
              <w:jc w:val="both"/>
              <w:rPr>
                <w:rFonts w:eastAsia="Times New Roman"/>
              </w:rPr>
            </w:pPr>
          </w:p>
        </w:tc>
        <w:tc>
          <w:tcPr>
            <w:tcW w:w="3240" w:type="dxa"/>
          </w:tcPr>
          <w:p w14:paraId="02F70D17" w14:textId="77777777" w:rsidR="00F67E71" w:rsidRPr="0017107A" w:rsidRDefault="00F67E71" w:rsidP="0014647D">
            <w:pPr>
              <w:jc w:val="both"/>
            </w:pPr>
            <w:r w:rsidRPr="0017107A">
              <w:t xml:space="preserve">High </w:t>
            </w:r>
            <w:r w:rsidR="007E334B" w:rsidRPr="0017107A">
              <w:t>(Above</w:t>
            </w:r>
            <w:r w:rsidR="004E55EE" w:rsidRPr="0017107A">
              <w:t xml:space="preserve"> 83 </w:t>
            </w:r>
            <w:proofErr w:type="spellStart"/>
            <w:r w:rsidR="004E55EE" w:rsidRPr="0017107A">
              <w:t>nali</w:t>
            </w:r>
            <w:proofErr w:type="spellEnd"/>
            <w:r w:rsidR="004E55EE" w:rsidRPr="0017107A">
              <w:t>)</w:t>
            </w:r>
          </w:p>
        </w:tc>
        <w:tc>
          <w:tcPr>
            <w:tcW w:w="1530" w:type="dxa"/>
          </w:tcPr>
          <w:p w14:paraId="5ABDE6D9" w14:textId="77777777" w:rsidR="00F67E71" w:rsidRPr="0017107A" w:rsidRDefault="00F67E71" w:rsidP="00133CC6">
            <w:pPr>
              <w:jc w:val="center"/>
              <w:rPr>
                <w:rFonts w:eastAsia="Times New Roman"/>
              </w:rPr>
            </w:pPr>
            <w:r w:rsidRPr="0017107A">
              <w:t>13</w:t>
            </w:r>
          </w:p>
        </w:tc>
        <w:tc>
          <w:tcPr>
            <w:tcW w:w="1705" w:type="dxa"/>
          </w:tcPr>
          <w:p w14:paraId="424DF537" w14:textId="77777777" w:rsidR="00F67E71" w:rsidRPr="0017107A" w:rsidRDefault="001B3627" w:rsidP="00133CC6">
            <w:pPr>
              <w:jc w:val="center"/>
              <w:rPr>
                <w:rFonts w:eastAsia="Times New Roman"/>
              </w:rPr>
            </w:pPr>
            <w:r w:rsidRPr="0017107A">
              <w:t>0</w:t>
            </w:r>
            <w:r w:rsidR="00F67E71" w:rsidRPr="0017107A">
              <w:t>5.32</w:t>
            </w:r>
          </w:p>
        </w:tc>
      </w:tr>
      <w:tr w:rsidR="00F67E71" w:rsidRPr="0017107A" w14:paraId="0B3D1CD2" w14:textId="77777777" w:rsidTr="004E55EE">
        <w:tc>
          <w:tcPr>
            <w:tcW w:w="2875" w:type="dxa"/>
            <w:vMerge w:val="restart"/>
          </w:tcPr>
          <w:p w14:paraId="7BDFFBC0" w14:textId="77777777" w:rsidR="00F67E71" w:rsidRPr="0017107A" w:rsidRDefault="00F67E71" w:rsidP="0014647D">
            <w:pPr>
              <w:jc w:val="both"/>
              <w:rPr>
                <w:rFonts w:eastAsia="Times New Roman"/>
              </w:rPr>
            </w:pPr>
            <w:r w:rsidRPr="0017107A">
              <w:rPr>
                <w:rFonts w:eastAsia="Times New Roman"/>
              </w:rPr>
              <w:t>Millet crop grown</w:t>
            </w:r>
          </w:p>
        </w:tc>
        <w:tc>
          <w:tcPr>
            <w:tcW w:w="3240" w:type="dxa"/>
          </w:tcPr>
          <w:p w14:paraId="5AC9EE82" w14:textId="77777777" w:rsidR="00F67E71" w:rsidRPr="0017107A" w:rsidRDefault="00F67E71" w:rsidP="0014647D">
            <w:pPr>
              <w:jc w:val="both"/>
            </w:pPr>
            <w:r w:rsidRPr="0017107A">
              <w:t>Finger millet</w:t>
            </w:r>
          </w:p>
        </w:tc>
        <w:tc>
          <w:tcPr>
            <w:tcW w:w="1530" w:type="dxa"/>
          </w:tcPr>
          <w:p w14:paraId="0FCFD183" w14:textId="77777777" w:rsidR="00F67E71" w:rsidRPr="0017107A" w:rsidRDefault="00F67E71" w:rsidP="00133CC6">
            <w:pPr>
              <w:jc w:val="center"/>
              <w:rPr>
                <w:rFonts w:eastAsia="Times New Roman"/>
              </w:rPr>
            </w:pPr>
            <w:r w:rsidRPr="0017107A">
              <w:t>139</w:t>
            </w:r>
          </w:p>
        </w:tc>
        <w:tc>
          <w:tcPr>
            <w:tcW w:w="1705" w:type="dxa"/>
          </w:tcPr>
          <w:p w14:paraId="32A551BA" w14:textId="77777777" w:rsidR="00F67E71" w:rsidRPr="0017107A" w:rsidRDefault="00F67E71" w:rsidP="00133CC6">
            <w:pPr>
              <w:jc w:val="center"/>
              <w:rPr>
                <w:rFonts w:eastAsia="Times New Roman"/>
              </w:rPr>
            </w:pPr>
            <w:r w:rsidRPr="0017107A">
              <w:t>56.96</w:t>
            </w:r>
          </w:p>
        </w:tc>
      </w:tr>
      <w:tr w:rsidR="00F67E71" w:rsidRPr="0017107A" w14:paraId="3E6A2C30" w14:textId="77777777" w:rsidTr="004E55EE">
        <w:tc>
          <w:tcPr>
            <w:tcW w:w="2875" w:type="dxa"/>
            <w:vMerge/>
          </w:tcPr>
          <w:p w14:paraId="42876C5F" w14:textId="77777777" w:rsidR="00F67E71" w:rsidRPr="0017107A" w:rsidRDefault="00F67E71" w:rsidP="0014647D">
            <w:pPr>
              <w:jc w:val="both"/>
              <w:rPr>
                <w:rFonts w:eastAsia="Times New Roman"/>
              </w:rPr>
            </w:pPr>
          </w:p>
        </w:tc>
        <w:tc>
          <w:tcPr>
            <w:tcW w:w="3240" w:type="dxa"/>
          </w:tcPr>
          <w:p w14:paraId="6055484F" w14:textId="77777777" w:rsidR="00F67E71" w:rsidRPr="0017107A" w:rsidRDefault="00F67E71" w:rsidP="0014647D">
            <w:pPr>
              <w:jc w:val="both"/>
            </w:pPr>
            <w:r w:rsidRPr="0017107A">
              <w:t>Barnyard Millet</w:t>
            </w:r>
          </w:p>
        </w:tc>
        <w:tc>
          <w:tcPr>
            <w:tcW w:w="1530" w:type="dxa"/>
          </w:tcPr>
          <w:p w14:paraId="42C3E9B2" w14:textId="77777777" w:rsidR="00F67E71" w:rsidRPr="0017107A" w:rsidRDefault="00F67E71" w:rsidP="00133CC6">
            <w:pPr>
              <w:jc w:val="center"/>
              <w:rPr>
                <w:rFonts w:eastAsia="Times New Roman"/>
              </w:rPr>
            </w:pPr>
            <w:r w:rsidRPr="0017107A">
              <w:t>44</w:t>
            </w:r>
          </w:p>
        </w:tc>
        <w:tc>
          <w:tcPr>
            <w:tcW w:w="1705" w:type="dxa"/>
          </w:tcPr>
          <w:p w14:paraId="70E93A30" w14:textId="77777777" w:rsidR="00F67E71" w:rsidRPr="0017107A" w:rsidRDefault="00F67E71" w:rsidP="00133CC6">
            <w:pPr>
              <w:jc w:val="center"/>
              <w:rPr>
                <w:rFonts w:eastAsia="Times New Roman"/>
              </w:rPr>
            </w:pPr>
            <w:r w:rsidRPr="0017107A">
              <w:t>18.03</w:t>
            </w:r>
          </w:p>
        </w:tc>
      </w:tr>
      <w:tr w:rsidR="00F67E71" w:rsidRPr="0017107A" w14:paraId="551AE4DB" w14:textId="77777777" w:rsidTr="004E55EE">
        <w:tc>
          <w:tcPr>
            <w:tcW w:w="2875" w:type="dxa"/>
            <w:vMerge/>
          </w:tcPr>
          <w:p w14:paraId="0A2E04E2" w14:textId="77777777" w:rsidR="00F67E71" w:rsidRPr="0017107A" w:rsidRDefault="00F67E71" w:rsidP="0014647D">
            <w:pPr>
              <w:jc w:val="both"/>
              <w:rPr>
                <w:rFonts w:eastAsia="Times New Roman"/>
              </w:rPr>
            </w:pPr>
          </w:p>
        </w:tc>
        <w:tc>
          <w:tcPr>
            <w:tcW w:w="3240" w:type="dxa"/>
          </w:tcPr>
          <w:p w14:paraId="227E049B" w14:textId="77777777" w:rsidR="00F67E71" w:rsidRPr="0017107A" w:rsidRDefault="00F67E71" w:rsidP="0014647D">
            <w:pPr>
              <w:jc w:val="both"/>
            </w:pPr>
            <w:r w:rsidRPr="0017107A">
              <w:t xml:space="preserve">Both </w:t>
            </w:r>
          </w:p>
        </w:tc>
        <w:tc>
          <w:tcPr>
            <w:tcW w:w="1530" w:type="dxa"/>
          </w:tcPr>
          <w:p w14:paraId="5783721E" w14:textId="77777777" w:rsidR="00F67E71" w:rsidRPr="0017107A" w:rsidRDefault="00F67E71" w:rsidP="00133CC6">
            <w:pPr>
              <w:jc w:val="center"/>
              <w:rPr>
                <w:rFonts w:eastAsia="Times New Roman"/>
              </w:rPr>
            </w:pPr>
            <w:r w:rsidRPr="0017107A">
              <w:t>61</w:t>
            </w:r>
          </w:p>
        </w:tc>
        <w:tc>
          <w:tcPr>
            <w:tcW w:w="1705" w:type="dxa"/>
          </w:tcPr>
          <w:p w14:paraId="68BDD17F" w14:textId="77777777" w:rsidR="00F67E71" w:rsidRPr="0017107A" w:rsidRDefault="00F67E71" w:rsidP="00133CC6">
            <w:pPr>
              <w:jc w:val="center"/>
              <w:rPr>
                <w:rFonts w:eastAsia="Times New Roman"/>
              </w:rPr>
            </w:pPr>
            <w:r w:rsidRPr="0017107A">
              <w:t>25</w:t>
            </w:r>
            <w:r w:rsidR="001B3627" w:rsidRPr="0017107A">
              <w:t>.00</w:t>
            </w:r>
          </w:p>
        </w:tc>
      </w:tr>
      <w:tr w:rsidR="00F67E71" w:rsidRPr="0017107A" w14:paraId="13BD7B22" w14:textId="77777777" w:rsidTr="004E55EE">
        <w:tc>
          <w:tcPr>
            <w:tcW w:w="2875" w:type="dxa"/>
            <w:vMerge w:val="restart"/>
          </w:tcPr>
          <w:p w14:paraId="03CA78BC" w14:textId="77777777" w:rsidR="00F67E71" w:rsidRPr="0017107A" w:rsidRDefault="00F67E71" w:rsidP="0014647D">
            <w:pPr>
              <w:jc w:val="both"/>
              <w:rPr>
                <w:rFonts w:eastAsia="Times New Roman"/>
              </w:rPr>
            </w:pPr>
            <w:r w:rsidRPr="0017107A">
              <w:rPr>
                <w:rFonts w:eastAsia="Times New Roman"/>
              </w:rPr>
              <w:t xml:space="preserve">Farming type </w:t>
            </w:r>
          </w:p>
        </w:tc>
        <w:tc>
          <w:tcPr>
            <w:tcW w:w="3240" w:type="dxa"/>
          </w:tcPr>
          <w:p w14:paraId="0986693D" w14:textId="77777777" w:rsidR="00F67E71" w:rsidRPr="0017107A" w:rsidRDefault="00F67E71" w:rsidP="0014647D">
            <w:pPr>
              <w:jc w:val="both"/>
            </w:pPr>
            <w:r w:rsidRPr="0017107A">
              <w:t xml:space="preserve">Organic Farming </w:t>
            </w:r>
          </w:p>
        </w:tc>
        <w:tc>
          <w:tcPr>
            <w:tcW w:w="1530" w:type="dxa"/>
          </w:tcPr>
          <w:p w14:paraId="048011B2" w14:textId="77777777" w:rsidR="00F67E71" w:rsidRPr="0017107A" w:rsidRDefault="00F67E71" w:rsidP="00133CC6">
            <w:pPr>
              <w:jc w:val="center"/>
              <w:rPr>
                <w:rFonts w:eastAsia="Times New Roman"/>
              </w:rPr>
            </w:pPr>
            <w:r w:rsidRPr="0017107A">
              <w:t>76</w:t>
            </w:r>
          </w:p>
        </w:tc>
        <w:tc>
          <w:tcPr>
            <w:tcW w:w="1705" w:type="dxa"/>
          </w:tcPr>
          <w:p w14:paraId="4033868C" w14:textId="77777777" w:rsidR="00F67E71" w:rsidRPr="0017107A" w:rsidRDefault="00F67E71" w:rsidP="00133CC6">
            <w:pPr>
              <w:jc w:val="center"/>
              <w:rPr>
                <w:rFonts w:eastAsia="Times New Roman"/>
              </w:rPr>
            </w:pPr>
            <w:r w:rsidRPr="0017107A">
              <w:t>31.14</w:t>
            </w:r>
          </w:p>
        </w:tc>
      </w:tr>
      <w:tr w:rsidR="00F67E71" w:rsidRPr="0017107A" w14:paraId="081B032C" w14:textId="77777777" w:rsidTr="004E55EE">
        <w:tc>
          <w:tcPr>
            <w:tcW w:w="2875" w:type="dxa"/>
            <w:vMerge/>
          </w:tcPr>
          <w:p w14:paraId="67298BC2" w14:textId="77777777" w:rsidR="00F67E71" w:rsidRPr="0017107A" w:rsidRDefault="00F67E71" w:rsidP="0014647D">
            <w:pPr>
              <w:jc w:val="both"/>
              <w:rPr>
                <w:rFonts w:eastAsia="Times New Roman"/>
              </w:rPr>
            </w:pPr>
          </w:p>
        </w:tc>
        <w:tc>
          <w:tcPr>
            <w:tcW w:w="3240" w:type="dxa"/>
          </w:tcPr>
          <w:p w14:paraId="3FE38B76" w14:textId="77777777" w:rsidR="00F67E71" w:rsidRPr="0017107A" w:rsidRDefault="00F67E71" w:rsidP="0014647D">
            <w:pPr>
              <w:jc w:val="both"/>
            </w:pPr>
            <w:r w:rsidRPr="0017107A">
              <w:t>Conventional Farming</w:t>
            </w:r>
          </w:p>
        </w:tc>
        <w:tc>
          <w:tcPr>
            <w:tcW w:w="1530" w:type="dxa"/>
          </w:tcPr>
          <w:p w14:paraId="1769FC9F" w14:textId="77777777" w:rsidR="00F67E71" w:rsidRPr="0017107A" w:rsidRDefault="00F67E71" w:rsidP="00133CC6">
            <w:pPr>
              <w:jc w:val="center"/>
              <w:rPr>
                <w:rFonts w:eastAsia="Times New Roman"/>
              </w:rPr>
            </w:pPr>
            <w:r w:rsidRPr="0017107A">
              <w:t>168</w:t>
            </w:r>
          </w:p>
        </w:tc>
        <w:tc>
          <w:tcPr>
            <w:tcW w:w="1705" w:type="dxa"/>
          </w:tcPr>
          <w:p w14:paraId="580D0F91" w14:textId="77777777" w:rsidR="00F67E71" w:rsidRPr="0017107A" w:rsidRDefault="00F67E71" w:rsidP="00133CC6">
            <w:pPr>
              <w:jc w:val="center"/>
              <w:rPr>
                <w:rFonts w:eastAsia="Times New Roman"/>
              </w:rPr>
            </w:pPr>
            <w:r w:rsidRPr="0017107A">
              <w:t>68.85</w:t>
            </w:r>
          </w:p>
        </w:tc>
      </w:tr>
      <w:tr w:rsidR="00F67E71" w:rsidRPr="0017107A" w14:paraId="7073B1A2" w14:textId="77777777" w:rsidTr="004E55EE">
        <w:tc>
          <w:tcPr>
            <w:tcW w:w="2875" w:type="dxa"/>
            <w:vMerge w:val="restart"/>
          </w:tcPr>
          <w:p w14:paraId="0F556C21" w14:textId="77777777" w:rsidR="00F67E71" w:rsidRPr="0017107A" w:rsidRDefault="00F67E71" w:rsidP="0014647D">
            <w:pPr>
              <w:jc w:val="both"/>
              <w:rPr>
                <w:rFonts w:eastAsia="Times New Roman"/>
              </w:rPr>
            </w:pPr>
            <w:r w:rsidRPr="0017107A">
              <w:rPr>
                <w:rFonts w:eastAsia="Times New Roman"/>
              </w:rPr>
              <w:t xml:space="preserve">Farming experience </w:t>
            </w:r>
          </w:p>
        </w:tc>
        <w:tc>
          <w:tcPr>
            <w:tcW w:w="3240" w:type="dxa"/>
          </w:tcPr>
          <w:p w14:paraId="5B21E9DB" w14:textId="77777777" w:rsidR="00F67E71" w:rsidRPr="0017107A" w:rsidRDefault="00F67E71" w:rsidP="0014647D">
            <w:pPr>
              <w:jc w:val="both"/>
            </w:pPr>
            <w:r w:rsidRPr="0017107A">
              <w:t>Low</w:t>
            </w:r>
            <w:r w:rsidR="004E55EE" w:rsidRPr="0017107A">
              <w:t xml:space="preserve"> (less than13year)</w:t>
            </w:r>
          </w:p>
        </w:tc>
        <w:tc>
          <w:tcPr>
            <w:tcW w:w="1530" w:type="dxa"/>
          </w:tcPr>
          <w:p w14:paraId="3F15556B" w14:textId="77777777" w:rsidR="00F67E71" w:rsidRPr="0017107A" w:rsidRDefault="00F67E71" w:rsidP="00133CC6">
            <w:pPr>
              <w:jc w:val="center"/>
              <w:rPr>
                <w:rFonts w:eastAsia="Times New Roman"/>
              </w:rPr>
            </w:pPr>
            <w:r w:rsidRPr="0017107A">
              <w:t>140</w:t>
            </w:r>
          </w:p>
        </w:tc>
        <w:tc>
          <w:tcPr>
            <w:tcW w:w="1705" w:type="dxa"/>
          </w:tcPr>
          <w:p w14:paraId="307AC210" w14:textId="77777777" w:rsidR="00F67E71" w:rsidRPr="0017107A" w:rsidRDefault="00F67E71" w:rsidP="00133CC6">
            <w:pPr>
              <w:jc w:val="center"/>
              <w:rPr>
                <w:rFonts w:eastAsia="Times New Roman"/>
              </w:rPr>
            </w:pPr>
            <w:r w:rsidRPr="0017107A">
              <w:t>57.37</w:t>
            </w:r>
          </w:p>
        </w:tc>
      </w:tr>
      <w:tr w:rsidR="00F67E71" w:rsidRPr="0017107A" w14:paraId="4BE5D1D3" w14:textId="77777777" w:rsidTr="004E55EE">
        <w:tc>
          <w:tcPr>
            <w:tcW w:w="2875" w:type="dxa"/>
            <w:vMerge/>
          </w:tcPr>
          <w:p w14:paraId="21727B2E" w14:textId="77777777" w:rsidR="00F67E71" w:rsidRPr="0017107A" w:rsidRDefault="00F67E71" w:rsidP="0014647D">
            <w:pPr>
              <w:jc w:val="both"/>
              <w:rPr>
                <w:rFonts w:eastAsia="Times New Roman"/>
              </w:rPr>
            </w:pPr>
          </w:p>
        </w:tc>
        <w:tc>
          <w:tcPr>
            <w:tcW w:w="3240" w:type="dxa"/>
          </w:tcPr>
          <w:p w14:paraId="3FEC59C5" w14:textId="77777777" w:rsidR="00F67E71" w:rsidRPr="0017107A" w:rsidRDefault="00F67E71" w:rsidP="0014647D">
            <w:pPr>
              <w:jc w:val="both"/>
            </w:pPr>
            <w:r w:rsidRPr="0017107A">
              <w:t>Medium</w:t>
            </w:r>
            <w:r w:rsidR="004E55EE" w:rsidRPr="0017107A">
              <w:t xml:space="preserve"> (13- 29 year)</w:t>
            </w:r>
          </w:p>
        </w:tc>
        <w:tc>
          <w:tcPr>
            <w:tcW w:w="1530" w:type="dxa"/>
          </w:tcPr>
          <w:p w14:paraId="693CAE09" w14:textId="77777777" w:rsidR="00F67E71" w:rsidRPr="0017107A" w:rsidRDefault="00F67E71" w:rsidP="00133CC6">
            <w:pPr>
              <w:jc w:val="center"/>
              <w:rPr>
                <w:rFonts w:eastAsia="Times New Roman"/>
              </w:rPr>
            </w:pPr>
            <w:r w:rsidRPr="0017107A">
              <w:t>87</w:t>
            </w:r>
          </w:p>
        </w:tc>
        <w:tc>
          <w:tcPr>
            <w:tcW w:w="1705" w:type="dxa"/>
          </w:tcPr>
          <w:p w14:paraId="57ED7672" w14:textId="77777777" w:rsidR="00F67E71" w:rsidRPr="0017107A" w:rsidRDefault="00F67E71" w:rsidP="00133CC6">
            <w:pPr>
              <w:jc w:val="center"/>
              <w:rPr>
                <w:rFonts w:eastAsia="Times New Roman"/>
              </w:rPr>
            </w:pPr>
            <w:r w:rsidRPr="0017107A">
              <w:t>35.65</w:t>
            </w:r>
          </w:p>
        </w:tc>
      </w:tr>
      <w:tr w:rsidR="00F67E71" w:rsidRPr="0017107A" w14:paraId="2762A77A" w14:textId="77777777" w:rsidTr="004E55EE">
        <w:tc>
          <w:tcPr>
            <w:tcW w:w="2875" w:type="dxa"/>
            <w:vMerge/>
          </w:tcPr>
          <w:p w14:paraId="4AAF6065" w14:textId="77777777" w:rsidR="00F67E71" w:rsidRPr="0017107A" w:rsidRDefault="00F67E71" w:rsidP="0014647D">
            <w:pPr>
              <w:jc w:val="both"/>
              <w:rPr>
                <w:rFonts w:eastAsia="Times New Roman"/>
              </w:rPr>
            </w:pPr>
          </w:p>
        </w:tc>
        <w:tc>
          <w:tcPr>
            <w:tcW w:w="3240" w:type="dxa"/>
          </w:tcPr>
          <w:p w14:paraId="4511ED3D" w14:textId="77777777" w:rsidR="00F67E71" w:rsidRPr="0017107A" w:rsidRDefault="00F67E71" w:rsidP="0014647D">
            <w:pPr>
              <w:jc w:val="both"/>
            </w:pPr>
            <w:r w:rsidRPr="0017107A">
              <w:t xml:space="preserve">High </w:t>
            </w:r>
            <w:r w:rsidR="004E55EE" w:rsidRPr="0017107A">
              <w:t>(more than 29 year)</w:t>
            </w:r>
          </w:p>
        </w:tc>
        <w:tc>
          <w:tcPr>
            <w:tcW w:w="1530" w:type="dxa"/>
          </w:tcPr>
          <w:p w14:paraId="5BC7223D" w14:textId="77777777" w:rsidR="00F67E71" w:rsidRPr="0017107A" w:rsidRDefault="00F67E71" w:rsidP="00133CC6">
            <w:pPr>
              <w:jc w:val="center"/>
              <w:rPr>
                <w:rFonts w:eastAsia="Times New Roman"/>
              </w:rPr>
            </w:pPr>
            <w:r w:rsidRPr="0017107A">
              <w:t>17</w:t>
            </w:r>
          </w:p>
        </w:tc>
        <w:tc>
          <w:tcPr>
            <w:tcW w:w="1705" w:type="dxa"/>
          </w:tcPr>
          <w:p w14:paraId="01795947" w14:textId="77777777" w:rsidR="00F67E71" w:rsidRPr="0017107A" w:rsidRDefault="001B3627" w:rsidP="00133CC6">
            <w:pPr>
              <w:jc w:val="center"/>
              <w:rPr>
                <w:rFonts w:eastAsia="Times New Roman"/>
              </w:rPr>
            </w:pPr>
            <w:r w:rsidRPr="0017107A">
              <w:t>0</w:t>
            </w:r>
            <w:r w:rsidR="00F67E71" w:rsidRPr="0017107A">
              <w:t>6.96</w:t>
            </w:r>
          </w:p>
        </w:tc>
      </w:tr>
    </w:tbl>
    <w:p w14:paraId="0EBFAD05" w14:textId="77777777" w:rsidR="007E334B" w:rsidRPr="0017107A" w:rsidRDefault="007E334B" w:rsidP="007E334B">
      <w:pPr>
        <w:spacing w:after="160" w:line="278" w:lineRule="auto"/>
        <w:rPr>
          <w:b/>
          <w:bCs/>
        </w:rPr>
      </w:pPr>
    </w:p>
    <w:p w14:paraId="6A5D528C" w14:textId="38399EBF" w:rsidR="007E334B" w:rsidRPr="0017107A" w:rsidRDefault="007E334B" w:rsidP="007E334B">
      <w:pPr>
        <w:spacing w:after="160" w:line="278" w:lineRule="auto"/>
      </w:pPr>
      <w:r w:rsidRPr="0017107A">
        <w:t xml:space="preserve">Given below is the summary of the results </w:t>
      </w:r>
      <w:r w:rsidR="001653D2">
        <w:t>(and discussion)</w:t>
      </w:r>
      <w:r w:rsidRPr="0017107A">
        <w:t xml:space="preserve"> presented in the above table-1.  </w:t>
      </w:r>
    </w:p>
    <w:p w14:paraId="1934B01F" w14:textId="77777777" w:rsidR="007E334B" w:rsidRPr="0017107A" w:rsidRDefault="008D67E5" w:rsidP="00B9644C">
      <w:pPr>
        <w:spacing w:after="160" w:line="360" w:lineRule="auto"/>
        <w:jc w:val="both"/>
        <w:rPr>
          <w:b/>
          <w:bCs/>
        </w:rPr>
      </w:pPr>
      <w:r>
        <w:rPr>
          <w:b/>
          <w:bCs/>
        </w:rPr>
        <w:t>3.1.</w:t>
      </w:r>
      <w:r w:rsidR="007218CE">
        <w:rPr>
          <w:b/>
          <w:bCs/>
        </w:rPr>
        <w:t>2</w:t>
      </w:r>
      <w:r>
        <w:rPr>
          <w:b/>
          <w:bCs/>
        </w:rPr>
        <w:t xml:space="preserve"> </w:t>
      </w:r>
      <w:r w:rsidR="007E334B" w:rsidRPr="008D67E5">
        <w:rPr>
          <w:b/>
          <w:bCs/>
          <w:i/>
        </w:rPr>
        <w:t>Farmer’s Characteristics</w:t>
      </w:r>
    </w:p>
    <w:p w14:paraId="15555C99" w14:textId="77777777" w:rsidR="007E334B" w:rsidRPr="0017107A" w:rsidRDefault="007E334B" w:rsidP="00B9644C">
      <w:pPr>
        <w:numPr>
          <w:ilvl w:val="0"/>
          <w:numId w:val="7"/>
        </w:numPr>
        <w:spacing w:after="160" w:line="360" w:lineRule="auto"/>
        <w:jc w:val="both"/>
      </w:pPr>
      <w:r w:rsidRPr="0017107A">
        <w:rPr>
          <w:b/>
          <w:bCs/>
        </w:rPr>
        <w:t>Age &amp; Gender</w:t>
      </w:r>
      <w:r w:rsidRPr="0017107A">
        <w:t xml:space="preserve">: Majority </w:t>
      </w:r>
      <w:r w:rsidR="00790B40" w:rsidRPr="0017107A">
        <w:t>was</w:t>
      </w:r>
      <w:r w:rsidRPr="0017107A">
        <w:t xml:space="preserve"> middle-aged (41.4%), and females constituted 57.37% of the sample, indicating women's key role in millet cultivation in Uttarakhand.</w:t>
      </w:r>
    </w:p>
    <w:p w14:paraId="06CE0A11" w14:textId="77777777" w:rsidR="007E334B" w:rsidRPr="0017107A" w:rsidRDefault="007E334B" w:rsidP="00B9644C">
      <w:pPr>
        <w:numPr>
          <w:ilvl w:val="0"/>
          <w:numId w:val="7"/>
        </w:numPr>
        <w:spacing w:after="160" w:line="360" w:lineRule="auto"/>
        <w:jc w:val="both"/>
      </w:pPr>
      <w:r w:rsidRPr="0017107A">
        <w:rPr>
          <w:b/>
          <w:bCs/>
        </w:rPr>
        <w:t>Education Level</w:t>
      </w:r>
      <w:r w:rsidRPr="0017107A">
        <w:t>: Most farmers had middle (28.2%) or high school education (20.5%), reflecting moderate educational attainment suitable for skill-based training.</w:t>
      </w:r>
    </w:p>
    <w:p w14:paraId="2964CF4C" w14:textId="77777777" w:rsidR="007E334B" w:rsidRPr="0017107A" w:rsidRDefault="007E334B" w:rsidP="00B9644C">
      <w:pPr>
        <w:numPr>
          <w:ilvl w:val="0"/>
          <w:numId w:val="7"/>
        </w:numPr>
        <w:spacing w:after="160" w:line="360" w:lineRule="auto"/>
        <w:jc w:val="both"/>
      </w:pPr>
      <w:r w:rsidRPr="0017107A">
        <w:rPr>
          <w:b/>
          <w:bCs/>
        </w:rPr>
        <w:lastRenderedPageBreak/>
        <w:t>Family Type</w:t>
      </w:r>
      <w:r w:rsidRPr="0017107A">
        <w:t xml:space="preserve">: About 66.3% lived in nuclear families, suggesting </w:t>
      </w:r>
      <w:r w:rsidR="00B9644C" w:rsidRPr="0017107A">
        <w:t xml:space="preserve">greater </w:t>
      </w:r>
      <w:r w:rsidRPr="0017107A">
        <w:t>autonomy in decision-making but potential labo</w:t>
      </w:r>
      <w:r w:rsidR="00B9644C" w:rsidRPr="0017107A">
        <w:t>u</w:t>
      </w:r>
      <w:r w:rsidRPr="0017107A">
        <w:t>r constraints.</w:t>
      </w:r>
    </w:p>
    <w:p w14:paraId="1B715507" w14:textId="77777777" w:rsidR="007E334B" w:rsidRPr="0017107A" w:rsidRDefault="007E334B" w:rsidP="00B9644C">
      <w:pPr>
        <w:numPr>
          <w:ilvl w:val="0"/>
          <w:numId w:val="7"/>
        </w:numPr>
        <w:spacing w:after="160" w:line="360" w:lineRule="auto"/>
        <w:jc w:val="both"/>
      </w:pPr>
      <w:r w:rsidRPr="0017107A">
        <w:rPr>
          <w:b/>
          <w:bCs/>
        </w:rPr>
        <w:t>Monthly Income:</w:t>
      </w:r>
      <w:r w:rsidRPr="0017107A">
        <w:t xml:space="preserve"> A large share </w:t>
      </w:r>
      <w:r w:rsidR="00B9644C" w:rsidRPr="0017107A">
        <w:t xml:space="preserve">of farmers </w:t>
      </w:r>
      <w:r w:rsidRPr="0017107A">
        <w:t>fell into low (39.75%) and medium income (35.21%) groups, pointing to limited investment capacity.</w:t>
      </w:r>
    </w:p>
    <w:p w14:paraId="65D7ACC8" w14:textId="77777777" w:rsidR="007E334B" w:rsidRPr="0017107A" w:rsidRDefault="007E334B" w:rsidP="00B9644C">
      <w:pPr>
        <w:numPr>
          <w:ilvl w:val="0"/>
          <w:numId w:val="7"/>
        </w:numPr>
        <w:spacing w:after="160" w:line="360" w:lineRule="auto"/>
        <w:jc w:val="both"/>
      </w:pPr>
      <w:r w:rsidRPr="0017107A">
        <w:rPr>
          <w:b/>
          <w:bCs/>
        </w:rPr>
        <w:t>Farming Experience:</w:t>
      </w:r>
      <w:r w:rsidRPr="0017107A">
        <w:t xml:space="preserve"> 57.37% had low farming experience, highlighting the need for ongoing training, especially in sustainable millet practices.</w:t>
      </w:r>
    </w:p>
    <w:p w14:paraId="1E0C5A30" w14:textId="77777777" w:rsidR="007E334B" w:rsidRPr="0017107A" w:rsidRDefault="007E334B" w:rsidP="00B9644C">
      <w:pPr>
        <w:numPr>
          <w:ilvl w:val="0"/>
          <w:numId w:val="7"/>
        </w:numPr>
        <w:spacing w:after="160" w:line="360" w:lineRule="auto"/>
        <w:jc w:val="both"/>
      </w:pPr>
      <w:r w:rsidRPr="0017107A">
        <w:rPr>
          <w:b/>
          <w:bCs/>
        </w:rPr>
        <w:t>Farming Type:</w:t>
      </w:r>
      <w:r w:rsidRPr="0017107A">
        <w:t xml:space="preserve"> 31.14% practiced organic farming, showing emerging interest in value-added and niche millet markets.</w:t>
      </w:r>
    </w:p>
    <w:p w14:paraId="5AEC9BA2" w14:textId="77777777" w:rsidR="00B9644C" w:rsidRPr="008D67E5" w:rsidRDefault="008D67E5" w:rsidP="00B9644C">
      <w:pPr>
        <w:spacing w:after="160" w:line="360" w:lineRule="auto"/>
        <w:jc w:val="both"/>
        <w:rPr>
          <w:b/>
          <w:bCs/>
          <w:i/>
        </w:rPr>
      </w:pPr>
      <w:r>
        <w:rPr>
          <w:b/>
          <w:bCs/>
        </w:rPr>
        <w:t>3.1.</w:t>
      </w:r>
      <w:r w:rsidR="007218CE">
        <w:rPr>
          <w:b/>
          <w:bCs/>
        </w:rPr>
        <w:t>3</w:t>
      </w:r>
      <w:r w:rsidR="00B9644C" w:rsidRPr="0017107A">
        <w:rPr>
          <w:b/>
          <w:bCs/>
        </w:rPr>
        <w:t xml:space="preserve"> </w:t>
      </w:r>
      <w:r w:rsidR="00B9644C" w:rsidRPr="008D67E5">
        <w:rPr>
          <w:b/>
          <w:bCs/>
          <w:i/>
        </w:rPr>
        <w:t>Farm Characteristics</w:t>
      </w:r>
    </w:p>
    <w:p w14:paraId="421B7888" w14:textId="77777777" w:rsidR="00B9644C" w:rsidRPr="0017107A" w:rsidRDefault="00B9644C" w:rsidP="00B9644C">
      <w:pPr>
        <w:numPr>
          <w:ilvl w:val="0"/>
          <w:numId w:val="8"/>
        </w:numPr>
        <w:spacing w:after="160" w:line="360" w:lineRule="auto"/>
        <w:jc w:val="both"/>
      </w:pPr>
      <w:r w:rsidRPr="0017107A">
        <w:rPr>
          <w:b/>
          <w:bCs/>
        </w:rPr>
        <w:t>Cropping Intensity</w:t>
      </w:r>
      <w:r w:rsidRPr="0017107A">
        <w:t>: Most of the farmers reported low (40.16%) or medium (48.36%) cropping intensity, limiting year-round output and commercial potential.</w:t>
      </w:r>
    </w:p>
    <w:p w14:paraId="32EBDBB7" w14:textId="77777777" w:rsidR="00B9644C" w:rsidRPr="0017107A" w:rsidRDefault="00B9644C" w:rsidP="00B9644C">
      <w:pPr>
        <w:numPr>
          <w:ilvl w:val="0"/>
          <w:numId w:val="8"/>
        </w:numPr>
        <w:spacing w:after="160" w:line="360" w:lineRule="auto"/>
        <w:jc w:val="both"/>
      </w:pPr>
      <w:r w:rsidRPr="0017107A">
        <w:rPr>
          <w:b/>
          <w:bCs/>
        </w:rPr>
        <w:t>Cultivable Land Size</w:t>
      </w:r>
      <w:r w:rsidRPr="0017107A">
        <w:t xml:space="preserve">: About one-third of the farmers (64.34%) had small holdings (&lt;20 </w:t>
      </w:r>
      <w:proofErr w:type="spellStart"/>
      <w:r w:rsidRPr="0017107A">
        <w:t>nali</w:t>
      </w:r>
      <w:proofErr w:type="spellEnd"/>
      <w:r w:rsidR="0084371A" w:rsidRPr="0017107A">
        <w:t xml:space="preserve">; 1 </w:t>
      </w:r>
      <w:proofErr w:type="spellStart"/>
      <w:r w:rsidR="0084371A" w:rsidRPr="0017107A">
        <w:t>nali</w:t>
      </w:r>
      <w:proofErr w:type="spellEnd"/>
      <w:r w:rsidR="0084371A" w:rsidRPr="0017107A">
        <w:t>= 0.02 Ha</w:t>
      </w:r>
      <w:r w:rsidRPr="0017107A">
        <w:t>), a constraint on large-scale millet production.</w:t>
      </w:r>
    </w:p>
    <w:p w14:paraId="1D58BAF2" w14:textId="77777777" w:rsidR="009C783B" w:rsidRPr="0017107A" w:rsidRDefault="00B9644C" w:rsidP="009C783B">
      <w:pPr>
        <w:numPr>
          <w:ilvl w:val="0"/>
          <w:numId w:val="8"/>
        </w:numPr>
        <w:spacing w:after="160" w:line="360" w:lineRule="auto"/>
        <w:jc w:val="both"/>
      </w:pPr>
      <w:r w:rsidRPr="0017107A">
        <w:rPr>
          <w:b/>
          <w:bCs/>
        </w:rPr>
        <w:t>Millet Crop Grown</w:t>
      </w:r>
      <w:r w:rsidRPr="0017107A">
        <w:t>: Finger millet (56.96%) was dominant, followed by barnyard millet (18.03%), with 25% growing both, indicating crop preference and diversification potential among the farmers included in study sample.</w:t>
      </w:r>
    </w:p>
    <w:p w14:paraId="7008A9FB" w14:textId="77777777" w:rsidR="009C783B" w:rsidRPr="0017107A" w:rsidRDefault="009C783B" w:rsidP="009C783B">
      <w:pPr>
        <w:spacing w:after="160" w:line="360" w:lineRule="auto"/>
        <w:jc w:val="both"/>
        <w:rPr>
          <w:rFonts w:eastAsia="Times New Roman"/>
          <w:iCs/>
        </w:rPr>
      </w:pPr>
      <w:r w:rsidRPr="0017107A">
        <w:rPr>
          <w:rFonts w:eastAsia="Times New Roman"/>
          <w:iCs/>
        </w:rPr>
        <w:t xml:space="preserve">Thus, we can summarize the above results along with implications as follow: </w:t>
      </w:r>
    </w:p>
    <w:p w14:paraId="176DFABF" w14:textId="77777777" w:rsidR="009C783B" w:rsidRPr="0017107A" w:rsidRDefault="009C783B" w:rsidP="00494338">
      <w:pPr>
        <w:spacing w:line="360" w:lineRule="auto"/>
        <w:ind w:left="450" w:hanging="450"/>
        <w:jc w:val="both"/>
      </w:pPr>
      <w:r w:rsidRPr="0017107A">
        <w:t xml:space="preserve">(a). High female participation indicates the need for </w:t>
      </w:r>
      <w:r w:rsidRPr="0017107A">
        <w:rPr>
          <w:bCs/>
        </w:rPr>
        <w:t>gender-inclusive extension services</w:t>
      </w:r>
      <w:r w:rsidRPr="0017107A">
        <w:t xml:space="preserve"> and targeted training. Negi &amp; Joshi (2022) emphasized the need for women-led millet value chains in hill agriculture.</w:t>
      </w:r>
    </w:p>
    <w:p w14:paraId="71392EE6" w14:textId="77777777" w:rsidR="009C783B" w:rsidRPr="0017107A" w:rsidRDefault="00ED76B6" w:rsidP="00494338">
      <w:pPr>
        <w:spacing w:line="360" w:lineRule="auto"/>
        <w:ind w:left="450" w:hanging="450"/>
        <w:jc w:val="both"/>
      </w:pPr>
      <w:r w:rsidRPr="0017107A">
        <w:t xml:space="preserve">(b). </w:t>
      </w:r>
      <w:r w:rsidR="009C783B" w:rsidRPr="0017107A">
        <w:t xml:space="preserve">Moderate education suggests potential for </w:t>
      </w:r>
      <w:r w:rsidR="009C783B" w:rsidRPr="0017107A">
        <w:rPr>
          <w:bCs/>
        </w:rPr>
        <w:t>digital literacy programs</w:t>
      </w:r>
      <w:r w:rsidR="009C783B" w:rsidRPr="0017107A">
        <w:t xml:space="preserve"> and adoption of improved practices.  Wossen et al. (2017) found education positively affects commercialization decisions among smallholders. </w:t>
      </w:r>
    </w:p>
    <w:p w14:paraId="39C932A1" w14:textId="77777777" w:rsidR="009C783B" w:rsidRPr="0017107A" w:rsidRDefault="00ED76B6" w:rsidP="00494338">
      <w:pPr>
        <w:spacing w:line="360" w:lineRule="auto"/>
        <w:ind w:left="450" w:hanging="450"/>
        <w:jc w:val="both"/>
      </w:pPr>
      <w:r w:rsidRPr="0017107A">
        <w:t xml:space="preserve">(c). </w:t>
      </w:r>
      <w:r w:rsidR="009C783B" w:rsidRPr="0017107A">
        <w:t xml:space="preserve">Nuclear families may allow quicker decisions but require </w:t>
      </w:r>
      <w:r w:rsidR="009C783B" w:rsidRPr="0017107A">
        <w:rPr>
          <w:bCs/>
        </w:rPr>
        <w:t>labo</w:t>
      </w:r>
      <w:r w:rsidR="00E44948" w:rsidRPr="0017107A">
        <w:rPr>
          <w:bCs/>
        </w:rPr>
        <w:t>u</w:t>
      </w:r>
      <w:r w:rsidR="009C783B" w:rsidRPr="0017107A">
        <w:rPr>
          <w:bCs/>
        </w:rPr>
        <w:t xml:space="preserve">r-saving technologies or SHG linkages. </w:t>
      </w:r>
      <w:r w:rsidR="009C783B" w:rsidRPr="0017107A">
        <w:t>Barrett (2008) highlighted household structure as influencing market participation.</w:t>
      </w:r>
    </w:p>
    <w:p w14:paraId="76A814BD" w14:textId="77777777" w:rsidR="009C783B" w:rsidRPr="0017107A" w:rsidRDefault="00ED76B6" w:rsidP="00494338">
      <w:pPr>
        <w:spacing w:line="360" w:lineRule="auto"/>
        <w:ind w:left="450" w:hanging="450"/>
        <w:jc w:val="both"/>
      </w:pPr>
      <w:r w:rsidRPr="0017107A">
        <w:t xml:space="preserve">(d). </w:t>
      </w:r>
      <w:r w:rsidR="009C783B" w:rsidRPr="0017107A">
        <w:t xml:space="preserve">Lower income groups require </w:t>
      </w:r>
      <w:r w:rsidR="009C783B" w:rsidRPr="0017107A">
        <w:rPr>
          <w:bCs/>
        </w:rPr>
        <w:t>subsidized input support</w:t>
      </w:r>
      <w:r w:rsidR="009C783B" w:rsidRPr="0017107A">
        <w:t xml:space="preserve"> and access to </w:t>
      </w:r>
      <w:r w:rsidR="009C783B" w:rsidRPr="0017107A">
        <w:rPr>
          <w:bCs/>
        </w:rPr>
        <w:t>inclusive market platforms</w:t>
      </w:r>
      <w:r w:rsidR="009C783B" w:rsidRPr="0017107A">
        <w:t>. Karthikeyan et al. (2020) noted market risks discourage low-income farmers from commercial millet production.</w:t>
      </w:r>
    </w:p>
    <w:p w14:paraId="29309717" w14:textId="77777777" w:rsidR="009C783B" w:rsidRPr="0017107A" w:rsidRDefault="00ED76B6" w:rsidP="00494338">
      <w:pPr>
        <w:spacing w:line="360" w:lineRule="auto"/>
        <w:ind w:left="450" w:hanging="450"/>
        <w:jc w:val="both"/>
      </w:pPr>
      <w:r w:rsidRPr="0017107A">
        <w:t xml:space="preserve">(e). </w:t>
      </w:r>
      <w:r w:rsidR="009C783B" w:rsidRPr="0017107A">
        <w:t xml:space="preserve">Low experience necessitates </w:t>
      </w:r>
      <w:r w:rsidR="009C783B" w:rsidRPr="0017107A">
        <w:rPr>
          <w:bCs/>
        </w:rPr>
        <w:t>capacity building</w:t>
      </w:r>
      <w:r w:rsidR="009C783B" w:rsidRPr="0017107A">
        <w:t xml:space="preserve"> in climate-resilient, organic millet farming. </w:t>
      </w:r>
      <w:proofErr w:type="spellStart"/>
      <w:r w:rsidR="009C783B" w:rsidRPr="0017107A">
        <w:t>Muthamilarasan</w:t>
      </w:r>
      <w:proofErr w:type="spellEnd"/>
      <w:r w:rsidR="009C783B" w:rsidRPr="0017107A">
        <w:t xml:space="preserve"> &amp; Prasad (2021) stressed training for young and new millet growers.</w:t>
      </w:r>
    </w:p>
    <w:p w14:paraId="48210DB8" w14:textId="77777777" w:rsidR="009C783B" w:rsidRPr="0017107A" w:rsidRDefault="00ED76B6" w:rsidP="00494338">
      <w:pPr>
        <w:spacing w:line="360" w:lineRule="auto"/>
        <w:ind w:left="450" w:hanging="450"/>
        <w:jc w:val="both"/>
      </w:pPr>
      <w:r w:rsidRPr="0017107A">
        <w:lastRenderedPageBreak/>
        <w:t xml:space="preserve">(f). </w:t>
      </w:r>
      <w:r w:rsidR="009C783B" w:rsidRPr="0017107A">
        <w:t xml:space="preserve">Organic farmers can be linked to </w:t>
      </w:r>
      <w:r w:rsidR="009C783B" w:rsidRPr="0017107A">
        <w:rPr>
          <w:bCs/>
        </w:rPr>
        <w:t>high-value niche markets</w:t>
      </w:r>
      <w:r w:rsidR="009C783B" w:rsidRPr="0017107A">
        <w:t xml:space="preserve"> and </w:t>
      </w:r>
      <w:r w:rsidR="009C783B" w:rsidRPr="0017107A">
        <w:rPr>
          <w:bCs/>
        </w:rPr>
        <w:t>health-conscious consumers</w:t>
      </w:r>
      <w:r w:rsidR="009C783B" w:rsidRPr="0017107A">
        <w:t>. Singh et al. (2023) reported organic millets from hill regions fetch premium prices in metro cities.</w:t>
      </w:r>
    </w:p>
    <w:p w14:paraId="371826CF" w14:textId="77777777" w:rsidR="009C783B" w:rsidRPr="0017107A" w:rsidRDefault="00ED76B6" w:rsidP="00494338">
      <w:pPr>
        <w:spacing w:line="360" w:lineRule="auto"/>
        <w:ind w:left="450" w:hanging="450"/>
        <w:jc w:val="both"/>
      </w:pPr>
      <w:r w:rsidRPr="0017107A">
        <w:t xml:space="preserve">(g). </w:t>
      </w:r>
      <w:r w:rsidR="009C783B" w:rsidRPr="0017107A">
        <w:t xml:space="preserve">Low and medium cropping intensity points to the need for </w:t>
      </w:r>
      <w:r w:rsidR="009C783B" w:rsidRPr="0017107A">
        <w:rPr>
          <w:bCs/>
        </w:rPr>
        <w:t>integrated cropping systems</w:t>
      </w:r>
      <w:r w:rsidR="009C783B" w:rsidRPr="0017107A">
        <w:t xml:space="preserve"> and millet-pulse intercropping. FAO (2018) promotes intercropping and crop rotation to maximize returns in hill farming.</w:t>
      </w:r>
    </w:p>
    <w:p w14:paraId="34959A4F" w14:textId="77777777" w:rsidR="009C783B" w:rsidRPr="0017107A" w:rsidRDefault="00ED76B6" w:rsidP="00494338">
      <w:pPr>
        <w:spacing w:line="360" w:lineRule="auto"/>
        <w:ind w:left="450" w:hanging="450"/>
        <w:jc w:val="both"/>
      </w:pPr>
      <w:r w:rsidRPr="0017107A">
        <w:t xml:space="preserve">(h). </w:t>
      </w:r>
      <w:r w:rsidR="009C783B" w:rsidRPr="0017107A">
        <w:t xml:space="preserve">Small landholdings necessitate </w:t>
      </w:r>
      <w:r w:rsidR="009C783B" w:rsidRPr="0017107A">
        <w:rPr>
          <w:bCs/>
        </w:rPr>
        <w:t>aggregation models</w:t>
      </w:r>
      <w:r w:rsidR="009C783B" w:rsidRPr="0017107A">
        <w:t xml:space="preserve"> (e.g., FPOs) and shared infrastructure for processing. Negi &amp; Joshi (2022) proposed collective action and FPO-led aggregation in Uttarakhand’s hill agriculture.</w:t>
      </w:r>
    </w:p>
    <w:p w14:paraId="6A4D8AA2" w14:textId="77777777" w:rsidR="009C783B" w:rsidRPr="0017107A" w:rsidRDefault="00ED76B6" w:rsidP="00494338">
      <w:pPr>
        <w:spacing w:line="360" w:lineRule="auto"/>
        <w:ind w:left="450" w:hanging="450"/>
        <w:jc w:val="both"/>
      </w:pPr>
      <w:r w:rsidRPr="0017107A">
        <w:t>(</w:t>
      </w:r>
      <w:proofErr w:type="spellStart"/>
      <w:r w:rsidRPr="0017107A">
        <w:t>i</w:t>
      </w:r>
      <w:proofErr w:type="spellEnd"/>
      <w:r w:rsidRPr="0017107A">
        <w:t xml:space="preserve">). </w:t>
      </w:r>
      <w:r w:rsidR="009C783B" w:rsidRPr="0017107A">
        <w:t xml:space="preserve">Preference for finger millet suggests a </w:t>
      </w:r>
      <w:r w:rsidR="009C783B" w:rsidRPr="0017107A">
        <w:rPr>
          <w:bCs/>
        </w:rPr>
        <w:t>strong base for varietal improvement</w:t>
      </w:r>
      <w:r w:rsidR="009C783B" w:rsidRPr="0017107A">
        <w:t xml:space="preserve"> and local branding. ICAR (2021) recommends promoting location-specific millet varieties to enhance productivity and market value. </w:t>
      </w:r>
    </w:p>
    <w:p w14:paraId="3BCC630F" w14:textId="77777777" w:rsidR="005721D1" w:rsidRPr="0017107A" w:rsidRDefault="005721D1" w:rsidP="005721D1">
      <w:pPr>
        <w:rPr>
          <w:rFonts w:eastAsia="Times New Roman"/>
          <w:b/>
          <w:bCs/>
          <w:i/>
        </w:rPr>
      </w:pPr>
    </w:p>
    <w:p w14:paraId="2B011A1B" w14:textId="77777777" w:rsidR="00391200" w:rsidRPr="0017107A" w:rsidRDefault="0017107A" w:rsidP="005721D1">
      <w:pPr>
        <w:rPr>
          <w:rFonts w:eastAsia="Times New Roman"/>
          <w:b/>
          <w:bCs/>
          <w:i/>
        </w:rPr>
      </w:pPr>
      <w:r w:rsidRPr="0017107A">
        <w:rPr>
          <w:rFonts w:eastAsia="Times New Roman"/>
          <w:b/>
          <w:bCs/>
          <w:i/>
        </w:rPr>
        <w:t>3.</w:t>
      </w:r>
      <w:r w:rsidR="007218CE">
        <w:rPr>
          <w:rFonts w:eastAsia="Times New Roman"/>
          <w:b/>
          <w:bCs/>
          <w:i/>
        </w:rPr>
        <w:t>2</w:t>
      </w:r>
      <w:r w:rsidR="005721D1" w:rsidRPr="0017107A">
        <w:rPr>
          <w:rFonts w:eastAsia="Times New Roman"/>
          <w:b/>
          <w:bCs/>
          <w:i/>
        </w:rPr>
        <w:t xml:space="preserve"> </w:t>
      </w:r>
      <w:r w:rsidR="00391200" w:rsidRPr="0017107A">
        <w:rPr>
          <w:rFonts w:eastAsia="Times New Roman"/>
          <w:b/>
          <w:bCs/>
          <w:i/>
        </w:rPr>
        <w:t>Relationship between Farmers &amp; farm characteristics and their adoption.</w:t>
      </w:r>
    </w:p>
    <w:p w14:paraId="6453479C" w14:textId="77777777" w:rsidR="005721D1" w:rsidRPr="0017107A" w:rsidRDefault="00C4753E" w:rsidP="00AD4E64">
      <w:pPr>
        <w:spacing w:before="240" w:after="240" w:line="360" w:lineRule="auto"/>
        <w:jc w:val="both"/>
        <w:rPr>
          <w:rFonts w:eastAsia="Times New Roman"/>
        </w:rPr>
      </w:pPr>
      <w:r w:rsidRPr="0017107A">
        <w:rPr>
          <w:rFonts w:eastAsia="Times New Roman"/>
        </w:rPr>
        <w:t xml:space="preserve">The </w:t>
      </w:r>
      <w:r w:rsidR="005721D1" w:rsidRPr="0017107A">
        <w:rPr>
          <w:rFonts w:eastAsia="Times New Roman"/>
        </w:rPr>
        <w:t xml:space="preserve">findings regarding the </w:t>
      </w:r>
      <w:r w:rsidRPr="0017107A">
        <w:rPr>
          <w:rFonts w:eastAsia="Times New Roman"/>
        </w:rPr>
        <w:t xml:space="preserve">relationship between the </w:t>
      </w:r>
      <w:r w:rsidR="00E44948" w:rsidRPr="0017107A">
        <w:rPr>
          <w:rFonts w:eastAsia="Times New Roman"/>
        </w:rPr>
        <w:t>demographic</w:t>
      </w:r>
      <w:r w:rsidRPr="0017107A">
        <w:rPr>
          <w:rFonts w:eastAsia="Times New Roman"/>
        </w:rPr>
        <w:t xml:space="preserve"> characteristics </w:t>
      </w:r>
      <w:r w:rsidR="008C3502" w:rsidRPr="0017107A">
        <w:rPr>
          <w:rFonts w:eastAsia="Times New Roman"/>
        </w:rPr>
        <w:t xml:space="preserve">with the adoption of nutri-cereal farming at commercial level is </w:t>
      </w:r>
      <w:r w:rsidR="005721D1" w:rsidRPr="0017107A">
        <w:rPr>
          <w:rFonts w:eastAsia="Times New Roman"/>
        </w:rPr>
        <w:t xml:space="preserve">presented </w:t>
      </w:r>
      <w:r w:rsidR="008C3502" w:rsidRPr="0017107A">
        <w:rPr>
          <w:rFonts w:eastAsia="Times New Roman"/>
        </w:rPr>
        <w:t>in Table 2</w:t>
      </w:r>
      <w:r w:rsidR="003821D4" w:rsidRPr="0017107A">
        <w:rPr>
          <w:rFonts w:eastAsia="Times New Roman"/>
        </w:rPr>
        <w:t xml:space="preserve">. </w:t>
      </w:r>
    </w:p>
    <w:p w14:paraId="69EF28A6" w14:textId="36C1513B" w:rsidR="005721D1" w:rsidRPr="0017107A" w:rsidRDefault="005721D1" w:rsidP="0017107A">
      <w:pPr>
        <w:spacing w:before="240" w:after="240" w:line="360" w:lineRule="auto"/>
        <w:jc w:val="center"/>
        <w:rPr>
          <w:rFonts w:eastAsia="Times New Roman"/>
          <w:b/>
        </w:rPr>
      </w:pPr>
      <w:r w:rsidRPr="0017107A">
        <w:rPr>
          <w:rFonts w:eastAsia="Times New Roman"/>
          <w:b/>
        </w:rPr>
        <w:t>Table 2: Correlation between profile characteristics &amp; their adoption</w:t>
      </w:r>
    </w:p>
    <w:tbl>
      <w:tblPr>
        <w:tblStyle w:val="TableGrid"/>
        <w:tblW w:w="0" w:type="auto"/>
        <w:jc w:val="center"/>
        <w:tblLook w:val="04A0" w:firstRow="1" w:lastRow="0" w:firstColumn="1" w:lastColumn="0" w:noHBand="0" w:noVBand="1"/>
      </w:tblPr>
      <w:tblGrid>
        <w:gridCol w:w="3055"/>
        <w:gridCol w:w="2850"/>
      </w:tblGrid>
      <w:tr w:rsidR="005721D1" w:rsidRPr="0017107A" w14:paraId="5DEE9E41" w14:textId="77777777" w:rsidTr="00E44948">
        <w:trPr>
          <w:jc w:val="center"/>
        </w:trPr>
        <w:tc>
          <w:tcPr>
            <w:tcW w:w="3055" w:type="dxa"/>
          </w:tcPr>
          <w:p w14:paraId="16F7679C" w14:textId="77777777" w:rsidR="005721D1" w:rsidRPr="0017107A" w:rsidRDefault="005721D1" w:rsidP="00BB2624">
            <w:pPr>
              <w:spacing w:line="360" w:lineRule="auto"/>
              <w:jc w:val="center"/>
              <w:rPr>
                <w:rFonts w:eastAsia="Times New Roman"/>
                <w:b/>
              </w:rPr>
            </w:pPr>
            <w:r w:rsidRPr="0017107A">
              <w:rPr>
                <w:rFonts w:eastAsia="Times New Roman"/>
                <w:b/>
              </w:rPr>
              <w:t>Variable</w:t>
            </w:r>
          </w:p>
        </w:tc>
        <w:tc>
          <w:tcPr>
            <w:tcW w:w="2850" w:type="dxa"/>
          </w:tcPr>
          <w:p w14:paraId="2C4E9674" w14:textId="6C750D41" w:rsidR="005721D1" w:rsidRPr="0017107A" w:rsidRDefault="005721D1" w:rsidP="00BB2624">
            <w:pPr>
              <w:spacing w:line="360" w:lineRule="auto"/>
              <w:jc w:val="center"/>
              <w:rPr>
                <w:rFonts w:eastAsia="Times New Roman"/>
                <w:b/>
              </w:rPr>
            </w:pPr>
            <w:r w:rsidRPr="0017107A">
              <w:rPr>
                <w:rFonts w:eastAsia="Times New Roman"/>
                <w:b/>
              </w:rPr>
              <w:t>Correlation coefficient</w:t>
            </w:r>
          </w:p>
        </w:tc>
      </w:tr>
      <w:tr w:rsidR="005721D1" w:rsidRPr="0017107A" w14:paraId="76B80A7A" w14:textId="77777777" w:rsidTr="00E44948">
        <w:trPr>
          <w:jc w:val="center"/>
        </w:trPr>
        <w:tc>
          <w:tcPr>
            <w:tcW w:w="3055" w:type="dxa"/>
          </w:tcPr>
          <w:p w14:paraId="263A13B5" w14:textId="77777777" w:rsidR="005721D1" w:rsidRPr="0017107A" w:rsidRDefault="005721D1" w:rsidP="00790B40">
            <w:pPr>
              <w:spacing w:line="360" w:lineRule="auto"/>
              <w:jc w:val="both"/>
              <w:rPr>
                <w:rFonts w:eastAsia="Times New Roman"/>
              </w:rPr>
            </w:pPr>
            <w:r w:rsidRPr="0017107A">
              <w:rPr>
                <w:rFonts w:eastAsia="Times New Roman"/>
              </w:rPr>
              <w:t xml:space="preserve">Age </w:t>
            </w:r>
          </w:p>
        </w:tc>
        <w:tc>
          <w:tcPr>
            <w:tcW w:w="2850" w:type="dxa"/>
          </w:tcPr>
          <w:p w14:paraId="1D12D668" w14:textId="77777777" w:rsidR="005721D1" w:rsidRPr="0017107A" w:rsidRDefault="005721D1" w:rsidP="00BB2624">
            <w:pPr>
              <w:spacing w:line="360" w:lineRule="auto"/>
              <w:jc w:val="center"/>
              <w:rPr>
                <w:rFonts w:eastAsia="Times New Roman"/>
              </w:rPr>
            </w:pPr>
            <w:r w:rsidRPr="0017107A">
              <w:rPr>
                <w:rFonts w:eastAsia="Times New Roman"/>
              </w:rPr>
              <w:t>-0.342</w:t>
            </w:r>
          </w:p>
        </w:tc>
      </w:tr>
      <w:tr w:rsidR="005721D1" w:rsidRPr="0017107A" w14:paraId="0EAB487B" w14:textId="77777777" w:rsidTr="00E44948">
        <w:trPr>
          <w:jc w:val="center"/>
        </w:trPr>
        <w:tc>
          <w:tcPr>
            <w:tcW w:w="3055" w:type="dxa"/>
          </w:tcPr>
          <w:p w14:paraId="0D76DB17" w14:textId="77777777" w:rsidR="005721D1" w:rsidRPr="0017107A" w:rsidRDefault="005721D1" w:rsidP="00790B40">
            <w:pPr>
              <w:spacing w:line="360" w:lineRule="auto"/>
              <w:jc w:val="both"/>
              <w:rPr>
                <w:rFonts w:eastAsia="Times New Roman"/>
              </w:rPr>
            </w:pPr>
            <w:r w:rsidRPr="0017107A">
              <w:rPr>
                <w:rFonts w:eastAsia="Times New Roman"/>
              </w:rPr>
              <w:t>Educational qualification</w:t>
            </w:r>
          </w:p>
        </w:tc>
        <w:tc>
          <w:tcPr>
            <w:tcW w:w="2850" w:type="dxa"/>
          </w:tcPr>
          <w:p w14:paraId="23BFC312" w14:textId="77777777" w:rsidR="005721D1" w:rsidRPr="0017107A" w:rsidRDefault="005721D1" w:rsidP="00BB2624">
            <w:pPr>
              <w:spacing w:line="360" w:lineRule="auto"/>
              <w:jc w:val="center"/>
              <w:rPr>
                <w:rFonts w:eastAsia="Times New Roman"/>
              </w:rPr>
            </w:pPr>
            <w:r w:rsidRPr="0017107A">
              <w:rPr>
                <w:rFonts w:eastAsia="Times New Roman"/>
              </w:rPr>
              <w:t>0.386</w:t>
            </w:r>
          </w:p>
        </w:tc>
      </w:tr>
      <w:tr w:rsidR="005721D1" w:rsidRPr="0017107A" w14:paraId="5A187BB3" w14:textId="77777777" w:rsidTr="00E44948">
        <w:trPr>
          <w:jc w:val="center"/>
        </w:trPr>
        <w:tc>
          <w:tcPr>
            <w:tcW w:w="3055" w:type="dxa"/>
          </w:tcPr>
          <w:p w14:paraId="5C086056" w14:textId="77777777" w:rsidR="005721D1" w:rsidRPr="0017107A" w:rsidRDefault="005721D1" w:rsidP="00790B40">
            <w:pPr>
              <w:spacing w:line="360" w:lineRule="auto"/>
              <w:jc w:val="both"/>
              <w:rPr>
                <w:rFonts w:eastAsia="Times New Roman"/>
              </w:rPr>
            </w:pPr>
            <w:r w:rsidRPr="0017107A">
              <w:rPr>
                <w:rFonts w:eastAsia="Times New Roman"/>
              </w:rPr>
              <w:t>Monthly income</w:t>
            </w:r>
          </w:p>
        </w:tc>
        <w:tc>
          <w:tcPr>
            <w:tcW w:w="2850" w:type="dxa"/>
          </w:tcPr>
          <w:p w14:paraId="4864B249" w14:textId="77777777" w:rsidR="005721D1" w:rsidRPr="0017107A" w:rsidRDefault="005721D1" w:rsidP="00BB2624">
            <w:pPr>
              <w:spacing w:line="360" w:lineRule="auto"/>
              <w:jc w:val="center"/>
              <w:rPr>
                <w:rFonts w:eastAsia="Times New Roman"/>
              </w:rPr>
            </w:pPr>
            <w:r w:rsidRPr="0017107A">
              <w:rPr>
                <w:rFonts w:eastAsia="Times New Roman"/>
              </w:rPr>
              <w:t>0.206</w:t>
            </w:r>
          </w:p>
        </w:tc>
      </w:tr>
      <w:tr w:rsidR="005721D1" w:rsidRPr="0017107A" w14:paraId="2E9A1558" w14:textId="77777777" w:rsidTr="00E44948">
        <w:trPr>
          <w:jc w:val="center"/>
        </w:trPr>
        <w:tc>
          <w:tcPr>
            <w:tcW w:w="3055" w:type="dxa"/>
          </w:tcPr>
          <w:p w14:paraId="784E726B" w14:textId="77777777" w:rsidR="005721D1" w:rsidRPr="0017107A" w:rsidRDefault="005721D1" w:rsidP="00790B40">
            <w:pPr>
              <w:spacing w:line="360" w:lineRule="auto"/>
              <w:jc w:val="both"/>
              <w:rPr>
                <w:rFonts w:eastAsia="Times New Roman"/>
              </w:rPr>
            </w:pPr>
            <w:r w:rsidRPr="0017107A">
              <w:rPr>
                <w:rFonts w:eastAsia="Times New Roman"/>
              </w:rPr>
              <w:t xml:space="preserve">Cropping intensity </w:t>
            </w:r>
          </w:p>
        </w:tc>
        <w:tc>
          <w:tcPr>
            <w:tcW w:w="2850" w:type="dxa"/>
          </w:tcPr>
          <w:p w14:paraId="74885E64" w14:textId="77777777" w:rsidR="005721D1" w:rsidRPr="0017107A" w:rsidRDefault="005721D1" w:rsidP="00BB2624">
            <w:pPr>
              <w:spacing w:line="360" w:lineRule="auto"/>
              <w:jc w:val="center"/>
              <w:rPr>
                <w:rFonts w:eastAsia="Times New Roman"/>
              </w:rPr>
            </w:pPr>
            <w:r w:rsidRPr="0017107A">
              <w:rPr>
                <w:rFonts w:eastAsia="Times New Roman"/>
              </w:rPr>
              <w:t>0.288</w:t>
            </w:r>
          </w:p>
        </w:tc>
      </w:tr>
      <w:tr w:rsidR="005721D1" w:rsidRPr="0017107A" w14:paraId="2A116E76" w14:textId="77777777" w:rsidTr="00E44948">
        <w:trPr>
          <w:jc w:val="center"/>
        </w:trPr>
        <w:tc>
          <w:tcPr>
            <w:tcW w:w="3055" w:type="dxa"/>
          </w:tcPr>
          <w:p w14:paraId="6831A3EA" w14:textId="77777777" w:rsidR="005721D1" w:rsidRPr="0017107A" w:rsidRDefault="005721D1" w:rsidP="00790B40">
            <w:pPr>
              <w:spacing w:line="360" w:lineRule="auto"/>
              <w:jc w:val="both"/>
              <w:rPr>
                <w:rFonts w:eastAsia="Times New Roman"/>
              </w:rPr>
            </w:pPr>
            <w:r w:rsidRPr="0017107A">
              <w:rPr>
                <w:rFonts w:eastAsia="Times New Roman"/>
              </w:rPr>
              <w:t>Cultivable land</w:t>
            </w:r>
          </w:p>
        </w:tc>
        <w:tc>
          <w:tcPr>
            <w:tcW w:w="2850" w:type="dxa"/>
          </w:tcPr>
          <w:p w14:paraId="536A24C5" w14:textId="77777777" w:rsidR="005721D1" w:rsidRPr="0017107A" w:rsidRDefault="005721D1" w:rsidP="00BB2624">
            <w:pPr>
              <w:spacing w:line="360" w:lineRule="auto"/>
              <w:jc w:val="center"/>
              <w:rPr>
                <w:rFonts w:eastAsia="Times New Roman"/>
              </w:rPr>
            </w:pPr>
            <w:r w:rsidRPr="0017107A">
              <w:rPr>
                <w:rFonts w:eastAsia="Times New Roman"/>
              </w:rPr>
              <w:t>0.316</w:t>
            </w:r>
          </w:p>
        </w:tc>
      </w:tr>
      <w:tr w:rsidR="005721D1" w:rsidRPr="0017107A" w14:paraId="6FB90F52" w14:textId="77777777" w:rsidTr="00E44948">
        <w:trPr>
          <w:jc w:val="center"/>
        </w:trPr>
        <w:tc>
          <w:tcPr>
            <w:tcW w:w="3055" w:type="dxa"/>
          </w:tcPr>
          <w:p w14:paraId="79C776FC" w14:textId="77777777" w:rsidR="005721D1" w:rsidRPr="0017107A" w:rsidRDefault="005721D1" w:rsidP="00790B40">
            <w:pPr>
              <w:spacing w:line="360" w:lineRule="auto"/>
              <w:jc w:val="both"/>
              <w:rPr>
                <w:rFonts w:eastAsia="Times New Roman"/>
              </w:rPr>
            </w:pPr>
            <w:r w:rsidRPr="0017107A">
              <w:rPr>
                <w:rFonts w:eastAsia="Times New Roman"/>
              </w:rPr>
              <w:t xml:space="preserve">Farming Experience </w:t>
            </w:r>
          </w:p>
        </w:tc>
        <w:tc>
          <w:tcPr>
            <w:tcW w:w="2850" w:type="dxa"/>
          </w:tcPr>
          <w:p w14:paraId="742CA4BE" w14:textId="77777777" w:rsidR="005721D1" w:rsidRPr="0017107A" w:rsidRDefault="005721D1" w:rsidP="00BB2624">
            <w:pPr>
              <w:spacing w:line="360" w:lineRule="auto"/>
              <w:jc w:val="center"/>
              <w:rPr>
                <w:rFonts w:eastAsia="Times New Roman"/>
              </w:rPr>
            </w:pPr>
            <w:r w:rsidRPr="0017107A">
              <w:rPr>
                <w:rFonts w:eastAsia="Times New Roman"/>
              </w:rPr>
              <w:t>-0.172</w:t>
            </w:r>
          </w:p>
        </w:tc>
      </w:tr>
    </w:tbl>
    <w:p w14:paraId="298DB833" w14:textId="77777777" w:rsidR="005721D1" w:rsidRPr="0017107A" w:rsidRDefault="005721D1" w:rsidP="005721D1">
      <w:pPr>
        <w:spacing w:before="240" w:after="240" w:line="360" w:lineRule="auto"/>
        <w:jc w:val="both"/>
        <w:rPr>
          <w:rFonts w:eastAsia="Times New Roman"/>
        </w:rPr>
      </w:pPr>
      <w:r w:rsidRPr="0017107A">
        <w:rPr>
          <w:rFonts w:eastAsia="Times New Roman"/>
        </w:rPr>
        <w:t xml:space="preserve">The correlation analysis </w:t>
      </w:r>
      <w:r w:rsidR="004E4439" w:rsidRPr="0017107A">
        <w:rPr>
          <w:rFonts w:eastAsia="Times New Roman"/>
        </w:rPr>
        <w:t xml:space="preserve">given above </w:t>
      </w:r>
      <w:r w:rsidRPr="0017107A">
        <w:rPr>
          <w:rFonts w:eastAsia="Times New Roman"/>
        </w:rPr>
        <w:t>offers valuable insights into how various farmer and farm characteristics influence the commercial adoption of millets in the hill regions of Uttarakhand.</w:t>
      </w:r>
    </w:p>
    <w:p w14:paraId="3CE0364C" w14:textId="77777777" w:rsidR="005721D1" w:rsidRPr="0017107A" w:rsidRDefault="005721D1" w:rsidP="00BB2624">
      <w:pPr>
        <w:pStyle w:val="ListParagraph"/>
        <w:numPr>
          <w:ilvl w:val="0"/>
          <w:numId w:val="14"/>
        </w:numPr>
        <w:spacing w:before="240" w:after="240" w:line="360" w:lineRule="auto"/>
        <w:jc w:val="both"/>
        <w:rPr>
          <w:rFonts w:ascii="Arial" w:eastAsia="Times New Roman" w:hAnsi="Arial" w:cs="Arial"/>
        </w:rPr>
      </w:pPr>
      <w:r w:rsidRPr="0017107A">
        <w:rPr>
          <w:rFonts w:ascii="Arial" w:eastAsia="Times New Roman" w:hAnsi="Arial" w:cs="Arial"/>
        </w:rPr>
        <w:t xml:space="preserve">The </w:t>
      </w:r>
      <w:r w:rsidRPr="0017107A">
        <w:rPr>
          <w:rFonts w:ascii="Arial" w:eastAsia="Times New Roman" w:hAnsi="Arial" w:cs="Arial"/>
          <w:b/>
          <w:bCs/>
        </w:rPr>
        <w:t>negative correlation with age (-0.342)</w:t>
      </w:r>
      <w:r w:rsidRPr="0017107A">
        <w:rPr>
          <w:rFonts w:ascii="Arial" w:eastAsia="Times New Roman" w:hAnsi="Arial" w:cs="Arial"/>
        </w:rPr>
        <w:t xml:space="preserve"> indicates that younger farmers are more inclined toward millet commercialization. This may be due to their openness to innovation, greater adaptability to new practices, and willingness to engage with emerging markets and technologies. In contrast, older farmers might be more risk-averse and </w:t>
      </w:r>
      <w:r w:rsidR="00B3125A" w:rsidRPr="0017107A">
        <w:rPr>
          <w:rFonts w:ascii="Arial" w:eastAsia="Times New Roman" w:hAnsi="Arial" w:cs="Arial"/>
        </w:rPr>
        <w:t xml:space="preserve">therefore </w:t>
      </w:r>
      <w:r w:rsidRPr="0017107A">
        <w:rPr>
          <w:rFonts w:ascii="Arial" w:eastAsia="Times New Roman" w:hAnsi="Arial" w:cs="Arial"/>
        </w:rPr>
        <w:t>inclined to subsistence-level farming.</w:t>
      </w:r>
    </w:p>
    <w:p w14:paraId="008FDD2D" w14:textId="77777777" w:rsidR="005721D1" w:rsidRPr="0017107A" w:rsidRDefault="005721D1" w:rsidP="00BB2624">
      <w:pPr>
        <w:pStyle w:val="ListParagraph"/>
        <w:numPr>
          <w:ilvl w:val="0"/>
          <w:numId w:val="14"/>
        </w:numPr>
        <w:spacing w:before="240" w:after="240" w:line="360" w:lineRule="auto"/>
        <w:jc w:val="both"/>
        <w:rPr>
          <w:rFonts w:ascii="Arial" w:eastAsia="Times New Roman" w:hAnsi="Arial" w:cs="Arial"/>
        </w:rPr>
      </w:pPr>
      <w:r w:rsidRPr="0017107A">
        <w:rPr>
          <w:rFonts w:ascii="Arial" w:eastAsia="Times New Roman" w:hAnsi="Arial" w:cs="Arial"/>
        </w:rPr>
        <w:lastRenderedPageBreak/>
        <w:t xml:space="preserve">A </w:t>
      </w:r>
      <w:r w:rsidRPr="0017107A">
        <w:rPr>
          <w:rFonts w:ascii="Arial" w:eastAsia="Times New Roman" w:hAnsi="Arial" w:cs="Arial"/>
          <w:b/>
          <w:bCs/>
        </w:rPr>
        <w:t>positive and moderately strong correlation with education (0.386)</w:t>
      </w:r>
      <w:r w:rsidRPr="0017107A">
        <w:rPr>
          <w:rFonts w:ascii="Arial" w:eastAsia="Times New Roman" w:hAnsi="Arial" w:cs="Arial"/>
        </w:rPr>
        <w:t xml:space="preserve"> suggests that better-educated farmers are more likely to adopt millets commercially. This aligns with earlier findings (e.g., Wossen et al., 2017), where education enhanced access to information, credit, and markets, all crucial for commercialization.</w:t>
      </w:r>
    </w:p>
    <w:p w14:paraId="2A24B97A" w14:textId="77777777" w:rsidR="005721D1" w:rsidRPr="0017107A" w:rsidRDefault="005721D1" w:rsidP="00BB2624">
      <w:pPr>
        <w:pStyle w:val="ListParagraph"/>
        <w:numPr>
          <w:ilvl w:val="0"/>
          <w:numId w:val="14"/>
        </w:numPr>
        <w:spacing w:before="240" w:after="240" w:line="360" w:lineRule="auto"/>
        <w:jc w:val="both"/>
        <w:rPr>
          <w:rFonts w:ascii="Arial" w:eastAsia="Times New Roman" w:hAnsi="Arial" w:cs="Arial"/>
        </w:rPr>
      </w:pPr>
      <w:r w:rsidRPr="0017107A">
        <w:rPr>
          <w:rFonts w:ascii="Arial" w:eastAsia="Times New Roman" w:hAnsi="Arial" w:cs="Arial"/>
          <w:b/>
          <w:bCs/>
        </w:rPr>
        <w:t>Monthly income (0.206)</w:t>
      </w:r>
      <w:r w:rsidRPr="0017107A">
        <w:rPr>
          <w:rFonts w:ascii="Arial" w:eastAsia="Times New Roman" w:hAnsi="Arial" w:cs="Arial"/>
        </w:rPr>
        <w:t xml:space="preserve"> and </w:t>
      </w:r>
      <w:r w:rsidRPr="0017107A">
        <w:rPr>
          <w:rFonts w:ascii="Arial" w:eastAsia="Times New Roman" w:hAnsi="Arial" w:cs="Arial"/>
          <w:b/>
          <w:bCs/>
        </w:rPr>
        <w:t>cropping intensity (0.288)</w:t>
      </w:r>
      <w:r w:rsidRPr="0017107A">
        <w:rPr>
          <w:rFonts w:ascii="Arial" w:eastAsia="Times New Roman" w:hAnsi="Arial" w:cs="Arial"/>
        </w:rPr>
        <w:t xml:space="preserve"> also show positive correlations, indicating that resource-rich farmers with better cropping efficiency are more commercially oriented. Higher income allows investment in inputs, labo</w:t>
      </w:r>
      <w:r w:rsidR="00B3125A" w:rsidRPr="0017107A">
        <w:rPr>
          <w:rFonts w:ascii="Arial" w:eastAsia="Times New Roman" w:hAnsi="Arial" w:cs="Arial"/>
        </w:rPr>
        <w:t>u</w:t>
      </w:r>
      <w:r w:rsidRPr="0017107A">
        <w:rPr>
          <w:rFonts w:ascii="Arial" w:eastAsia="Times New Roman" w:hAnsi="Arial" w:cs="Arial"/>
        </w:rPr>
        <w:t>r, and post-harvest infrastructure, while intensified cropping reflects a higher level of farm management.</w:t>
      </w:r>
    </w:p>
    <w:p w14:paraId="5DEC44A7" w14:textId="77777777" w:rsidR="005721D1" w:rsidRPr="0017107A" w:rsidRDefault="005721D1" w:rsidP="00BB2624">
      <w:pPr>
        <w:pStyle w:val="ListParagraph"/>
        <w:numPr>
          <w:ilvl w:val="0"/>
          <w:numId w:val="14"/>
        </w:numPr>
        <w:spacing w:before="240" w:after="240" w:line="360" w:lineRule="auto"/>
        <w:jc w:val="both"/>
        <w:rPr>
          <w:rFonts w:ascii="Arial" w:eastAsia="Times New Roman" w:hAnsi="Arial" w:cs="Arial"/>
        </w:rPr>
      </w:pPr>
      <w:r w:rsidRPr="0017107A">
        <w:rPr>
          <w:rFonts w:ascii="Arial" w:eastAsia="Times New Roman" w:hAnsi="Arial" w:cs="Arial"/>
          <w:b/>
          <w:bCs/>
        </w:rPr>
        <w:t>Cultivable land shows a moderate positive correlation (0.316)</w:t>
      </w:r>
      <w:r w:rsidRPr="0017107A">
        <w:rPr>
          <w:rFonts w:ascii="Arial" w:eastAsia="Times New Roman" w:hAnsi="Arial" w:cs="Arial"/>
        </w:rPr>
        <w:t>, highlighting that land availability is a key enabler of commercial millet production. Farmers with larger landholdings can produce surplus and benefit from economies of scale, making commercial cultivation more viable.</w:t>
      </w:r>
    </w:p>
    <w:p w14:paraId="4C129D03" w14:textId="77777777" w:rsidR="005721D1" w:rsidRPr="0017107A" w:rsidRDefault="005721D1" w:rsidP="00BB2624">
      <w:pPr>
        <w:pStyle w:val="ListParagraph"/>
        <w:numPr>
          <w:ilvl w:val="0"/>
          <w:numId w:val="14"/>
        </w:numPr>
        <w:spacing w:before="240" w:after="240" w:line="360" w:lineRule="auto"/>
        <w:jc w:val="both"/>
        <w:rPr>
          <w:rFonts w:ascii="Arial" w:eastAsia="Times New Roman" w:hAnsi="Arial" w:cs="Arial"/>
        </w:rPr>
      </w:pPr>
      <w:r w:rsidRPr="0017107A">
        <w:rPr>
          <w:rFonts w:ascii="Arial" w:eastAsia="Times New Roman" w:hAnsi="Arial" w:cs="Arial"/>
        </w:rPr>
        <w:t xml:space="preserve">Interestingly, </w:t>
      </w:r>
      <w:r w:rsidRPr="0017107A">
        <w:rPr>
          <w:rFonts w:ascii="Arial" w:eastAsia="Times New Roman" w:hAnsi="Arial" w:cs="Arial"/>
          <w:b/>
          <w:bCs/>
        </w:rPr>
        <w:t>farming experience has a negative correlation (-0.172)</w:t>
      </w:r>
      <w:r w:rsidRPr="0017107A">
        <w:rPr>
          <w:rFonts w:ascii="Arial" w:eastAsia="Times New Roman" w:hAnsi="Arial" w:cs="Arial"/>
        </w:rPr>
        <w:t>. This finding might reflect the reluctance of traditionally experienced farmers to shift away from conventional practices or try newer marketing models. It reinforces the importance of targeted awareness and retraining program</w:t>
      </w:r>
      <w:r w:rsidR="00D91ADC" w:rsidRPr="0017107A">
        <w:rPr>
          <w:rFonts w:ascii="Arial" w:eastAsia="Times New Roman" w:hAnsi="Arial" w:cs="Arial"/>
        </w:rPr>
        <w:t>me</w:t>
      </w:r>
      <w:r w:rsidRPr="0017107A">
        <w:rPr>
          <w:rFonts w:ascii="Arial" w:eastAsia="Times New Roman" w:hAnsi="Arial" w:cs="Arial"/>
        </w:rPr>
        <w:t>s for older and more experienced farmers.</w:t>
      </w:r>
    </w:p>
    <w:p w14:paraId="011E5243" w14:textId="77777777" w:rsidR="005721D1" w:rsidRPr="0017107A" w:rsidRDefault="00766622" w:rsidP="004E4439">
      <w:pPr>
        <w:spacing w:before="240" w:after="240" w:line="360" w:lineRule="auto"/>
        <w:jc w:val="both"/>
        <w:rPr>
          <w:rFonts w:eastAsia="Times New Roman"/>
        </w:rPr>
      </w:pPr>
      <w:r w:rsidRPr="0017107A">
        <w:rPr>
          <w:rFonts w:eastAsia="Times New Roman"/>
        </w:rPr>
        <w:t>Thus,</w:t>
      </w:r>
      <w:r w:rsidR="005721D1" w:rsidRPr="0017107A">
        <w:rPr>
          <w:rFonts w:eastAsia="Times New Roman"/>
        </w:rPr>
        <w:t xml:space="preserve"> we can conclude that: (</w:t>
      </w:r>
      <w:proofErr w:type="spellStart"/>
      <w:r w:rsidR="005721D1" w:rsidRPr="0017107A">
        <w:rPr>
          <w:rFonts w:eastAsia="Times New Roman"/>
        </w:rPr>
        <w:t>i</w:t>
      </w:r>
      <w:proofErr w:type="spellEnd"/>
      <w:r w:rsidR="005721D1" w:rsidRPr="0017107A">
        <w:rPr>
          <w:rFonts w:eastAsia="Times New Roman"/>
        </w:rPr>
        <w:t xml:space="preserve">). </w:t>
      </w:r>
      <w:r w:rsidR="005721D1" w:rsidRPr="0017107A">
        <w:rPr>
          <w:rFonts w:eastAsia="Times New Roman"/>
          <w:bCs/>
        </w:rPr>
        <w:t>Younger, better-educated farmers</w:t>
      </w:r>
      <w:r w:rsidR="005721D1" w:rsidRPr="0017107A">
        <w:rPr>
          <w:rFonts w:eastAsia="Times New Roman"/>
        </w:rPr>
        <w:t xml:space="preserve"> should be focal points for pilot commercialization initiatives, (ii). Capacity-building and </w:t>
      </w:r>
      <w:r w:rsidR="005721D1" w:rsidRPr="0017107A">
        <w:rPr>
          <w:rFonts w:eastAsia="Times New Roman"/>
          <w:bCs/>
        </w:rPr>
        <w:t>customized extension programs</w:t>
      </w:r>
      <w:r w:rsidR="005721D1" w:rsidRPr="0017107A">
        <w:rPr>
          <w:rFonts w:eastAsia="Times New Roman"/>
        </w:rPr>
        <w:t xml:space="preserve"> are needed for experienced and older farmers to overcome resistance to market integration, (iii). Access to </w:t>
      </w:r>
      <w:r w:rsidR="005721D1" w:rsidRPr="0017107A">
        <w:rPr>
          <w:rFonts w:eastAsia="Times New Roman"/>
          <w:bCs/>
        </w:rPr>
        <w:t>credit, land consolidation mechanisms</w:t>
      </w:r>
      <w:r w:rsidR="005721D1" w:rsidRPr="0017107A">
        <w:rPr>
          <w:rFonts w:eastAsia="Times New Roman"/>
        </w:rPr>
        <w:t xml:space="preserve">, and </w:t>
      </w:r>
      <w:r w:rsidR="005721D1" w:rsidRPr="0017107A">
        <w:rPr>
          <w:rFonts w:eastAsia="Times New Roman"/>
          <w:bCs/>
        </w:rPr>
        <w:t>infrastructure</w:t>
      </w:r>
      <w:r w:rsidR="005721D1" w:rsidRPr="0017107A">
        <w:rPr>
          <w:rFonts w:eastAsia="Times New Roman"/>
        </w:rPr>
        <w:t xml:space="preserve"> </w:t>
      </w:r>
      <w:r w:rsidR="00CD0BC5" w:rsidRPr="0017107A">
        <w:rPr>
          <w:rFonts w:eastAsia="Times New Roman"/>
        </w:rPr>
        <w:t>are</w:t>
      </w:r>
      <w:r w:rsidR="005721D1" w:rsidRPr="0017107A">
        <w:rPr>
          <w:rFonts w:eastAsia="Times New Roman"/>
        </w:rPr>
        <w:t xml:space="preserve"> vital to support low-income and smallholding farmers, and (iv). </w:t>
      </w:r>
      <w:r w:rsidR="005721D1" w:rsidRPr="0017107A">
        <w:rPr>
          <w:rFonts w:eastAsia="Times New Roman"/>
          <w:bCs/>
        </w:rPr>
        <w:t>Strengthening education and awareness</w:t>
      </w:r>
      <w:r w:rsidR="005721D1" w:rsidRPr="0017107A">
        <w:rPr>
          <w:rFonts w:eastAsia="Times New Roman"/>
        </w:rPr>
        <w:t xml:space="preserve"> among farmers can act as a long-term strategy to boost millet commercialization.</w:t>
      </w:r>
    </w:p>
    <w:p w14:paraId="03468379" w14:textId="77777777" w:rsidR="001E5425" w:rsidRPr="0017107A" w:rsidRDefault="0017107A" w:rsidP="001E5425">
      <w:pPr>
        <w:spacing w:before="240" w:after="240" w:line="360" w:lineRule="auto"/>
        <w:jc w:val="both"/>
      </w:pPr>
      <w:r w:rsidRPr="0017107A">
        <w:rPr>
          <w:rFonts w:eastAsia="Times New Roman"/>
          <w:b/>
          <w:bCs/>
          <w:i/>
        </w:rPr>
        <w:t xml:space="preserve">3.3 </w:t>
      </w:r>
      <w:r w:rsidR="00391200" w:rsidRPr="0017107A">
        <w:rPr>
          <w:rFonts w:eastAsia="Times New Roman"/>
          <w:b/>
          <w:bCs/>
          <w:i/>
        </w:rPr>
        <w:t>Influence of farmer</w:t>
      </w:r>
      <w:r w:rsidR="005C7027" w:rsidRPr="0017107A">
        <w:rPr>
          <w:rFonts w:eastAsia="Times New Roman"/>
          <w:b/>
          <w:bCs/>
          <w:i/>
        </w:rPr>
        <w:t>s</w:t>
      </w:r>
      <w:r w:rsidR="00391200" w:rsidRPr="0017107A">
        <w:rPr>
          <w:rFonts w:eastAsia="Times New Roman"/>
          <w:b/>
          <w:bCs/>
          <w:i/>
        </w:rPr>
        <w:t xml:space="preserve"> and farm characteristics on adoption </w:t>
      </w:r>
      <w:r w:rsidR="005C7027" w:rsidRPr="0017107A">
        <w:rPr>
          <w:rFonts w:eastAsia="Times New Roman"/>
          <w:b/>
          <w:bCs/>
          <w:i/>
        </w:rPr>
        <w:t xml:space="preserve">of millet adoption </w:t>
      </w:r>
      <w:r w:rsidR="00391200" w:rsidRPr="0017107A">
        <w:rPr>
          <w:rFonts w:eastAsia="Times New Roman"/>
          <w:b/>
          <w:bCs/>
          <w:i/>
        </w:rPr>
        <w:t>score</w:t>
      </w:r>
      <w:r w:rsidR="00D33030" w:rsidRPr="0017107A">
        <w:rPr>
          <w:rFonts w:eastAsia="Times New Roman"/>
          <w:b/>
          <w:bCs/>
          <w:i/>
        </w:rPr>
        <w:t xml:space="preserve">: </w:t>
      </w:r>
      <w:r w:rsidR="00D33030" w:rsidRPr="0017107A">
        <w:rPr>
          <w:rFonts w:eastAsia="Times New Roman"/>
          <w:iCs/>
        </w:rPr>
        <w:t xml:space="preserve">Regression analysis is a powerful statistical tool which is used to understand and quantify the relationship between </w:t>
      </w:r>
      <w:r w:rsidR="00D33030" w:rsidRPr="007218CE">
        <w:rPr>
          <w:rFonts w:eastAsia="Times New Roman"/>
          <w:iCs/>
        </w:rPr>
        <w:t xml:space="preserve">a dependent variable and one or more independent variables. In the context of analyzing the </w:t>
      </w:r>
      <w:r w:rsidR="00D33030" w:rsidRPr="007218CE">
        <w:rPr>
          <w:rFonts w:eastAsia="Times New Roman"/>
          <w:bCs/>
          <w:iCs/>
        </w:rPr>
        <w:t>influence of farmer and farm characteristics on adoption</w:t>
      </w:r>
      <w:r w:rsidR="00D33030" w:rsidRPr="0017107A">
        <w:rPr>
          <w:rFonts w:eastAsia="Times New Roman"/>
          <w:b/>
          <w:bCs/>
          <w:iCs/>
        </w:rPr>
        <w:t xml:space="preserve"> </w:t>
      </w:r>
      <w:r w:rsidR="00D33030" w:rsidRPr="0017107A">
        <w:rPr>
          <w:rFonts w:eastAsia="Times New Roman"/>
          <w:iCs/>
        </w:rPr>
        <w:t>of millet commercialization, its significance lies in several key areas as may be explained by the regression analysis. The study findings in this respect are given in table-3 below.</w:t>
      </w:r>
    </w:p>
    <w:p w14:paraId="432E761A" w14:textId="77777777" w:rsidR="005C27F9" w:rsidRPr="0017107A" w:rsidRDefault="00ED20D2" w:rsidP="00D33030">
      <w:pPr>
        <w:spacing w:before="240" w:after="240" w:line="360" w:lineRule="auto"/>
        <w:jc w:val="center"/>
        <w:rPr>
          <w:rFonts w:eastAsia="Times New Roman"/>
          <w:b/>
        </w:rPr>
      </w:pPr>
      <w:r w:rsidRPr="0017107A">
        <w:rPr>
          <w:rFonts w:eastAsia="Times New Roman"/>
          <w:b/>
        </w:rPr>
        <w:t>Table 3</w:t>
      </w:r>
      <w:r w:rsidR="005C27F9" w:rsidRPr="0017107A">
        <w:rPr>
          <w:rFonts w:eastAsia="Times New Roman"/>
          <w:b/>
        </w:rPr>
        <w:t xml:space="preserve">: Regression analysis </w:t>
      </w:r>
      <w:r w:rsidRPr="0017107A">
        <w:rPr>
          <w:rFonts w:eastAsia="Times New Roman"/>
          <w:b/>
        </w:rPr>
        <w:t>between profile characteristics and their adoption</w:t>
      </w:r>
    </w:p>
    <w:tbl>
      <w:tblPr>
        <w:tblStyle w:val="TableGrid"/>
        <w:tblW w:w="0" w:type="auto"/>
        <w:jc w:val="center"/>
        <w:tblLook w:val="04A0" w:firstRow="1" w:lastRow="0" w:firstColumn="1" w:lastColumn="0" w:noHBand="0" w:noVBand="1"/>
      </w:tblPr>
      <w:tblGrid>
        <w:gridCol w:w="2410"/>
        <w:gridCol w:w="2126"/>
        <w:gridCol w:w="1892"/>
        <w:gridCol w:w="1323"/>
        <w:gridCol w:w="1512"/>
      </w:tblGrid>
      <w:tr w:rsidR="001B7060" w:rsidRPr="0017107A" w14:paraId="3E7CCDB9" w14:textId="77777777" w:rsidTr="00184246">
        <w:trPr>
          <w:jc w:val="center"/>
        </w:trPr>
        <w:tc>
          <w:tcPr>
            <w:tcW w:w="2410" w:type="dxa"/>
          </w:tcPr>
          <w:p w14:paraId="68758ACF" w14:textId="77777777" w:rsidR="001B7060" w:rsidRPr="0017107A" w:rsidRDefault="00356938" w:rsidP="005769C6">
            <w:pPr>
              <w:spacing w:line="360" w:lineRule="auto"/>
              <w:jc w:val="center"/>
              <w:rPr>
                <w:rFonts w:eastAsia="Times New Roman"/>
                <w:b/>
                <w:bCs/>
              </w:rPr>
            </w:pPr>
            <w:r w:rsidRPr="0017107A">
              <w:rPr>
                <w:rFonts w:eastAsia="Times New Roman"/>
                <w:b/>
                <w:bCs/>
              </w:rPr>
              <w:t>Model summary</w:t>
            </w:r>
          </w:p>
        </w:tc>
        <w:tc>
          <w:tcPr>
            <w:tcW w:w="2126" w:type="dxa"/>
          </w:tcPr>
          <w:p w14:paraId="005B241C" w14:textId="77777777" w:rsidR="001B7060" w:rsidRPr="0017107A" w:rsidRDefault="001B7060" w:rsidP="005769C6">
            <w:pPr>
              <w:spacing w:line="360" w:lineRule="auto"/>
              <w:jc w:val="center"/>
              <w:rPr>
                <w:rFonts w:eastAsia="Times New Roman"/>
                <w:b/>
                <w:bCs/>
              </w:rPr>
            </w:pPr>
            <w:r w:rsidRPr="0017107A">
              <w:rPr>
                <w:rFonts w:eastAsia="Times New Roman"/>
                <w:b/>
                <w:bCs/>
              </w:rPr>
              <w:t>Standard error</w:t>
            </w:r>
          </w:p>
        </w:tc>
        <w:tc>
          <w:tcPr>
            <w:tcW w:w="1892" w:type="dxa"/>
          </w:tcPr>
          <w:p w14:paraId="4384F1C8" w14:textId="77777777" w:rsidR="001B7060" w:rsidRPr="0017107A" w:rsidRDefault="001B7060" w:rsidP="005769C6">
            <w:pPr>
              <w:spacing w:line="360" w:lineRule="auto"/>
              <w:jc w:val="center"/>
              <w:rPr>
                <w:rFonts w:eastAsia="Times New Roman"/>
                <w:b/>
                <w:bCs/>
              </w:rPr>
            </w:pPr>
            <w:r w:rsidRPr="0017107A">
              <w:rPr>
                <w:rFonts w:eastAsia="Times New Roman"/>
                <w:b/>
                <w:bCs/>
              </w:rPr>
              <w:t>Beta coefficient</w:t>
            </w:r>
          </w:p>
        </w:tc>
        <w:tc>
          <w:tcPr>
            <w:tcW w:w="1323" w:type="dxa"/>
          </w:tcPr>
          <w:p w14:paraId="5E3C548E" w14:textId="77777777" w:rsidR="001B7060" w:rsidRPr="0017107A" w:rsidRDefault="001B7060" w:rsidP="005769C6">
            <w:pPr>
              <w:spacing w:line="360" w:lineRule="auto"/>
              <w:jc w:val="center"/>
              <w:rPr>
                <w:rFonts w:eastAsia="Times New Roman"/>
                <w:b/>
                <w:bCs/>
              </w:rPr>
            </w:pPr>
            <w:r w:rsidRPr="0017107A">
              <w:rPr>
                <w:rFonts w:eastAsia="Times New Roman"/>
                <w:b/>
                <w:bCs/>
              </w:rPr>
              <w:t>t-value</w:t>
            </w:r>
          </w:p>
        </w:tc>
        <w:tc>
          <w:tcPr>
            <w:tcW w:w="1462" w:type="dxa"/>
          </w:tcPr>
          <w:p w14:paraId="4B84BE13" w14:textId="77777777" w:rsidR="001B7060" w:rsidRPr="0017107A" w:rsidRDefault="00392024" w:rsidP="005769C6">
            <w:pPr>
              <w:spacing w:line="360" w:lineRule="auto"/>
              <w:jc w:val="center"/>
              <w:rPr>
                <w:rFonts w:eastAsia="Times New Roman"/>
                <w:b/>
                <w:bCs/>
              </w:rPr>
            </w:pPr>
            <w:r w:rsidRPr="0017107A">
              <w:rPr>
                <w:rFonts w:eastAsia="Times New Roman"/>
                <w:b/>
                <w:bCs/>
              </w:rPr>
              <w:t>S</w:t>
            </w:r>
            <w:r w:rsidR="001B7060" w:rsidRPr="0017107A">
              <w:rPr>
                <w:rFonts w:eastAsia="Times New Roman"/>
                <w:b/>
                <w:bCs/>
              </w:rPr>
              <w:t>ignif</w:t>
            </w:r>
            <w:r w:rsidRPr="0017107A">
              <w:rPr>
                <w:rFonts w:eastAsia="Times New Roman"/>
                <w:b/>
                <w:bCs/>
              </w:rPr>
              <w:t>icance</w:t>
            </w:r>
          </w:p>
        </w:tc>
      </w:tr>
      <w:tr w:rsidR="000B7E4A" w:rsidRPr="0017107A" w14:paraId="1D839E0D" w14:textId="77777777" w:rsidTr="00184246">
        <w:trPr>
          <w:jc w:val="center"/>
        </w:trPr>
        <w:tc>
          <w:tcPr>
            <w:tcW w:w="2410" w:type="dxa"/>
          </w:tcPr>
          <w:p w14:paraId="54ECFE7C" w14:textId="77777777" w:rsidR="000B7E4A" w:rsidRPr="0017107A" w:rsidRDefault="000B7E4A" w:rsidP="00AD4E64">
            <w:pPr>
              <w:spacing w:line="360" w:lineRule="auto"/>
              <w:jc w:val="both"/>
              <w:rPr>
                <w:rFonts w:eastAsia="Times New Roman"/>
              </w:rPr>
            </w:pPr>
            <w:r w:rsidRPr="0017107A">
              <w:rPr>
                <w:rFonts w:eastAsia="Times New Roman"/>
              </w:rPr>
              <w:lastRenderedPageBreak/>
              <w:t xml:space="preserve">Constant </w:t>
            </w:r>
          </w:p>
        </w:tc>
        <w:tc>
          <w:tcPr>
            <w:tcW w:w="2126" w:type="dxa"/>
            <w:vAlign w:val="center"/>
          </w:tcPr>
          <w:p w14:paraId="22EBB171" w14:textId="77777777" w:rsidR="000B7E4A" w:rsidRPr="0017107A" w:rsidRDefault="000B7E4A" w:rsidP="005769C6">
            <w:pPr>
              <w:spacing w:line="360" w:lineRule="auto"/>
              <w:jc w:val="center"/>
              <w:rPr>
                <w:rFonts w:eastAsia="Times New Roman"/>
              </w:rPr>
            </w:pPr>
            <w:r w:rsidRPr="0017107A">
              <w:rPr>
                <w:color w:val="000000"/>
              </w:rPr>
              <w:t>.255</w:t>
            </w:r>
          </w:p>
        </w:tc>
        <w:tc>
          <w:tcPr>
            <w:tcW w:w="1892" w:type="dxa"/>
          </w:tcPr>
          <w:p w14:paraId="47030016" w14:textId="77777777" w:rsidR="000B7E4A" w:rsidRPr="0017107A" w:rsidRDefault="000B7E4A" w:rsidP="005769C6">
            <w:pPr>
              <w:spacing w:line="360" w:lineRule="auto"/>
              <w:jc w:val="center"/>
              <w:rPr>
                <w:rFonts w:eastAsia="Times New Roman"/>
              </w:rPr>
            </w:pPr>
          </w:p>
        </w:tc>
        <w:tc>
          <w:tcPr>
            <w:tcW w:w="1323" w:type="dxa"/>
            <w:vAlign w:val="center"/>
          </w:tcPr>
          <w:p w14:paraId="59272322" w14:textId="77777777" w:rsidR="000B7E4A" w:rsidRPr="0017107A" w:rsidRDefault="000B7E4A" w:rsidP="005769C6">
            <w:pPr>
              <w:spacing w:line="360" w:lineRule="auto"/>
              <w:jc w:val="center"/>
              <w:rPr>
                <w:rFonts w:eastAsia="Times New Roman"/>
              </w:rPr>
            </w:pPr>
            <w:r w:rsidRPr="0017107A">
              <w:rPr>
                <w:color w:val="000000"/>
              </w:rPr>
              <w:t>5.621</w:t>
            </w:r>
          </w:p>
        </w:tc>
        <w:tc>
          <w:tcPr>
            <w:tcW w:w="1462" w:type="dxa"/>
            <w:vAlign w:val="center"/>
          </w:tcPr>
          <w:p w14:paraId="4D7BB2B5" w14:textId="77777777" w:rsidR="000B7E4A" w:rsidRPr="0017107A" w:rsidRDefault="000B7E4A" w:rsidP="005769C6">
            <w:pPr>
              <w:spacing w:line="360" w:lineRule="auto"/>
              <w:jc w:val="center"/>
              <w:rPr>
                <w:rFonts w:eastAsia="Times New Roman"/>
              </w:rPr>
            </w:pPr>
            <w:r w:rsidRPr="0017107A">
              <w:rPr>
                <w:color w:val="000000"/>
              </w:rPr>
              <w:t>.000</w:t>
            </w:r>
          </w:p>
        </w:tc>
      </w:tr>
      <w:tr w:rsidR="000B7E4A" w:rsidRPr="0017107A" w14:paraId="0C91F6AA" w14:textId="77777777" w:rsidTr="00184246">
        <w:trPr>
          <w:jc w:val="center"/>
        </w:trPr>
        <w:tc>
          <w:tcPr>
            <w:tcW w:w="2410" w:type="dxa"/>
          </w:tcPr>
          <w:p w14:paraId="5D531976" w14:textId="77777777" w:rsidR="000B7E4A" w:rsidRPr="0017107A" w:rsidRDefault="000B7E4A" w:rsidP="00AD4E64">
            <w:pPr>
              <w:spacing w:line="360" w:lineRule="auto"/>
              <w:jc w:val="both"/>
              <w:rPr>
                <w:rFonts w:eastAsia="Times New Roman"/>
              </w:rPr>
            </w:pPr>
            <w:r w:rsidRPr="0017107A">
              <w:rPr>
                <w:rFonts w:eastAsia="Times New Roman"/>
              </w:rPr>
              <w:t xml:space="preserve">Age </w:t>
            </w:r>
          </w:p>
        </w:tc>
        <w:tc>
          <w:tcPr>
            <w:tcW w:w="2126" w:type="dxa"/>
            <w:vAlign w:val="center"/>
          </w:tcPr>
          <w:p w14:paraId="58049B4F" w14:textId="77777777" w:rsidR="000B7E4A" w:rsidRPr="0017107A" w:rsidRDefault="000B7E4A" w:rsidP="005769C6">
            <w:pPr>
              <w:spacing w:line="360" w:lineRule="auto"/>
              <w:jc w:val="center"/>
              <w:rPr>
                <w:rFonts w:eastAsia="Times New Roman"/>
              </w:rPr>
            </w:pPr>
            <w:r w:rsidRPr="0017107A">
              <w:rPr>
                <w:color w:val="000000"/>
              </w:rPr>
              <w:t>.003</w:t>
            </w:r>
          </w:p>
        </w:tc>
        <w:tc>
          <w:tcPr>
            <w:tcW w:w="1892" w:type="dxa"/>
            <w:vAlign w:val="center"/>
          </w:tcPr>
          <w:p w14:paraId="43C6FE90" w14:textId="77777777" w:rsidR="000B7E4A" w:rsidRPr="0017107A" w:rsidRDefault="000B7E4A" w:rsidP="005769C6">
            <w:pPr>
              <w:spacing w:line="360" w:lineRule="auto"/>
              <w:jc w:val="center"/>
              <w:rPr>
                <w:rFonts w:eastAsia="Times New Roman"/>
              </w:rPr>
            </w:pPr>
            <w:r w:rsidRPr="0017107A">
              <w:rPr>
                <w:color w:val="000000"/>
              </w:rPr>
              <w:t>-.176</w:t>
            </w:r>
          </w:p>
        </w:tc>
        <w:tc>
          <w:tcPr>
            <w:tcW w:w="1323" w:type="dxa"/>
            <w:vAlign w:val="center"/>
          </w:tcPr>
          <w:p w14:paraId="4420C47C" w14:textId="77777777" w:rsidR="000B7E4A" w:rsidRPr="0017107A" w:rsidRDefault="000B7E4A" w:rsidP="005769C6">
            <w:pPr>
              <w:spacing w:line="360" w:lineRule="auto"/>
              <w:jc w:val="center"/>
              <w:rPr>
                <w:rFonts w:eastAsia="Times New Roman"/>
              </w:rPr>
            </w:pPr>
            <w:r w:rsidRPr="0017107A">
              <w:rPr>
                <w:color w:val="000000"/>
              </w:rPr>
              <w:t>-2.729</w:t>
            </w:r>
          </w:p>
        </w:tc>
        <w:tc>
          <w:tcPr>
            <w:tcW w:w="1462" w:type="dxa"/>
            <w:vAlign w:val="center"/>
          </w:tcPr>
          <w:p w14:paraId="381EB1A6" w14:textId="77777777" w:rsidR="000B7E4A" w:rsidRPr="0017107A" w:rsidRDefault="000B7E4A" w:rsidP="005769C6">
            <w:pPr>
              <w:spacing w:line="360" w:lineRule="auto"/>
              <w:jc w:val="center"/>
              <w:rPr>
                <w:rFonts w:eastAsia="Times New Roman"/>
              </w:rPr>
            </w:pPr>
            <w:r w:rsidRPr="0017107A">
              <w:rPr>
                <w:color w:val="000000"/>
              </w:rPr>
              <w:t>.007</w:t>
            </w:r>
          </w:p>
        </w:tc>
      </w:tr>
      <w:tr w:rsidR="000001C4" w:rsidRPr="0017107A" w14:paraId="784A88BF" w14:textId="77777777" w:rsidTr="00184246">
        <w:trPr>
          <w:jc w:val="center"/>
        </w:trPr>
        <w:tc>
          <w:tcPr>
            <w:tcW w:w="2410" w:type="dxa"/>
          </w:tcPr>
          <w:p w14:paraId="56B08490" w14:textId="77777777" w:rsidR="000001C4" w:rsidRPr="0017107A" w:rsidRDefault="000001C4" w:rsidP="00AD4E64">
            <w:pPr>
              <w:spacing w:line="360" w:lineRule="auto"/>
              <w:jc w:val="both"/>
              <w:rPr>
                <w:rFonts w:eastAsia="Times New Roman"/>
              </w:rPr>
            </w:pPr>
            <w:r w:rsidRPr="0017107A">
              <w:rPr>
                <w:rFonts w:eastAsia="Times New Roman"/>
              </w:rPr>
              <w:t>Educational qualification</w:t>
            </w:r>
          </w:p>
        </w:tc>
        <w:tc>
          <w:tcPr>
            <w:tcW w:w="2126" w:type="dxa"/>
            <w:vAlign w:val="center"/>
          </w:tcPr>
          <w:p w14:paraId="4CDA79FA" w14:textId="77777777" w:rsidR="000001C4" w:rsidRPr="0017107A" w:rsidRDefault="000001C4" w:rsidP="005769C6">
            <w:pPr>
              <w:spacing w:line="360" w:lineRule="auto"/>
              <w:jc w:val="center"/>
              <w:rPr>
                <w:rFonts w:eastAsia="Times New Roman"/>
              </w:rPr>
            </w:pPr>
            <w:r w:rsidRPr="0017107A">
              <w:rPr>
                <w:color w:val="000000"/>
              </w:rPr>
              <w:t>.027</w:t>
            </w:r>
          </w:p>
        </w:tc>
        <w:tc>
          <w:tcPr>
            <w:tcW w:w="1892" w:type="dxa"/>
            <w:vAlign w:val="center"/>
          </w:tcPr>
          <w:p w14:paraId="74865AB6" w14:textId="77777777" w:rsidR="000001C4" w:rsidRPr="0017107A" w:rsidRDefault="000001C4" w:rsidP="005769C6">
            <w:pPr>
              <w:spacing w:line="360" w:lineRule="auto"/>
              <w:jc w:val="center"/>
              <w:rPr>
                <w:rFonts w:eastAsia="Times New Roman"/>
              </w:rPr>
            </w:pPr>
            <w:r w:rsidRPr="0017107A">
              <w:rPr>
                <w:color w:val="000000"/>
              </w:rPr>
              <w:t>.188</w:t>
            </w:r>
          </w:p>
        </w:tc>
        <w:tc>
          <w:tcPr>
            <w:tcW w:w="1323" w:type="dxa"/>
            <w:vAlign w:val="center"/>
          </w:tcPr>
          <w:p w14:paraId="6152F1B9" w14:textId="77777777" w:rsidR="000001C4" w:rsidRPr="0017107A" w:rsidRDefault="000001C4" w:rsidP="005769C6">
            <w:pPr>
              <w:spacing w:line="360" w:lineRule="auto"/>
              <w:jc w:val="center"/>
              <w:rPr>
                <w:rFonts w:eastAsia="Times New Roman"/>
              </w:rPr>
            </w:pPr>
            <w:r w:rsidRPr="0017107A">
              <w:rPr>
                <w:color w:val="000000"/>
              </w:rPr>
              <w:t>2.792</w:t>
            </w:r>
          </w:p>
        </w:tc>
        <w:tc>
          <w:tcPr>
            <w:tcW w:w="1462" w:type="dxa"/>
            <w:vAlign w:val="center"/>
          </w:tcPr>
          <w:p w14:paraId="46103EEB" w14:textId="77777777" w:rsidR="000001C4" w:rsidRPr="0017107A" w:rsidRDefault="000001C4" w:rsidP="005769C6">
            <w:pPr>
              <w:spacing w:line="360" w:lineRule="auto"/>
              <w:jc w:val="center"/>
              <w:rPr>
                <w:rFonts w:eastAsia="Times New Roman"/>
              </w:rPr>
            </w:pPr>
            <w:r w:rsidRPr="0017107A">
              <w:rPr>
                <w:color w:val="000000"/>
              </w:rPr>
              <w:t>.006</w:t>
            </w:r>
          </w:p>
        </w:tc>
      </w:tr>
      <w:tr w:rsidR="005C27F9" w:rsidRPr="0017107A" w14:paraId="5901A614" w14:textId="77777777" w:rsidTr="00184246">
        <w:trPr>
          <w:jc w:val="center"/>
        </w:trPr>
        <w:tc>
          <w:tcPr>
            <w:tcW w:w="2410" w:type="dxa"/>
          </w:tcPr>
          <w:p w14:paraId="5E6CFD3F" w14:textId="77777777" w:rsidR="005C27F9" w:rsidRPr="0017107A" w:rsidRDefault="005C27F9" w:rsidP="00AD4E64">
            <w:pPr>
              <w:spacing w:line="360" w:lineRule="auto"/>
              <w:jc w:val="both"/>
              <w:rPr>
                <w:rFonts w:eastAsia="Times New Roman"/>
              </w:rPr>
            </w:pPr>
            <w:r w:rsidRPr="0017107A">
              <w:rPr>
                <w:rFonts w:eastAsia="Times New Roman"/>
              </w:rPr>
              <w:t xml:space="preserve">Cropping intensity </w:t>
            </w:r>
          </w:p>
        </w:tc>
        <w:tc>
          <w:tcPr>
            <w:tcW w:w="2126" w:type="dxa"/>
            <w:vAlign w:val="center"/>
          </w:tcPr>
          <w:p w14:paraId="163C4F74" w14:textId="77777777" w:rsidR="005C27F9" w:rsidRPr="0017107A" w:rsidRDefault="005C27F9" w:rsidP="005769C6">
            <w:pPr>
              <w:spacing w:line="360" w:lineRule="auto"/>
              <w:jc w:val="center"/>
              <w:rPr>
                <w:rFonts w:eastAsia="Times New Roman"/>
              </w:rPr>
            </w:pPr>
            <w:r w:rsidRPr="0017107A">
              <w:rPr>
                <w:color w:val="000000"/>
              </w:rPr>
              <w:t>.065</w:t>
            </w:r>
          </w:p>
        </w:tc>
        <w:tc>
          <w:tcPr>
            <w:tcW w:w="1892" w:type="dxa"/>
            <w:vAlign w:val="center"/>
          </w:tcPr>
          <w:p w14:paraId="22C0C865" w14:textId="77777777" w:rsidR="005C27F9" w:rsidRPr="0017107A" w:rsidRDefault="005C27F9" w:rsidP="005769C6">
            <w:pPr>
              <w:spacing w:line="360" w:lineRule="auto"/>
              <w:jc w:val="center"/>
              <w:rPr>
                <w:rFonts w:eastAsia="Times New Roman"/>
              </w:rPr>
            </w:pPr>
            <w:r w:rsidRPr="0017107A">
              <w:rPr>
                <w:color w:val="000000"/>
              </w:rPr>
              <w:t>.277</w:t>
            </w:r>
          </w:p>
        </w:tc>
        <w:tc>
          <w:tcPr>
            <w:tcW w:w="1323" w:type="dxa"/>
            <w:vAlign w:val="center"/>
          </w:tcPr>
          <w:p w14:paraId="58D48775" w14:textId="77777777" w:rsidR="005C27F9" w:rsidRPr="0017107A" w:rsidRDefault="005C27F9" w:rsidP="005769C6">
            <w:pPr>
              <w:spacing w:line="360" w:lineRule="auto"/>
              <w:jc w:val="center"/>
              <w:rPr>
                <w:rFonts w:eastAsia="Times New Roman"/>
              </w:rPr>
            </w:pPr>
            <w:r w:rsidRPr="0017107A">
              <w:rPr>
                <w:color w:val="000000"/>
              </w:rPr>
              <w:t>5.069</w:t>
            </w:r>
          </w:p>
        </w:tc>
        <w:tc>
          <w:tcPr>
            <w:tcW w:w="1462" w:type="dxa"/>
            <w:vAlign w:val="center"/>
          </w:tcPr>
          <w:p w14:paraId="6C5D7941" w14:textId="77777777" w:rsidR="005C27F9" w:rsidRPr="0017107A" w:rsidRDefault="005C27F9" w:rsidP="005769C6">
            <w:pPr>
              <w:spacing w:line="360" w:lineRule="auto"/>
              <w:jc w:val="center"/>
              <w:rPr>
                <w:rFonts w:eastAsia="Times New Roman"/>
              </w:rPr>
            </w:pPr>
            <w:r w:rsidRPr="0017107A">
              <w:rPr>
                <w:color w:val="000000"/>
              </w:rPr>
              <w:t>.000</w:t>
            </w:r>
          </w:p>
        </w:tc>
      </w:tr>
      <w:tr w:rsidR="005C27F9" w:rsidRPr="0017107A" w14:paraId="3D7AF761" w14:textId="77777777" w:rsidTr="00184246">
        <w:trPr>
          <w:jc w:val="center"/>
        </w:trPr>
        <w:tc>
          <w:tcPr>
            <w:tcW w:w="2410" w:type="dxa"/>
          </w:tcPr>
          <w:p w14:paraId="2F4D23A9" w14:textId="77777777" w:rsidR="005C27F9" w:rsidRPr="0017107A" w:rsidRDefault="005C27F9" w:rsidP="00AD4E64">
            <w:pPr>
              <w:spacing w:line="360" w:lineRule="auto"/>
              <w:jc w:val="both"/>
              <w:rPr>
                <w:rFonts w:eastAsia="Times New Roman"/>
              </w:rPr>
            </w:pPr>
            <w:r w:rsidRPr="0017107A">
              <w:rPr>
                <w:rFonts w:eastAsia="Times New Roman"/>
              </w:rPr>
              <w:t xml:space="preserve">Monthly income </w:t>
            </w:r>
          </w:p>
        </w:tc>
        <w:tc>
          <w:tcPr>
            <w:tcW w:w="2126" w:type="dxa"/>
            <w:vAlign w:val="center"/>
          </w:tcPr>
          <w:p w14:paraId="3D5DCE6E" w14:textId="77777777" w:rsidR="005C27F9" w:rsidRPr="0017107A" w:rsidRDefault="005C27F9" w:rsidP="005769C6">
            <w:pPr>
              <w:spacing w:line="360" w:lineRule="auto"/>
              <w:jc w:val="center"/>
              <w:rPr>
                <w:rFonts w:eastAsia="Times New Roman"/>
              </w:rPr>
            </w:pPr>
            <w:r w:rsidRPr="0017107A">
              <w:rPr>
                <w:color w:val="000000"/>
              </w:rPr>
              <w:t>.001</w:t>
            </w:r>
          </w:p>
        </w:tc>
        <w:tc>
          <w:tcPr>
            <w:tcW w:w="1892" w:type="dxa"/>
            <w:vAlign w:val="center"/>
          </w:tcPr>
          <w:p w14:paraId="52C5291A" w14:textId="77777777" w:rsidR="005C27F9" w:rsidRPr="0017107A" w:rsidRDefault="005C27F9" w:rsidP="005769C6">
            <w:pPr>
              <w:spacing w:line="360" w:lineRule="auto"/>
              <w:jc w:val="center"/>
              <w:rPr>
                <w:rFonts w:eastAsia="Times New Roman"/>
              </w:rPr>
            </w:pPr>
            <w:r w:rsidRPr="0017107A">
              <w:rPr>
                <w:color w:val="000000"/>
              </w:rPr>
              <w:t>.088</w:t>
            </w:r>
          </w:p>
        </w:tc>
        <w:tc>
          <w:tcPr>
            <w:tcW w:w="1323" w:type="dxa"/>
            <w:vAlign w:val="center"/>
          </w:tcPr>
          <w:p w14:paraId="70C6ADCC" w14:textId="77777777" w:rsidR="005C27F9" w:rsidRPr="0017107A" w:rsidRDefault="005C27F9" w:rsidP="005769C6">
            <w:pPr>
              <w:spacing w:line="360" w:lineRule="auto"/>
              <w:jc w:val="center"/>
              <w:rPr>
                <w:rFonts w:eastAsia="Times New Roman"/>
              </w:rPr>
            </w:pPr>
            <w:r w:rsidRPr="0017107A">
              <w:rPr>
                <w:color w:val="000000"/>
              </w:rPr>
              <w:t>1.532</w:t>
            </w:r>
          </w:p>
        </w:tc>
        <w:tc>
          <w:tcPr>
            <w:tcW w:w="1462" w:type="dxa"/>
            <w:vAlign w:val="center"/>
          </w:tcPr>
          <w:p w14:paraId="110665C5" w14:textId="77777777" w:rsidR="005C27F9" w:rsidRPr="0017107A" w:rsidRDefault="005C27F9" w:rsidP="005769C6">
            <w:pPr>
              <w:spacing w:line="360" w:lineRule="auto"/>
              <w:jc w:val="center"/>
              <w:rPr>
                <w:rFonts w:eastAsia="Times New Roman"/>
              </w:rPr>
            </w:pPr>
            <w:r w:rsidRPr="0017107A">
              <w:rPr>
                <w:color w:val="000000"/>
              </w:rPr>
              <w:t>.127</w:t>
            </w:r>
          </w:p>
        </w:tc>
      </w:tr>
      <w:tr w:rsidR="005C27F9" w:rsidRPr="0017107A" w14:paraId="7B216ECF" w14:textId="77777777" w:rsidTr="00184246">
        <w:trPr>
          <w:jc w:val="center"/>
        </w:trPr>
        <w:tc>
          <w:tcPr>
            <w:tcW w:w="2410" w:type="dxa"/>
          </w:tcPr>
          <w:p w14:paraId="317122A6" w14:textId="77777777" w:rsidR="005C27F9" w:rsidRPr="0017107A" w:rsidRDefault="005C27F9" w:rsidP="00AD4E64">
            <w:pPr>
              <w:spacing w:line="360" w:lineRule="auto"/>
              <w:jc w:val="both"/>
              <w:rPr>
                <w:rFonts w:eastAsia="Times New Roman"/>
              </w:rPr>
            </w:pPr>
            <w:r w:rsidRPr="0017107A">
              <w:rPr>
                <w:rFonts w:eastAsia="Times New Roman"/>
              </w:rPr>
              <w:t>Cultivable land</w:t>
            </w:r>
          </w:p>
        </w:tc>
        <w:tc>
          <w:tcPr>
            <w:tcW w:w="2126" w:type="dxa"/>
            <w:vAlign w:val="center"/>
          </w:tcPr>
          <w:p w14:paraId="5C4B0F0C" w14:textId="77777777" w:rsidR="005C27F9" w:rsidRPr="0017107A" w:rsidRDefault="005C27F9" w:rsidP="005769C6">
            <w:pPr>
              <w:spacing w:line="360" w:lineRule="auto"/>
              <w:jc w:val="center"/>
              <w:rPr>
                <w:rFonts w:eastAsia="Times New Roman"/>
              </w:rPr>
            </w:pPr>
            <w:r w:rsidRPr="0017107A">
              <w:rPr>
                <w:color w:val="000000"/>
              </w:rPr>
              <w:t>.002</w:t>
            </w:r>
          </w:p>
        </w:tc>
        <w:tc>
          <w:tcPr>
            <w:tcW w:w="1892" w:type="dxa"/>
            <w:vAlign w:val="center"/>
          </w:tcPr>
          <w:p w14:paraId="468D29E8" w14:textId="77777777" w:rsidR="005C27F9" w:rsidRPr="0017107A" w:rsidRDefault="005C27F9" w:rsidP="005769C6">
            <w:pPr>
              <w:spacing w:line="360" w:lineRule="auto"/>
              <w:jc w:val="center"/>
              <w:rPr>
                <w:rFonts w:eastAsia="Times New Roman"/>
              </w:rPr>
            </w:pPr>
            <w:r w:rsidRPr="0017107A">
              <w:rPr>
                <w:color w:val="000000"/>
              </w:rPr>
              <w:t>.198</w:t>
            </w:r>
          </w:p>
        </w:tc>
        <w:tc>
          <w:tcPr>
            <w:tcW w:w="1323" w:type="dxa"/>
            <w:vAlign w:val="center"/>
          </w:tcPr>
          <w:p w14:paraId="308D8E5C" w14:textId="77777777" w:rsidR="005C27F9" w:rsidRPr="0017107A" w:rsidRDefault="005C27F9" w:rsidP="005769C6">
            <w:pPr>
              <w:spacing w:line="360" w:lineRule="auto"/>
              <w:jc w:val="center"/>
              <w:rPr>
                <w:rFonts w:eastAsia="Times New Roman"/>
              </w:rPr>
            </w:pPr>
            <w:r w:rsidRPr="0017107A">
              <w:rPr>
                <w:color w:val="000000"/>
              </w:rPr>
              <w:t>3.431</w:t>
            </w:r>
          </w:p>
        </w:tc>
        <w:tc>
          <w:tcPr>
            <w:tcW w:w="1462" w:type="dxa"/>
            <w:vAlign w:val="center"/>
          </w:tcPr>
          <w:p w14:paraId="419B3A89" w14:textId="77777777" w:rsidR="005C27F9" w:rsidRPr="0017107A" w:rsidRDefault="005C27F9" w:rsidP="005769C6">
            <w:pPr>
              <w:spacing w:line="360" w:lineRule="auto"/>
              <w:jc w:val="center"/>
              <w:rPr>
                <w:rFonts w:eastAsia="Times New Roman"/>
              </w:rPr>
            </w:pPr>
            <w:r w:rsidRPr="0017107A">
              <w:rPr>
                <w:color w:val="000000"/>
              </w:rPr>
              <w:t>.001</w:t>
            </w:r>
          </w:p>
        </w:tc>
      </w:tr>
      <w:tr w:rsidR="005C27F9" w:rsidRPr="0017107A" w14:paraId="64B08B1D" w14:textId="77777777" w:rsidTr="00184246">
        <w:trPr>
          <w:jc w:val="center"/>
        </w:trPr>
        <w:tc>
          <w:tcPr>
            <w:tcW w:w="2410" w:type="dxa"/>
          </w:tcPr>
          <w:p w14:paraId="4CA5019F" w14:textId="77777777" w:rsidR="005C27F9" w:rsidRPr="0017107A" w:rsidRDefault="005C27F9" w:rsidP="00AD4E64">
            <w:pPr>
              <w:spacing w:line="360" w:lineRule="auto"/>
              <w:jc w:val="both"/>
              <w:rPr>
                <w:rFonts w:eastAsia="Times New Roman"/>
              </w:rPr>
            </w:pPr>
            <w:r w:rsidRPr="0017107A">
              <w:rPr>
                <w:rFonts w:eastAsia="Times New Roman"/>
              </w:rPr>
              <w:t xml:space="preserve">Farming Experience </w:t>
            </w:r>
          </w:p>
        </w:tc>
        <w:tc>
          <w:tcPr>
            <w:tcW w:w="2126" w:type="dxa"/>
            <w:vAlign w:val="center"/>
          </w:tcPr>
          <w:p w14:paraId="713C0581" w14:textId="77777777" w:rsidR="005C27F9" w:rsidRPr="0017107A" w:rsidRDefault="005C27F9" w:rsidP="005769C6">
            <w:pPr>
              <w:spacing w:line="360" w:lineRule="auto"/>
              <w:jc w:val="center"/>
              <w:rPr>
                <w:rFonts w:eastAsia="Times New Roman"/>
              </w:rPr>
            </w:pPr>
            <w:r w:rsidRPr="0017107A">
              <w:rPr>
                <w:color w:val="000000"/>
              </w:rPr>
              <w:t>.004</w:t>
            </w:r>
          </w:p>
        </w:tc>
        <w:tc>
          <w:tcPr>
            <w:tcW w:w="1892" w:type="dxa"/>
            <w:vAlign w:val="center"/>
          </w:tcPr>
          <w:p w14:paraId="26AC106A" w14:textId="77777777" w:rsidR="005C27F9" w:rsidRPr="0017107A" w:rsidRDefault="005C27F9" w:rsidP="005769C6">
            <w:pPr>
              <w:spacing w:line="360" w:lineRule="auto"/>
              <w:jc w:val="center"/>
              <w:rPr>
                <w:rFonts w:eastAsia="Times New Roman"/>
              </w:rPr>
            </w:pPr>
            <w:r w:rsidRPr="0017107A">
              <w:rPr>
                <w:color w:val="000000"/>
              </w:rPr>
              <w:t>-.029</w:t>
            </w:r>
          </w:p>
        </w:tc>
        <w:tc>
          <w:tcPr>
            <w:tcW w:w="1323" w:type="dxa"/>
            <w:vAlign w:val="center"/>
          </w:tcPr>
          <w:p w14:paraId="31FE7160" w14:textId="77777777" w:rsidR="005C27F9" w:rsidRPr="0017107A" w:rsidRDefault="005C27F9" w:rsidP="005769C6">
            <w:pPr>
              <w:spacing w:line="360" w:lineRule="auto"/>
              <w:jc w:val="center"/>
              <w:rPr>
                <w:rFonts w:eastAsia="Times New Roman"/>
              </w:rPr>
            </w:pPr>
            <w:r w:rsidRPr="0017107A">
              <w:rPr>
                <w:color w:val="000000"/>
              </w:rPr>
              <w:t>-.493</w:t>
            </w:r>
          </w:p>
        </w:tc>
        <w:tc>
          <w:tcPr>
            <w:tcW w:w="1462" w:type="dxa"/>
            <w:vAlign w:val="center"/>
          </w:tcPr>
          <w:p w14:paraId="09503291" w14:textId="77777777" w:rsidR="005C27F9" w:rsidRPr="0017107A" w:rsidRDefault="005C27F9" w:rsidP="005769C6">
            <w:pPr>
              <w:spacing w:line="360" w:lineRule="auto"/>
              <w:jc w:val="center"/>
              <w:rPr>
                <w:rFonts w:eastAsia="Times New Roman"/>
              </w:rPr>
            </w:pPr>
            <w:r w:rsidRPr="0017107A">
              <w:rPr>
                <w:color w:val="000000"/>
              </w:rPr>
              <w:t>.623</w:t>
            </w:r>
          </w:p>
        </w:tc>
      </w:tr>
    </w:tbl>
    <w:p w14:paraId="63D5B857" w14:textId="77777777" w:rsidR="00E24E7E" w:rsidRPr="0017107A" w:rsidRDefault="00184246" w:rsidP="00AD4E64">
      <w:pPr>
        <w:autoSpaceDE w:val="0"/>
        <w:autoSpaceDN w:val="0"/>
        <w:adjustRightInd w:val="0"/>
        <w:spacing w:line="360" w:lineRule="auto"/>
        <w:rPr>
          <w:i/>
          <w:iCs/>
        </w:rPr>
      </w:pPr>
      <w:r w:rsidRPr="0017107A">
        <w:rPr>
          <w:i/>
          <w:iCs/>
        </w:rPr>
        <w:t xml:space="preserve"> </w:t>
      </w:r>
      <w:r w:rsidR="005769C6" w:rsidRPr="0017107A">
        <w:rPr>
          <w:i/>
          <w:iCs/>
        </w:rPr>
        <w:t>Adjusted R</w:t>
      </w:r>
      <w:r w:rsidR="005769C6" w:rsidRPr="0017107A">
        <w:rPr>
          <w:i/>
          <w:iCs/>
          <w:vertAlign w:val="superscript"/>
        </w:rPr>
        <w:t>2</w:t>
      </w:r>
      <w:r w:rsidR="002E3A16" w:rsidRPr="0017107A">
        <w:rPr>
          <w:i/>
          <w:iCs/>
        </w:rPr>
        <w:t xml:space="preserve"> =0.286</w:t>
      </w:r>
    </w:p>
    <w:p w14:paraId="190DD586" w14:textId="77777777" w:rsidR="006F5C7D" w:rsidRPr="0017107A" w:rsidRDefault="006F5C7D" w:rsidP="00184246">
      <w:pPr>
        <w:spacing w:line="360" w:lineRule="auto"/>
        <w:ind w:firstLine="360"/>
        <w:jc w:val="both"/>
        <w:rPr>
          <w:bCs/>
        </w:rPr>
      </w:pPr>
      <w:r w:rsidRPr="0017107A">
        <w:rPr>
          <w:bCs/>
        </w:rPr>
        <w:t xml:space="preserve">The regression analysis provides </w:t>
      </w:r>
      <w:r w:rsidR="00184246" w:rsidRPr="0017107A">
        <w:rPr>
          <w:bCs/>
        </w:rPr>
        <w:t xml:space="preserve">some </w:t>
      </w:r>
      <w:r w:rsidRPr="0017107A">
        <w:rPr>
          <w:bCs/>
        </w:rPr>
        <w:t xml:space="preserve">insightful findings on how farmer and farm characteristics </w:t>
      </w:r>
      <w:r w:rsidR="00184246" w:rsidRPr="0017107A">
        <w:rPr>
          <w:bCs/>
        </w:rPr>
        <w:t xml:space="preserve">have </w:t>
      </w:r>
      <w:r w:rsidRPr="0017107A">
        <w:rPr>
          <w:bCs/>
        </w:rPr>
        <w:t xml:space="preserve">impact </w:t>
      </w:r>
      <w:r w:rsidR="00184246" w:rsidRPr="0017107A">
        <w:rPr>
          <w:bCs/>
        </w:rPr>
        <w:t xml:space="preserve">on </w:t>
      </w:r>
      <w:r w:rsidRPr="0017107A">
        <w:rPr>
          <w:bCs/>
        </w:rPr>
        <w:t xml:space="preserve">the adoption related to millet commercialization in Uttarakhand. With an </w:t>
      </w:r>
      <w:r w:rsidRPr="0017107A">
        <w:rPr>
          <w:b/>
          <w:bCs/>
        </w:rPr>
        <w:t>Adjusted R² of 0.286</w:t>
      </w:r>
      <w:r w:rsidRPr="0017107A">
        <w:rPr>
          <w:bCs/>
        </w:rPr>
        <w:t xml:space="preserve">, the model explains </w:t>
      </w:r>
      <w:r w:rsidR="00184246" w:rsidRPr="0017107A">
        <w:rPr>
          <w:bCs/>
        </w:rPr>
        <w:t xml:space="preserve">that </w:t>
      </w:r>
      <w:r w:rsidRPr="0017107A">
        <w:rPr>
          <w:bCs/>
        </w:rPr>
        <w:t xml:space="preserve">only about </w:t>
      </w:r>
      <w:r w:rsidRPr="0017107A">
        <w:rPr>
          <w:b/>
          <w:bCs/>
        </w:rPr>
        <w:t>28.6% of the variance</w:t>
      </w:r>
      <w:r w:rsidRPr="0017107A">
        <w:rPr>
          <w:bCs/>
        </w:rPr>
        <w:t xml:space="preserve"> in adoption scores, </w:t>
      </w:r>
      <w:r w:rsidR="00184246" w:rsidRPr="0017107A">
        <w:rPr>
          <w:bCs/>
        </w:rPr>
        <w:t xml:space="preserve">thereby </w:t>
      </w:r>
      <w:r w:rsidRPr="0017107A">
        <w:rPr>
          <w:bCs/>
        </w:rPr>
        <w:t>indicating a moderate level of predictive strength. Several variables emerge</w:t>
      </w:r>
      <w:r w:rsidR="00184246" w:rsidRPr="0017107A">
        <w:rPr>
          <w:bCs/>
        </w:rPr>
        <w:t>d</w:t>
      </w:r>
      <w:r w:rsidRPr="0017107A">
        <w:rPr>
          <w:bCs/>
        </w:rPr>
        <w:t xml:space="preserve"> as significant influencers:</w:t>
      </w:r>
    </w:p>
    <w:p w14:paraId="42C52915" w14:textId="77777777" w:rsidR="006F5C7D" w:rsidRPr="0017107A" w:rsidRDefault="006F5C7D" w:rsidP="006F5C7D">
      <w:pPr>
        <w:pStyle w:val="ListParagraph"/>
        <w:numPr>
          <w:ilvl w:val="0"/>
          <w:numId w:val="12"/>
        </w:numPr>
        <w:spacing w:line="360" w:lineRule="auto"/>
        <w:jc w:val="both"/>
        <w:rPr>
          <w:rFonts w:ascii="Arial" w:hAnsi="Arial" w:cs="Arial"/>
          <w:bCs/>
        </w:rPr>
      </w:pPr>
      <w:r w:rsidRPr="0017107A">
        <w:rPr>
          <w:rFonts w:ascii="Arial" w:hAnsi="Arial" w:cs="Arial"/>
          <w:b/>
          <w:bCs/>
        </w:rPr>
        <w:t xml:space="preserve">Age (β = -0.176, p = 0.007): </w:t>
      </w:r>
      <w:r w:rsidRPr="0017107A">
        <w:rPr>
          <w:rFonts w:ascii="Arial" w:hAnsi="Arial" w:cs="Arial"/>
          <w:bCs/>
        </w:rPr>
        <w:t xml:space="preserve">Age </w:t>
      </w:r>
      <w:r w:rsidR="005009E0" w:rsidRPr="0017107A">
        <w:rPr>
          <w:rFonts w:ascii="Arial" w:hAnsi="Arial" w:cs="Arial"/>
          <w:bCs/>
        </w:rPr>
        <w:t>showed</w:t>
      </w:r>
      <w:r w:rsidRPr="0017107A">
        <w:rPr>
          <w:rFonts w:ascii="Arial" w:hAnsi="Arial" w:cs="Arial"/>
          <w:bCs/>
        </w:rPr>
        <w:t xml:space="preserve"> a negative and significant relationship with adoption score, suggesting that younger farmers are more likely to adopt millet commercialization practices. This could be due to greater exposure to </w:t>
      </w:r>
      <w:r w:rsidR="005009E0" w:rsidRPr="0017107A">
        <w:rPr>
          <w:rFonts w:ascii="Arial" w:hAnsi="Arial" w:cs="Arial"/>
          <w:bCs/>
        </w:rPr>
        <w:t xml:space="preserve">the </w:t>
      </w:r>
      <w:r w:rsidRPr="0017107A">
        <w:rPr>
          <w:rFonts w:ascii="Arial" w:hAnsi="Arial" w:cs="Arial"/>
          <w:bCs/>
        </w:rPr>
        <w:t xml:space="preserve">new technologies, a higher risk appetite, and stronger alignment with market-driven </w:t>
      </w:r>
      <w:r w:rsidR="00F76102" w:rsidRPr="0017107A">
        <w:rPr>
          <w:rFonts w:ascii="Arial" w:hAnsi="Arial" w:cs="Arial"/>
          <w:bCs/>
        </w:rPr>
        <w:t xml:space="preserve">commercial </w:t>
      </w:r>
      <w:r w:rsidRPr="0017107A">
        <w:rPr>
          <w:rFonts w:ascii="Arial" w:hAnsi="Arial" w:cs="Arial"/>
          <w:bCs/>
        </w:rPr>
        <w:t>agriculture. These results are consistent with Barrett (2008) and Wossen et al. (2017), who found similar age-related trends in technology adoption.</w:t>
      </w:r>
    </w:p>
    <w:p w14:paraId="20C5D556" w14:textId="77777777" w:rsidR="006F5C7D" w:rsidRPr="0017107A" w:rsidRDefault="006F5C7D" w:rsidP="006F5C7D">
      <w:pPr>
        <w:pStyle w:val="ListParagraph"/>
        <w:numPr>
          <w:ilvl w:val="0"/>
          <w:numId w:val="12"/>
        </w:numPr>
        <w:spacing w:line="360" w:lineRule="auto"/>
        <w:jc w:val="both"/>
        <w:rPr>
          <w:rFonts w:ascii="Arial" w:hAnsi="Arial" w:cs="Arial"/>
          <w:bCs/>
        </w:rPr>
      </w:pPr>
      <w:r w:rsidRPr="0017107A">
        <w:rPr>
          <w:rFonts w:ascii="Arial" w:hAnsi="Arial" w:cs="Arial"/>
          <w:b/>
          <w:bCs/>
        </w:rPr>
        <w:t xml:space="preserve">Educational Qualification (β = 0.188, p = 0.006): </w:t>
      </w:r>
      <w:r w:rsidRPr="0017107A">
        <w:rPr>
          <w:rFonts w:ascii="Arial" w:hAnsi="Arial" w:cs="Arial"/>
          <w:bCs/>
        </w:rPr>
        <w:t xml:space="preserve">Education </w:t>
      </w:r>
      <w:r w:rsidR="005009E0" w:rsidRPr="0017107A">
        <w:rPr>
          <w:rFonts w:ascii="Arial" w:hAnsi="Arial" w:cs="Arial"/>
          <w:bCs/>
        </w:rPr>
        <w:t>displayed</w:t>
      </w:r>
      <w:r w:rsidRPr="0017107A">
        <w:rPr>
          <w:rFonts w:ascii="Arial" w:hAnsi="Arial" w:cs="Arial"/>
          <w:bCs/>
        </w:rPr>
        <w:t xml:space="preserve"> a positive and significant influence, indicating that farmers with higher educational attainment adopt millet commercialization practices more effectively. Educated farmers are likely </w:t>
      </w:r>
      <w:r w:rsidR="007A6855" w:rsidRPr="0017107A">
        <w:rPr>
          <w:rFonts w:ascii="Arial" w:hAnsi="Arial" w:cs="Arial"/>
          <w:bCs/>
        </w:rPr>
        <w:t xml:space="preserve">to be </w:t>
      </w:r>
      <w:r w:rsidRPr="0017107A">
        <w:rPr>
          <w:rFonts w:ascii="Arial" w:hAnsi="Arial" w:cs="Arial"/>
          <w:bCs/>
        </w:rPr>
        <w:t>more responsive to extension messages, better informed about value chains, and more adept at using modern inputs</w:t>
      </w:r>
      <w:r w:rsidR="005009E0" w:rsidRPr="0017107A">
        <w:rPr>
          <w:rFonts w:ascii="Arial" w:hAnsi="Arial" w:cs="Arial"/>
          <w:bCs/>
        </w:rPr>
        <w:t xml:space="preserve">, </w:t>
      </w:r>
      <w:r w:rsidRPr="0017107A">
        <w:rPr>
          <w:rFonts w:ascii="Arial" w:hAnsi="Arial" w:cs="Arial"/>
          <w:bCs/>
        </w:rPr>
        <w:t>factors that promote adoption (Carletto et al., 2017).</w:t>
      </w:r>
    </w:p>
    <w:p w14:paraId="6095FB63" w14:textId="77777777" w:rsidR="006F5C7D" w:rsidRPr="0017107A" w:rsidRDefault="006F5C7D" w:rsidP="006F5C7D">
      <w:pPr>
        <w:pStyle w:val="ListParagraph"/>
        <w:numPr>
          <w:ilvl w:val="0"/>
          <w:numId w:val="12"/>
        </w:numPr>
        <w:spacing w:line="360" w:lineRule="auto"/>
        <w:jc w:val="both"/>
        <w:rPr>
          <w:rFonts w:ascii="Arial" w:hAnsi="Arial" w:cs="Arial"/>
          <w:bCs/>
        </w:rPr>
      </w:pPr>
      <w:r w:rsidRPr="0017107A">
        <w:rPr>
          <w:rFonts w:ascii="Arial" w:hAnsi="Arial" w:cs="Arial"/>
          <w:b/>
          <w:bCs/>
        </w:rPr>
        <w:t xml:space="preserve">Cropping Intensity (β = 0.277, p = 0.000): </w:t>
      </w:r>
      <w:r w:rsidRPr="0017107A">
        <w:rPr>
          <w:rFonts w:ascii="Arial" w:hAnsi="Arial" w:cs="Arial"/>
          <w:bCs/>
        </w:rPr>
        <w:t>This variable has the strongest positive effect in the model, highlighting that farmers with higher cropping intensity are significantly more likely to adopt commercialization strategies. This reflects better land utilization, input management, and planning, often aligned with a market orientation (Muriithi &amp; Matz, 2018).</w:t>
      </w:r>
    </w:p>
    <w:p w14:paraId="74D9F92D" w14:textId="77777777" w:rsidR="006F5C7D" w:rsidRPr="0017107A" w:rsidRDefault="006F5C7D" w:rsidP="006F5C7D">
      <w:pPr>
        <w:pStyle w:val="ListParagraph"/>
        <w:numPr>
          <w:ilvl w:val="0"/>
          <w:numId w:val="12"/>
        </w:numPr>
        <w:spacing w:line="360" w:lineRule="auto"/>
        <w:jc w:val="both"/>
        <w:rPr>
          <w:rFonts w:ascii="Arial" w:hAnsi="Arial" w:cs="Arial"/>
          <w:bCs/>
        </w:rPr>
      </w:pPr>
      <w:r w:rsidRPr="0017107A">
        <w:rPr>
          <w:rFonts w:ascii="Arial" w:hAnsi="Arial" w:cs="Arial"/>
          <w:b/>
          <w:bCs/>
        </w:rPr>
        <w:t xml:space="preserve">Cultivable Land (β = 0.198, p = 0.001): </w:t>
      </w:r>
      <w:r w:rsidRPr="0017107A">
        <w:rPr>
          <w:rFonts w:ascii="Arial" w:hAnsi="Arial" w:cs="Arial"/>
          <w:bCs/>
        </w:rPr>
        <w:t xml:space="preserve">A positive and significant coefficient for cultivable land implies that landholding size facilitates adoption, </w:t>
      </w:r>
      <w:r w:rsidR="00C34462" w:rsidRPr="0017107A">
        <w:rPr>
          <w:rFonts w:ascii="Arial" w:hAnsi="Arial" w:cs="Arial"/>
          <w:bCs/>
        </w:rPr>
        <w:t>possibly</w:t>
      </w:r>
      <w:r w:rsidRPr="0017107A">
        <w:rPr>
          <w:rFonts w:ascii="Arial" w:hAnsi="Arial" w:cs="Arial"/>
          <w:bCs/>
        </w:rPr>
        <w:t xml:space="preserve"> due to economies of scale, the ability to produce marketable surplus, and higher investment capacity (Pingali, 1997).</w:t>
      </w:r>
    </w:p>
    <w:p w14:paraId="693928FC" w14:textId="77777777" w:rsidR="006F5C7D" w:rsidRPr="0017107A" w:rsidRDefault="006F5C7D" w:rsidP="006F5C7D">
      <w:pPr>
        <w:pStyle w:val="ListParagraph"/>
        <w:numPr>
          <w:ilvl w:val="0"/>
          <w:numId w:val="12"/>
        </w:numPr>
        <w:spacing w:line="360" w:lineRule="auto"/>
        <w:jc w:val="both"/>
        <w:rPr>
          <w:rFonts w:ascii="Arial" w:hAnsi="Arial" w:cs="Arial"/>
          <w:bCs/>
        </w:rPr>
      </w:pPr>
      <w:r w:rsidRPr="0017107A">
        <w:rPr>
          <w:rFonts w:ascii="Arial" w:hAnsi="Arial" w:cs="Arial"/>
          <w:b/>
          <w:bCs/>
        </w:rPr>
        <w:lastRenderedPageBreak/>
        <w:t xml:space="preserve">Monthly Income (β = 0.088, p = 0.127): </w:t>
      </w:r>
      <w:r w:rsidRPr="0017107A">
        <w:rPr>
          <w:rFonts w:ascii="Arial" w:hAnsi="Arial" w:cs="Arial"/>
          <w:bCs/>
        </w:rPr>
        <w:t xml:space="preserve">Though positively associated, income was not </w:t>
      </w:r>
      <w:r w:rsidR="00377C72" w:rsidRPr="0017107A">
        <w:rPr>
          <w:rFonts w:ascii="Arial" w:hAnsi="Arial" w:cs="Arial"/>
          <w:bCs/>
        </w:rPr>
        <w:t xml:space="preserve">found to be </w:t>
      </w:r>
      <w:r w:rsidRPr="0017107A">
        <w:rPr>
          <w:rFonts w:ascii="Arial" w:hAnsi="Arial" w:cs="Arial"/>
          <w:bCs/>
        </w:rPr>
        <w:t>statistically significant at the 0.05 level. This may suggest that while income facilitates adoption, its impact is mediated by other factors like landholding or education.</w:t>
      </w:r>
    </w:p>
    <w:p w14:paraId="50E62C47" w14:textId="77777777" w:rsidR="00E95F43" w:rsidRPr="0017107A" w:rsidRDefault="006F5C7D" w:rsidP="005C7027">
      <w:pPr>
        <w:pStyle w:val="ListParagraph"/>
        <w:numPr>
          <w:ilvl w:val="0"/>
          <w:numId w:val="12"/>
        </w:numPr>
        <w:spacing w:line="360" w:lineRule="auto"/>
        <w:jc w:val="both"/>
        <w:rPr>
          <w:rFonts w:ascii="Arial" w:hAnsi="Arial" w:cs="Arial"/>
          <w:bCs/>
        </w:rPr>
      </w:pPr>
      <w:r w:rsidRPr="0017107A">
        <w:rPr>
          <w:rFonts w:ascii="Arial" w:hAnsi="Arial" w:cs="Arial"/>
          <w:b/>
          <w:bCs/>
        </w:rPr>
        <w:t xml:space="preserve">Farming Experience (β = -0.029, p = 0.623): </w:t>
      </w:r>
      <w:r w:rsidRPr="0017107A">
        <w:rPr>
          <w:rFonts w:ascii="Arial" w:hAnsi="Arial" w:cs="Arial"/>
          <w:bCs/>
        </w:rPr>
        <w:t>Interestingly, farming experience shows a negative but non-significant effect. This could indicate that more experienced (often older) farmers are less likely to transition to commercial practices due to entrenched traditional approaches or risk aversion (</w:t>
      </w:r>
      <w:proofErr w:type="spellStart"/>
      <w:r w:rsidRPr="0017107A">
        <w:rPr>
          <w:rFonts w:ascii="Arial" w:hAnsi="Arial" w:cs="Arial"/>
          <w:bCs/>
        </w:rPr>
        <w:t>Wubeneh</w:t>
      </w:r>
      <w:proofErr w:type="spellEnd"/>
      <w:r w:rsidRPr="0017107A">
        <w:rPr>
          <w:rFonts w:ascii="Arial" w:hAnsi="Arial" w:cs="Arial"/>
          <w:bCs/>
        </w:rPr>
        <w:t xml:space="preserve"> &amp; Sanders, 2006).</w:t>
      </w:r>
    </w:p>
    <w:p w14:paraId="293D8CBE" w14:textId="77777777" w:rsidR="00E95F43" w:rsidRDefault="00A43F8A" w:rsidP="00E95F43">
      <w:pPr>
        <w:spacing w:line="360" w:lineRule="auto"/>
        <w:jc w:val="both"/>
        <w:rPr>
          <w:bCs/>
        </w:rPr>
      </w:pPr>
      <w:r w:rsidRPr="0017107A">
        <w:rPr>
          <w:bCs/>
        </w:rPr>
        <w:t xml:space="preserve">Additionally, </w:t>
      </w:r>
      <w:r w:rsidR="00E95F43" w:rsidRPr="0017107A">
        <w:rPr>
          <w:bCs/>
        </w:rPr>
        <w:t xml:space="preserve">a visual summary of the regression analysis </w:t>
      </w:r>
      <w:r w:rsidRPr="0017107A">
        <w:rPr>
          <w:bCs/>
        </w:rPr>
        <w:t xml:space="preserve">results </w:t>
      </w:r>
      <w:r w:rsidR="00E95F43" w:rsidRPr="0017107A">
        <w:rPr>
          <w:bCs/>
        </w:rPr>
        <w:t>showing the influence of key farmer and farm characteristics on millet adoption scores</w:t>
      </w:r>
      <w:r w:rsidRPr="0017107A">
        <w:rPr>
          <w:bCs/>
        </w:rPr>
        <w:t xml:space="preserve"> is presented below</w:t>
      </w:r>
      <w:r w:rsidR="00E95F43" w:rsidRPr="0017107A">
        <w:rPr>
          <w:bCs/>
        </w:rPr>
        <w:t>. Green bars represent statistically significant predictors, while grey bars indicate non-significant ones.</w:t>
      </w:r>
    </w:p>
    <w:p w14:paraId="4004A20D" w14:textId="553F9DA7" w:rsidR="000B7EE1" w:rsidRPr="0017107A" w:rsidRDefault="000B7EE1" w:rsidP="00E95F43">
      <w:pPr>
        <w:spacing w:line="360" w:lineRule="auto"/>
        <w:jc w:val="both"/>
        <w:rPr>
          <w:bCs/>
        </w:rPr>
      </w:pPr>
      <w:r>
        <w:rPr>
          <w:bCs/>
        </w:rPr>
        <w:t xml:space="preserve">Fig 2 </w:t>
      </w:r>
    </w:p>
    <w:p w14:paraId="394D0C8C" w14:textId="77777777" w:rsidR="005C7027" w:rsidRPr="0017107A" w:rsidRDefault="00E95F43" w:rsidP="00E95F43">
      <w:pPr>
        <w:spacing w:line="360" w:lineRule="auto"/>
        <w:jc w:val="both"/>
        <w:rPr>
          <w:bCs/>
        </w:rPr>
      </w:pPr>
      <w:r w:rsidRPr="0017107A">
        <w:rPr>
          <w:noProof/>
        </w:rPr>
        <w:drawing>
          <wp:inline distT="0" distB="0" distL="0" distR="0" wp14:anchorId="063D68F5" wp14:editId="7CF03FE3">
            <wp:extent cx="5943600" cy="3542665"/>
            <wp:effectExtent l="19050" t="19050" r="19050" b="19685"/>
            <wp:docPr id="5151445"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542665"/>
                    </a:xfrm>
                    <a:prstGeom prst="rect">
                      <a:avLst/>
                    </a:prstGeom>
                    <a:noFill/>
                    <a:ln>
                      <a:solidFill>
                        <a:schemeClr val="accent1"/>
                      </a:solidFill>
                    </a:ln>
                  </pic:spPr>
                </pic:pic>
              </a:graphicData>
            </a:graphic>
          </wp:inline>
        </w:drawing>
      </w:r>
    </w:p>
    <w:p w14:paraId="5BE72130" w14:textId="77777777" w:rsidR="00E95F43" w:rsidRPr="0017107A" w:rsidRDefault="00E95F43" w:rsidP="005C7027">
      <w:pPr>
        <w:spacing w:line="360" w:lineRule="auto"/>
        <w:jc w:val="both"/>
        <w:rPr>
          <w:bCs/>
        </w:rPr>
      </w:pPr>
    </w:p>
    <w:p w14:paraId="4CF10F78" w14:textId="77777777" w:rsidR="005C7027" w:rsidRPr="0017107A" w:rsidRDefault="005C7027" w:rsidP="005C7027">
      <w:pPr>
        <w:spacing w:line="360" w:lineRule="auto"/>
        <w:jc w:val="both"/>
        <w:rPr>
          <w:bCs/>
        </w:rPr>
      </w:pPr>
      <w:r w:rsidRPr="0017107A">
        <w:rPr>
          <w:bCs/>
        </w:rPr>
        <w:t xml:space="preserve">On the basis of above results, we can </w:t>
      </w:r>
      <w:r w:rsidR="00E95F43" w:rsidRPr="0017107A">
        <w:rPr>
          <w:bCs/>
        </w:rPr>
        <w:t xml:space="preserve">therefore </w:t>
      </w:r>
      <w:r w:rsidRPr="0017107A">
        <w:rPr>
          <w:bCs/>
        </w:rPr>
        <w:t>conclude that (</w:t>
      </w:r>
      <w:proofErr w:type="spellStart"/>
      <w:r w:rsidRPr="0017107A">
        <w:rPr>
          <w:bCs/>
        </w:rPr>
        <w:t>i</w:t>
      </w:r>
      <w:proofErr w:type="spellEnd"/>
      <w:r w:rsidRPr="0017107A">
        <w:rPr>
          <w:bCs/>
        </w:rPr>
        <w:t xml:space="preserve">). Extension programs should focus more on younger and educated farmers while also designing capacity-building programs for older, experienced farmers to promote inclusive adoption across different sections of the society; (ii). Policy incentives that promote land consolidation or shared farming models may improve the adoption rate among </w:t>
      </w:r>
      <w:r w:rsidR="00D33030" w:rsidRPr="0017107A">
        <w:rPr>
          <w:bCs/>
        </w:rPr>
        <w:t>smallholders; and</w:t>
      </w:r>
      <w:r w:rsidRPr="0017107A">
        <w:rPr>
          <w:bCs/>
        </w:rPr>
        <w:t xml:space="preserve"> (iii). Crop intensification support, such as </w:t>
      </w:r>
      <w:r w:rsidRPr="0017107A">
        <w:rPr>
          <w:bCs/>
        </w:rPr>
        <w:lastRenderedPageBreak/>
        <w:t>intercropping techniques and better irrigation, could be powerful enablers of millet commercialization.</w:t>
      </w:r>
    </w:p>
    <w:p w14:paraId="56EB510C" w14:textId="77777777" w:rsidR="00D33030" w:rsidRPr="0017107A" w:rsidRDefault="00D33030" w:rsidP="005C7027">
      <w:pPr>
        <w:spacing w:line="360" w:lineRule="auto"/>
        <w:jc w:val="both"/>
        <w:rPr>
          <w:bCs/>
        </w:rPr>
      </w:pPr>
    </w:p>
    <w:p w14:paraId="1C912D20" w14:textId="77777777" w:rsidR="009C68B9" w:rsidRPr="0017107A" w:rsidRDefault="00810056" w:rsidP="001E5425">
      <w:pPr>
        <w:autoSpaceDE w:val="0"/>
        <w:autoSpaceDN w:val="0"/>
        <w:adjustRightInd w:val="0"/>
        <w:spacing w:line="360" w:lineRule="auto"/>
        <w:rPr>
          <w:b/>
        </w:rPr>
      </w:pPr>
      <w:r w:rsidRPr="0017107A">
        <w:rPr>
          <w:b/>
        </w:rPr>
        <w:t>CONCLUSION</w:t>
      </w:r>
    </w:p>
    <w:p w14:paraId="087CF075" w14:textId="77777777" w:rsidR="00F04326" w:rsidRPr="0017107A" w:rsidRDefault="00F04326" w:rsidP="001E5425">
      <w:pPr>
        <w:autoSpaceDE w:val="0"/>
        <w:autoSpaceDN w:val="0"/>
        <w:adjustRightInd w:val="0"/>
        <w:spacing w:line="360" w:lineRule="auto"/>
        <w:jc w:val="both"/>
        <w:rPr>
          <w:rFonts w:eastAsia="Times New Roman"/>
          <w:bCs/>
        </w:rPr>
      </w:pPr>
      <w:r w:rsidRPr="0017107A">
        <w:rPr>
          <w:rFonts w:eastAsia="Times New Roman"/>
          <w:bCs/>
        </w:rPr>
        <w:t xml:space="preserve">The cultivation of millet presents considerable potential to strengthen food and nutritional security, particularly in the context of climate variability. Nevertheless, despite its advantages and the promotional initiatives undertaken by government bodies and other relevant actors, the level of adoption in the study region remains limited and uneven. The research revealed significant variations in key </w:t>
      </w:r>
      <w:r w:rsidR="0091186B" w:rsidRPr="0017107A">
        <w:rPr>
          <w:rFonts w:eastAsia="Times New Roman"/>
          <w:bCs/>
        </w:rPr>
        <w:t>demographic</w:t>
      </w:r>
      <w:r w:rsidRPr="0017107A">
        <w:rPr>
          <w:rFonts w:eastAsia="Times New Roman"/>
          <w:bCs/>
        </w:rPr>
        <w:t xml:space="preserve"> and household-related factors t</w:t>
      </w:r>
      <w:r w:rsidR="00B50B38" w:rsidRPr="0017107A">
        <w:rPr>
          <w:rFonts w:eastAsia="Times New Roman"/>
          <w:bCs/>
        </w:rPr>
        <w:t>hat are linked to the uptake of millet cultivation at com</w:t>
      </w:r>
      <w:r w:rsidR="0059571B" w:rsidRPr="0017107A">
        <w:rPr>
          <w:rFonts w:eastAsia="Times New Roman"/>
          <w:bCs/>
        </w:rPr>
        <w:t>mercial level. F</w:t>
      </w:r>
      <w:r w:rsidR="00330D45" w:rsidRPr="0017107A">
        <w:rPr>
          <w:rFonts w:eastAsia="Times New Roman"/>
          <w:bCs/>
        </w:rPr>
        <w:t>urther</w:t>
      </w:r>
      <w:r w:rsidR="0091186B" w:rsidRPr="0017107A">
        <w:rPr>
          <w:rFonts w:eastAsia="Times New Roman"/>
          <w:bCs/>
        </w:rPr>
        <w:t>,</w:t>
      </w:r>
      <w:r w:rsidR="00330D45" w:rsidRPr="0017107A">
        <w:rPr>
          <w:rFonts w:eastAsia="Times New Roman"/>
          <w:bCs/>
        </w:rPr>
        <w:t xml:space="preserve"> finding </w:t>
      </w:r>
      <w:r w:rsidR="0091186B" w:rsidRPr="0017107A">
        <w:rPr>
          <w:rFonts w:eastAsia="Times New Roman"/>
          <w:bCs/>
        </w:rPr>
        <w:t xml:space="preserve">also </w:t>
      </w:r>
      <w:r w:rsidR="00330D45" w:rsidRPr="0017107A">
        <w:rPr>
          <w:rFonts w:eastAsia="Times New Roman"/>
          <w:bCs/>
        </w:rPr>
        <w:t>reveal</w:t>
      </w:r>
      <w:r w:rsidR="0091186B" w:rsidRPr="0017107A">
        <w:rPr>
          <w:rFonts w:eastAsia="Times New Roman"/>
          <w:bCs/>
        </w:rPr>
        <w:t xml:space="preserve">ed </w:t>
      </w:r>
      <w:r w:rsidR="00330D45" w:rsidRPr="0017107A">
        <w:rPr>
          <w:rFonts w:eastAsia="Times New Roman"/>
          <w:bCs/>
        </w:rPr>
        <w:t>that</w:t>
      </w:r>
      <w:r w:rsidR="0091186B" w:rsidRPr="0017107A">
        <w:rPr>
          <w:rFonts w:eastAsia="Times New Roman"/>
          <w:bCs/>
        </w:rPr>
        <w:t xml:space="preserve"> </w:t>
      </w:r>
      <w:r w:rsidR="0059571B" w:rsidRPr="0017107A">
        <w:rPr>
          <w:rFonts w:eastAsia="Times New Roman"/>
          <w:bCs/>
        </w:rPr>
        <w:t>the adoption was influence by the age</w:t>
      </w:r>
      <w:r w:rsidR="00643A05" w:rsidRPr="0017107A">
        <w:rPr>
          <w:rFonts w:eastAsia="Times New Roman"/>
          <w:bCs/>
        </w:rPr>
        <w:t>, educational qualification</w:t>
      </w:r>
      <w:r w:rsidR="0059571B" w:rsidRPr="0017107A">
        <w:rPr>
          <w:rFonts w:eastAsia="Times New Roman"/>
          <w:bCs/>
        </w:rPr>
        <w:t>, cropping intensity and cultivable land in the studied region of Uttarakhand</w:t>
      </w:r>
      <w:r w:rsidR="00643A05" w:rsidRPr="0017107A">
        <w:rPr>
          <w:rFonts w:eastAsia="Times New Roman"/>
          <w:bCs/>
        </w:rPr>
        <w:t xml:space="preserve"> whereas variables like monthly income and farming experience had no influence on adoption decision of farmers.</w:t>
      </w:r>
    </w:p>
    <w:p w14:paraId="3C216516" w14:textId="77777777" w:rsidR="00DA2121" w:rsidRPr="0017107A" w:rsidRDefault="00115123" w:rsidP="00810056">
      <w:pPr>
        <w:autoSpaceDE w:val="0"/>
        <w:autoSpaceDN w:val="0"/>
        <w:adjustRightInd w:val="0"/>
        <w:spacing w:line="360" w:lineRule="auto"/>
        <w:jc w:val="both"/>
      </w:pPr>
      <w:r w:rsidRPr="0017107A">
        <w:t xml:space="preserve">Millets, known for their resilience and nutritional value, are pivotal in ensuring food security in rainfed hilly regions. Their commercialization is influenced by various demographic factors that affect farmers' decisions and capacities. Therefore, </w:t>
      </w:r>
      <w:r w:rsidR="00DA2121" w:rsidRPr="0017107A">
        <w:t xml:space="preserve">understanding the demographic determinants (farmers and farm </w:t>
      </w:r>
      <w:r w:rsidR="00BB1704" w:rsidRPr="0017107A">
        <w:t xml:space="preserve">characteristics) </w:t>
      </w:r>
      <w:r w:rsidR="00DA2121" w:rsidRPr="0017107A">
        <w:t>is crucial for formulating effective strategies to promote millet commercialization in rainfed hilly regions. Policies and program</w:t>
      </w:r>
      <w:r w:rsidR="00BB1704" w:rsidRPr="0017107A">
        <w:t xml:space="preserve">me </w:t>
      </w:r>
      <w:r w:rsidR="00DA2121" w:rsidRPr="0017107A">
        <w:t>must be tailored to address the specific needs and characteristics of the farming communities in these areas.</w:t>
      </w:r>
      <w:r w:rsidR="00777C31" w:rsidRPr="0017107A">
        <w:t xml:space="preserve"> To accelerate the pace of millet commercialization in the state of Uttarakhand, policies must transition from generic subsidies to </w:t>
      </w:r>
      <w:r w:rsidR="00777C31" w:rsidRPr="0017107A">
        <w:rPr>
          <w:bCs/>
        </w:rPr>
        <w:t>strategic, evidence-based, and inclusive interventions</w:t>
      </w:r>
      <w:r w:rsidR="00777C31" w:rsidRPr="0017107A">
        <w:t>. Strengthening farmer capacity, market ecosystems, and research will be crucial in transforming millets from a subsistence crop to a climate-smart, commercially viable livelihood option.</w:t>
      </w:r>
    </w:p>
    <w:p w14:paraId="682FD9C0" w14:textId="77777777" w:rsidR="00810056" w:rsidRPr="00810056" w:rsidRDefault="00810056" w:rsidP="00810056">
      <w:pPr>
        <w:spacing w:line="360" w:lineRule="auto"/>
        <w:jc w:val="both"/>
        <w:rPr>
          <w:rFonts w:eastAsia="Times New Roman"/>
          <w:b/>
          <w:bCs/>
          <w:sz w:val="14"/>
        </w:rPr>
      </w:pPr>
    </w:p>
    <w:p w14:paraId="4FDE5912" w14:textId="77777777" w:rsidR="00B805CF" w:rsidRDefault="00B805CF" w:rsidP="00810056">
      <w:pPr>
        <w:spacing w:line="360" w:lineRule="auto"/>
        <w:jc w:val="both"/>
        <w:rPr>
          <w:rFonts w:eastAsia="Times New Roman"/>
          <w:b/>
          <w:bCs/>
        </w:rPr>
      </w:pPr>
    </w:p>
    <w:p w14:paraId="200BDFE2" w14:textId="77777777" w:rsidR="00643A05" w:rsidRPr="0017107A" w:rsidRDefault="00810056" w:rsidP="00810056">
      <w:pPr>
        <w:spacing w:line="360" w:lineRule="auto"/>
        <w:jc w:val="both"/>
        <w:rPr>
          <w:rFonts w:eastAsia="Times New Roman"/>
          <w:b/>
          <w:bCs/>
        </w:rPr>
      </w:pPr>
      <w:r w:rsidRPr="0017107A">
        <w:rPr>
          <w:rFonts w:eastAsia="Times New Roman"/>
          <w:b/>
          <w:bCs/>
        </w:rPr>
        <w:t>REFERENCES</w:t>
      </w:r>
    </w:p>
    <w:p w14:paraId="7DE3C88C" w14:textId="77777777" w:rsidR="006A7034" w:rsidRPr="0017107A" w:rsidRDefault="006A7034" w:rsidP="00892367">
      <w:pPr>
        <w:spacing w:before="60" w:after="60" w:line="360" w:lineRule="auto"/>
        <w:ind w:left="360" w:hanging="360"/>
        <w:jc w:val="both"/>
        <w:rPr>
          <w:rFonts w:eastAsia="Times New Roman"/>
          <w:bCs/>
        </w:rPr>
      </w:pPr>
      <w:r w:rsidRPr="0017107A">
        <w:rPr>
          <w:rFonts w:eastAsia="Times New Roman"/>
          <w:bCs/>
        </w:rPr>
        <w:t>Agarwal, B. (2003). </w:t>
      </w:r>
      <w:r w:rsidRPr="0017107A">
        <w:rPr>
          <w:rFonts w:eastAsia="Times New Roman"/>
          <w:bCs/>
          <w:iCs/>
        </w:rPr>
        <w:t>Gender and land rights revisited: Exploring new prospects via the state, family, and market</w:t>
      </w:r>
      <w:r w:rsidRPr="0017107A">
        <w:rPr>
          <w:rFonts w:eastAsia="Times New Roman"/>
          <w:bCs/>
        </w:rPr>
        <w:t xml:space="preserve">. </w:t>
      </w:r>
      <w:r w:rsidRPr="004D0B2A">
        <w:rPr>
          <w:rFonts w:eastAsia="Times New Roman"/>
          <w:bCs/>
          <w:iCs/>
        </w:rPr>
        <w:t>Journal of Agrarian Change,</w:t>
      </w:r>
      <w:r w:rsidRPr="0017107A">
        <w:rPr>
          <w:rFonts w:eastAsia="Times New Roman"/>
          <w:bCs/>
        </w:rPr>
        <w:t xml:space="preserve"> 3(1&amp; 2)</w:t>
      </w:r>
      <w:r>
        <w:rPr>
          <w:rFonts w:eastAsia="Times New Roman"/>
          <w:bCs/>
        </w:rPr>
        <w:t>,</w:t>
      </w:r>
      <w:r w:rsidRPr="0017107A">
        <w:rPr>
          <w:rFonts w:eastAsia="Times New Roman"/>
          <w:bCs/>
        </w:rPr>
        <w:t xml:space="preserve">184-224. </w:t>
      </w:r>
    </w:p>
    <w:p w14:paraId="26919D4B" w14:textId="77777777" w:rsidR="006A7034" w:rsidRPr="004D0B2A" w:rsidRDefault="006A7034" w:rsidP="00892367">
      <w:pPr>
        <w:spacing w:before="60" w:after="60" w:line="360" w:lineRule="auto"/>
        <w:ind w:left="360" w:hanging="360"/>
        <w:jc w:val="both"/>
        <w:rPr>
          <w:rFonts w:eastAsia="Times New Roman"/>
          <w:sz w:val="20"/>
          <w:szCs w:val="20"/>
        </w:rPr>
      </w:pPr>
      <w:r w:rsidRPr="0017107A">
        <w:rPr>
          <w:rFonts w:eastAsia="Times New Roman"/>
        </w:rPr>
        <w:t>Amadou, I., Gounga, M. E., &amp; Le, G. W. (2013). Millets, nutritional composition, some health benefits and processing. </w:t>
      </w:r>
      <w:r w:rsidRPr="004D0B2A">
        <w:rPr>
          <w:rFonts w:eastAsia="Times New Roman"/>
        </w:rPr>
        <w:t>Emir J Food Agric</w:t>
      </w:r>
      <w:r w:rsidRPr="0017107A">
        <w:rPr>
          <w:rFonts w:eastAsia="Times New Roman"/>
        </w:rPr>
        <w:t>, </w:t>
      </w:r>
      <w:r w:rsidRPr="0017107A">
        <w:rPr>
          <w:rFonts w:eastAsia="Times New Roman"/>
          <w:i/>
          <w:iCs/>
        </w:rPr>
        <w:t>25</w:t>
      </w:r>
      <w:r>
        <w:rPr>
          <w:rFonts w:eastAsia="Times New Roman"/>
          <w:i/>
          <w:iCs/>
        </w:rPr>
        <w:t xml:space="preserve"> </w:t>
      </w:r>
      <w:r w:rsidRPr="0017107A">
        <w:rPr>
          <w:rFonts w:eastAsia="Times New Roman"/>
        </w:rPr>
        <w:t>(7), 501-508.</w:t>
      </w:r>
      <w:r>
        <w:rPr>
          <w:rFonts w:eastAsia="Times New Roman"/>
        </w:rPr>
        <w:t xml:space="preserve"> DOI: </w:t>
      </w:r>
      <w:hyperlink r:id="rId11" w:history="1">
        <w:r w:rsidRPr="004D0B2A">
          <w:rPr>
            <w:rStyle w:val="Hyperlink"/>
            <w:rFonts w:eastAsia="Times New Roman"/>
            <w:sz w:val="20"/>
            <w:szCs w:val="20"/>
          </w:rPr>
          <w:t>https://doi.org/10.9755/ejfa.v25i7.12045</w:t>
        </w:r>
      </w:hyperlink>
      <w:r w:rsidRPr="004D0B2A">
        <w:rPr>
          <w:rFonts w:eastAsia="Times New Roman"/>
          <w:sz w:val="20"/>
          <w:szCs w:val="20"/>
        </w:rPr>
        <w:t xml:space="preserve"> </w:t>
      </w:r>
    </w:p>
    <w:p w14:paraId="3B4C1898" w14:textId="0B4432E7" w:rsidR="006A7034" w:rsidRPr="0029153F" w:rsidRDefault="006A7034" w:rsidP="00892367">
      <w:pPr>
        <w:spacing w:after="160" w:line="360" w:lineRule="auto"/>
        <w:ind w:left="360" w:hanging="360"/>
        <w:jc w:val="both"/>
      </w:pPr>
      <w:r w:rsidRPr="0029153F">
        <w:t xml:space="preserve">Barrett, C. B. (2008). Smallholder market participation: Concepts and evidence from eastern and southern Africa. </w:t>
      </w:r>
      <w:r w:rsidRPr="0029153F">
        <w:rPr>
          <w:i/>
          <w:iCs/>
        </w:rPr>
        <w:t>Food Policy</w:t>
      </w:r>
      <w:r w:rsidRPr="0029153F">
        <w:t xml:space="preserve">, 33(4), 299-317. </w:t>
      </w:r>
      <w:hyperlink r:id="rId12" w:history="1">
        <w:r w:rsidR="00177708" w:rsidRPr="002749E2">
          <w:rPr>
            <w:rStyle w:val="Hyperlink"/>
          </w:rPr>
          <w:t>https://doi.org/10.1016/j.foodpol.2007.10.005</w:t>
        </w:r>
      </w:hyperlink>
      <w:r w:rsidR="00177708">
        <w:t xml:space="preserve"> </w:t>
      </w:r>
    </w:p>
    <w:p w14:paraId="71584A98" w14:textId="77777777" w:rsidR="006A7034" w:rsidRPr="0017107A" w:rsidRDefault="006A7034" w:rsidP="00892367">
      <w:pPr>
        <w:spacing w:before="60" w:after="60" w:line="360" w:lineRule="auto"/>
        <w:ind w:left="360" w:hanging="360"/>
        <w:jc w:val="both"/>
        <w:rPr>
          <w:rFonts w:eastAsia="Times New Roman"/>
        </w:rPr>
      </w:pPr>
      <w:r w:rsidRPr="0017107A">
        <w:rPr>
          <w:rFonts w:eastAsia="Times New Roman"/>
        </w:rPr>
        <w:lastRenderedPageBreak/>
        <w:t>Bar-Yosef, O</w:t>
      </w:r>
      <w:r>
        <w:rPr>
          <w:rFonts w:eastAsia="Times New Roman"/>
        </w:rPr>
        <w:t>fer</w:t>
      </w:r>
      <w:r w:rsidRPr="0017107A">
        <w:rPr>
          <w:rFonts w:eastAsia="Times New Roman"/>
        </w:rPr>
        <w:t>. (2012). From foraging to farming in western and eastern Asia. </w:t>
      </w:r>
      <w:r w:rsidRPr="004D0B2A">
        <w:rPr>
          <w:rFonts w:eastAsia="Times New Roman"/>
        </w:rPr>
        <w:t>Biodiversity in Agriculture,</w:t>
      </w:r>
      <w:r w:rsidRPr="0017107A">
        <w:rPr>
          <w:rFonts w:eastAsia="Times New Roman"/>
        </w:rPr>
        <w:t xml:space="preserve"> 57-91.</w:t>
      </w:r>
      <w:r>
        <w:rPr>
          <w:rFonts w:eastAsia="Times New Roman"/>
        </w:rPr>
        <w:t xml:space="preserve"> </w:t>
      </w:r>
      <w:hyperlink r:id="rId13" w:history="1">
        <w:r w:rsidRPr="00490337">
          <w:rPr>
            <w:rStyle w:val="Hyperlink"/>
            <w:rFonts w:eastAsia="Times New Roman"/>
          </w:rPr>
          <w:t>https://colab.ws/articles/10.1017%2FCBO9781139019514.006#</w:t>
        </w:r>
      </w:hyperlink>
      <w:r>
        <w:rPr>
          <w:rFonts w:eastAsia="Times New Roman"/>
        </w:rPr>
        <w:t xml:space="preserve"> </w:t>
      </w:r>
    </w:p>
    <w:p w14:paraId="63329F14" w14:textId="77777777" w:rsidR="006A7034" w:rsidRPr="0017107A" w:rsidRDefault="006A7034" w:rsidP="00892367">
      <w:pPr>
        <w:spacing w:before="60" w:after="60" w:line="360" w:lineRule="auto"/>
        <w:ind w:left="360" w:hanging="360"/>
        <w:jc w:val="both"/>
        <w:rPr>
          <w:rFonts w:eastAsia="Times New Roman"/>
          <w:bCs/>
        </w:rPr>
      </w:pPr>
      <w:proofErr w:type="spellStart"/>
      <w:r w:rsidRPr="0017107A">
        <w:rPr>
          <w:rFonts w:eastAsia="Times New Roman"/>
          <w:bCs/>
        </w:rPr>
        <w:t>Birthal</w:t>
      </w:r>
      <w:proofErr w:type="spellEnd"/>
      <w:r w:rsidRPr="0017107A">
        <w:rPr>
          <w:rFonts w:eastAsia="Times New Roman"/>
          <w:bCs/>
        </w:rPr>
        <w:t>, P. S., Joshi, P. K., &amp; Roy, D. (2014). </w:t>
      </w:r>
      <w:r w:rsidRPr="0017107A">
        <w:rPr>
          <w:rFonts w:eastAsia="Times New Roman"/>
          <w:bCs/>
          <w:iCs/>
        </w:rPr>
        <w:t>How sensitive is Indian agriculture to climate change?</w:t>
      </w:r>
      <w:r w:rsidRPr="0017107A">
        <w:rPr>
          <w:rFonts w:eastAsia="Times New Roman"/>
          <w:bCs/>
        </w:rPr>
        <w:t> </w:t>
      </w:r>
      <w:r w:rsidRPr="004D0B2A">
        <w:rPr>
          <w:rFonts w:eastAsia="Times New Roman"/>
          <w:bCs/>
          <w:iCs/>
        </w:rPr>
        <w:t>Indian Journal of Agricultural Economics,</w:t>
      </w:r>
      <w:r w:rsidRPr="0017107A">
        <w:rPr>
          <w:rFonts w:eastAsia="Times New Roman"/>
          <w:bCs/>
        </w:rPr>
        <w:t xml:space="preserve"> 69(4), 474-487.</w:t>
      </w:r>
    </w:p>
    <w:p w14:paraId="280DB7D4" w14:textId="77777777" w:rsidR="006A7034" w:rsidRPr="0029153F" w:rsidRDefault="006A7034" w:rsidP="00892367">
      <w:pPr>
        <w:spacing w:after="160" w:line="360" w:lineRule="auto"/>
        <w:ind w:left="360" w:hanging="360"/>
        <w:jc w:val="both"/>
      </w:pPr>
      <w:r w:rsidRPr="0029153F">
        <w:t xml:space="preserve">Bora, M., Das, A., &amp; Hazarika, A. (2021). Millets for sustainable food and nutrition security: Relevance and policy perspectives. </w:t>
      </w:r>
      <w:r w:rsidRPr="0029153F">
        <w:rPr>
          <w:i/>
          <w:iCs/>
        </w:rPr>
        <w:t>Current Science</w:t>
      </w:r>
      <w:r w:rsidRPr="0029153F">
        <w:t>, 120(4), 559–563.</w:t>
      </w:r>
    </w:p>
    <w:p w14:paraId="315219A2" w14:textId="77777777" w:rsidR="006A7034" w:rsidRDefault="006A7034" w:rsidP="00892367">
      <w:pPr>
        <w:spacing w:after="160" w:line="360" w:lineRule="auto"/>
        <w:ind w:left="360" w:hanging="360"/>
        <w:jc w:val="both"/>
      </w:pPr>
      <w:r w:rsidRPr="00DB0C6D">
        <w:t>FAO (</w:t>
      </w:r>
      <w:r w:rsidRPr="00FA7DFB">
        <w:t>2018).</w:t>
      </w:r>
      <w:r>
        <w:t xml:space="preserve"> </w:t>
      </w:r>
      <w:r w:rsidRPr="00FA7DFB">
        <w:rPr>
          <w:i/>
          <w:iCs/>
        </w:rPr>
        <w:t>The future of food and agriculture – Alternative pathways to 2050</w:t>
      </w:r>
      <w:r w:rsidRPr="00FA7DFB">
        <w:t>.</w:t>
      </w:r>
      <w:r w:rsidRPr="00FA7DFB">
        <w:br/>
        <w:t>Food and Agriculture Organization of the United Nations, Rome.</w:t>
      </w:r>
      <w:r>
        <w:t xml:space="preserve"> </w:t>
      </w:r>
      <w:hyperlink r:id="rId14" w:tgtFrame="_new" w:history="1">
        <w:r w:rsidRPr="00FA7DFB">
          <w:rPr>
            <w:rStyle w:val="Hyperlink"/>
          </w:rPr>
          <w:t>https://www.fao.org/3/CA1553EN/ca1553en.pdf</w:t>
        </w:r>
      </w:hyperlink>
    </w:p>
    <w:p w14:paraId="35AE189F" w14:textId="77777777" w:rsidR="006A7034" w:rsidRDefault="006A7034" w:rsidP="00892367">
      <w:pPr>
        <w:spacing w:after="160" w:line="360" w:lineRule="auto"/>
        <w:ind w:left="360" w:hanging="360"/>
        <w:jc w:val="both"/>
      </w:pPr>
      <w:r w:rsidRPr="0029153F">
        <w:t>FAO. (2022</w:t>
      </w:r>
      <w:r w:rsidRPr="002C5018">
        <w:t>). International Year of Millets 2023.</w:t>
      </w:r>
      <w:r w:rsidRPr="0029153F">
        <w:t xml:space="preserve"> Food and Agriculture Organization of the United Nations. </w:t>
      </w:r>
      <w:hyperlink r:id="rId15" w:tgtFrame="_new" w:history="1">
        <w:r w:rsidRPr="0029153F">
          <w:rPr>
            <w:rStyle w:val="Hyperlink"/>
          </w:rPr>
          <w:t>https://www.fao.org/millets-2023</w:t>
        </w:r>
      </w:hyperlink>
    </w:p>
    <w:p w14:paraId="72F34B26" w14:textId="77777777" w:rsidR="006A7034" w:rsidRPr="00A33276" w:rsidRDefault="006A7034" w:rsidP="00892367">
      <w:pPr>
        <w:spacing w:after="160" w:line="360" w:lineRule="auto"/>
        <w:ind w:left="360" w:hanging="360"/>
        <w:jc w:val="both"/>
      </w:pPr>
      <w:r w:rsidRPr="00A33276">
        <w:rPr>
          <w:rFonts w:eastAsia="Times New Roman"/>
        </w:rPr>
        <w:t xml:space="preserve">Fischer, E. &amp; Qaim, Martim. (2012).  Linking Smallholders to Markets: Determinants and Impacts of Farmer Collective Action in Kenya. World Development, 40 (6), 1255–1268, 2012.  </w:t>
      </w:r>
      <w:hyperlink r:id="rId16" w:history="1">
        <w:r w:rsidRPr="00A33276">
          <w:rPr>
            <w:rStyle w:val="Hyperlink"/>
            <w:rFonts w:eastAsia="Times New Roman"/>
          </w:rPr>
          <w:t>https://doi.org/10.1016/j.worlddev.2011.11.018</w:t>
        </w:r>
      </w:hyperlink>
      <w:r w:rsidRPr="00A33276">
        <w:rPr>
          <w:rFonts w:eastAsia="Times New Roman"/>
        </w:rPr>
        <w:t xml:space="preserve"> </w:t>
      </w:r>
    </w:p>
    <w:p w14:paraId="7A96E444" w14:textId="77777777" w:rsidR="006A7034" w:rsidRPr="0029153F" w:rsidRDefault="006A7034" w:rsidP="00892367">
      <w:pPr>
        <w:spacing w:after="160" w:line="360" w:lineRule="auto"/>
        <w:ind w:left="360" w:hanging="360"/>
        <w:jc w:val="both"/>
      </w:pPr>
      <w:r w:rsidRPr="0029153F">
        <w:t xml:space="preserve">Gupta, S., Singh, N. B., &amp; Singh, M. (2023). Climate-resilient crops for sustainable agriculture: A review of millets in India. </w:t>
      </w:r>
      <w:r w:rsidRPr="0029153F">
        <w:rPr>
          <w:i/>
          <w:iCs/>
        </w:rPr>
        <w:t>Agricultural Reviews</w:t>
      </w:r>
      <w:r w:rsidRPr="0029153F">
        <w:t>, 44(2), 230–238. https://doi.org/10.18805/ag.R-2356</w:t>
      </w:r>
    </w:p>
    <w:p w14:paraId="09C00176" w14:textId="297012FB" w:rsidR="006A7034" w:rsidRDefault="006A7034" w:rsidP="00892367">
      <w:pPr>
        <w:spacing w:after="160" w:line="360" w:lineRule="auto"/>
        <w:ind w:left="360" w:hanging="360"/>
        <w:jc w:val="both"/>
      </w:pPr>
      <w:r w:rsidRPr="00DB0C6D">
        <w:t>ICAR (Indian Council of Agricultural Research)</w:t>
      </w:r>
      <w:r w:rsidR="00DB0C6D">
        <w:t>.</w:t>
      </w:r>
      <w:r w:rsidRPr="00B70A23">
        <w:t xml:space="preserve"> (2021). Vision 2030: Millets Research for Nutritional Security. ICAR - Indian Institute of Millets Research (IIMR), Hyderabad.</w:t>
      </w:r>
      <w:r w:rsidRPr="00B70A23">
        <w:br/>
      </w:r>
      <w:hyperlink r:id="rId17" w:history="1">
        <w:r w:rsidRPr="00B70A23">
          <w:rPr>
            <w:rStyle w:val="Hyperlink"/>
          </w:rPr>
          <w:t>http://www.millets.res.in</w:t>
        </w:r>
      </w:hyperlink>
      <w:r>
        <w:t xml:space="preserve">. </w:t>
      </w:r>
    </w:p>
    <w:p w14:paraId="2604CFFB" w14:textId="77777777" w:rsidR="006A7034" w:rsidRPr="0017107A" w:rsidRDefault="006A7034" w:rsidP="00892367">
      <w:pPr>
        <w:spacing w:before="60" w:after="60" w:line="360" w:lineRule="auto"/>
        <w:ind w:left="360" w:hanging="360"/>
        <w:jc w:val="both"/>
        <w:rPr>
          <w:rFonts w:eastAsia="Times New Roman"/>
          <w:bCs/>
        </w:rPr>
      </w:pPr>
      <w:r w:rsidRPr="0017107A">
        <w:rPr>
          <w:rFonts w:eastAsia="Times New Roman"/>
          <w:bCs/>
        </w:rPr>
        <w:t>Kane-Prabhu, S., Devi, M. S., &amp; Bhavani, R. V. (2020). </w:t>
      </w:r>
      <w:r w:rsidRPr="0017107A">
        <w:rPr>
          <w:rFonts w:eastAsia="Times New Roman"/>
          <w:bCs/>
          <w:iCs/>
        </w:rPr>
        <w:t>Consumer awareness and willingness to pay for millets: A study in urban Bengaluru</w:t>
      </w:r>
      <w:r w:rsidRPr="0017107A">
        <w:rPr>
          <w:rFonts w:eastAsia="Times New Roman"/>
          <w:bCs/>
        </w:rPr>
        <w:t xml:space="preserve">. </w:t>
      </w:r>
      <w:r w:rsidRPr="004D0B2A">
        <w:rPr>
          <w:rFonts w:eastAsia="Times New Roman"/>
          <w:bCs/>
          <w:iCs/>
        </w:rPr>
        <w:t>Agricultural Economics Research Review,</w:t>
      </w:r>
      <w:r w:rsidRPr="0017107A">
        <w:rPr>
          <w:rFonts w:eastAsia="Times New Roman"/>
          <w:bCs/>
        </w:rPr>
        <w:t xml:space="preserve"> 33(1), 95-104. </w:t>
      </w:r>
      <w:hyperlink r:id="rId18" w:tgtFrame="_blank" w:history="1">
        <w:r w:rsidRPr="0017107A">
          <w:rPr>
            <w:rStyle w:val="Hyperlink"/>
            <w:rFonts w:eastAsia="Times New Roman"/>
            <w:bCs/>
          </w:rPr>
          <w:t>https://doi.org/10.5958/0974-0279.2020.00010.X</w:t>
        </w:r>
      </w:hyperlink>
    </w:p>
    <w:p w14:paraId="21AB87EF" w14:textId="77777777" w:rsidR="006A7034" w:rsidRDefault="006A7034" w:rsidP="00892367">
      <w:pPr>
        <w:spacing w:after="160" w:line="360" w:lineRule="auto"/>
        <w:ind w:left="360" w:hanging="360"/>
        <w:jc w:val="both"/>
      </w:pPr>
      <w:r w:rsidRPr="0029153F">
        <w:t xml:space="preserve">Karthikeyan, C., Ravichandran, M., &amp; Kumar, R. (2020). Value chain analysis of millets in India: Opportunities and constraints. </w:t>
      </w:r>
      <w:r w:rsidRPr="0029153F">
        <w:rPr>
          <w:i/>
          <w:iCs/>
        </w:rPr>
        <w:t>Indian Journal of Agricultural Marketing</w:t>
      </w:r>
      <w:r w:rsidRPr="0029153F">
        <w:t>, 34(3), 1-10.</w:t>
      </w:r>
    </w:p>
    <w:p w14:paraId="4C8A94B2" w14:textId="77777777" w:rsidR="006A7034" w:rsidRDefault="006A7034" w:rsidP="00892367">
      <w:pPr>
        <w:spacing w:after="160" w:line="360" w:lineRule="auto"/>
        <w:ind w:left="360" w:hanging="360"/>
        <w:jc w:val="both"/>
      </w:pPr>
      <w:r w:rsidRPr="002C5018">
        <w:t>Karthikeyan, M., Viswanathan, P. K., &amp; Shankar, B.</w:t>
      </w:r>
      <w:r w:rsidRPr="00FA7DFB">
        <w:t xml:space="preserve"> (2020).</w:t>
      </w:r>
      <w:r>
        <w:t xml:space="preserve"> </w:t>
      </w:r>
      <w:r w:rsidRPr="00A33276">
        <w:rPr>
          <w:i/>
          <w:iCs/>
        </w:rPr>
        <w:t xml:space="preserve">Promoting millets through public distribution system: A case of missed opportunity? </w:t>
      </w:r>
      <w:r w:rsidRPr="00FA7DFB">
        <w:t>Economic &amp; Political Weekly, 55(10), 45–53.</w:t>
      </w:r>
      <w:r>
        <w:t xml:space="preserve"> </w:t>
      </w:r>
      <w:hyperlink r:id="rId19" w:history="1">
        <w:r w:rsidRPr="00FA7DFB">
          <w:rPr>
            <w:rStyle w:val="Hyperlink"/>
          </w:rPr>
          <w:t>https://www.epw.in/journal/2020/10/special-articles/promoting-millets-through-public-distribution-system.html</w:t>
        </w:r>
      </w:hyperlink>
      <w:r>
        <w:t xml:space="preserve"> .</w:t>
      </w:r>
    </w:p>
    <w:p w14:paraId="7B774554" w14:textId="77777777" w:rsidR="006A7034" w:rsidRPr="0017107A" w:rsidRDefault="006A7034" w:rsidP="00892367">
      <w:pPr>
        <w:spacing w:before="60" w:after="60" w:line="360" w:lineRule="auto"/>
        <w:ind w:left="360" w:hanging="360"/>
        <w:jc w:val="both"/>
        <w:rPr>
          <w:rFonts w:eastAsia="Times New Roman"/>
        </w:rPr>
      </w:pPr>
      <w:r w:rsidRPr="0017107A">
        <w:rPr>
          <w:rFonts w:eastAsia="Times New Roman"/>
        </w:rPr>
        <w:lastRenderedPageBreak/>
        <w:t>Mishra, S., &amp; Mishra, S. (2024). Food Processing Techniques to Conserve Millet-Based Ethnic Food Products of India. In </w:t>
      </w:r>
      <w:r w:rsidRPr="0017107A">
        <w:rPr>
          <w:rFonts w:eastAsia="Times New Roman"/>
          <w:iCs/>
        </w:rPr>
        <w:t>Sustainable Food Systems (Volume I) SFS: Framework, Sustainable Diets, Traditional Food Culture &amp; Food Production</w:t>
      </w:r>
      <w:r w:rsidRPr="0017107A">
        <w:rPr>
          <w:rFonts w:eastAsia="Times New Roman"/>
        </w:rPr>
        <w:t> (pp. 363-380). Cham: Springer Nature Switzerland.</w:t>
      </w:r>
    </w:p>
    <w:p w14:paraId="29ABB176" w14:textId="77777777" w:rsidR="006A7034" w:rsidRPr="0017107A" w:rsidRDefault="006A7034" w:rsidP="00892367">
      <w:pPr>
        <w:spacing w:before="60" w:after="60" w:line="360" w:lineRule="auto"/>
        <w:ind w:left="360" w:hanging="360"/>
        <w:jc w:val="both"/>
        <w:rPr>
          <w:rFonts w:eastAsia="Times New Roman"/>
          <w:bCs/>
        </w:rPr>
      </w:pPr>
      <w:r w:rsidRPr="0017107A">
        <w:rPr>
          <w:rFonts w:eastAsia="Times New Roman"/>
          <w:bCs/>
        </w:rPr>
        <w:t>Mishra, S., Khare, S., &amp; Singh, R. (2023). </w:t>
      </w:r>
      <w:r w:rsidRPr="0017107A">
        <w:rPr>
          <w:rFonts w:eastAsia="Times New Roman"/>
          <w:bCs/>
          <w:iCs/>
        </w:rPr>
        <w:t>Millet adoption in eastern India: Barriers and opportunities</w:t>
      </w:r>
      <w:r w:rsidRPr="0017107A">
        <w:rPr>
          <w:rFonts w:eastAsia="Times New Roman"/>
          <w:bCs/>
        </w:rPr>
        <w:t xml:space="preserve">. </w:t>
      </w:r>
      <w:r w:rsidRPr="004D0B2A">
        <w:rPr>
          <w:rFonts w:eastAsia="Times New Roman"/>
          <w:bCs/>
          <w:iCs/>
        </w:rPr>
        <w:t>Food Security</w:t>
      </w:r>
      <w:r w:rsidRPr="0017107A">
        <w:rPr>
          <w:rFonts w:eastAsia="Times New Roman"/>
          <w:bCs/>
        </w:rPr>
        <w:t>, 15</w:t>
      </w:r>
      <w:r>
        <w:rPr>
          <w:rFonts w:eastAsia="Times New Roman"/>
          <w:bCs/>
        </w:rPr>
        <w:t xml:space="preserve"> </w:t>
      </w:r>
      <w:r w:rsidRPr="0017107A">
        <w:rPr>
          <w:rFonts w:eastAsia="Times New Roman"/>
          <w:bCs/>
        </w:rPr>
        <w:t>(2), 345-360. </w:t>
      </w:r>
      <w:hyperlink r:id="rId20" w:tgtFrame="_blank" w:history="1"/>
      <w:r>
        <w:t xml:space="preserve"> </w:t>
      </w:r>
    </w:p>
    <w:p w14:paraId="3AC3BEC7" w14:textId="77777777" w:rsidR="006A7034" w:rsidRDefault="006A7034" w:rsidP="00892367">
      <w:pPr>
        <w:spacing w:after="160" w:line="360" w:lineRule="auto"/>
        <w:ind w:left="360" w:hanging="360"/>
        <w:jc w:val="both"/>
      </w:pPr>
      <w:r w:rsidRPr="00513A7D">
        <w:t>Mishra</w:t>
      </w:r>
      <w:r>
        <w:t>, S., Tripathi, K.M., Gaur, A.S., Verma, R. &amp; Pathak, J.</w:t>
      </w:r>
      <w:r w:rsidRPr="00513A7D">
        <w:t xml:space="preserve"> </w:t>
      </w:r>
      <w:r>
        <w:t>(</w:t>
      </w:r>
      <w:r w:rsidRPr="00513A7D">
        <w:t>2023</w:t>
      </w:r>
      <w:r>
        <w:t xml:space="preserve">). </w:t>
      </w:r>
      <w:r w:rsidRPr="00A33276">
        <w:t>Millet’s Role in Human Nutrition and</w:t>
      </w:r>
      <w:r>
        <w:t xml:space="preserve"> </w:t>
      </w:r>
      <w:r w:rsidRPr="00A33276">
        <w:t>Its Value Chain Challenges</w:t>
      </w:r>
      <w:r>
        <w:t xml:space="preserve">. </w:t>
      </w:r>
      <w:proofErr w:type="spellStart"/>
      <w:r>
        <w:t>Biotica</w:t>
      </w:r>
      <w:proofErr w:type="spellEnd"/>
      <w:r>
        <w:t xml:space="preserve"> Research Today, 5(11), 792-795. </w:t>
      </w:r>
    </w:p>
    <w:p w14:paraId="027ABA01" w14:textId="77777777" w:rsidR="006A7034" w:rsidRDefault="006A7034" w:rsidP="00892367">
      <w:pPr>
        <w:spacing w:after="160" w:line="360" w:lineRule="auto"/>
        <w:ind w:left="360" w:hanging="360"/>
        <w:jc w:val="both"/>
      </w:pPr>
      <w:r w:rsidRPr="00B70A23">
        <w:t>Muriithi, Beatrice W. &amp; Matz, Julia Anna</w:t>
      </w:r>
      <w:r>
        <w:t>. (</w:t>
      </w:r>
      <w:r w:rsidRPr="00B70A23">
        <w:t>2015</w:t>
      </w:r>
      <w:r>
        <w:t>)</w:t>
      </w:r>
      <w:r w:rsidRPr="00B70A23">
        <w:t>. "</w:t>
      </w:r>
      <w:hyperlink r:id="rId21" w:history="1">
        <w:r w:rsidRPr="00B70A23">
          <w:t>Welfare effects of vegetable commercialization: Evidence from smallholder producers in Kenya</w:t>
        </w:r>
      </w:hyperlink>
      <w:r w:rsidRPr="00B70A23">
        <w:t>," </w:t>
      </w:r>
      <w:hyperlink r:id="rId22" w:history="1">
        <w:r w:rsidRPr="00B70A23">
          <w:t>Food Policy</w:t>
        </w:r>
      </w:hyperlink>
      <w:r w:rsidRPr="00B70A23">
        <w:t>,50(C),</w:t>
      </w:r>
      <w:r>
        <w:t xml:space="preserve"> </w:t>
      </w:r>
      <w:r w:rsidRPr="00B70A23">
        <w:t>80-91.</w:t>
      </w:r>
      <w:r>
        <w:t xml:space="preserve"> </w:t>
      </w:r>
    </w:p>
    <w:p w14:paraId="393E6672" w14:textId="23A7A3D5" w:rsidR="006A7034" w:rsidRPr="0029153F" w:rsidRDefault="006A7034" w:rsidP="00892367">
      <w:pPr>
        <w:spacing w:after="160" w:line="360" w:lineRule="auto"/>
        <w:ind w:left="360" w:hanging="360"/>
        <w:jc w:val="both"/>
      </w:pPr>
      <w:proofErr w:type="spellStart"/>
      <w:r w:rsidRPr="0029153F">
        <w:t>Muthamilarasan</w:t>
      </w:r>
      <w:proofErr w:type="spellEnd"/>
      <w:r w:rsidRPr="0029153F">
        <w:t xml:space="preserve">, M., &amp; Prasad, M. (2021). Millets: The untapped treasures in advancing climate resilient agriculture. </w:t>
      </w:r>
      <w:r w:rsidRPr="00A33276">
        <w:rPr>
          <w:i/>
          <w:iCs/>
        </w:rPr>
        <w:t>Trends in Plant Science</w:t>
      </w:r>
      <w:r w:rsidRPr="0029153F">
        <w:t xml:space="preserve">, 26(7), 631-634. </w:t>
      </w:r>
      <w:hyperlink r:id="rId23" w:history="1">
        <w:r w:rsidR="00DB0C6D" w:rsidRPr="002749E2">
          <w:rPr>
            <w:rStyle w:val="Hyperlink"/>
          </w:rPr>
          <w:t>https://doi.org/10.1016/j.tplants.2021.03.008</w:t>
        </w:r>
      </w:hyperlink>
      <w:r w:rsidR="00DB0C6D">
        <w:t xml:space="preserve"> </w:t>
      </w:r>
    </w:p>
    <w:p w14:paraId="29ECF218" w14:textId="77777777" w:rsidR="006A7034" w:rsidRDefault="006A7034" w:rsidP="00892367">
      <w:pPr>
        <w:spacing w:after="160" w:line="360" w:lineRule="auto"/>
        <w:ind w:left="360" w:hanging="360"/>
        <w:jc w:val="both"/>
      </w:pPr>
      <w:r w:rsidRPr="0029153F">
        <w:t xml:space="preserve">Negi, D. S., &amp; Joshi, P. K. (2022). Hill agriculture in India: Challenges and prospects. </w:t>
      </w:r>
      <w:r w:rsidRPr="0029153F">
        <w:rPr>
          <w:i/>
          <w:iCs/>
        </w:rPr>
        <w:t>Journal of Mountain Science</w:t>
      </w:r>
      <w:r w:rsidRPr="0029153F">
        <w:t xml:space="preserve">, 19(4), 873–888. </w:t>
      </w:r>
      <w:hyperlink r:id="rId24" w:history="1"/>
      <w:r>
        <w:t xml:space="preserve"> </w:t>
      </w:r>
    </w:p>
    <w:p w14:paraId="02104290" w14:textId="77777777" w:rsidR="006A7034" w:rsidRPr="0029153F" w:rsidRDefault="006A7034" w:rsidP="00892367">
      <w:pPr>
        <w:spacing w:after="160" w:line="360" w:lineRule="auto"/>
        <w:ind w:left="360" w:hanging="360"/>
        <w:jc w:val="both"/>
      </w:pPr>
      <w:r w:rsidRPr="002C5018">
        <w:t>Negi, G. C. S., &amp; Joshi, V.</w:t>
      </w:r>
      <w:r w:rsidRPr="00FA7DFB">
        <w:t xml:space="preserve"> (2022).</w:t>
      </w:r>
      <w:r>
        <w:t xml:space="preserve"> </w:t>
      </w:r>
      <w:r w:rsidRPr="00D26B18">
        <w:rPr>
          <w:i/>
          <w:iCs/>
        </w:rPr>
        <w:t>Reviving Millets in the Central Himalaya: Opportunities and Constraints</w:t>
      </w:r>
      <w:r w:rsidRPr="00FA7DFB">
        <w:t>.</w:t>
      </w:r>
      <w:r>
        <w:t xml:space="preserve"> </w:t>
      </w:r>
      <w:r w:rsidRPr="00FA7DFB">
        <w:t>Mountain Research and Development, 42(2), R1–R9.</w:t>
      </w:r>
      <w:r>
        <w:t xml:space="preserve"> </w:t>
      </w:r>
    </w:p>
    <w:p w14:paraId="44D6387F" w14:textId="77777777" w:rsidR="006A7034" w:rsidRPr="0017107A" w:rsidRDefault="006A7034" w:rsidP="00892367">
      <w:pPr>
        <w:spacing w:before="60" w:after="60" w:line="360" w:lineRule="auto"/>
        <w:ind w:left="360" w:hanging="360"/>
        <w:jc w:val="both"/>
        <w:rPr>
          <w:rFonts w:eastAsia="Times New Roman"/>
          <w:bCs/>
        </w:rPr>
      </w:pPr>
      <w:r w:rsidRPr="0017107A">
        <w:rPr>
          <w:rFonts w:eastAsia="Times New Roman"/>
          <w:bCs/>
        </w:rPr>
        <w:t>NITI Aayog. (2022). </w:t>
      </w:r>
      <w:r w:rsidRPr="0017107A">
        <w:rPr>
          <w:rFonts w:eastAsia="Times New Roman"/>
          <w:bCs/>
          <w:iCs/>
        </w:rPr>
        <w:t>Promoting millets for nutritional security and climate resilience</w:t>
      </w:r>
      <w:r w:rsidRPr="0017107A">
        <w:rPr>
          <w:rFonts w:eastAsia="Times New Roman"/>
          <w:bCs/>
        </w:rPr>
        <w:t>. Government of India.</w:t>
      </w:r>
      <w:r>
        <w:rPr>
          <w:rFonts w:eastAsia="Times New Roman"/>
          <w:bCs/>
        </w:rPr>
        <w:t xml:space="preserve"> In </w:t>
      </w:r>
      <w:r w:rsidRPr="00183DDF">
        <w:rPr>
          <w:rFonts w:eastAsia="Times New Roman"/>
          <w:bCs/>
        </w:rPr>
        <w:t>Millets Mainstreaming in India, Asian and African Countries</w:t>
      </w:r>
      <w:r>
        <w:rPr>
          <w:rFonts w:eastAsia="Times New Roman"/>
          <w:bCs/>
        </w:rPr>
        <w:t xml:space="preserve">: </w:t>
      </w:r>
      <w:r w:rsidRPr="00183DDF">
        <w:rPr>
          <w:rFonts w:eastAsia="Times New Roman"/>
          <w:bCs/>
        </w:rPr>
        <w:t>A Compendium of Inspiring Stories from Field</w:t>
      </w:r>
      <w:r>
        <w:rPr>
          <w:rFonts w:eastAsia="Times New Roman"/>
          <w:bCs/>
        </w:rPr>
        <w:t xml:space="preserve">. New Delhi: </w:t>
      </w:r>
      <w:r w:rsidRPr="00183DDF">
        <w:rPr>
          <w:rFonts w:eastAsia="Times New Roman"/>
          <w:bCs/>
        </w:rPr>
        <w:t>NITI Aayog and WFP India</w:t>
      </w:r>
      <w:r>
        <w:rPr>
          <w:rFonts w:eastAsia="Times New Roman"/>
          <w:bCs/>
        </w:rPr>
        <w:t>.</w:t>
      </w:r>
    </w:p>
    <w:p w14:paraId="69424417" w14:textId="77777777" w:rsidR="006A7034" w:rsidRPr="0017107A" w:rsidRDefault="006A7034" w:rsidP="00892367">
      <w:pPr>
        <w:spacing w:before="60" w:after="60" w:line="360" w:lineRule="auto"/>
        <w:ind w:left="360" w:hanging="360"/>
        <w:jc w:val="both"/>
        <w:rPr>
          <w:rFonts w:eastAsia="Times New Roman"/>
          <w:bCs/>
        </w:rPr>
      </w:pPr>
      <w:proofErr w:type="spellStart"/>
      <w:r w:rsidRPr="0017107A">
        <w:rPr>
          <w:rFonts w:eastAsia="Times New Roman"/>
          <w:bCs/>
        </w:rPr>
        <w:t>Padulosi</w:t>
      </w:r>
      <w:proofErr w:type="spellEnd"/>
      <w:r w:rsidRPr="0017107A">
        <w:rPr>
          <w:rFonts w:eastAsia="Times New Roman"/>
          <w:bCs/>
        </w:rPr>
        <w:t xml:space="preserve">, S., Mal, B., King, O. I., &amp; </w:t>
      </w:r>
      <w:proofErr w:type="spellStart"/>
      <w:r w:rsidRPr="0017107A">
        <w:rPr>
          <w:rFonts w:eastAsia="Times New Roman"/>
          <w:bCs/>
        </w:rPr>
        <w:t>Gotor</w:t>
      </w:r>
      <w:proofErr w:type="spellEnd"/>
      <w:r w:rsidRPr="0017107A">
        <w:rPr>
          <w:rFonts w:eastAsia="Times New Roman"/>
          <w:bCs/>
        </w:rPr>
        <w:t>, E. (2015). </w:t>
      </w:r>
      <w:r w:rsidRPr="0017107A">
        <w:rPr>
          <w:rFonts w:eastAsia="Times New Roman"/>
          <w:bCs/>
          <w:iCs/>
        </w:rPr>
        <w:t>Minor millets as a central element for sustainably enhanced incomes, empowerment, and nutrition in rural India</w:t>
      </w:r>
      <w:r w:rsidRPr="0017107A">
        <w:rPr>
          <w:rFonts w:eastAsia="Times New Roman"/>
          <w:bCs/>
        </w:rPr>
        <w:t xml:space="preserve">. </w:t>
      </w:r>
      <w:r w:rsidRPr="004D0B2A">
        <w:rPr>
          <w:rFonts w:eastAsia="Times New Roman"/>
          <w:bCs/>
          <w:iCs/>
        </w:rPr>
        <w:t>Sustainability,</w:t>
      </w:r>
      <w:r w:rsidRPr="0017107A">
        <w:rPr>
          <w:rFonts w:eastAsia="Times New Roman"/>
          <w:bCs/>
        </w:rPr>
        <w:t xml:space="preserve"> 7(7), 8904-8933. </w:t>
      </w:r>
      <w:hyperlink r:id="rId25" w:tgtFrame="_blank" w:history="1">
        <w:r w:rsidRPr="0017107A">
          <w:rPr>
            <w:rStyle w:val="Hyperlink"/>
            <w:rFonts w:eastAsia="Times New Roman"/>
            <w:bCs/>
          </w:rPr>
          <w:t>https://doi.org/10.3390/su7078904</w:t>
        </w:r>
      </w:hyperlink>
    </w:p>
    <w:p w14:paraId="2E3B230A" w14:textId="77777777" w:rsidR="006A7034" w:rsidRPr="0017107A" w:rsidRDefault="006A7034" w:rsidP="00892367">
      <w:pPr>
        <w:spacing w:before="60" w:after="60" w:line="360" w:lineRule="auto"/>
        <w:ind w:left="360" w:hanging="360"/>
        <w:jc w:val="both"/>
        <w:rPr>
          <w:rFonts w:eastAsia="Times New Roman"/>
          <w:bCs/>
        </w:rPr>
      </w:pPr>
      <w:r w:rsidRPr="0017107A">
        <w:rPr>
          <w:rFonts w:eastAsia="Times New Roman"/>
          <w:bCs/>
        </w:rPr>
        <w:t xml:space="preserve">Parthasarathy Rao, P., </w:t>
      </w:r>
      <w:proofErr w:type="spellStart"/>
      <w:r w:rsidRPr="0017107A">
        <w:rPr>
          <w:rFonts w:eastAsia="Times New Roman"/>
          <w:bCs/>
        </w:rPr>
        <w:t>Birthal</w:t>
      </w:r>
      <w:proofErr w:type="spellEnd"/>
      <w:r w:rsidRPr="0017107A">
        <w:rPr>
          <w:rFonts w:eastAsia="Times New Roman"/>
          <w:bCs/>
        </w:rPr>
        <w:t>, P. S., &amp; Bhagavatula, S. (2006). </w:t>
      </w:r>
      <w:r w:rsidRPr="0017107A">
        <w:rPr>
          <w:rFonts w:eastAsia="Times New Roman"/>
          <w:bCs/>
          <w:iCs/>
        </w:rPr>
        <w:t>Economic valuation of sorghum and millet research in India</w:t>
      </w:r>
      <w:r w:rsidRPr="0017107A">
        <w:rPr>
          <w:rFonts w:eastAsia="Times New Roman"/>
          <w:bCs/>
        </w:rPr>
        <w:t>. International Crops Research Institute for the Semi-Arid Tropics (ICRISAT)</w:t>
      </w:r>
      <w:r>
        <w:rPr>
          <w:rFonts w:eastAsia="Times New Roman"/>
          <w:bCs/>
        </w:rPr>
        <w:t xml:space="preserve"> Working paper</w:t>
      </w:r>
      <w:r w:rsidRPr="0017107A">
        <w:rPr>
          <w:rFonts w:eastAsia="Times New Roman"/>
          <w:bCs/>
        </w:rPr>
        <w:t>.</w:t>
      </w:r>
    </w:p>
    <w:p w14:paraId="2DBBF3B3" w14:textId="77777777" w:rsidR="006A7034" w:rsidRPr="00A33276" w:rsidRDefault="006A7034" w:rsidP="00892367">
      <w:pPr>
        <w:spacing w:after="160" w:line="360" w:lineRule="auto"/>
        <w:ind w:left="360" w:hanging="360"/>
        <w:jc w:val="both"/>
        <w:rPr>
          <w:b/>
          <w:bCs/>
        </w:rPr>
      </w:pPr>
      <w:r w:rsidRPr="0029153F">
        <w:t xml:space="preserve">Pingali, P. L. (2012). Green Revolution: Impacts, limits, and the path ahead. </w:t>
      </w:r>
      <w:r w:rsidRPr="00A33276">
        <w:rPr>
          <w:i/>
          <w:iCs/>
        </w:rPr>
        <w:t>Proceedings of the National Academy of Sciences</w:t>
      </w:r>
      <w:r w:rsidRPr="0029153F">
        <w:t xml:space="preserve">, 109(31), 12302-12308. </w:t>
      </w:r>
    </w:p>
    <w:p w14:paraId="1E80F54B" w14:textId="77777777" w:rsidR="006A7034" w:rsidRPr="00A33276" w:rsidRDefault="006A7034" w:rsidP="00892367">
      <w:pPr>
        <w:spacing w:after="160" w:line="360" w:lineRule="auto"/>
        <w:ind w:left="360" w:hanging="360"/>
        <w:jc w:val="both"/>
        <w:rPr>
          <w:b/>
          <w:bCs/>
        </w:rPr>
      </w:pPr>
      <w:r w:rsidRPr="00A33276">
        <w:rPr>
          <w:bCs/>
        </w:rPr>
        <w:lastRenderedPageBreak/>
        <w:t xml:space="preserve">Pingali, P.L. (1997). </w:t>
      </w:r>
      <w:r w:rsidRPr="00A33276">
        <w:t>From Subsistence to Commercial Production Systems: The Transformation of Asian Agriculture.</w:t>
      </w:r>
      <w:r>
        <w:t xml:space="preserve"> American Journal of Agriculture Economics, 79(2), 628-634. </w:t>
      </w:r>
      <w:hyperlink r:id="rId26" w:history="1">
        <w:r w:rsidRPr="00A33276">
          <w:rPr>
            <w:rStyle w:val="Hyperlink"/>
          </w:rPr>
          <w:t>https://doi.org/10.2307/1244162</w:t>
        </w:r>
      </w:hyperlink>
      <w:r w:rsidRPr="00A33276">
        <w:rPr>
          <w:b/>
          <w:bCs/>
        </w:rPr>
        <w:t xml:space="preserve">  </w:t>
      </w:r>
    </w:p>
    <w:p w14:paraId="544EFADD" w14:textId="77777777" w:rsidR="006A7034" w:rsidRDefault="006A7034" w:rsidP="00892367">
      <w:pPr>
        <w:spacing w:after="160" w:line="360" w:lineRule="auto"/>
        <w:ind w:left="360" w:hanging="360"/>
        <w:jc w:val="both"/>
      </w:pPr>
      <w:proofErr w:type="spellStart"/>
      <w:r w:rsidRPr="0029153F">
        <w:t>Puskur</w:t>
      </w:r>
      <w:proofErr w:type="spellEnd"/>
      <w:r w:rsidRPr="0029153F">
        <w:t xml:space="preserve">, R., </w:t>
      </w:r>
      <w:proofErr w:type="spellStart"/>
      <w:r w:rsidRPr="0029153F">
        <w:t>Erenstein</w:t>
      </w:r>
      <w:proofErr w:type="spellEnd"/>
      <w:r w:rsidRPr="0029153F">
        <w:t xml:space="preserve">, O., &amp; Shiferaw, B. (2011). Farmers’ participation in agricultural research and extension: A review of experiences from the Eastern and Southern Africa. </w:t>
      </w:r>
      <w:r w:rsidRPr="00B70A23">
        <w:rPr>
          <w:i/>
          <w:iCs/>
        </w:rPr>
        <w:t>Journal of Agricultural Education and Extension</w:t>
      </w:r>
      <w:r w:rsidRPr="0029153F">
        <w:t>, 17(1), 51–63.</w:t>
      </w:r>
    </w:p>
    <w:p w14:paraId="74FAC819" w14:textId="77777777" w:rsidR="006A7034" w:rsidRDefault="006A7034" w:rsidP="00892367">
      <w:pPr>
        <w:spacing w:after="160" w:line="360" w:lineRule="auto"/>
        <w:ind w:left="360" w:hanging="360"/>
        <w:jc w:val="both"/>
      </w:pPr>
      <w:r w:rsidRPr="00513A7D">
        <w:t>Rao</w:t>
      </w:r>
      <w:r>
        <w:t>, E. Krishna</w:t>
      </w:r>
      <w:r w:rsidRPr="00513A7D">
        <w:t>. (2006</w:t>
      </w:r>
      <w:r>
        <w:t>)</w:t>
      </w:r>
      <w:r w:rsidRPr="00B70A23">
        <w:t xml:space="preserve"> "Role of Women in Agriculture: A Micro Level Study," Journal of Global Economy, Research Centre for Social Sciences,</w:t>
      </w:r>
      <w:r>
        <w:t xml:space="preserve"> </w:t>
      </w:r>
      <w:r w:rsidRPr="00B70A23">
        <w:t>Mumbai, India, 2(2)</w:t>
      </w:r>
      <w:r>
        <w:t>, 1</w:t>
      </w:r>
      <w:r w:rsidRPr="00B70A23">
        <w:t>07-118,</w:t>
      </w:r>
    </w:p>
    <w:p w14:paraId="53DB62CA" w14:textId="77777777" w:rsidR="006A7034" w:rsidRPr="0017107A" w:rsidRDefault="006A7034" w:rsidP="00892367">
      <w:pPr>
        <w:spacing w:before="60" w:after="60" w:line="360" w:lineRule="auto"/>
        <w:ind w:left="360" w:hanging="360"/>
        <w:jc w:val="both"/>
        <w:rPr>
          <w:rFonts w:eastAsia="Times New Roman"/>
          <w:bCs/>
        </w:rPr>
      </w:pPr>
      <w:r w:rsidRPr="0017107A">
        <w:rPr>
          <w:rFonts w:eastAsia="Times New Roman"/>
          <w:bCs/>
        </w:rPr>
        <w:t xml:space="preserve">Ravi, S. B., </w:t>
      </w:r>
      <w:proofErr w:type="spellStart"/>
      <w:r w:rsidRPr="0017107A">
        <w:rPr>
          <w:rFonts w:eastAsia="Times New Roman"/>
          <w:bCs/>
        </w:rPr>
        <w:t>Hrideek</w:t>
      </w:r>
      <w:proofErr w:type="spellEnd"/>
      <w:r w:rsidRPr="0017107A">
        <w:rPr>
          <w:rFonts w:eastAsia="Times New Roman"/>
          <w:bCs/>
        </w:rPr>
        <w:t>, T. K., &amp; Kumar, A. T. (2021). </w:t>
      </w:r>
      <w:r w:rsidRPr="0017107A">
        <w:rPr>
          <w:rFonts w:eastAsia="Times New Roman"/>
          <w:bCs/>
          <w:iCs/>
        </w:rPr>
        <w:t>Millet value chains in India: Opportunities for inclusive growth</w:t>
      </w:r>
      <w:r w:rsidRPr="0017107A">
        <w:rPr>
          <w:rFonts w:eastAsia="Times New Roman"/>
          <w:bCs/>
        </w:rPr>
        <w:t xml:space="preserve">. </w:t>
      </w:r>
      <w:r w:rsidRPr="0017107A">
        <w:rPr>
          <w:rFonts w:eastAsia="Times New Roman"/>
          <w:bCs/>
          <w:i/>
        </w:rPr>
        <w:t>Journal of Crop Improvement</w:t>
      </w:r>
      <w:r w:rsidRPr="0017107A">
        <w:rPr>
          <w:rFonts w:eastAsia="Times New Roman"/>
          <w:bCs/>
        </w:rPr>
        <w:t xml:space="preserve">, 35(3), 392-413. </w:t>
      </w:r>
    </w:p>
    <w:p w14:paraId="2269B507" w14:textId="77777777" w:rsidR="006A7034" w:rsidRPr="0017107A" w:rsidRDefault="006A7034" w:rsidP="00892367">
      <w:pPr>
        <w:spacing w:before="60" w:after="60" w:line="360" w:lineRule="auto"/>
        <w:ind w:left="360" w:hanging="360"/>
        <w:jc w:val="both"/>
        <w:rPr>
          <w:rFonts w:eastAsia="Times New Roman"/>
        </w:rPr>
      </w:pPr>
      <w:r w:rsidRPr="0017107A">
        <w:rPr>
          <w:rFonts w:eastAsia="Times New Roman"/>
        </w:rPr>
        <w:t>Singh, P., Arora, K., Kumar, S., Gohain, N., &amp; Sharma, R. K. (2023). Indian millets trade potential-cum-performance: Economic perspective. </w:t>
      </w:r>
      <w:r w:rsidRPr="0017107A">
        <w:rPr>
          <w:rFonts w:eastAsia="Times New Roman"/>
          <w:i/>
          <w:iCs/>
        </w:rPr>
        <w:t>Indian Journal of Agricultural Sciences</w:t>
      </w:r>
      <w:r w:rsidRPr="0017107A">
        <w:rPr>
          <w:rFonts w:eastAsia="Times New Roman"/>
        </w:rPr>
        <w:t>, </w:t>
      </w:r>
      <w:r w:rsidRPr="0017107A">
        <w:rPr>
          <w:rFonts w:eastAsia="Times New Roman"/>
          <w:i/>
          <w:iCs/>
        </w:rPr>
        <w:t>93</w:t>
      </w:r>
      <w:r w:rsidRPr="0017107A">
        <w:rPr>
          <w:rFonts w:eastAsia="Times New Roman"/>
        </w:rPr>
        <w:t>(2), 200-204.</w:t>
      </w:r>
    </w:p>
    <w:p w14:paraId="4C52989F" w14:textId="77777777" w:rsidR="006A7034" w:rsidRPr="0017107A" w:rsidRDefault="006A7034" w:rsidP="00892367">
      <w:pPr>
        <w:spacing w:before="60" w:after="60" w:line="360" w:lineRule="auto"/>
        <w:ind w:left="360" w:hanging="360"/>
        <w:jc w:val="both"/>
      </w:pPr>
      <w:r w:rsidRPr="0017107A">
        <w:t>Tranmer, M., &amp; Elliot, M. (2008). Multiple linear regression. </w:t>
      </w:r>
      <w:r w:rsidRPr="0017107A">
        <w:rPr>
          <w:iCs/>
        </w:rPr>
        <w:t>The Cathie Marsh Centre for Census and Survey Research (CCSR)</w:t>
      </w:r>
      <w:r w:rsidRPr="0017107A">
        <w:t>, </w:t>
      </w:r>
      <w:r w:rsidRPr="0017107A">
        <w:rPr>
          <w:i/>
          <w:iCs/>
        </w:rPr>
        <w:t>5</w:t>
      </w:r>
      <w:r w:rsidRPr="0017107A">
        <w:t>(5), 1-5.</w:t>
      </w:r>
    </w:p>
    <w:p w14:paraId="17B5E5C1" w14:textId="77777777" w:rsidR="006A7034" w:rsidRPr="0029153F" w:rsidRDefault="006A7034" w:rsidP="00892367">
      <w:pPr>
        <w:spacing w:after="160" w:line="360" w:lineRule="auto"/>
        <w:ind w:left="360" w:hanging="360"/>
        <w:jc w:val="both"/>
      </w:pPr>
      <w:r w:rsidRPr="0029153F">
        <w:t xml:space="preserve">Wossen, T., Abdoulaye, T., Alene, A., Haile, M. G., Feleke, S., Olanrewaju, A., &amp; </w:t>
      </w:r>
      <w:proofErr w:type="spellStart"/>
      <w:r w:rsidRPr="0029153F">
        <w:t>Manyong</w:t>
      </w:r>
      <w:proofErr w:type="spellEnd"/>
      <w:r w:rsidRPr="0029153F">
        <w:t xml:space="preserve">, V. (2017). Impacts of extension access and cooperative membership on technology adoption and household welfare. </w:t>
      </w:r>
      <w:r w:rsidRPr="0029153F">
        <w:rPr>
          <w:i/>
          <w:iCs/>
        </w:rPr>
        <w:t>Journal of Rural Studies</w:t>
      </w:r>
      <w:r w:rsidRPr="0029153F">
        <w:t>, 54, 223–233. https://doi.org/10.1016/j.jrurstud.2017.06.022</w:t>
      </w:r>
    </w:p>
    <w:p w14:paraId="383BD65C" w14:textId="77777777" w:rsidR="006A7034" w:rsidRDefault="006A7034" w:rsidP="00892367">
      <w:pPr>
        <w:spacing w:after="160" w:line="360" w:lineRule="auto"/>
        <w:ind w:left="360" w:hanging="360"/>
        <w:jc w:val="both"/>
      </w:pPr>
      <w:proofErr w:type="spellStart"/>
      <w:r w:rsidRPr="002C5018">
        <w:rPr>
          <w:bCs/>
        </w:rPr>
        <w:t>Wubeneh</w:t>
      </w:r>
      <w:proofErr w:type="spellEnd"/>
      <w:r w:rsidRPr="002C5018">
        <w:rPr>
          <w:bCs/>
        </w:rPr>
        <w:t>, N.G. &amp; Sanders, J.H. (2006). Farm-level adoption of sorghum technologies in Tigray, Ethiopia. Agricultural Systems 91,122–134.</w:t>
      </w:r>
    </w:p>
    <w:p w14:paraId="6A9B5891" w14:textId="77777777" w:rsidR="006A7034" w:rsidRDefault="006A7034" w:rsidP="00892367">
      <w:pPr>
        <w:spacing w:before="60" w:after="60" w:line="360" w:lineRule="auto"/>
        <w:ind w:left="360" w:hanging="360"/>
        <w:jc w:val="both"/>
      </w:pPr>
      <w:r w:rsidRPr="0017107A">
        <w:t>Yadav, O. P., Singh, D. V., Kumari, V., Prasad, M., Seni, S., Singh, R. K., &amp; Mohapatra, T. (2024). Production and cultivation dynamics of millets in India. </w:t>
      </w:r>
      <w:r w:rsidRPr="0017107A">
        <w:rPr>
          <w:i/>
          <w:iCs/>
        </w:rPr>
        <w:t>Crop Science</w:t>
      </w:r>
      <w:r w:rsidRPr="0017107A">
        <w:t>, </w:t>
      </w:r>
      <w:r w:rsidRPr="0017107A">
        <w:rPr>
          <w:i/>
          <w:iCs/>
        </w:rPr>
        <w:t>64</w:t>
      </w:r>
      <w:r w:rsidRPr="0017107A">
        <w:t xml:space="preserve">(5), 2459-2484. </w:t>
      </w:r>
    </w:p>
    <w:sectPr w:rsidR="006A7034" w:rsidSect="008C3D38">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5CBE2" w14:textId="77777777" w:rsidR="00772FBB" w:rsidRDefault="00772FBB" w:rsidP="006F5C7D">
      <w:pPr>
        <w:spacing w:line="240" w:lineRule="auto"/>
      </w:pPr>
      <w:r>
        <w:separator/>
      </w:r>
    </w:p>
  </w:endnote>
  <w:endnote w:type="continuationSeparator" w:id="0">
    <w:p w14:paraId="4C13732C" w14:textId="77777777" w:rsidR="00772FBB" w:rsidRDefault="00772FBB" w:rsidP="006F5C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8D7D" w14:textId="77777777" w:rsidR="008C3D38" w:rsidRDefault="008C3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043388"/>
      <w:docPartObj>
        <w:docPartGallery w:val="Page Numbers (Bottom of Page)"/>
        <w:docPartUnique/>
      </w:docPartObj>
    </w:sdtPr>
    <w:sdtEndPr>
      <w:rPr>
        <w:noProof/>
      </w:rPr>
    </w:sdtEndPr>
    <w:sdtContent>
      <w:p w14:paraId="0261C20F" w14:textId="77777777" w:rsidR="00790B40" w:rsidRDefault="00DB59DB">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7B5E6248" w14:textId="77777777" w:rsidR="00790B40" w:rsidRDefault="00790B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8A38" w14:textId="77777777" w:rsidR="008C3D38" w:rsidRDefault="008C3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5D6DD" w14:textId="77777777" w:rsidR="00772FBB" w:rsidRDefault="00772FBB" w:rsidP="006F5C7D">
      <w:pPr>
        <w:spacing w:line="240" w:lineRule="auto"/>
      </w:pPr>
      <w:r>
        <w:separator/>
      </w:r>
    </w:p>
  </w:footnote>
  <w:footnote w:type="continuationSeparator" w:id="0">
    <w:p w14:paraId="5074E5D4" w14:textId="77777777" w:rsidR="00772FBB" w:rsidRDefault="00772FBB" w:rsidP="006F5C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E600" w14:textId="407EE545" w:rsidR="008C3D38" w:rsidRDefault="008C3D38">
    <w:pPr>
      <w:pStyle w:val="Header"/>
    </w:pPr>
    <w:r>
      <w:rPr>
        <w:noProof/>
      </w:rPr>
      <w:pict w14:anchorId="32389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298610"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A1473" w14:textId="610C9C03" w:rsidR="008C3D38" w:rsidRDefault="008C3D38">
    <w:pPr>
      <w:pStyle w:val="Header"/>
    </w:pPr>
    <w:r>
      <w:rPr>
        <w:noProof/>
      </w:rPr>
      <w:pict w14:anchorId="6D1BD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298611"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1167" w14:textId="0FBBC3DD" w:rsidR="008C3D38" w:rsidRDefault="008C3D38">
    <w:pPr>
      <w:pStyle w:val="Header"/>
    </w:pPr>
    <w:r>
      <w:rPr>
        <w:noProof/>
      </w:rPr>
      <w:pict w14:anchorId="0150B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298609"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2A5"/>
    <w:multiLevelType w:val="hybridMultilevel"/>
    <w:tmpl w:val="C6BA690A"/>
    <w:lvl w:ilvl="0" w:tplc="4692E0BA">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C2BE9"/>
    <w:multiLevelType w:val="hybridMultilevel"/>
    <w:tmpl w:val="740214EC"/>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3CC6B0C"/>
    <w:multiLevelType w:val="multilevel"/>
    <w:tmpl w:val="D7DE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A104A"/>
    <w:multiLevelType w:val="hybridMultilevel"/>
    <w:tmpl w:val="F6E6967E"/>
    <w:lvl w:ilvl="0" w:tplc="B456F6EA">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241BB3"/>
    <w:multiLevelType w:val="hybridMultilevel"/>
    <w:tmpl w:val="4A340FE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A06585"/>
    <w:multiLevelType w:val="multilevel"/>
    <w:tmpl w:val="B44A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A60673"/>
    <w:multiLevelType w:val="multilevel"/>
    <w:tmpl w:val="2CA2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1147D"/>
    <w:multiLevelType w:val="hybridMultilevel"/>
    <w:tmpl w:val="1304F0FC"/>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39E77C5"/>
    <w:multiLevelType w:val="multilevel"/>
    <w:tmpl w:val="1C6C99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349C0451"/>
    <w:multiLevelType w:val="multilevel"/>
    <w:tmpl w:val="9424AF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CD4AF4"/>
    <w:multiLevelType w:val="multilevel"/>
    <w:tmpl w:val="90ACABCA"/>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483F63FD"/>
    <w:multiLevelType w:val="multilevel"/>
    <w:tmpl w:val="721AA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3757F4"/>
    <w:multiLevelType w:val="hybridMultilevel"/>
    <w:tmpl w:val="0396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DC331C"/>
    <w:multiLevelType w:val="hybridMultilevel"/>
    <w:tmpl w:val="0030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2735D1"/>
    <w:multiLevelType w:val="multilevel"/>
    <w:tmpl w:val="B53407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00330920">
    <w:abstractNumId w:val="14"/>
  </w:num>
  <w:num w:numId="2" w16cid:durableId="1604613013">
    <w:abstractNumId w:val="9"/>
  </w:num>
  <w:num w:numId="3" w16cid:durableId="657809674">
    <w:abstractNumId w:val="10"/>
  </w:num>
  <w:num w:numId="4" w16cid:durableId="431246926">
    <w:abstractNumId w:val="0"/>
  </w:num>
  <w:num w:numId="5" w16cid:durableId="99418795">
    <w:abstractNumId w:val="3"/>
  </w:num>
  <w:num w:numId="6" w16cid:durableId="1279067706">
    <w:abstractNumId w:val="11"/>
  </w:num>
  <w:num w:numId="7" w16cid:durableId="18439314">
    <w:abstractNumId w:val="2"/>
  </w:num>
  <w:num w:numId="8" w16cid:durableId="242688470">
    <w:abstractNumId w:val="5"/>
  </w:num>
  <w:num w:numId="9" w16cid:durableId="864558885">
    <w:abstractNumId w:val="13"/>
  </w:num>
  <w:num w:numId="10" w16cid:durableId="83916662">
    <w:abstractNumId w:val="12"/>
  </w:num>
  <w:num w:numId="11" w16cid:durableId="930235066">
    <w:abstractNumId w:val="1"/>
  </w:num>
  <w:num w:numId="12" w16cid:durableId="130707714">
    <w:abstractNumId w:val="7"/>
  </w:num>
  <w:num w:numId="13" w16cid:durableId="556941029">
    <w:abstractNumId w:val="8"/>
  </w:num>
  <w:num w:numId="14" w16cid:durableId="1393043826">
    <w:abstractNumId w:val="4"/>
  </w:num>
  <w:num w:numId="15" w16cid:durableId="1472408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50C3"/>
    <w:rsid w:val="000001C4"/>
    <w:rsid w:val="00012665"/>
    <w:rsid w:val="00012DD6"/>
    <w:rsid w:val="000207C5"/>
    <w:rsid w:val="00020B33"/>
    <w:rsid w:val="000244AD"/>
    <w:rsid w:val="000424CE"/>
    <w:rsid w:val="00043375"/>
    <w:rsid w:val="0006085C"/>
    <w:rsid w:val="0006396D"/>
    <w:rsid w:val="00070E96"/>
    <w:rsid w:val="000735CA"/>
    <w:rsid w:val="000762F2"/>
    <w:rsid w:val="000910F4"/>
    <w:rsid w:val="000954D2"/>
    <w:rsid w:val="000B7E4A"/>
    <w:rsid w:val="000B7EE1"/>
    <w:rsid w:val="000E6E0B"/>
    <w:rsid w:val="000F0789"/>
    <w:rsid w:val="000F0A70"/>
    <w:rsid w:val="0010381F"/>
    <w:rsid w:val="00115123"/>
    <w:rsid w:val="00133CC6"/>
    <w:rsid w:val="00133E22"/>
    <w:rsid w:val="0014647D"/>
    <w:rsid w:val="0015708E"/>
    <w:rsid w:val="001653D2"/>
    <w:rsid w:val="0017107A"/>
    <w:rsid w:val="00175B7E"/>
    <w:rsid w:val="00177708"/>
    <w:rsid w:val="001837D1"/>
    <w:rsid w:val="00183DDF"/>
    <w:rsid w:val="00184246"/>
    <w:rsid w:val="001842F9"/>
    <w:rsid w:val="0019185D"/>
    <w:rsid w:val="001B3627"/>
    <w:rsid w:val="001B7060"/>
    <w:rsid w:val="001C6F70"/>
    <w:rsid w:val="001C7D52"/>
    <w:rsid w:val="001E5425"/>
    <w:rsid w:val="001F1A45"/>
    <w:rsid w:val="001F636A"/>
    <w:rsid w:val="002065E8"/>
    <w:rsid w:val="0021340A"/>
    <w:rsid w:val="002310B3"/>
    <w:rsid w:val="0023436D"/>
    <w:rsid w:val="0024244D"/>
    <w:rsid w:val="00245978"/>
    <w:rsid w:val="00280ABA"/>
    <w:rsid w:val="002917BE"/>
    <w:rsid w:val="0029568C"/>
    <w:rsid w:val="0029654D"/>
    <w:rsid w:val="002B5969"/>
    <w:rsid w:val="002C5018"/>
    <w:rsid w:val="002D54A5"/>
    <w:rsid w:val="002D5508"/>
    <w:rsid w:val="002E3A16"/>
    <w:rsid w:val="0031117D"/>
    <w:rsid w:val="003157BA"/>
    <w:rsid w:val="00323D6D"/>
    <w:rsid w:val="003267AA"/>
    <w:rsid w:val="00330D45"/>
    <w:rsid w:val="0033771C"/>
    <w:rsid w:val="003432D3"/>
    <w:rsid w:val="003554D2"/>
    <w:rsid w:val="00355B65"/>
    <w:rsid w:val="00356938"/>
    <w:rsid w:val="003650C3"/>
    <w:rsid w:val="003778A2"/>
    <w:rsid w:val="00377C72"/>
    <w:rsid w:val="003821D4"/>
    <w:rsid w:val="00384DF3"/>
    <w:rsid w:val="00391200"/>
    <w:rsid w:val="00392024"/>
    <w:rsid w:val="003A31A6"/>
    <w:rsid w:val="003A4AEC"/>
    <w:rsid w:val="003A5A7F"/>
    <w:rsid w:val="003D759D"/>
    <w:rsid w:val="003E5173"/>
    <w:rsid w:val="003E58A5"/>
    <w:rsid w:val="004058CE"/>
    <w:rsid w:val="00405AE4"/>
    <w:rsid w:val="00436991"/>
    <w:rsid w:val="00441E58"/>
    <w:rsid w:val="004521C9"/>
    <w:rsid w:val="004641C6"/>
    <w:rsid w:val="0046710C"/>
    <w:rsid w:val="00474C49"/>
    <w:rsid w:val="004809D5"/>
    <w:rsid w:val="00481A03"/>
    <w:rsid w:val="004865DD"/>
    <w:rsid w:val="00494338"/>
    <w:rsid w:val="004A46AB"/>
    <w:rsid w:val="004A4A31"/>
    <w:rsid w:val="004D0B2A"/>
    <w:rsid w:val="004D3257"/>
    <w:rsid w:val="004E3DEE"/>
    <w:rsid w:val="004E4439"/>
    <w:rsid w:val="004E55EE"/>
    <w:rsid w:val="004F6F1F"/>
    <w:rsid w:val="005009E0"/>
    <w:rsid w:val="005042F2"/>
    <w:rsid w:val="005113FB"/>
    <w:rsid w:val="005334B3"/>
    <w:rsid w:val="0054585C"/>
    <w:rsid w:val="005462A8"/>
    <w:rsid w:val="005721D1"/>
    <w:rsid w:val="005769C6"/>
    <w:rsid w:val="0058625F"/>
    <w:rsid w:val="00594042"/>
    <w:rsid w:val="0059571B"/>
    <w:rsid w:val="005C27F9"/>
    <w:rsid w:val="005C6642"/>
    <w:rsid w:val="005C7027"/>
    <w:rsid w:val="005D0515"/>
    <w:rsid w:val="005E3226"/>
    <w:rsid w:val="005E3BC0"/>
    <w:rsid w:val="005F35C4"/>
    <w:rsid w:val="00605FB4"/>
    <w:rsid w:val="006132BA"/>
    <w:rsid w:val="00630549"/>
    <w:rsid w:val="00642D45"/>
    <w:rsid w:val="00643A05"/>
    <w:rsid w:val="006500E8"/>
    <w:rsid w:val="0065407E"/>
    <w:rsid w:val="00656ED8"/>
    <w:rsid w:val="0066348B"/>
    <w:rsid w:val="00680B4B"/>
    <w:rsid w:val="00683985"/>
    <w:rsid w:val="00685AA6"/>
    <w:rsid w:val="00686673"/>
    <w:rsid w:val="006957D1"/>
    <w:rsid w:val="00696385"/>
    <w:rsid w:val="006A7034"/>
    <w:rsid w:val="006D6D1B"/>
    <w:rsid w:val="006E0291"/>
    <w:rsid w:val="006F5C7D"/>
    <w:rsid w:val="00715ECF"/>
    <w:rsid w:val="007218CE"/>
    <w:rsid w:val="00725541"/>
    <w:rsid w:val="00732B51"/>
    <w:rsid w:val="00754776"/>
    <w:rsid w:val="007626AB"/>
    <w:rsid w:val="00766622"/>
    <w:rsid w:val="00766CA2"/>
    <w:rsid w:val="00767EFF"/>
    <w:rsid w:val="00772FBB"/>
    <w:rsid w:val="00777C31"/>
    <w:rsid w:val="00785A8A"/>
    <w:rsid w:val="00790B40"/>
    <w:rsid w:val="00797411"/>
    <w:rsid w:val="007A05E9"/>
    <w:rsid w:val="007A6855"/>
    <w:rsid w:val="007B5EAF"/>
    <w:rsid w:val="007C299A"/>
    <w:rsid w:val="007E334B"/>
    <w:rsid w:val="00804262"/>
    <w:rsid w:val="00810056"/>
    <w:rsid w:val="00810E43"/>
    <w:rsid w:val="0081359D"/>
    <w:rsid w:val="008256C7"/>
    <w:rsid w:val="0084244B"/>
    <w:rsid w:val="00842DA1"/>
    <w:rsid w:val="0084371A"/>
    <w:rsid w:val="00844FAA"/>
    <w:rsid w:val="008460B2"/>
    <w:rsid w:val="00857C1A"/>
    <w:rsid w:val="0087669A"/>
    <w:rsid w:val="00885677"/>
    <w:rsid w:val="00892367"/>
    <w:rsid w:val="00895E89"/>
    <w:rsid w:val="008C3502"/>
    <w:rsid w:val="008C3D38"/>
    <w:rsid w:val="008D67E5"/>
    <w:rsid w:val="008E382E"/>
    <w:rsid w:val="00902FB7"/>
    <w:rsid w:val="0090497B"/>
    <w:rsid w:val="0091186B"/>
    <w:rsid w:val="00930D91"/>
    <w:rsid w:val="00934A09"/>
    <w:rsid w:val="0094266D"/>
    <w:rsid w:val="00956D38"/>
    <w:rsid w:val="00975A41"/>
    <w:rsid w:val="00982B4F"/>
    <w:rsid w:val="00986DEA"/>
    <w:rsid w:val="009C1FCB"/>
    <w:rsid w:val="009C5372"/>
    <w:rsid w:val="009C68B9"/>
    <w:rsid w:val="009C783B"/>
    <w:rsid w:val="009D4029"/>
    <w:rsid w:val="00A15696"/>
    <w:rsid w:val="00A43F8A"/>
    <w:rsid w:val="00A56221"/>
    <w:rsid w:val="00A56E8C"/>
    <w:rsid w:val="00A6766A"/>
    <w:rsid w:val="00A73275"/>
    <w:rsid w:val="00A74B30"/>
    <w:rsid w:val="00A91EE1"/>
    <w:rsid w:val="00A95EBD"/>
    <w:rsid w:val="00AA385C"/>
    <w:rsid w:val="00AB1FBD"/>
    <w:rsid w:val="00AC13BD"/>
    <w:rsid w:val="00AC5882"/>
    <w:rsid w:val="00AD2356"/>
    <w:rsid w:val="00AD4E64"/>
    <w:rsid w:val="00AE2236"/>
    <w:rsid w:val="00AF27A5"/>
    <w:rsid w:val="00B3125A"/>
    <w:rsid w:val="00B36FD9"/>
    <w:rsid w:val="00B50B38"/>
    <w:rsid w:val="00B6165E"/>
    <w:rsid w:val="00B677B2"/>
    <w:rsid w:val="00B76284"/>
    <w:rsid w:val="00B805CF"/>
    <w:rsid w:val="00B8253A"/>
    <w:rsid w:val="00B85676"/>
    <w:rsid w:val="00B95BCF"/>
    <w:rsid w:val="00B9644C"/>
    <w:rsid w:val="00BB1704"/>
    <w:rsid w:val="00BB2624"/>
    <w:rsid w:val="00BC30A2"/>
    <w:rsid w:val="00BC420B"/>
    <w:rsid w:val="00BD4B8B"/>
    <w:rsid w:val="00C06DD7"/>
    <w:rsid w:val="00C34462"/>
    <w:rsid w:val="00C4753E"/>
    <w:rsid w:val="00C504D0"/>
    <w:rsid w:val="00C50D23"/>
    <w:rsid w:val="00C82049"/>
    <w:rsid w:val="00CA316E"/>
    <w:rsid w:val="00CA3A5F"/>
    <w:rsid w:val="00CB5057"/>
    <w:rsid w:val="00CD0BC5"/>
    <w:rsid w:val="00CE1288"/>
    <w:rsid w:val="00CF20DF"/>
    <w:rsid w:val="00D17DA7"/>
    <w:rsid w:val="00D217B5"/>
    <w:rsid w:val="00D23521"/>
    <w:rsid w:val="00D33030"/>
    <w:rsid w:val="00D41BF3"/>
    <w:rsid w:val="00D4616A"/>
    <w:rsid w:val="00D6744D"/>
    <w:rsid w:val="00D76143"/>
    <w:rsid w:val="00D81AE5"/>
    <w:rsid w:val="00D84723"/>
    <w:rsid w:val="00D8627F"/>
    <w:rsid w:val="00D87E7B"/>
    <w:rsid w:val="00D91ADC"/>
    <w:rsid w:val="00DA2121"/>
    <w:rsid w:val="00DB0C6D"/>
    <w:rsid w:val="00DB2B46"/>
    <w:rsid w:val="00DB59DB"/>
    <w:rsid w:val="00DD022B"/>
    <w:rsid w:val="00DD4F46"/>
    <w:rsid w:val="00DD73B4"/>
    <w:rsid w:val="00DE0193"/>
    <w:rsid w:val="00DF38AC"/>
    <w:rsid w:val="00E00D9C"/>
    <w:rsid w:val="00E0595C"/>
    <w:rsid w:val="00E07C98"/>
    <w:rsid w:val="00E24E7E"/>
    <w:rsid w:val="00E26BF3"/>
    <w:rsid w:val="00E33E60"/>
    <w:rsid w:val="00E44948"/>
    <w:rsid w:val="00E5149E"/>
    <w:rsid w:val="00E6059C"/>
    <w:rsid w:val="00E83F3E"/>
    <w:rsid w:val="00E95F43"/>
    <w:rsid w:val="00EB1DB5"/>
    <w:rsid w:val="00ED20D2"/>
    <w:rsid w:val="00ED364F"/>
    <w:rsid w:val="00ED76B6"/>
    <w:rsid w:val="00EE6D15"/>
    <w:rsid w:val="00EF51B6"/>
    <w:rsid w:val="00F024EA"/>
    <w:rsid w:val="00F04326"/>
    <w:rsid w:val="00F07863"/>
    <w:rsid w:val="00F14AD1"/>
    <w:rsid w:val="00F22DAB"/>
    <w:rsid w:val="00F252C1"/>
    <w:rsid w:val="00F350BD"/>
    <w:rsid w:val="00F401FD"/>
    <w:rsid w:val="00F46317"/>
    <w:rsid w:val="00F52B8C"/>
    <w:rsid w:val="00F608DF"/>
    <w:rsid w:val="00F63BD3"/>
    <w:rsid w:val="00F67E71"/>
    <w:rsid w:val="00F75BE7"/>
    <w:rsid w:val="00F76102"/>
    <w:rsid w:val="00FC6B91"/>
    <w:rsid w:val="00FD29E0"/>
    <w:rsid w:val="00FE06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6C3AB53"/>
  <w15:docId w15:val="{BDD6D877-3C23-4A00-AF80-5DF41229E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F636A"/>
  </w:style>
  <w:style w:type="paragraph" w:styleId="Heading1">
    <w:name w:val="heading 1"/>
    <w:basedOn w:val="Normal"/>
    <w:next w:val="Normal"/>
    <w:rsid w:val="001F636A"/>
    <w:pPr>
      <w:keepNext/>
      <w:keepLines/>
      <w:spacing w:before="400" w:after="120"/>
      <w:outlineLvl w:val="0"/>
    </w:pPr>
    <w:rPr>
      <w:sz w:val="40"/>
      <w:szCs w:val="40"/>
    </w:rPr>
  </w:style>
  <w:style w:type="paragraph" w:styleId="Heading2">
    <w:name w:val="heading 2"/>
    <w:basedOn w:val="Normal"/>
    <w:next w:val="Normal"/>
    <w:rsid w:val="001F636A"/>
    <w:pPr>
      <w:keepNext/>
      <w:keepLines/>
      <w:spacing w:before="360" w:after="120"/>
      <w:outlineLvl w:val="1"/>
    </w:pPr>
    <w:rPr>
      <w:sz w:val="32"/>
      <w:szCs w:val="32"/>
    </w:rPr>
  </w:style>
  <w:style w:type="paragraph" w:styleId="Heading3">
    <w:name w:val="heading 3"/>
    <w:basedOn w:val="Normal"/>
    <w:next w:val="Normal"/>
    <w:rsid w:val="001F636A"/>
    <w:pPr>
      <w:keepNext/>
      <w:keepLines/>
      <w:spacing w:before="320" w:after="80"/>
      <w:outlineLvl w:val="2"/>
    </w:pPr>
    <w:rPr>
      <w:color w:val="434343"/>
      <w:sz w:val="28"/>
      <w:szCs w:val="28"/>
    </w:rPr>
  </w:style>
  <w:style w:type="paragraph" w:styleId="Heading4">
    <w:name w:val="heading 4"/>
    <w:basedOn w:val="Normal"/>
    <w:next w:val="Normal"/>
    <w:rsid w:val="001F636A"/>
    <w:pPr>
      <w:keepNext/>
      <w:keepLines/>
      <w:spacing w:before="280" w:after="80"/>
      <w:outlineLvl w:val="3"/>
    </w:pPr>
    <w:rPr>
      <w:color w:val="666666"/>
      <w:sz w:val="24"/>
      <w:szCs w:val="24"/>
    </w:rPr>
  </w:style>
  <w:style w:type="paragraph" w:styleId="Heading5">
    <w:name w:val="heading 5"/>
    <w:basedOn w:val="Normal"/>
    <w:next w:val="Normal"/>
    <w:rsid w:val="001F636A"/>
    <w:pPr>
      <w:keepNext/>
      <w:keepLines/>
      <w:spacing w:before="240" w:after="80"/>
      <w:outlineLvl w:val="4"/>
    </w:pPr>
    <w:rPr>
      <w:color w:val="666666"/>
    </w:rPr>
  </w:style>
  <w:style w:type="paragraph" w:styleId="Heading6">
    <w:name w:val="heading 6"/>
    <w:basedOn w:val="Normal"/>
    <w:next w:val="Normal"/>
    <w:rsid w:val="001F636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F636A"/>
    <w:pPr>
      <w:keepNext/>
      <w:keepLines/>
      <w:spacing w:after="60"/>
    </w:pPr>
    <w:rPr>
      <w:sz w:val="52"/>
      <w:szCs w:val="52"/>
    </w:rPr>
  </w:style>
  <w:style w:type="paragraph" w:styleId="Subtitle">
    <w:name w:val="Subtitle"/>
    <w:basedOn w:val="Normal"/>
    <w:next w:val="Normal"/>
    <w:rsid w:val="001F636A"/>
    <w:pPr>
      <w:keepNext/>
      <w:keepLines/>
      <w:spacing w:after="320"/>
    </w:pPr>
    <w:rPr>
      <w:color w:val="666666"/>
      <w:sz w:val="30"/>
      <w:szCs w:val="30"/>
    </w:rPr>
  </w:style>
  <w:style w:type="table" w:styleId="TableGrid">
    <w:name w:val="Table Grid"/>
    <w:basedOn w:val="TableNormal"/>
    <w:uiPriority w:val="39"/>
    <w:rsid w:val="00B8253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549"/>
    <w:pPr>
      <w:spacing w:after="200"/>
      <w:ind w:left="720"/>
      <w:contextualSpacing/>
    </w:pPr>
    <w:rPr>
      <w:rFonts w:ascii="Calibri" w:eastAsiaTheme="minorEastAsia" w:hAnsi="Calibri" w:cs="Calibri"/>
    </w:rPr>
  </w:style>
  <w:style w:type="character" w:styleId="Hyperlink">
    <w:name w:val="Hyperlink"/>
    <w:basedOn w:val="DefaultParagraphFont"/>
    <w:uiPriority w:val="99"/>
    <w:unhideWhenUsed/>
    <w:rsid w:val="00ED20D2"/>
    <w:rPr>
      <w:color w:val="0000FF" w:themeColor="hyperlink"/>
      <w:u w:val="single"/>
    </w:rPr>
  </w:style>
  <w:style w:type="character" w:styleId="PlaceholderText">
    <w:name w:val="Placeholder Text"/>
    <w:basedOn w:val="DefaultParagraphFont"/>
    <w:uiPriority w:val="99"/>
    <w:semiHidden/>
    <w:rsid w:val="0019185D"/>
    <w:rPr>
      <w:color w:val="808080"/>
    </w:rPr>
  </w:style>
  <w:style w:type="character" w:styleId="Strong">
    <w:name w:val="Strong"/>
    <w:basedOn w:val="DefaultParagraphFont"/>
    <w:uiPriority w:val="22"/>
    <w:qFormat/>
    <w:rsid w:val="00F04326"/>
    <w:rPr>
      <w:b/>
      <w:bCs/>
    </w:rPr>
  </w:style>
  <w:style w:type="character" w:customStyle="1" w:styleId="UnresolvedMention1">
    <w:name w:val="Unresolved Mention1"/>
    <w:basedOn w:val="DefaultParagraphFont"/>
    <w:uiPriority w:val="99"/>
    <w:semiHidden/>
    <w:unhideWhenUsed/>
    <w:rsid w:val="004A46AB"/>
    <w:rPr>
      <w:color w:val="605E5C"/>
      <w:shd w:val="clear" w:color="auto" w:fill="E1DFDD"/>
    </w:rPr>
  </w:style>
  <w:style w:type="paragraph" w:styleId="Header">
    <w:name w:val="header"/>
    <w:basedOn w:val="Normal"/>
    <w:link w:val="HeaderChar"/>
    <w:uiPriority w:val="99"/>
    <w:unhideWhenUsed/>
    <w:rsid w:val="006F5C7D"/>
    <w:pPr>
      <w:tabs>
        <w:tab w:val="center" w:pos="4680"/>
        <w:tab w:val="right" w:pos="9360"/>
      </w:tabs>
      <w:spacing w:line="240" w:lineRule="auto"/>
    </w:pPr>
  </w:style>
  <w:style w:type="character" w:customStyle="1" w:styleId="HeaderChar">
    <w:name w:val="Header Char"/>
    <w:basedOn w:val="DefaultParagraphFont"/>
    <w:link w:val="Header"/>
    <w:uiPriority w:val="99"/>
    <w:rsid w:val="006F5C7D"/>
  </w:style>
  <w:style w:type="paragraph" w:styleId="Footer">
    <w:name w:val="footer"/>
    <w:basedOn w:val="Normal"/>
    <w:link w:val="FooterChar"/>
    <w:uiPriority w:val="99"/>
    <w:unhideWhenUsed/>
    <w:rsid w:val="006F5C7D"/>
    <w:pPr>
      <w:tabs>
        <w:tab w:val="center" w:pos="4680"/>
        <w:tab w:val="right" w:pos="9360"/>
      </w:tabs>
      <w:spacing w:line="240" w:lineRule="auto"/>
    </w:pPr>
  </w:style>
  <w:style w:type="character" w:customStyle="1" w:styleId="FooterChar">
    <w:name w:val="Footer Char"/>
    <w:basedOn w:val="DefaultParagraphFont"/>
    <w:link w:val="Footer"/>
    <w:uiPriority w:val="99"/>
    <w:rsid w:val="006F5C7D"/>
  </w:style>
  <w:style w:type="paragraph" w:styleId="BalloonText">
    <w:name w:val="Balloon Text"/>
    <w:basedOn w:val="Normal"/>
    <w:link w:val="BalloonTextChar"/>
    <w:uiPriority w:val="99"/>
    <w:semiHidden/>
    <w:unhideWhenUsed/>
    <w:rsid w:val="004F6F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F1F"/>
    <w:rPr>
      <w:rFonts w:ascii="Tahoma" w:hAnsi="Tahoma" w:cs="Tahoma"/>
      <w:sz w:val="16"/>
      <w:szCs w:val="16"/>
    </w:rPr>
  </w:style>
  <w:style w:type="paragraph" w:customStyle="1" w:styleId="AcknHead">
    <w:name w:val="Ackn Head"/>
    <w:basedOn w:val="Normal"/>
    <w:rsid w:val="00B805CF"/>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B805CF"/>
    <w:pPr>
      <w:keepNext/>
      <w:spacing w:after="240" w:line="240" w:lineRule="auto"/>
    </w:pPr>
    <w:rPr>
      <w:rFonts w:ascii="Helvetica" w:eastAsia="Times New Roman" w:hAnsi="Helvetica" w:cs="Times New Roman"/>
      <w:b/>
      <w:caps/>
      <w:szCs w:val="20"/>
    </w:rPr>
  </w:style>
  <w:style w:type="character" w:styleId="LineNumber">
    <w:name w:val="line number"/>
    <w:basedOn w:val="DefaultParagraphFont"/>
    <w:uiPriority w:val="99"/>
    <w:semiHidden/>
    <w:unhideWhenUsed/>
    <w:rsid w:val="00842DA1"/>
  </w:style>
  <w:style w:type="character" w:styleId="FollowedHyperlink">
    <w:name w:val="FollowedHyperlink"/>
    <w:basedOn w:val="DefaultParagraphFont"/>
    <w:uiPriority w:val="99"/>
    <w:semiHidden/>
    <w:unhideWhenUsed/>
    <w:rsid w:val="004D0B2A"/>
    <w:rPr>
      <w:color w:val="800080" w:themeColor="followedHyperlink"/>
      <w:u w:val="single"/>
    </w:rPr>
  </w:style>
  <w:style w:type="character" w:styleId="UnresolvedMention">
    <w:name w:val="Unresolved Mention"/>
    <w:basedOn w:val="DefaultParagraphFont"/>
    <w:uiPriority w:val="99"/>
    <w:semiHidden/>
    <w:unhideWhenUsed/>
    <w:rsid w:val="004D0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58632">
      <w:bodyDiv w:val="1"/>
      <w:marLeft w:val="0"/>
      <w:marRight w:val="0"/>
      <w:marTop w:val="0"/>
      <w:marBottom w:val="0"/>
      <w:divBdr>
        <w:top w:val="none" w:sz="0" w:space="0" w:color="auto"/>
        <w:left w:val="none" w:sz="0" w:space="0" w:color="auto"/>
        <w:bottom w:val="none" w:sz="0" w:space="0" w:color="auto"/>
        <w:right w:val="none" w:sz="0" w:space="0" w:color="auto"/>
      </w:divBdr>
    </w:div>
    <w:div w:id="174729548">
      <w:bodyDiv w:val="1"/>
      <w:marLeft w:val="0"/>
      <w:marRight w:val="0"/>
      <w:marTop w:val="0"/>
      <w:marBottom w:val="0"/>
      <w:divBdr>
        <w:top w:val="none" w:sz="0" w:space="0" w:color="auto"/>
        <w:left w:val="none" w:sz="0" w:space="0" w:color="auto"/>
        <w:bottom w:val="none" w:sz="0" w:space="0" w:color="auto"/>
        <w:right w:val="none" w:sz="0" w:space="0" w:color="auto"/>
      </w:divBdr>
    </w:div>
    <w:div w:id="271058123">
      <w:bodyDiv w:val="1"/>
      <w:marLeft w:val="0"/>
      <w:marRight w:val="0"/>
      <w:marTop w:val="0"/>
      <w:marBottom w:val="0"/>
      <w:divBdr>
        <w:top w:val="none" w:sz="0" w:space="0" w:color="auto"/>
        <w:left w:val="none" w:sz="0" w:space="0" w:color="auto"/>
        <w:bottom w:val="none" w:sz="0" w:space="0" w:color="auto"/>
        <w:right w:val="none" w:sz="0" w:space="0" w:color="auto"/>
      </w:divBdr>
      <w:divsChild>
        <w:div w:id="1109855443">
          <w:marLeft w:val="0"/>
          <w:marRight w:val="0"/>
          <w:marTop w:val="0"/>
          <w:marBottom w:val="0"/>
          <w:divBdr>
            <w:top w:val="none" w:sz="0" w:space="0" w:color="auto"/>
            <w:left w:val="none" w:sz="0" w:space="0" w:color="auto"/>
            <w:bottom w:val="none" w:sz="0" w:space="0" w:color="auto"/>
            <w:right w:val="none" w:sz="0" w:space="0" w:color="auto"/>
          </w:divBdr>
          <w:divsChild>
            <w:div w:id="1693650933">
              <w:marLeft w:val="0"/>
              <w:marRight w:val="0"/>
              <w:marTop w:val="0"/>
              <w:marBottom w:val="0"/>
              <w:divBdr>
                <w:top w:val="none" w:sz="0" w:space="0" w:color="auto"/>
                <w:left w:val="none" w:sz="0" w:space="0" w:color="auto"/>
                <w:bottom w:val="none" w:sz="0" w:space="0" w:color="auto"/>
                <w:right w:val="none" w:sz="0" w:space="0" w:color="auto"/>
              </w:divBdr>
              <w:divsChild>
                <w:div w:id="1693723497">
                  <w:marLeft w:val="0"/>
                  <w:marRight w:val="0"/>
                  <w:marTop w:val="0"/>
                  <w:marBottom w:val="0"/>
                  <w:divBdr>
                    <w:top w:val="none" w:sz="0" w:space="0" w:color="auto"/>
                    <w:left w:val="none" w:sz="0" w:space="0" w:color="auto"/>
                    <w:bottom w:val="none" w:sz="0" w:space="0" w:color="auto"/>
                    <w:right w:val="none" w:sz="0" w:space="0" w:color="auto"/>
                  </w:divBdr>
                  <w:divsChild>
                    <w:div w:id="168565474">
                      <w:marLeft w:val="0"/>
                      <w:marRight w:val="0"/>
                      <w:marTop w:val="0"/>
                      <w:marBottom w:val="0"/>
                      <w:divBdr>
                        <w:top w:val="none" w:sz="0" w:space="0" w:color="auto"/>
                        <w:left w:val="none" w:sz="0" w:space="0" w:color="auto"/>
                        <w:bottom w:val="none" w:sz="0" w:space="0" w:color="auto"/>
                        <w:right w:val="none" w:sz="0" w:space="0" w:color="auto"/>
                      </w:divBdr>
                      <w:divsChild>
                        <w:div w:id="1885485621">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sChild>
                                <w:div w:id="1220093727">
                                  <w:marLeft w:val="0"/>
                                  <w:marRight w:val="0"/>
                                  <w:marTop w:val="0"/>
                                  <w:marBottom w:val="0"/>
                                  <w:divBdr>
                                    <w:top w:val="none" w:sz="0" w:space="0" w:color="auto"/>
                                    <w:left w:val="none" w:sz="0" w:space="0" w:color="auto"/>
                                    <w:bottom w:val="none" w:sz="0" w:space="0" w:color="auto"/>
                                    <w:right w:val="none" w:sz="0" w:space="0" w:color="auto"/>
                                  </w:divBdr>
                                  <w:divsChild>
                                    <w:div w:id="17327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1298507">
      <w:bodyDiv w:val="1"/>
      <w:marLeft w:val="0"/>
      <w:marRight w:val="0"/>
      <w:marTop w:val="0"/>
      <w:marBottom w:val="0"/>
      <w:divBdr>
        <w:top w:val="none" w:sz="0" w:space="0" w:color="auto"/>
        <w:left w:val="none" w:sz="0" w:space="0" w:color="auto"/>
        <w:bottom w:val="none" w:sz="0" w:space="0" w:color="auto"/>
        <w:right w:val="none" w:sz="0" w:space="0" w:color="auto"/>
      </w:divBdr>
    </w:div>
    <w:div w:id="385187125">
      <w:bodyDiv w:val="1"/>
      <w:marLeft w:val="0"/>
      <w:marRight w:val="0"/>
      <w:marTop w:val="0"/>
      <w:marBottom w:val="0"/>
      <w:divBdr>
        <w:top w:val="none" w:sz="0" w:space="0" w:color="auto"/>
        <w:left w:val="none" w:sz="0" w:space="0" w:color="auto"/>
        <w:bottom w:val="none" w:sz="0" w:space="0" w:color="auto"/>
        <w:right w:val="none" w:sz="0" w:space="0" w:color="auto"/>
      </w:divBdr>
    </w:div>
    <w:div w:id="637607350">
      <w:bodyDiv w:val="1"/>
      <w:marLeft w:val="0"/>
      <w:marRight w:val="0"/>
      <w:marTop w:val="0"/>
      <w:marBottom w:val="0"/>
      <w:divBdr>
        <w:top w:val="none" w:sz="0" w:space="0" w:color="auto"/>
        <w:left w:val="none" w:sz="0" w:space="0" w:color="auto"/>
        <w:bottom w:val="none" w:sz="0" w:space="0" w:color="auto"/>
        <w:right w:val="none" w:sz="0" w:space="0" w:color="auto"/>
      </w:divBdr>
    </w:div>
    <w:div w:id="749230124">
      <w:bodyDiv w:val="1"/>
      <w:marLeft w:val="0"/>
      <w:marRight w:val="0"/>
      <w:marTop w:val="0"/>
      <w:marBottom w:val="0"/>
      <w:divBdr>
        <w:top w:val="none" w:sz="0" w:space="0" w:color="auto"/>
        <w:left w:val="none" w:sz="0" w:space="0" w:color="auto"/>
        <w:bottom w:val="none" w:sz="0" w:space="0" w:color="auto"/>
        <w:right w:val="none" w:sz="0" w:space="0" w:color="auto"/>
      </w:divBdr>
    </w:div>
    <w:div w:id="824123821">
      <w:bodyDiv w:val="1"/>
      <w:marLeft w:val="0"/>
      <w:marRight w:val="0"/>
      <w:marTop w:val="0"/>
      <w:marBottom w:val="0"/>
      <w:divBdr>
        <w:top w:val="none" w:sz="0" w:space="0" w:color="auto"/>
        <w:left w:val="none" w:sz="0" w:space="0" w:color="auto"/>
        <w:bottom w:val="none" w:sz="0" w:space="0" w:color="auto"/>
        <w:right w:val="none" w:sz="0" w:space="0" w:color="auto"/>
      </w:divBdr>
    </w:div>
    <w:div w:id="889076444">
      <w:bodyDiv w:val="1"/>
      <w:marLeft w:val="0"/>
      <w:marRight w:val="0"/>
      <w:marTop w:val="0"/>
      <w:marBottom w:val="0"/>
      <w:divBdr>
        <w:top w:val="none" w:sz="0" w:space="0" w:color="auto"/>
        <w:left w:val="none" w:sz="0" w:space="0" w:color="auto"/>
        <w:bottom w:val="none" w:sz="0" w:space="0" w:color="auto"/>
        <w:right w:val="none" w:sz="0" w:space="0" w:color="auto"/>
      </w:divBdr>
    </w:div>
    <w:div w:id="1012337159">
      <w:bodyDiv w:val="1"/>
      <w:marLeft w:val="0"/>
      <w:marRight w:val="0"/>
      <w:marTop w:val="0"/>
      <w:marBottom w:val="0"/>
      <w:divBdr>
        <w:top w:val="none" w:sz="0" w:space="0" w:color="auto"/>
        <w:left w:val="none" w:sz="0" w:space="0" w:color="auto"/>
        <w:bottom w:val="none" w:sz="0" w:space="0" w:color="auto"/>
        <w:right w:val="none" w:sz="0" w:space="0" w:color="auto"/>
      </w:divBdr>
    </w:div>
    <w:div w:id="1042172720">
      <w:bodyDiv w:val="1"/>
      <w:marLeft w:val="0"/>
      <w:marRight w:val="0"/>
      <w:marTop w:val="0"/>
      <w:marBottom w:val="0"/>
      <w:divBdr>
        <w:top w:val="none" w:sz="0" w:space="0" w:color="auto"/>
        <w:left w:val="none" w:sz="0" w:space="0" w:color="auto"/>
        <w:bottom w:val="none" w:sz="0" w:space="0" w:color="auto"/>
        <w:right w:val="none" w:sz="0" w:space="0" w:color="auto"/>
      </w:divBdr>
    </w:div>
    <w:div w:id="1198661791">
      <w:bodyDiv w:val="1"/>
      <w:marLeft w:val="0"/>
      <w:marRight w:val="0"/>
      <w:marTop w:val="0"/>
      <w:marBottom w:val="0"/>
      <w:divBdr>
        <w:top w:val="none" w:sz="0" w:space="0" w:color="auto"/>
        <w:left w:val="none" w:sz="0" w:space="0" w:color="auto"/>
        <w:bottom w:val="none" w:sz="0" w:space="0" w:color="auto"/>
        <w:right w:val="none" w:sz="0" w:space="0" w:color="auto"/>
      </w:divBdr>
    </w:div>
    <w:div w:id="1280335701">
      <w:bodyDiv w:val="1"/>
      <w:marLeft w:val="0"/>
      <w:marRight w:val="0"/>
      <w:marTop w:val="0"/>
      <w:marBottom w:val="0"/>
      <w:divBdr>
        <w:top w:val="none" w:sz="0" w:space="0" w:color="auto"/>
        <w:left w:val="none" w:sz="0" w:space="0" w:color="auto"/>
        <w:bottom w:val="none" w:sz="0" w:space="0" w:color="auto"/>
        <w:right w:val="none" w:sz="0" w:space="0" w:color="auto"/>
      </w:divBdr>
    </w:div>
    <w:div w:id="1449546691">
      <w:bodyDiv w:val="1"/>
      <w:marLeft w:val="0"/>
      <w:marRight w:val="0"/>
      <w:marTop w:val="0"/>
      <w:marBottom w:val="0"/>
      <w:divBdr>
        <w:top w:val="none" w:sz="0" w:space="0" w:color="auto"/>
        <w:left w:val="none" w:sz="0" w:space="0" w:color="auto"/>
        <w:bottom w:val="none" w:sz="0" w:space="0" w:color="auto"/>
        <w:right w:val="none" w:sz="0" w:space="0" w:color="auto"/>
      </w:divBdr>
    </w:div>
    <w:div w:id="1669677387">
      <w:bodyDiv w:val="1"/>
      <w:marLeft w:val="0"/>
      <w:marRight w:val="0"/>
      <w:marTop w:val="0"/>
      <w:marBottom w:val="0"/>
      <w:divBdr>
        <w:top w:val="none" w:sz="0" w:space="0" w:color="auto"/>
        <w:left w:val="none" w:sz="0" w:space="0" w:color="auto"/>
        <w:bottom w:val="none" w:sz="0" w:space="0" w:color="auto"/>
        <w:right w:val="none" w:sz="0" w:space="0" w:color="auto"/>
      </w:divBdr>
    </w:div>
    <w:div w:id="1828787856">
      <w:bodyDiv w:val="1"/>
      <w:marLeft w:val="0"/>
      <w:marRight w:val="0"/>
      <w:marTop w:val="0"/>
      <w:marBottom w:val="0"/>
      <w:divBdr>
        <w:top w:val="none" w:sz="0" w:space="0" w:color="auto"/>
        <w:left w:val="none" w:sz="0" w:space="0" w:color="auto"/>
        <w:bottom w:val="none" w:sz="0" w:space="0" w:color="auto"/>
        <w:right w:val="none" w:sz="0" w:space="0" w:color="auto"/>
      </w:divBdr>
      <w:divsChild>
        <w:div w:id="801920222">
          <w:marLeft w:val="0"/>
          <w:marRight w:val="0"/>
          <w:marTop w:val="0"/>
          <w:marBottom w:val="0"/>
          <w:divBdr>
            <w:top w:val="none" w:sz="0" w:space="0" w:color="auto"/>
            <w:left w:val="none" w:sz="0" w:space="0" w:color="auto"/>
            <w:bottom w:val="none" w:sz="0" w:space="0" w:color="auto"/>
            <w:right w:val="none" w:sz="0" w:space="0" w:color="auto"/>
          </w:divBdr>
          <w:divsChild>
            <w:div w:id="37709142">
              <w:marLeft w:val="0"/>
              <w:marRight w:val="0"/>
              <w:marTop w:val="0"/>
              <w:marBottom w:val="0"/>
              <w:divBdr>
                <w:top w:val="none" w:sz="0" w:space="0" w:color="auto"/>
                <w:left w:val="none" w:sz="0" w:space="0" w:color="auto"/>
                <w:bottom w:val="none" w:sz="0" w:space="0" w:color="auto"/>
                <w:right w:val="none" w:sz="0" w:space="0" w:color="auto"/>
              </w:divBdr>
              <w:divsChild>
                <w:div w:id="1408187756">
                  <w:marLeft w:val="0"/>
                  <w:marRight w:val="0"/>
                  <w:marTop w:val="0"/>
                  <w:marBottom w:val="0"/>
                  <w:divBdr>
                    <w:top w:val="none" w:sz="0" w:space="0" w:color="auto"/>
                    <w:left w:val="none" w:sz="0" w:space="0" w:color="auto"/>
                    <w:bottom w:val="none" w:sz="0" w:space="0" w:color="auto"/>
                    <w:right w:val="none" w:sz="0" w:space="0" w:color="auto"/>
                  </w:divBdr>
                  <w:divsChild>
                    <w:div w:id="1049231572">
                      <w:marLeft w:val="0"/>
                      <w:marRight w:val="0"/>
                      <w:marTop w:val="0"/>
                      <w:marBottom w:val="0"/>
                      <w:divBdr>
                        <w:top w:val="none" w:sz="0" w:space="0" w:color="auto"/>
                        <w:left w:val="none" w:sz="0" w:space="0" w:color="auto"/>
                        <w:bottom w:val="none" w:sz="0" w:space="0" w:color="auto"/>
                        <w:right w:val="none" w:sz="0" w:space="0" w:color="auto"/>
                      </w:divBdr>
                      <w:divsChild>
                        <w:div w:id="1665089428">
                          <w:marLeft w:val="0"/>
                          <w:marRight w:val="0"/>
                          <w:marTop w:val="0"/>
                          <w:marBottom w:val="0"/>
                          <w:divBdr>
                            <w:top w:val="none" w:sz="0" w:space="0" w:color="auto"/>
                            <w:left w:val="none" w:sz="0" w:space="0" w:color="auto"/>
                            <w:bottom w:val="none" w:sz="0" w:space="0" w:color="auto"/>
                            <w:right w:val="none" w:sz="0" w:space="0" w:color="auto"/>
                          </w:divBdr>
                          <w:divsChild>
                            <w:div w:id="1781411779">
                              <w:marLeft w:val="0"/>
                              <w:marRight w:val="0"/>
                              <w:marTop w:val="0"/>
                              <w:marBottom w:val="0"/>
                              <w:divBdr>
                                <w:top w:val="none" w:sz="0" w:space="0" w:color="auto"/>
                                <w:left w:val="none" w:sz="0" w:space="0" w:color="auto"/>
                                <w:bottom w:val="none" w:sz="0" w:space="0" w:color="auto"/>
                                <w:right w:val="none" w:sz="0" w:space="0" w:color="auto"/>
                              </w:divBdr>
                              <w:divsChild>
                                <w:div w:id="910962731">
                                  <w:marLeft w:val="0"/>
                                  <w:marRight w:val="0"/>
                                  <w:marTop w:val="0"/>
                                  <w:marBottom w:val="0"/>
                                  <w:divBdr>
                                    <w:top w:val="none" w:sz="0" w:space="0" w:color="auto"/>
                                    <w:left w:val="none" w:sz="0" w:space="0" w:color="auto"/>
                                    <w:bottom w:val="none" w:sz="0" w:space="0" w:color="auto"/>
                                    <w:right w:val="none" w:sz="0" w:space="0" w:color="auto"/>
                                  </w:divBdr>
                                  <w:divsChild>
                                    <w:div w:id="4939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859654">
      <w:bodyDiv w:val="1"/>
      <w:marLeft w:val="0"/>
      <w:marRight w:val="0"/>
      <w:marTop w:val="0"/>
      <w:marBottom w:val="0"/>
      <w:divBdr>
        <w:top w:val="none" w:sz="0" w:space="0" w:color="auto"/>
        <w:left w:val="none" w:sz="0" w:space="0" w:color="auto"/>
        <w:bottom w:val="none" w:sz="0" w:space="0" w:color="auto"/>
        <w:right w:val="none" w:sz="0" w:space="0" w:color="auto"/>
      </w:divBdr>
    </w:div>
    <w:div w:id="2088768513">
      <w:bodyDiv w:val="1"/>
      <w:marLeft w:val="0"/>
      <w:marRight w:val="0"/>
      <w:marTop w:val="0"/>
      <w:marBottom w:val="0"/>
      <w:divBdr>
        <w:top w:val="none" w:sz="0" w:space="0" w:color="auto"/>
        <w:left w:val="none" w:sz="0" w:space="0" w:color="auto"/>
        <w:bottom w:val="none" w:sz="0" w:space="0" w:color="auto"/>
        <w:right w:val="none" w:sz="0" w:space="0" w:color="auto"/>
      </w:divBdr>
    </w:div>
    <w:div w:id="2132479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lab.ws/articles/10.1017%2FCBO9781139019514.006" TargetMode="External"/><Relationship Id="rId18" Type="http://schemas.openxmlformats.org/officeDocument/2006/relationships/hyperlink" Target="https://doi.org/10.5958/0974-0279.2020.00010.X" TargetMode="External"/><Relationship Id="rId26" Type="http://schemas.openxmlformats.org/officeDocument/2006/relationships/hyperlink" Target="https://doi.org/10.2307/1244162" TargetMode="External"/><Relationship Id="rId3" Type="http://schemas.openxmlformats.org/officeDocument/2006/relationships/styles" Target="styles.xml"/><Relationship Id="rId21" Type="http://schemas.openxmlformats.org/officeDocument/2006/relationships/hyperlink" Target="https://ideas.repec.org/a/eee/jfpoli/v50y2015icp80-91.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foodpol.2007.10.005" TargetMode="External"/><Relationship Id="rId17" Type="http://schemas.openxmlformats.org/officeDocument/2006/relationships/hyperlink" Target="http://www.millets.res.in" TargetMode="External"/><Relationship Id="rId25" Type="http://schemas.openxmlformats.org/officeDocument/2006/relationships/hyperlink" Target="https://doi.org/10.3390/su707890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worlddev.2011.11.018" TargetMode="External"/><Relationship Id="rId20" Type="http://schemas.openxmlformats.org/officeDocument/2006/relationships/hyperlink" Target="https://doi.org/10.1007/s12571-023-01342-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55/ejfa.v25i7.12045" TargetMode="External"/><Relationship Id="rId24" Type="http://schemas.openxmlformats.org/officeDocument/2006/relationships/hyperlink" Target="https://doi.org/10.1007/s11629-021-7012-0"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fao.org/millets-2023" TargetMode="External"/><Relationship Id="rId23" Type="http://schemas.openxmlformats.org/officeDocument/2006/relationships/hyperlink" Target="https://doi.org/10.1016/j.tplants.2021.03.008" TargetMode="External"/><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www.epw.in/journal/2020/10/special-articles/promoting-millets-through-public-distribution-system.html"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census2011.co.in" TargetMode="External"/><Relationship Id="rId14" Type="http://schemas.openxmlformats.org/officeDocument/2006/relationships/hyperlink" Target="https://www.fao.org/3/CA1553EN/ca1553en.pdf" TargetMode="External"/><Relationship Id="rId22" Type="http://schemas.openxmlformats.org/officeDocument/2006/relationships/hyperlink" Target="https://ideas.repec.org/s/eee/jfpoli.html"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AA864-ED9C-41A4-A1D1-7D271FF92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15</Pages>
  <Words>5197</Words>
  <Characters>29625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 Ansari</dc:creator>
  <cp:lastModifiedBy>Editor-22</cp:lastModifiedBy>
  <cp:revision>149</cp:revision>
  <dcterms:created xsi:type="dcterms:W3CDTF">2025-04-24T09:34:00Z</dcterms:created>
  <dcterms:modified xsi:type="dcterms:W3CDTF">2025-05-07T11:04:00Z</dcterms:modified>
</cp:coreProperties>
</file>