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6131" w14:textId="17D9088B" w:rsidR="00697478" w:rsidRPr="00233515" w:rsidRDefault="00233515" w:rsidP="00233515">
      <w:pPr>
        <w:pStyle w:val="NormalWeb"/>
        <w:spacing w:beforeLines="40" w:before="96" w:beforeAutospacing="0" w:afterLines="40" w:after="96" w:afterAutospacing="0"/>
        <w:rPr>
          <w:b/>
          <w:i/>
          <w:iCs/>
          <w:sz w:val="28"/>
          <w:szCs w:val="28"/>
          <w:u w:val="single"/>
        </w:rPr>
      </w:pPr>
      <w:r w:rsidRPr="00233515">
        <w:rPr>
          <w:b/>
          <w:i/>
          <w:iCs/>
          <w:sz w:val="28"/>
          <w:szCs w:val="28"/>
          <w:u w:val="single"/>
        </w:rPr>
        <w:t>Review Article</w:t>
      </w:r>
    </w:p>
    <w:p w14:paraId="3769A972" w14:textId="5C979372" w:rsidR="00585ADA" w:rsidRDefault="00585ADA" w:rsidP="00585ADA">
      <w:pPr>
        <w:pStyle w:val="NormalWeb"/>
        <w:spacing w:beforeLines="40" w:before="96" w:beforeAutospacing="0" w:afterLines="40" w:after="96" w:afterAutospacing="0"/>
        <w:jc w:val="center"/>
        <w:rPr>
          <w:b/>
          <w:sz w:val="28"/>
          <w:szCs w:val="28"/>
        </w:rPr>
      </w:pPr>
      <w:proofErr w:type="spellStart"/>
      <w:r w:rsidRPr="009A1DFA">
        <w:rPr>
          <w:b/>
          <w:sz w:val="28"/>
          <w:szCs w:val="28"/>
        </w:rPr>
        <w:t>Behavio</w:t>
      </w:r>
      <w:r w:rsidR="009A1DFA" w:rsidRPr="009A1DFA">
        <w:rPr>
          <w:b/>
          <w:sz w:val="28"/>
          <w:szCs w:val="28"/>
        </w:rPr>
        <w:t>u</w:t>
      </w:r>
      <w:r w:rsidRPr="009A1DFA">
        <w:rPr>
          <w:b/>
          <w:sz w:val="28"/>
          <w:szCs w:val="28"/>
        </w:rPr>
        <w:t>ral</w:t>
      </w:r>
      <w:proofErr w:type="spellEnd"/>
      <w:r w:rsidRPr="009A1DFA">
        <w:rPr>
          <w:b/>
          <w:sz w:val="28"/>
          <w:szCs w:val="28"/>
        </w:rPr>
        <w:t xml:space="preserve"> Determinants and Organizational Dynamics of Farmer Producer Organizations in India: A Comprehensive Review of Genesis, Traits, Theories and Institutional Challenges</w:t>
      </w:r>
    </w:p>
    <w:p w14:paraId="476DA6F2" w14:textId="77777777" w:rsidR="00697478" w:rsidRPr="009A1DFA" w:rsidRDefault="00697478" w:rsidP="00585ADA">
      <w:pPr>
        <w:pStyle w:val="NormalWeb"/>
        <w:spacing w:beforeLines="40" w:before="96" w:beforeAutospacing="0" w:afterLines="40" w:after="96" w:afterAutospacing="0"/>
        <w:jc w:val="center"/>
        <w:rPr>
          <w:b/>
          <w:sz w:val="28"/>
          <w:szCs w:val="28"/>
        </w:rPr>
      </w:pPr>
    </w:p>
    <w:p w14:paraId="63CB2406" w14:textId="77777777" w:rsidR="00622635" w:rsidRDefault="00622635" w:rsidP="0030694A">
      <w:pPr>
        <w:spacing w:before="100" w:beforeAutospacing="1" w:after="100" w:afterAutospacing="1" w:line="240" w:lineRule="auto"/>
        <w:rPr>
          <w:rFonts w:ascii="Times New Roman" w:eastAsia="Times New Roman" w:hAnsi="Times New Roman" w:cs="Times New Roman"/>
          <w:b/>
          <w:bCs/>
          <w:sz w:val="24"/>
          <w:szCs w:val="24"/>
          <w:lang w:val="en-IN" w:eastAsia="en-IN"/>
        </w:rPr>
      </w:pPr>
    </w:p>
    <w:p w14:paraId="3FCEC45D" w14:textId="71A8622C" w:rsidR="0030694A" w:rsidRPr="009A1DFA" w:rsidRDefault="0030694A" w:rsidP="0030694A">
      <w:pPr>
        <w:spacing w:before="100" w:beforeAutospacing="1" w:after="100" w:afterAutospacing="1" w:line="240" w:lineRule="auto"/>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b/>
          <w:bCs/>
          <w:sz w:val="24"/>
          <w:szCs w:val="24"/>
          <w:lang w:val="en-IN" w:eastAsia="en-IN"/>
        </w:rPr>
        <w:t>Abstract</w:t>
      </w:r>
    </w:p>
    <w:p w14:paraId="7A4FEEEF" w14:textId="77777777" w:rsidR="0030694A" w:rsidRPr="009A1DFA" w:rsidRDefault="0030694A" w:rsidP="0030694A">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Farmer Producer Organizations (FPOs) have emerged as transformative institutions aimed at improving the socio-economic resilience and market access of small and marginal farmers in India. This review synthesizes findings from 71 peer-reviewed studies to explore how behavio</w:t>
      </w:r>
      <w:r w:rsidR="009A1DFA">
        <w:rPr>
          <w:rFonts w:ascii="Times New Roman" w:eastAsia="Times New Roman" w:hAnsi="Times New Roman" w:cs="Times New Roman"/>
          <w:sz w:val="24"/>
          <w:szCs w:val="24"/>
          <w:lang w:val="en-IN" w:eastAsia="en-IN"/>
        </w:rPr>
        <w:t>u</w:t>
      </w:r>
      <w:r w:rsidRPr="009A1DFA">
        <w:rPr>
          <w:rFonts w:ascii="Times New Roman" w:eastAsia="Times New Roman" w:hAnsi="Times New Roman" w:cs="Times New Roman"/>
          <w:sz w:val="24"/>
          <w:szCs w:val="24"/>
          <w:lang w:val="en-IN" w:eastAsia="en-IN"/>
        </w:rPr>
        <w:t>ral determinants—such as innovativeness, decision-making, risk-bearing ability, achievement and economic motivation, business and communication skills, feedback usage, and credit-seeking behavio</w:t>
      </w:r>
      <w:r w:rsidR="009A1DFA">
        <w:rPr>
          <w:rFonts w:ascii="Times New Roman" w:eastAsia="Times New Roman" w:hAnsi="Times New Roman" w:cs="Times New Roman"/>
          <w:sz w:val="24"/>
          <w:szCs w:val="24"/>
          <w:lang w:val="en-IN" w:eastAsia="en-IN"/>
        </w:rPr>
        <w:t>u</w:t>
      </w:r>
      <w:r w:rsidRPr="009A1DFA">
        <w:rPr>
          <w:rFonts w:ascii="Times New Roman" w:eastAsia="Times New Roman" w:hAnsi="Times New Roman" w:cs="Times New Roman"/>
          <w:sz w:val="24"/>
          <w:szCs w:val="24"/>
          <w:lang w:val="en-IN" w:eastAsia="en-IN"/>
        </w:rPr>
        <w:t>r—influence the functioning and sustainability of FPOs. Anchored in behavio</w:t>
      </w:r>
      <w:r w:rsidR="009A1DFA">
        <w:rPr>
          <w:rFonts w:ascii="Times New Roman" w:eastAsia="Times New Roman" w:hAnsi="Times New Roman" w:cs="Times New Roman"/>
          <w:sz w:val="24"/>
          <w:szCs w:val="24"/>
          <w:lang w:val="en-IN" w:eastAsia="en-IN"/>
        </w:rPr>
        <w:t>u</w:t>
      </w:r>
      <w:r w:rsidRPr="009A1DFA">
        <w:rPr>
          <w:rFonts w:ascii="Times New Roman" w:eastAsia="Times New Roman" w:hAnsi="Times New Roman" w:cs="Times New Roman"/>
          <w:sz w:val="24"/>
          <w:szCs w:val="24"/>
          <w:lang w:val="en-IN" w:eastAsia="en-IN"/>
        </w:rPr>
        <w:t>ral theories such as the Theory of Planned Behavio</w:t>
      </w:r>
      <w:r w:rsidR="009A1DFA">
        <w:rPr>
          <w:rFonts w:ascii="Times New Roman" w:eastAsia="Times New Roman" w:hAnsi="Times New Roman" w:cs="Times New Roman"/>
          <w:sz w:val="24"/>
          <w:szCs w:val="24"/>
          <w:lang w:val="en-IN" w:eastAsia="en-IN"/>
        </w:rPr>
        <w:t>u</w:t>
      </w:r>
      <w:r w:rsidRPr="009A1DFA">
        <w:rPr>
          <w:rFonts w:ascii="Times New Roman" w:eastAsia="Times New Roman" w:hAnsi="Times New Roman" w:cs="Times New Roman"/>
          <w:sz w:val="24"/>
          <w:szCs w:val="24"/>
          <w:lang w:val="en-IN" w:eastAsia="en-IN"/>
        </w:rPr>
        <w:t>r, Social Identity Theory, and Social Learning Theory, the paper emphasizes the role of socio-psychological factors in shaping farmer engagement and organizational outcomes. The review also doc</w:t>
      </w:r>
      <w:r w:rsidR="009A1DFA">
        <w:rPr>
          <w:rFonts w:ascii="Times New Roman" w:eastAsia="Times New Roman" w:hAnsi="Times New Roman" w:cs="Times New Roman"/>
          <w:sz w:val="24"/>
          <w:szCs w:val="24"/>
          <w:lang w:val="en-IN" w:eastAsia="en-IN"/>
        </w:rPr>
        <w:t xml:space="preserve">uments institutional challenges </w:t>
      </w:r>
      <w:r w:rsidRPr="009A1DFA">
        <w:rPr>
          <w:rFonts w:ascii="Times New Roman" w:eastAsia="Times New Roman" w:hAnsi="Times New Roman" w:cs="Times New Roman"/>
          <w:sz w:val="24"/>
          <w:szCs w:val="24"/>
          <w:lang w:val="en-IN" w:eastAsia="en-IN"/>
        </w:rPr>
        <w:t>including credit constraints, governance issue</w:t>
      </w:r>
      <w:r w:rsidR="009A1DFA">
        <w:rPr>
          <w:rFonts w:ascii="Times New Roman" w:eastAsia="Times New Roman" w:hAnsi="Times New Roman" w:cs="Times New Roman"/>
          <w:sz w:val="24"/>
          <w:szCs w:val="24"/>
          <w:lang w:val="en-IN" w:eastAsia="en-IN"/>
        </w:rPr>
        <w:t xml:space="preserve">s, and infrastructural deficits </w:t>
      </w:r>
      <w:r w:rsidRPr="009A1DFA">
        <w:rPr>
          <w:rFonts w:ascii="Times New Roman" w:eastAsia="Times New Roman" w:hAnsi="Times New Roman" w:cs="Times New Roman"/>
          <w:sz w:val="24"/>
          <w:szCs w:val="24"/>
          <w:lang w:val="en-IN" w:eastAsia="en-IN"/>
        </w:rPr>
        <w:t>that hinder the optimal performance of FPOs. By bridging empirical evidence with theoretical insights, the study offers a holistic perspective on how behavio</w:t>
      </w:r>
      <w:r w:rsidR="009A1DFA">
        <w:rPr>
          <w:rFonts w:ascii="Times New Roman" w:eastAsia="Times New Roman" w:hAnsi="Times New Roman" w:cs="Times New Roman"/>
          <w:sz w:val="24"/>
          <w:szCs w:val="24"/>
          <w:lang w:val="en-IN" w:eastAsia="en-IN"/>
        </w:rPr>
        <w:t>u</w:t>
      </w:r>
      <w:r w:rsidRPr="009A1DFA">
        <w:rPr>
          <w:rFonts w:ascii="Times New Roman" w:eastAsia="Times New Roman" w:hAnsi="Times New Roman" w:cs="Times New Roman"/>
          <w:sz w:val="24"/>
          <w:szCs w:val="24"/>
          <w:lang w:val="en-IN" w:eastAsia="en-IN"/>
        </w:rPr>
        <w:t>r-centric approaches can enhance FPO effectiveness, informing policy design, capacity-building interventions, and extension strategies tailored to rural India’s evolving agricultural landscape.</w:t>
      </w:r>
    </w:p>
    <w:p w14:paraId="678E4E25" w14:textId="77777777" w:rsidR="006636C2" w:rsidRPr="009A1DFA" w:rsidRDefault="0030694A" w:rsidP="0030694A">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b/>
          <w:bCs/>
          <w:sz w:val="24"/>
          <w:szCs w:val="24"/>
          <w:lang w:val="en-IN" w:eastAsia="en-IN"/>
        </w:rPr>
        <w:t>Keywords</w:t>
      </w:r>
      <w:r w:rsidRPr="009A1DFA">
        <w:rPr>
          <w:rFonts w:ascii="Times New Roman" w:eastAsia="Times New Roman" w:hAnsi="Times New Roman" w:cs="Times New Roman"/>
          <w:sz w:val="24"/>
          <w:szCs w:val="24"/>
          <w:lang w:val="en-IN" w:eastAsia="en-IN"/>
        </w:rPr>
        <w:t>: Farmer Producer Organizations, behavio</w:t>
      </w:r>
      <w:r w:rsidR="009A1DFA" w:rsidRPr="009A1DFA">
        <w:rPr>
          <w:rFonts w:ascii="Times New Roman" w:eastAsia="Times New Roman" w:hAnsi="Times New Roman" w:cs="Times New Roman"/>
          <w:sz w:val="24"/>
          <w:szCs w:val="24"/>
          <w:lang w:val="en-IN" w:eastAsia="en-IN"/>
        </w:rPr>
        <w:t>u</w:t>
      </w:r>
      <w:r w:rsidRPr="009A1DFA">
        <w:rPr>
          <w:rFonts w:ascii="Times New Roman" w:eastAsia="Times New Roman" w:hAnsi="Times New Roman" w:cs="Times New Roman"/>
          <w:sz w:val="24"/>
          <w:szCs w:val="24"/>
          <w:lang w:val="en-IN" w:eastAsia="en-IN"/>
        </w:rPr>
        <w:t>ral traits, social identity theory, decision-making, risk-bearing, extension, India, agricultural collectives</w:t>
      </w:r>
    </w:p>
    <w:p w14:paraId="5958BD14" w14:textId="77777777" w:rsidR="00B64761" w:rsidRPr="009A1DFA" w:rsidRDefault="00B64761" w:rsidP="00585ADA">
      <w:pPr>
        <w:pStyle w:val="NormalWeb"/>
        <w:spacing w:beforeLines="40" w:before="96" w:beforeAutospacing="0" w:afterLines="40" w:after="96" w:afterAutospacing="0"/>
        <w:rPr>
          <w:b/>
          <w:color w:val="000000" w:themeColor="text1"/>
        </w:rPr>
      </w:pPr>
      <w:r w:rsidRPr="009A1DFA">
        <w:rPr>
          <w:b/>
          <w:color w:val="000000" w:themeColor="text1"/>
        </w:rPr>
        <w:t>Introduction:</w:t>
      </w:r>
    </w:p>
    <w:p w14:paraId="3C5A87BA" w14:textId="77777777" w:rsidR="005C38F8" w:rsidRPr="009A1DFA" w:rsidRDefault="00E33A0F" w:rsidP="00585ADA">
      <w:pPr>
        <w:pStyle w:val="NormalWeb"/>
        <w:spacing w:beforeLines="40" w:before="96" w:beforeAutospacing="0" w:afterLines="40" w:after="96" w:afterAutospacing="0"/>
        <w:jc w:val="both"/>
      </w:pPr>
      <w:r w:rsidRPr="009A1DFA">
        <w:t xml:space="preserve">Agriculture continues to be a foundational pillar of India’s economy, offering livelihood support to approximately 42.3% of the population and contributing 18.2% to the nation's GDP at current prices (PIB, 2024). However, despite progressive policy measures and technological interventions, the sector remains hindered by structural issues such as fragmented landholdings, low productivity, and the widespread marginalization of smallholders. Notably, over 86% of agricultural holdings fall into the small and marginal category, averaging just 1.15 hectares in size (Agricultural Census, 2016). These limitations significantly reduce farmers' access to quality inputs, affordable credit, modern technologies, and profitable market opportunities. </w:t>
      </w:r>
    </w:p>
    <w:p w14:paraId="7815ADC7" w14:textId="77777777" w:rsidR="005C38F8" w:rsidRPr="009A1DFA" w:rsidRDefault="00E33A0F" w:rsidP="00585ADA">
      <w:pPr>
        <w:pStyle w:val="NormalWeb"/>
        <w:spacing w:beforeLines="40" w:before="96" w:beforeAutospacing="0" w:afterLines="40" w:after="96" w:afterAutospacing="0"/>
        <w:jc w:val="both"/>
      </w:pPr>
      <w:r w:rsidRPr="009A1DFA">
        <w:t xml:space="preserve">To overcome these systemic barriers, Farmer Producer Organizations (FPOs) have emerged as a critical institutional innovation. Initiated and supported by agencies such as NABARD and SFAC, FPOs function as collective entities that leverage group dynamics to enhance bargaining power, streamline input procurement, improve market integration, and facilitate access to financial services. The Government of India’s landmark scheme to promote 10,000 FPOs, launched in 2020 with a financial outlay of ₹6,865 crore, underlines a strategic commitment to farmer collectivization. As of 2025, more than 10,000 FPOs have been established, directly </w:t>
      </w:r>
      <w:r w:rsidRPr="009A1DFA">
        <w:lastRenderedPageBreak/>
        <w:t xml:space="preserve">benefiting around 30 lakh farmers, with women constituting a significant share of the membership (PIB, 2025). Importantly, FPOs are not limited to economic aggregation; they also function as catalysts for behavioral transformation among farmers. </w:t>
      </w:r>
    </w:p>
    <w:p w14:paraId="72B8A8DF" w14:textId="77777777" w:rsidR="005C38F8" w:rsidRPr="009A1DFA" w:rsidRDefault="00E33A0F" w:rsidP="00585ADA">
      <w:pPr>
        <w:pStyle w:val="NormalWeb"/>
        <w:spacing w:beforeLines="40" w:before="96" w:beforeAutospacing="0" w:afterLines="40" w:after="96" w:afterAutospacing="0"/>
        <w:jc w:val="both"/>
      </w:pPr>
      <w:r w:rsidRPr="009A1DFA">
        <w:t xml:space="preserve">Participation in FPOs has been shown to foster positive shifts in attitudes toward innovation, entrepreneurial engagement, risk management, and decision-making. These changes are deeply rooted in peer learning, social identity, and collective experiences, aligning with conceptual frameworks such as Ajzen’s Theory of Planned Behavior (1991) and Tajfel and Turner’s Social Identity Theory (1979). As such, FPOs represent both economic institutions and platforms for socio-psychological empowerment in rural India. Nonetheless, FPOs continue to face considerable challenges, including financial instability, governance inefficiencies, infrastructural deficits, and regulatory complexities. </w:t>
      </w:r>
    </w:p>
    <w:p w14:paraId="31335D56" w14:textId="77777777" w:rsidR="005C38F8" w:rsidRPr="009A1DFA" w:rsidRDefault="00E33A0F" w:rsidP="00585ADA">
      <w:pPr>
        <w:pStyle w:val="NormalWeb"/>
        <w:spacing w:beforeLines="40" w:before="96" w:beforeAutospacing="0" w:afterLines="40" w:after="96" w:afterAutospacing="0"/>
        <w:jc w:val="both"/>
      </w:pPr>
      <w:r w:rsidRPr="009A1DFA">
        <w:t xml:space="preserve">Although various studies have explored isolated aspects of FPOs, there remains a notable lack of comprehensive analyses that investigate how behavioral characteristics of members influence organizational performance and development. </w:t>
      </w:r>
    </w:p>
    <w:p w14:paraId="1A907C7E" w14:textId="77777777" w:rsidR="007D5EE2" w:rsidRPr="009A1DFA" w:rsidRDefault="00E33A0F" w:rsidP="00585ADA">
      <w:pPr>
        <w:pStyle w:val="NormalWeb"/>
        <w:spacing w:beforeLines="40" w:before="96" w:beforeAutospacing="0" w:afterLines="40" w:after="96" w:afterAutospacing="0"/>
        <w:jc w:val="both"/>
      </w:pPr>
      <w:r w:rsidRPr="009A1DFA">
        <w:t>This review seeks to address that gap by consolidating empirical research on essential behavior</w:t>
      </w:r>
      <w:r w:rsidR="005C38F8" w:rsidRPr="009A1DFA">
        <w:t xml:space="preserve">al dimensions among FPO members </w:t>
      </w:r>
      <w:r w:rsidRPr="009A1DFA">
        <w:t>such as innovativeness, decision-making capabilities, risk orientation, motivat</w:t>
      </w:r>
      <w:r w:rsidR="00C17EC8" w:rsidRPr="009A1DFA">
        <w:t xml:space="preserve">ional dynamics, </w:t>
      </w:r>
      <w:r w:rsidRPr="009A1DFA">
        <w:t>and communication skills, feedback receptivity, and credit-seeking tendencies. Additionally, it identifies and analyzes the constraints that hinder the effective expression of these traits. The study thus offers a holistic perspective on how behavior underpins the success, sustainability, and scalability of Farmer Producer Organizations in the Indian context.</w:t>
      </w:r>
    </w:p>
    <w:p w14:paraId="3404B5DB" w14:textId="77777777" w:rsidR="007D5EE2" w:rsidRPr="009A1DFA" w:rsidRDefault="002E7510" w:rsidP="00585ADA">
      <w:pPr>
        <w:pStyle w:val="NormalWeb"/>
        <w:spacing w:beforeLines="40" w:before="96" w:beforeAutospacing="0" w:afterLines="40" w:after="96" w:afterAutospacing="0"/>
        <w:jc w:val="both"/>
      </w:pPr>
      <w:r w:rsidRPr="009A1DFA">
        <w:t xml:space="preserve">This review article is organized as follows. First, </w:t>
      </w:r>
      <w:r w:rsidR="007D5EE2" w:rsidRPr="009A1DFA">
        <w:t xml:space="preserve">is the classification of </w:t>
      </w:r>
      <w:r w:rsidRPr="009A1DFA">
        <w:t xml:space="preserve">framework and its related conceptual </w:t>
      </w:r>
      <w:r w:rsidR="00A05757" w:rsidRPr="009A1DFA">
        <w:t>themes</w:t>
      </w:r>
      <w:r w:rsidR="00C17EC8" w:rsidRPr="009A1DFA">
        <w:t xml:space="preserve"> and </w:t>
      </w:r>
      <w:r w:rsidRPr="009A1DFA">
        <w:t>Second, the methodology outlines the criteria for articles included or excluded from the l</w:t>
      </w:r>
      <w:r w:rsidR="005C38F8" w:rsidRPr="009A1DFA">
        <w:t>iterature review resulting in 71</w:t>
      </w:r>
      <w:r w:rsidRPr="009A1DFA">
        <w:t xml:space="preserve"> identified studies. The rest of the paper shows the results in different phases including defini</w:t>
      </w:r>
      <w:r w:rsidR="00C17EC8" w:rsidRPr="009A1DFA">
        <w:t xml:space="preserve">tions, </w:t>
      </w:r>
      <w:proofErr w:type="spellStart"/>
      <w:r w:rsidR="00C17EC8" w:rsidRPr="009A1DFA">
        <w:t>behavioural</w:t>
      </w:r>
      <w:proofErr w:type="spellEnd"/>
      <w:r w:rsidR="00C17EC8" w:rsidRPr="009A1DFA">
        <w:t xml:space="preserve"> theories</w:t>
      </w:r>
      <w:r w:rsidR="00A05757" w:rsidRPr="009A1DFA">
        <w:t xml:space="preserve"> and</w:t>
      </w:r>
      <w:r w:rsidR="00C17EC8" w:rsidRPr="009A1DFA">
        <w:t xml:space="preserve"> </w:t>
      </w:r>
      <w:proofErr w:type="spellStart"/>
      <w:r w:rsidR="00C17EC8" w:rsidRPr="009A1DFA">
        <w:t>behavioural</w:t>
      </w:r>
      <w:proofErr w:type="spellEnd"/>
      <w:r w:rsidR="00C17EC8" w:rsidRPr="009A1DFA">
        <w:t xml:space="preserve"> </w:t>
      </w:r>
      <w:proofErr w:type="gramStart"/>
      <w:r w:rsidR="00C17EC8" w:rsidRPr="009A1DFA">
        <w:t xml:space="preserve">traits </w:t>
      </w:r>
      <w:r w:rsidR="00A05757" w:rsidRPr="009A1DFA">
        <w:t xml:space="preserve"> </w:t>
      </w:r>
      <w:r w:rsidRPr="009A1DFA">
        <w:t>and</w:t>
      </w:r>
      <w:proofErr w:type="gramEnd"/>
      <w:r w:rsidRPr="009A1DFA">
        <w:t xml:space="preserve"> </w:t>
      </w:r>
      <w:r w:rsidR="00A05757" w:rsidRPr="009A1DFA">
        <w:t>constraints.</w:t>
      </w:r>
      <w:r w:rsidR="002848AC" w:rsidRPr="009A1DFA">
        <w:t xml:space="preserve"> </w:t>
      </w:r>
      <w:r w:rsidR="007D5EE2" w:rsidRPr="009A1DFA">
        <w:t>The conceptual framework is presented</w:t>
      </w:r>
      <w:r w:rsidR="005C38F8" w:rsidRPr="009A1DFA">
        <w:t xml:space="preserve"> below</w:t>
      </w:r>
    </w:p>
    <w:p w14:paraId="33C1625C" w14:textId="77777777" w:rsidR="007D5EE2" w:rsidRDefault="007D5EE2" w:rsidP="00585ADA">
      <w:pPr>
        <w:pStyle w:val="NormalWeb"/>
        <w:spacing w:beforeLines="40" w:before="96" w:beforeAutospacing="0" w:afterLines="40" w:after="96" w:afterAutospacing="0"/>
        <w:jc w:val="both"/>
        <w:rPr>
          <w:color w:val="FF0000"/>
        </w:rPr>
      </w:pPr>
      <w:r w:rsidRPr="009A1DFA">
        <w:rPr>
          <w:noProof/>
          <w:color w:val="FF0000"/>
          <w:lang w:val="en-IN" w:eastAsia="en-IN"/>
        </w:rPr>
        <w:lastRenderedPageBreak/>
        <w:drawing>
          <wp:inline distT="0" distB="0" distL="0" distR="0" wp14:anchorId="62D60E76" wp14:editId="48F5BD47">
            <wp:extent cx="5943600" cy="5652655"/>
            <wp:effectExtent l="0" t="0" r="0" b="5715"/>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8B7ECF8" w14:textId="77777777" w:rsidR="002E5934" w:rsidRDefault="002E5934" w:rsidP="00585ADA">
      <w:pPr>
        <w:pStyle w:val="NormalWeb"/>
        <w:spacing w:beforeLines="40" w:before="96" w:beforeAutospacing="0" w:afterLines="40" w:after="96" w:afterAutospacing="0"/>
        <w:jc w:val="both"/>
        <w:rPr>
          <w:color w:val="FF0000"/>
        </w:rPr>
      </w:pPr>
    </w:p>
    <w:p w14:paraId="66CA0DC9" w14:textId="0C7A4DA2" w:rsidR="00632333" w:rsidRPr="009A1DFA" w:rsidRDefault="00632333" w:rsidP="00585ADA">
      <w:pPr>
        <w:pStyle w:val="NormalWeb"/>
        <w:spacing w:beforeLines="40" w:before="96" w:beforeAutospacing="0" w:afterLines="40" w:after="96" w:afterAutospacing="0"/>
        <w:jc w:val="both"/>
        <w:rPr>
          <w:color w:val="FF0000"/>
        </w:rPr>
      </w:pPr>
      <w:r>
        <w:rPr>
          <w:color w:val="FF0000"/>
        </w:rPr>
        <w:t xml:space="preserve">FIG 1. </w:t>
      </w:r>
      <w:r w:rsidR="005525C9">
        <w:rPr>
          <w:color w:val="FF0000"/>
        </w:rPr>
        <w:t>Types of Farmer producer organization</w:t>
      </w:r>
    </w:p>
    <w:p w14:paraId="1CE7280F" w14:textId="77777777" w:rsidR="009A1DFA" w:rsidRDefault="009A1DFA" w:rsidP="00585ADA">
      <w:pPr>
        <w:pStyle w:val="NormalWeb"/>
        <w:spacing w:beforeLines="40" w:before="96" w:beforeAutospacing="0" w:afterLines="40" w:after="96" w:afterAutospacing="0"/>
        <w:jc w:val="both"/>
        <w:rPr>
          <w:b/>
        </w:rPr>
      </w:pPr>
    </w:p>
    <w:p w14:paraId="6AF8899C" w14:textId="77777777" w:rsidR="006636C2" w:rsidRPr="009A1DFA" w:rsidRDefault="006636C2" w:rsidP="00585ADA">
      <w:pPr>
        <w:pStyle w:val="NormalWeb"/>
        <w:spacing w:beforeLines="40" w:before="96" w:beforeAutospacing="0" w:afterLines="40" w:after="96" w:afterAutospacing="0"/>
        <w:jc w:val="both"/>
        <w:rPr>
          <w:b/>
        </w:rPr>
      </w:pPr>
      <w:r w:rsidRPr="009A1DFA">
        <w:rPr>
          <w:b/>
        </w:rPr>
        <w:t xml:space="preserve">Materials and Methods </w:t>
      </w:r>
    </w:p>
    <w:p w14:paraId="5BC40E6C" w14:textId="77777777" w:rsidR="007D5EE2" w:rsidRDefault="006636C2" w:rsidP="00585ADA">
      <w:pPr>
        <w:pStyle w:val="NormalWeb"/>
        <w:spacing w:beforeLines="40" w:before="96" w:beforeAutospacing="0" w:afterLines="40" w:after="96" w:afterAutospacing="0"/>
        <w:jc w:val="both"/>
      </w:pPr>
      <w:r w:rsidRPr="009A1DFA">
        <w:t>Systematic article searches and screenings were performed by generating</w:t>
      </w:r>
      <w:r w:rsidR="00E33A0F" w:rsidRPr="009A1DFA">
        <w:t xml:space="preserve"> keyword combinations in the several databases like Google scholar, </w:t>
      </w:r>
      <w:r w:rsidRPr="009A1DFA">
        <w:t>Scopus</w:t>
      </w:r>
      <w:r w:rsidR="00E33A0F" w:rsidRPr="009A1DFA">
        <w:t xml:space="preserve"> </w:t>
      </w:r>
      <w:r w:rsidRPr="009A1DFA">
        <w:t>and Science</w:t>
      </w:r>
      <w:r w:rsidR="00E33A0F" w:rsidRPr="009A1DFA">
        <w:t xml:space="preserve"> </w:t>
      </w:r>
      <w:r w:rsidRPr="009A1DFA">
        <w:t xml:space="preserve">Direct. Searches were conducted using the fields 'TITLE' and 'TITLE-ABSTRACT KEYWORD' in the databases. A language restriction was applied and only English-language articles were included in the review. Peer-reviewed journal articles from these databases were collected. Non-journal sources, such as books, book chapters, conference papers, editorials, letters, patents, reference works, research </w:t>
      </w:r>
      <w:r w:rsidR="007D5EE2" w:rsidRPr="009A1DFA">
        <w:t>notes and trade publications were excluded. Peer-reviewed journal, articles from these databases we</w:t>
      </w:r>
      <w:r w:rsidR="005C38F8" w:rsidRPr="009A1DFA">
        <w:t>re collected up to the year 2025</w:t>
      </w:r>
      <w:r w:rsidR="007D5EE2" w:rsidRPr="009A1DFA">
        <w:t>.</w:t>
      </w:r>
    </w:p>
    <w:p w14:paraId="0B6A1CAE" w14:textId="77777777" w:rsidR="009A1DFA" w:rsidRDefault="009A1DFA" w:rsidP="00585ADA">
      <w:pPr>
        <w:pStyle w:val="NormalWeb"/>
        <w:spacing w:beforeLines="40" w:before="96" w:beforeAutospacing="0" w:afterLines="40" w:after="96" w:afterAutospacing="0"/>
        <w:jc w:val="both"/>
      </w:pPr>
    </w:p>
    <w:p w14:paraId="00DAF1B7" w14:textId="77777777" w:rsidR="0030694A" w:rsidRPr="009A1DFA" w:rsidRDefault="0030694A" w:rsidP="00585ADA">
      <w:pPr>
        <w:pStyle w:val="NormalWeb"/>
        <w:spacing w:beforeLines="40" w:before="96" w:beforeAutospacing="0" w:afterLines="40" w:after="96" w:afterAutospacing="0"/>
        <w:jc w:val="both"/>
      </w:pPr>
    </w:p>
    <w:p w14:paraId="6A77BD4A" w14:textId="77777777" w:rsidR="007D5EE2" w:rsidRPr="009A1DFA" w:rsidRDefault="00000000" w:rsidP="00585ADA">
      <w:pPr>
        <w:pStyle w:val="NormalWeb"/>
        <w:spacing w:beforeLines="40" w:before="96" w:beforeAutospacing="0" w:afterLines="40" w:after="96" w:afterAutospacing="0"/>
        <w:jc w:val="both"/>
      </w:pPr>
      <w:r>
        <w:rPr>
          <w:noProof/>
          <w:lang w:val="en-IN" w:eastAsia="en-IN"/>
        </w:rPr>
        <w:pict w14:anchorId="166B22AA">
          <v:roundrect id="_x0000_s2050" style="position:absolute;left:0;text-align:left;margin-left:3.25pt;margin-top:-13.85pt;width:456pt;height:32.8pt;z-index:251658240" arcsize="10923f" fillcolor="#f79646 [3209]" strokecolor="#f2f2f2 [3041]" strokeweight="3pt">
            <v:shadow type="perspective" color="#622423 [1605]" opacity=".5" offset="1pt" offset2="-1pt"/>
            <v:textbox style="mso-next-textbox:#_x0000_s2050">
              <w:txbxContent>
                <w:p w14:paraId="3904B8BA" w14:textId="77777777" w:rsidR="00613416" w:rsidRPr="00613416" w:rsidRDefault="00613416" w:rsidP="00A05757">
                  <w:pPr>
                    <w:jc w:val="center"/>
                    <w:rPr>
                      <w:rFonts w:ascii="Times New Roman" w:hAnsi="Times New Roman" w:cs="Times New Roman"/>
                      <w:sz w:val="24"/>
                      <w:szCs w:val="24"/>
                      <w:lang w:val="en-GB"/>
                    </w:rPr>
                  </w:pPr>
                  <w:r w:rsidRPr="00613416">
                    <w:rPr>
                      <w:rFonts w:ascii="Times New Roman" w:hAnsi="Times New Roman" w:cs="Times New Roman"/>
                      <w:sz w:val="24"/>
                      <w:szCs w:val="24"/>
                      <w:lang w:val="en-GB"/>
                    </w:rPr>
                    <w:t>Identification of studies via Google scholar, Scopus and science Direct</w:t>
                  </w:r>
                </w:p>
              </w:txbxContent>
            </v:textbox>
          </v:roundrect>
        </w:pict>
      </w:r>
    </w:p>
    <w:p w14:paraId="0EA5A87D" w14:textId="77777777" w:rsidR="008232D9" w:rsidRPr="009A1DFA" w:rsidRDefault="008232D9" w:rsidP="00585ADA">
      <w:pPr>
        <w:pStyle w:val="NormalWeb"/>
        <w:spacing w:beforeLines="40" w:before="96" w:beforeAutospacing="0" w:afterLines="40" w:after="96" w:afterAutospacing="0"/>
        <w:jc w:val="both"/>
      </w:pPr>
    </w:p>
    <w:p w14:paraId="043D71DF" w14:textId="77777777" w:rsidR="00613416" w:rsidRPr="009A1DFA" w:rsidRDefault="00000000" w:rsidP="00585ADA">
      <w:pPr>
        <w:pStyle w:val="NormalWeb"/>
        <w:tabs>
          <w:tab w:val="left" w:pos="1154"/>
        </w:tabs>
        <w:spacing w:beforeLines="40" w:before="96" w:beforeAutospacing="0" w:afterLines="40" w:after="96" w:afterAutospacing="0"/>
        <w:jc w:val="both"/>
        <w:rPr>
          <w:b/>
        </w:rPr>
      </w:pPr>
      <w:r>
        <w:rPr>
          <w:b/>
          <w:noProof/>
          <w:lang w:val="en-IN" w:eastAsia="en-IN"/>
        </w:rPr>
        <w:pict w14:anchorId="271D8D61">
          <v:shapetype id="_x0000_t109" coordsize="21600,21600" o:spt="109" path="m,l,21600r21600,l21600,xe">
            <v:stroke joinstyle="miter"/>
            <v:path gradientshapeok="t" o:connecttype="rect"/>
          </v:shapetype>
          <v:shape id="_x0000_s2055" type="#_x0000_t109" style="position:absolute;left:0;text-align:left;margin-left:286.15pt;margin-top:9.3pt;width:175.85pt;height:112.15pt;z-index:251661312">
            <v:textbox style="mso-next-textbox:#_x0000_s2055">
              <w:txbxContent>
                <w:p w14:paraId="08EDC8BB" w14:textId="77777777" w:rsidR="00C72AAA" w:rsidRDefault="00C72AAA" w:rsidP="00C72AAA">
                  <w:pPr>
                    <w:spacing w:line="240" w:lineRule="auto"/>
                    <w:rPr>
                      <w:rFonts w:ascii="Times New Roman" w:hAnsi="Times New Roman" w:cs="Times New Roman"/>
                      <w:sz w:val="24"/>
                      <w:szCs w:val="24"/>
                      <w:lang w:val="en-GB"/>
                    </w:rPr>
                  </w:pPr>
                  <w:r w:rsidRPr="00C72AAA">
                    <w:rPr>
                      <w:rFonts w:ascii="Times New Roman" w:hAnsi="Times New Roman" w:cs="Times New Roman"/>
                      <w:sz w:val="24"/>
                      <w:szCs w:val="24"/>
                      <w:lang w:val="en-GB"/>
                    </w:rPr>
                    <w:t>Recor</w:t>
                  </w:r>
                  <w:r>
                    <w:rPr>
                      <w:rFonts w:ascii="Times New Roman" w:hAnsi="Times New Roman" w:cs="Times New Roman"/>
                      <w:sz w:val="24"/>
                      <w:szCs w:val="24"/>
                      <w:lang w:val="en-GB"/>
                    </w:rPr>
                    <w:t>ds removed before screening</w:t>
                  </w:r>
                </w:p>
                <w:p w14:paraId="253A6622" w14:textId="77777777" w:rsidR="00C72AAA" w:rsidRPr="00C72AAA" w:rsidRDefault="00C72AAA" w:rsidP="00C72AAA">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Duplicate records (n= </w:t>
                  </w:r>
                  <w:r w:rsidR="002848AC">
                    <w:rPr>
                      <w:rFonts w:ascii="Times New Roman" w:hAnsi="Times New Roman" w:cs="Times New Roman"/>
                      <w:sz w:val="24"/>
                      <w:szCs w:val="24"/>
                      <w:lang w:val="en-GB"/>
                    </w:rPr>
                    <w:t>1950</w:t>
                  </w:r>
                  <w:r>
                    <w:rPr>
                      <w:rFonts w:ascii="Times New Roman" w:hAnsi="Times New Roman" w:cs="Times New Roman"/>
                      <w:sz w:val="24"/>
                      <w:szCs w:val="24"/>
                      <w:lang w:val="en-GB"/>
                    </w:rPr>
                    <w:t xml:space="preserve">   )</w:t>
                  </w:r>
                </w:p>
                <w:p w14:paraId="4C6CE2AB" w14:textId="77777777" w:rsidR="005951EB" w:rsidRDefault="005951EB" w:rsidP="005951EB"/>
              </w:txbxContent>
            </v:textbox>
          </v:shape>
        </w:pict>
      </w:r>
      <w:r>
        <w:rPr>
          <w:b/>
          <w:noProof/>
          <w:lang w:val="en-IN" w:eastAsia="en-IN"/>
        </w:rPr>
        <w:pict w14:anchorId="33C58FDD">
          <v:shape id="_x0000_s2053" type="#_x0000_t109" style="position:absolute;left:0;text-align:left;margin-left:72.45pt;margin-top:9.3pt;width:175.85pt;height:112.15pt;z-index:251660288">
            <v:textbox style="mso-next-textbox:#_x0000_s2053">
              <w:txbxContent>
                <w:p w14:paraId="31BDE76D" w14:textId="77777777" w:rsidR="005951EB" w:rsidRPr="00C72AAA" w:rsidRDefault="00C72AAA" w:rsidP="00C72AAA">
                  <w:pPr>
                    <w:spacing w:line="240" w:lineRule="auto"/>
                    <w:rPr>
                      <w:rFonts w:ascii="Times New Roman" w:hAnsi="Times New Roman" w:cs="Times New Roman"/>
                      <w:sz w:val="24"/>
                      <w:szCs w:val="24"/>
                      <w:lang w:val="en-GB"/>
                    </w:rPr>
                  </w:pPr>
                  <w:r w:rsidRPr="00C72AAA">
                    <w:rPr>
                      <w:rFonts w:ascii="Times New Roman" w:hAnsi="Times New Roman" w:cs="Times New Roman"/>
                      <w:sz w:val="24"/>
                      <w:szCs w:val="24"/>
                      <w:lang w:val="en-GB"/>
                    </w:rPr>
                    <w:t>Records identified by using key words</w:t>
                  </w:r>
                </w:p>
                <w:p w14:paraId="5D6414AA" w14:textId="77777777" w:rsidR="00C72AAA" w:rsidRPr="00C72AAA" w:rsidRDefault="00C72AAA" w:rsidP="00C72AAA">
                  <w:pPr>
                    <w:spacing w:line="240" w:lineRule="auto"/>
                    <w:rPr>
                      <w:rFonts w:ascii="Times New Roman" w:hAnsi="Times New Roman" w:cs="Times New Roman"/>
                      <w:sz w:val="24"/>
                      <w:szCs w:val="24"/>
                      <w:lang w:val="en-GB"/>
                    </w:rPr>
                  </w:pPr>
                  <w:r w:rsidRPr="00C72AAA">
                    <w:rPr>
                      <w:rFonts w:ascii="Times New Roman" w:hAnsi="Times New Roman" w:cs="Times New Roman"/>
                      <w:sz w:val="24"/>
                      <w:szCs w:val="24"/>
                      <w:lang w:val="en-GB"/>
                    </w:rPr>
                    <w:t>Google scholar</w:t>
                  </w:r>
                  <w:r>
                    <w:rPr>
                      <w:rFonts w:ascii="Times New Roman" w:hAnsi="Times New Roman" w:cs="Times New Roman"/>
                      <w:sz w:val="24"/>
                      <w:szCs w:val="24"/>
                      <w:lang w:val="en-GB"/>
                    </w:rPr>
                    <w:t xml:space="preserve"> </w:t>
                  </w:r>
                  <w:r w:rsidRPr="00C72AAA">
                    <w:rPr>
                      <w:rFonts w:ascii="Times New Roman" w:hAnsi="Times New Roman" w:cs="Times New Roman"/>
                      <w:sz w:val="24"/>
                      <w:szCs w:val="24"/>
                      <w:lang w:val="en-GB"/>
                    </w:rPr>
                    <w:t xml:space="preserve">(n= </w:t>
                  </w:r>
                  <w:r w:rsidR="002848AC">
                    <w:rPr>
                      <w:rFonts w:ascii="Times New Roman" w:hAnsi="Times New Roman" w:cs="Times New Roman"/>
                      <w:sz w:val="24"/>
                      <w:szCs w:val="24"/>
                      <w:lang w:val="en-GB"/>
                    </w:rPr>
                    <w:t>882</w:t>
                  </w:r>
                  <w:r w:rsidRPr="00C72AAA">
                    <w:rPr>
                      <w:rFonts w:ascii="Times New Roman" w:hAnsi="Times New Roman" w:cs="Times New Roman"/>
                      <w:sz w:val="24"/>
                      <w:szCs w:val="24"/>
                      <w:lang w:val="en-GB"/>
                    </w:rPr>
                    <w:t>)</w:t>
                  </w:r>
                </w:p>
                <w:p w14:paraId="6379B651" w14:textId="77777777" w:rsidR="00C72AAA" w:rsidRPr="00C72AAA" w:rsidRDefault="00C72AAA" w:rsidP="00C72AAA">
                  <w:pPr>
                    <w:spacing w:line="240" w:lineRule="auto"/>
                    <w:rPr>
                      <w:rFonts w:ascii="Times New Roman" w:hAnsi="Times New Roman" w:cs="Times New Roman"/>
                      <w:sz w:val="24"/>
                      <w:szCs w:val="24"/>
                      <w:lang w:val="en-GB"/>
                    </w:rPr>
                  </w:pPr>
                  <w:r w:rsidRPr="00C72AAA">
                    <w:rPr>
                      <w:rFonts w:ascii="Times New Roman" w:hAnsi="Times New Roman" w:cs="Times New Roman"/>
                      <w:sz w:val="24"/>
                      <w:szCs w:val="24"/>
                      <w:lang w:val="en-GB"/>
                    </w:rPr>
                    <w:t>Scopus (n=</w:t>
                  </w:r>
                  <w:proofErr w:type="gramStart"/>
                  <w:r w:rsidR="002848AC">
                    <w:rPr>
                      <w:rFonts w:ascii="Times New Roman" w:hAnsi="Times New Roman" w:cs="Times New Roman"/>
                      <w:sz w:val="24"/>
                      <w:szCs w:val="24"/>
                      <w:lang w:val="en-GB"/>
                    </w:rPr>
                    <w:t>532</w:t>
                  </w:r>
                  <w:r w:rsidRPr="00C72AAA">
                    <w:rPr>
                      <w:rFonts w:ascii="Times New Roman" w:hAnsi="Times New Roman" w:cs="Times New Roman"/>
                      <w:sz w:val="24"/>
                      <w:szCs w:val="24"/>
                      <w:lang w:val="en-GB"/>
                    </w:rPr>
                    <w:t xml:space="preserve"> )</w:t>
                  </w:r>
                  <w:proofErr w:type="gramEnd"/>
                </w:p>
                <w:p w14:paraId="4F54253B" w14:textId="77777777" w:rsidR="00C72AAA" w:rsidRPr="00C72AAA" w:rsidRDefault="002848AC" w:rsidP="00C72AAA">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Science Direct (n=</w:t>
                  </w:r>
                  <w:proofErr w:type="gramStart"/>
                  <w:r>
                    <w:rPr>
                      <w:rFonts w:ascii="Times New Roman" w:hAnsi="Times New Roman" w:cs="Times New Roman"/>
                      <w:sz w:val="24"/>
                      <w:szCs w:val="24"/>
                      <w:lang w:val="en-GB"/>
                    </w:rPr>
                    <w:t>642</w:t>
                  </w:r>
                  <w:r w:rsidR="00C72AAA" w:rsidRPr="00C72AAA">
                    <w:rPr>
                      <w:rFonts w:ascii="Times New Roman" w:hAnsi="Times New Roman" w:cs="Times New Roman"/>
                      <w:sz w:val="24"/>
                      <w:szCs w:val="24"/>
                      <w:lang w:val="en-GB"/>
                    </w:rPr>
                    <w:t xml:space="preserve"> )</w:t>
                  </w:r>
                  <w:proofErr w:type="gramEnd"/>
                </w:p>
              </w:txbxContent>
            </v:textbox>
          </v:shape>
        </w:pict>
      </w:r>
      <w:r>
        <w:rPr>
          <w:b/>
          <w:noProof/>
          <w:lang w:val="en-IN" w:eastAsia="en-IN"/>
        </w:rPr>
        <w:pict w14:anchorId="3D2CF205">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51" type="#_x0000_t176" style="position:absolute;left:0;text-align:left;margin-left:11.55pt;margin-top:5.6pt;width:30pt;height:121.85pt;z-index:251659264" fillcolor="#548dd4 [1951]" strokecolor="#f2f2f2 [3041]" strokeweight="3pt">
            <v:shadow type="perspective" color="#4e6128 [1606]" opacity=".5" offset="1pt" offset2="-1pt"/>
            <v:textbox style="layout-flow:vertical;mso-layout-flow-alt:bottom-to-top;mso-next-textbox:#_x0000_s2051">
              <w:txbxContent>
                <w:p w14:paraId="2D502CB9" w14:textId="77777777" w:rsidR="005951EB" w:rsidRPr="005951EB" w:rsidRDefault="005951EB" w:rsidP="008232D9">
                  <w:pPr>
                    <w:jc w:val="center"/>
                    <w:rPr>
                      <w:rFonts w:ascii="Times New Roman" w:hAnsi="Times New Roman" w:cs="Times New Roman"/>
                      <w:sz w:val="24"/>
                      <w:szCs w:val="24"/>
                      <w:lang w:val="en-GB"/>
                    </w:rPr>
                  </w:pPr>
                  <w:r w:rsidRPr="005951EB">
                    <w:rPr>
                      <w:rFonts w:ascii="Times New Roman" w:hAnsi="Times New Roman" w:cs="Times New Roman"/>
                      <w:sz w:val="24"/>
                      <w:szCs w:val="24"/>
                      <w:lang w:val="en-GB"/>
                    </w:rPr>
                    <w:t>Identification</w:t>
                  </w:r>
                </w:p>
              </w:txbxContent>
            </v:textbox>
          </v:shape>
        </w:pict>
      </w:r>
      <w:r w:rsidR="005951EB" w:rsidRPr="009A1DFA">
        <w:rPr>
          <w:b/>
        </w:rPr>
        <w:tab/>
      </w:r>
      <w:r w:rsidR="005951EB" w:rsidRPr="009A1DFA">
        <w:rPr>
          <w:b/>
        </w:rPr>
        <w:tab/>
      </w:r>
      <w:r w:rsidR="005951EB" w:rsidRPr="009A1DFA">
        <w:rPr>
          <w:b/>
        </w:rPr>
        <w:tab/>
      </w:r>
      <w:r w:rsidR="005951EB" w:rsidRPr="009A1DFA">
        <w:rPr>
          <w:b/>
        </w:rPr>
        <w:tab/>
      </w:r>
      <w:r w:rsidR="005951EB" w:rsidRPr="009A1DFA">
        <w:rPr>
          <w:b/>
        </w:rPr>
        <w:tab/>
      </w:r>
      <w:r w:rsidR="005951EB" w:rsidRPr="009A1DFA">
        <w:rPr>
          <w:b/>
        </w:rPr>
        <w:tab/>
      </w:r>
      <w:r w:rsidR="005951EB" w:rsidRPr="009A1DFA">
        <w:rPr>
          <w:b/>
        </w:rPr>
        <w:tab/>
      </w:r>
      <w:r w:rsidR="005951EB" w:rsidRPr="009A1DFA">
        <w:rPr>
          <w:b/>
        </w:rPr>
        <w:tab/>
      </w:r>
      <w:r w:rsidR="005951EB" w:rsidRPr="009A1DFA">
        <w:rPr>
          <w:b/>
        </w:rPr>
        <w:tab/>
      </w:r>
    </w:p>
    <w:p w14:paraId="44461CCD" w14:textId="77777777" w:rsidR="009B7B45" w:rsidRPr="009A1DFA" w:rsidRDefault="009B7B45" w:rsidP="00585ADA">
      <w:pPr>
        <w:pStyle w:val="NormalWeb"/>
        <w:tabs>
          <w:tab w:val="left" w:pos="1154"/>
        </w:tabs>
        <w:spacing w:beforeLines="40" w:before="96" w:beforeAutospacing="0" w:afterLines="40" w:after="96" w:afterAutospacing="0"/>
        <w:jc w:val="both"/>
        <w:rPr>
          <w:b/>
        </w:rPr>
      </w:pPr>
    </w:p>
    <w:p w14:paraId="50CBC56E" w14:textId="77777777" w:rsidR="009B7B45" w:rsidRPr="009A1DFA" w:rsidRDefault="009B7B45" w:rsidP="00585ADA">
      <w:pPr>
        <w:pStyle w:val="NormalWeb"/>
        <w:tabs>
          <w:tab w:val="left" w:pos="1154"/>
        </w:tabs>
        <w:spacing w:beforeLines="40" w:before="96" w:beforeAutospacing="0" w:afterLines="40" w:after="96" w:afterAutospacing="0"/>
        <w:jc w:val="both"/>
        <w:rPr>
          <w:b/>
        </w:rPr>
      </w:pPr>
    </w:p>
    <w:p w14:paraId="3461E873" w14:textId="77777777" w:rsidR="00613416" w:rsidRPr="009A1DFA" w:rsidRDefault="00000000" w:rsidP="00585ADA">
      <w:pPr>
        <w:pStyle w:val="NormalWeb"/>
        <w:spacing w:beforeLines="40" w:before="96" w:beforeAutospacing="0" w:afterLines="40" w:after="96" w:afterAutospacing="0"/>
        <w:jc w:val="both"/>
        <w:rPr>
          <w:b/>
        </w:rPr>
      </w:pPr>
      <w:r>
        <w:rPr>
          <w:b/>
          <w:noProof/>
          <w:lang w:val="en-IN" w:eastAsia="en-IN"/>
        </w:rPr>
        <w:pict w14:anchorId="004D7067">
          <v:shapetype id="_x0000_t32" coordsize="21600,21600" o:spt="32" o:oned="t" path="m,l21600,21600e" filled="f">
            <v:path arrowok="t" fillok="f" o:connecttype="none"/>
            <o:lock v:ext="edit" shapetype="t"/>
          </v:shapetype>
          <v:shape id="_x0000_s2066" type="#_x0000_t32" style="position:absolute;left:0;text-align:left;margin-left:248.3pt;margin-top:4.75pt;width:37.85pt;height:.05pt;z-index:251672576" o:connectortype="straight">
            <v:stroke endarrow="block"/>
          </v:shape>
        </w:pict>
      </w:r>
    </w:p>
    <w:p w14:paraId="2B1F554D" w14:textId="77777777" w:rsidR="00613416" w:rsidRPr="009A1DFA" w:rsidRDefault="00613416" w:rsidP="00585ADA">
      <w:pPr>
        <w:pStyle w:val="NormalWeb"/>
        <w:spacing w:beforeLines="40" w:before="96" w:beforeAutospacing="0" w:afterLines="40" w:after="96" w:afterAutospacing="0"/>
        <w:ind w:firstLine="720"/>
        <w:jc w:val="both"/>
        <w:rPr>
          <w:b/>
        </w:rPr>
      </w:pPr>
    </w:p>
    <w:p w14:paraId="6C18366C" w14:textId="77777777" w:rsidR="00613416" w:rsidRPr="009A1DFA" w:rsidRDefault="005951EB" w:rsidP="00585ADA">
      <w:pPr>
        <w:pStyle w:val="NormalWeb"/>
        <w:spacing w:beforeLines="40" w:before="96" w:beforeAutospacing="0" w:afterLines="40" w:after="96" w:afterAutospacing="0"/>
        <w:jc w:val="both"/>
        <w:rPr>
          <w:b/>
        </w:rPr>
      </w:pPr>
      <w:r w:rsidRPr="009A1DFA">
        <w:rPr>
          <w:b/>
        </w:rPr>
        <w:t xml:space="preserve"> </w:t>
      </w:r>
    </w:p>
    <w:p w14:paraId="77ECCA10" w14:textId="77777777" w:rsidR="00613416" w:rsidRPr="009A1DFA" w:rsidRDefault="00000000" w:rsidP="00585ADA">
      <w:pPr>
        <w:pStyle w:val="NormalWeb"/>
        <w:spacing w:beforeLines="40" w:before="96" w:beforeAutospacing="0" w:afterLines="40" w:after="96" w:afterAutospacing="0"/>
        <w:jc w:val="both"/>
        <w:rPr>
          <w:b/>
        </w:rPr>
      </w:pPr>
      <w:r>
        <w:rPr>
          <w:b/>
          <w:noProof/>
          <w:lang w:val="en-IN" w:eastAsia="en-IN"/>
        </w:rPr>
        <w:pict w14:anchorId="35DDD6F1">
          <v:shape id="_x0000_s2063" type="#_x0000_t32" style="position:absolute;left:0;text-align:left;margin-left:149.55pt;margin-top:10.25pt;width:0;height:38.8pt;z-index:251669504" o:connectortype="straight">
            <v:stroke endarrow="block"/>
          </v:shape>
        </w:pict>
      </w:r>
    </w:p>
    <w:p w14:paraId="5210B954" w14:textId="77777777" w:rsidR="009B7B45" w:rsidRPr="009A1DFA" w:rsidRDefault="009B7B45" w:rsidP="00585ADA">
      <w:pPr>
        <w:pStyle w:val="NormalWeb"/>
        <w:spacing w:beforeLines="40" w:before="96" w:beforeAutospacing="0" w:afterLines="40" w:after="96" w:afterAutospacing="0"/>
        <w:jc w:val="both"/>
        <w:rPr>
          <w:b/>
        </w:rPr>
      </w:pPr>
    </w:p>
    <w:p w14:paraId="66A2AC8C" w14:textId="77777777" w:rsidR="005951EB" w:rsidRPr="009A1DFA" w:rsidRDefault="00000000" w:rsidP="00585ADA">
      <w:pPr>
        <w:pStyle w:val="NormalWeb"/>
        <w:spacing w:beforeLines="40" w:before="96" w:beforeAutospacing="0" w:afterLines="40" w:after="96" w:afterAutospacing="0"/>
        <w:jc w:val="both"/>
        <w:rPr>
          <w:b/>
        </w:rPr>
      </w:pPr>
      <w:r>
        <w:rPr>
          <w:b/>
          <w:noProof/>
          <w:lang w:val="en-IN" w:eastAsia="en-IN"/>
        </w:rPr>
        <w:pict w14:anchorId="1A8BA5E2">
          <v:shape id="_x0000_s2057" type="#_x0000_t109" style="position:absolute;left:0;text-align:left;margin-left:72.45pt;margin-top:15.65pt;width:175.85pt;height:35.05pt;z-index:251663360">
            <v:textbox style="mso-next-textbox:#_x0000_s2057">
              <w:txbxContent>
                <w:p w14:paraId="1706D14B" w14:textId="77777777" w:rsidR="005951EB" w:rsidRPr="00C17EC8" w:rsidRDefault="008232D9" w:rsidP="005951EB">
                  <w:pPr>
                    <w:rPr>
                      <w:rFonts w:ascii="Times New Roman" w:hAnsi="Times New Roman" w:cs="Times New Roman"/>
                      <w:lang w:val="en-GB"/>
                    </w:rPr>
                  </w:pPr>
                  <w:r w:rsidRPr="00C17EC8">
                    <w:rPr>
                      <w:rFonts w:ascii="Times New Roman" w:hAnsi="Times New Roman" w:cs="Times New Roman"/>
                      <w:lang w:val="en-GB"/>
                    </w:rPr>
                    <w:t xml:space="preserve">Records screened (n= </w:t>
                  </w:r>
                  <w:proofErr w:type="gramStart"/>
                  <w:r w:rsidR="002848AC" w:rsidRPr="00C17EC8">
                    <w:rPr>
                      <w:rFonts w:ascii="Times New Roman" w:hAnsi="Times New Roman" w:cs="Times New Roman"/>
                      <w:lang w:val="en-GB"/>
                    </w:rPr>
                    <w:t>106</w:t>
                  </w:r>
                  <w:r w:rsidRPr="00C17EC8">
                    <w:rPr>
                      <w:rFonts w:ascii="Times New Roman" w:hAnsi="Times New Roman" w:cs="Times New Roman"/>
                      <w:lang w:val="en-GB"/>
                    </w:rPr>
                    <w:t xml:space="preserve">  )</w:t>
                  </w:r>
                  <w:proofErr w:type="gramEnd"/>
                  <w:r w:rsidR="00C72AAA" w:rsidRPr="00C17EC8">
                    <w:rPr>
                      <w:rFonts w:ascii="Times New Roman" w:hAnsi="Times New Roman" w:cs="Times New Roman"/>
                      <w:lang w:val="en-GB"/>
                    </w:rPr>
                    <w:t xml:space="preserve"> </w:t>
                  </w:r>
                </w:p>
                <w:p w14:paraId="7B97E583" w14:textId="77777777" w:rsidR="009B7B45" w:rsidRDefault="009B7B45" w:rsidP="005951EB">
                  <w:pPr>
                    <w:rPr>
                      <w:lang w:val="en-GB"/>
                    </w:rPr>
                  </w:pPr>
                </w:p>
                <w:p w14:paraId="0D4CC66F" w14:textId="77777777" w:rsidR="009B7B45" w:rsidRPr="008232D9" w:rsidRDefault="009B7B45" w:rsidP="005951EB">
                  <w:pPr>
                    <w:rPr>
                      <w:lang w:val="en-GB"/>
                    </w:rPr>
                  </w:pPr>
                </w:p>
              </w:txbxContent>
            </v:textbox>
          </v:shape>
        </w:pict>
      </w:r>
      <w:r>
        <w:rPr>
          <w:b/>
          <w:noProof/>
          <w:lang w:val="en-IN" w:eastAsia="en-IN"/>
        </w:rPr>
        <w:pict w14:anchorId="7A679827">
          <v:shape id="_x0000_s2059" type="#_x0000_t109" style="position:absolute;left:0;text-align:left;margin-left:286.15pt;margin-top:15.65pt;width:181.85pt;height:35.05pt;z-index:251665408">
            <v:textbox style="mso-next-textbox:#_x0000_s2059">
              <w:txbxContent>
                <w:p w14:paraId="27DE6D0B" w14:textId="77777777" w:rsidR="008232D9" w:rsidRPr="00C17EC8" w:rsidRDefault="008232D9" w:rsidP="008232D9">
                  <w:pPr>
                    <w:rPr>
                      <w:rFonts w:ascii="Times New Roman" w:hAnsi="Times New Roman" w:cs="Times New Roman"/>
                      <w:lang w:val="en-GB"/>
                    </w:rPr>
                  </w:pPr>
                  <w:r w:rsidRPr="00C17EC8">
                    <w:rPr>
                      <w:rFonts w:ascii="Times New Roman" w:hAnsi="Times New Roman" w:cs="Times New Roman"/>
                      <w:lang w:val="en-GB"/>
                    </w:rPr>
                    <w:t xml:space="preserve">Records excluded on abstract (n= </w:t>
                  </w:r>
                  <w:r w:rsidR="002848AC" w:rsidRPr="00C17EC8">
                    <w:rPr>
                      <w:rFonts w:ascii="Times New Roman" w:hAnsi="Times New Roman" w:cs="Times New Roman"/>
                      <w:lang w:val="en-GB"/>
                    </w:rPr>
                    <w:t>16)</w:t>
                  </w:r>
                </w:p>
              </w:txbxContent>
            </v:textbox>
          </v:shape>
        </w:pict>
      </w:r>
      <w:r>
        <w:rPr>
          <w:b/>
          <w:noProof/>
          <w:lang w:val="en-IN" w:eastAsia="en-IN"/>
        </w:rPr>
        <w:pict w14:anchorId="73451430">
          <v:shape id="_x0000_s2056" type="#_x0000_t176" style="position:absolute;left:0;text-align:left;margin-left:11.55pt;margin-top:5pt;width:30pt;height:126.1pt;z-index:251662336" fillcolor="#548dd4 [1951]" strokecolor="#f2f2f2 [3041]" strokeweight="3pt">
            <v:shadow type="perspective" color="#4e6128 [1606]" opacity=".5" offset="1pt" offset2="-1pt"/>
            <v:textbox style="layout-flow:vertical;mso-layout-flow-alt:bottom-to-top;mso-next-textbox:#_x0000_s2056">
              <w:txbxContent>
                <w:p w14:paraId="6CA9E3F2" w14:textId="77777777" w:rsidR="005951EB" w:rsidRPr="005951EB" w:rsidRDefault="005951EB" w:rsidP="008232D9">
                  <w:pPr>
                    <w:jc w:val="center"/>
                    <w:rPr>
                      <w:rFonts w:ascii="Times New Roman" w:hAnsi="Times New Roman" w:cs="Times New Roman"/>
                      <w:sz w:val="24"/>
                      <w:szCs w:val="24"/>
                      <w:lang w:val="en-GB"/>
                    </w:rPr>
                  </w:pPr>
                  <w:r>
                    <w:rPr>
                      <w:rFonts w:ascii="Times New Roman" w:hAnsi="Times New Roman" w:cs="Times New Roman"/>
                      <w:sz w:val="24"/>
                      <w:szCs w:val="24"/>
                      <w:lang w:val="en-GB"/>
                    </w:rPr>
                    <w:t>Screening</w:t>
                  </w:r>
                </w:p>
              </w:txbxContent>
            </v:textbox>
          </v:shape>
        </w:pict>
      </w:r>
    </w:p>
    <w:p w14:paraId="09C25952" w14:textId="77777777" w:rsidR="005951EB" w:rsidRPr="009A1DFA" w:rsidRDefault="00000000" w:rsidP="00585ADA">
      <w:pPr>
        <w:pStyle w:val="NormalWeb"/>
        <w:spacing w:beforeLines="40" w:before="96" w:beforeAutospacing="0" w:afterLines="40" w:after="96" w:afterAutospacing="0"/>
        <w:jc w:val="both"/>
        <w:rPr>
          <w:b/>
        </w:rPr>
      </w:pPr>
      <w:r>
        <w:rPr>
          <w:b/>
          <w:noProof/>
          <w:lang w:val="en-IN" w:eastAsia="en-IN"/>
        </w:rPr>
        <w:pict w14:anchorId="3C2477BD">
          <v:shape id="_x0000_s2067" type="#_x0000_t32" style="position:absolute;left:0;text-align:left;margin-left:248.3pt;margin-top:13.25pt;width:37.85pt;height:0;z-index:251673600" o:connectortype="straight">
            <v:stroke endarrow="block"/>
          </v:shape>
        </w:pict>
      </w:r>
      <w:r w:rsidR="005951EB" w:rsidRPr="009A1DFA">
        <w:rPr>
          <w:b/>
        </w:rPr>
        <w:tab/>
      </w:r>
      <w:r w:rsidR="005951EB" w:rsidRPr="009A1DFA">
        <w:rPr>
          <w:b/>
        </w:rPr>
        <w:tab/>
      </w:r>
      <w:r w:rsidR="00C72AAA" w:rsidRPr="009A1DFA">
        <w:rPr>
          <w:b/>
        </w:rPr>
        <w:t xml:space="preserve">                                                           </w:t>
      </w:r>
    </w:p>
    <w:p w14:paraId="7FE945D3" w14:textId="77777777" w:rsidR="005951EB" w:rsidRPr="009A1DFA" w:rsidRDefault="00000000" w:rsidP="00585ADA">
      <w:pPr>
        <w:pStyle w:val="NormalWeb"/>
        <w:spacing w:beforeLines="40" w:before="96" w:beforeAutospacing="0" w:afterLines="40" w:after="96" w:afterAutospacing="0"/>
        <w:jc w:val="both"/>
        <w:rPr>
          <w:b/>
        </w:rPr>
      </w:pPr>
      <w:r>
        <w:rPr>
          <w:b/>
          <w:noProof/>
          <w:lang w:val="en-IN" w:eastAsia="en-IN"/>
        </w:rPr>
        <w:pict w14:anchorId="5E1262B4">
          <v:shape id="_x0000_s2064" type="#_x0000_t32" style="position:absolute;left:0;text-align:left;margin-left:149.55pt;margin-top:15.85pt;width:0;height:34.3pt;z-index:251670528" o:connectortype="straight">
            <v:stroke endarrow="block"/>
          </v:shape>
        </w:pict>
      </w:r>
    </w:p>
    <w:p w14:paraId="3328A1D8" w14:textId="77777777" w:rsidR="005951EB" w:rsidRPr="009A1DFA" w:rsidRDefault="008232D9" w:rsidP="00585ADA">
      <w:pPr>
        <w:pStyle w:val="NormalWeb"/>
        <w:spacing w:beforeLines="40" w:before="96" w:beforeAutospacing="0" w:afterLines="40" w:after="96" w:afterAutospacing="0"/>
        <w:jc w:val="both"/>
        <w:rPr>
          <w:b/>
        </w:rPr>
      </w:pPr>
      <w:r w:rsidRPr="009A1DFA">
        <w:rPr>
          <w:b/>
        </w:rPr>
        <w:tab/>
      </w:r>
      <w:r w:rsidRPr="009A1DFA">
        <w:rPr>
          <w:b/>
        </w:rPr>
        <w:tab/>
      </w:r>
      <w:r w:rsidR="00C72AAA" w:rsidRPr="009A1DFA">
        <w:rPr>
          <w:b/>
        </w:rPr>
        <w:t xml:space="preserve">                                        </w:t>
      </w:r>
    </w:p>
    <w:p w14:paraId="38D5AE6A" w14:textId="77777777" w:rsidR="009B7B45" w:rsidRPr="009A1DFA" w:rsidRDefault="00000000" w:rsidP="00585ADA">
      <w:pPr>
        <w:pStyle w:val="NormalWeb"/>
        <w:spacing w:beforeLines="40" w:before="96" w:beforeAutospacing="0" w:afterLines="40" w:after="96" w:afterAutospacing="0"/>
        <w:jc w:val="both"/>
        <w:rPr>
          <w:b/>
        </w:rPr>
      </w:pPr>
      <w:r>
        <w:rPr>
          <w:b/>
          <w:noProof/>
          <w:lang w:val="en-IN" w:eastAsia="en-IN"/>
        </w:rPr>
        <w:pict w14:anchorId="02617374">
          <v:shape id="_x0000_s2060" type="#_x0000_t109" style="position:absolute;left:0;text-align:left;margin-left:288.95pt;margin-top:12.95pt;width:175.85pt;height:35.05pt;z-index:251666432">
            <v:textbox style="mso-next-textbox:#_x0000_s2060">
              <w:txbxContent>
                <w:p w14:paraId="677C3A78" w14:textId="77777777" w:rsidR="008232D9" w:rsidRPr="00C17EC8" w:rsidRDefault="002848AC" w:rsidP="008232D9">
                  <w:pPr>
                    <w:rPr>
                      <w:rFonts w:ascii="Times New Roman" w:hAnsi="Times New Roman" w:cs="Times New Roman"/>
                      <w:lang w:val="en-GB"/>
                    </w:rPr>
                  </w:pPr>
                  <w:r w:rsidRPr="00C17EC8">
                    <w:rPr>
                      <w:rFonts w:ascii="Times New Roman" w:hAnsi="Times New Roman" w:cs="Times New Roman"/>
                      <w:lang w:val="en-GB"/>
                    </w:rPr>
                    <w:t xml:space="preserve">9 reports not retrieved on full review </w:t>
                  </w:r>
                </w:p>
              </w:txbxContent>
            </v:textbox>
          </v:shape>
        </w:pict>
      </w:r>
      <w:r>
        <w:rPr>
          <w:b/>
          <w:noProof/>
          <w:lang w:val="en-IN" w:eastAsia="en-IN"/>
        </w:rPr>
        <w:pict w14:anchorId="6F96D75E">
          <v:shape id="_x0000_s2058" type="#_x0000_t109" style="position:absolute;left:0;text-align:left;margin-left:72.45pt;margin-top:12.95pt;width:175.85pt;height:35.05pt;z-index:251664384">
            <v:textbox style="mso-next-textbox:#_x0000_s2058">
              <w:txbxContent>
                <w:p w14:paraId="4B4F4530" w14:textId="77777777" w:rsidR="008232D9" w:rsidRPr="008232D9" w:rsidRDefault="002848AC" w:rsidP="008232D9">
                  <w:pPr>
                    <w:rPr>
                      <w:lang w:val="en-GB"/>
                    </w:rPr>
                  </w:pPr>
                  <w:r w:rsidRPr="00C17EC8">
                    <w:rPr>
                      <w:rFonts w:ascii="Times New Roman" w:hAnsi="Times New Roman" w:cs="Times New Roman"/>
                      <w:lang w:val="en-GB"/>
                    </w:rPr>
                    <w:t>10</w:t>
                  </w:r>
                  <w:r w:rsidR="00781A53" w:rsidRPr="00C17EC8">
                    <w:rPr>
                      <w:rFonts w:ascii="Times New Roman" w:hAnsi="Times New Roman" w:cs="Times New Roman"/>
                      <w:lang w:val="en-GB"/>
                    </w:rPr>
                    <w:t xml:space="preserve"> A</w:t>
                  </w:r>
                  <w:r w:rsidR="008232D9" w:rsidRPr="00C17EC8">
                    <w:rPr>
                      <w:rFonts w:ascii="Times New Roman" w:hAnsi="Times New Roman" w:cs="Times New Roman"/>
                      <w:lang w:val="en-GB"/>
                    </w:rPr>
                    <w:t xml:space="preserve">rticles excluded due to </w:t>
                  </w:r>
                  <w:proofErr w:type="spellStart"/>
                  <w:r w:rsidR="008232D9" w:rsidRPr="00C17EC8">
                    <w:rPr>
                      <w:rFonts w:ascii="Times New Roman" w:hAnsi="Times New Roman" w:cs="Times New Roman"/>
                      <w:lang w:val="en-GB"/>
                    </w:rPr>
                    <w:t>insuffiecent</w:t>
                  </w:r>
                  <w:proofErr w:type="spellEnd"/>
                  <w:r w:rsidR="008232D9" w:rsidRPr="00C17EC8">
                    <w:rPr>
                      <w:rFonts w:ascii="Times New Roman" w:hAnsi="Times New Roman" w:cs="Times New Roman"/>
                      <w:lang w:val="en-GB"/>
                    </w:rPr>
                    <w:t xml:space="preserve"> review on behaviour</w:t>
                  </w:r>
                  <w:r w:rsidR="008232D9">
                    <w:rPr>
                      <w:lang w:val="en-GB"/>
                    </w:rPr>
                    <w:t xml:space="preserve"> </w:t>
                  </w:r>
                  <w:r w:rsidR="00C72AAA">
                    <w:rPr>
                      <w:lang w:val="en-GB"/>
                    </w:rPr>
                    <w:t xml:space="preserve">                   </w:t>
                  </w:r>
                  <w:r w:rsidR="008232D9">
                    <w:rPr>
                      <w:lang w:val="en-GB"/>
                    </w:rPr>
                    <w:t xml:space="preserve">and </w:t>
                  </w:r>
                </w:p>
              </w:txbxContent>
            </v:textbox>
          </v:shape>
        </w:pict>
      </w:r>
    </w:p>
    <w:p w14:paraId="7890F544" w14:textId="77777777" w:rsidR="005951EB" w:rsidRPr="009A1DFA" w:rsidRDefault="00000000" w:rsidP="00585ADA">
      <w:pPr>
        <w:pStyle w:val="NormalWeb"/>
        <w:spacing w:beforeLines="40" w:before="96" w:beforeAutospacing="0" w:afterLines="40" w:after="96" w:afterAutospacing="0"/>
        <w:jc w:val="both"/>
        <w:rPr>
          <w:b/>
        </w:rPr>
      </w:pPr>
      <w:r>
        <w:rPr>
          <w:b/>
          <w:noProof/>
          <w:lang w:val="en-IN" w:eastAsia="en-IN"/>
        </w:rPr>
        <w:pict w14:anchorId="08D13421">
          <v:shape id="_x0000_s2068" type="#_x0000_t32" style="position:absolute;left:0;text-align:left;margin-left:251.1pt;margin-top:11.3pt;width:37.85pt;height:0;z-index:251674624" o:connectortype="straight">
            <v:stroke endarrow="block"/>
          </v:shape>
        </w:pict>
      </w:r>
    </w:p>
    <w:p w14:paraId="6C1E2CF5" w14:textId="77777777" w:rsidR="005951EB" w:rsidRPr="009A1DFA" w:rsidRDefault="00000000" w:rsidP="00585ADA">
      <w:pPr>
        <w:pStyle w:val="NormalWeb"/>
        <w:spacing w:beforeLines="40" w:before="96" w:beforeAutospacing="0" w:afterLines="40" w:after="96" w:afterAutospacing="0"/>
        <w:jc w:val="both"/>
        <w:rPr>
          <w:b/>
        </w:rPr>
      </w:pPr>
      <w:r>
        <w:rPr>
          <w:b/>
          <w:noProof/>
          <w:lang w:val="en-IN" w:eastAsia="en-IN"/>
        </w:rPr>
        <w:pict w14:anchorId="5CC98DA9">
          <v:shape id="_x0000_s2065" type="#_x0000_t32" style="position:absolute;left:0;text-align:left;margin-left:149.55pt;margin-top:15.3pt;width:.05pt;height:48.85pt;z-index:251671552" o:connectortype="straight">
            <v:stroke endarrow="block"/>
          </v:shape>
        </w:pict>
      </w:r>
    </w:p>
    <w:p w14:paraId="5CAFAB90" w14:textId="77777777" w:rsidR="008232D9" w:rsidRPr="009A1DFA" w:rsidRDefault="00000000" w:rsidP="00585ADA">
      <w:pPr>
        <w:pStyle w:val="NormalWeb"/>
        <w:spacing w:beforeLines="40" w:before="96" w:beforeAutospacing="0" w:afterLines="40" w:after="96" w:afterAutospacing="0"/>
        <w:jc w:val="both"/>
        <w:rPr>
          <w:b/>
        </w:rPr>
      </w:pPr>
      <w:r>
        <w:rPr>
          <w:b/>
          <w:noProof/>
          <w:lang w:val="en-IN" w:eastAsia="en-IN"/>
        </w:rPr>
        <w:pict w14:anchorId="3B4C64A9">
          <v:shape id="_x0000_s2061" type="#_x0000_t176" style="position:absolute;left:0;text-align:left;margin-left:11.55pt;margin-top:12.4pt;width:30pt;height:121.85pt;z-index:251667456" fillcolor="#548dd4 [1951]" strokecolor="#f2f2f2 [3041]" strokeweight="3pt">
            <v:shadow type="perspective" color="#4e6128 [1606]" opacity=".5" offset="1pt" offset2="-1pt"/>
            <v:textbox style="layout-flow:vertical;mso-layout-flow-alt:bottom-to-top;mso-next-textbox:#_x0000_s2061">
              <w:txbxContent>
                <w:p w14:paraId="0D048368" w14:textId="77777777" w:rsidR="008232D9" w:rsidRPr="005951EB" w:rsidRDefault="008232D9" w:rsidP="008232D9">
                  <w:pPr>
                    <w:jc w:val="center"/>
                    <w:rPr>
                      <w:rFonts w:ascii="Times New Roman" w:hAnsi="Times New Roman" w:cs="Times New Roman"/>
                      <w:sz w:val="24"/>
                      <w:szCs w:val="24"/>
                      <w:lang w:val="en-GB"/>
                    </w:rPr>
                  </w:pPr>
                  <w:r>
                    <w:rPr>
                      <w:rFonts w:ascii="Times New Roman" w:hAnsi="Times New Roman" w:cs="Times New Roman"/>
                      <w:sz w:val="24"/>
                      <w:szCs w:val="24"/>
                      <w:lang w:val="en-GB"/>
                    </w:rPr>
                    <w:t>Included</w:t>
                  </w:r>
                </w:p>
              </w:txbxContent>
            </v:textbox>
          </v:shape>
        </w:pict>
      </w:r>
    </w:p>
    <w:p w14:paraId="5A559731" w14:textId="77777777" w:rsidR="008232D9" w:rsidRPr="009A1DFA" w:rsidRDefault="008232D9" w:rsidP="00585ADA">
      <w:pPr>
        <w:pStyle w:val="NormalWeb"/>
        <w:spacing w:beforeLines="40" w:before="96" w:beforeAutospacing="0" w:afterLines="40" w:after="96" w:afterAutospacing="0"/>
        <w:jc w:val="both"/>
        <w:rPr>
          <w:b/>
        </w:rPr>
      </w:pPr>
    </w:p>
    <w:p w14:paraId="20961183" w14:textId="77777777" w:rsidR="009B7B45" w:rsidRPr="009A1DFA" w:rsidRDefault="00000000" w:rsidP="00585ADA">
      <w:pPr>
        <w:pStyle w:val="NormalWeb"/>
        <w:spacing w:beforeLines="40" w:before="96" w:beforeAutospacing="0" w:afterLines="40" w:after="96" w:afterAutospacing="0"/>
        <w:jc w:val="both"/>
        <w:rPr>
          <w:b/>
        </w:rPr>
      </w:pPr>
      <w:r>
        <w:rPr>
          <w:b/>
          <w:noProof/>
          <w:lang w:val="en-IN" w:eastAsia="en-IN"/>
        </w:rPr>
        <w:pict w14:anchorId="7CBE802E">
          <v:shape id="_x0000_s2062" type="#_x0000_t109" style="position:absolute;left:0;text-align:left;margin-left:75.25pt;margin-top:8.35pt;width:175.85pt;height:30.45pt;z-index:251668480">
            <v:textbox style="mso-next-textbox:#_x0000_s2062">
              <w:txbxContent>
                <w:p w14:paraId="74E78DF1" w14:textId="77777777" w:rsidR="008232D9" w:rsidRPr="00C17EC8" w:rsidRDefault="008232D9" w:rsidP="008232D9">
                  <w:pPr>
                    <w:rPr>
                      <w:rFonts w:ascii="Times New Roman" w:hAnsi="Times New Roman" w:cs="Times New Roman"/>
                      <w:lang w:val="en-GB"/>
                    </w:rPr>
                  </w:pPr>
                  <w:r w:rsidRPr="00C17EC8">
                    <w:rPr>
                      <w:rFonts w:ascii="Times New Roman" w:hAnsi="Times New Roman" w:cs="Times New Roman"/>
                      <w:lang w:val="en-GB"/>
                    </w:rPr>
                    <w:t xml:space="preserve">Studies included in </w:t>
                  </w:r>
                  <w:proofErr w:type="gramStart"/>
                  <w:r w:rsidR="002B5448" w:rsidRPr="00C17EC8">
                    <w:rPr>
                      <w:rFonts w:ascii="Times New Roman" w:hAnsi="Times New Roman" w:cs="Times New Roman"/>
                      <w:lang w:val="en-GB"/>
                    </w:rPr>
                    <w:t>review  (</w:t>
                  </w:r>
                  <w:proofErr w:type="gramEnd"/>
                  <w:r w:rsidR="002B5448" w:rsidRPr="00C17EC8">
                    <w:rPr>
                      <w:rFonts w:ascii="Times New Roman" w:hAnsi="Times New Roman" w:cs="Times New Roman"/>
                      <w:lang w:val="en-GB"/>
                    </w:rPr>
                    <w:t>n=7</w:t>
                  </w:r>
                  <w:r w:rsidR="002848AC" w:rsidRPr="00C17EC8">
                    <w:rPr>
                      <w:rFonts w:ascii="Times New Roman" w:hAnsi="Times New Roman" w:cs="Times New Roman"/>
                      <w:lang w:val="en-GB"/>
                    </w:rPr>
                    <w:t>1</w:t>
                  </w:r>
                  <w:r w:rsidRPr="00C17EC8">
                    <w:rPr>
                      <w:rFonts w:ascii="Times New Roman" w:hAnsi="Times New Roman" w:cs="Times New Roman"/>
                      <w:lang w:val="en-GB"/>
                    </w:rPr>
                    <w:t>)</w:t>
                  </w:r>
                </w:p>
              </w:txbxContent>
            </v:textbox>
          </v:shape>
        </w:pict>
      </w:r>
    </w:p>
    <w:p w14:paraId="382A98D8" w14:textId="77777777" w:rsidR="009B7B45" w:rsidRPr="009A1DFA" w:rsidRDefault="009B7B45" w:rsidP="00585ADA">
      <w:pPr>
        <w:pStyle w:val="NormalWeb"/>
        <w:spacing w:beforeLines="40" w:before="96" w:beforeAutospacing="0" w:afterLines="40" w:after="96" w:afterAutospacing="0"/>
        <w:jc w:val="both"/>
        <w:rPr>
          <w:b/>
        </w:rPr>
      </w:pPr>
    </w:p>
    <w:p w14:paraId="55367088" w14:textId="77777777" w:rsidR="009B7B45" w:rsidRPr="009A1DFA" w:rsidRDefault="009B7B45" w:rsidP="00585ADA">
      <w:pPr>
        <w:pStyle w:val="NormalWeb"/>
        <w:spacing w:beforeLines="40" w:before="96" w:beforeAutospacing="0" w:afterLines="40" w:after="96" w:afterAutospacing="0"/>
        <w:jc w:val="both"/>
        <w:rPr>
          <w:b/>
        </w:rPr>
      </w:pPr>
    </w:p>
    <w:p w14:paraId="2487F7FC" w14:textId="77777777" w:rsidR="00B53F28" w:rsidRPr="009A1DFA" w:rsidRDefault="00B53F28" w:rsidP="00585ADA">
      <w:pPr>
        <w:pStyle w:val="NormalWeb"/>
        <w:spacing w:beforeLines="40" w:before="96" w:beforeAutospacing="0" w:afterLines="40" w:after="96" w:afterAutospacing="0"/>
        <w:jc w:val="both"/>
        <w:rPr>
          <w:b/>
        </w:rPr>
      </w:pPr>
    </w:p>
    <w:p w14:paraId="0F414B94" w14:textId="77777777" w:rsidR="00A05757" w:rsidRPr="009A1DFA" w:rsidRDefault="00A05757" w:rsidP="00585ADA">
      <w:pPr>
        <w:pStyle w:val="NormalWeb"/>
        <w:spacing w:beforeLines="40" w:before="96" w:beforeAutospacing="0" w:afterLines="40" w:after="96" w:afterAutospacing="0"/>
        <w:jc w:val="both"/>
        <w:rPr>
          <w:b/>
        </w:rPr>
      </w:pPr>
    </w:p>
    <w:p w14:paraId="56FD15C0" w14:textId="77777777" w:rsidR="00A05757" w:rsidRDefault="00A05757" w:rsidP="00585ADA">
      <w:pPr>
        <w:pStyle w:val="NormalWeb"/>
        <w:spacing w:beforeLines="40" w:before="96" w:beforeAutospacing="0" w:afterLines="40" w:after="96" w:afterAutospacing="0"/>
        <w:jc w:val="both"/>
        <w:rPr>
          <w:b/>
        </w:rPr>
      </w:pPr>
    </w:p>
    <w:p w14:paraId="4D24AF77" w14:textId="172DC132" w:rsidR="008B1235" w:rsidRPr="009A1DFA" w:rsidRDefault="008B1235" w:rsidP="00585ADA">
      <w:pPr>
        <w:pStyle w:val="NormalWeb"/>
        <w:spacing w:beforeLines="40" w:before="96" w:beforeAutospacing="0" w:afterLines="40" w:after="96" w:afterAutospacing="0"/>
        <w:jc w:val="both"/>
        <w:rPr>
          <w:b/>
        </w:rPr>
      </w:pPr>
      <w:r>
        <w:rPr>
          <w:b/>
        </w:rPr>
        <w:t xml:space="preserve">FIG 2. </w:t>
      </w:r>
      <w:r w:rsidR="005525C9">
        <w:rPr>
          <w:b/>
        </w:rPr>
        <w:t>Study protocol</w:t>
      </w:r>
    </w:p>
    <w:p w14:paraId="46384E4D" w14:textId="77777777" w:rsidR="0030694A" w:rsidRPr="009A1DFA" w:rsidRDefault="0030694A" w:rsidP="00585ADA">
      <w:pPr>
        <w:pStyle w:val="NormalWeb"/>
        <w:spacing w:beforeLines="40" w:before="96" w:beforeAutospacing="0" w:afterLines="40" w:after="96" w:afterAutospacing="0"/>
        <w:jc w:val="both"/>
        <w:rPr>
          <w:b/>
        </w:rPr>
      </w:pPr>
    </w:p>
    <w:p w14:paraId="7920BADC" w14:textId="77777777" w:rsidR="0046774A" w:rsidRPr="009A1DFA" w:rsidRDefault="0046774A" w:rsidP="00585ADA">
      <w:pPr>
        <w:pStyle w:val="NormalWeb"/>
        <w:spacing w:beforeLines="40" w:before="96" w:beforeAutospacing="0" w:afterLines="40" w:after="96" w:afterAutospacing="0"/>
        <w:jc w:val="both"/>
        <w:rPr>
          <w:b/>
        </w:rPr>
      </w:pPr>
      <w:r w:rsidRPr="009A1DFA">
        <w:rPr>
          <w:b/>
        </w:rPr>
        <w:t>Results and Discussion:</w:t>
      </w:r>
    </w:p>
    <w:p w14:paraId="77AD706C" w14:textId="77777777" w:rsidR="00790D78" w:rsidRPr="009A1DFA" w:rsidRDefault="00790D78" w:rsidP="00585ADA">
      <w:pPr>
        <w:pStyle w:val="NormalWeb"/>
        <w:shd w:val="clear" w:color="auto" w:fill="FFFFFF"/>
        <w:spacing w:beforeLines="40" w:before="96" w:beforeAutospacing="0" w:afterLines="40" w:after="96" w:afterAutospacing="0"/>
        <w:jc w:val="both"/>
        <w:rPr>
          <w:color w:val="333333"/>
        </w:rPr>
      </w:pPr>
      <w:r w:rsidRPr="009A1DFA">
        <w:t xml:space="preserve">Agriculture is considered as the backbone of the Indian economy as it </w:t>
      </w:r>
      <w:r w:rsidRPr="009A1DFA">
        <w:rPr>
          <w:color w:val="333333"/>
        </w:rPr>
        <w:t>provides livelihood support to about 42.3 per cent of the population and has a share of 18.2 per cent in the country’s GDP at current prices. The sector has been buoyant, which is evident from the fact that it has registered an average annual growth rate of 4.18 per cent at constant prices over the last five years and as per provisional estimates for 2023-24, the growth rate of the agricult</w:t>
      </w:r>
      <w:r w:rsidR="00AF437A" w:rsidRPr="009A1DFA">
        <w:rPr>
          <w:color w:val="333333"/>
        </w:rPr>
        <w:t xml:space="preserve">ure sector stood at 1.4 percent </w:t>
      </w:r>
      <w:r w:rsidRPr="009A1DFA">
        <w:rPr>
          <w:color w:val="4F81BD" w:themeColor="accent1"/>
        </w:rPr>
        <w:t>(PIB, July, 2024).</w:t>
      </w:r>
      <w:r w:rsidRPr="009A1DFA">
        <w:rPr>
          <w:color w:val="333333"/>
        </w:rPr>
        <w:t xml:space="preserve">Economic Survey states that the Investment in agriculture </w:t>
      </w:r>
      <w:r w:rsidRPr="009A1DFA">
        <w:rPr>
          <w:color w:val="333333"/>
        </w:rPr>
        <w:lastRenderedPageBreak/>
        <w:t>research and support of enabling policies have contributed substantially to food security. It is estimated that for every rupee invested in agricultural research (including education), there is a payoff of ₹13.</w:t>
      </w:r>
      <w:r w:rsidR="006B19EC" w:rsidRPr="009A1DFA">
        <w:rPr>
          <w:color w:val="333333"/>
        </w:rPr>
        <w:t xml:space="preserve">85. In 2022-23, ₹19.65 Thousand </w:t>
      </w:r>
      <w:r w:rsidRPr="009A1DFA">
        <w:rPr>
          <w:color w:val="333333"/>
        </w:rPr>
        <w:t>Crore</w:t>
      </w:r>
      <w:r w:rsidR="006B19EC" w:rsidRPr="009A1DFA">
        <w:rPr>
          <w:color w:val="333333"/>
        </w:rPr>
        <w:t>s</w:t>
      </w:r>
      <w:r w:rsidRPr="009A1DFA">
        <w:rPr>
          <w:color w:val="333333"/>
        </w:rPr>
        <w:t xml:space="preserve"> was spent on agriculture research.</w:t>
      </w:r>
      <w:r w:rsidR="00AF437A" w:rsidRPr="009A1DFA">
        <w:t xml:space="preserve"> </w:t>
      </w:r>
      <w:r w:rsidR="00AF437A" w:rsidRPr="009A1DFA">
        <w:rPr>
          <w:color w:val="4F81BD" w:themeColor="accent1"/>
        </w:rPr>
        <w:t>(Economic Survey 2023-24).</w:t>
      </w:r>
    </w:p>
    <w:p w14:paraId="53BECBA8" w14:textId="77777777" w:rsidR="00C17EC8" w:rsidRPr="009A1DFA" w:rsidRDefault="00BA1D37" w:rsidP="00585ADA">
      <w:pPr>
        <w:pStyle w:val="NormalWeb"/>
        <w:spacing w:beforeLines="40" w:before="96" w:beforeAutospacing="0" w:afterLines="40" w:after="96" w:afterAutospacing="0"/>
        <w:jc w:val="both"/>
      </w:pPr>
      <w:r w:rsidRPr="009A1DFA">
        <w:t xml:space="preserve">In India, the total operational landholdings were 138.35 million hectares, with an average landholding size of 1.15 hectares. Small and marginal holdings together constituted 86.08% of total land holdings </w:t>
      </w:r>
      <w:r w:rsidRPr="009A1DFA">
        <w:rPr>
          <w:color w:val="4F81BD" w:themeColor="accent1"/>
        </w:rPr>
        <w:t>(Agricultural Census, 2016).</w:t>
      </w:r>
      <w:r w:rsidR="00DC0047" w:rsidRPr="009A1DFA">
        <w:t xml:space="preserve"> India is the second-largest country in the world after China, with over 92 million small holdings which account for 21% of the 450 million small holdings worldwide. The country's operational landholdings increased </w:t>
      </w:r>
      <w:r w:rsidR="00906D4F" w:rsidRPr="009A1DFA">
        <w:t>over the</w:t>
      </w:r>
      <w:r w:rsidR="00DC0047" w:rsidRPr="009A1DFA">
        <w:t xml:space="preserve"> years, indicating a decline in the average landholding size </w:t>
      </w:r>
      <w:r w:rsidR="00DC0047" w:rsidRPr="009A1DFA">
        <w:rPr>
          <w:color w:val="4F81BD" w:themeColor="accent1"/>
        </w:rPr>
        <w:t>(</w:t>
      </w:r>
      <w:proofErr w:type="spellStart"/>
      <w:r w:rsidR="00DC0047" w:rsidRPr="009A1DFA">
        <w:rPr>
          <w:color w:val="4F81BD" w:themeColor="accent1"/>
        </w:rPr>
        <w:t>Nagayets</w:t>
      </w:r>
      <w:proofErr w:type="spellEnd"/>
      <w:r w:rsidR="00DC0047" w:rsidRPr="009A1DFA">
        <w:rPr>
          <w:color w:val="4F81BD" w:themeColor="accent1"/>
        </w:rPr>
        <w:t xml:space="preserve"> O. 2005).</w:t>
      </w:r>
      <w:r w:rsidRPr="009A1DFA">
        <w:t xml:space="preserve">Agriculture sectors play a vital role in ensuring food security, rural livelihoods, and economic development in India. </w:t>
      </w:r>
    </w:p>
    <w:p w14:paraId="5997BF93" w14:textId="77777777" w:rsidR="00C17EC8" w:rsidRPr="009A1DFA" w:rsidRDefault="00BA1D37" w:rsidP="00585ADA">
      <w:pPr>
        <w:pStyle w:val="NormalWeb"/>
        <w:spacing w:beforeLines="40" w:before="96" w:beforeAutospacing="0" w:afterLines="40" w:after="96" w:afterAutospacing="0"/>
        <w:jc w:val="both"/>
      </w:pPr>
      <w:r w:rsidRPr="009A1DFA">
        <w:t xml:space="preserve">Small and marginal farmers often face significant challenges in their agricultural and activities. One critical issue is limited market access, which leads to lower price realization for their produce. Additionally, many individuals lack access to financial services like credit, insurance, and savings facilities </w:t>
      </w:r>
      <w:r w:rsidRPr="009A1DFA">
        <w:rPr>
          <w:color w:val="4F81BD" w:themeColor="accent1"/>
        </w:rPr>
        <w:t>(</w:t>
      </w:r>
      <w:proofErr w:type="spellStart"/>
      <w:r w:rsidRPr="009A1DFA">
        <w:rPr>
          <w:color w:val="4F81BD" w:themeColor="accent1"/>
        </w:rPr>
        <w:t>Akanchha</w:t>
      </w:r>
      <w:proofErr w:type="spellEnd"/>
      <w:r w:rsidRPr="009A1DFA">
        <w:rPr>
          <w:color w:val="4F81BD" w:themeColor="accent1"/>
        </w:rPr>
        <w:t xml:space="preserve"> Singh and Kameswari, </w:t>
      </w:r>
      <w:proofErr w:type="gramStart"/>
      <w:r w:rsidRPr="009A1DFA">
        <w:rPr>
          <w:color w:val="4F81BD" w:themeColor="accent1"/>
        </w:rPr>
        <w:t>2023 ;</w:t>
      </w:r>
      <w:proofErr w:type="gramEnd"/>
      <w:r w:rsidRPr="009A1DFA">
        <w:rPr>
          <w:color w:val="4F81BD" w:themeColor="accent1"/>
        </w:rPr>
        <w:t xml:space="preserve"> Chauhan </w:t>
      </w:r>
      <w:r w:rsidRPr="009A1DFA">
        <w:rPr>
          <w:i/>
          <w:color w:val="4F81BD" w:themeColor="accent1"/>
        </w:rPr>
        <w:t>et al</w:t>
      </w:r>
      <w:r w:rsidRPr="009A1DFA">
        <w:rPr>
          <w:color w:val="4F81BD" w:themeColor="accent1"/>
        </w:rPr>
        <w:t xml:space="preserve">., 2022). </w:t>
      </w:r>
      <w:r w:rsidRPr="009A1DFA">
        <w:t xml:space="preserve">Another notable challenge is the technology gap prevalent among small-scale producers </w:t>
      </w:r>
      <w:r w:rsidRPr="009A1DFA">
        <w:rPr>
          <w:color w:val="4F81BD" w:themeColor="accent1"/>
        </w:rPr>
        <w:t xml:space="preserve">(Kamala </w:t>
      </w:r>
      <w:r w:rsidRPr="009A1DFA">
        <w:rPr>
          <w:i/>
          <w:color w:val="4F81BD" w:themeColor="accent1"/>
        </w:rPr>
        <w:t>et al.,</w:t>
      </w:r>
      <w:r w:rsidRPr="009A1DFA">
        <w:rPr>
          <w:color w:val="4F81BD" w:themeColor="accent1"/>
        </w:rPr>
        <w:t xml:space="preserve"> 2018).</w:t>
      </w:r>
      <w:r w:rsidRPr="009A1DFA">
        <w:t xml:space="preserve"> Adopting modern agricultural technologies remains limited due to a lack of knowledge and resources in these communities. Moreover, inadequate infrastructure, encompassing aspects such as storage, transportation, and processing facilities, further complicates the efficient handling and marketing of agricultural products </w:t>
      </w:r>
      <w:r w:rsidRPr="009A1DFA">
        <w:rPr>
          <w:color w:val="4F81BD" w:themeColor="accent1"/>
        </w:rPr>
        <w:t xml:space="preserve">(Noopur </w:t>
      </w:r>
      <w:r w:rsidRPr="009A1DFA">
        <w:rPr>
          <w:i/>
          <w:color w:val="4F81BD" w:themeColor="accent1"/>
        </w:rPr>
        <w:t>et al</w:t>
      </w:r>
      <w:r w:rsidRPr="009A1DFA">
        <w:rPr>
          <w:color w:val="4F81BD" w:themeColor="accent1"/>
        </w:rPr>
        <w:t>., 2023).</w:t>
      </w:r>
      <w:r w:rsidRPr="009A1DFA">
        <w:t xml:space="preserve"> Socio</w:t>
      </w:r>
      <w:r w:rsidR="00DC0047" w:rsidRPr="009A1DFA">
        <w:t xml:space="preserve"> </w:t>
      </w:r>
      <w:r w:rsidRPr="009A1DFA">
        <w:t xml:space="preserve">cultural practices and norms sometimes prevent the adoption of new technologies in farming practices </w:t>
      </w:r>
      <w:r w:rsidRPr="009A1DFA">
        <w:rPr>
          <w:color w:val="4F81BD" w:themeColor="accent1"/>
        </w:rPr>
        <w:t xml:space="preserve">(Morgan </w:t>
      </w:r>
      <w:r w:rsidRPr="009A1DFA">
        <w:rPr>
          <w:i/>
          <w:color w:val="4F81BD" w:themeColor="accent1"/>
        </w:rPr>
        <w:t xml:space="preserve">et al., </w:t>
      </w:r>
      <w:r w:rsidRPr="009A1DFA">
        <w:rPr>
          <w:color w:val="4F81BD" w:themeColor="accent1"/>
        </w:rPr>
        <w:t>2017)</w:t>
      </w:r>
      <w:r w:rsidRPr="009A1DFA">
        <w:t xml:space="preserve">. The fragmented holdings and disorganization of small and marginal farmers render them uncompetitive in getting the best value of their produce. </w:t>
      </w:r>
    </w:p>
    <w:p w14:paraId="2D9D588C" w14:textId="77777777" w:rsidR="00FB0EE4" w:rsidRPr="009A1DFA" w:rsidRDefault="00BA1D37" w:rsidP="00585ADA">
      <w:pPr>
        <w:pStyle w:val="NormalWeb"/>
        <w:spacing w:beforeLines="40" w:before="96" w:beforeAutospacing="0" w:afterLines="40" w:after="96" w:afterAutospacing="0"/>
        <w:jc w:val="both"/>
        <w:rPr>
          <w:color w:val="4F81BD" w:themeColor="accent1"/>
        </w:rPr>
      </w:pPr>
      <w:r w:rsidRPr="009A1DFA">
        <w:t xml:space="preserve">The lower scale of operations, poor access to cheaper credit, inadequate access to market information, inadequate farming and extension services, low level of technology adoption, lack of capital and poor business skills, inadequate storage and transport facilities are the key concerns related to small farm holders </w:t>
      </w:r>
      <w:r w:rsidRPr="009A1DFA">
        <w:rPr>
          <w:color w:val="4F81BD" w:themeColor="accent1"/>
        </w:rPr>
        <w:t>(Dev 2005, NABARD 2018).</w:t>
      </w:r>
      <w:r w:rsidRPr="009A1DFA">
        <w:t xml:space="preserve"> Additionally, they are exploited by middlemen when it comes to obtain inputs and to market their produce, which ultimately prevents them from taking advantage of economies of scale </w:t>
      </w:r>
      <w:r w:rsidRPr="009A1DFA">
        <w:rPr>
          <w:color w:val="4F81BD" w:themeColor="accent1"/>
        </w:rPr>
        <w:t>(Kumari. 2023).</w:t>
      </w:r>
      <w:r w:rsidRPr="009A1DFA">
        <w:t xml:space="preserve"> These constraints restrict their capacity to invest in farming and activities and manage risks effectively.</w:t>
      </w:r>
    </w:p>
    <w:p w14:paraId="085ACD27" w14:textId="77777777" w:rsidR="00DC0047" w:rsidRPr="009A1DFA" w:rsidRDefault="00BA1D37" w:rsidP="00585ADA">
      <w:pPr>
        <w:pStyle w:val="NormalWeb"/>
        <w:spacing w:beforeLines="40" w:before="96" w:beforeAutospacing="0" w:afterLines="40" w:after="96" w:afterAutospacing="0"/>
        <w:jc w:val="both"/>
      </w:pPr>
      <w:r w:rsidRPr="009A1DFA">
        <w:t xml:space="preserve">These multifaceted challenges collectively impact the livelihoods and economic prospects of small and marginal farmers in India. Historically, cooperative societies were promoted in agriculture to address these challenges and uplift the farming community. However, it has become evident that this traditional cooperative model faced several limitations, including difficulties accessing capital, complex management structures, limited specialization, mismanagement risks, and dependency on government support. Inequality among members, a lack of entrepreneurship, and vulnerability to external factors are also concerns </w:t>
      </w:r>
      <w:r w:rsidRPr="009A1DFA">
        <w:rPr>
          <w:color w:val="4F81BD" w:themeColor="accent1"/>
        </w:rPr>
        <w:t xml:space="preserve">(Singh </w:t>
      </w:r>
      <w:r w:rsidRPr="009A1DFA">
        <w:rPr>
          <w:i/>
          <w:color w:val="4F81BD" w:themeColor="accent1"/>
        </w:rPr>
        <w:t>et al.,</w:t>
      </w:r>
      <w:r w:rsidRPr="009A1DFA">
        <w:rPr>
          <w:color w:val="4F81BD" w:themeColor="accent1"/>
        </w:rPr>
        <w:t xml:space="preserve"> 2003</w:t>
      </w:r>
      <w:r w:rsidRPr="009A1DFA">
        <w:t xml:space="preserve">). </w:t>
      </w:r>
    </w:p>
    <w:p w14:paraId="1E7CFFED" w14:textId="77777777" w:rsidR="009A1DFA" w:rsidRDefault="00430469" w:rsidP="00585ADA">
      <w:pPr>
        <w:pStyle w:val="NormalWeb"/>
        <w:spacing w:beforeLines="40" w:before="96" w:beforeAutospacing="0" w:afterLines="40" w:after="96" w:afterAutospacing="0"/>
        <w:jc w:val="both"/>
      </w:pPr>
      <w:r w:rsidRPr="009A1DFA">
        <w:t xml:space="preserve">While existing literature offers fragmented insights into different aspects of Farmer Producer Organizations (FPOs), a comprehensive analysis that spans across time and examines their overall evolution and growth remains absent. Previous studies have explored the objectives behind FPO formation and their potential benefits. However, a thorough review is needed to critically assess the current status of FPOs and their influence on the </w:t>
      </w:r>
      <w:proofErr w:type="spellStart"/>
      <w:r w:rsidRPr="009A1DFA">
        <w:t>behavioural</w:t>
      </w:r>
      <w:proofErr w:type="spellEnd"/>
      <w:r w:rsidRPr="009A1DFA">
        <w:t xml:space="preserve"> changes of </w:t>
      </w:r>
      <w:proofErr w:type="spellStart"/>
      <w:r w:rsidRPr="009A1DFA">
        <w:t>members.This</w:t>
      </w:r>
      <w:proofErr w:type="spellEnd"/>
      <w:r w:rsidRPr="009A1DFA">
        <w:t xml:space="preserve"> study identifies a key research gap in the lack of a systematic review that connects the evolution of FPOs with their present status nationwide, along with the </w:t>
      </w:r>
      <w:proofErr w:type="spellStart"/>
      <w:r w:rsidRPr="009A1DFA">
        <w:t>behavioural</w:t>
      </w:r>
      <w:proofErr w:type="spellEnd"/>
      <w:r w:rsidRPr="009A1DFA">
        <w:t xml:space="preserve"> </w:t>
      </w:r>
      <w:r w:rsidRPr="009A1DFA">
        <w:lastRenderedPageBreak/>
        <w:t>transformations experienced by FPO members. FPOs in India emerged in the early 2000s as a response to challenges like land fragmentation and restricted market access. Supported by institutions such as NABARD and SFAC, these organizations promote collective action, enhancing farmers' market linkages, financial access, and productivity.</w:t>
      </w:r>
    </w:p>
    <w:p w14:paraId="3C72E7C3" w14:textId="77777777" w:rsidR="0046774A" w:rsidRPr="009A1DFA" w:rsidRDefault="0046774A" w:rsidP="00585ADA">
      <w:pPr>
        <w:pStyle w:val="NormalWeb"/>
        <w:spacing w:beforeLines="40" w:before="96" w:beforeAutospacing="0" w:afterLines="40" w:after="96" w:afterAutospacing="0"/>
        <w:jc w:val="both"/>
      </w:pPr>
      <w:r w:rsidRPr="009A1DFA">
        <w:rPr>
          <w:b/>
        </w:rPr>
        <w:t>Evolution of FPOs in India:</w:t>
      </w:r>
    </w:p>
    <w:p w14:paraId="1F31F451" w14:textId="77777777" w:rsidR="00A60A6D" w:rsidRPr="009A1DFA" w:rsidRDefault="00A60A6D" w:rsidP="00585ADA">
      <w:pPr>
        <w:pStyle w:val="NormalWeb"/>
        <w:spacing w:beforeLines="40" w:before="96" w:beforeAutospacing="0" w:afterLines="40" w:after="96" w:afterAutospacing="0"/>
        <w:jc w:val="both"/>
      </w:pPr>
      <w:r w:rsidRPr="009A1DFA">
        <w:t>Indian farmers are proficient producers but face significant challenges in marketing their products due to lack of access to markets in rural areas, limited awareness of other markets and poor marketing skills to meet demand in accordance with price fluctuations. One of the ways to reduce their risk is mobilize farmers for organizational action, arrange inputs, farm services and collective marketing to benefit from economies of scale. The only option to address these smallholders' issues is to organize them into a group, enabling the application of economies of scale. Government, commercial and civil society organizations have attempted to connect smallholders to input and output markets through a variety of institutional interventions. Numerous attempts have been made in the past to organize the farmers into various groups, including Commodity Interest Groups (CIGs), Self-Help Groups and Agricultural Cooperatives (</w:t>
      </w:r>
      <w:proofErr w:type="spellStart"/>
      <w:r w:rsidRPr="009A1DFA">
        <w:rPr>
          <w:color w:val="4F81BD" w:themeColor="accent1"/>
        </w:rPr>
        <w:t>Venkatta</w:t>
      </w:r>
      <w:proofErr w:type="spellEnd"/>
      <w:r w:rsidRPr="009A1DFA">
        <w:rPr>
          <w:color w:val="4F81BD" w:themeColor="accent1"/>
        </w:rPr>
        <w:t xml:space="preserve"> </w:t>
      </w:r>
      <w:proofErr w:type="spellStart"/>
      <w:r w:rsidRPr="009A1DFA">
        <w:rPr>
          <w:color w:val="4F81BD" w:themeColor="accent1"/>
        </w:rPr>
        <w:t>kumar</w:t>
      </w:r>
      <w:proofErr w:type="spellEnd"/>
      <w:r w:rsidRPr="009A1DFA">
        <w:rPr>
          <w:color w:val="4F81BD" w:themeColor="accent1"/>
        </w:rPr>
        <w:t xml:space="preserve"> </w:t>
      </w:r>
      <w:r w:rsidRPr="009A1DFA">
        <w:rPr>
          <w:i/>
          <w:color w:val="4F81BD" w:themeColor="accent1"/>
        </w:rPr>
        <w:t>et al.,</w:t>
      </w:r>
      <w:r w:rsidRPr="009A1DFA">
        <w:rPr>
          <w:color w:val="4F81BD" w:themeColor="accent1"/>
        </w:rPr>
        <w:t xml:space="preserve"> 2017</w:t>
      </w:r>
      <w:r w:rsidRPr="009A1DFA">
        <w:t xml:space="preserve">). </w:t>
      </w:r>
      <w:r w:rsidR="0046774A" w:rsidRPr="009A1DFA">
        <w:t>In India, the primary agricultural cooperative society (PACS) is one of the most traditional types of producer associations. Apart from this, there are various other types of producer organizations that serve particular or multiple purposes, such as Farmers' Clubs (</w:t>
      </w:r>
      <w:proofErr w:type="spellStart"/>
      <w:r w:rsidR="0046774A" w:rsidRPr="009A1DFA">
        <w:t>Thirunelly</w:t>
      </w:r>
      <w:proofErr w:type="spellEnd"/>
      <w:r w:rsidR="0046774A" w:rsidRPr="009A1DFA">
        <w:t xml:space="preserve"> Farmers’ Club, Kerala), CIGs (vegetable growers' CIG, Haryana), federation of SHGs (SEWA Federation, Gujarat), SHGs (</w:t>
      </w:r>
      <w:proofErr w:type="spellStart"/>
      <w:r w:rsidR="0046774A" w:rsidRPr="009A1DFA">
        <w:t>Kudumbashree</w:t>
      </w:r>
      <w:proofErr w:type="spellEnd"/>
      <w:r w:rsidR="0046774A" w:rsidRPr="009A1DFA">
        <w:t xml:space="preserve"> SHGs, Kerala), JLGs (</w:t>
      </w:r>
      <w:proofErr w:type="spellStart"/>
      <w:r w:rsidR="0046774A" w:rsidRPr="009A1DFA">
        <w:t>Samunnati</w:t>
      </w:r>
      <w:proofErr w:type="spellEnd"/>
      <w:r w:rsidR="0046774A" w:rsidRPr="009A1DFA">
        <w:t xml:space="preserve"> JLGs, Tamil Nadu). </w:t>
      </w:r>
      <w:r w:rsidR="0046774A" w:rsidRPr="009A1DFA">
        <w:rPr>
          <w:color w:val="4F81BD" w:themeColor="accent1"/>
        </w:rPr>
        <w:t xml:space="preserve">(Yazhini </w:t>
      </w:r>
      <w:r w:rsidR="0046774A" w:rsidRPr="009A1DFA">
        <w:rPr>
          <w:i/>
          <w:color w:val="4F81BD" w:themeColor="accent1"/>
        </w:rPr>
        <w:t>et al</w:t>
      </w:r>
      <w:r w:rsidR="0046774A" w:rsidRPr="009A1DFA">
        <w:rPr>
          <w:color w:val="4F81BD" w:themeColor="accent1"/>
        </w:rPr>
        <w:t xml:space="preserve"> 2025)</w:t>
      </w:r>
      <w:r w:rsidR="0046774A" w:rsidRPr="009A1DFA">
        <w:t>.However, the failure of farmer collectivization through coopera</w:t>
      </w:r>
      <w:r w:rsidRPr="009A1DFA">
        <w:t>tives in the agriculture sector, the success achieved has been limited and confined to a few regions. T</w:t>
      </w:r>
      <w:r w:rsidR="0046774A" w:rsidRPr="009A1DFA">
        <w:t>he escalating agrarian crisis and the rapid private sector growth through corporatization sparked fresh ideas about combining the finest f</w:t>
      </w:r>
      <w:r w:rsidRPr="009A1DFA">
        <w:t>eatures of corporates and cooperatives.</w:t>
      </w:r>
    </w:p>
    <w:p w14:paraId="5A767E0C" w14:textId="77777777" w:rsidR="0046774A" w:rsidRPr="009A1DFA" w:rsidRDefault="0046774A" w:rsidP="00585ADA">
      <w:pPr>
        <w:pStyle w:val="NormalWeb"/>
        <w:spacing w:beforeLines="40" w:before="96" w:beforeAutospacing="0" w:afterLines="40" w:after="96" w:afterAutospacing="0"/>
        <w:jc w:val="both"/>
      </w:pPr>
      <w:r w:rsidRPr="009A1DFA">
        <w:t xml:space="preserve">The Government of India, recommended Farmer Producer Companies (FPOs) as an alternative to traditional cooperatives, under committee led by Mr. YK Alagh. FPOs, characterized as hybrids between cooperative societies and private limited companies, were considered the optimal choice to protect farmers' interests and benefit consumers (NABARD, 2015). Various organizations, including SFAC, NABARD, State Government Agricultural Departments, and NGOs/CSOs supported by the Government of India, promote FPOs in rural areas. </w:t>
      </w:r>
    </w:p>
    <w:p w14:paraId="0ECE7C29" w14:textId="77777777" w:rsidR="00A60A6D" w:rsidRPr="009A1DFA" w:rsidRDefault="00A60A6D" w:rsidP="00585ADA">
      <w:pPr>
        <w:pStyle w:val="NormalWeb"/>
        <w:spacing w:beforeLines="40" w:before="96" w:beforeAutospacing="0" w:afterLines="40" w:after="96" w:afterAutospacing="0"/>
        <w:jc w:val="both"/>
        <w:rPr>
          <w:color w:val="4F81BD" w:themeColor="accent1"/>
        </w:rPr>
      </w:pPr>
      <w:r w:rsidRPr="009A1DFA">
        <w:t>As an institutional tool for enhancing smallholder agricultural performance through increased market participation, Farmer Producer Organizations (FPOs) are receiving renewed attention from donors, governments and scholars (</w:t>
      </w:r>
      <w:r w:rsidRPr="009A1DFA">
        <w:rPr>
          <w:color w:val="4F81BD" w:themeColor="accent1"/>
        </w:rPr>
        <w:t>Bernard T, Spielman DJ. 2009</w:t>
      </w:r>
      <w:r w:rsidRPr="009A1DFA">
        <w:t xml:space="preserve">). Small-scale farmers must be integrated as farmer collectives to get the benefits of agricultural produce </w:t>
      </w:r>
      <w:r w:rsidRPr="009A1DFA">
        <w:rPr>
          <w:color w:val="4F81BD" w:themeColor="accent1"/>
        </w:rPr>
        <w:t>(</w:t>
      </w:r>
      <w:proofErr w:type="spellStart"/>
      <w:r w:rsidRPr="009A1DFA">
        <w:rPr>
          <w:color w:val="4F81BD" w:themeColor="accent1"/>
        </w:rPr>
        <w:t>Ramappa</w:t>
      </w:r>
      <w:proofErr w:type="spellEnd"/>
      <w:r w:rsidRPr="009A1DFA">
        <w:rPr>
          <w:color w:val="4F81BD" w:themeColor="accent1"/>
        </w:rPr>
        <w:t xml:space="preserve"> KB, </w:t>
      </w:r>
      <w:proofErr w:type="spellStart"/>
      <w:r w:rsidRPr="009A1DFA">
        <w:rPr>
          <w:color w:val="4F81BD" w:themeColor="accent1"/>
        </w:rPr>
        <w:t>Yashashwini</w:t>
      </w:r>
      <w:proofErr w:type="spellEnd"/>
      <w:r w:rsidRPr="009A1DFA">
        <w:rPr>
          <w:color w:val="4F81BD" w:themeColor="accent1"/>
        </w:rPr>
        <w:t xml:space="preserve"> MA 2018).</w:t>
      </w:r>
      <w:r w:rsidRPr="009A1DFA">
        <w:t xml:space="preserve"> Farmer collectives are seen as a crucial component in connecting smallholders to contemporary markets. These collectives offer numerous advantages, such as reducing intermediaries in marketing channels and an increasing farmers income (</w:t>
      </w:r>
      <w:r w:rsidRPr="009A1DFA">
        <w:rPr>
          <w:color w:val="4F81BD" w:themeColor="accent1"/>
        </w:rPr>
        <w:t>Trebbin A. 2014</w:t>
      </w:r>
      <w:r w:rsidRPr="009A1DFA">
        <w:t>). Farmer’s revenue from membership in farming organizations is an essential factor in raising agricultural output levels, providing financial benefits and improving their overall welfare (</w:t>
      </w:r>
      <w:proofErr w:type="spellStart"/>
      <w:r w:rsidRPr="009A1DFA">
        <w:rPr>
          <w:color w:val="4F81BD" w:themeColor="accent1"/>
        </w:rPr>
        <w:t>Oyeyinka</w:t>
      </w:r>
      <w:proofErr w:type="spellEnd"/>
      <w:r w:rsidRPr="009A1DFA">
        <w:rPr>
          <w:color w:val="4F81BD" w:themeColor="accent1"/>
        </w:rPr>
        <w:t xml:space="preserve"> RA </w:t>
      </w:r>
      <w:r w:rsidRPr="009A1DFA">
        <w:rPr>
          <w:i/>
          <w:color w:val="4F81BD" w:themeColor="accent1"/>
        </w:rPr>
        <w:t>et al.,</w:t>
      </w:r>
      <w:r w:rsidRPr="009A1DFA">
        <w:rPr>
          <w:color w:val="4F81BD" w:themeColor="accent1"/>
        </w:rPr>
        <w:t>2012).</w:t>
      </w:r>
      <w:r w:rsidR="00430469" w:rsidRPr="009A1DFA">
        <w:rPr>
          <w:color w:val="333333"/>
          <w:shd w:val="clear" w:color="auto" w:fill="FFFFFF"/>
        </w:rPr>
        <w:t xml:space="preserve"> The Government of India launched the scheme to form and promote 10,000 FPOs in 2020 with a budget outlay of ₹6.86 thousand crore till 2027-28. As of 29 February 2024, 8,195 FPOs have registered under the new FPO scheme, and equity grants of ₹157.4 crore were released to 3,325 FPOs. Credit guarantee cover worth ₹278.2 crore was issued to 1,185 FPOs.</w:t>
      </w:r>
      <w:r w:rsidR="00430469" w:rsidRPr="009A1DFA">
        <w:rPr>
          <w:color w:val="4F81BD" w:themeColor="accent1"/>
        </w:rPr>
        <w:t xml:space="preserve"> (Economic Survey 2023-2024).</w:t>
      </w:r>
    </w:p>
    <w:p w14:paraId="227DF6A8" w14:textId="77777777" w:rsidR="00790D78" w:rsidRPr="009A1DFA" w:rsidRDefault="00790D78" w:rsidP="00585ADA">
      <w:pPr>
        <w:pStyle w:val="NormalWeb"/>
        <w:spacing w:beforeLines="40" w:before="96" w:beforeAutospacing="0" w:afterLines="40" w:after="96" w:afterAutospacing="0"/>
        <w:jc w:val="both"/>
        <w:rPr>
          <w:b/>
        </w:rPr>
      </w:pPr>
      <w:r w:rsidRPr="009A1DFA">
        <w:rPr>
          <w:b/>
        </w:rPr>
        <w:lastRenderedPageBreak/>
        <w:t xml:space="preserve">Producer Organization (PO) </w:t>
      </w:r>
    </w:p>
    <w:p w14:paraId="556C42A1" w14:textId="77777777" w:rsidR="00BA1D37" w:rsidRPr="009A1DFA" w:rsidRDefault="00AF437A" w:rsidP="00585ADA">
      <w:pPr>
        <w:pStyle w:val="NormalWeb"/>
        <w:spacing w:beforeLines="40" w:before="96" w:beforeAutospacing="0" w:afterLines="40" w:after="96" w:afterAutospacing="0"/>
        <w:jc w:val="both"/>
        <w:rPr>
          <w:color w:val="4F81BD" w:themeColor="accent1"/>
        </w:rPr>
      </w:pPr>
      <w:r w:rsidRPr="009A1DFA">
        <w:t xml:space="preserve">The Food and Agriculture Organization </w:t>
      </w:r>
      <w:r w:rsidRPr="009A1DFA">
        <w:rPr>
          <w:color w:val="4F81BD" w:themeColor="accent1"/>
        </w:rPr>
        <w:t>(FAO, 2013</w:t>
      </w:r>
      <w:r w:rsidRPr="009A1DFA">
        <w:t>) notes that "farmers and rural producers organization (FOs) refer to independent, non governmental, membership-based rural organization of part or fulltime self employed smallholders and family farmers, pastoralists, artisanal fishers, landless people, women, small entrepreneurs and indigenous peoples."</w:t>
      </w:r>
      <w:r w:rsidR="00790D78" w:rsidRPr="009A1DFA">
        <w:t xml:space="preserve">A Producer Organization (PO) can be a producer company, a cooperative society or any other lawful system which provides for allotment of earnings and profits among the associates of its structure. In some enactment like producer companies, institutes of primary producers can also become member of producer organization. PO is a common name for an organization of makers of any produce, like farming, non farm goods, </w:t>
      </w:r>
      <w:r w:rsidR="00581118" w:rsidRPr="009A1DFA">
        <w:t>and artisan</w:t>
      </w:r>
      <w:r w:rsidR="00790D78" w:rsidRPr="009A1DFA">
        <w:t xml:space="preserve"> goods. </w:t>
      </w:r>
      <w:r w:rsidR="00790D78" w:rsidRPr="009A1DFA">
        <w:rPr>
          <w:color w:val="4F81BD" w:themeColor="accent1"/>
        </w:rPr>
        <w:t>(</w:t>
      </w:r>
      <w:proofErr w:type="spellStart"/>
      <w:r w:rsidR="00790D78" w:rsidRPr="009A1DFA">
        <w:rPr>
          <w:color w:val="4F81BD" w:themeColor="accent1"/>
        </w:rPr>
        <w:t>Venkatta</w:t>
      </w:r>
      <w:proofErr w:type="spellEnd"/>
      <w:r w:rsidR="00581118" w:rsidRPr="009A1DFA">
        <w:rPr>
          <w:color w:val="4F81BD" w:themeColor="accent1"/>
        </w:rPr>
        <w:t xml:space="preserve"> </w:t>
      </w:r>
      <w:proofErr w:type="spellStart"/>
      <w:r w:rsidR="00790D78" w:rsidRPr="009A1DFA">
        <w:rPr>
          <w:color w:val="4F81BD" w:themeColor="accent1"/>
        </w:rPr>
        <w:t>kumar</w:t>
      </w:r>
      <w:proofErr w:type="spellEnd"/>
      <w:r w:rsidR="00790D78" w:rsidRPr="009A1DFA">
        <w:rPr>
          <w:color w:val="4F81BD" w:themeColor="accent1"/>
        </w:rPr>
        <w:t xml:space="preserve"> </w:t>
      </w:r>
      <w:r w:rsidR="00790D78" w:rsidRPr="009A1DFA">
        <w:rPr>
          <w:i/>
          <w:color w:val="4F81BD" w:themeColor="accent1"/>
        </w:rPr>
        <w:t>et al.,</w:t>
      </w:r>
      <w:r w:rsidR="00790D78" w:rsidRPr="009A1DFA">
        <w:rPr>
          <w:color w:val="4F81BD" w:themeColor="accent1"/>
        </w:rPr>
        <w:t xml:space="preserve"> 2017)</w:t>
      </w:r>
    </w:p>
    <w:p w14:paraId="3544EBC9" w14:textId="77777777" w:rsidR="003C3425" w:rsidRPr="009A1DFA" w:rsidRDefault="003C3425" w:rsidP="00585ADA">
      <w:pPr>
        <w:pStyle w:val="NormalWeb"/>
        <w:spacing w:beforeLines="40" w:before="96" w:beforeAutospacing="0" w:afterLines="40" w:after="96" w:afterAutospacing="0"/>
        <w:jc w:val="both"/>
        <w:rPr>
          <w:b/>
        </w:rPr>
      </w:pPr>
      <w:r w:rsidRPr="009A1DFA">
        <w:rPr>
          <w:b/>
        </w:rPr>
        <w:t>Typ</w:t>
      </w:r>
      <w:r w:rsidR="0030694A" w:rsidRPr="009A1DFA">
        <w:rPr>
          <w:b/>
        </w:rPr>
        <w:t xml:space="preserve">es of FPOs in the agricultural </w:t>
      </w:r>
      <w:proofErr w:type="gramStart"/>
      <w:r w:rsidR="0030694A" w:rsidRPr="009A1DFA">
        <w:rPr>
          <w:b/>
        </w:rPr>
        <w:t>S</w:t>
      </w:r>
      <w:r w:rsidRPr="009A1DFA">
        <w:rPr>
          <w:b/>
        </w:rPr>
        <w:t>ector :</w:t>
      </w:r>
      <w:proofErr w:type="gramEnd"/>
      <w:r w:rsidRPr="009A1DFA">
        <w:rPr>
          <w:b/>
        </w:rPr>
        <w:t xml:space="preserve"> </w:t>
      </w:r>
    </w:p>
    <w:p w14:paraId="30165AEF" w14:textId="77777777" w:rsidR="003C3425" w:rsidRPr="009A1DFA" w:rsidRDefault="003C3425" w:rsidP="00585ADA">
      <w:pPr>
        <w:pStyle w:val="NormalWeb"/>
        <w:spacing w:beforeLines="40" w:before="96" w:beforeAutospacing="0" w:afterLines="40" w:after="96" w:afterAutospacing="0"/>
        <w:jc w:val="both"/>
      </w:pPr>
      <w:r w:rsidRPr="009A1DFA">
        <w:t xml:space="preserve">Farmer Producer </w:t>
      </w:r>
      <w:r w:rsidR="00DC0047" w:rsidRPr="009A1DFA">
        <w:t>Organizations</w:t>
      </w:r>
      <w:r w:rsidRPr="009A1DFA">
        <w:t xml:space="preserve"> (FPOs) in the agricultural sector exhibit diverse forms and structures tailored to address the specific needs and characteristics of different agricultural value chains. Research in India underscores the significance of categorizing FPOs based on their focus, membership, and operational scope. This categorization helps us understand the distinct roles that various FPOs play in fostering agricultural development. FPOs share similarities with FPCs; however, FPCs have a formal legal framework, are established under the Companies Act, and primarily concentrate on increasing member farmers' incomes through enhanced manufacturing and marketing of certain agricultural goods. FPOs, on the other hand, registered under state-specific laws and usually engage in a variety of operations including processing and marketing. Self-Help Groups (SHGs) are another type of agricultural organization seen in rural areas. </w:t>
      </w:r>
      <w:r w:rsidRPr="009A1DFA">
        <w:rPr>
          <w:color w:val="4F81BD" w:themeColor="accent1"/>
        </w:rPr>
        <w:t>(</w:t>
      </w:r>
      <w:proofErr w:type="spellStart"/>
      <w:r w:rsidRPr="009A1DFA">
        <w:rPr>
          <w:color w:val="4F81BD" w:themeColor="accent1"/>
        </w:rPr>
        <w:t>Chandegara</w:t>
      </w:r>
      <w:proofErr w:type="spellEnd"/>
      <w:r w:rsidRPr="009A1DFA">
        <w:rPr>
          <w:color w:val="4F81BD" w:themeColor="accent1"/>
        </w:rPr>
        <w:t xml:space="preserve"> </w:t>
      </w:r>
      <w:r w:rsidRPr="009A1DFA">
        <w:rPr>
          <w:i/>
          <w:color w:val="4F81BD" w:themeColor="accent1"/>
        </w:rPr>
        <w:t>et al</w:t>
      </w:r>
      <w:r w:rsidRPr="009A1DFA">
        <w:rPr>
          <w:color w:val="4F81BD" w:themeColor="accent1"/>
        </w:rPr>
        <w:t>., 2023)</w:t>
      </w:r>
    </w:p>
    <w:p w14:paraId="64AB3F4A" w14:textId="77777777" w:rsidR="003C3425" w:rsidRPr="009A1DFA" w:rsidRDefault="003C3425" w:rsidP="00585ADA">
      <w:pPr>
        <w:pStyle w:val="NormalWeb"/>
        <w:spacing w:beforeLines="40" w:before="96" w:beforeAutospacing="0" w:afterLines="40" w:after="96" w:afterAutospacing="0"/>
        <w:jc w:val="both"/>
      </w:pPr>
      <w:r w:rsidRPr="009A1DFA">
        <w:t xml:space="preserve">Based on activities, FPOs are classified into commodity-specific and multipurpose FPOs. Commodity-specific FPOs primarily concentrate on a single agricultural product to enhance production, processing, and market access. On the other hand, multipurpose FPOs engage in various agrarian activities, spanning multiple products and value chains </w:t>
      </w:r>
      <w:r w:rsidRPr="009A1DFA">
        <w:rPr>
          <w:color w:val="4F81BD" w:themeColor="accent1"/>
        </w:rPr>
        <w:t xml:space="preserve">(Kumar </w:t>
      </w:r>
      <w:r w:rsidRPr="009A1DFA">
        <w:rPr>
          <w:i/>
          <w:color w:val="4F81BD" w:themeColor="accent1"/>
        </w:rPr>
        <w:t>et al</w:t>
      </w:r>
      <w:r w:rsidRPr="009A1DFA">
        <w:rPr>
          <w:color w:val="4F81BD" w:themeColor="accent1"/>
        </w:rPr>
        <w:t>., 2019)</w:t>
      </w:r>
      <w:r w:rsidRPr="009A1DFA">
        <w:t xml:space="preserve">. Furthermore, FPOs can be classified based on the membership profile, such as those focused on women farmers, landless </w:t>
      </w:r>
      <w:proofErr w:type="spellStart"/>
      <w:r w:rsidRPr="009A1DFA">
        <w:t>labourers</w:t>
      </w:r>
      <w:proofErr w:type="spellEnd"/>
      <w:r w:rsidRPr="009A1DFA">
        <w:t xml:space="preserve">, or small and marginal farmers. </w:t>
      </w:r>
      <w:r w:rsidRPr="009A1DFA">
        <w:rPr>
          <w:color w:val="4F81BD" w:themeColor="accent1"/>
        </w:rPr>
        <w:t>(</w:t>
      </w:r>
      <w:proofErr w:type="spellStart"/>
      <w:r w:rsidRPr="009A1DFA">
        <w:rPr>
          <w:color w:val="4F81BD" w:themeColor="accent1"/>
        </w:rPr>
        <w:t>Gummagolmath</w:t>
      </w:r>
      <w:proofErr w:type="spellEnd"/>
      <w:r w:rsidRPr="009A1DFA">
        <w:rPr>
          <w:color w:val="4F81BD" w:themeColor="accent1"/>
        </w:rPr>
        <w:t xml:space="preserve"> and Lakshmi (2021) </w:t>
      </w:r>
      <w:r w:rsidRPr="009A1DFA">
        <w:t>explore the role of FPOs exclusively formed by women farmers, addressing gender disparities and promoting women's participation in agriculture. India had many registered FPOs, with a considerable proportion falling under commodity specific categories, focusing on products like cereals, fruits, vegetables, and dairy.</w:t>
      </w:r>
      <w:r w:rsidRPr="009A1DFA">
        <w:rPr>
          <w:color w:val="4F81BD" w:themeColor="accent1"/>
        </w:rPr>
        <w:t xml:space="preserve"> (</w:t>
      </w:r>
      <w:proofErr w:type="spellStart"/>
      <w:r w:rsidRPr="009A1DFA">
        <w:rPr>
          <w:color w:val="4F81BD" w:themeColor="accent1"/>
        </w:rPr>
        <w:t>Chandegara</w:t>
      </w:r>
      <w:proofErr w:type="spellEnd"/>
      <w:r w:rsidRPr="009A1DFA">
        <w:rPr>
          <w:color w:val="4F81BD" w:themeColor="accent1"/>
        </w:rPr>
        <w:t xml:space="preserve"> </w:t>
      </w:r>
      <w:r w:rsidRPr="009A1DFA">
        <w:rPr>
          <w:i/>
          <w:color w:val="4F81BD" w:themeColor="accent1"/>
        </w:rPr>
        <w:t>et al</w:t>
      </w:r>
      <w:r w:rsidRPr="009A1DFA">
        <w:rPr>
          <w:color w:val="4F81BD" w:themeColor="accent1"/>
        </w:rPr>
        <w:t>., 2023)</w:t>
      </w:r>
      <w:r w:rsidRPr="009A1DFA">
        <w:t xml:space="preserve"> </w:t>
      </w:r>
    </w:p>
    <w:p w14:paraId="18A7EA21" w14:textId="77777777" w:rsidR="00393127" w:rsidRPr="009A1DFA" w:rsidRDefault="00393127" w:rsidP="00585ADA">
      <w:pPr>
        <w:pStyle w:val="NormalWeb"/>
        <w:spacing w:beforeLines="40" w:before="96" w:beforeAutospacing="0" w:afterLines="40" w:after="96" w:afterAutospacing="0"/>
        <w:jc w:val="both"/>
        <w:rPr>
          <w:b/>
        </w:rPr>
      </w:pPr>
      <w:r w:rsidRPr="009A1DFA">
        <w:rPr>
          <w:b/>
        </w:rPr>
        <w:t>Current status of FPO in India</w:t>
      </w:r>
      <w:r w:rsidR="009F039F" w:rsidRPr="009A1DFA">
        <w:rPr>
          <w:b/>
        </w:rPr>
        <w:t>:</w:t>
      </w:r>
    </w:p>
    <w:p w14:paraId="7CCDAB35" w14:textId="77777777" w:rsidR="009F039F" w:rsidRPr="009A1DFA" w:rsidRDefault="00393127" w:rsidP="00585ADA">
      <w:pPr>
        <w:pStyle w:val="NormalWeb"/>
        <w:spacing w:beforeLines="40" w:before="96" w:beforeAutospacing="0" w:afterLines="40" w:after="96" w:afterAutospacing="0"/>
        <w:jc w:val="both"/>
      </w:pPr>
      <w:r w:rsidRPr="009A1DFA">
        <w:t xml:space="preserve">The Government of India launched the Central Sector Scheme for the Formation and Promotion of 10,000 FPOs in 2020 with a budget of ₹6,865 crores. As of 2025, over 10,000 FPOs have been registered, benefiting approximately 30 lakh farmers, with 40% of them being women </w:t>
      </w:r>
      <w:r w:rsidRPr="009A1DFA">
        <w:rPr>
          <w:color w:val="4F81BD" w:themeColor="accent1"/>
        </w:rPr>
        <w:t>(Press Information Bureau, 2025)</w:t>
      </w:r>
      <w:r w:rsidRPr="009A1DFA">
        <w:t xml:space="preserve">. </w:t>
      </w:r>
      <w:r w:rsidR="00E609BC" w:rsidRPr="009A1DFA">
        <w:rPr>
          <w:color w:val="333333"/>
          <w:shd w:val="clear" w:color="auto" w:fill="FFFFFF"/>
        </w:rPr>
        <w:t>Recently, on the occasion of the release of the 19</w:t>
      </w:r>
      <w:r w:rsidR="00E609BC" w:rsidRPr="009A1DFA">
        <w:rPr>
          <w:color w:val="333333"/>
          <w:shd w:val="clear" w:color="auto" w:fill="FFFFFF"/>
          <w:vertAlign w:val="superscript"/>
        </w:rPr>
        <w:t>th</w:t>
      </w:r>
      <w:r w:rsidR="00E609BC" w:rsidRPr="009A1DFA">
        <w:rPr>
          <w:color w:val="333333"/>
          <w:shd w:val="clear" w:color="auto" w:fill="FFFFFF"/>
        </w:rPr>
        <w:t> installment of PM-KISAN in Bhagalpur, Bihar, Prime Minister Shri Narendra Modi launched the </w:t>
      </w:r>
      <w:r w:rsidR="00E609BC" w:rsidRPr="009A1DFA">
        <w:rPr>
          <w:rStyle w:val="Strong"/>
          <w:b w:val="0"/>
          <w:color w:val="333333"/>
          <w:shd w:val="clear" w:color="auto" w:fill="FFFFFF"/>
        </w:rPr>
        <w:t>10,000</w:t>
      </w:r>
      <w:r w:rsidR="00E609BC" w:rsidRPr="009A1DFA">
        <w:rPr>
          <w:rStyle w:val="Strong"/>
          <w:b w:val="0"/>
          <w:color w:val="333333"/>
          <w:shd w:val="clear" w:color="auto" w:fill="FFFFFF"/>
          <w:vertAlign w:val="superscript"/>
        </w:rPr>
        <w:t>th</w:t>
      </w:r>
      <w:r w:rsidR="00E609BC" w:rsidRPr="009A1DFA">
        <w:rPr>
          <w:rStyle w:val="Strong"/>
          <w:b w:val="0"/>
          <w:color w:val="333333"/>
          <w:shd w:val="clear" w:color="auto" w:fill="FFFFFF"/>
        </w:rPr>
        <w:t> FPO</w:t>
      </w:r>
      <w:r w:rsidR="00E609BC" w:rsidRPr="009A1DFA">
        <w:rPr>
          <w:b/>
          <w:color w:val="333333"/>
          <w:shd w:val="clear" w:color="auto" w:fill="FFFFFF"/>
        </w:rPr>
        <w:t xml:space="preserve">. </w:t>
      </w:r>
      <w:r w:rsidR="00E609BC" w:rsidRPr="009A1DFA">
        <w:rPr>
          <w:color w:val="333333"/>
          <w:shd w:val="clear" w:color="auto" w:fill="FFFFFF"/>
        </w:rPr>
        <w:t>The 10,000</w:t>
      </w:r>
      <w:r w:rsidR="00E609BC" w:rsidRPr="009A1DFA">
        <w:rPr>
          <w:color w:val="333333"/>
          <w:shd w:val="clear" w:color="auto" w:fill="FFFFFF"/>
          <w:vertAlign w:val="superscript"/>
        </w:rPr>
        <w:t>th</w:t>
      </w:r>
      <w:r w:rsidR="00E609BC" w:rsidRPr="009A1DFA">
        <w:rPr>
          <w:color w:val="333333"/>
          <w:shd w:val="clear" w:color="auto" w:fill="FFFFFF"/>
        </w:rPr>
        <w:t xml:space="preserve"> FPO has been registered in </w:t>
      </w:r>
      <w:proofErr w:type="spellStart"/>
      <w:r w:rsidR="00E609BC" w:rsidRPr="009A1DFA">
        <w:rPr>
          <w:color w:val="333333"/>
          <w:shd w:val="clear" w:color="auto" w:fill="FFFFFF"/>
        </w:rPr>
        <w:t>Khagaria</w:t>
      </w:r>
      <w:proofErr w:type="spellEnd"/>
      <w:r w:rsidR="00E609BC" w:rsidRPr="009A1DFA">
        <w:rPr>
          <w:color w:val="333333"/>
          <w:shd w:val="clear" w:color="auto" w:fill="FFFFFF"/>
        </w:rPr>
        <w:t xml:space="preserve"> district and focuses on </w:t>
      </w:r>
      <w:r w:rsidR="00E609BC" w:rsidRPr="009A1DFA">
        <w:rPr>
          <w:rStyle w:val="Strong"/>
          <w:b w:val="0"/>
          <w:color w:val="333333"/>
          <w:shd w:val="clear" w:color="auto" w:fill="FFFFFF"/>
        </w:rPr>
        <w:t>maize, banana, and paddy</w:t>
      </w:r>
      <w:r w:rsidR="00C17EC8" w:rsidRPr="009A1DFA">
        <w:rPr>
          <w:b/>
          <w:color w:val="333333"/>
          <w:shd w:val="clear" w:color="auto" w:fill="FFFFFF"/>
        </w:rPr>
        <w:t>.</w:t>
      </w:r>
    </w:p>
    <w:p w14:paraId="792E0B6F" w14:textId="77777777" w:rsidR="009D0F70" w:rsidRPr="009A1DFA" w:rsidRDefault="00E609BC" w:rsidP="00585ADA">
      <w:pPr>
        <w:pStyle w:val="NormalWeb"/>
        <w:spacing w:beforeLines="40" w:before="96" w:beforeAutospacing="0" w:afterLines="40" w:after="96" w:afterAutospacing="0"/>
        <w:jc w:val="both"/>
      </w:pPr>
      <w:r w:rsidRPr="009A1DFA">
        <w:rPr>
          <w:color w:val="333333"/>
          <w:shd w:val="clear" w:color="auto" w:fill="FFFFFF"/>
        </w:rPr>
        <w:t>FPOs are not just organizations but an unprecedented force to increase farmers' income and provide small farmers with direct access to significant market benefits, bargaining power and improving market access. Approximately </w:t>
      </w:r>
      <w:r w:rsidRPr="009A1DFA">
        <w:rPr>
          <w:rStyle w:val="Strong"/>
          <w:color w:val="333333"/>
          <w:shd w:val="clear" w:color="auto" w:fill="FFFFFF"/>
        </w:rPr>
        <w:t>30 lakh farmers</w:t>
      </w:r>
      <w:r w:rsidRPr="009A1DFA">
        <w:rPr>
          <w:color w:val="333333"/>
          <w:shd w:val="clear" w:color="auto" w:fill="FFFFFF"/>
        </w:rPr>
        <w:t> in the country are connected to FPOs, with around </w:t>
      </w:r>
      <w:r w:rsidRPr="009A1DFA">
        <w:rPr>
          <w:rStyle w:val="Strong"/>
          <w:color w:val="333333"/>
          <w:shd w:val="clear" w:color="auto" w:fill="FFFFFF"/>
        </w:rPr>
        <w:t>40 percent of them being women</w:t>
      </w:r>
      <w:r w:rsidRPr="009A1DFA">
        <w:rPr>
          <w:color w:val="333333"/>
          <w:shd w:val="clear" w:color="auto" w:fill="FFFFFF"/>
        </w:rPr>
        <w:t xml:space="preserve">. These FPOs are now conducting business worth </w:t>
      </w:r>
      <w:r w:rsidRPr="009A1DFA">
        <w:rPr>
          <w:color w:val="333333"/>
          <w:shd w:val="clear" w:color="auto" w:fill="FFFFFF"/>
        </w:rPr>
        <w:lastRenderedPageBreak/>
        <w:t>thousands of crores in the agricultural sector.</w:t>
      </w:r>
      <w:r w:rsidR="00C17EC8" w:rsidRPr="009A1DFA">
        <w:rPr>
          <w:color w:val="333333"/>
          <w:shd w:val="clear" w:color="auto" w:fill="FFFFFF"/>
        </w:rPr>
        <w:t xml:space="preserve"> </w:t>
      </w:r>
      <w:r w:rsidR="00393127" w:rsidRPr="009A1DFA">
        <w:t xml:space="preserve">Despite rapid growth, concerns persist regarding their financial sustainability and operational efficiency. Data suggests that while 26,938 FPOs are classified as active and compliant, only 57% have submitted financial statements, indicating potential operational struggles </w:t>
      </w:r>
      <w:r w:rsidR="00393127" w:rsidRPr="009A1DFA">
        <w:rPr>
          <w:color w:val="4F81BD" w:themeColor="accent1"/>
        </w:rPr>
        <w:t>(TCI Policy Brief, 2024).</w:t>
      </w:r>
    </w:p>
    <w:p w14:paraId="767992D6" w14:textId="77777777" w:rsidR="005C38F8" w:rsidRPr="009A1DFA" w:rsidRDefault="005C38F8" w:rsidP="00585ADA">
      <w:pPr>
        <w:pStyle w:val="NormalWeb"/>
        <w:spacing w:beforeLines="40" w:before="96" w:beforeAutospacing="0" w:afterLines="40" w:after="96" w:afterAutospacing="0"/>
        <w:jc w:val="both"/>
        <w:sectPr w:rsidR="005C38F8" w:rsidRPr="009A1DFA" w:rsidSect="00E90FD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pPr>
    </w:p>
    <w:p w14:paraId="31032324" w14:textId="4128B89B" w:rsidR="005C38F8" w:rsidRPr="009A1DFA" w:rsidRDefault="005C38F8" w:rsidP="00585ADA">
      <w:pPr>
        <w:pStyle w:val="NormalWeb"/>
        <w:spacing w:beforeLines="40" w:before="96" w:beforeAutospacing="0" w:afterLines="40" w:after="96" w:afterAutospacing="0"/>
        <w:jc w:val="both"/>
      </w:pPr>
      <w:r w:rsidRPr="009A1DFA">
        <w:rPr>
          <w:noProof/>
          <w:lang w:val="en-IN" w:eastAsia="en-IN"/>
        </w:rPr>
        <w:lastRenderedPageBreak/>
        <w:drawing>
          <wp:inline distT="0" distB="0" distL="0" distR="0" wp14:anchorId="33486E48" wp14:editId="7CBB8683">
            <wp:extent cx="8242056" cy="5738446"/>
            <wp:effectExtent l="19050" t="0" r="25644" b="0"/>
            <wp:docPr id="5" name="Chart 2">
              <a:extLst xmlns:a="http://schemas.openxmlformats.org/drawingml/2006/main">
                <a:ext uri="{FF2B5EF4-FFF2-40B4-BE49-F238E27FC236}">
                  <a16:creationId xmlns:a16="http://schemas.microsoft.com/office/drawing/2014/main" id="{141DC6F1-796A-BC7F-7388-4C81E1DE87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8B1235">
        <w:t xml:space="preserve">GRAPH </w:t>
      </w:r>
      <w:r w:rsidR="00C17EC8" w:rsidRPr="009A1DFA">
        <w:t xml:space="preserve">1:  FPOs Growth trend from 2003 to September 2024 </w:t>
      </w:r>
      <w:r w:rsidR="00C17EC8" w:rsidRPr="009A1DFA">
        <w:rPr>
          <w:color w:val="4F81BD" w:themeColor="accent1"/>
        </w:rPr>
        <w:t>(TCI Policy Brief, 2024).</w:t>
      </w:r>
    </w:p>
    <w:p w14:paraId="6067D83E" w14:textId="77777777" w:rsidR="000555DC" w:rsidRPr="009A1DFA" w:rsidRDefault="000555DC" w:rsidP="00585ADA">
      <w:pPr>
        <w:pStyle w:val="NormalWeb"/>
        <w:spacing w:beforeLines="40" w:before="96" w:beforeAutospacing="0" w:afterLines="40" w:after="96" w:afterAutospacing="0"/>
        <w:ind w:left="-567" w:right="202"/>
        <w:jc w:val="center"/>
      </w:pPr>
      <w:r w:rsidRPr="009A1DFA">
        <w:rPr>
          <w:noProof/>
          <w:lang w:val="en-IN" w:eastAsia="en-IN"/>
        </w:rPr>
        <w:lastRenderedPageBreak/>
        <w:drawing>
          <wp:inline distT="0" distB="0" distL="0" distR="0" wp14:anchorId="41243EEF" wp14:editId="268F2DAB">
            <wp:extent cx="9215005" cy="5152563"/>
            <wp:effectExtent l="19050" t="0" r="24245" b="0"/>
            <wp:docPr id="4" name="Chart 4">
              <a:extLst xmlns:a="http://schemas.openxmlformats.org/drawingml/2006/main">
                <a:ext uri="{FF2B5EF4-FFF2-40B4-BE49-F238E27FC236}">
                  <a16:creationId xmlns:a16="http://schemas.microsoft.com/office/drawing/2014/main" id="{F4572072-1650-9A47-DC19-D1C2FCC299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ADFBD42" w14:textId="77777777" w:rsidR="00C17EC8" w:rsidRPr="009A1DFA" w:rsidRDefault="00C17EC8" w:rsidP="00585ADA">
      <w:pPr>
        <w:autoSpaceDE w:val="0"/>
        <w:autoSpaceDN w:val="0"/>
        <w:adjustRightInd w:val="0"/>
        <w:spacing w:beforeLines="40" w:before="96" w:afterLines="40" w:after="96" w:line="240" w:lineRule="auto"/>
        <w:jc w:val="both"/>
        <w:rPr>
          <w:rFonts w:ascii="Times New Roman" w:hAnsi="Times New Roman" w:cs="Times New Roman"/>
          <w:b/>
          <w:sz w:val="24"/>
          <w:szCs w:val="24"/>
        </w:rPr>
      </w:pPr>
    </w:p>
    <w:p w14:paraId="446C54AF" w14:textId="5A1FAF76" w:rsidR="00C17EC8" w:rsidRPr="009A1DFA" w:rsidRDefault="008B1235" w:rsidP="00585ADA">
      <w:pPr>
        <w:autoSpaceDE w:val="0"/>
        <w:autoSpaceDN w:val="0"/>
        <w:adjustRightInd w:val="0"/>
        <w:spacing w:beforeLines="40" w:before="96" w:afterLines="40" w:after="96" w:line="240" w:lineRule="auto"/>
        <w:rPr>
          <w:rFonts w:ascii="Times New Roman" w:hAnsi="Times New Roman" w:cs="Times New Roman"/>
          <w:sz w:val="24"/>
          <w:szCs w:val="24"/>
        </w:rPr>
        <w:sectPr w:rsidR="00C17EC8" w:rsidRPr="009A1DFA" w:rsidSect="005C38F8">
          <w:pgSz w:w="15840" w:h="12240" w:orient="landscape"/>
          <w:pgMar w:top="1440" w:right="1440" w:bottom="1440" w:left="1440" w:header="709" w:footer="709" w:gutter="0"/>
          <w:cols w:space="708"/>
          <w:docGrid w:linePitch="360"/>
        </w:sectPr>
      </w:pPr>
      <w:r>
        <w:rPr>
          <w:rFonts w:ascii="Times New Roman" w:hAnsi="Times New Roman" w:cs="Times New Roman"/>
          <w:sz w:val="24"/>
          <w:szCs w:val="24"/>
        </w:rPr>
        <w:t xml:space="preserve">GRAPH </w:t>
      </w:r>
      <w:r w:rsidR="00C17EC8" w:rsidRPr="009A1DFA">
        <w:rPr>
          <w:rFonts w:ascii="Times New Roman" w:hAnsi="Times New Roman" w:cs="Times New Roman"/>
          <w:sz w:val="24"/>
          <w:szCs w:val="24"/>
        </w:rPr>
        <w:t xml:space="preserve"> 2: Sate wise Current Status </w:t>
      </w:r>
      <w:proofErr w:type="gramStart"/>
      <w:r w:rsidR="0030694A" w:rsidRPr="009A1DFA">
        <w:rPr>
          <w:rFonts w:ascii="Times New Roman" w:hAnsi="Times New Roman" w:cs="Times New Roman"/>
          <w:sz w:val="24"/>
          <w:szCs w:val="24"/>
        </w:rPr>
        <w:t xml:space="preserve">of  </w:t>
      </w:r>
      <w:r w:rsidR="009E5EED" w:rsidRPr="009A1DFA">
        <w:rPr>
          <w:rFonts w:ascii="Times New Roman" w:hAnsi="Times New Roman" w:cs="Times New Roman"/>
          <w:sz w:val="24"/>
          <w:szCs w:val="24"/>
        </w:rPr>
        <w:t>FPOs</w:t>
      </w:r>
      <w:proofErr w:type="gramEnd"/>
      <w:r w:rsidR="009E5EED" w:rsidRPr="009A1DFA">
        <w:rPr>
          <w:rFonts w:ascii="Times New Roman" w:hAnsi="Times New Roman" w:cs="Times New Roman"/>
          <w:sz w:val="24"/>
          <w:szCs w:val="24"/>
        </w:rPr>
        <w:t xml:space="preserve"> </w:t>
      </w:r>
      <w:r w:rsidR="00C17EC8" w:rsidRPr="009A1DFA">
        <w:rPr>
          <w:rFonts w:ascii="Times New Roman" w:hAnsi="Times New Roman" w:cs="Times New Roman"/>
          <w:sz w:val="24"/>
          <w:szCs w:val="24"/>
        </w:rPr>
        <w:t xml:space="preserve">till September 2024 </w:t>
      </w:r>
      <w:r w:rsidR="00C17EC8" w:rsidRPr="009A1DFA">
        <w:rPr>
          <w:rFonts w:ascii="Times New Roman" w:hAnsi="Times New Roman" w:cs="Times New Roman"/>
          <w:color w:val="4F81BD" w:themeColor="accent1"/>
          <w:sz w:val="24"/>
          <w:szCs w:val="24"/>
        </w:rPr>
        <w:t>(TCI Policy Brief, 2024).</w:t>
      </w:r>
    </w:p>
    <w:p w14:paraId="0AF990E6" w14:textId="77777777" w:rsidR="009F039F" w:rsidRPr="009A1DFA" w:rsidRDefault="00D25312" w:rsidP="00585ADA">
      <w:pPr>
        <w:autoSpaceDE w:val="0"/>
        <w:autoSpaceDN w:val="0"/>
        <w:adjustRightInd w:val="0"/>
        <w:spacing w:beforeLines="40" w:before="96" w:afterLines="40" w:after="96" w:line="240" w:lineRule="auto"/>
        <w:jc w:val="both"/>
        <w:rPr>
          <w:rFonts w:ascii="Times New Roman" w:hAnsi="Times New Roman" w:cs="Times New Roman"/>
          <w:b/>
          <w:sz w:val="24"/>
          <w:szCs w:val="24"/>
        </w:rPr>
      </w:pPr>
      <w:r w:rsidRPr="009A1DFA">
        <w:rPr>
          <w:rFonts w:ascii="Times New Roman" w:hAnsi="Times New Roman" w:cs="Times New Roman"/>
          <w:b/>
          <w:sz w:val="24"/>
          <w:szCs w:val="24"/>
        </w:rPr>
        <w:lastRenderedPageBreak/>
        <w:t>Behavioural science</w:t>
      </w:r>
      <w:r w:rsidRPr="009A1DFA">
        <w:rPr>
          <w:rFonts w:ascii="Times New Roman" w:hAnsi="Times New Roman" w:cs="Times New Roman"/>
          <w:sz w:val="24"/>
          <w:szCs w:val="24"/>
        </w:rPr>
        <w:t xml:space="preserve"> is the science of human decision making and </w:t>
      </w:r>
      <w:proofErr w:type="spellStart"/>
      <w:r w:rsidRPr="009A1DFA">
        <w:rPr>
          <w:rFonts w:ascii="Times New Roman" w:hAnsi="Times New Roman" w:cs="Times New Roman"/>
          <w:sz w:val="24"/>
          <w:szCs w:val="24"/>
        </w:rPr>
        <w:t>behaviour</w:t>
      </w:r>
      <w:proofErr w:type="spellEnd"/>
      <w:r w:rsidRPr="009A1DFA">
        <w:rPr>
          <w:rFonts w:ascii="Times New Roman" w:hAnsi="Times New Roman" w:cs="Times New Roman"/>
          <w:sz w:val="24"/>
          <w:szCs w:val="24"/>
        </w:rPr>
        <w:t xml:space="preserve">, and draws upon a range of interconnected fields including psychology, sociology, behavioural economics and marketing </w:t>
      </w:r>
      <w:r w:rsidRPr="009A1DFA">
        <w:rPr>
          <w:rFonts w:ascii="Times New Roman" w:hAnsi="Times New Roman" w:cs="Times New Roman"/>
          <w:color w:val="4F81BD" w:themeColor="accent1"/>
          <w:sz w:val="24"/>
          <w:szCs w:val="24"/>
        </w:rPr>
        <w:t>(Colman 2015).</w:t>
      </w:r>
      <w:r w:rsidRPr="009A1DFA">
        <w:rPr>
          <w:rFonts w:ascii="Times New Roman" w:hAnsi="Times New Roman" w:cs="Times New Roman"/>
          <w:sz w:val="24"/>
          <w:szCs w:val="24"/>
        </w:rPr>
        <w:t xml:space="preserve"> The field has also previously been </w:t>
      </w:r>
      <w:proofErr w:type="spellStart"/>
      <w:r w:rsidRPr="009A1DFA">
        <w:rPr>
          <w:rFonts w:ascii="Times New Roman" w:hAnsi="Times New Roman" w:cs="Times New Roman"/>
          <w:sz w:val="24"/>
          <w:szCs w:val="24"/>
        </w:rPr>
        <w:t>utilised</w:t>
      </w:r>
      <w:proofErr w:type="spellEnd"/>
      <w:r w:rsidRPr="009A1DFA">
        <w:rPr>
          <w:rFonts w:ascii="Times New Roman" w:hAnsi="Times New Roman" w:cs="Times New Roman"/>
          <w:sz w:val="24"/>
          <w:szCs w:val="24"/>
        </w:rPr>
        <w:t xml:space="preserve"> in agriculture and extension to understand farmers’ attitudes, perceptions, knowledge, values, and more broadly, the psychological factors associated with the adoption of farming practices and </w:t>
      </w:r>
      <w:r w:rsidRPr="009A1DFA">
        <w:rPr>
          <w:rFonts w:ascii="Times New Roman" w:hAnsi="Times New Roman" w:cs="Times New Roman"/>
          <w:color w:val="4F81BD" w:themeColor="accent1"/>
          <w:sz w:val="24"/>
          <w:szCs w:val="24"/>
        </w:rPr>
        <w:t xml:space="preserve">innovation (Tully 1967, cited in Murray-Prior </w:t>
      </w:r>
      <w:r w:rsidRPr="009A1DFA">
        <w:rPr>
          <w:rFonts w:ascii="Times New Roman" w:hAnsi="Times New Roman" w:cs="Times New Roman"/>
          <w:i/>
          <w:color w:val="4F81BD" w:themeColor="accent1"/>
          <w:sz w:val="24"/>
          <w:szCs w:val="24"/>
        </w:rPr>
        <w:t>et al.</w:t>
      </w:r>
      <w:r w:rsidRPr="009A1DFA">
        <w:rPr>
          <w:rFonts w:ascii="Times New Roman" w:hAnsi="Times New Roman" w:cs="Times New Roman"/>
          <w:color w:val="4F81BD" w:themeColor="accent1"/>
          <w:sz w:val="24"/>
          <w:szCs w:val="24"/>
        </w:rPr>
        <w:t xml:space="preserve"> 2006; Pickering </w:t>
      </w:r>
      <w:r w:rsidRPr="009A1DFA">
        <w:rPr>
          <w:rFonts w:ascii="Times New Roman" w:hAnsi="Times New Roman" w:cs="Times New Roman"/>
          <w:i/>
          <w:color w:val="4F81BD" w:themeColor="accent1"/>
          <w:sz w:val="24"/>
          <w:szCs w:val="24"/>
        </w:rPr>
        <w:t>et al</w:t>
      </w:r>
      <w:r w:rsidRPr="009A1DFA">
        <w:rPr>
          <w:rFonts w:ascii="Times New Roman" w:hAnsi="Times New Roman" w:cs="Times New Roman"/>
          <w:color w:val="4F81BD" w:themeColor="accent1"/>
          <w:sz w:val="24"/>
          <w:szCs w:val="24"/>
        </w:rPr>
        <w:t>. 2018)</w:t>
      </w:r>
      <w:r w:rsidRPr="009A1DFA">
        <w:rPr>
          <w:rFonts w:ascii="Times New Roman" w:hAnsi="Times New Roman" w:cs="Times New Roman"/>
          <w:sz w:val="24"/>
          <w:szCs w:val="24"/>
        </w:rPr>
        <w:t>.</w:t>
      </w:r>
      <w:r w:rsidR="00393127" w:rsidRPr="009A1DFA">
        <w:rPr>
          <w:rFonts w:ascii="Times New Roman" w:hAnsi="Times New Roman" w:cs="Times New Roman"/>
          <w:b/>
          <w:sz w:val="24"/>
          <w:szCs w:val="24"/>
        </w:rPr>
        <w:t xml:space="preserve"> </w:t>
      </w:r>
    </w:p>
    <w:p w14:paraId="23387A6F" w14:textId="7F8D4D9E" w:rsidR="009F039F" w:rsidRPr="009A1DFA" w:rsidRDefault="00393127" w:rsidP="00585ADA">
      <w:pPr>
        <w:autoSpaceDE w:val="0"/>
        <w:autoSpaceDN w:val="0"/>
        <w:adjustRightInd w:val="0"/>
        <w:spacing w:beforeLines="40" w:before="96" w:afterLines="40" w:after="96" w:line="240" w:lineRule="auto"/>
        <w:jc w:val="both"/>
        <w:rPr>
          <w:rFonts w:ascii="Times New Roman" w:hAnsi="Times New Roman" w:cs="Times New Roman"/>
          <w:sz w:val="24"/>
          <w:szCs w:val="24"/>
        </w:rPr>
      </w:pPr>
      <w:r w:rsidRPr="009A1DFA">
        <w:rPr>
          <w:rFonts w:ascii="Times New Roman" w:hAnsi="Times New Roman" w:cs="Times New Roman"/>
          <w:b/>
          <w:sz w:val="24"/>
          <w:szCs w:val="24"/>
        </w:rPr>
        <w:t xml:space="preserve">Human </w:t>
      </w:r>
      <w:proofErr w:type="spellStart"/>
      <w:r w:rsidRPr="009A1DFA">
        <w:rPr>
          <w:rFonts w:ascii="Times New Roman" w:hAnsi="Times New Roman" w:cs="Times New Roman"/>
          <w:b/>
          <w:sz w:val="24"/>
          <w:szCs w:val="24"/>
        </w:rPr>
        <w:t>behaviour</w:t>
      </w:r>
      <w:proofErr w:type="spellEnd"/>
      <w:r w:rsidRPr="009A1DFA">
        <w:rPr>
          <w:rFonts w:ascii="Times New Roman" w:hAnsi="Times New Roman" w:cs="Times New Roman"/>
          <w:sz w:val="24"/>
          <w:szCs w:val="24"/>
        </w:rPr>
        <w:t xml:space="preserve"> is influenced by a range of socio-psychological and environmental factors </w:t>
      </w:r>
      <w:r w:rsidRPr="009A1DFA">
        <w:rPr>
          <w:rFonts w:ascii="Times New Roman" w:hAnsi="Times New Roman" w:cs="Times New Roman"/>
          <w:color w:val="4F81BD" w:themeColor="accent1"/>
          <w:sz w:val="24"/>
          <w:szCs w:val="24"/>
        </w:rPr>
        <w:t>(Bronfenbrenner 1979).</w:t>
      </w:r>
      <w:r w:rsidRPr="009A1DFA">
        <w:rPr>
          <w:rFonts w:ascii="Times New Roman" w:hAnsi="Times New Roman" w:cs="Times New Roman"/>
          <w:sz w:val="24"/>
          <w:szCs w:val="24"/>
        </w:rPr>
        <w:t xml:space="preserve"> </w:t>
      </w:r>
      <w:proofErr w:type="spellStart"/>
      <w:r w:rsidR="00BF6DC1" w:rsidRPr="009A1DFA">
        <w:rPr>
          <w:rFonts w:ascii="Times New Roman" w:hAnsi="Times New Roman" w:cs="Times New Roman"/>
          <w:sz w:val="24"/>
          <w:szCs w:val="24"/>
        </w:rPr>
        <w:t>Behavioural</w:t>
      </w:r>
      <w:proofErr w:type="spellEnd"/>
      <w:r w:rsidR="00BF6DC1" w:rsidRPr="009A1DFA">
        <w:rPr>
          <w:rFonts w:ascii="Times New Roman" w:hAnsi="Times New Roman" w:cs="Times New Roman"/>
          <w:sz w:val="24"/>
          <w:szCs w:val="24"/>
        </w:rPr>
        <w:t xml:space="preserve"> theories stated by various authors are given below:</w:t>
      </w:r>
    </w:p>
    <w:tbl>
      <w:tblPr>
        <w:tblStyle w:val="TableGrid"/>
        <w:tblW w:w="0" w:type="auto"/>
        <w:tblInd w:w="108" w:type="dxa"/>
        <w:tblLook w:val="04A0" w:firstRow="1" w:lastRow="0" w:firstColumn="1" w:lastColumn="0" w:noHBand="0" w:noVBand="1"/>
      </w:tblPr>
      <w:tblGrid>
        <w:gridCol w:w="703"/>
        <w:gridCol w:w="2130"/>
        <w:gridCol w:w="6635"/>
      </w:tblGrid>
      <w:tr w:rsidR="00790D78" w:rsidRPr="009A1DFA" w14:paraId="0AEA3D48" w14:textId="77777777" w:rsidTr="007D5EE2">
        <w:tc>
          <w:tcPr>
            <w:tcW w:w="703" w:type="dxa"/>
          </w:tcPr>
          <w:p w14:paraId="48BDB49D" w14:textId="77777777" w:rsidR="00790D78" w:rsidRPr="009A1DFA" w:rsidRDefault="00790D78" w:rsidP="00585ADA">
            <w:pPr>
              <w:autoSpaceDE w:val="0"/>
              <w:autoSpaceDN w:val="0"/>
              <w:adjustRightInd w:val="0"/>
              <w:spacing w:beforeLines="40" w:before="96" w:afterLines="40" w:after="96"/>
              <w:jc w:val="both"/>
              <w:rPr>
                <w:rFonts w:ascii="Times New Roman" w:eastAsia="Times New Roman" w:hAnsi="Times New Roman" w:cs="Times New Roman"/>
                <w:sz w:val="24"/>
                <w:szCs w:val="24"/>
              </w:rPr>
            </w:pPr>
            <w:proofErr w:type="spellStart"/>
            <w:r w:rsidRPr="009A1DFA">
              <w:rPr>
                <w:rFonts w:ascii="Times New Roman" w:eastAsia="Times New Roman" w:hAnsi="Times New Roman" w:cs="Times New Roman"/>
                <w:sz w:val="24"/>
                <w:szCs w:val="24"/>
              </w:rPr>
              <w:t>S.No</w:t>
            </w:r>
            <w:proofErr w:type="spellEnd"/>
          </w:p>
        </w:tc>
        <w:tc>
          <w:tcPr>
            <w:tcW w:w="0" w:type="auto"/>
          </w:tcPr>
          <w:p w14:paraId="30C6BF08" w14:textId="77777777" w:rsidR="00790D78" w:rsidRPr="009A1DFA" w:rsidRDefault="00790D78" w:rsidP="00585ADA">
            <w:pPr>
              <w:autoSpaceDE w:val="0"/>
              <w:autoSpaceDN w:val="0"/>
              <w:adjustRightInd w:val="0"/>
              <w:spacing w:beforeLines="40" w:before="96" w:afterLines="40" w:after="96"/>
              <w:jc w:val="both"/>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Authors</w:t>
            </w:r>
          </w:p>
        </w:tc>
        <w:tc>
          <w:tcPr>
            <w:tcW w:w="6635" w:type="dxa"/>
          </w:tcPr>
          <w:p w14:paraId="539B6122" w14:textId="77777777" w:rsidR="00790D78" w:rsidRPr="009A1DFA" w:rsidRDefault="00021CFC" w:rsidP="00585ADA">
            <w:pPr>
              <w:autoSpaceDE w:val="0"/>
              <w:autoSpaceDN w:val="0"/>
              <w:adjustRightInd w:val="0"/>
              <w:spacing w:beforeLines="40" w:before="96" w:afterLines="40" w:after="96"/>
              <w:jc w:val="both"/>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Definitions</w:t>
            </w:r>
          </w:p>
        </w:tc>
      </w:tr>
      <w:tr w:rsidR="00790D78" w:rsidRPr="009A1DFA" w14:paraId="373FB613" w14:textId="77777777" w:rsidTr="007D5EE2">
        <w:tc>
          <w:tcPr>
            <w:tcW w:w="703" w:type="dxa"/>
          </w:tcPr>
          <w:p w14:paraId="573DA429" w14:textId="77777777" w:rsidR="00790D78" w:rsidRPr="009A1DFA" w:rsidRDefault="00790D78" w:rsidP="00585ADA">
            <w:pPr>
              <w:autoSpaceDE w:val="0"/>
              <w:autoSpaceDN w:val="0"/>
              <w:adjustRightInd w:val="0"/>
              <w:spacing w:beforeLines="40" w:before="96" w:afterLines="40" w:after="96"/>
              <w:jc w:val="both"/>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1</w:t>
            </w:r>
          </w:p>
        </w:tc>
        <w:tc>
          <w:tcPr>
            <w:tcW w:w="0" w:type="auto"/>
          </w:tcPr>
          <w:p w14:paraId="72CF8ACA" w14:textId="77777777" w:rsidR="00790D78" w:rsidRPr="009A1DFA" w:rsidRDefault="00790D78" w:rsidP="00585ADA">
            <w:pPr>
              <w:autoSpaceDE w:val="0"/>
              <w:autoSpaceDN w:val="0"/>
              <w:adjustRightInd w:val="0"/>
              <w:spacing w:beforeLines="40" w:before="96" w:afterLines="40" w:after="96"/>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Skinner (1972)</w:t>
            </w:r>
          </w:p>
        </w:tc>
        <w:tc>
          <w:tcPr>
            <w:tcW w:w="6635" w:type="dxa"/>
          </w:tcPr>
          <w:p w14:paraId="1F0C55AE" w14:textId="77777777" w:rsidR="00790D78" w:rsidRPr="009A1DFA" w:rsidRDefault="00B03460" w:rsidP="00585ADA">
            <w:pPr>
              <w:spacing w:beforeLines="40" w:before="96" w:afterLines="40" w:after="9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Behaviour</w:t>
            </w:r>
            <w:r w:rsidR="007B7B5D" w:rsidRPr="009A1DFA">
              <w:rPr>
                <w:rFonts w:ascii="Times New Roman" w:eastAsia="Times New Roman" w:hAnsi="Times New Roman" w:cs="Times New Roman"/>
                <w:sz w:val="24"/>
                <w:szCs w:val="24"/>
                <w:lang w:val="en-IN" w:eastAsia="en-IN"/>
              </w:rPr>
              <w:t xml:space="preserve"> is learned gradually, starting from simple actions. People often pick up </w:t>
            </w:r>
            <w:r w:rsidRPr="009A1DFA">
              <w:rPr>
                <w:rFonts w:ascii="Times New Roman" w:eastAsia="Times New Roman" w:hAnsi="Times New Roman" w:cs="Times New Roman"/>
                <w:sz w:val="24"/>
                <w:szCs w:val="24"/>
                <w:lang w:val="en-IN" w:eastAsia="en-IN"/>
              </w:rPr>
              <w:t>behaviour</w:t>
            </w:r>
            <w:r w:rsidR="007B7B5D" w:rsidRPr="009A1DFA">
              <w:rPr>
                <w:rFonts w:ascii="Times New Roman" w:eastAsia="Times New Roman" w:hAnsi="Times New Roman" w:cs="Times New Roman"/>
                <w:sz w:val="24"/>
                <w:szCs w:val="24"/>
                <w:lang w:val="en-IN" w:eastAsia="en-IN"/>
              </w:rPr>
              <w:t xml:space="preserve"> by observing others and copying them. Rewards or reinforcement play a key role, as they encourage people to repeat good </w:t>
            </w:r>
            <w:r w:rsidRPr="009A1DFA">
              <w:rPr>
                <w:rFonts w:ascii="Times New Roman" w:eastAsia="Times New Roman" w:hAnsi="Times New Roman" w:cs="Times New Roman"/>
                <w:sz w:val="24"/>
                <w:szCs w:val="24"/>
                <w:lang w:val="en-IN" w:eastAsia="en-IN"/>
              </w:rPr>
              <w:t>behaviour</w:t>
            </w:r>
            <w:r w:rsidR="007B7B5D" w:rsidRPr="009A1DFA">
              <w:rPr>
                <w:rFonts w:ascii="Times New Roman" w:eastAsia="Times New Roman" w:hAnsi="Times New Roman" w:cs="Times New Roman"/>
                <w:sz w:val="24"/>
                <w:szCs w:val="24"/>
                <w:lang w:val="en-IN" w:eastAsia="en-IN"/>
              </w:rPr>
              <w:t xml:space="preserve">. Over time, as this process continues, more complex </w:t>
            </w:r>
            <w:r w:rsidRPr="009A1DFA">
              <w:rPr>
                <w:rFonts w:ascii="Times New Roman" w:eastAsia="Times New Roman" w:hAnsi="Times New Roman" w:cs="Times New Roman"/>
                <w:sz w:val="24"/>
                <w:szCs w:val="24"/>
                <w:lang w:val="en-IN" w:eastAsia="en-IN"/>
              </w:rPr>
              <w:t>behaviour</w:t>
            </w:r>
            <w:r w:rsidR="007B7B5D" w:rsidRPr="009A1DFA">
              <w:rPr>
                <w:rFonts w:ascii="Times New Roman" w:eastAsia="Times New Roman" w:hAnsi="Times New Roman" w:cs="Times New Roman"/>
                <w:sz w:val="24"/>
                <w:szCs w:val="24"/>
                <w:lang w:val="en-IN" w:eastAsia="en-IN"/>
              </w:rPr>
              <w:t xml:space="preserve"> patterns begin to develop.</w:t>
            </w:r>
          </w:p>
        </w:tc>
      </w:tr>
      <w:tr w:rsidR="00790D78" w:rsidRPr="009A1DFA" w14:paraId="1E658C3C" w14:textId="77777777" w:rsidTr="007D5EE2">
        <w:tc>
          <w:tcPr>
            <w:tcW w:w="703" w:type="dxa"/>
          </w:tcPr>
          <w:p w14:paraId="2238C3C8" w14:textId="77777777" w:rsidR="00790D78" w:rsidRPr="009A1DFA" w:rsidRDefault="00790D78" w:rsidP="00585ADA">
            <w:pPr>
              <w:autoSpaceDE w:val="0"/>
              <w:autoSpaceDN w:val="0"/>
              <w:adjustRightInd w:val="0"/>
              <w:spacing w:beforeLines="40" w:before="96" w:afterLines="40" w:after="96"/>
              <w:jc w:val="both"/>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2</w:t>
            </w:r>
          </w:p>
        </w:tc>
        <w:tc>
          <w:tcPr>
            <w:tcW w:w="0" w:type="auto"/>
          </w:tcPr>
          <w:p w14:paraId="76BB9111" w14:textId="77777777" w:rsidR="00790D78" w:rsidRPr="009A1DFA" w:rsidRDefault="00790D78" w:rsidP="00585ADA">
            <w:pPr>
              <w:autoSpaceDE w:val="0"/>
              <w:autoSpaceDN w:val="0"/>
              <w:adjustRightInd w:val="0"/>
              <w:spacing w:beforeLines="40" w:before="96" w:afterLines="40" w:after="96"/>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Ajzen  and  Fishbein  (1980)</w:t>
            </w:r>
          </w:p>
        </w:tc>
        <w:tc>
          <w:tcPr>
            <w:tcW w:w="6635" w:type="dxa"/>
          </w:tcPr>
          <w:p w14:paraId="14B928F9" w14:textId="77777777" w:rsidR="00790D78" w:rsidRPr="009A1DFA" w:rsidRDefault="007B7B5D" w:rsidP="00585ADA">
            <w:pPr>
              <w:autoSpaceDE w:val="0"/>
              <w:autoSpaceDN w:val="0"/>
              <w:adjustRightInd w:val="0"/>
              <w:spacing w:beforeLines="40" w:before="96" w:afterLines="40" w:after="96"/>
              <w:jc w:val="both"/>
              <w:rPr>
                <w:rFonts w:ascii="Times New Roman" w:eastAsia="Times New Roman" w:hAnsi="Times New Roman" w:cs="Times New Roman"/>
                <w:sz w:val="24"/>
                <w:szCs w:val="24"/>
              </w:rPr>
            </w:pPr>
            <w:r w:rsidRPr="009A1DFA">
              <w:rPr>
                <w:rFonts w:ascii="Times New Roman" w:hAnsi="Times New Roman" w:cs="Times New Roman"/>
                <w:sz w:val="24"/>
                <w:szCs w:val="24"/>
              </w:rPr>
              <w:t xml:space="preserve">Once verbal communication is learned, individuals can start learning by understanding rules instead of just trial and error. This means not all </w:t>
            </w:r>
            <w:proofErr w:type="spellStart"/>
            <w:r w:rsidR="00B03460" w:rsidRPr="009A1DFA">
              <w:rPr>
                <w:rFonts w:ascii="Times New Roman" w:hAnsi="Times New Roman" w:cs="Times New Roman"/>
                <w:sz w:val="24"/>
                <w:szCs w:val="24"/>
              </w:rPr>
              <w:t>behaviour</w:t>
            </w:r>
            <w:proofErr w:type="spellEnd"/>
            <w:r w:rsidRPr="009A1DFA">
              <w:rPr>
                <w:rFonts w:ascii="Times New Roman" w:hAnsi="Times New Roman" w:cs="Times New Roman"/>
                <w:sz w:val="24"/>
                <w:szCs w:val="24"/>
              </w:rPr>
              <w:t xml:space="preserve"> has to be shaped through direct consequences; people can also follow instructions or rules they learn through language.</w:t>
            </w:r>
          </w:p>
        </w:tc>
      </w:tr>
      <w:tr w:rsidR="00790D78" w:rsidRPr="009A1DFA" w14:paraId="446C134C" w14:textId="77777777" w:rsidTr="007D5EE2">
        <w:tc>
          <w:tcPr>
            <w:tcW w:w="703" w:type="dxa"/>
          </w:tcPr>
          <w:p w14:paraId="38C1A0FB" w14:textId="77777777" w:rsidR="00790D78" w:rsidRPr="009A1DFA" w:rsidRDefault="00790D78" w:rsidP="00585ADA">
            <w:pPr>
              <w:autoSpaceDE w:val="0"/>
              <w:autoSpaceDN w:val="0"/>
              <w:adjustRightInd w:val="0"/>
              <w:spacing w:beforeLines="40" w:before="96" w:afterLines="40" w:after="96"/>
              <w:jc w:val="both"/>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3</w:t>
            </w:r>
          </w:p>
        </w:tc>
        <w:tc>
          <w:tcPr>
            <w:tcW w:w="0" w:type="auto"/>
          </w:tcPr>
          <w:p w14:paraId="77498616" w14:textId="77777777" w:rsidR="00790D78" w:rsidRPr="009A1DFA" w:rsidRDefault="00790D78" w:rsidP="00585ADA">
            <w:pPr>
              <w:autoSpaceDE w:val="0"/>
              <w:autoSpaceDN w:val="0"/>
              <w:adjustRightInd w:val="0"/>
              <w:spacing w:beforeLines="40" w:before="96" w:afterLines="40" w:after="96"/>
              <w:rPr>
                <w:rFonts w:ascii="Times New Roman" w:eastAsia="Times New Roman" w:hAnsi="Times New Roman" w:cs="Times New Roman"/>
                <w:sz w:val="24"/>
                <w:szCs w:val="24"/>
              </w:rPr>
            </w:pPr>
            <w:r w:rsidRPr="009A1DFA">
              <w:rPr>
                <w:rFonts w:ascii="Times New Roman" w:hAnsi="Times New Roman" w:cs="Times New Roman"/>
                <w:sz w:val="24"/>
                <w:szCs w:val="24"/>
                <w:shd w:val="clear" w:color="auto" w:fill="FFFFFF"/>
              </w:rPr>
              <w:t xml:space="preserve">Ajzen (1991)Theory of Planned </w:t>
            </w:r>
            <w:proofErr w:type="spellStart"/>
            <w:r w:rsidRPr="009A1DFA">
              <w:rPr>
                <w:rFonts w:ascii="Times New Roman" w:hAnsi="Times New Roman" w:cs="Times New Roman"/>
                <w:sz w:val="24"/>
                <w:szCs w:val="24"/>
                <w:shd w:val="clear" w:color="auto" w:fill="FFFFFF"/>
              </w:rPr>
              <w:t>Behaviour</w:t>
            </w:r>
            <w:proofErr w:type="spellEnd"/>
          </w:p>
        </w:tc>
        <w:tc>
          <w:tcPr>
            <w:tcW w:w="6635" w:type="dxa"/>
          </w:tcPr>
          <w:p w14:paraId="5AA9F014" w14:textId="77777777" w:rsidR="00790D78" w:rsidRPr="009A1DFA" w:rsidRDefault="007B7B5D" w:rsidP="00585ADA">
            <w:pPr>
              <w:autoSpaceDE w:val="0"/>
              <w:autoSpaceDN w:val="0"/>
              <w:adjustRightInd w:val="0"/>
              <w:spacing w:beforeLines="40" w:before="96" w:afterLines="40" w:after="96"/>
              <w:jc w:val="both"/>
              <w:rPr>
                <w:rFonts w:ascii="Times New Roman" w:hAnsi="Times New Roman" w:cs="Times New Roman"/>
                <w:sz w:val="24"/>
                <w:szCs w:val="24"/>
                <w:shd w:val="clear" w:color="auto" w:fill="FFFFFF"/>
              </w:rPr>
            </w:pPr>
            <w:r w:rsidRPr="009A1DFA">
              <w:rPr>
                <w:rFonts w:ascii="Times New Roman" w:hAnsi="Times New Roman" w:cs="Times New Roman"/>
                <w:sz w:val="24"/>
                <w:szCs w:val="24"/>
              </w:rPr>
              <w:t xml:space="preserve">According to the Theory of Planned </w:t>
            </w:r>
            <w:proofErr w:type="spellStart"/>
            <w:r w:rsidR="00B03460" w:rsidRPr="009A1DFA">
              <w:rPr>
                <w:rFonts w:ascii="Times New Roman" w:hAnsi="Times New Roman" w:cs="Times New Roman"/>
                <w:sz w:val="24"/>
                <w:szCs w:val="24"/>
              </w:rPr>
              <w:t>Behaviour</w:t>
            </w:r>
            <w:proofErr w:type="spellEnd"/>
            <w:r w:rsidRPr="009A1DFA">
              <w:rPr>
                <w:rFonts w:ascii="Times New Roman" w:hAnsi="Times New Roman" w:cs="Times New Roman"/>
                <w:sz w:val="24"/>
                <w:szCs w:val="24"/>
              </w:rPr>
              <w:t xml:space="preserve">, the strongest predictor of someone’s actions is their intention. This intention is shaped by their attitude toward the </w:t>
            </w:r>
            <w:proofErr w:type="spellStart"/>
            <w:r w:rsidR="00B03460" w:rsidRPr="009A1DFA">
              <w:rPr>
                <w:rFonts w:ascii="Times New Roman" w:hAnsi="Times New Roman" w:cs="Times New Roman"/>
                <w:sz w:val="24"/>
                <w:szCs w:val="24"/>
              </w:rPr>
              <w:t>behaviour</w:t>
            </w:r>
            <w:proofErr w:type="spellEnd"/>
            <w:r w:rsidRPr="009A1DFA">
              <w:rPr>
                <w:rFonts w:ascii="Times New Roman" w:hAnsi="Times New Roman" w:cs="Times New Roman"/>
                <w:sz w:val="24"/>
                <w:szCs w:val="24"/>
              </w:rPr>
              <w:t xml:space="preserve">, what they believe others expect of them (subjective norms), and how much control they feel they have over performing the </w:t>
            </w:r>
            <w:proofErr w:type="spellStart"/>
            <w:r w:rsidR="00B03460" w:rsidRPr="009A1DFA">
              <w:rPr>
                <w:rFonts w:ascii="Times New Roman" w:hAnsi="Times New Roman" w:cs="Times New Roman"/>
                <w:sz w:val="24"/>
                <w:szCs w:val="24"/>
              </w:rPr>
              <w:t>behaviour</w:t>
            </w:r>
            <w:proofErr w:type="spellEnd"/>
            <w:r w:rsidRPr="009A1DFA">
              <w:rPr>
                <w:rFonts w:ascii="Times New Roman" w:hAnsi="Times New Roman" w:cs="Times New Roman"/>
                <w:sz w:val="24"/>
                <w:szCs w:val="24"/>
              </w:rPr>
              <w:t xml:space="preserve">. The more positive these three factors are, the more likely the person is to carry out the </w:t>
            </w:r>
            <w:proofErr w:type="spellStart"/>
            <w:r w:rsidR="00B03460" w:rsidRPr="009A1DFA">
              <w:rPr>
                <w:rFonts w:ascii="Times New Roman" w:hAnsi="Times New Roman" w:cs="Times New Roman"/>
                <w:sz w:val="24"/>
                <w:szCs w:val="24"/>
              </w:rPr>
              <w:t>behaviour</w:t>
            </w:r>
            <w:proofErr w:type="spellEnd"/>
            <w:r w:rsidRPr="009A1DFA">
              <w:rPr>
                <w:rFonts w:ascii="Times New Roman" w:hAnsi="Times New Roman" w:cs="Times New Roman"/>
                <w:sz w:val="24"/>
                <w:szCs w:val="24"/>
              </w:rPr>
              <w:t>.</w:t>
            </w:r>
          </w:p>
        </w:tc>
      </w:tr>
      <w:tr w:rsidR="00790D78" w:rsidRPr="009A1DFA" w14:paraId="32841064" w14:textId="77777777" w:rsidTr="007D5EE2">
        <w:tc>
          <w:tcPr>
            <w:tcW w:w="703" w:type="dxa"/>
          </w:tcPr>
          <w:p w14:paraId="012D10E5" w14:textId="77777777" w:rsidR="00790D78" w:rsidRPr="009A1DFA" w:rsidRDefault="00790D78" w:rsidP="00585ADA">
            <w:pPr>
              <w:autoSpaceDE w:val="0"/>
              <w:autoSpaceDN w:val="0"/>
              <w:adjustRightInd w:val="0"/>
              <w:spacing w:beforeLines="40" w:before="96" w:afterLines="40" w:after="96"/>
              <w:jc w:val="both"/>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4</w:t>
            </w:r>
          </w:p>
        </w:tc>
        <w:tc>
          <w:tcPr>
            <w:tcW w:w="0" w:type="auto"/>
          </w:tcPr>
          <w:p w14:paraId="38EDE334" w14:textId="77777777" w:rsidR="00790D78" w:rsidRPr="009A1DFA" w:rsidRDefault="00790D78" w:rsidP="00585ADA">
            <w:pPr>
              <w:autoSpaceDE w:val="0"/>
              <w:autoSpaceDN w:val="0"/>
              <w:adjustRightInd w:val="0"/>
              <w:spacing w:beforeLines="40" w:before="96" w:afterLines="40" w:after="96"/>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Social  learning  theory (</w:t>
            </w:r>
            <w:r w:rsidRPr="009A1DFA">
              <w:rPr>
                <w:rFonts w:ascii="Times New Roman" w:hAnsi="Times New Roman" w:cs="Times New Roman"/>
                <w:sz w:val="24"/>
                <w:szCs w:val="24"/>
                <w:shd w:val="clear" w:color="auto" w:fill="FFFFFF"/>
              </w:rPr>
              <w:t>Bandura’s  (1997)</w:t>
            </w:r>
          </w:p>
        </w:tc>
        <w:tc>
          <w:tcPr>
            <w:tcW w:w="6635" w:type="dxa"/>
          </w:tcPr>
          <w:p w14:paraId="19321CB5" w14:textId="77777777" w:rsidR="00790D78" w:rsidRPr="009A1DFA" w:rsidRDefault="00B03460" w:rsidP="00585ADA">
            <w:pPr>
              <w:shd w:val="clear" w:color="auto" w:fill="FFFFFF"/>
              <w:spacing w:beforeLines="40" w:before="96" w:afterLines="40" w:after="96"/>
              <w:jc w:val="both"/>
              <w:rPr>
                <w:rFonts w:ascii="Times New Roman" w:eastAsia="Times New Roman" w:hAnsi="Times New Roman" w:cs="Times New Roman"/>
                <w:sz w:val="24"/>
                <w:szCs w:val="24"/>
              </w:rPr>
            </w:pPr>
            <w:r w:rsidRPr="009A1DFA">
              <w:rPr>
                <w:rFonts w:ascii="Times New Roman" w:hAnsi="Times New Roman" w:cs="Times New Roman"/>
                <w:sz w:val="24"/>
                <w:szCs w:val="24"/>
              </w:rPr>
              <w:t>Behaviour</w:t>
            </w:r>
            <w:r w:rsidR="007B7B5D" w:rsidRPr="009A1DFA">
              <w:rPr>
                <w:rFonts w:ascii="Times New Roman" w:hAnsi="Times New Roman" w:cs="Times New Roman"/>
                <w:sz w:val="24"/>
                <w:szCs w:val="24"/>
              </w:rPr>
              <w:t xml:space="preserve">al change depends on a combination of environmental, personal, and </w:t>
            </w:r>
            <w:proofErr w:type="spellStart"/>
            <w:r w:rsidRPr="009A1DFA">
              <w:rPr>
                <w:rFonts w:ascii="Times New Roman" w:hAnsi="Times New Roman" w:cs="Times New Roman"/>
                <w:sz w:val="24"/>
                <w:szCs w:val="24"/>
              </w:rPr>
              <w:t>behaviour</w:t>
            </w:r>
            <w:r w:rsidR="007B7B5D" w:rsidRPr="009A1DFA">
              <w:rPr>
                <w:rFonts w:ascii="Times New Roman" w:hAnsi="Times New Roman" w:cs="Times New Roman"/>
                <w:sz w:val="24"/>
                <w:szCs w:val="24"/>
              </w:rPr>
              <w:t>al</w:t>
            </w:r>
            <w:proofErr w:type="spellEnd"/>
            <w:r w:rsidR="007B7B5D" w:rsidRPr="009A1DFA">
              <w:rPr>
                <w:rFonts w:ascii="Times New Roman" w:hAnsi="Times New Roman" w:cs="Times New Roman"/>
                <w:sz w:val="24"/>
                <w:szCs w:val="24"/>
              </w:rPr>
              <w:t xml:space="preserve"> factors. Each of these influences the others. For example, a person’s thoughts can affect their actions, and their personality can influence how others respond to them. At the same time, the environment can shape a person’s traits and </w:t>
            </w:r>
            <w:proofErr w:type="spellStart"/>
            <w:r w:rsidRPr="009A1DFA">
              <w:rPr>
                <w:rFonts w:ascii="Times New Roman" w:hAnsi="Times New Roman" w:cs="Times New Roman"/>
                <w:sz w:val="24"/>
                <w:szCs w:val="24"/>
              </w:rPr>
              <w:t>behaviour</w:t>
            </w:r>
            <w:proofErr w:type="spellEnd"/>
            <w:r w:rsidR="007B7B5D" w:rsidRPr="009A1DFA">
              <w:rPr>
                <w:rFonts w:ascii="Times New Roman" w:hAnsi="Times New Roman" w:cs="Times New Roman"/>
                <w:sz w:val="24"/>
                <w:szCs w:val="24"/>
              </w:rPr>
              <w:t xml:space="preserve">. People can also change their surroundings through their </w:t>
            </w:r>
            <w:proofErr w:type="spellStart"/>
            <w:r w:rsidRPr="009A1DFA">
              <w:rPr>
                <w:rFonts w:ascii="Times New Roman" w:hAnsi="Times New Roman" w:cs="Times New Roman"/>
                <w:sz w:val="24"/>
                <w:szCs w:val="24"/>
              </w:rPr>
              <w:t>behaviour</w:t>
            </w:r>
            <w:proofErr w:type="spellEnd"/>
            <w:r w:rsidR="007B7B5D" w:rsidRPr="009A1DFA">
              <w:rPr>
                <w:rFonts w:ascii="Times New Roman" w:hAnsi="Times New Roman" w:cs="Times New Roman"/>
                <w:sz w:val="24"/>
                <w:szCs w:val="24"/>
              </w:rPr>
              <w:t xml:space="preserve"> and thinking.</w:t>
            </w:r>
          </w:p>
        </w:tc>
      </w:tr>
      <w:tr w:rsidR="00790D78" w:rsidRPr="009A1DFA" w14:paraId="7489125D" w14:textId="77777777" w:rsidTr="007D5EE2">
        <w:tc>
          <w:tcPr>
            <w:tcW w:w="703" w:type="dxa"/>
          </w:tcPr>
          <w:p w14:paraId="0F758E7E" w14:textId="77777777" w:rsidR="00790D78" w:rsidRPr="009A1DFA" w:rsidRDefault="00790D78" w:rsidP="00585ADA">
            <w:pPr>
              <w:autoSpaceDE w:val="0"/>
              <w:autoSpaceDN w:val="0"/>
              <w:adjustRightInd w:val="0"/>
              <w:spacing w:beforeLines="40" w:before="96" w:afterLines="40" w:after="96"/>
              <w:jc w:val="both"/>
              <w:rPr>
                <w:rFonts w:ascii="Times New Roman" w:eastAsia="Times New Roman" w:hAnsi="Times New Roman" w:cs="Times New Roman"/>
                <w:sz w:val="24"/>
                <w:szCs w:val="24"/>
              </w:rPr>
            </w:pPr>
            <w:r w:rsidRPr="009A1DFA">
              <w:rPr>
                <w:rFonts w:ascii="Times New Roman" w:eastAsia="Times New Roman" w:hAnsi="Times New Roman" w:cs="Times New Roman"/>
                <w:sz w:val="24"/>
                <w:szCs w:val="24"/>
              </w:rPr>
              <w:t>5</w:t>
            </w:r>
          </w:p>
        </w:tc>
        <w:tc>
          <w:tcPr>
            <w:tcW w:w="0" w:type="auto"/>
          </w:tcPr>
          <w:p w14:paraId="2BE83A29" w14:textId="77777777" w:rsidR="00790D78" w:rsidRPr="009A1DFA" w:rsidRDefault="00790D78" w:rsidP="00585ADA">
            <w:pPr>
              <w:autoSpaceDE w:val="0"/>
              <w:autoSpaceDN w:val="0"/>
              <w:adjustRightInd w:val="0"/>
              <w:spacing w:beforeLines="40" w:before="96" w:afterLines="40" w:after="96"/>
              <w:rPr>
                <w:rFonts w:ascii="Times New Roman" w:eastAsia="Times New Roman" w:hAnsi="Times New Roman" w:cs="Times New Roman"/>
                <w:sz w:val="24"/>
                <w:szCs w:val="24"/>
              </w:rPr>
            </w:pPr>
            <w:proofErr w:type="spellStart"/>
            <w:r w:rsidRPr="009A1DFA">
              <w:rPr>
                <w:rFonts w:ascii="Times New Roman" w:hAnsi="Times New Roman" w:cs="Times New Roman"/>
                <w:sz w:val="24"/>
                <w:szCs w:val="24"/>
                <w:shd w:val="clear" w:color="auto" w:fill="FFFFFF"/>
              </w:rPr>
              <w:t>Bergevoet</w:t>
            </w:r>
            <w:proofErr w:type="spellEnd"/>
            <w:r w:rsidRPr="009A1DFA">
              <w:rPr>
                <w:rFonts w:ascii="Times New Roman" w:hAnsi="Times New Roman" w:cs="Times New Roman"/>
                <w:sz w:val="24"/>
                <w:szCs w:val="24"/>
                <w:shd w:val="clear" w:color="auto" w:fill="FFFFFF"/>
              </w:rPr>
              <w:t xml:space="preserve"> </w:t>
            </w:r>
            <w:r w:rsidRPr="009A1DFA">
              <w:rPr>
                <w:rFonts w:ascii="Times New Roman" w:hAnsi="Times New Roman" w:cs="Times New Roman"/>
                <w:i/>
                <w:sz w:val="24"/>
                <w:szCs w:val="24"/>
                <w:shd w:val="clear" w:color="auto" w:fill="FFFFFF"/>
              </w:rPr>
              <w:t>et al.,</w:t>
            </w:r>
            <w:r w:rsidRPr="009A1DFA">
              <w:rPr>
                <w:rFonts w:ascii="Times New Roman" w:hAnsi="Times New Roman" w:cs="Times New Roman"/>
                <w:sz w:val="24"/>
                <w:szCs w:val="24"/>
                <w:shd w:val="clear" w:color="auto" w:fill="FFFFFF"/>
              </w:rPr>
              <w:t xml:space="preserve"> (2004)</w:t>
            </w:r>
          </w:p>
        </w:tc>
        <w:tc>
          <w:tcPr>
            <w:tcW w:w="6635" w:type="dxa"/>
          </w:tcPr>
          <w:p w14:paraId="070C0E31" w14:textId="77777777" w:rsidR="00790D78" w:rsidRPr="009A1DFA" w:rsidRDefault="007B7B5D" w:rsidP="00585ADA">
            <w:pPr>
              <w:autoSpaceDE w:val="0"/>
              <w:autoSpaceDN w:val="0"/>
              <w:adjustRightInd w:val="0"/>
              <w:spacing w:beforeLines="40" w:before="96" w:afterLines="40" w:after="96"/>
              <w:jc w:val="both"/>
              <w:rPr>
                <w:rFonts w:ascii="Times New Roman" w:hAnsi="Times New Roman" w:cs="Times New Roman"/>
                <w:sz w:val="24"/>
                <w:szCs w:val="24"/>
                <w:shd w:val="clear" w:color="auto" w:fill="FFFFFF"/>
              </w:rPr>
            </w:pPr>
            <w:r w:rsidRPr="009A1DFA">
              <w:rPr>
                <w:rFonts w:ascii="Times New Roman" w:hAnsi="Times New Roman" w:cs="Times New Roman"/>
                <w:sz w:val="24"/>
                <w:szCs w:val="24"/>
              </w:rPr>
              <w:t xml:space="preserve">A person’s </w:t>
            </w:r>
            <w:proofErr w:type="spellStart"/>
            <w:r w:rsidR="00B03460" w:rsidRPr="009A1DFA">
              <w:rPr>
                <w:rFonts w:ascii="Times New Roman" w:hAnsi="Times New Roman" w:cs="Times New Roman"/>
                <w:sz w:val="24"/>
                <w:szCs w:val="24"/>
              </w:rPr>
              <w:t>behaviour</w:t>
            </w:r>
            <w:proofErr w:type="spellEnd"/>
            <w:r w:rsidRPr="009A1DFA">
              <w:rPr>
                <w:rFonts w:ascii="Times New Roman" w:hAnsi="Times New Roman" w:cs="Times New Roman"/>
                <w:sz w:val="24"/>
                <w:szCs w:val="24"/>
              </w:rPr>
              <w:t xml:space="preserve"> is influenced by their goals, intentions, attitudes, control over their actions, and social norms. The pressure they feel from others to act in a certain way comes from </w:t>
            </w:r>
            <w:r w:rsidRPr="009A1DFA">
              <w:rPr>
                <w:rStyle w:val="Strong"/>
                <w:rFonts w:ascii="Times New Roman" w:hAnsi="Times New Roman" w:cs="Times New Roman"/>
                <w:b w:val="0"/>
                <w:sz w:val="24"/>
                <w:szCs w:val="24"/>
              </w:rPr>
              <w:t>normative beliefs</w:t>
            </w:r>
            <w:r w:rsidRPr="009A1DFA">
              <w:rPr>
                <w:rFonts w:ascii="Times New Roman" w:hAnsi="Times New Roman" w:cs="Times New Roman"/>
                <w:b/>
                <w:sz w:val="24"/>
                <w:szCs w:val="24"/>
              </w:rPr>
              <w:t xml:space="preserve">, </w:t>
            </w:r>
            <w:r w:rsidRPr="009A1DFA">
              <w:rPr>
                <w:rFonts w:ascii="Times New Roman" w:hAnsi="Times New Roman" w:cs="Times New Roman"/>
                <w:sz w:val="24"/>
                <w:szCs w:val="24"/>
              </w:rPr>
              <w:t xml:space="preserve">which are based on how much they believe </w:t>
            </w:r>
            <w:r w:rsidR="007D5EE2" w:rsidRPr="009A1DFA">
              <w:rPr>
                <w:rFonts w:ascii="Times New Roman" w:hAnsi="Times New Roman" w:cs="Times New Roman"/>
                <w:sz w:val="24"/>
                <w:szCs w:val="24"/>
              </w:rPr>
              <w:t xml:space="preserve">important people </w:t>
            </w:r>
            <w:r w:rsidRPr="009A1DFA">
              <w:rPr>
                <w:rFonts w:ascii="Times New Roman" w:hAnsi="Times New Roman" w:cs="Times New Roman"/>
                <w:sz w:val="24"/>
                <w:szCs w:val="24"/>
              </w:rPr>
              <w:t>around them expect them to behave in a certain manner.</w:t>
            </w:r>
          </w:p>
        </w:tc>
      </w:tr>
    </w:tbl>
    <w:p w14:paraId="49926C33" w14:textId="54456FD0" w:rsidR="005C38F8" w:rsidRPr="009A1DFA" w:rsidRDefault="0057657D" w:rsidP="00585ADA">
      <w:pPr>
        <w:spacing w:beforeLines="40" w:before="96" w:afterLines="40" w:after="96" w:line="240" w:lineRule="auto"/>
        <w:jc w:val="both"/>
        <w:outlineLvl w:val="2"/>
        <w:rPr>
          <w:rFonts w:ascii="Times New Roman" w:eastAsia="Times New Roman" w:hAnsi="Times New Roman" w:cs="Times New Roman"/>
          <w:bCs/>
          <w:sz w:val="24"/>
          <w:szCs w:val="24"/>
          <w:lang w:val="en-IN" w:eastAsia="en-IN"/>
        </w:rPr>
      </w:pPr>
      <w:r w:rsidRPr="009A1DFA">
        <w:rPr>
          <w:rFonts w:ascii="Times New Roman" w:eastAsia="Times New Roman" w:hAnsi="Times New Roman" w:cs="Times New Roman"/>
          <w:bCs/>
          <w:sz w:val="24"/>
          <w:szCs w:val="24"/>
          <w:lang w:val="en-IN" w:eastAsia="en-IN"/>
        </w:rPr>
        <w:t xml:space="preserve">Table </w:t>
      </w:r>
      <w:r w:rsidR="00D6380F">
        <w:rPr>
          <w:rFonts w:ascii="Times New Roman" w:eastAsia="Times New Roman" w:hAnsi="Times New Roman" w:cs="Times New Roman"/>
          <w:bCs/>
          <w:sz w:val="24"/>
          <w:szCs w:val="24"/>
          <w:lang w:val="en-IN" w:eastAsia="en-IN"/>
        </w:rPr>
        <w:t>1</w:t>
      </w:r>
      <w:r w:rsidRPr="009A1DFA">
        <w:rPr>
          <w:rFonts w:ascii="Times New Roman" w:eastAsia="Times New Roman" w:hAnsi="Times New Roman" w:cs="Times New Roman"/>
          <w:bCs/>
          <w:sz w:val="24"/>
          <w:szCs w:val="24"/>
          <w:lang w:val="en-IN" w:eastAsia="en-IN"/>
        </w:rPr>
        <w:t>: Authors compilation on Behavioural Theories</w:t>
      </w:r>
    </w:p>
    <w:p w14:paraId="114DC875" w14:textId="77777777" w:rsidR="005C38F8" w:rsidRPr="009A1DFA" w:rsidRDefault="005C38F8" w:rsidP="00585ADA">
      <w:pPr>
        <w:spacing w:beforeLines="40" w:before="96" w:afterLines="40" w:after="96" w:line="240" w:lineRule="auto"/>
        <w:jc w:val="both"/>
        <w:outlineLvl w:val="2"/>
        <w:rPr>
          <w:rFonts w:ascii="Times New Roman" w:eastAsia="Times New Roman" w:hAnsi="Times New Roman" w:cs="Times New Roman"/>
          <w:b/>
          <w:bCs/>
          <w:sz w:val="24"/>
          <w:szCs w:val="24"/>
          <w:lang w:val="en-IN" w:eastAsia="en-IN"/>
        </w:rPr>
      </w:pPr>
    </w:p>
    <w:p w14:paraId="700FE181" w14:textId="77777777" w:rsidR="0066364A" w:rsidRPr="009A1DFA" w:rsidRDefault="0066364A" w:rsidP="00585ADA">
      <w:pPr>
        <w:spacing w:beforeLines="40" w:before="96" w:afterLines="40" w:after="96" w:line="240" w:lineRule="auto"/>
        <w:jc w:val="both"/>
        <w:outlineLvl w:val="2"/>
        <w:rPr>
          <w:rFonts w:ascii="Times New Roman" w:eastAsia="Times New Roman" w:hAnsi="Times New Roman" w:cs="Times New Roman"/>
          <w:b/>
          <w:bCs/>
          <w:sz w:val="24"/>
          <w:szCs w:val="24"/>
          <w:lang w:val="en-IN" w:eastAsia="en-IN"/>
        </w:rPr>
      </w:pPr>
      <w:r w:rsidRPr="009A1DFA">
        <w:rPr>
          <w:rFonts w:ascii="Times New Roman" w:eastAsia="Times New Roman" w:hAnsi="Times New Roman" w:cs="Times New Roman"/>
          <w:b/>
          <w:bCs/>
          <w:sz w:val="24"/>
          <w:szCs w:val="24"/>
          <w:lang w:val="en-IN" w:eastAsia="en-IN"/>
        </w:rPr>
        <w:t>Theoretical Underpinnings of Behaviour in FPO Contexts</w:t>
      </w:r>
    </w:p>
    <w:p w14:paraId="2C4B0A20" w14:textId="77777777" w:rsidR="0066364A" w:rsidRPr="009A1DFA" w:rsidRDefault="0066364A" w:rsidP="00585ADA">
      <w:pPr>
        <w:spacing w:beforeLines="40" w:before="96" w:afterLines="40" w:after="96" w:line="240" w:lineRule="auto"/>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The </w:t>
      </w:r>
      <w:r w:rsidR="00B03460" w:rsidRPr="009A1DFA">
        <w:rPr>
          <w:rFonts w:ascii="Times New Roman" w:eastAsia="Times New Roman" w:hAnsi="Times New Roman" w:cs="Times New Roman"/>
          <w:sz w:val="24"/>
          <w:szCs w:val="24"/>
          <w:lang w:val="en-IN" w:eastAsia="en-IN"/>
        </w:rPr>
        <w:t>behaviour</w:t>
      </w:r>
      <w:r w:rsidRPr="009A1DFA">
        <w:rPr>
          <w:rFonts w:ascii="Times New Roman" w:eastAsia="Times New Roman" w:hAnsi="Times New Roman" w:cs="Times New Roman"/>
          <w:sz w:val="24"/>
          <w:szCs w:val="24"/>
          <w:lang w:val="en-IN" w:eastAsia="en-IN"/>
        </w:rPr>
        <w:t xml:space="preserve"> of individuals, including members of FPOs, is essentially governed by two overarching factors: intrinsic individual disposition and perce</w:t>
      </w:r>
      <w:r w:rsidR="007D5EE2" w:rsidRPr="009A1DFA">
        <w:rPr>
          <w:rFonts w:ascii="Times New Roman" w:eastAsia="Times New Roman" w:hAnsi="Times New Roman" w:cs="Times New Roman"/>
          <w:sz w:val="24"/>
          <w:szCs w:val="24"/>
          <w:lang w:val="en-IN" w:eastAsia="en-IN"/>
        </w:rPr>
        <w:t xml:space="preserve">ived social pressure. The first </w:t>
      </w:r>
      <w:r w:rsidRPr="009A1DFA">
        <w:rPr>
          <w:rFonts w:ascii="Times New Roman" w:eastAsia="Times New Roman" w:hAnsi="Times New Roman" w:cs="Times New Roman"/>
          <w:sz w:val="24"/>
          <w:szCs w:val="24"/>
          <w:lang w:val="en-IN" w:eastAsia="en-IN"/>
        </w:rPr>
        <w:t xml:space="preserve">termed "attitude toward the </w:t>
      </w:r>
      <w:r w:rsidR="00B03460" w:rsidRPr="009A1DFA">
        <w:rPr>
          <w:rFonts w:ascii="Times New Roman" w:eastAsia="Times New Roman" w:hAnsi="Times New Roman" w:cs="Times New Roman"/>
          <w:sz w:val="24"/>
          <w:szCs w:val="24"/>
          <w:lang w:val="en-IN" w:eastAsia="en-IN"/>
        </w:rPr>
        <w:t>behaviour</w:t>
      </w:r>
      <w:r w:rsidR="007D5EE2" w:rsidRPr="009A1DFA">
        <w:rPr>
          <w:rFonts w:ascii="Times New Roman" w:eastAsia="Times New Roman" w:hAnsi="Times New Roman" w:cs="Times New Roman"/>
          <w:sz w:val="24"/>
          <w:szCs w:val="24"/>
          <w:lang w:val="en-IN" w:eastAsia="en-IN"/>
        </w:rPr>
        <w:t xml:space="preserve">" </w:t>
      </w:r>
      <w:r w:rsidRPr="009A1DFA">
        <w:rPr>
          <w:rFonts w:ascii="Times New Roman" w:eastAsia="Times New Roman" w:hAnsi="Times New Roman" w:cs="Times New Roman"/>
          <w:sz w:val="24"/>
          <w:szCs w:val="24"/>
          <w:lang w:val="en-IN" w:eastAsia="en-IN"/>
        </w:rPr>
        <w:t>reflects the individual’s evaluation, whether positive or negative, regarding the performance of a specific action. This is influenced by personal feelings and values. The seco</w:t>
      </w:r>
      <w:r w:rsidR="007D5EE2" w:rsidRPr="009A1DFA">
        <w:rPr>
          <w:rFonts w:ascii="Times New Roman" w:eastAsia="Times New Roman" w:hAnsi="Times New Roman" w:cs="Times New Roman"/>
          <w:sz w:val="24"/>
          <w:szCs w:val="24"/>
          <w:lang w:val="en-IN" w:eastAsia="en-IN"/>
        </w:rPr>
        <w:t xml:space="preserve">nd termed the "subjective norm" </w:t>
      </w:r>
      <w:r w:rsidRPr="009A1DFA">
        <w:rPr>
          <w:rFonts w:ascii="Times New Roman" w:eastAsia="Times New Roman" w:hAnsi="Times New Roman" w:cs="Times New Roman"/>
          <w:sz w:val="24"/>
          <w:szCs w:val="24"/>
          <w:lang w:val="en-IN" w:eastAsia="en-IN"/>
        </w:rPr>
        <w:t xml:space="preserve">is the individual’s perception of social pressure to engage or not engage in a particular </w:t>
      </w:r>
      <w:r w:rsidR="00B03460" w:rsidRPr="009A1DFA">
        <w:rPr>
          <w:rFonts w:ascii="Times New Roman" w:eastAsia="Times New Roman" w:hAnsi="Times New Roman" w:cs="Times New Roman"/>
          <w:sz w:val="24"/>
          <w:szCs w:val="24"/>
          <w:lang w:val="en-IN" w:eastAsia="en-IN"/>
        </w:rPr>
        <w:t>behaviour</w:t>
      </w:r>
      <w:r w:rsidRPr="009A1DFA">
        <w:rPr>
          <w:rFonts w:ascii="Times New Roman" w:eastAsia="Times New Roman" w:hAnsi="Times New Roman" w:cs="Times New Roman"/>
          <w:sz w:val="24"/>
          <w:szCs w:val="24"/>
          <w:lang w:val="en-IN" w:eastAsia="en-IN"/>
        </w:rPr>
        <w:t>. In the FPO context, both these dimensions significantly shape participation, commitment, and adaptation to group norms.</w:t>
      </w:r>
    </w:p>
    <w:p w14:paraId="55D035A1" w14:textId="77777777" w:rsidR="0066364A" w:rsidRPr="009A1DFA" w:rsidRDefault="0066364A" w:rsidP="00585ADA">
      <w:pPr>
        <w:spacing w:beforeLines="40" w:before="96" w:afterLines="40" w:after="96" w:line="240" w:lineRule="auto"/>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Understanding these dynamics is crucial for extension professionals and policymakers aiming to support </w:t>
      </w:r>
      <w:r w:rsidR="00B03460" w:rsidRPr="009A1DFA">
        <w:rPr>
          <w:rFonts w:ascii="Times New Roman" w:eastAsia="Times New Roman" w:hAnsi="Times New Roman" w:cs="Times New Roman"/>
          <w:sz w:val="24"/>
          <w:szCs w:val="24"/>
          <w:lang w:val="en-IN" w:eastAsia="en-IN"/>
        </w:rPr>
        <w:t>behavioural</w:t>
      </w:r>
      <w:r w:rsidRPr="009A1DFA">
        <w:rPr>
          <w:rFonts w:ascii="Times New Roman" w:eastAsia="Times New Roman" w:hAnsi="Times New Roman" w:cs="Times New Roman"/>
          <w:sz w:val="24"/>
          <w:szCs w:val="24"/>
          <w:lang w:val="en-IN" w:eastAsia="en-IN"/>
        </w:rPr>
        <w:t xml:space="preserve"> change in FPOs.</w:t>
      </w:r>
    </w:p>
    <w:p w14:paraId="2FA650AF" w14:textId="77777777" w:rsidR="0066364A" w:rsidRPr="009A1DFA" w:rsidRDefault="0066364A" w:rsidP="00585ADA">
      <w:pPr>
        <w:spacing w:beforeLines="40" w:before="96" w:afterLines="40" w:after="96" w:line="240" w:lineRule="auto"/>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The Social Identity Approach, introduced by Tajfel &amp; Turner (1979) and further developed by Turner et al. (1987), posits that individuals derive part of their identity from membership in various social groups, such as occupational or geographical groups. This sense of belonging profoundly shapes their </w:t>
      </w:r>
      <w:r w:rsidR="00B03460" w:rsidRPr="009A1DFA">
        <w:rPr>
          <w:rFonts w:ascii="Times New Roman" w:eastAsia="Times New Roman" w:hAnsi="Times New Roman" w:cs="Times New Roman"/>
          <w:sz w:val="24"/>
          <w:szCs w:val="24"/>
          <w:lang w:val="en-IN" w:eastAsia="en-IN"/>
        </w:rPr>
        <w:t>behaviour</w:t>
      </w:r>
      <w:r w:rsidRPr="009A1DFA">
        <w:rPr>
          <w:rFonts w:ascii="Times New Roman" w:eastAsia="Times New Roman" w:hAnsi="Times New Roman" w:cs="Times New Roman"/>
          <w:sz w:val="24"/>
          <w:szCs w:val="24"/>
          <w:lang w:val="en-IN" w:eastAsia="en-IN"/>
        </w:rPr>
        <w:t>, beliefs, and values. For FPO members, their identification with the farming community or with the FPO itself influences their inclination toward collective goals, adoption of best practices, and alignment with group norms.</w:t>
      </w:r>
    </w:p>
    <w:p w14:paraId="1A721255" w14:textId="77777777" w:rsidR="0066364A" w:rsidRPr="009A1DFA" w:rsidRDefault="0066364A" w:rsidP="00585ADA">
      <w:pPr>
        <w:spacing w:beforeLines="40" w:before="96" w:afterLines="40" w:after="96" w:line="240" w:lineRule="auto"/>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Research by Jetten </w:t>
      </w:r>
      <w:r w:rsidRPr="009A1DFA">
        <w:rPr>
          <w:rFonts w:ascii="Times New Roman" w:eastAsia="Times New Roman" w:hAnsi="Times New Roman" w:cs="Times New Roman"/>
          <w:i/>
          <w:sz w:val="24"/>
          <w:szCs w:val="24"/>
          <w:lang w:val="en-IN" w:eastAsia="en-IN"/>
        </w:rPr>
        <w:t>et al.</w:t>
      </w:r>
      <w:r w:rsidRPr="009A1DFA">
        <w:rPr>
          <w:rFonts w:ascii="Times New Roman" w:eastAsia="Times New Roman" w:hAnsi="Times New Roman" w:cs="Times New Roman"/>
          <w:sz w:val="24"/>
          <w:szCs w:val="24"/>
          <w:lang w:val="en-IN" w:eastAsia="en-IN"/>
        </w:rPr>
        <w:t xml:space="preserve"> (2017) and Sparkman &amp; Walton (2019) reveals that group identity not only boosts self-esteem but also dictates what is considered "normal" </w:t>
      </w:r>
      <w:r w:rsidR="00B03460" w:rsidRPr="009A1DFA">
        <w:rPr>
          <w:rFonts w:ascii="Times New Roman" w:eastAsia="Times New Roman" w:hAnsi="Times New Roman" w:cs="Times New Roman"/>
          <w:sz w:val="24"/>
          <w:szCs w:val="24"/>
          <w:lang w:val="en-IN" w:eastAsia="en-IN"/>
        </w:rPr>
        <w:t>behaviour</w:t>
      </w:r>
      <w:r w:rsidRPr="009A1DFA">
        <w:rPr>
          <w:rFonts w:ascii="Times New Roman" w:eastAsia="Times New Roman" w:hAnsi="Times New Roman" w:cs="Times New Roman"/>
          <w:sz w:val="24"/>
          <w:szCs w:val="24"/>
          <w:lang w:val="en-IN" w:eastAsia="en-IN"/>
        </w:rPr>
        <w:t xml:space="preserve">. Historical insights by Tully (1964) and contemporary studies like Fielding et al. (2008) demonstrate that farmers are heavily influenced by peer norms when deciding whether to adopt new practices. The Social Cognitive Theory by Bandura &amp; Walters (1977) supports this by explaining that individuals model the </w:t>
      </w:r>
      <w:r w:rsidR="00B03460" w:rsidRPr="009A1DFA">
        <w:rPr>
          <w:rFonts w:ascii="Times New Roman" w:eastAsia="Times New Roman" w:hAnsi="Times New Roman" w:cs="Times New Roman"/>
          <w:sz w:val="24"/>
          <w:szCs w:val="24"/>
          <w:lang w:val="en-IN" w:eastAsia="en-IN"/>
        </w:rPr>
        <w:t>behaviour</w:t>
      </w:r>
      <w:r w:rsidRPr="009A1DFA">
        <w:rPr>
          <w:rFonts w:ascii="Times New Roman" w:eastAsia="Times New Roman" w:hAnsi="Times New Roman" w:cs="Times New Roman"/>
          <w:sz w:val="24"/>
          <w:szCs w:val="24"/>
          <w:lang w:val="en-IN" w:eastAsia="en-IN"/>
        </w:rPr>
        <w:t>s they observe within their social group, reinforcing the spread of new practices.</w:t>
      </w:r>
    </w:p>
    <w:p w14:paraId="253608AB" w14:textId="77777777" w:rsidR="0066364A" w:rsidRPr="009A1DFA" w:rsidRDefault="0066364A" w:rsidP="00585ADA">
      <w:pPr>
        <w:spacing w:beforeLines="40" w:before="96" w:afterLines="40" w:after="96" w:line="240" w:lineRule="auto"/>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Terry et al. (1999) emphasize that people look to their peer groups for cues on </w:t>
      </w:r>
      <w:r w:rsidR="00B03460" w:rsidRPr="009A1DFA">
        <w:rPr>
          <w:rFonts w:ascii="Times New Roman" w:eastAsia="Times New Roman" w:hAnsi="Times New Roman" w:cs="Times New Roman"/>
          <w:sz w:val="24"/>
          <w:szCs w:val="24"/>
          <w:lang w:val="en-IN" w:eastAsia="en-IN"/>
        </w:rPr>
        <w:t>behaviour</w:t>
      </w:r>
      <w:r w:rsidRPr="009A1DFA">
        <w:rPr>
          <w:rFonts w:ascii="Times New Roman" w:eastAsia="Times New Roman" w:hAnsi="Times New Roman" w:cs="Times New Roman"/>
          <w:sz w:val="24"/>
          <w:szCs w:val="24"/>
          <w:lang w:val="en-IN" w:eastAsia="en-IN"/>
        </w:rPr>
        <w:t xml:space="preserve">, and over time, interaction among FPO members leads to shared norms, values, and beliefs. This process facilitates the adoption of innovations and best practices within FPOs. Thus, </w:t>
      </w:r>
      <w:r w:rsidR="00B03460" w:rsidRPr="009A1DFA">
        <w:rPr>
          <w:rFonts w:ascii="Times New Roman" w:eastAsia="Times New Roman" w:hAnsi="Times New Roman" w:cs="Times New Roman"/>
          <w:sz w:val="24"/>
          <w:szCs w:val="24"/>
          <w:lang w:val="en-IN" w:eastAsia="en-IN"/>
        </w:rPr>
        <w:t>behaviour</w:t>
      </w:r>
      <w:r w:rsidRPr="009A1DFA">
        <w:rPr>
          <w:rFonts w:ascii="Times New Roman" w:eastAsia="Times New Roman" w:hAnsi="Times New Roman" w:cs="Times New Roman"/>
          <w:sz w:val="24"/>
          <w:szCs w:val="24"/>
          <w:lang w:val="en-IN" w:eastAsia="en-IN"/>
        </w:rPr>
        <w:t>al science provides a powerful foundation for designing extension strategies that promote peer interaction and shared identities within FPOs.</w:t>
      </w:r>
    </w:p>
    <w:p w14:paraId="24F74E08" w14:textId="77777777" w:rsidR="00853C66" w:rsidRPr="009A1DFA" w:rsidRDefault="00853C66" w:rsidP="00585ADA">
      <w:pPr>
        <w:spacing w:beforeLines="40" w:before="96" w:afterLines="40" w:after="96" w:line="240" w:lineRule="auto"/>
        <w:jc w:val="both"/>
        <w:rPr>
          <w:rFonts w:ascii="Times New Roman" w:eastAsia="Times New Roman" w:hAnsi="Times New Roman" w:cs="Times New Roman"/>
          <w:sz w:val="24"/>
          <w:szCs w:val="24"/>
          <w:lang w:val="en-IN" w:eastAsia="en-IN"/>
        </w:rPr>
      </w:pPr>
      <w:r w:rsidRPr="009A1DFA">
        <w:rPr>
          <w:rFonts w:ascii="Times New Roman" w:hAnsi="Times New Roman" w:cs="Times New Roman"/>
          <w:sz w:val="24"/>
          <w:szCs w:val="24"/>
        </w:rPr>
        <w:t>This review highlights the pivotal role of behavioral traits in enhancing the functionality and sustainability of Farmer Producer Organizations (FPOs) in India. Core traits such as innovativeness, decision-making, risk-bearing, motivation, business acumen, communication, and credit orientation significantly influence member participation and organizational performance. These behaviors shaped by social identity and reinforced through peer learning and observational mechanisms, are essential for fostering effective collective action. Understanding their role is crucial for developing behavior-centric interventions and policy frameworks that strengthen FPOs as both economic and social institutions.</w:t>
      </w:r>
    </w:p>
    <w:p w14:paraId="3E794E71" w14:textId="77777777" w:rsidR="00EE561F" w:rsidRPr="009A1DFA" w:rsidRDefault="00EE561F" w:rsidP="00585ADA">
      <w:pPr>
        <w:pStyle w:val="NormalWeb"/>
        <w:spacing w:beforeLines="40" w:before="96" w:beforeAutospacing="0" w:afterLines="40" w:after="96" w:afterAutospacing="0"/>
        <w:jc w:val="both"/>
        <w:rPr>
          <w:b/>
        </w:rPr>
      </w:pPr>
      <w:r w:rsidRPr="009A1DFA">
        <w:rPr>
          <w:b/>
        </w:rPr>
        <w:t>1. Innovativeness</w:t>
      </w:r>
    </w:p>
    <w:p w14:paraId="4EC30E1B" w14:textId="77777777" w:rsidR="00EE561F" w:rsidRPr="009A1DFA" w:rsidRDefault="00EE561F" w:rsidP="00585ADA">
      <w:pPr>
        <w:pStyle w:val="NormalWeb"/>
        <w:spacing w:beforeLines="40" w:before="96" w:beforeAutospacing="0" w:afterLines="40" w:after="96" w:afterAutospacing="0"/>
        <w:jc w:val="both"/>
      </w:pPr>
      <w:r w:rsidRPr="009A1DFA">
        <w:t xml:space="preserve">Innovativeness, defined as the propensity of individuals to adopt novel technologies, practices, and approaches, is a critical determinant of progressive agricultural behavior within Farmer Producer Organizations (FPOs). Jose </w:t>
      </w:r>
      <w:r w:rsidRPr="009A1DFA">
        <w:rPr>
          <w:i/>
        </w:rPr>
        <w:t xml:space="preserve">et al. </w:t>
      </w:r>
      <w:r w:rsidRPr="009A1DFA">
        <w:t xml:space="preserve">(2023) reported that 76.67% of FPO members in Kerala exhibited moderate levels of innovativeness, suggesting a balanced receptiveness to innovation. Consistent findings by Wankhade </w:t>
      </w:r>
      <w:r w:rsidRPr="009A1DFA">
        <w:rPr>
          <w:i/>
        </w:rPr>
        <w:t>et al.</w:t>
      </w:r>
      <w:r w:rsidRPr="009A1DFA">
        <w:t xml:space="preserve"> (2013) and Kumar </w:t>
      </w:r>
      <w:r w:rsidRPr="009A1DFA">
        <w:rPr>
          <w:i/>
        </w:rPr>
        <w:t>et al.</w:t>
      </w:r>
      <w:r w:rsidRPr="009A1DFA">
        <w:t xml:space="preserve"> (2013) highlighted </w:t>
      </w:r>
      <w:r w:rsidRPr="009A1DFA">
        <w:lastRenderedPageBreak/>
        <w:t>medium innovativeness among members, influenced by variables such as education, media exposure, and accessibility to extension services. Haque (2015) categorized 40.7% of members under medium and 31% under semi-medium levels of innovativeness. Furthermore, Singh et al. (2021) demonstrated that members of functional FPOs were significantly more innovative than those in non-functional groups, underscoring the role of organizational efficacy in fostering innovation.</w:t>
      </w:r>
    </w:p>
    <w:p w14:paraId="2C00FF78" w14:textId="77777777" w:rsidR="00EE561F" w:rsidRPr="009A1DFA" w:rsidRDefault="00EE561F" w:rsidP="00585ADA">
      <w:pPr>
        <w:pStyle w:val="NormalWeb"/>
        <w:spacing w:beforeLines="40" w:before="96" w:beforeAutospacing="0" w:afterLines="40" w:after="96" w:afterAutospacing="0"/>
        <w:jc w:val="both"/>
        <w:rPr>
          <w:b/>
        </w:rPr>
      </w:pPr>
      <w:r w:rsidRPr="009A1DFA">
        <w:rPr>
          <w:b/>
        </w:rPr>
        <w:t xml:space="preserve">2. Decision-Making </w:t>
      </w:r>
      <w:proofErr w:type="spellStart"/>
      <w:r w:rsidRPr="009A1DFA">
        <w:rPr>
          <w:b/>
        </w:rPr>
        <w:t>Behaviour</w:t>
      </w:r>
      <w:proofErr w:type="spellEnd"/>
    </w:p>
    <w:p w14:paraId="3D557A62" w14:textId="77777777" w:rsidR="00EE561F" w:rsidRPr="009A1DFA" w:rsidRDefault="00EE561F" w:rsidP="00585ADA">
      <w:pPr>
        <w:pStyle w:val="NormalWeb"/>
        <w:spacing w:beforeLines="40" w:before="96" w:beforeAutospacing="0" w:afterLines="40" w:after="96" w:afterAutospacing="0"/>
        <w:jc w:val="both"/>
      </w:pPr>
      <w:r w:rsidRPr="009A1DFA">
        <w:t xml:space="preserve">Decision-making </w:t>
      </w:r>
      <w:proofErr w:type="spellStart"/>
      <w:r w:rsidRPr="009A1DFA">
        <w:t>behaviour</w:t>
      </w:r>
      <w:proofErr w:type="spellEnd"/>
      <w:r w:rsidRPr="009A1DFA">
        <w:t xml:space="preserve"> within FPOs is pivotal for institutional governance and strategic functioning. </w:t>
      </w:r>
      <w:r w:rsidR="008F38B6" w:rsidRPr="009A1DFA">
        <w:t xml:space="preserve">Revanth and Praveen </w:t>
      </w:r>
      <w:r w:rsidR="008F38B6" w:rsidRPr="009A1DFA">
        <w:rPr>
          <w:i/>
        </w:rPr>
        <w:t>et al.,</w:t>
      </w:r>
      <w:r w:rsidR="008F38B6" w:rsidRPr="009A1DFA">
        <w:t xml:space="preserve"> (2024) Nearly half (42.50%) of members belong to medium level of decision making followed by 30.83 per cent of members belong to high level of decision making and 26.67 per cent of members belong to low level of decision making. As they were FPO members, it made simple for the members to make accurate choices regarding the activities needed throughout all phases of agricultural production with the assistance of the FPO authorities. </w:t>
      </w:r>
      <w:r w:rsidRPr="009A1DFA">
        <w:t xml:space="preserve">Studies by Haque (2015) and Mehta &amp; Sonawane (2012) revealed that a majority of FPO members demonstrated a medium level of decision-making ability. This </w:t>
      </w:r>
      <w:proofErr w:type="spellStart"/>
      <w:r w:rsidRPr="009A1DFA">
        <w:t>behavioural</w:t>
      </w:r>
      <w:proofErr w:type="spellEnd"/>
      <w:r w:rsidRPr="009A1DFA">
        <w:t xml:space="preserve"> trait is notably shaped by educational attainment, experiential learning, and access to accurate and timely information, thereby influencing the quality and effectiveness of collective decisions.</w:t>
      </w:r>
    </w:p>
    <w:p w14:paraId="1344C8A3" w14:textId="77777777" w:rsidR="00EE561F" w:rsidRPr="009A1DFA" w:rsidRDefault="00EE561F" w:rsidP="00585ADA">
      <w:pPr>
        <w:pStyle w:val="NormalWeb"/>
        <w:spacing w:beforeLines="40" w:before="96" w:beforeAutospacing="0" w:afterLines="40" w:after="96" w:afterAutospacing="0"/>
        <w:jc w:val="both"/>
        <w:rPr>
          <w:b/>
        </w:rPr>
      </w:pPr>
      <w:r w:rsidRPr="009A1DFA">
        <w:rPr>
          <w:b/>
        </w:rPr>
        <w:t>3. Risk-Bearing Ability</w:t>
      </w:r>
    </w:p>
    <w:p w14:paraId="50D1D02F" w14:textId="77777777" w:rsidR="00EE561F" w:rsidRPr="009A1DFA" w:rsidRDefault="00EE561F" w:rsidP="00585ADA">
      <w:pPr>
        <w:pStyle w:val="NormalWeb"/>
        <w:spacing w:beforeLines="40" w:before="96" w:beforeAutospacing="0" w:afterLines="40" w:after="96" w:afterAutospacing="0"/>
        <w:jc w:val="both"/>
      </w:pPr>
      <w:r w:rsidRPr="009A1DFA">
        <w:t xml:space="preserve">Risk orientation, a foundational entrepreneurial characteristic, reflects the willingness of members to engage in uncertain or high-stakes ventures. </w:t>
      </w:r>
      <w:r w:rsidR="008F38B6" w:rsidRPr="009A1DFA">
        <w:t xml:space="preserve">Revanth and Praveen </w:t>
      </w:r>
      <w:r w:rsidR="008F38B6" w:rsidRPr="009A1DFA">
        <w:rPr>
          <w:i/>
        </w:rPr>
        <w:t>et al.,</w:t>
      </w:r>
      <w:r w:rsidR="008F38B6" w:rsidRPr="009A1DFA">
        <w:t xml:space="preserve"> (2024) </w:t>
      </w:r>
      <w:r w:rsidR="00077448" w:rsidRPr="009A1DFA">
        <w:t>nearly</w:t>
      </w:r>
      <w:r w:rsidR="008F38B6" w:rsidRPr="009A1DFA">
        <w:t xml:space="preserve"> half (43.33%) of the members belong to medium level of risk orientation followed by 30.00 per cent of members belong to low and 26.67 per cent of members belong to high level of risk orientation. These was because of members were taken part in trainings which improve a person’s self-esteem and willingness to undertake risks. </w:t>
      </w:r>
      <w:r w:rsidRPr="009A1DFA">
        <w:t xml:space="preserve">Jose </w:t>
      </w:r>
      <w:r w:rsidRPr="009A1DFA">
        <w:rPr>
          <w:i/>
        </w:rPr>
        <w:t>et al.</w:t>
      </w:r>
      <w:r w:rsidRPr="009A1DFA">
        <w:t xml:space="preserve"> (2023) observed that 71.67% of members reported medium levels of risk-bearing ability. </w:t>
      </w:r>
      <w:proofErr w:type="spellStart"/>
      <w:r w:rsidRPr="009A1DFA">
        <w:t>Esakkimuthu</w:t>
      </w:r>
      <w:proofErr w:type="spellEnd"/>
      <w:r w:rsidRPr="009A1DFA">
        <w:t xml:space="preserve"> and Kameswari (2017) highlighted that economically constrained farmers tend to demonstrate higher risk orientation due to necessity-driven decision-making. Factors such as access to credit, livelihood security, and enterprise diversification significantly influence risk-bearing </w:t>
      </w:r>
      <w:proofErr w:type="spellStart"/>
      <w:r w:rsidRPr="009A1DFA">
        <w:t>behaviour</w:t>
      </w:r>
      <w:proofErr w:type="spellEnd"/>
      <w:r w:rsidRPr="009A1DFA">
        <w:t>.</w:t>
      </w:r>
    </w:p>
    <w:p w14:paraId="1C2C730B" w14:textId="77777777" w:rsidR="00EE561F" w:rsidRPr="009A1DFA" w:rsidRDefault="00EE561F" w:rsidP="00585ADA">
      <w:pPr>
        <w:pStyle w:val="NormalWeb"/>
        <w:spacing w:beforeLines="40" w:before="96" w:beforeAutospacing="0" w:afterLines="40" w:after="96" w:afterAutospacing="0"/>
        <w:jc w:val="both"/>
        <w:rPr>
          <w:b/>
        </w:rPr>
      </w:pPr>
      <w:r w:rsidRPr="009A1DFA">
        <w:rPr>
          <w:b/>
        </w:rPr>
        <w:t>4. Achievement Motivation</w:t>
      </w:r>
    </w:p>
    <w:p w14:paraId="704629E9" w14:textId="77777777" w:rsidR="00EE561F" w:rsidRPr="009A1DFA" w:rsidRDefault="00EE561F" w:rsidP="00585ADA">
      <w:pPr>
        <w:pStyle w:val="NormalWeb"/>
        <w:spacing w:beforeLines="40" w:before="96" w:beforeAutospacing="0" w:afterLines="40" w:after="96" w:afterAutospacing="0"/>
        <w:jc w:val="both"/>
      </w:pPr>
      <w:r w:rsidRPr="009A1DFA">
        <w:t xml:space="preserve">Achievement motivation, the internal drive to excel and realize individual and organizational objectives, is a key motivational trait. According to Jose </w:t>
      </w:r>
      <w:r w:rsidRPr="009A1DFA">
        <w:rPr>
          <w:i/>
        </w:rPr>
        <w:t>et al.</w:t>
      </w:r>
      <w:r w:rsidRPr="009A1DFA">
        <w:t xml:space="preserve"> (2023), 72.50% of members exhibited moderate levels of achievement motivation. Comparable findings by Singh et al. (2019) and Rathod</w:t>
      </w:r>
      <w:r w:rsidRPr="009A1DFA">
        <w:rPr>
          <w:i/>
        </w:rPr>
        <w:t xml:space="preserve"> et al. </w:t>
      </w:r>
      <w:r w:rsidRPr="009A1DFA">
        <w:t>(2012) indicated medium to high motivation among members, often attributed to training, capacity-building efforts, and peer recognition. Pooja et al. (2022) classified 53.60% of respondents under medium, 29.60% under high, and 16.80% under low levels of motivation.</w:t>
      </w:r>
    </w:p>
    <w:p w14:paraId="4EC2C355" w14:textId="77777777" w:rsidR="00EE561F" w:rsidRPr="009A1DFA" w:rsidRDefault="00EE561F" w:rsidP="00585ADA">
      <w:pPr>
        <w:pStyle w:val="NormalWeb"/>
        <w:spacing w:beforeLines="40" w:before="96" w:beforeAutospacing="0" w:afterLines="40" w:after="96" w:afterAutospacing="0"/>
        <w:jc w:val="both"/>
        <w:rPr>
          <w:b/>
        </w:rPr>
      </w:pPr>
      <w:r w:rsidRPr="009A1DFA">
        <w:rPr>
          <w:b/>
        </w:rPr>
        <w:t>5. Economic Motivation</w:t>
      </w:r>
    </w:p>
    <w:p w14:paraId="20CC7F1B" w14:textId="77777777" w:rsidR="00EE561F" w:rsidRPr="009A1DFA" w:rsidRDefault="00EE561F" w:rsidP="00585ADA">
      <w:pPr>
        <w:pStyle w:val="NormalWeb"/>
        <w:spacing w:beforeLines="40" w:before="96" w:beforeAutospacing="0" w:afterLines="40" w:after="96" w:afterAutospacing="0"/>
        <w:jc w:val="both"/>
      </w:pPr>
      <w:r w:rsidRPr="009A1DFA">
        <w:t xml:space="preserve">Economic motivation, denoting the aspiration for financial improvement and socio-economic mobility, plays a vital role in driving entrepreneurial engagement. As reported by Haque (2015) and Bhagyalaxmi </w:t>
      </w:r>
      <w:r w:rsidRPr="009A1DFA">
        <w:rPr>
          <w:i/>
        </w:rPr>
        <w:t>et al.</w:t>
      </w:r>
      <w:r w:rsidRPr="009A1DFA">
        <w:t xml:space="preserve"> (2003), this motivation is positively correlated with landholding size and education level. </w:t>
      </w:r>
      <w:r w:rsidR="00077AEB" w:rsidRPr="009A1DFA">
        <w:t xml:space="preserve">Sahoo </w:t>
      </w:r>
      <w:proofErr w:type="gramStart"/>
      <w:r w:rsidR="00077AEB" w:rsidRPr="009A1DFA">
        <w:rPr>
          <w:i/>
        </w:rPr>
        <w:t>et al.(</w:t>
      </w:r>
      <w:proofErr w:type="gramEnd"/>
      <w:r w:rsidR="00077AEB" w:rsidRPr="009A1DFA">
        <w:t xml:space="preserve">2022) majority FPO members (60.76 per cent) had medium level motivation followed by low (24.19 per cent) and high level (15.05 per cent) of motivation. </w:t>
      </w:r>
      <w:r w:rsidRPr="009A1DFA">
        <w:t xml:space="preserve">Singh </w:t>
      </w:r>
      <w:r w:rsidRPr="009A1DFA">
        <w:rPr>
          <w:i/>
        </w:rPr>
        <w:t>et al</w:t>
      </w:r>
      <w:r w:rsidRPr="009A1DFA">
        <w:t xml:space="preserve">. (2021) found that functional FPO members displayed higher levels of economic motivation. Jose </w:t>
      </w:r>
      <w:r w:rsidRPr="009A1DFA">
        <w:rPr>
          <w:i/>
        </w:rPr>
        <w:t>et al.</w:t>
      </w:r>
      <w:r w:rsidRPr="009A1DFA">
        <w:t xml:space="preserve"> (2023) revealed that 74.17% of members reported moderate economic </w:t>
      </w:r>
      <w:r w:rsidRPr="009A1DFA">
        <w:lastRenderedPageBreak/>
        <w:t>motivation, with 25.83% exhibiting low motivation and none demonstrating high motivation, reflecting a potential area for motivational enhancement.</w:t>
      </w:r>
    </w:p>
    <w:p w14:paraId="6034DF83" w14:textId="77777777" w:rsidR="00EE561F" w:rsidRPr="009A1DFA" w:rsidRDefault="00EE561F" w:rsidP="00585ADA">
      <w:pPr>
        <w:pStyle w:val="NormalWeb"/>
        <w:spacing w:beforeLines="40" w:before="96" w:beforeAutospacing="0" w:afterLines="40" w:after="96" w:afterAutospacing="0"/>
        <w:jc w:val="both"/>
        <w:rPr>
          <w:b/>
        </w:rPr>
      </w:pPr>
      <w:r w:rsidRPr="009A1DFA">
        <w:rPr>
          <w:b/>
        </w:rPr>
        <w:t>6. Business Skills</w:t>
      </w:r>
    </w:p>
    <w:p w14:paraId="676F80F9" w14:textId="77777777" w:rsidR="00EE561F" w:rsidRPr="009A1DFA" w:rsidRDefault="00EE561F" w:rsidP="00585ADA">
      <w:pPr>
        <w:pStyle w:val="NormalWeb"/>
        <w:spacing w:beforeLines="40" w:before="96" w:beforeAutospacing="0" w:afterLines="40" w:after="96" w:afterAutospacing="0"/>
        <w:jc w:val="both"/>
      </w:pPr>
      <w:r w:rsidRPr="009A1DFA">
        <w:t xml:space="preserve">Business skills, encompassing marketing, negotiation, enterprise planning, and financial management, are critical for enhancing the viability and sustainability of FPOs. Kumar &amp; Goyal (2021) and Raina </w:t>
      </w:r>
      <w:r w:rsidRPr="009A1DFA">
        <w:rPr>
          <w:i/>
        </w:rPr>
        <w:t>et al.</w:t>
      </w:r>
      <w:r w:rsidRPr="009A1DFA">
        <w:t xml:space="preserve"> (2016) noted significant improvements in members’ business competencies following structured training programs. Singh et al. (2021) found that members of functional FPOs exhibited superior business and managerial skills compared to their non-functional counterparts, reinforcing the importance of institutional support and training.</w:t>
      </w:r>
    </w:p>
    <w:p w14:paraId="3BB3CF3C" w14:textId="77777777" w:rsidR="00EE561F" w:rsidRPr="009A1DFA" w:rsidRDefault="00EE561F" w:rsidP="00585ADA">
      <w:pPr>
        <w:pStyle w:val="NormalWeb"/>
        <w:spacing w:beforeLines="40" w:before="96" w:beforeAutospacing="0" w:afterLines="40" w:after="96" w:afterAutospacing="0"/>
        <w:jc w:val="both"/>
        <w:rPr>
          <w:b/>
        </w:rPr>
      </w:pPr>
      <w:r w:rsidRPr="009A1DFA">
        <w:rPr>
          <w:b/>
        </w:rPr>
        <w:t xml:space="preserve">7. Communication </w:t>
      </w:r>
      <w:proofErr w:type="spellStart"/>
      <w:r w:rsidRPr="009A1DFA">
        <w:rPr>
          <w:b/>
        </w:rPr>
        <w:t>Behaviour</w:t>
      </w:r>
      <w:proofErr w:type="spellEnd"/>
    </w:p>
    <w:p w14:paraId="7C221785" w14:textId="77777777" w:rsidR="00077448" w:rsidRPr="009A1DFA" w:rsidRDefault="00EE561F" w:rsidP="00585ADA">
      <w:pPr>
        <w:pStyle w:val="NormalWeb"/>
        <w:spacing w:beforeLines="40" w:before="96" w:beforeAutospacing="0" w:afterLines="40" w:after="96" w:afterAutospacing="0"/>
        <w:jc w:val="both"/>
      </w:pPr>
      <w:r w:rsidRPr="009A1DFA">
        <w:t xml:space="preserve">Effective communication is fundamental to collective functioning, information exchange, and participatory decision-making within FPOs. </w:t>
      </w:r>
      <w:proofErr w:type="spellStart"/>
      <w:r w:rsidRPr="009A1DFA">
        <w:t>Balasaravanan</w:t>
      </w:r>
      <w:proofErr w:type="spellEnd"/>
      <w:r w:rsidRPr="009A1DFA">
        <w:t xml:space="preserve"> &amp; </w:t>
      </w:r>
      <w:proofErr w:type="spellStart"/>
      <w:r w:rsidRPr="009A1DFA">
        <w:t>Vijayadurai</w:t>
      </w:r>
      <w:proofErr w:type="spellEnd"/>
      <w:r w:rsidRPr="009A1DFA">
        <w:t xml:space="preserve"> (2012) emphasized the role of extension platforms and leadership structures in improving communication patterns. </w:t>
      </w:r>
      <w:proofErr w:type="spellStart"/>
      <w:r w:rsidRPr="009A1DFA">
        <w:t>Shelake</w:t>
      </w:r>
      <w:proofErr w:type="spellEnd"/>
      <w:r w:rsidRPr="009A1DFA">
        <w:t xml:space="preserve"> </w:t>
      </w:r>
      <w:r w:rsidRPr="009A1DFA">
        <w:rPr>
          <w:i/>
        </w:rPr>
        <w:t>et al.</w:t>
      </w:r>
      <w:r w:rsidRPr="009A1DFA">
        <w:t xml:space="preserve"> (2023) documented a 56.25% enhancement in communication skills among members post-training, highlighting the efficacy of structured communication development programs.</w:t>
      </w:r>
      <w:r w:rsidR="00077448" w:rsidRPr="009A1DFA">
        <w:t xml:space="preserve"> Sahoo </w:t>
      </w:r>
      <w:proofErr w:type="gramStart"/>
      <w:r w:rsidR="00077448" w:rsidRPr="009A1DFA">
        <w:rPr>
          <w:i/>
        </w:rPr>
        <w:t>et al.(</w:t>
      </w:r>
      <w:proofErr w:type="gramEnd"/>
      <w:r w:rsidR="00077448" w:rsidRPr="009A1DFA">
        <w:t>2022</w:t>
      </w:r>
      <w:proofErr w:type="gramStart"/>
      <w:r w:rsidR="00077448" w:rsidRPr="009A1DFA">
        <w:t>)  found</w:t>
      </w:r>
      <w:proofErr w:type="gramEnd"/>
      <w:r w:rsidR="00077448" w:rsidRPr="009A1DFA">
        <w:t xml:space="preserve"> that due to FPOs there was 22 per cent increase in overall contact of the farmers </w:t>
      </w:r>
    </w:p>
    <w:p w14:paraId="42ED4AA5" w14:textId="77777777" w:rsidR="00EE561F" w:rsidRPr="009A1DFA" w:rsidRDefault="00EE561F" w:rsidP="00585ADA">
      <w:pPr>
        <w:pStyle w:val="NormalWeb"/>
        <w:spacing w:beforeLines="40" w:before="96" w:beforeAutospacing="0" w:afterLines="40" w:after="96" w:afterAutospacing="0"/>
        <w:jc w:val="both"/>
        <w:rPr>
          <w:b/>
        </w:rPr>
      </w:pPr>
      <w:r w:rsidRPr="009A1DFA">
        <w:rPr>
          <w:b/>
        </w:rPr>
        <w:t xml:space="preserve">8. Information-Seeking </w:t>
      </w:r>
      <w:proofErr w:type="spellStart"/>
      <w:r w:rsidRPr="009A1DFA">
        <w:rPr>
          <w:b/>
        </w:rPr>
        <w:t>Behaviour</w:t>
      </w:r>
      <w:proofErr w:type="spellEnd"/>
    </w:p>
    <w:p w14:paraId="24556333" w14:textId="77777777" w:rsidR="00EE561F" w:rsidRPr="009A1DFA" w:rsidRDefault="00EE561F" w:rsidP="00585ADA">
      <w:pPr>
        <w:pStyle w:val="NormalWeb"/>
        <w:spacing w:beforeLines="40" w:before="96" w:beforeAutospacing="0" w:afterLines="40" w:after="96" w:afterAutospacing="0"/>
        <w:jc w:val="both"/>
      </w:pPr>
      <w:r w:rsidRPr="009A1DFA">
        <w:t xml:space="preserve">Information-seeking </w:t>
      </w:r>
      <w:proofErr w:type="spellStart"/>
      <w:r w:rsidRPr="009A1DFA">
        <w:t>behaviour</w:t>
      </w:r>
      <w:proofErr w:type="spellEnd"/>
      <w:r w:rsidRPr="009A1DFA">
        <w:t xml:space="preserve"> refers to the proactive efforts of FPO members to access kno</w:t>
      </w:r>
      <w:r w:rsidR="008F38B6" w:rsidRPr="009A1DFA">
        <w:t xml:space="preserve">wledge and market </w:t>
      </w:r>
      <w:proofErr w:type="spellStart"/>
      <w:r w:rsidR="008F38B6" w:rsidRPr="009A1DFA">
        <w:t>intelligence.Revanth</w:t>
      </w:r>
      <w:proofErr w:type="spellEnd"/>
      <w:r w:rsidR="008F38B6" w:rsidRPr="009A1DFA">
        <w:t xml:space="preserve"> and Praveen </w:t>
      </w:r>
      <w:r w:rsidR="008F38B6" w:rsidRPr="009A1DFA">
        <w:rPr>
          <w:i/>
        </w:rPr>
        <w:t>et al.,</w:t>
      </w:r>
      <w:r w:rsidR="008F38B6" w:rsidRPr="009A1DFA">
        <w:t xml:space="preserve"> (2024)Nearly half (45.00%) of members belong to medium level of information seeking </w:t>
      </w:r>
      <w:proofErr w:type="spellStart"/>
      <w:r w:rsidR="008F38B6" w:rsidRPr="009A1DFA">
        <w:t>behaviour</w:t>
      </w:r>
      <w:proofErr w:type="spellEnd"/>
      <w:r w:rsidR="008F38B6" w:rsidRPr="009A1DFA">
        <w:t xml:space="preserve"> followed by 30.00 per cent of members belong to low and 25.00 per cent of members belong to high level of information seeking </w:t>
      </w:r>
      <w:proofErr w:type="spellStart"/>
      <w:r w:rsidR="008F38B6" w:rsidRPr="009A1DFA">
        <w:t>behaviour</w:t>
      </w:r>
      <w:proofErr w:type="spellEnd"/>
      <w:r w:rsidR="008F38B6" w:rsidRPr="009A1DFA">
        <w:t xml:space="preserve">. Since most members only have a basic understanding of knowledge, they can get information that is helpful to them and relevant to their farming activities from a wide range of sources. </w:t>
      </w:r>
      <w:r w:rsidRPr="009A1DFA">
        <w:t xml:space="preserve">Jose </w:t>
      </w:r>
      <w:r w:rsidRPr="009A1DFA">
        <w:rPr>
          <w:i/>
        </w:rPr>
        <w:t>et al.</w:t>
      </w:r>
      <w:r w:rsidRPr="009A1DFA">
        <w:t xml:space="preserve"> (2023) reported that 69.20% of dairy farmers exhibited a medium level of this trait. Studies by Gamit </w:t>
      </w:r>
      <w:r w:rsidRPr="009A1DFA">
        <w:rPr>
          <w:i/>
        </w:rPr>
        <w:t>et al.</w:t>
      </w:r>
      <w:r w:rsidRPr="009A1DFA">
        <w:t xml:space="preserve"> (2015) and Chaurasiya (2015) suggest that younger, better-educated, and socially connected individuals exhibit more active information-seeking tendencies, contributing to adaptive decision-making and improved farm outcomes.</w:t>
      </w:r>
    </w:p>
    <w:p w14:paraId="7ACB6B66" w14:textId="77777777" w:rsidR="00EE561F" w:rsidRPr="009A1DFA" w:rsidRDefault="00EE561F" w:rsidP="00585ADA">
      <w:pPr>
        <w:pStyle w:val="NormalWeb"/>
        <w:spacing w:beforeLines="40" w:before="96" w:beforeAutospacing="0" w:afterLines="40" w:after="96" w:afterAutospacing="0"/>
        <w:jc w:val="both"/>
        <w:rPr>
          <w:b/>
        </w:rPr>
      </w:pPr>
      <w:r w:rsidRPr="009A1DFA">
        <w:rPr>
          <w:b/>
        </w:rPr>
        <w:t>9. Feedback Usage</w:t>
      </w:r>
    </w:p>
    <w:p w14:paraId="68E41A05" w14:textId="77777777" w:rsidR="00EE561F" w:rsidRPr="009A1DFA" w:rsidRDefault="00EE561F" w:rsidP="00585ADA">
      <w:pPr>
        <w:pStyle w:val="NormalWeb"/>
        <w:spacing w:beforeLines="40" w:before="96" w:beforeAutospacing="0" w:afterLines="40" w:after="96" w:afterAutospacing="0"/>
        <w:jc w:val="both"/>
      </w:pPr>
      <w:r w:rsidRPr="009A1DFA">
        <w:t xml:space="preserve">The utilization of feedback is essential for iterative learning, adaptive </w:t>
      </w:r>
      <w:proofErr w:type="spellStart"/>
      <w:r w:rsidRPr="009A1DFA">
        <w:t>behaviour</w:t>
      </w:r>
      <w:proofErr w:type="spellEnd"/>
      <w:r w:rsidRPr="009A1DFA">
        <w:t>, and performance enhancement. Jose</w:t>
      </w:r>
      <w:r w:rsidRPr="009A1DFA">
        <w:rPr>
          <w:i/>
        </w:rPr>
        <w:t xml:space="preserve"> et al. </w:t>
      </w:r>
      <w:r w:rsidRPr="009A1DFA">
        <w:t xml:space="preserve">(2023) found that 57.50% of FPO members reported medium levels of feedback utilization. Marak et al. (2022) underscored the importance of incorporating feedback mechanisms into extension strategies for improved agricultural practices. Wankhade </w:t>
      </w:r>
      <w:r w:rsidRPr="009A1DFA">
        <w:rPr>
          <w:i/>
        </w:rPr>
        <w:t>et al.</w:t>
      </w:r>
      <w:r w:rsidRPr="009A1DFA">
        <w:t xml:space="preserve"> (2013) observed that 75% of respondents demonstrated medium, 14% high, and 11% low feedback usage, indicating a general openness to learning and refinement.</w:t>
      </w:r>
    </w:p>
    <w:p w14:paraId="11C7164C" w14:textId="77777777" w:rsidR="00EE561F" w:rsidRPr="009A1DFA" w:rsidRDefault="00EE561F" w:rsidP="00585ADA">
      <w:pPr>
        <w:pStyle w:val="NormalWeb"/>
        <w:spacing w:beforeLines="40" w:before="96" w:beforeAutospacing="0" w:afterLines="40" w:after="96" w:afterAutospacing="0"/>
        <w:jc w:val="both"/>
        <w:rPr>
          <w:b/>
        </w:rPr>
      </w:pPr>
      <w:r w:rsidRPr="009A1DFA">
        <w:rPr>
          <w:b/>
        </w:rPr>
        <w:t xml:space="preserve">10. Credit-Seeking </w:t>
      </w:r>
      <w:proofErr w:type="spellStart"/>
      <w:r w:rsidRPr="009A1DFA">
        <w:rPr>
          <w:b/>
        </w:rPr>
        <w:t>Behaviour</w:t>
      </w:r>
      <w:proofErr w:type="spellEnd"/>
    </w:p>
    <w:p w14:paraId="1DAF2B57" w14:textId="77777777" w:rsidR="007D5EE2" w:rsidRPr="009A1DFA" w:rsidRDefault="00EE561F" w:rsidP="00585ADA">
      <w:pPr>
        <w:pStyle w:val="NormalWeb"/>
        <w:spacing w:beforeLines="40" w:before="96" w:beforeAutospacing="0" w:afterLines="40" w:after="96" w:afterAutospacing="0"/>
        <w:jc w:val="both"/>
      </w:pPr>
      <w:r w:rsidRPr="009A1DFA">
        <w:t xml:space="preserve">Credit-seeking </w:t>
      </w:r>
      <w:proofErr w:type="spellStart"/>
      <w:r w:rsidRPr="009A1DFA">
        <w:t>behaviour</w:t>
      </w:r>
      <w:proofErr w:type="spellEnd"/>
      <w:r w:rsidRPr="009A1DFA">
        <w:t xml:space="preserve"> serves as an indicator of financial agency and access to institutional credit systems. Jose </w:t>
      </w:r>
      <w:r w:rsidRPr="009A1DFA">
        <w:rPr>
          <w:i/>
        </w:rPr>
        <w:t>et al.</w:t>
      </w:r>
      <w:r w:rsidRPr="009A1DFA">
        <w:t xml:space="preserve"> (2023) reported that 50.83% of FPO members exhibited medium credit orientation. </w:t>
      </w:r>
      <w:proofErr w:type="spellStart"/>
      <w:r w:rsidRPr="009A1DFA">
        <w:t>Tikariha</w:t>
      </w:r>
      <w:proofErr w:type="spellEnd"/>
      <w:r w:rsidRPr="009A1DFA">
        <w:t xml:space="preserve"> &amp; Soni (2018) identified income, risk orientation, and financial literacy training as significant predictors of credit-seeking </w:t>
      </w:r>
      <w:proofErr w:type="spellStart"/>
      <w:r w:rsidRPr="009A1DFA">
        <w:t>behaviour</w:t>
      </w:r>
      <w:proofErr w:type="spellEnd"/>
      <w:r w:rsidRPr="009A1DFA">
        <w:t>. This trait reflects not only access to resources but also members’ willingness to leverage financial instruments for agricultural growth</w:t>
      </w:r>
    </w:p>
    <w:p w14:paraId="641E7841" w14:textId="77777777" w:rsidR="005C38F8" w:rsidRPr="009A1DFA" w:rsidRDefault="005C38F8" w:rsidP="00585ADA">
      <w:pPr>
        <w:pStyle w:val="NormalWeb"/>
        <w:spacing w:beforeLines="40" w:before="96" w:beforeAutospacing="0" w:afterLines="40" w:after="96" w:afterAutospacing="0"/>
        <w:jc w:val="both"/>
        <w:rPr>
          <w:b/>
        </w:rPr>
      </w:pPr>
    </w:p>
    <w:p w14:paraId="7FF832AC" w14:textId="77777777" w:rsidR="005C38F8" w:rsidRPr="009A1DFA" w:rsidRDefault="005C38F8" w:rsidP="00585ADA">
      <w:pPr>
        <w:pStyle w:val="NormalWeb"/>
        <w:spacing w:beforeLines="40" w:before="96" w:beforeAutospacing="0" w:afterLines="40" w:after="96" w:afterAutospacing="0"/>
        <w:jc w:val="both"/>
        <w:rPr>
          <w:b/>
        </w:rPr>
      </w:pPr>
    </w:p>
    <w:p w14:paraId="6FBCE140" w14:textId="12FDDD81" w:rsidR="003B4088" w:rsidRPr="009A1DFA" w:rsidRDefault="009F039F" w:rsidP="00585ADA">
      <w:pPr>
        <w:pStyle w:val="NormalWeb"/>
        <w:spacing w:beforeLines="40" w:before="96" w:beforeAutospacing="0" w:afterLines="40" w:after="96" w:afterAutospacing="0"/>
        <w:jc w:val="both"/>
      </w:pPr>
      <w:r w:rsidRPr="009A1DFA">
        <w:rPr>
          <w:b/>
        </w:rPr>
        <w:t>Table</w:t>
      </w:r>
      <w:r w:rsidR="00116251">
        <w:rPr>
          <w:b/>
        </w:rPr>
        <w:t xml:space="preserve"> 2</w:t>
      </w:r>
      <w:r w:rsidRPr="009A1DFA">
        <w:rPr>
          <w:b/>
        </w:rPr>
        <w:t xml:space="preserve">: </w:t>
      </w:r>
      <w:r w:rsidR="003B4088" w:rsidRPr="009A1DFA">
        <w:rPr>
          <w:b/>
        </w:rPr>
        <w:t>Constraints faced by Farmer Producer Organizations (FPOs) as stated by various authors</w:t>
      </w:r>
      <w:r w:rsidR="003B4088" w:rsidRPr="009A1DFA">
        <w:t>:</w:t>
      </w:r>
    </w:p>
    <w:tbl>
      <w:tblPr>
        <w:tblStyle w:val="TableGrid"/>
        <w:tblW w:w="0" w:type="auto"/>
        <w:tblLook w:val="04A0" w:firstRow="1" w:lastRow="0" w:firstColumn="1" w:lastColumn="0" w:noHBand="0" w:noVBand="1"/>
      </w:tblPr>
      <w:tblGrid>
        <w:gridCol w:w="2011"/>
        <w:gridCol w:w="7565"/>
      </w:tblGrid>
      <w:tr w:rsidR="00021CFC" w:rsidRPr="009A1DFA" w14:paraId="08D82F08" w14:textId="77777777" w:rsidTr="00021CFC">
        <w:trPr>
          <w:trHeight w:val="729"/>
        </w:trPr>
        <w:tc>
          <w:tcPr>
            <w:tcW w:w="0" w:type="auto"/>
          </w:tcPr>
          <w:p w14:paraId="3C1A3C53" w14:textId="77777777" w:rsidR="00021CFC" w:rsidRPr="009A1DFA" w:rsidRDefault="00021CFC" w:rsidP="00585ADA">
            <w:pPr>
              <w:spacing w:beforeLines="40" w:before="96" w:afterLines="40" w:after="96"/>
              <w:jc w:val="center"/>
              <w:rPr>
                <w:rFonts w:ascii="Times New Roman" w:eastAsia="Times New Roman" w:hAnsi="Times New Roman" w:cs="Times New Roman"/>
                <w:b/>
                <w:bCs/>
                <w:sz w:val="24"/>
                <w:szCs w:val="24"/>
                <w:lang w:val="en-IN" w:eastAsia="en-IN"/>
              </w:rPr>
            </w:pPr>
            <w:r w:rsidRPr="009A1DFA">
              <w:rPr>
                <w:rFonts w:ascii="Times New Roman" w:eastAsia="Times New Roman" w:hAnsi="Times New Roman" w:cs="Times New Roman"/>
                <w:b/>
                <w:bCs/>
                <w:sz w:val="24"/>
                <w:szCs w:val="24"/>
                <w:lang w:val="en-IN" w:eastAsia="en-IN"/>
              </w:rPr>
              <w:t>Author(s) &amp; Year</w:t>
            </w:r>
          </w:p>
        </w:tc>
        <w:tc>
          <w:tcPr>
            <w:tcW w:w="0" w:type="auto"/>
            <w:hideMark/>
          </w:tcPr>
          <w:p w14:paraId="55892188" w14:textId="77777777" w:rsidR="00021CFC" w:rsidRPr="009A1DFA" w:rsidRDefault="00021CFC" w:rsidP="00585ADA">
            <w:pPr>
              <w:spacing w:beforeLines="40" w:before="96" w:afterLines="40" w:after="96"/>
              <w:jc w:val="center"/>
              <w:rPr>
                <w:rFonts w:ascii="Times New Roman" w:eastAsia="Times New Roman" w:hAnsi="Times New Roman" w:cs="Times New Roman"/>
                <w:b/>
                <w:bCs/>
                <w:sz w:val="24"/>
                <w:szCs w:val="24"/>
                <w:lang w:val="en-IN" w:eastAsia="en-IN"/>
              </w:rPr>
            </w:pPr>
            <w:r w:rsidRPr="009A1DFA">
              <w:rPr>
                <w:rFonts w:ascii="Times New Roman" w:eastAsia="Times New Roman" w:hAnsi="Times New Roman" w:cs="Times New Roman"/>
                <w:b/>
                <w:bCs/>
                <w:sz w:val="24"/>
                <w:szCs w:val="24"/>
                <w:lang w:val="en-IN" w:eastAsia="en-IN"/>
              </w:rPr>
              <w:t>Key Constraints Identified</w:t>
            </w:r>
          </w:p>
        </w:tc>
      </w:tr>
      <w:tr w:rsidR="00631FB6" w:rsidRPr="009A1DFA" w14:paraId="289A03E4" w14:textId="77777777" w:rsidTr="00021CFC">
        <w:trPr>
          <w:trHeight w:val="1121"/>
        </w:trPr>
        <w:tc>
          <w:tcPr>
            <w:tcW w:w="0" w:type="auto"/>
          </w:tcPr>
          <w:p w14:paraId="68910A77" w14:textId="77777777" w:rsidR="00631FB6" w:rsidRPr="009A1DFA" w:rsidRDefault="00631FB6" w:rsidP="00585ADA">
            <w:pPr>
              <w:spacing w:beforeLines="40" w:before="96" w:afterLines="40" w:after="96"/>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b/>
                <w:bCs/>
                <w:sz w:val="24"/>
                <w:szCs w:val="24"/>
                <w:lang w:val="en-IN" w:eastAsia="en-IN"/>
              </w:rPr>
              <w:t xml:space="preserve">Prabhakar </w:t>
            </w:r>
            <w:r w:rsidRPr="009A1DFA">
              <w:rPr>
                <w:rFonts w:ascii="Times New Roman" w:eastAsia="Times New Roman" w:hAnsi="Times New Roman" w:cs="Times New Roman"/>
                <w:b/>
                <w:bCs/>
                <w:i/>
                <w:sz w:val="24"/>
                <w:szCs w:val="24"/>
                <w:lang w:val="en-IN" w:eastAsia="en-IN"/>
              </w:rPr>
              <w:t>et al.</w:t>
            </w:r>
            <w:r w:rsidRPr="009A1DFA">
              <w:rPr>
                <w:rFonts w:ascii="Times New Roman" w:eastAsia="Times New Roman" w:hAnsi="Times New Roman" w:cs="Times New Roman"/>
                <w:b/>
                <w:bCs/>
                <w:sz w:val="24"/>
                <w:szCs w:val="24"/>
                <w:lang w:val="en-IN" w:eastAsia="en-IN"/>
              </w:rPr>
              <w:t xml:space="preserve"> (2012)</w:t>
            </w:r>
          </w:p>
        </w:tc>
        <w:tc>
          <w:tcPr>
            <w:tcW w:w="0" w:type="auto"/>
            <w:hideMark/>
          </w:tcPr>
          <w:p w14:paraId="1F4B58CA" w14:textId="77777777" w:rsidR="00631FB6" w:rsidRPr="009A1DFA" w:rsidRDefault="00631FB6" w:rsidP="00585ADA">
            <w:pPr>
              <w:spacing w:beforeLines="40" w:before="96" w:afterLines="40" w:after="9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Need for margin money, lack of collateral, no business credentials, unequal treatment compared to cooperatives, donor hesitation due to for-profit status.</w:t>
            </w:r>
          </w:p>
        </w:tc>
      </w:tr>
      <w:tr w:rsidR="00631FB6" w:rsidRPr="009A1DFA" w14:paraId="00666367" w14:textId="77777777" w:rsidTr="00021CFC">
        <w:trPr>
          <w:trHeight w:val="699"/>
        </w:trPr>
        <w:tc>
          <w:tcPr>
            <w:tcW w:w="0" w:type="auto"/>
          </w:tcPr>
          <w:p w14:paraId="379418BF" w14:textId="77777777" w:rsidR="00631FB6" w:rsidRPr="009A1DFA" w:rsidRDefault="00631FB6" w:rsidP="00585ADA">
            <w:pPr>
              <w:spacing w:beforeLines="40" w:before="96" w:afterLines="40" w:after="96"/>
              <w:rPr>
                <w:rFonts w:ascii="Times New Roman" w:eastAsia="Times New Roman" w:hAnsi="Times New Roman" w:cs="Times New Roman"/>
                <w:b/>
                <w:sz w:val="24"/>
                <w:szCs w:val="24"/>
                <w:lang w:val="en-IN" w:eastAsia="en-IN"/>
              </w:rPr>
            </w:pPr>
            <w:proofErr w:type="spellStart"/>
            <w:r w:rsidRPr="009A1DFA">
              <w:rPr>
                <w:rFonts w:ascii="Times New Roman" w:eastAsia="Times New Roman" w:hAnsi="Times New Roman" w:cs="Times New Roman"/>
                <w:b/>
                <w:bCs/>
                <w:sz w:val="24"/>
                <w:szCs w:val="24"/>
                <w:lang w:val="en-IN" w:eastAsia="en-IN"/>
              </w:rPr>
              <w:t>Chopade</w:t>
            </w:r>
            <w:proofErr w:type="spellEnd"/>
            <w:r w:rsidRPr="009A1DFA">
              <w:rPr>
                <w:rFonts w:ascii="Times New Roman" w:eastAsia="Times New Roman" w:hAnsi="Times New Roman" w:cs="Times New Roman"/>
                <w:b/>
                <w:bCs/>
                <w:sz w:val="24"/>
                <w:szCs w:val="24"/>
                <w:lang w:val="en-IN" w:eastAsia="en-IN"/>
              </w:rPr>
              <w:t xml:space="preserve"> </w:t>
            </w:r>
            <w:r w:rsidRPr="009A1DFA">
              <w:rPr>
                <w:rFonts w:ascii="Times New Roman" w:eastAsia="Times New Roman" w:hAnsi="Times New Roman" w:cs="Times New Roman"/>
                <w:b/>
                <w:bCs/>
                <w:i/>
                <w:sz w:val="24"/>
                <w:szCs w:val="24"/>
                <w:lang w:val="en-IN" w:eastAsia="en-IN"/>
              </w:rPr>
              <w:t>et al.</w:t>
            </w:r>
            <w:r w:rsidRPr="009A1DFA">
              <w:rPr>
                <w:rFonts w:ascii="Times New Roman" w:eastAsia="Times New Roman" w:hAnsi="Times New Roman" w:cs="Times New Roman"/>
                <w:b/>
                <w:bCs/>
                <w:sz w:val="24"/>
                <w:szCs w:val="24"/>
                <w:lang w:val="en-IN" w:eastAsia="en-IN"/>
              </w:rPr>
              <w:t xml:space="preserve"> (2019)</w:t>
            </w:r>
          </w:p>
        </w:tc>
        <w:tc>
          <w:tcPr>
            <w:tcW w:w="0" w:type="auto"/>
            <w:hideMark/>
          </w:tcPr>
          <w:p w14:paraId="478625D6" w14:textId="77777777" w:rsidR="00631FB6" w:rsidRPr="009A1DFA" w:rsidRDefault="00631FB6" w:rsidP="00585ADA">
            <w:pPr>
              <w:spacing w:beforeLines="40" w:before="96" w:afterLines="40" w:after="9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Non-inclusion of local leaders (72.86%), lack of group coordination (69.28%), lack of govt. support (55%), political affiliations (40%), limited bank access (30.71%), inadequate profit (21.43%), lack of scheme awareness (10.71%).</w:t>
            </w:r>
          </w:p>
        </w:tc>
      </w:tr>
      <w:tr w:rsidR="00631FB6" w:rsidRPr="009A1DFA" w14:paraId="47710359" w14:textId="77777777" w:rsidTr="00021CFC">
        <w:trPr>
          <w:trHeight w:val="699"/>
        </w:trPr>
        <w:tc>
          <w:tcPr>
            <w:tcW w:w="0" w:type="auto"/>
          </w:tcPr>
          <w:p w14:paraId="73002608" w14:textId="77777777" w:rsidR="00631FB6" w:rsidRPr="009A1DFA" w:rsidRDefault="00631FB6" w:rsidP="00585ADA">
            <w:pPr>
              <w:spacing w:beforeLines="40" w:before="96" w:afterLines="40" w:after="96"/>
              <w:rPr>
                <w:rFonts w:ascii="Times New Roman" w:eastAsia="Times New Roman" w:hAnsi="Times New Roman" w:cs="Times New Roman"/>
                <w:b/>
                <w:sz w:val="24"/>
                <w:szCs w:val="24"/>
                <w:lang w:val="en-IN" w:eastAsia="en-IN"/>
              </w:rPr>
            </w:pPr>
            <w:r w:rsidRPr="009A1DFA">
              <w:rPr>
                <w:rFonts w:ascii="Times New Roman" w:eastAsia="Times New Roman" w:hAnsi="Times New Roman" w:cs="Times New Roman"/>
                <w:b/>
                <w:bCs/>
                <w:sz w:val="24"/>
                <w:szCs w:val="24"/>
                <w:lang w:val="en-IN" w:eastAsia="en-IN"/>
              </w:rPr>
              <w:t>SFAC (</w:t>
            </w:r>
            <w:r w:rsidRPr="009A1DFA">
              <w:rPr>
                <w:rFonts w:ascii="Times New Roman" w:eastAsia="Times New Roman" w:hAnsi="Times New Roman" w:cs="Times New Roman"/>
                <w:b/>
                <w:bCs/>
                <w:i/>
                <w:sz w:val="24"/>
                <w:szCs w:val="24"/>
                <w:lang w:val="en-IN" w:eastAsia="en-IN"/>
              </w:rPr>
              <w:t>2019</w:t>
            </w:r>
            <w:r w:rsidRPr="009A1DFA">
              <w:rPr>
                <w:rFonts w:ascii="Times New Roman" w:eastAsia="Times New Roman" w:hAnsi="Times New Roman" w:cs="Times New Roman"/>
                <w:b/>
                <w:bCs/>
                <w:sz w:val="24"/>
                <w:szCs w:val="24"/>
                <w:lang w:val="en-IN" w:eastAsia="en-IN"/>
              </w:rPr>
              <w:t>)</w:t>
            </w:r>
          </w:p>
        </w:tc>
        <w:tc>
          <w:tcPr>
            <w:tcW w:w="0" w:type="auto"/>
            <w:hideMark/>
          </w:tcPr>
          <w:p w14:paraId="67BFE2E9" w14:textId="77777777" w:rsidR="00631FB6" w:rsidRPr="009A1DFA" w:rsidRDefault="00631FB6" w:rsidP="00585ADA">
            <w:pPr>
              <w:spacing w:beforeLines="40" w:before="96" w:afterLines="40" w:after="9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Delayed farmer mobilization, weak management capacity, need for incubation support, policy constraints, difficulty in processing/storage investments, limited access to institutional credit.</w:t>
            </w:r>
          </w:p>
        </w:tc>
      </w:tr>
      <w:tr w:rsidR="00631FB6" w:rsidRPr="009A1DFA" w14:paraId="701097C8" w14:textId="77777777" w:rsidTr="00021CFC">
        <w:trPr>
          <w:trHeight w:val="699"/>
        </w:trPr>
        <w:tc>
          <w:tcPr>
            <w:tcW w:w="0" w:type="auto"/>
          </w:tcPr>
          <w:p w14:paraId="559A4D17" w14:textId="77777777" w:rsidR="00631FB6" w:rsidRPr="009A1DFA" w:rsidRDefault="00631FB6" w:rsidP="00585ADA">
            <w:pPr>
              <w:spacing w:beforeLines="40" w:before="96" w:afterLines="40" w:after="96"/>
              <w:rPr>
                <w:rFonts w:ascii="Times New Roman" w:eastAsia="Times New Roman" w:hAnsi="Times New Roman" w:cs="Times New Roman"/>
                <w:sz w:val="24"/>
                <w:szCs w:val="24"/>
                <w:lang w:val="en-IN" w:eastAsia="en-IN"/>
              </w:rPr>
            </w:pPr>
            <w:proofErr w:type="spellStart"/>
            <w:r w:rsidRPr="009A1DFA">
              <w:rPr>
                <w:rFonts w:ascii="Times New Roman" w:eastAsia="Times New Roman" w:hAnsi="Times New Roman" w:cs="Times New Roman"/>
                <w:b/>
                <w:bCs/>
                <w:sz w:val="24"/>
                <w:szCs w:val="24"/>
                <w:lang w:val="en-IN" w:eastAsia="en-IN"/>
              </w:rPr>
              <w:t>Prishila</w:t>
            </w:r>
            <w:proofErr w:type="spellEnd"/>
            <w:r w:rsidRPr="009A1DFA">
              <w:rPr>
                <w:rFonts w:ascii="Times New Roman" w:eastAsia="Times New Roman" w:hAnsi="Times New Roman" w:cs="Times New Roman"/>
                <w:b/>
                <w:bCs/>
                <w:sz w:val="24"/>
                <w:szCs w:val="24"/>
                <w:lang w:val="en-IN" w:eastAsia="en-IN"/>
              </w:rPr>
              <w:t xml:space="preserve"> Kujur </w:t>
            </w:r>
            <w:r w:rsidRPr="009A1DFA">
              <w:rPr>
                <w:rFonts w:ascii="Times New Roman" w:eastAsia="Times New Roman" w:hAnsi="Times New Roman" w:cs="Times New Roman"/>
                <w:b/>
                <w:bCs/>
                <w:i/>
                <w:sz w:val="24"/>
                <w:szCs w:val="24"/>
                <w:lang w:val="en-IN" w:eastAsia="en-IN"/>
              </w:rPr>
              <w:t>et al.</w:t>
            </w:r>
            <w:r w:rsidRPr="009A1DFA">
              <w:rPr>
                <w:rFonts w:ascii="Times New Roman" w:eastAsia="Times New Roman" w:hAnsi="Times New Roman" w:cs="Times New Roman"/>
                <w:b/>
                <w:bCs/>
                <w:sz w:val="24"/>
                <w:szCs w:val="24"/>
                <w:lang w:val="en-IN" w:eastAsia="en-IN"/>
              </w:rPr>
              <w:t xml:space="preserve"> (2019)</w:t>
            </w:r>
          </w:p>
        </w:tc>
        <w:tc>
          <w:tcPr>
            <w:tcW w:w="0" w:type="auto"/>
            <w:hideMark/>
          </w:tcPr>
          <w:p w14:paraId="1B8C4A71" w14:textId="77777777" w:rsidR="00631FB6" w:rsidRPr="009A1DFA" w:rsidRDefault="00631FB6" w:rsidP="00585ADA">
            <w:pPr>
              <w:spacing w:beforeLines="40" w:before="96" w:afterLines="40" w:after="9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Poor management, shortage of working capital, difficulty in accessing loans, unawareness among members, weak Board of Directors guidance, poor infrastructure.</w:t>
            </w:r>
          </w:p>
        </w:tc>
      </w:tr>
      <w:tr w:rsidR="00631FB6" w:rsidRPr="009A1DFA" w14:paraId="4CEDAE38" w14:textId="77777777" w:rsidTr="00021CFC">
        <w:trPr>
          <w:trHeight w:val="699"/>
        </w:trPr>
        <w:tc>
          <w:tcPr>
            <w:tcW w:w="0" w:type="auto"/>
          </w:tcPr>
          <w:p w14:paraId="479BBF7A" w14:textId="77777777" w:rsidR="00631FB6" w:rsidRPr="009A1DFA" w:rsidRDefault="00631FB6" w:rsidP="00585ADA">
            <w:pPr>
              <w:spacing w:beforeLines="40" w:before="96" w:afterLines="40" w:after="96"/>
              <w:rPr>
                <w:rFonts w:ascii="Times New Roman" w:eastAsia="Times New Roman" w:hAnsi="Times New Roman" w:cs="Times New Roman"/>
                <w:sz w:val="24"/>
                <w:szCs w:val="24"/>
                <w:lang w:val="en-IN" w:eastAsia="en-IN"/>
              </w:rPr>
            </w:pPr>
            <w:proofErr w:type="spellStart"/>
            <w:r w:rsidRPr="009A1DFA">
              <w:rPr>
                <w:rFonts w:ascii="Times New Roman" w:eastAsia="Times New Roman" w:hAnsi="Times New Roman" w:cs="Times New Roman"/>
                <w:b/>
                <w:bCs/>
                <w:sz w:val="24"/>
                <w:szCs w:val="24"/>
                <w:lang w:val="en-IN" w:eastAsia="en-IN"/>
              </w:rPr>
              <w:t>Navaneetham</w:t>
            </w:r>
            <w:proofErr w:type="spellEnd"/>
            <w:r w:rsidRPr="009A1DFA">
              <w:rPr>
                <w:rFonts w:ascii="Times New Roman" w:eastAsia="Times New Roman" w:hAnsi="Times New Roman" w:cs="Times New Roman"/>
                <w:b/>
                <w:bCs/>
                <w:sz w:val="24"/>
                <w:szCs w:val="24"/>
                <w:lang w:val="en-IN" w:eastAsia="en-IN"/>
              </w:rPr>
              <w:t xml:space="preserve"> </w:t>
            </w:r>
            <w:r w:rsidRPr="009A1DFA">
              <w:rPr>
                <w:rFonts w:ascii="Times New Roman" w:eastAsia="Times New Roman" w:hAnsi="Times New Roman" w:cs="Times New Roman"/>
                <w:b/>
                <w:bCs/>
                <w:i/>
                <w:sz w:val="24"/>
                <w:szCs w:val="24"/>
                <w:lang w:val="en-IN" w:eastAsia="en-IN"/>
              </w:rPr>
              <w:t>et al.</w:t>
            </w:r>
            <w:r w:rsidRPr="009A1DFA">
              <w:rPr>
                <w:rFonts w:ascii="Times New Roman" w:eastAsia="Times New Roman" w:hAnsi="Times New Roman" w:cs="Times New Roman"/>
                <w:b/>
                <w:bCs/>
                <w:sz w:val="24"/>
                <w:szCs w:val="24"/>
                <w:lang w:val="en-IN" w:eastAsia="en-IN"/>
              </w:rPr>
              <w:t xml:space="preserve"> (2019)</w:t>
            </w:r>
          </w:p>
        </w:tc>
        <w:tc>
          <w:tcPr>
            <w:tcW w:w="0" w:type="auto"/>
            <w:hideMark/>
          </w:tcPr>
          <w:p w14:paraId="3D0D93D9" w14:textId="77777777" w:rsidR="00631FB6" w:rsidRPr="009A1DFA" w:rsidRDefault="00631FB6" w:rsidP="00585ADA">
            <w:pPr>
              <w:spacing w:beforeLines="40" w:before="96" w:afterLines="40" w:after="9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Market access issues (0.93), inability to raise funds from farmers (0.82), complex registration process (0.77), no license fee waivers (0.73), and difficulty obtaining bank loans (0.60).</w:t>
            </w:r>
          </w:p>
        </w:tc>
      </w:tr>
      <w:tr w:rsidR="00631FB6" w:rsidRPr="009A1DFA" w14:paraId="29D391A0" w14:textId="77777777" w:rsidTr="00021CFC">
        <w:trPr>
          <w:trHeight w:val="699"/>
        </w:trPr>
        <w:tc>
          <w:tcPr>
            <w:tcW w:w="0" w:type="auto"/>
          </w:tcPr>
          <w:p w14:paraId="554171A2" w14:textId="77777777" w:rsidR="00631FB6" w:rsidRPr="009A1DFA" w:rsidRDefault="00631FB6" w:rsidP="00585ADA">
            <w:pPr>
              <w:spacing w:beforeLines="40" w:before="96" w:afterLines="40" w:after="96"/>
              <w:rPr>
                <w:rFonts w:ascii="Times New Roman" w:eastAsia="Times New Roman" w:hAnsi="Times New Roman" w:cs="Times New Roman"/>
                <w:b/>
                <w:bCs/>
                <w:sz w:val="24"/>
                <w:szCs w:val="24"/>
                <w:lang w:val="en-IN" w:eastAsia="en-IN"/>
              </w:rPr>
            </w:pPr>
          </w:p>
          <w:p w14:paraId="4AB14525" w14:textId="77777777" w:rsidR="00631FB6" w:rsidRPr="009A1DFA" w:rsidRDefault="00631FB6" w:rsidP="00585ADA">
            <w:pPr>
              <w:spacing w:beforeLines="40" w:before="96" w:afterLines="40" w:after="96"/>
              <w:rPr>
                <w:rFonts w:ascii="Times New Roman" w:eastAsia="Times New Roman" w:hAnsi="Times New Roman" w:cs="Times New Roman"/>
                <w:b/>
                <w:bCs/>
                <w:sz w:val="24"/>
                <w:szCs w:val="24"/>
                <w:lang w:val="en-IN" w:eastAsia="en-IN"/>
              </w:rPr>
            </w:pPr>
            <w:r w:rsidRPr="009A1DFA">
              <w:rPr>
                <w:rFonts w:ascii="Times New Roman" w:hAnsi="Times New Roman" w:cs="Times New Roman"/>
                <w:b/>
                <w:sz w:val="24"/>
                <w:szCs w:val="24"/>
              </w:rPr>
              <w:t>(Singh and Kumar, 2019).</w:t>
            </w:r>
          </w:p>
        </w:tc>
        <w:tc>
          <w:tcPr>
            <w:tcW w:w="0" w:type="auto"/>
            <w:hideMark/>
          </w:tcPr>
          <w:p w14:paraId="0DB6687F" w14:textId="77777777" w:rsidR="00631FB6" w:rsidRPr="009A1DFA" w:rsidRDefault="00631FB6" w:rsidP="00585ADA">
            <w:pPr>
              <w:spacing w:beforeLines="40" w:before="96" w:afterLines="40" w:after="96"/>
              <w:jc w:val="both"/>
              <w:rPr>
                <w:rFonts w:ascii="Times New Roman" w:eastAsia="Times New Roman" w:hAnsi="Times New Roman" w:cs="Times New Roman"/>
                <w:b/>
                <w:bCs/>
                <w:sz w:val="24"/>
                <w:szCs w:val="24"/>
                <w:lang w:val="en-IN" w:eastAsia="en-IN"/>
              </w:rPr>
            </w:pPr>
            <w:r w:rsidRPr="009A1DFA">
              <w:rPr>
                <w:rFonts w:ascii="Times New Roman" w:hAnsi="Times New Roman" w:cs="Times New Roman"/>
                <w:sz w:val="24"/>
                <w:szCs w:val="24"/>
              </w:rPr>
              <w:t xml:space="preserve">Institutional and policy constraints: Complicated registration processes and governing obstacles could hinder the growth and operation of FPOs. For example, a survey conducted in many Indian states discovered that almost 40 per cent of FPOs had difficulty acquiring necessary permits and clearances because of administrative red tape </w:t>
            </w:r>
          </w:p>
        </w:tc>
      </w:tr>
      <w:tr w:rsidR="00631FB6" w:rsidRPr="009A1DFA" w14:paraId="25470B96" w14:textId="77777777" w:rsidTr="00021CFC">
        <w:trPr>
          <w:trHeight w:val="1121"/>
        </w:trPr>
        <w:tc>
          <w:tcPr>
            <w:tcW w:w="0" w:type="auto"/>
          </w:tcPr>
          <w:p w14:paraId="34867786" w14:textId="77777777" w:rsidR="00631FB6" w:rsidRPr="009A1DFA" w:rsidRDefault="00631FB6" w:rsidP="00585ADA">
            <w:pPr>
              <w:spacing w:beforeLines="40" w:before="96" w:afterLines="40" w:after="96"/>
              <w:rPr>
                <w:rFonts w:ascii="Times New Roman" w:eastAsia="Times New Roman" w:hAnsi="Times New Roman" w:cs="Times New Roman"/>
                <w:b/>
                <w:bCs/>
                <w:sz w:val="24"/>
                <w:szCs w:val="24"/>
                <w:lang w:val="en-IN" w:eastAsia="en-IN"/>
              </w:rPr>
            </w:pPr>
            <w:r w:rsidRPr="009A1DFA">
              <w:rPr>
                <w:rFonts w:ascii="Times New Roman" w:hAnsi="Times New Roman" w:cs="Times New Roman"/>
                <w:b/>
                <w:sz w:val="24"/>
                <w:szCs w:val="24"/>
              </w:rPr>
              <w:t>(Jain and Bhati, 2020).</w:t>
            </w:r>
          </w:p>
        </w:tc>
        <w:tc>
          <w:tcPr>
            <w:tcW w:w="0" w:type="auto"/>
            <w:hideMark/>
          </w:tcPr>
          <w:p w14:paraId="25A425B3" w14:textId="77777777" w:rsidR="00631FB6" w:rsidRPr="009A1DFA" w:rsidRDefault="00631FB6" w:rsidP="00585ADA">
            <w:pPr>
              <w:spacing w:beforeLines="40" w:before="96" w:afterLines="40" w:after="96"/>
              <w:jc w:val="both"/>
              <w:rPr>
                <w:rFonts w:ascii="Times New Roman" w:hAnsi="Times New Roman" w:cs="Times New Roman"/>
                <w:sz w:val="24"/>
                <w:szCs w:val="24"/>
              </w:rPr>
            </w:pPr>
            <w:r w:rsidRPr="009A1DFA">
              <w:rPr>
                <w:rFonts w:ascii="Times New Roman" w:hAnsi="Times New Roman" w:cs="Times New Roman"/>
                <w:sz w:val="24"/>
                <w:szCs w:val="24"/>
              </w:rPr>
              <w:t xml:space="preserve">FPOs often face difficulty in obtaining funding for their operations. Over 70 per cent of these organizations struggled to receive sufficient finance, limiting their capacity to invest in new technology and inputs. Furthermore, inadequate storage and processing facilities affect value addition and timely market access, reducing FPOs' effectiveness </w:t>
            </w:r>
          </w:p>
        </w:tc>
      </w:tr>
      <w:tr w:rsidR="00631FB6" w:rsidRPr="009A1DFA" w14:paraId="0123CF77" w14:textId="77777777" w:rsidTr="00021CFC">
        <w:tc>
          <w:tcPr>
            <w:tcW w:w="0" w:type="auto"/>
          </w:tcPr>
          <w:p w14:paraId="31943EE1" w14:textId="77777777" w:rsidR="00631FB6" w:rsidRPr="009A1DFA" w:rsidRDefault="00631FB6" w:rsidP="00585ADA">
            <w:pPr>
              <w:spacing w:beforeLines="40" w:before="96" w:afterLines="40" w:after="96"/>
              <w:rPr>
                <w:rFonts w:ascii="Times New Roman" w:eastAsia="Times New Roman" w:hAnsi="Times New Roman" w:cs="Times New Roman"/>
                <w:b/>
                <w:bCs/>
                <w:sz w:val="24"/>
                <w:szCs w:val="24"/>
                <w:lang w:val="en-IN" w:eastAsia="en-IN"/>
              </w:rPr>
            </w:pPr>
            <w:r w:rsidRPr="009A1DFA">
              <w:rPr>
                <w:rFonts w:ascii="Times New Roman" w:hAnsi="Times New Roman" w:cs="Times New Roman"/>
                <w:b/>
                <w:sz w:val="24"/>
                <w:szCs w:val="24"/>
              </w:rPr>
              <w:t xml:space="preserve">Khan  </w:t>
            </w:r>
            <w:r w:rsidRPr="009A1DFA">
              <w:rPr>
                <w:rFonts w:ascii="Times New Roman" w:hAnsi="Times New Roman" w:cs="Times New Roman"/>
                <w:b/>
                <w:i/>
                <w:sz w:val="24"/>
                <w:szCs w:val="24"/>
              </w:rPr>
              <w:t>et al.</w:t>
            </w:r>
            <w:r w:rsidRPr="009A1DFA">
              <w:rPr>
                <w:rFonts w:ascii="Times New Roman" w:hAnsi="Times New Roman" w:cs="Times New Roman"/>
                <w:b/>
                <w:sz w:val="24"/>
                <w:szCs w:val="24"/>
              </w:rPr>
              <w:t xml:space="preserve"> (2020)</w:t>
            </w:r>
          </w:p>
        </w:tc>
        <w:tc>
          <w:tcPr>
            <w:tcW w:w="0" w:type="auto"/>
            <w:hideMark/>
          </w:tcPr>
          <w:p w14:paraId="1F3CF8DC" w14:textId="77777777" w:rsidR="00631FB6" w:rsidRPr="009A1DFA" w:rsidRDefault="000C0FC4" w:rsidP="00585ADA">
            <w:pPr>
              <w:spacing w:beforeLines="40" w:before="96" w:afterLines="40" w:after="96"/>
              <w:jc w:val="both"/>
              <w:rPr>
                <w:rFonts w:ascii="Times New Roman" w:eastAsia="Times New Roman" w:hAnsi="Times New Roman" w:cs="Times New Roman"/>
                <w:b/>
                <w:bCs/>
                <w:sz w:val="24"/>
                <w:szCs w:val="24"/>
                <w:lang w:val="en-IN" w:eastAsia="en-IN"/>
              </w:rPr>
            </w:pPr>
            <w:r w:rsidRPr="009A1DFA">
              <w:rPr>
                <w:rFonts w:ascii="Times New Roman" w:hAnsi="Times New Roman" w:cs="Times New Roman"/>
                <w:sz w:val="24"/>
                <w:szCs w:val="24"/>
              </w:rPr>
              <w:t>H</w:t>
            </w:r>
            <w:r w:rsidR="00631FB6" w:rsidRPr="009A1DFA">
              <w:rPr>
                <w:rFonts w:ascii="Times New Roman" w:hAnsi="Times New Roman" w:cs="Times New Roman"/>
                <w:sz w:val="24"/>
                <w:szCs w:val="24"/>
              </w:rPr>
              <w:t>ighlights the critical problem of capacity and skill gaps within Farmer Producer Organizations (FPOs) and emphasize the importance of overcoming these gaps through training and skill development.</w:t>
            </w:r>
          </w:p>
        </w:tc>
      </w:tr>
      <w:tr w:rsidR="00631FB6" w:rsidRPr="009A1DFA" w14:paraId="349838B4" w14:textId="77777777" w:rsidTr="00021CFC">
        <w:tc>
          <w:tcPr>
            <w:tcW w:w="0" w:type="auto"/>
          </w:tcPr>
          <w:p w14:paraId="55DABCE7" w14:textId="77777777" w:rsidR="00631FB6" w:rsidRPr="009A1DFA" w:rsidRDefault="00631FB6" w:rsidP="00585ADA">
            <w:pPr>
              <w:spacing w:beforeLines="40" w:before="96" w:afterLines="40" w:after="96"/>
              <w:rPr>
                <w:rFonts w:ascii="Times New Roman" w:eastAsia="Times New Roman" w:hAnsi="Times New Roman" w:cs="Times New Roman"/>
                <w:b/>
                <w:sz w:val="24"/>
                <w:szCs w:val="24"/>
                <w:lang w:val="en-IN" w:eastAsia="en-IN"/>
              </w:rPr>
            </w:pPr>
            <w:r w:rsidRPr="009A1DFA">
              <w:rPr>
                <w:rFonts w:ascii="Times New Roman" w:eastAsia="Times New Roman" w:hAnsi="Times New Roman" w:cs="Times New Roman"/>
                <w:b/>
                <w:bCs/>
                <w:sz w:val="24"/>
                <w:szCs w:val="24"/>
                <w:lang w:val="en-IN" w:eastAsia="en-IN"/>
              </w:rPr>
              <w:t xml:space="preserve">Verma </w:t>
            </w:r>
            <w:r w:rsidRPr="009A1DFA">
              <w:rPr>
                <w:rFonts w:ascii="Times New Roman" w:eastAsia="Times New Roman" w:hAnsi="Times New Roman" w:cs="Times New Roman"/>
                <w:b/>
                <w:bCs/>
                <w:i/>
                <w:sz w:val="24"/>
                <w:szCs w:val="24"/>
                <w:lang w:val="en-IN" w:eastAsia="en-IN"/>
              </w:rPr>
              <w:t>et al.</w:t>
            </w:r>
            <w:r w:rsidRPr="009A1DFA">
              <w:rPr>
                <w:rFonts w:ascii="Times New Roman" w:eastAsia="Times New Roman" w:hAnsi="Times New Roman" w:cs="Times New Roman"/>
                <w:b/>
                <w:bCs/>
                <w:sz w:val="24"/>
                <w:szCs w:val="24"/>
                <w:lang w:val="en-IN" w:eastAsia="en-IN"/>
              </w:rPr>
              <w:t xml:space="preserve"> (2021)</w:t>
            </w:r>
          </w:p>
        </w:tc>
        <w:tc>
          <w:tcPr>
            <w:tcW w:w="0" w:type="auto"/>
            <w:hideMark/>
          </w:tcPr>
          <w:p w14:paraId="438DDE5C" w14:textId="77777777" w:rsidR="00631FB6" w:rsidRPr="009A1DFA" w:rsidRDefault="00631FB6" w:rsidP="00585ADA">
            <w:pPr>
              <w:spacing w:beforeLines="40" w:before="96" w:afterLines="40" w:after="9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Inadequate storage &amp; transportation, lack of grading &amp; packaging skills, rivalry among members for leadership, internal conflicts.</w:t>
            </w:r>
          </w:p>
        </w:tc>
      </w:tr>
      <w:tr w:rsidR="00631FB6" w:rsidRPr="009A1DFA" w14:paraId="03BAC51A" w14:textId="77777777" w:rsidTr="00021CFC">
        <w:tc>
          <w:tcPr>
            <w:tcW w:w="0" w:type="auto"/>
          </w:tcPr>
          <w:p w14:paraId="4EC41D98" w14:textId="77777777" w:rsidR="00631FB6" w:rsidRPr="009A1DFA" w:rsidRDefault="00631FB6" w:rsidP="00585ADA">
            <w:pPr>
              <w:spacing w:beforeLines="40" w:before="96" w:afterLines="40" w:after="96"/>
              <w:rPr>
                <w:rFonts w:ascii="Times New Roman" w:eastAsia="Times New Roman" w:hAnsi="Times New Roman" w:cs="Times New Roman"/>
                <w:b/>
                <w:sz w:val="24"/>
                <w:szCs w:val="24"/>
                <w:lang w:val="en-IN" w:eastAsia="en-IN"/>
              </w:rPr>
            </w:pPr>
            <w:r w:rsidRPr="009A1DFA">
              <w:rPr>
                <w:rFonts w:ascii="Times New Roman" w:eastAsia="Times New Roman" w:hAnsi="Times New Roman" w:cs="Times New Roman"/>
                <w:b/>
                <w:bCs/>
                <w:sz w:val="24"/>
                <w:szCs w:val="24"/>
                <w:lang w:val="en-IN" w:eastAsia="en-IN"/>
              </w:rPr>
              <w:t xml:space="preserve">Chauhan </w:t>
            </w:r>
            <w:r w:rsidRPr="009A1DFA">
              <w:rPr>
                <w:rFonts w:ascii="Times New Roman" w:eastAsia="Times New Roman" w:hAnsi="Times New Roman" w:cs="Times New Roman"/>
                <w:b/>
                <w:bCs/>
                <w:i/>
                <w:sz w:val="24"/>
                <w:szCs w:val="24"/>
                <w:lang w:val="en-IN" w:eastAsia="en-IN"/>
              </w:rPr>
              <w:t>et al.</w:t>
            </w:r>
            <w:r w:rsidRPr="009A1DFA">
              <w:rPr>
                <w:rFonts w:ascii="Times New Roman" w:eastAsia="Times New Roman" w:hAnsi="Times New Roman" w:cs="Times New Roman"/>
                <w:b/>
                <w:bCs/>
                <w:sz w:val="24"/>
                <w:szCs w:val="24"/>
                <w:lang w:val="en-IN" w:eastAsia="en-IN"/>
              </w:rPr>
              <w:t xml:space="preserve"> </w:t>
            </w:r>
            <w:r w:rsidRPr="009A1DFA">
              <w:rPr>
                <w:rFonts w:ascii="Times New Roman" w:eastAsia="Times New Roman" w:hAnsi="Times New Roman" w:cs="Times New Roman"/>
                <w:b/>
                <w:bCs/>
                <w:sz w:val="24"/>
                <w:szCs w:val="24"/>
                <w:lang w:val="en-IN" w:eastAsia="en-IN"/>
              </w:rPr>
              <w:lastRenderedPageBreak/>
              <w:t>(2021)</w:t>
            </w:r>
          </w:p>
        </w:tc>
        <w:tc>
          <w:tcPr>
            <w:tcW w:w="0" w:type="auto"/>
            <w:hideMark/>
          </w:tcPr>
          <w:p w14:paraId="54B01FA4" w14:textId="77777777" w:rsidR="00631FB6" w:rsidRPr="009A1DFA" w:rsidRDefault="00631FB6" w:rsidP="00585ADA">
            <w:pPr>
              <w:spacing w:beforeLines="40" w:before="96" w:afterLines="40" w:after="9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lastRenderedPageBreak/>
              <w:t xml:space="preserve">Poor storage &amp; processing facilities, lack of ICT knowledge, lack of packaging awareness, labour shortages, insufficient finance, price </w:t>
            </w:r>
            <w:r w:rsidRPr="009A1DFA">
              <w:rPr>
                <w:rFonts w:ascii="Times New Roman" w:eastAsia="Times New Roman" w:hAnsi="Times New Roman" w:cs="Times New Roman"/>
                <w:sz w:val="24"/>
                <w:szCs w:val="24"/>
                <w:lang w:val="en-IN" w:eastAsia="en-IN"/>
              </w:rPr>
              <w:lastRenderedPageBreak/>
              <w:t>fluctuations, lack of market info, middlemen involvement, inadequate infrastructure.</w:t>
            </w:r>
          </w:p>
        </w:tc>
      </w:tr>
      <w:tr w:rsidR="00631FB6" w:rsidRPr="009A1DFA" w14:paraId="3D1DBDA7" w14:textId="77777777" w:rsidTr="00021CFC">
        <w:tc>
          <w:tcPr>
            <w:tcW w:w="0" w:type="auto"/>
          </w:tcPr>
          <w:p w14:paraId="2F2826DA" w14:textId="77777777" w:rsidR="00631FB6" w:rsidRPr="009A1DFA" w:rsidRDefault="00631FB6" w:rsidP="00585ADA">
            <w:pPr>
              <w:spacing w:beforeLines="40" w:before="96" w:afterLines="40" w:after="96"/>
              <w:rPr>
                <w:rFonts w:ascii="Times New Roman" w:eastAsia="Times New Roman" w:hAnsi="Times New Roman" w:cs="Times New Roman"/>
                <w:b/>
                <w:bCs/>
                <w:sz w:val="24"/>
                <w:szCs w:val="24"/>
                <w:lang w:val="en-IN" w:eastAsia="en-IN"/>
              </w:rPr>
            </w:pPr>
            <w:r w:rsidRPr="009A1DFA">
              <w:rPr>
                <w:rFonts w:ascii="Times New Roman" w:hAnsi="Times New Roman" w:cs="Times New Roman"/>
                <w:b/>
                <w:sz w:val="24"/>
                <w:szCs w:val="24"/>
              </w:rPr>
              <w:lastRenderedPageBreak/>
              <w:t>(</w:t>
            </w:r>
            <w:proofErr w:type="spellStart"/>
            <w:r w:rsidRPr="009A1DFA">
              <w:rPr>
                <w:rFonts w:ascii="Times New Roman" w:hAnsi="Times New Roman" w:cs="Times New Roman"/>
                <w:b/>
                <w:sz w:val="24"/>
                <w:szCs w:val="24"/>
              </w:rPr>
              <w:t>Gurungand</w:t>
            </w:r>
            <w:proofErr w:type="spellEnd"/>
            <w:r w:rsidRPr="009A1DFA">
              <w:rPr>
                <w:rFonts w:ascii="Times New Roman" w:hAnsi="Times New Roman" w:cs="Times New Roman"/>
                <w:b/>
                <w:sz w:val="24"/>
                <w:szCs w:val="24"/>
              </w:rPr>
              <w:t xml:space="preserve"> and Choubey, 2023).</w:t>
            </w:r>
          </w:p>
        </w:tc>
        <w:tc>
          <w:tcPr>
            <w:tcW w:w="0" w:type="auto"/>
            <w:hideMark/>
          </w:tcPr>
          <w:p w14:paraId="326739B6" w14:textId="77777777" w:rsidR="00631FB6" w:rsidRPr="009A1DFA" w:rsidRDefault="00631FB6" w:rsidP="00585ADA">
            <w:pPr>
              <w:spacing w:beforeLines="40" w:before="96" w:afterLines="40" w:after="96"/>
              <w:jc w:val="both"/>
              <w:rPr>
                <w:rFonts w:ascii="Times New Roman" w:hAnsi="Times New Roman" w:cs="Times New Roman"/>
                <w:sz w:val="24"/>
                <w:szCs w:val="24"/>
              </w:rPr>
            </w:pPr>
            <w:r w:rsidRPr="009A1DFA">
              <w:rPr>
                <w:rFonts w:ascii="Times New Roman" w:hAnsi="Times New Roman" w:cs="Times New Roman"/>
                <w:sz w:val="24"/>
                <w:szCs w:val="24"/>
              </w:rPr>
              <w:t xml:space="preserve">Many FPOs struggle to get enough credit, with only 38 per cent having access to official credit sources. Therefore, nearly 63 per cent of FPOs perceive inadequate infrastructure as a significant constraint, with storage and transportation being the most critical issues. These findings support the urgent need to solve infrastructural deficiencies and financial conditions to support the growth and potential of FPOs </w:t>
            </w:r>
          </w:p>
        </w:tc>
      </w:tr>
    </w:tbl>
    <w:p w14:paraId="6B46BEF4" w14:textId="77777777" w:rsidR="00FE68AA" w:rsidRDefault="00FE68AA" w:rsidP="00585ADA">
      <w:pPr>
        <w:pStyle w:val="NormalWeb"/>
        <w:spacing w:beforeLines="40" w:before="96" w:beforeAutospacing="0" w:afterLines="40" w:after="96" w:afterAutospacing="0"/>
        <w:jc w:val="both"/>
        <w:rPr>
          <w:b/>
        </w:rPr>
      </w:pPr>
    </w:p>
    <w:p w14:paraId="0CB9FE3F" w14:textId="0FE8A676" w:rsidR="00853C66" w:rsidRPr="009A1DFA" w:rsidRDefault="00853C66" w:rsidP="00585ADA">
      <w:pPr>
        <w:pStyle w:val="NormalWeb"/>
        <w:spacing w:beforeLines="40" w:before="96" w:beforeAutospacing="0" w:afterLines="40" w:after="96" w:afterAutospacing="0"/>
        <w:jc w:val="both"/>
        <w:rPr>
          <w:b/>
        </w:rPr>
      </w:pPr>
      <w:r w:rsidRPr="009A1DFA">
        <w:rPr>
          <w:b/>
        </w:rPr>
        <w:t>Conclusion</w:t>
      </w:r>
    </w:p>
    <w:p w14:paraId="565B5D53" w14:textId="77777777" w:rsidR="00853C66" w:rsidRPr="009A1DFA" w:rsidRDefault="00853C66" w:rsidP="00585ADA">
      <w:pPr>
        <w:pStyle w:val="NormalWeb"/>
        <w:spacing w:beforeLines="40" w:before="96" w:beforeAutospacing="0" w:afterLines="40" w:after="96" w:afterAutospacing="0"/>
        <w:jc w:val="both"/>
      </w:pPr>
      <w:r w:rsidRPr="009A1DFA">
        <w:t>Farmer Producer Organizations (FPOs) have emerged as vital institutional mechanisms to empower smallholder farmers in India by addressing market asymmetries, fostering collective action, and promoting sustainable livelihoods. This review underscores the importance of understanding and nurturing behavioral dimensions such as innovativeness, decision-making, risk orientation, motivation, and communication skills that critically influence the performance and longevity of FPOs. Empirical evidence affirms that functional FPOs consistently report higher behavioral maturity among members compared to non-functional ones, validating the role of behavior-centric interventions in organizational success.</w:t>
      </w:r>
    </w:p>
    <w:p w14:paraId="0A1819F7" w14:textId="77777777" w:rsidR="00B51269" w:rsidRDefault="00853C66" w:rsidP="00585ADA">
      <w:pPr>
        <w:pStyle w:val="NormalWeb"/>
        <w:spacing w:beforeLines="40" w:before="96" w:beforeAutospacing="0" w:afterLines="40" w:after="96" w:afterAutospacing="0"/>
        <w:jc w:val="both"/>
      </w:pPr>
      <w:r w:rsidRPr="009A1DFA">
        <w:t>However, despite policy push and financial investments, challenges like credit constraints, skill deficits, infrastructural inadequacies, and policy bottlenecks continue to hinder FPO development. Addressing these issues requires an integrated strategy grounded in behavioral science, institutional strengthening, and enabling policy frameworks. The future of FPOs lies not just in aggregating production but in catalyzing a mindset shift among farmers from passive beneficiaries to proactive entrepreneurs and decision-makers. Thus, behavioral transformation should be central to all future programs and policies aimed at promoting inclusive, resilient, and self-reliant Farmer Producer Organizations in India.</w:t>
      </w:r>
    </w:p>
    <w:p w14:paraId="06BEF06D" w14:textId="77777777" w:rsidR="00F25A1A" w:rsidRDefault="00F25A1A" w:rsidP="00585ADA">
      <w:pPr>
        <w:pStyle w:val="NormalWeb"/>
        <w:spacing w:beforeLines="40" w:before="96" w:beforeAutospacing="0" w:afterLines="40" w:after="96" w:afterAutospacing="0"/>
        <w:jc w:val="both"/>
      </w:pPr>
    </w:p>
    <w:p w14:paraId="172A5A03" w14:textId="77777777" w:rsidR="00F25A1A" w:rsidRPr="00F25A1A" w:rsidRDefault="00F25A1A" w:rsidP="00F25A1A">
      <w:pPr>
        <w:pStyle w:val="NormalWeb"/>
        <w:spacing w:beforeLines="40" w:before="96" w:afterLines="40" w:after="96"/>
        <w:jc w:val="both"/>
        <w:rPr>
          <w:b/>
          <w:bCs/>
        </w:rPr>
      </w:pPr>
      <w:r w:rsidRPr="00F25A1A">
        <w:rPr>
          <w:b/>
          <w:bCs/>
        </w:rPr>
        <w:t>COMPETING INTERESTS DISCLAIMER:</w:t>
      </w:r>
    </w:p>
    <w:p w14:paraId="15FB4BDD" w14:textId="4ECBF4E3" w:rsidR="00F25A1A" w:rsidRPr="009A1DFA" w:rsidRDefault="00F25A1A" w:rsidP="00F25A1A">
      <w:pPr>
        <w:pStyle w:val="NormalWeb"/>
        <w:spacing w:beforeLines="40" w:before="96" w:beforeAutospacing="0" w:afterLines="40" w:after="96" w:afterAutospacing="0"/>
        <w:jc w:val="both"/>
      </w:pPr>
      <w:r>
        <w:t>Authors have declared that they have no known competing financial interests OR non-financial interests OR personal relationships that could have appeared to influence the work reported in this paper.</w:t>
      </w:r>
    </w:p>
    <w:p w14:paraId="6FEBFE64" w14:textId="77777777" w:rsidR="00F25A1A" w:rsidRDefault="00F25A1A" w:rsidP="00585ADA">
      <w:pPr>
        <w:pStyle w:val="NormalWeb"/>
        <w:spacing w:beforeLines="40" w:before="96" w:beforeAutospacing="0" w:afterLines="40" w:after="96" w:afterAutospacing="0"/>
        <w:jc w:val="both"/>
        <w:rPr>
          <w:b/>
        </w:rPr>
      </w:pPr>
    </w:p>
    <w:p w14:paraId="59A8BFEB" w14:textId="017E9377" w:rsidR="00467DCE" w:rsidRPr="009A1DFA" w:rsidRDefault="00467DCE" w:rsidP="00585ADA">
      <w:pPr>
        <w:pStyle w:val="NormalWeb"/>
        <w:spacing w:beforeLines="40" w:before="96" w:beforeAutospacing="0" w:afterLines="40" w:after="96" w:afterAutospacing="0"/>
        <w:jc w:val="both"/>
        <w:rPr>
          <w:b/>
        </w:rPr>
      </w:pPr>
      <w:r w:rsidRPr="009A1DFA">
        <w:rPr>
          <w:b/>
        </w:rPr>
        <w:t>References</w:t>
      </w:r>
    </w:p>
    <w:p w14:paraId="39D77423"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Ajzen, I. (1991). The theory of planned behavior. </w:t>
      </w:r>
      <w:r w:rsidRPr="009A1DFA">
        <w:rPr>
          <w:rStyle w:val="Emphasis"/>
          <w:rFonts w:ascii="Times New Roman" w:hAnsi="Times New Roman" w:cs="Times New Roman"/>
          <w:sz w:val="24"/>
          <w:szCs w:val="24"/>
        </w:rPr>
        <w:t>Organizational Behavior and Human Decision Processes, 50</w:t>
      </w:r>
      <w:r w:rsidRPr="009A1DFA">
        <w:rPr>
          <w:rFonts w:ascii="Times New Roman" w:hAnsi="Times New Roman" w:cs="Times New Roman"/>
          <w:sz w:val="24"/>
          <w:szCs w:val="24"/>
        </w:rPr>
        <w:t>(2), 179–211.</w:t>
      </w:r>
    </w:p>
    <w:p w14:paraId="198F2D6C"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Ajzen, I., &amp; Fishbein, M. (1980). </w:t>
      </w:r>
      <w:r w:rsidRPr="009A1DFA">
        <w:rPr>
          <w:rStyle w:val="Emphasis"/>
          <w:rFonts w:ascii="Times New Roman" w:hAnsi="Times New Roman" w:cs="Times New Roman"/>
          <w:sz w:val="24"/>
          <w:szCs w:val="24"/>
        </w:rPr>
        <w:t>Understanding attitudes and predicting social behavior</w:t>
      </w:r>
      <w:r w:rsidRPr="009A1DFA">
        <w:rPr>
          <w:rFonts w:ascii="Times New Roman" w:hAnsi="Times New Roman" w:cs="Times New Roman"/>
          <w:sz w:val="24"/>
          <w:szCs w:val="24"/>
        </w:rPr>
        <w:t>. Englewood Cliffs, NJ: Prentice-Hall.</w:t>
      </w:r>
    </w:p>
    <w:p w14:paraId="24CE3F62"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proofErr w:type="spellStart"/>
      <w:r w:rsidRPr="009A1DFA">
        <w:rPr>
          <w:rFonts w:ascii="Times New Roman" w:hAnsi="Times New Roman" w:cs="Times New Roman"/>
          <w:sz w:val="24"/>
          <w:szCs w:val="24"/>
        </w:rPr>
        <w:t>Balasaravanan</w:t>
      </w:r>
      <w:proofErr w:type="spellEnd"/>
      <w:r w:rsidRPr="009A1DFA">
        <w:rPr>
          <w:rFonts w:ascii="Times New Roman" w:hAnsi="Times New Roman" w:cs="Times New Roman"/>
          <w:sz w:val="24"/>
          <w:szCs w:val="24"/>
        </w:rPr>
        <w:t xml:space="preserve">, T., &amp; </w:t>
      </w:r>
      <w:proofErr w:type="spellStart"/>
      <w:r w:rsidRPr="009A1DFA">
        <w:rPr>
          <w:rFonts w:ascii="Times New Roman" w:hAnsi="Times New Roman" w:cs="Times New Roman"/>
          <w:sz w:val="24"/>
          <w:szCs w:val="24"/>
        </w:rPr>
        <w:t>Vijayadurai</w:t>
      </w:r>
      <w:proofErr w:type="spellEnd"/>
      <w:r w:rsidRPr="009A1DFA">
        <w:rPr>
          <w:rFonts w:ascii="Times New Roman" w:hAnsi="Times New Roman" w:cs="Times New Roman"/>
          <w:sz w:val="24"/>
          <w:szCs w:val="24"/>
        </w:rPr>
        <w:t xml:space="preserve">, J. (2012). Communication </w:t>
      </w:r>
      <w:proofErr w:type="spellStart"/>
      <w:r w:rsidRPr="009A1DFA">
        <w:rPr>
          <w:rFonts w:ascii="Times New Roman" w:hAnsi="Times New Roman" w:cs="Times New Roman"/>
          <w:sz w:val="24"/>
          <w:szCs w:val="24"/>
        </w:rPr>
        <w:t>behaviour</w:t>
      </w:r>
      <w:proofErr w:type="spellEnd"/>
      <w:r w:rsidRPr="009A1DFA">
        <w:rPr>
          <w:rFonts w:ascii="Times New Roman" w:hAnsi="Times New Roman" w:cs="Times New Roman"/>
          <w:sz w:val="24"/>
          <w:szCs w:val="24"/>
        </w:rPr>
        <w:t xml:space="preserve"> of FPO members. </w:t>
      </w:r>
      <w:r w:rsidRPr="009A1DFA">
        <w:rPr>
          <w:rStyle w:val="Emphasis"/>
          <w:rFonts w:ascii="Times New Roman" w:hAnsi="Times New Roman" w:cs="Times New Roman"/>
          <w:sz w:val="24"/>
          <w:szCs w:val="24"/>
        </w:rPr>
        <w:t>Indian Research Journal of Extension Education, 12</w:t>
      </w:r>
      <w:r w:rsidRPr="009A1DFA">
        <w:rPr>
          <w:rFonts w:ascii="Times New Roman" w:hAnsi="Times New Roman" w:cs="Times New Roman"/>
          <w:sz w:val="24"/>
          <w:szCs w:val="24"/>
        </w:rPr>
        <w:t>(3), 98–101.</w:t>
      </w:r>
    </w:p>
    <w:p w14:paraId="17626074"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lastRenderedPageBreak/>
        <w:t xml:space="preserve">Bandura, A., &amp; Walters, R. H. (1977). </w:t>
      </w:r>
      <w:r w:rsidRPr="009A1DFA">
        <w:rPr>
          <w:rStyle w:val="Emphasis"/>
          <w:rFonts w:ascii="Times New Roman" w:hAnsi="Times New Roman" w:cs="Times New Roman"/>
          <w:sz w:val="24"/>
          <w:szCs w:val="24"/>
        </w:rPr>
        <w:t>Social learning theory</w:t>
      </w:r>
      <w:r w:rsidRPr="009A1DFA">
        <w:rPr>
          <w:rFonts w:ascii="Times New Roman" w:hAnsi="Times New Roman" w:cs="Times New Roman"/>
          <w:sz w:val="24"/>
          <w:szCs w:val="24"/>
        </w:rPr>
        <w:t>. Englewood Cliffs, NJ: Prentice-Hall.</w:t>
      </w:r>
    </w:p>
    <w:p w14:paraId="341B116A"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Bandura, A. (1997). </w:t>
      </w:r>
      <w:r w:rsidRPr="009A1DFA">
        <w:rPr>
          <w:rStyle w:val="Emphasis"/>
          <w:rFonts w:ascii="Times New Roman" w:hAnsi="Times New Roman" w:cs="Times New Roman"/>
          <w:sz w:val="24"/>
          <w:szCs w:val="24"/>
        </w:rPr>
        <w:t>Self-efficacy: The exercise of control</w:t>
      </w:r>
      <w:r w:rsidRPr="009A1DFA">
        <w:rPr>
          <w:rFonts w:ascii="Times New Roman" w:hAnsi="Times New Roman" w:cs="Times New Roman"/>
          <w:sz w:val="24"/>
          <w:szCs w:val="24"/>
        </w:rPr>
        <w:t>. New York: Freeman.</w:t>
      </w:r>
    </w:p>
    <w:p w14:paraId="0D77F018"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Bhagyalaxmi, K., Reddy, M. J., &amp; </w:t>
      </w:r>
      <w:proofErr w:type="spellStart"/>
      <w:r w:rsidRPr="009A1DFA">
        <w:rPr>
          <w:rFonts w:ascii="Times New Roman" w:hAnsi="Times New Roman" w:cs="Times New Roman"/>
          <w:sz w:val="24"/>
          <w:szCs w:val="24"/>
        </w:rPr>
        <w:t>Sontakki</w:t>
      </w:r>
      <w:proofErr w:type="spellEnd"/>
      <w:r w:rsidRPr="009A1DFA">
        <w:rPr>
          <w:rFonts w:ascii="Times New Roman" w:hAnsi="Times New Roman" w:cs="Times New Roman"/>
          <w:sz w:val="24"/>
          <w:szCs w:val="24"/>
        </w:rPr>
        <w:t xml:space="preserve">, B. S. (2003). Profile characteristics of rural women entrepreneurs. </w:t>
      </w:r>
      <w:r w:rsidRPr="009A1DFA">
        <w:rPr>
          <w:rStyle w:val="Emphasis"/>
          <w:rFonts w:ascii="Times New Roman" w:hAnsi="Times New Roman" w:cs="Times New Roman"/>
          <w:sz w:val="24"/>
          <w:szCs w:val="24"/>
        </w:rPr>
        <w:t>Journal of Research, APAU, 31</w:t>
      </w:r>
      <w:r w:rsidRPr="009A1DFA">
        <w:rPr>
          <w:rFonts w:ascii="Times New Roman" w:hAnsi="Times New Roman" w:cs="Times New Roman"/>
          <w:sz w:val="24"/>
          <w:szCs w:val="24"/>
        </w:rPr>
        <w:t>(4), 51–54.</w:t>
      </w:r>
    </w:p>
    <w:p w14:paraId="4D42815D"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proofErr w:type="spellStart"/>
      <w:r w:rsidRPr="009A1DFA">
        <w:rPr>
          <w:rFonts w:ascii="Times New Roman" w:hAnsi="Times New Roman" w:cs="Times New Roman"/>
          <w:sz w:val="24"/>
          <w:szCs w:val="24"/>
        </w:rPr>
        <w:t>Bergevoet</w:t>
      </w:r>
      <w:proofErr w:type="spellEnd"/>
      <w:r w:rsidRPr="009A1DFA">
        <w:rPr>
          <w:rFonts w:ascii="Times New Roman" w:hAnsi="Times New Roman" w:cs="Times New Roman"/>
          <w:sz w:val="24"/>
          <w:szCs w:val="24"/>
        </w:rPr>
        <w:t xml:space="preserve">, R. H. M., </w:t>
      </w:r>
      <w:proofErr w:type="spellStart"/>
      <w:r w:rsidRPr="009A1DFA">
        <w:rPr>
          <w:rFonts w:ascii="Times New Roman" w:hAnsi="Times New Roman" w:cs="Times New Roman"/>
          <w:sz w:val="24"/>
          <w:szCs w:val="24"/>
        </w:rPr>
        <w:t>Ondersteijn</w:t>
      </w:r>
      <w:proofErr w:type="spellEnd"/>
      <w:r w:rsidRPr="009A1DFA">
        <w:rPr>
          <w:rFonts w:ascii="Times New Roman" w:hAnsi="Times New Roman" w:cs="Times New Roman"/>
          <w:sz w:val="24"/>
          <w:szCs w:val="24"/>
        </w:rPr>
        <w:t xml:space="preserve">, C. J. M., Saatkamp, H. W., van </w:t>
      </w:r>
      <w:proofErr w:type="spellStart"/>
      <w:r w:rsidRPr="009A1DFA">
        <w:rPr>
          <w:rFonts w:ascii="Times New Roman" w:hAnsi="Times New Roman" w:cs="Times New Roman"/>
          <w:sz w:val="24"/>
          <w:szCs w:val="24"/>
        </w:rPr>
        <w:t>Woerkum</w:t>
      </w:r>
      <w:proofErr w:type="spellEnd"/>
      <w:r w:rsidRPr="009A1DFA">
        <w:rPr>
          <w:rFonts w:ascii="Times New Roman" w:hAnsi="Times New Roman" w:cs="Times New Roman"/>
          <w:sz w:val="24"/>
          <w:szCs w:val="24"/>
        </w:rPr>
        <w:t xml:space="preserve">, C. M. J., &amp; </w:t>
      </w:r>
      <w:proofErr w:type="spellStart"/>
      <w:r w:rsidRPr="009A1DFA">
        <w:rPr>
          <w:rFonts w:ascii="Times New Roman" w:hAnsi="Times New Roman" w:cs="Times New Roman"/>
          <w:sz w:val="24"/>
          <w:szCs w:val="24"/>
        </w:rPr>
        <w:t>Huirne</w:t>
      </w:r>
      <w:proofErr w:type="spellEnd"/>
      <w:r w:rsidRPr="009A1DFA">
        <w:rPr>
          <w:rFonts w:ascii="Times New Roman" w:hAnsi="Times New Roman" w:cs="Times New Roman"/>
          <w:sz w:val="24"/>
          <w:szCs w:val="24"/>
        </w:rPr>
        <w:t xml:space="preserve">, R. B. M. (2004). Entrepreneurial </w:t>
      </w:r>
      <w:proofErr w:type="spellStart"/>
      <w:r w:rsidRPr="009A1DFA">
        <w:rPr>
          <w:rFonts w:ascii="Times New Roman" w:hAnsi="Times New Roman" w:cs="Times New Roman"/>
          <w:sz w:val="24"/>
          <w:szCs w:val="24"/>
        </w:rPr>
        <w:t>behaviour</w:t>
      </w:r>
      <w:proofErr w:type="spellEnd"/>
      <w:r w:rsidRPr="009A1DFA">
        <w:rPr>
          <w:rFonts w:ascii="Times New Roman" w:hAnsi="Times New Roman" w:cs="Times New Roman"/>
          <w:sz w:val="24"/>
          <w:szCs w:val="24"/>
        </w:rPr>
        <w:t xml:space="preserve"> of Dutch dairy farmers under a milk quota system: Goals, objectives and attitudes. </w:t>
      </w:r>
      <w:r w:rsidRPr="009A1DFA">
        <w:rPr>
          <w:rStyle w:val="Emphasis"/>
          <w:rFonts w:ascii="Times New Roman" w:hAnsi="Times New Roman" w:cs="Times New Roman"/>
          <w:sz w:val="24"/>
          <w:szCs w:val="24"/>
        </w:rPr>
        <w:t>Agricultural Systems, 80</w:t>
      </w:r>
      <w:r w:rsidRPr="009A1DFA">
        <w:rPr>
          <w:rFonts w:ascii="Times New Roman" w:hAnsi="Times New Roman" w:cs="Times New Roman"/>
          <w:sz w:val="24"/>
          <w:szCs w:val="24"/>
        </w:rPr>
        <w:t>(1), 1–21.</w:t>
      </w:r>
    </w:p>
    <w:p w14:paraId="0B69B2EA"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proofErr w:type="spellStart"/>
      <w:r w:rsidRPr="009A1DFA">
        <w:rPr>
          <w:rFonts w:ascii="Times New Roman" w:hAnsi="Times New Roman" w:cs="Times New Roman"/>
          <w:sz w:val="24"/>
          <w:szCs w:val="24"/>
        </w:rPr>
        <w:t>Chandegara</w:t>
      </w:r>
      <w:proofErr w:type="spellEnd"/>
      <w:r w:rsidRPr="009A1DFA">
        <w:rPr>
          <w:rFonts w:ascii="Times New Roman" w:hAnsi="Times New Roman" w:cs="Times New Roman"/>
          <w:sz w:val="24"/>
          <w:szCs w:val="24"/>
        </w:rPr>
        <w:t xml:space="preserve">, J., Patel, D., &amp; Patel, M. (2023). Categorization and operational focus of FPOs in Gujarat. </w:t>
      </w:r>
      <w:r w:rsidRPr="009A1DFA">
        <w:rPr>
          <w:rStyle w:val="Emphasis"/>
          <w:rFonts w:ascii="Times New Roman" w:hAnsi="Times New Roman" w:cs="Times New Roman"/>
          <w:sz w:val="24"/>
          <w:szCs w:val="24"/>
        </w:rPr>
        <w:t>Indian Journal of Agricultural Economics, 78</w:t>
      </w:r>
      <w:r w:rsidRPr="009A1DFA">
        <w:rPr>
          <w:rFonts w:ascii="Times New Roman" w:hAnsi="Times New Roman" w:cs="Times New Roman"/>
          <w:sz w:val="24"/>
          <w:szCs w:val="24"/>
        </w:rPr>
        <w:t>(1), 122–130.</w:t>
      </w:r>
    </w:p>
    <w:p w14:paraId="71018496"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Chaurasiya, A. (2015). Information-seeking </w:t>
      </w:r>
      <w:proofErr w:type="spellStart"/>
      <w:r w:rsidRPr="009A1DFA">
        <w:rPr>
          <w:rFonts w:ascii="Times New Roman" w:hAnsi="Times New Roman" w:cs="Times New Roman"/>
          <w:sz w:val="24"/>
          <w:szCs w:val="24"/>
        </w:rPr>
        <w:t>behaviour</w:t>
      </w:r>
      <w:proofErr w:type="spellEnd"/>
      <w:r w:rsidRPr="009A1DFA">
        <w:rPr>
          <w:rFonts w:ascii="Times New Roman" w:hAnsi="Times New Roman" w:cs="Times New Roman"/>
          <w:sz w:val="24"/>
          <w:szCs w:val="24"/>
        </w:rPr>
        <w:t xml:space="preserve"> of farmers in Madhya Pradesh. </w:t>
      </w:r>
      <w:r w:rsidRPr="009A1DFA">
        <w:rPr>
          <w:rStyle w:val="Emphasis"/>
          <w:rFonts w:ascii="Times New Roman" w:hAnsi="Times New Roman" w:cs="Times New Roman"/>
          <w:sz w:val="24"/>
          <w:szCs w:val="24"/>
        </w:rPr>
        <w:t>Indian Research Journal of Extension Education, 15</w:t>
      </w:r>
      <w:r w:rsidRPr="009A1DFA">
        <w:rPr>
          <w:rFonts w:ascii="Times New Roman" w:hAnsi="Times New Roman" w:cs="Times New Roman"/>
          <w:sz w:val="24"/>
          <w:szCs w:val="24"/>
        </w:rPr>
        <w:t>(3), 15–20.</w:t>
      </w:r>
    </w:p>
    <w:p w14:paraId="62485691"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Chauhan, J. K., Adhikary, A., &amp; Pradhan, K. (2021). Identification of constraints associated with farmers' producer </w:t>
      </w:r>
      <w:proofErr w:type="spellStart"/>
      <w:r w:rsidRPr="009A1DFA">
        <w:rPr>
          <w:rFonts w:ascii="Times New Roman" w:hAnsi="Times New Roman" w:cs="Times New Roman"/>
          <w:sz w:val="24"/>
          <w:szCs w:val="24"/>
        </w:rPr>
        <w:t>organisations</w:t>
      </w:r>
      <w:proofErr w:type="spellEnd"/>
      <w:r w:rsidRPr="009A1DFA">
        <w:rPr>
          <w:rFonts w:ascii="Times New Roman" w:hAnsi="Times New Roman" w:cs="Times New Roman"/>
          <w:sz w:val="24"/>
          <w:szCs w:val="24"/>
        </w:rPr>
        <w:t xml:space="preserve"> (FPOs). </w:t>
      </w:r>
      <w:r w:rsidRPr="009A1DFA">
        <w:rPr>
          <w:rStyle w:val="Emphasis"/>
          <w:rFonts w:ascii="Times New Roman" w:hAnsi="Times New Roman" w:cs="Times New Roman"/>
          <w:sz w:val="24"/>
          <w:szCs w:val="24"/>
        </w:rPr>
        <w:t>International Journal of Current Microbiology and Applied Sciences, 10</w:t>
      </w:r>
      <w:r w:rsidRPr="009A1DFA">
        <w:rPr>
          <w:rFonts w:ascii="Times New Roman" w:hAnsi="Times New Roman" w:cs="Times New Roman"/>
          <w:sz w:val="24"/>
          <w:szCs w:val="24"/>
        </w:rPr>
        <w:t>(1), 1859–1864.</w:t>
      </w:r>
    </w:p>
    <w:p w14:paraId="0C2DDE0F"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proofErr w:type="spellStart"/>
      <w:r w:rsidRPr="009A1DFA">
        <w:rPr>
          <w:rFonts w:ascii="Times New Roman" w:hAnsi="Times New Roman" w:cs="Times New Roman"/>
          <w:sz w:val="24"/>
          <w:szCs w:val="24"/>
        </w:rPr>
        <w:t>Chopade</w:t>
      </w:r>
      <w:proofErr w:type="spellEnd"/>
      <w:r w:rsidRPr="009A1DFA">
        <w:rPr>
          <w:rFonts w:ascii="Times New Roman" w:hAnsi="Times New Roman" w:cs="Times New Roman"/>
          <w:sz w:val="24"/>
          <w:szCs w:val="24"/>
        </w:rPr>
        <w:t xml:space="preserve">, V. G., Kapse, P. S., &amp; </w:t>
      </w:r>
      <w:proofErr w:type="spellStart"/>
      <w:r w:rsidRPr="009A1DFA">
        <w:rPr>
          <w:rFonts w:ascii="Times New Roman" w:hAnsi="Times New Roman" w:cs="Times New Roman"/>
          <w:sz w:val="24"/>
          <w:szCs w:val="24"/>
        </w:rPr>
        <w:t>Dhulgand</w:t>
      </w:r>
      <w:proofErr w:type="spellEnd"/>
      <w:r w:rsidRPr="009A1DFA">
        <w:rPr>
          <w:rFonts w:ascii="Times New Roman" w:hAnsi="Times New Roman" w:cs="Times New Roman"/>
          <w:sz w:val="24"/>
          <w:szCs w:val="24"/>
        </w:rPr>
        <w:t xml:space="preserve">, V. G. (2019). Constraints faced by the members of Farmer Producer Company. </w:t>
      </w:r>
      <w:r w:rsidRPr="009A1DFA">
        <w:rPr>
          <w:rStyle w:val="Emphasis"/>
          <w:rFonts w:ascii="Times New Roman" w:hAnsi="Times New Roman" w:cs="Times New Roman"/>
          <w:sz w:val="24"/>
          <w:szCs w:val="24"/>
        </w:rPr>
        <w:t>International Journal of Current Microbiology and Applied Sciences, 8</w:t>
      </w:r>
      <w:r w:rsidRPr="009A1DFA">
        <w:rPr>
          <w:rFonts w:ascii="Times New Roman" w:hAnsi="Times New Roman" w:cs="Times New Roman"/>
          <w:sz w:val="24"/>
          <w:szCs w:val="24"/>
        </w:rPr>
        <w:t>(8), 2358–2361.</w:t>
      </w:r>
    </w:p>
    <w:p w14:paraId="56AC8FB5"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Colman, A. M. (2015). </w:t>
      </w:r>
      <w:r w:rsidRPr="009A1DFA">
        <w:rPr>
          <w:rStyle w:val="Emphasis"/>
          <w:rFonts w:ascii="Times New Roman" w:hAnsi="Times New Roman" w:cs="Times New Roman"/>
          <w:sz w:val="24"/>
          <w:szCs w:val="24"/>
        </w:rPr>
        <w:t>A dictionary of psychology</w:t>
      </w:r>
      <w:r w:rsidRPr="009A1DFA">
        <w:rPr>
          <w:rFonts w:ascii="Times New Roman" w:hAnsi="Times New Roman" w:cs="Times New Roman"/>
          <w:sz w:val="24"/>
          <w:szCs w:val="24"/>
        </w:rPr>
        <w:t xml:space="preserve"> (4th ed.). Oxford University Press.</w:t>
      </w:r>
    </w:p>
    <w:p w14:paraId="3511FDAD"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Economic Survey (2023–2024). </w:t>
      </w:r>
      <w:r w:rsidRPr="009A1DFA">
        <w:rPr>
          <w:rStyle w:val="Emphasis"/>
          <w:rFonts w:ascii="Times New Roman" w:hAnsi="Times New Roman" w:cs="Times New Roman"/>
          <w:sz w:val="24"/>
          <w:szCs w:val="24"/>
        </w:rPr>
        <w:t>Ministry of Finance, Government of India</w:t>
      </w:r>
      <w:r w:rsidRPr="009A1DFA">
        <w:rPr>
          <w:rFonts w:ascii="Times New Roman" w:hAnsi="Times New Roman" w:cs="Times New Roman"/>
          <w:sz w:val="24"/>
          <w:szCs w:val="24"/>
        </w:rPr>
        <w:t>.</w:t>
      </w:r>
    </w:p>
    <w:p w14:paraId="0E3DB768"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proofErr w:type="spellStart"/>
      <w:r w:rsidRPr="009A1DFA">
        <w:rPr>
          <w:rFonts w:ascii="Times New Roman" w:hAnsi="Times New Roman" w:cs="Times New Roman"/>
          <w:sz w:val="24"/>
          <w:szCs w:val="24"/>
        </w:rPr>
        <w:t>Esakkimuthu</w:t>
      </w:r>
      <w:proofErr w:type="spellEnd"/>
      <w:r w:rsidRPr="009A1DFA">
        <w:rPr>
          <w:rFonts w:ascii="Times New Roman" w:hAnsi="Times New Roman" w:cs="Times New Roman"/>
          <w:sz w:val="24"/>
          <w:szCs w:val="24"/>
        </w:rPr>
        <w:t xml:space="preserve">, S., &amp; Kameswari, V. L. V. (2017). Risk orientation of tribal farmers: An exploratory study in Odisha. </w:t>
      </w:r>
      <w:r w:rsidRPr="009A1DFA">
        <w:rPr>
          <w:rStyle w:val="Emphasis"/>
          <w:rFonts w:ascii="Times New Roman" w:hAnsi="Times New Roman" w:cs="Times New Roman"/>
          <w:sz w:val="24"/>
          <w:szCs w:val="24"/>
        </w:rPr>
        <w:t>Indian Journal of Extension Education, 53</w:t>
      </w:r>
      <w:r w:rsidRPr="009A1DFA">
        <w:rPr>
          <w:rFonts w:ascii="Times New Roman" w:hAnsi="Times New Roman" w:cs="Times New Roman"/>
          <w:sz w:val="24"/>
          <w:szCs w:val="24"/>
        </w:rPr>
        <w:t>(4), 77–80.</w:t>
      </w:r>
    </w:p>
    <w:p w14:paraId="70B1D749"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FAO. (2013). </w:t>
      </w:r>
      <w:r w:rsidRPr="009A1DFA">
        <w:rPr>
          <w:rStyle w:val="Emphasis"/>
          <w:rFonts w:ascii="Times New Roman" w:hAnsi="Times New Roman" w:cs="Times New Roman"/>
          <w:sz w:val="24"/>
          <w:szCs w:val="24"/>
        </w:rPr>
        <w:t>Guidelines on the use of producer organizations to strengthen market linkages</w:t>
      </w:r>
      <w:r w:rsidRPr="009A1DFA">
        <w:rPr>
          <w:rFonts w:ascii="Times New Roman" w:hAnsi="Times New Roman" w:cs="Times New Roman"/>
          <w:sz w:val="24"/>
          <w:szCs w:val="24"/>
        </w:rPr>
        <w:t>. Rome: Food and Agriculture Organization of the United Nations.</w:t>
      </w:r>
    </w:p>
    <w:p w14:paraId="719D08CC"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Fielding, K. S., Terry, D. J., Masser, B. M., &amp; Hogg, M. A. (2008). Integrating social identity theory and the theory of planned </w:t>
      </w:r>
      <w:proofErr w:type="spellStart"/>
      <w:r w:rsidRPr="009A1DFA">
        <w:rPr>
          <w:rFonts w:ascii="Times New Roman" w:hAnsi="Times New Roman" w:cs="Times New Roman"/>
          <w:sz w:val="24"/>
          <w:szCs w:val="24"/>
        </w:rPr>
        <w:t>behaviour</w:t>
      </w:r>
      <w:proofErr w:type="spellEnd"/>
      <w:r w:rsidRPr="009A1DFA">
        <w:rPr>
          <w:rFonts w:ascii="Times New Roman" w:hAnsi="Times New Roman" w:cs="Times New Roman"/>
          <w:sz w:val="24"/>
          <w:szCs w:val="24"/>
        </w:rPr>
        <w:t xml:space="preserve"> to explain decisions to engage in sustainable agricultural practices. </w:t>
      </w:r>
      <w:r w:rsidRPr="009A1DFA">
        <w:rPr>
          <w:rStyle w:val="Emphasis"/>
          <w:rFonts w:ascii="Times New Roman" w:hAnsi="Times New Roman" w:cs="Times New Roman"/>
          <w:sz w:val="24"/>
          <w:szCs w:val="24"/>
        </w:rPr>
        <w:t>British Journal of Social Psychology, 47</w:t>
      </w:r>
      <w:r w:rsidRPr="009A1DFA">
        <w:rPr>
          <w:rFonts w:ascii="Times New Roman" w:hAnsi="Times New Roman" w:cs="Times New Roman"/>
          <w:sz w:val="24"/>
          <w:szCs w:val="24"/>
        </w:rPr>
        <w:t>(1), 23–48.</w:t>
      </w:r>
    </w:p>
    <w:p w14:paraId="30676EED"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Gamit, R. M., Patel, J. K., &amp; Patel, M. M. (2015). Information seeking </w:t>
      </w:r>
      <w:proofErr w:type="spellStart"/>
      <w:r w:rsidRPr="009A1DFA">
        <w:rPr>
          <w:rFonts w:ascii="Times New Roman" w:hAnsi="Times New Roman" w:cs="Times New Roman"/>
          <w:sz w:val="24"/>
          <w:szCs w:val="24"/>
        </w:rPr>
        <w:t>behaviour</w:t>
      </w:r>
      <w:proofErr w:type="spellEnd"/>
      <w:r w:rsidRPr="009A1DFA">
        <w:rPr>
          <w:rFonts w:ascii="Times New Roman" w:hAnsi="Times New Roman" w:cs="Times New Roman"/>
          <w:sz w:val="24"/>
          <w:szCs w:val="24"/>
        </w:rPr>
        <w:t xml:space="preserve"> of the tribal farmers of Narmada district of Gujarat. </w:t>
      </w:r>
      <w:r w:rsidRPr="009A1DFA">
        <w:rPr>
          <w:rStyle w:val="Emphasis"/>
          <w:rFonts w:ascii="Times New Roman" w:hAnsi="Times New Roman" w:cs="Times New Roman"/>
          <w:sz w:val="24"/>
          <w:szCs w:val="24"/>
        </w:rPr>
        <w:t>Indian Research Journal of Extension Education, 15</w:t>
      </w:r>
      <w:r w:rsidRPr="009A1DFA">
        <w:rPr>
          <w:rFonts w:ascii="Times New Roman" w:hAnsi="Times New Roman" w:cs="Times New Roman"/>
          <w:sz w:val="24"/>
          <w:szCs w:val="24"/>
        </w:rPr>
        <w:t>(2), 44–47.</w:t>
      </w:r>
    </w:p>
    <w:p w14:paraId="0B173478"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Ghosh, P., &amp; Roy, S. (2019). Behavioral changes and collective decision-making in farmer groups. </w:t>
      </w:r>
      <w:r w:rsidRPr="009A1DFA">
        <w:rPr>
          <w:rStyle w:val="Emphasis"/>
          <w:rFonts w:ascii="Times New Roman" w:hAnsi="Times New Roman" w:cs="Times New Roman"/>
          <w:sz w:val="24"/>
          <w:szCs w:val="24"/>
        </w:rPr>
        <w:t>Journal of Rural Studies, 65</w:t>
      </w:r>
      <w:r w:rsidRPr="009A1DFA">
        <w:rPr>
          <w:rFonts w:ascii="Times New Roman" w:hAnsi="Times New Roman" w:cs="Times New Roman"/>
          <w:sz w:val="24"/>
          <w:szCs w:val="24"/>
        </w:rPr>
        <w:t>, 128–137.</w:t>
      </w:r>
    </w:p>
    <w:p w14:paraId="1444A62E"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Government of India. (2024). </w:t>
      </w:r>
      <w:r w:rsidRPr="009A1DFA">
        <w:rPr>
          <w:rStyle w:val="Emphasis"/>
          <w:rFonts w:ascii="Times New Roman" w:hAnsi="Times New Roman" w:cs="Times New Roman"/>
          <w:sz w:val="24"/>
          <w:szCs w:val="24"/>
        </w:rPr>
        <w:t>Press Information Bureau Reports on Agriculture Sector</w:t>
      </w:r>
      <w:r w:rsidRPr="009A1DFA">
        <w:rPr>
          <w:rFonts w:ascii="Times New Roman" w:hAnsi="Times New Roman" w:cs="Times New Roman"/>
          <w:sz w:val="24"/>
          <w:szCs w:val="24"/>
        </w:rPr>
        <w:t xml:space="preserve">. Retrieved from </w:t>
      </w:r>
      <w:hyperlink r:id="rId21" w:tgtFrame="_new" w:history="1">
        <w:r w:rsidRPr="009A1DFA">
          <w:rPr>
            <w:rStyle w:val="Hyperlink"/>
            <w:rFonts w:ascii="Times New Roman" w:hAnsi="Times New Roman" w:cs="Times New Roman"/>
            <w:sz w:val="24"/>
            <w:szCs w:val="24"/>
          </w:rPr>
          <w:t>https://pib.gov.in</w:t>
        </w:r>
      </w:hyperlink>
    </w:p>
    <w:p w14:paraId="28A7EA3C"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Gurung, R., &amp; Choubey, M. (2023). Determinants of agricultural households to join farmer producer </w:t>
      </w:r>
      <w:proofErr w:type="spellStart"/>
      <w:r w:rsidRPr="009A1DFA">
        <w:rPr>
          <w:rFonts w:ascii="Times New Roman" w:hAnsi="Times New Roman" w:cs="Times New Roman"/>
          <w:sz w:val="24"/>
          <w:szCs w:val="24"/>
        </w:rPr>
        <w:t>organisations</w:t>
      </w:r>
      <w:proofErr w:type="spellEnd"/>
      <w:r w:rsidRPr="009A1DFA">
        <w:rPr>
          <w:rFonts w:ascii="Times New Roman" w:hAnsi="Times New Roman" w:cs="Times New Roman"/>
          <w:sz w:val="24"/>
          <w:szCs w:val="24"/>
        </w:rPr>
        <w:t xml:space="preserve"> (FPOs) in Northeast India: Evidence from Sikkim. </w:t>
      </w:r>
      <w:r w:rsidRPr="009A1DFA">
        <w:rPr>
          <w:rStyle w:val="Emphasis"/>
          <w:rFonts w:ascii="Times New Roman" w:hAnsi="Times New Roman" w:cs="Times New Roman"/>
          <w:sz w:val="24"/>
          <w:szCs w:val="24"/>
        </w:rPr>
        <w:t>International Journal of Social Economics, 50</w:t>
      </w:r>
      <w:r w:rsidRPr="009A1DFA">
        <w:rPr>
          <w:rFonts w:ascii="Times New Roman" w:hAnsi="Times New Roman" w:cs="Times New Roman"/>
          <w:sz w:val="24"/>
          <w:szCs w:val="24"/>
        </w:rPr>
        <w:t>(4), 465–477.</w:t>
      </w:r>
    </w:p>
    <w:p w14:paraId="4CD1CA20"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proofErr w:type="spellStart"/>
      <w:r w:rsidRPr="009A1DFA">
        <w:rPr>
          <w:rFonts w:ascii="Times New Roman" w:hAnsi="Times New Roman" w:cs="Times New Roman"/>
          <w:sz w:val="24"/>
          <w:szCs w:val="24"/>
        </w:rPr>
        <w:t>Gummagolmath</w:t>
      </w:r>
      <w:proofErr w:type="spellEnd"/>
      <w:r w:rsidRPr="009A1DFA">
        <w:rPr>
          <w:rFonts w:ascii="Times New Roman" w:hAnsi="Times New Roman" w:cs="Times New Roman"/>
          <w:sz w:val="24"/>
          <w:szCs w:val="24"/>
        </w:rPr>
        <w:t xml:space="preserve">, K. C., &amp; Lakshmi, T. (2021). Women-exclusive FPOs in India. </w:t>
      </w:r>
      <w:r w:rsidRPr="009A1DFA">
        <w:rPr>
          <w:rStyle w:val="Emphasis"/>
          <w:rFonts w:ascii="Times New Roman" w:hAnsi="Times New Roman" w:cs="Times New Roman"/>
          <w:sz w:val="24"/>
          <w:szCs w:val="24"/>
        </w:rPr>
        <w:t>Agricultural Economics Research Review, 34</w:t>
      </w:r>
      <w:r w:rsidRPr="009A1DFA">
        <w:rPr>
          <w:rFonts w:ascii="Times New Roman" w:hAnsi="Times New Roman" w:cs="Times New Roman"/>
          <w:sz w:val="24"/>
          <w:szCs w:val="24"/>
        </w:rPr>
        <w:t>(1), 95–102.</w:t>
      </w:r>
    </w:p>
    <w:p w14:paraId="27440EA9"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lastRenderedPageBreak/>
        <w:t xml:space="preserve">Haque, M. (2015). </w:t>
      </w:r>
      <w:r w:rsidRPr="009A1DFA">
        <w:rPr>
          <w:rStyle w:val="Emphasis"/>
          <w:rFonts w:ascii="Times New Roman" w:hAnsi="Times New Roman" w:cs="Times New Roman"/>
          <w:sz w:val="24"/>
          <w:szCs w:val="24"/>
        </w:rPr>
        <w:t xml:space="preserve">Entrepreneurial </w:t>
      </w:r>
      <w:proofErr w:type="spellStart"/>
      <w:r w:rsidRPr="009A1DFA">
        <w:rPr>
          <w:rStyle w:val="Emphasis"/>
          <w:rFonts w:ascii="Times New Roman" w:hAnsi="Times New Roman" w:cs="Times New Roman"/>
          <w:sz w:val="24"/>
          <w:szCs w:val="24"/>
        </w:rPr>
        <w:t>behaviour</w:t>
      </w:r>
      <w:proofErr w:type="spellEnd"/>
      <w:r w:rsidRPr="009A1DFA">
        <w:rPr>
          <w:rStyle w:val="Emphasis"/>
          <w:rFonts w:ascii="Times New Roman" w:hAnsi="Times New Roman" w:cs="Times New Roman"/>
          <w:sz w:val="24"/>
          <w:szCs w:val="24"/>
        </w:rPr>
        <w:t xml:space="preserve"> of farmer producer organization members in Nadia district of West Bengal</w:t>
      </w:r>
      <w:r w:rsidRPr="009A1DFA">
        <w:rPr>
          <w:rFonts w:ascii="Times New Roman" w:hAnsi="Times New Roman" w:cs="Times New Roman"/>
          <w:sz w:val="24"/>
          <w:szCs w:val="24"/>
        </w:rPr>
        <w:t xml:space="preserve"> (M.Sc. Thesis). BCKV, </w:t>
      </w:r>
      <w:proofErr w:type="spellStart"/>
      <w:r w:rsidRPr="009A1DFA">
        <w:rPr>
          <w:rFonts w:ascii="Times New Roman" w:hAnsi="Times New Roman" w:cs="Times New Roman"/>
          <w:sz w:val="24"/>
          <w:szCs w:val="24"/>
        </w:rPr>
        <w:t>Mohanpur</w:t>
      </w:r>
      <w:proofErr w:type="spellEnd"/>
      <w:r w:rsidRPr="009A1DFA">
        <w:rPr>
          <w:rFonts w:ascii="Times New Roman" w:hAnsi="Times New Roman" w:cs="Times New Roman"/>
          <w:sz w:val="24"/>
          <w:szCs w:val="24"/>
        </w:rPr>
        <w:t>.</w:t>
      </w:r>
    </w:p>
    <w:p w14:paraId="78F3257C"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Jain, P., &amp; Bhati, A. (2020). Credit and infrastructure constraints in FPOs. </w:t>
      </w:r>
      <w:r w:rsidRPr="009A1DFA">
        <w:rPr>
          <w:rStyle w:val="Emphasis"/>
          <w:rFonts w:ascii="Times New Roman" w:hAnsi="Times New Roman" w:cs="Times New Roman"/>
          <w:sz w:val="24"/>
          <w:szCs w:val="24"/>
        </w:rPr>
        <w:t>Agricultural Finance Review, 80</w:t>
      </w:r>
      <w:r w:rsidRPr="009A1DFA">
        <w:rPr>
          <w:rFonts w:ascii="Times New Roman" w:hAnsi="Times New Roman" w:cs="Times New Roman"/>
          <w:sz w:val="24"/>
          <w:szCs w:val="24"/>
        </w:rPr>
        <w:t>(3), 320–335.</w:t>
      </w:r>
    </w:p>
    <w:p w14:paraId="22F1F9D0"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Jain, R., &amp; Bhati, S. (2020). Problems and prospects of farmer producer organizations (FPOs) in India: A case study. </w:t>
      </w:r>
      <w:r w:rsidRPr="009A1DFA">
        <w:rPr>
          <w:rStyle w:val="Emphasis"/>
          <w:rFonts w:ascii="Times New Roman" w:hAnsi="Times New Roman" w:cs="Times New Roman"/>
          <w:sz w:val="24"/>
          <w:szCs w:val="24"/>
        </w:rPr>
        <w:t>Indian Journal of Agricultural Marketing, 34</w:t>
      </w:r>
      <w:r w:rsidRPr="009A1DFA">
        <w:rPr>
          <w:rFonts w:ascii="Times New Roman" w:hAnsi="Times New Roman" w:cs="Times New Roman"/>
          <w:sz w:val="24"/>
          <w:szCs w:val="24"/>
        </w:rPr>
        <w:t>(3), 239–251.</w:t>
      </w:r>
    </w:p>
    <w:p w14:paraId="38096C77"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Jetten, J., Haslam, C., &amp; Haslam, S. A. (2017). </w:t>
      </w:r>
      <w:r w:rsidRPr="009A1DFA">
        <w:rPr>
          <w:rStyle w:val="Emphasis"/>
          <w:rFonts w:ascii="Times New Roman" w:hAnsi="Times New Roman" w:cs="Times New Roman"/>
          <w:sz w:val="24"/>
          <w:szCs w:val="24"/>
        </w:rPr>
        <w:t>The social cure: Identity, health and well-being</w:t>
      </w:r>
      <w:r w:rsidRPr="009A1DFA">
        <w:rPr>
          <w:rFonts w:ascii="Times New Roman" w:hAnsi="Times New Roman" w:cs="Times New Roman"/>
          <w:sz w:val="24"/>
          <w:szCs w:val="24"/>
        </w:rPr>
        <w:t>. Psychology Press.</w:t>
      </w:r>
    </w:p>
    <w:p w14:paraId="5C92EB25"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Jose, P., Mathew, A., &amp; Joseph, M. (2023). Behavioural traits of members in farmer producer organizations in Kerala. </w:t>
      </w:r>
      <w:r w:rsidRPr="009A1DFA">
        <w:rPr>
          <w:rStyle w:val="Emphasis"/>
          <w:rFonts w:ascii="Times New Roman" w:hAnsi="Times New Roman" w:cs="Times New Roman"/>
          <w:sz w:val="24"/>
          <w:szCs w:val="24"/>
        </w:rPr>
        <w:t>Journal of Community Mobilization and Sustainable Development, 18</w:t>
      </w:r>
      <w:r w:rsidRPr="009A1DFA">
        <w:rPr>
          <w:rFonts w:ascii="Times New Roman" w:hAnsi="Times New Roman" w:cs="Times New Roman"/>
          <w:sz w:val="24"/>
          <w:szCs w:val="24"/>
        </w:rPr>
        <w:t>(1), 1–9.</w:t>
      </w:r>
    </w:p>
    <w:p w14:paraId="0B53C316"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Kamala, A., et al. (2018). Technology adoption gap in smallholder farming. </w:t>
      </w:r>
      <w:r w:rsidRPr="009A1DFA">
        <w:rPr>
          <w:rStyle w:val="Emphasis"/>
          <w:rFonts w:ascii="Times New Roman" w:hAnsi="Times New Roman" w:cs="Times New Roman"/>
          <w:sz w:val="24"/>
          <w:szCs w:val="24"/>
        </w:rPr>
        <w:t>Journal of Extension Systems, 34</w:t>
      </w:r>
      <w:r w:rsidRPr="009A1DFA">
        <w:rPr>
          <w:rFonts w:ascii="Times New Roman" w:hAnsi="Times New Roman" w:cs="Times New Roman"/>
          <w:sz w:val="24"/>
          <w:szCs w:val="24"/>
        </w:rPr>
        <w:t>(1), 12–19.</w:t>
      </w:r>
    </w:p>
    <w:p w14:paraId="276FD1E6"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Khan, A. A., Shivendra, K., Kumar, S., &amp; Singh, S. (2020). Role of farmer producer organizations in the development of agriculture in Haryana. </w:t>
      </w:r>
      <w:r w:rsidRPr="009A1DFA">
        <w:rPr>
          <w:rStyle w:val="Emphasis"/>
          <w:rFonts w:ascii="Times New Roman" w:hAnsi="Times New Roman" w:cs="Times New Roman"/>
          <w:sz w:val="24"/>
          <w:szCs w:val="24"/>
        </w:rPr>
        <w:t>International Journal of Current Microbiology and Applied Sciences, 9</w:t>
      </w:r>
      <w:r w:rsidRPr="009A1DFA">
        <w:rPr>
          <w:rFonts w:ascii="Times New Roman" w:hAnsi="Times New Roman" w:cs="Times New Roman"/>
          <w:sz w:val="24"/>
          <w:szCs w:val="24"/>
        </w:rPr>
        <w:t>(6), 1111–1119.</w:t>
      </w:r>
    </w:p>
    <w:p w14:paraId="07D43329"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Kumar, A., &amp; Goyal, J. (2021). Entrepreneurial traits of farmers in FPOs. </w:t>
      </w:r>
      <w:r w:rsidRPr="009A1DFA">
        <w:rPr>
          <w:rStyle w:val="Emphasis"/>
          <w:rFonts w:ascii="Times New Roman" w:hAnsi="Times New Roman" w:cs="Times New Roman"/>
          <w:sz w:val="24"/>
          <w:szCs w:val="24"/>
        </w:rPr>
        <w:t>Indian Research Journal of Extension Education, 21</w:t>
      </w:r>
      <w:r w:rsidRPr="009A1DFA">
        <w:rPr>
          <w:rFonts w:ascii="Times New Roman" w:hAnsi="Times New Roman" w:cs="Times New Roman"/>
          <w:sz w:val="24"/>
          <w:szCs w:val="24"/>
        </w:rPr>
        <w:t>(1), 95–100.</w:t>
      </w:r>
    </w:p>
    <w:p w14:paraId="72BB4DC2"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Kumar, R., Singh, R., &amp; Chahal, V. P. (2013). Entrepreneurial </w:t>
      </w:r>
      <w:proofErr w:type="spellStart"/>
      <w:r w:rsidRPr="009A1DFA">
        <w:rPr>
          <w:rFonts w:ascii="Times New Roman" w:hAnsi="Times New Roman" w:cs="Times New Roman"/>
          <w:sz w:val="24"/>
          <w:szCs w:val="24"/>
        </w:rPr>
        <w:t>behaviour</w:t>
      </w:r>
      <w:proofErr w:type="spellEnd"/>
      <w:r w:rsidRPr="009A1DFA">
        <w:rPr>
          <w:rFonts w:ascii="Times New Roman" w:hAnsi="Times New Roman" w:cs="Times New Roman"/>
          <w:sz w:val="24"/>
          <w:szCs w:val="24"/>
        </w:rPr>
        <w:t xml:space="preserve"> of vegetable growers in Himachal Pradesh. </w:t>
      </w:r>
      <w:r w:rsidRPr="009A1DFA">
        <w:rPr>
          <w:rStyle w:val="Emphasis"/>
          <w:rFonts w:ascii="Times New Roman" w:hAnsi="Times New Roman" w:cs="Times New Roman"/>
          <w:sz w:val="24"/>
          <w:szCs w:val="24"/>
        </w:rPr>
        <w:t>Indian Research Journal of Extension Education, 13</w:t>
      </w:r>
      <w:r w:rsidRPr="009A1DFA">
        <w:rPr>
          <w:rFonts w:ascii="Times New Roman" w:hAnsi="Times New Roman" w:cs="Times New Roman"/>
          <w:sz w:val="24"/>
          <w:szCs w:val="24"/>
        </w:rPr>
        <w:t>(3), 51–55.</w:t>
      </w:r>
    </w:p>
    <w:p w14:paraId="16A30F94"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Kumar, R., et al. (2013). Innovativeness of members in producer companies. </w:t>
      </w:r>
      <w:r w:rsidRPr="009A1DFA">
        <w:rPr>
          <w:rStyle w:val="Emphasis"/>
          <w:rFonts w:ascii="Times New Roman" w:hAnsi="Times New Roman" w:cs="Times New Roman"/>
          <w:sz w:val="24"/>
          <w:szCs w:val="24"/>
        </w:rPr>
        <w:t>Journal of Extension Education, 25</w:t>
      </w:r>
      <w:r w:rsidRPr="009A1DFA">
        <w:rPr>
          <w:rFonts w:ascii="Times New Roman" w:hAnsi="Times New Roman" w:cs="Times New Roman"/>
          <w:sz w:val="24"/>
          <w:szCs w:val="24"/>
        </w:rPr>
        <w:t>(1), 85–89.</w:t>
      </w:r>
    </w:p>
    <w:p w14:paraId="08995D3D"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Marak, D. M., Chakraborty, D., &amp; Deka, P. (2022). Feedback usage pattern among tribal farmers in Meghalaya. </w:t>
      </w:r>
      <w:r w:rsidRPr="009A1DFA">
        <w:rPr>
          <w:rStyle w:val="Emphasis"/>
          <w:rFonts w:ascii="Times New Roman" w:hAnsi="Times New Roman" w:cs="Times New Roman"/>
          <w:sz w:val="24"/>
          <w:szCs w:val="24"/>
        </w:rPr>
        <w:t>Journal of Extension Systems, 38</w:t>
      </w:r>
      <w:r w:rsidRPr="009A1DFA">
        <w:rPr>
          <w:rFonts w:ascii="Times New Roman" w:hAnsi="Times New Roman" w:cs="Times New Roman"/>
          <w:sz w:val="24"/>
          <w:szCs w:val="24"/>
        </w:rPr>
        <w:t>(2), 21–26.</w:t>
      </w:r>
    </w:p>
    <w:p w14:paraId="7E9A90AC"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Mehta, K. K., &amp; Sonawane, R. (2012). Decision-making pattern of FPO farmers. </w:t>
      </w:r>
      <w:r w:rsidRPr="009A1DFA">
        <w:rPr>
          <w:rStyle w:val="Emphasis"/>
          <w:rFonts w:ascii="Times New Roman" w:hAnsi="Times New Roman" w:cs="Times New Roman"/>
          <w:sz w:val="24"/>
          <w:szCs w:val="24"/>
        </w:rPr>
        <w:t>Maharashtra Journal of Extension Education, 31</w:t>
      </w:r>
      <w:r w:rsidRPr="009A1DFA">
        <w:rPr>
          <w:rFonts w:ascii="Times New Roman" w:hAnsi="Times New Roman" w:cs="Times New Roman"/>
          <w:sz w:val="24"/>
          <w:szCs w:val="24"/>
        </w:rPr>
        <w:t>, 125–130.</w:t>
      </w:r>
    </w:p>
    <w:p w14:paraId="0AAD1A70"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Mehta, P. G., &amp; Sonawane, V. C. (2012). Decision making </w:t>
      </w:r>
      <w:proofErr w:type="spellStart"/>
      <w:r w:rsidRPr="009A1DFA">
        <w:rPr>
          <w:rFonts w:ascii="Times New Roman" w:hAnsi="Times New Roman" w:cs="Times New Roman"/>
          <w:sz w:val="24"/>
          <w:szCs w:val="24"/>
        </w:rPr>
        <w:t>behaviour</w:t>
      </w:r>
      <w:proofErr w:type="spellEnd"/>
      <w:r w:rsidRPr="009A1DFA">
        <w:rPr>
          <w:rFonts w:ascii="Times New Roman" w:hAnsi="Times New Roman" w:cs="Times New Roman"/>
          <w:sz w:val="24"/>
          <w:szCs w:val="24"/>
        </w:rPr>
        <w:t xml:space="preserve"> of farmers in adoption of agricultural technologies. </w:t>
      </w:r>
      <w:r w:rsidRPr="009A1DFA">
        <w:rPr>
          <w:rStyle w:val="Emphasis"/>
          <w:rFonts w:ascii="Times New Roman" w:hAnsi="Times New Roman" w:cs="Times New Roman"/>
          <w:sz w:val="24"/>
          <w:szCs w:val="24"/>
        </w:rPr>
        <w:t>Indian Streams Research Journal, 2</w:t>
      </w:r>
      <w:r w:rsidRPr="009A1DFA">
        <w:rPr>
          <w:rFonts w:ascii="Times New Roman" w:hAnsi="Times New Roman" w:cs="Times New Roman"/>
          <w:sz w:val="24"/>
          <w:szCs w:val="24"/>
        </w:rPr>
        <w:t>(11), 1–4.</w:t>
      </w:r>
    </w:p>
    <w:p w14:paraId="2DDBE938"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NABARD. (2015). </w:t>
      </w:r>
      <w:r w:rsidRPr="009A1DFA">
        <w:rPr>
          <w:rStyle w:val="Emphasis"/>
          <w:rFonts w:ascii="Times New Roman" w:hAnsi="Times New Roman" w:cs="Times New Roman"/>
          <w:sz w:val="24"/>
          <w:szCs w:val="24"/>
        </w:rPr>
        <w:t>Farmer Producer Organizations – Status and Prospects</w:t>
      </w:r>
      <w:r w:rsidRPr="009A1DFA">
        <w:rPr>
          <w:rFonts w:ascii="Times New Roman" w:hAnsi="Times New Roman" w:cs="Times New Roman"/>
          <w:sz w:val="24"/>
          <w:szCs w:val="24"/>
        </w:rPr>
        <w:t>. Mumbai: National Bank for Agriculture and Rural Development.</w:t>
      </w:r>
    </w:p>
    <w:p w14:paraId="688EDB77"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NABARD. (2018). </w:t>
      </w:r>
      <w:r w:rsidRPr="009A1DFA">
        <w:rPr>
          <w:rStyle w:val="Emphasis"/>
          <w:rFonts w:ascii="Times New Roman" w:hAnsi="Times New Roman" w:cs="Times New Roman"/>
          <w:sz w:val="24"/>
          <w:szCs w:val="24"/>
        </w:rPr>
        <w:t>Status of FPOs in India</w:t>
      </w:r>
      <w:r w:rsidRPr="009A1DFA">
        <w:rPr>
          <w:rFonts w:ascii="Times New Roman" w:hAnsi="Times New Roman" w:cs="Times New Roman"/>
          <w:sz w:val="24"/>
          <w:szCs w:val="24"/>
        </w:rPr>
        <w:t>. Mumbai: NABARD Publication Division.</w:t>
      </w:r>
    </w:p>
    <w:p w14:paraId="4B864111"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proofErr w:type="spellStart"/>
      <w:r w:rsidRPr="009A1DFA">
        <w:rPr>
          <w:rFonts w:ascii="Times New Roman" w:hAnsi="Times New Roman" w:cs="Times New Roman"/>
          <w:sz w:val="24"/>
          <w:szCs w:val="24"/>
        </w:rPr>
        <w:t>Navaneetham</w:t>
      </w:r>
      <w:proofErr w:type="spellEnd"/>
      <w:r w:rsidRPr="009A1DFA">
        <w:rPr>
          <w:rFonts w:ascii="Times New Roman" w:hAnsi="Times New Roman" w:cs="Times New Roman"/>
          <w:sz w:val="24"/>
          <w:szCs w:val="24"/>
        </w:rPr>
        <w:t xml:space="preserve">, B., Mahendran, K., &amp; Sivakumar, S. D. (2019). Analysis of constraints for performance improvement of FPCs in Tamil Nadu. </w:t>
      </w:r>
      <w:r w:rsidRPr="009A1DFA">
        <w:rPr>
          <w:rStyle w:val="Emphasis"/>
          <w:rFonts w:ascii="Times New Roman" w:hAnsi="Times New Roman" w:cs="Times New Roman"/>
          <w:sz w:val="24"/>
          <w:szCs w:val="24"/>
        </w:rPr>
        <w:t>International Journal of Farm Sciences, 9</w:t>
      </w:r>
      <w:r w:rsidRPr="009A1DFA">
        <w:rPr>
          <w:rFonts w:ascii="Times New Roman" w:hAnsi="Times New Roman" w:cs="Times New Roman"/>
          <w:sz w:val="24"/>
          <w:szCs w:val="24"/>
        </w:rPr>
        <w:t>(2), 12–18.</w:t>
      </w:r>
    </w:p>
    <w:p w14:paraId="787B0509"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Pooja, H. K., Pankaja, B., &amp; Krishnamurthy, B. (2022). Analysis of performance of Farmer Producer Organizations in Kalaburagi district of Karnataka. </w:t>
      </w:r>
      <w:r w:rsidRPr="009A1DFA">
        <w:rPr>
          <w:rStyle w:val="Emphasis"/>
          <w:rFonts w:ascii="Times New Roman" w:hAnsi="Times New Roman" w:cs="Times New Roman"/>
          <w:sz w:val="24"/>
          <w:szCs w:val="24"/>
        </w:rPr>
        <w:t>Journal of Agricultural Extension Management, 23</w:t>
      </w:r>
      <w:r w:rsidRPr="009A1DFA">
        <w:rPr>
          <w:rFonts w:ascii="Times New Roman" w:hAnsi="Times New Roman" w:cs="Times New Roman"/>
          <w:sz w:val="24"/>
          <w:szCs w:val="24"/>
        </w:rPr>
        <w:t>(1), 67–75.</w:t>
      </w:r>
    </w:p>
    <w:p w14:paraId="227D1EA3"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Pooja, R., Sharma, M., &amp; Singh, R. (2022). Achievement motivation in FPO members. </w:t>
      </w:r>
      <w:r w:rsidRPr="009A1DFA">
        <w:rPr>
          <w:rStyle w:val="Emphasis"/>
          <w:rFonts w:ascii="Times New Roman" w:hAnsi="Times New Roman" w:cs="Times New Roman"/>
          <w:sz w:val="24"/>
          <w:szCs w:val="24"/>
        </w:rPr>
        <w:t>International Journal of Extension Education, 58</w:t>
      </w:r>
      <w:r w:rsidRPr="009A1DFA">
        <w:rPr>
          <w:rFonts w:ascii="Times New Roman" w:hAnsi="Times New Roman" w:cs="Times New Roman"/>
          <w:sz w:val="24"/>
          <w:szCs w:val="24"/>
        </w:rPr>
        <w:t>(3), 75–81.</w:t>
      </w:r>
    </w:p>
    <w:p w14:paraId="350D0A23"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lastRenderedPageBreak/>
        <w:t xml:space="preserve">Prabhakar, I., Manjunatha, B. L., Nithyashree, M. L., &amp; Hajong, D. (2012). Farmers Producer Company – An innovative farmers' institution. </w:t>
      </w:r>
      <w:r w:rsidRPr="009A1DFA">
        <w:rPr>
          <w:rStyle w:val="Emphasis"/>
          <w:rFonts w:ascii="Times New Roman" w:hAnsi="Times New Roman" w:cs="Times New Roman"/>
          <w:sz w:val="24"/>
          <w:szCs w:val="24"/>
        </w:rPr>
        <w:t>Environment and Ecology, 30</w:t>
      </w:r>
      <w:r w:rsidRPr="009A1DFA">
        <w:rPr>
          <w:rFonts w:ascii="Times New Roman" w:hAnsi="Times New Roman" w:cs="Times New Roman"/>
          <w:sz w:val="24"/>
          <w:szCs w:val="24"/>
        </w:rPr>
        <w:t>(2), 427–430.</w:t>
      </w:r>
    </w:p>
    <w:p w14:paraId="504AC006"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Prabhakar, R., et al. (2012). Institutional and financial constraints of FPOs. </w:t>
      </w:r>
      <w:r w:rsidRPr="009A1DFA">
        <w:rPr>
          <w:rStyle w:val="Emphasis"/>
          <w:rFonts w:ascii="Times New Roman" w:hAnsi="Times New Roman" w:cs="Times New Roman"/>
          <w:sz w:val="24"/>
          <w:szCs w:val="24"/>
        </w:rPr>
        <w:t>Indian Journal of Agricultural Marketing, 26</w:t>
      </w:r>
      <w:r w:rsidRPr="009A1DFA">
        <w:rPr>
          <w:rFonts w:ascii="Times New Roman" w:hAnsi="Times New Roman" w:cs="Times New Roman"/>
          <w:sz w:val="24"/>
          <w:szCs w:val="24"/>
        </w:rPr>
        <w:t>(1), 85–90.</w:t>
      </w:r>
    </w:p>
    <w:p w14:paraId="5EB581D1"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Press Information Bureau. (2024, 2025). </w:t>
      </w:r>
      <w:r w:rsidRPr="009A1DFA">
        <w:rPr>
          <w:rStyle w:val="Emphasis"/>
          <w:rFonts w:ascii="Times New Roman" w:hAnsi="Times New Roman" w:cs="Times New Roman"/>
          <w:sz w:val="24"/>
          <w:szCs w:val="24"/>
        </w:rPr>
        <w:t>Annual Agriculture and FPO Updates</w:t>
      </w:r>
      <w:r w:rsidRPr="009A1DFA">
        <w:rPr>
          <w:rFonts w:ascii="Times New Roman" w:hAnsi="Times New Roman" w:cs="Times New Roman"/>
          <w:sz w:val="24"/>
          <w:szCs w:val="24"/>
        </w:rPr>
        <w:t xml:space="preserve">. Retrieved from </w:t>
      </w:r>
      <w:hyperlink r:id="rId22" w:tgtFrame="_new" w:history="1">
        <w:r w:rsidRPr="009A1DFA">
          <w:rPr>
            <w:rStyle w:val="Hyperlink"/>
            <w:rFonts w:ascii="Times New Roman" w:hAnsi="Times New Roman" w:cs="Times New Roman"/>
            <w:sz w:val="24"/>
            <w:szCs w:val="24"/>
          </w:rPr>
          <w:t>https://pib.gov.in</w:t>
        </w:r>
      </w:hyperlink>
    </w:p>
    <w:p w14:paraId="74420E62"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proofErr w:type="spellStart"/>
      <w:r w:rsidRPr="009A1DFA">
        <w:rPr>
          <w:rFonts w:ascii="Times New Roman" w:hAnsi="Times New Roman" w:cs="Times New Roman"/>
          <w:sz w:val="24"/>
          <w:szCs w:val="24"/>
        </w:rPr>
        <w:t>Prishila</w:t>
      </w:r>
      <w:proofErr w:type="spellEnd"/>
      <w:r w:rsidRPr="009A1DFA">
        <w:rPr>
          <w:rFonts w:ascii="Times New Roman" w:hAnsi="Times New Roman" w:cs="Times New Roman"/>
          <w:sz w:val="24"/>
          <w:szCs w:val="24"/>
        </w:rPr>
        <w:t xml:space="preserve"> Kujur, </w:t>
      </w:r>
      <w:proofErr w:type="spellStart"/>
      <w:r w:rsidRPr="009A1DFA">
        <w:rPr>
          <w:rFonts w:ascii="Times New Roman" w:hAnsi="Times New Roman" w:cs="Times New Roman"/>
          <w:sz w:val="24"/>
          <w:szCs w:val="24"/>
        </w:rPr>
        <w:t>Gauraha</w:t>
      </w:r>
      <w:proofErr w:type="spellEnd"/>
      <w:r w:rsidRPr="009A1DFA">
        <w:rPr>
          <w:rFonts w:ascii="Times New Roman" w:hAnsi="Times New Roman" w:cs="Times New Roman"/>
          <w:sz w:val="24"/>
          <w:szCs w:val="24"/>
        </w:rPr>
        <w:t xml:space="preserve">, A. K., &amp; Netam, O. K. (2019). The socio-economic impact of farmer producer organizations in Chhattisgarh plains. </w:t>
      </w:r>
      <w:r w:rsidRPr="009A1DFA">
        <w:rPr>
          <w:rStyle w:val="Emphasis"/>
          <w:rFonts w:ascii="Times New Roman" w:hAnsi="Times New Roman" w:cs="Times New Roman"/>
          <w:sz w:val="24"/>
          <w:szCs w:val="24"/>
        </w:rPr>
        <w:t>Journal of Entomology and Zoology Studies, 7</w:t>
      </w:r>
      <w:r w:rsidRPr="009A1DFA">
        <w:rPr>
          <w:rFonts w:ascii="Times New Roman" w:hAnsi="Times New Roman" w:cs="Times New Roman"/>
          <w:sz w:val="24"/>
          <w:szCs w:val="24"/>
        </w:rPr>
        <w:t>(6), 1104–1106.</w:t>
      </w:r>
    </w:p>
    <w:p w14:paraId="252EAF2D"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Raina, P., Yadav, J. P., &amp; Singh, R. (2016). Capacity building and business skills among farmers: A study from Haryana. </w:t>
      </w:r>
      <w:r w:rsidRPr="009A1DFA">
        <w:rPr>
          <w:rStyle w:val="Emphasis"/>
          <w:rFonts w:ascii="Times New Roman" w:hAnsi="Times New Roman" w:cs="Times New Roman"/>
          <w:sz w:val="24"/>
          <w:szCs w:val="24"/>
        </w:rPr>
        <w:t>Journal of Extension Education, 28</w:t>
      </w:r>
      <w:r w:rsidRPr="009A1DFA">
        <w:rPr>
          <w:rFonts w:ascii="Times New Roman" w:hAnsi="Times New Roman" w:cs="Times New Roman"/>
          <w:sz w:val="24"/>
          <w:szCs w:val="24"/>
        </w:rPr>
        <w:t>(2), 63–68.</w:t>
      </w:r>
    </w:p>
    <w:p w14:paraId="0B0328A5"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Rathod, M. K., Biradar, R. S., &amp; </w:t>
      </w:r>
      <w:proofErr w:type="spellStart"/>
      <w:r w:rsidRPr="009A1DFA">
        <w:rPr>
          <w:rFonts w:ascii="Times New Roman" w:hAnsi="Times New Roman" w:cs="Times New Roman"/>
          <w:sz w:val="24"/>
          <w:szCs w:val="24"/>
        </w:rPr>
        <w:t>Goudappa</w:t>
      </w:r>
      <w:proofErr w:type="spellEnd"/>
      <w:r w:rsidRPr="009A1DFA">
        <w:rPr>
          <w:rFonts w:ascii="Times New Roman" w:hAnsi="Times New Roman" w:cs="Times New Roman"/>
          <w:sz w:val="24"/>
          <w:szCs w:val="24"/>
        </w:rPr>
        <w:t xml:space="preserve">, S. B. (2012). Achievement motivation and socio-economic factors of rural youth. </w:t>
      </w:r>
      <w:r w:rsidRPr="009A1DFA">
        <w:rPr>
          <w:rStyle w:val="Emphasis"/>
          <w:rFonts w:ascii="Times New Roman" w:hAnsi="Times New Roman" w:cs="Times New Roman"/>
          <w:sz w:val="24"/>
          <w:szCs w:val="24"/>
        </w:rPr>
        <w:t>Karnataka Journal of Agricultural Sciences, 25</w:t>
      </w:r>
      <w:r w:rsidRPr="009A1DFA">
        <w:rPr>
          <w:rFonts w:ascii="Times New Roman" w:hAnsi="Times New Roman" w:cs="Times New Roman"/>
          <w:sz w:val="24"/>
          <w:szCs w:val="24"/>
        </w:rPr>
        <w:t>(2), 245–247.</w:t>
      </w:r>
    </w:p>
    <w:p w14:paraId="133AE682"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Raina, J. P., </w:t>
      </w:r>
      <w:r w:rsidRPr="009A1DFA">
        <w:rPr>
          <w:rFonts w:ascii="Times New Roman" w:hAnsi="Times New Roman" w:cs="Times New Roman"/>
          <w:i/>
          <w:sz w:val="24"/>
          <w:szCs w:val="24"/>
        </w:rPr>
        <w:t>et al.</w:t>
      </w:r>
      <w:r w:rsidRPr="009A1DFA">
        <w:rPr>
          <w:rFonts w:ascii="Times New Roman" w:hAnsi="Times New Roman" w:cs="Times New Roman"/>
          <w:sz w:val="24"/>
          <w:szCs w:val="24"/>
        </w:rPr>
        <w:t xml:space="preserve"> (2016). Impact of training on business skill development among FPO members. </w:t>
      </w:r>
      <w:r w:rsidRPr="009A1DFA">
        <w:rPr>
          <w:rStyle w:val="Emphasis"/>
          <w:rFonts w:ascii="Times New Roman" w:hAnsi="Times New Roman" w:cs="Times New Roman"/>
          <w:sz w:val="24"/>
          <w:szCs w:val="24"/>
        </w:rPr>
        <w:t>Indian Journal of Extension Education, 52</w:t>
      </w:r>
      <w:r w:rsidRPr="009A1DFA">
        <w:rPr>
          <w:rFonts w:ascii="Times New Roman" w:hAnsi="Times New Roman" w:cs="Times New Roman"/>
          <w:sz w:val="24"/>
          <w:szCs w:val="24"/>
        </w:rPr>
        <w:t>(1–2), 102–106.</w:t>
      </w:r>
    </w:p>
    <w:p w14:paraId="55A9D547" w14:textId="77777777" w:rsidR="008F38B6" w:rsidRPr="009A1DFA" w:rsidRDefault="008F38B6" w:rsidP="00585ADA">
      <w:pPr>
        <w:pStyle w:val="ListParagraph"/>
        <w:numPr>
          <w:ilvl w:val="0"/>
          <w:numId w:val="23"/>
        </w:numPr>
        <w:spacing w:beforeLines="80" w:before="192" w:afterLines="80" w:after="192"/>
        <w:ind w:left="426"/>
        <w:jc w:val="both"/>
        <w:rPr>
          <w:rFonts w:ascii="Times New Roman" w:hAnsi="Times New Roman" w:cs="Times New Roman"/>
          <w:sz w:val="24"/>
          <w:szCs w:val="24"/>
          <w:u w:val="single"/>
        </w:rPr>
      </w:pPr>
      <w:r w:rsidRPr="009A1DFA">
        <w:rPr>
          <w:rFonts w:ascii="Times New Roman" w:hAnsi="Times New Roman" w:cs="Times New Roman"/>
          <w:sz w:val="24"/>
          <w:szCs w:val="24"/>
        </w:rPr>
        <w:t>Revanth and Praveen</w:t>
      </w:r>
      <w:r w:rsidR="00077AEB" w:rsidRPr="009A1DFA">
        <w:rPr>
          <w:rFonts w:ascii="Times New Roman" w:hAnsi="Times New Roman" w:cs="Times New Roman"/>
          <w:sz w:val="24"/>
          <w:szCs w:val="24"/>
        </w:rPr>
        <w:t xml:space="preserve"> </w:t>
      </w:r>
      <w:r w:rsidRPr="009A1DFA">
        <w:rPr>
          <w:rFonts w:ascii="Times New Roman" w:hAnsi="Times New Roman" w:cs="Times New Roman"/>
          <w:i/>
          <w:sz w:val="24"/>
          <w:szCs w:val="24"/>
        </w:rPr>
        <w:t>et al.,(</w:t>
      </w:r>
      <w:r w:rsidRPr="009A1DFA">
        <w:rPr>
          <w:rFonts w:ascii="Times New Roman" w:hAnsi="Times New Roman" w:cs="Times New Roman"/>
          <w:sz w:val="24"/>
          <w:szCs w:val="24"/>
        </w:rPr>
        <w:t xml:space="preserve">2024) Profile Characteristics of Members of Farmer Producer Organizations (FPOs) in Andhra Pradesh The Andhra Agric. J 71 (1): 120-124, 2024 </w:t>
      </w:r>
      <w:proofErr w:type="spellStart"/>
      <w:r w:rsidRPr="009A1DFA">
        <w:rPr>
          <w:rFonts w:ascii="Times New Roman" w:hAnsi="Times New Roman" w:cs="Times New Roman"/>
          <w:sz w:val="24"/>
          <w:szCs w:val="24"/>
          <w:u w:val="single"/>
        </w:rPr>
        <w:t>doi</w:t>
      </w:r>
      <w:proofErr w:type="spellEnd"/>
      <w:r w:rsidRPr="009A1DFA">
        <w:rPr>
          <w:rFonts w:ascii="Times New Roman" w:hAnsi="Times New Roman" w:cs="Times New Roman"/>
          <w:sz w:val="24"/>
          <w:szCs w:val="24"/>
          <w:u w:val="single"/>
        </w:rPr>
        <w:t xml:space="preserve"> :10.61657/aaj.2024.102</w:t>
      </w:r>
    </w:p>
    <w:p w14:paraId="6F67ECA4" w14:textId="77777777" w:rsidR="00077448" w:rsidRPr="009A1DFA" w:rsidRDefault="00077448" w:rsidP="00585ADA">
      <w:pPr>
        <w:pStyle w:val="ListParagraph"/>
        <w:numPr>
          <w:ilvl w:val="0"/>
          <w:numId w:val="23"/>
        </w:numPr>
        <w:spacing w:beforeLines="80" w:before="192" w:afterLines="80" w:after="192"/>
        <w:ind w:left="426"/>
        <w:jc w:val="both"/>
        <w:rPr>
          <w:rFonts w:ascii="Times New Roman" w:hAnsi="Times New Roman" w:cs="Times New Roman"/>
          <w:sz w:val="24"/>
          <w:szCs w:val="24"/>
          <w:u w:val="single"/>
        </w:rPr>
      </w:pPr>
      <w:r w:rsidRPr="009A1DFA">
        <w:rPr>
          <w:rFonts w:ascii="Times New Roman" w:hAnsi="Times New Roman" w:cs="Times New Roman"/>
          <w:sz w:val="24"/>
          <w:szCs w:val="24"/>
        </w:rPr>
        <w:t xml:space="preserve">Sahoo </w:t>
      </w:r>
      <w:r w:rsidRPr="009A1DFA">
        <w:rPr>
          <w:rFonts w:ascii="Times New Roman" w:hAnsi="Times New Roman" w:cs="Times New Roman"/>
          <w:i/>
          <w:sz w:val="24"/>
          <w:szCs w:val="24"/>
        </w:rPr>
        <w:t xml:space="preserve">et al. </w:t>
      </w:r>
      <w:r w:rsidRPr="009A1DFA">
        <w:rPr>
          <w:rFonts w:ascii="Times New Roman" w:hAnsi="Times New Roman" w:cs="Times New Roman"/>
          <w:sz w:val="24"/>
          <w:szCs w:val="24"/>
        </w:rPr>
        <w:t>(2022) Communication Behavior Analysis of the Member Farmers of Farmer Producer Organizations (FPOs) Biological Forum – An International Journal 14(1): 1656-1660(2022)</w:t>
      </w:r>
    </w:p>
    <w:p w14:paraId="00EE4658"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SFAC. (2019). </w:t>
      </w:r>
      <w:r w:rsidRPr="009A1DFA">
        <w:rPr>
          <w:rStyle w:val="Emphasis"/>
          <w:rFonts w:ascii="Times New Roman" w:hAnsi="Times New Roman" w:cs="Times New Roman"/>
          <w:sz w:val="24"/>
          <w:szCs w:val="24"/>
        </w:rPr>
        <w:t>Performance Evaluation of Farmer Producer Organizations</w:t>
      </w:r>
      <w:r w:rsidRPr="009A1DFA">
        <w:rPr>
          <w:rFonts w:ascii="Times New Roman" w:hAnsi="Times New Roman" w:cs="Times New Roman"/>
          <w:sz w:val="24"/>
          <w:szCs w:val="24"/>
        </w:rPr>
        <w:t>. New Delhi: Small Farmers Agribusiness Consortium.</w:t>
      </w:r>
    </w:p>
    <w:p w14:paraId="500D4DB3"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SFAC. (2019). </w:t>
      </w:r>
      <w:r w:rsidRPr="009A1DFA">
        <w:rPr>
          <w:rStyle w:val="Emphasis"/>
          <w:rFonts w:ascii="Times New Roman" w:hAnsi="Times New Roman" w:cs="Times New Roman"/>
          <w:sz w:val="24"/>
          <w:szCs w:val="24"/>
        </w:rPr>
        <w:t xml:space="preserve">Strategy Paper for Promotion of 10,000 Farmer Producer </w:t>
      </w:r>
      <w:proofErr w:type="spellStart"/>
      <w:r w:rsidRPr="009A1DFA">
        <w:rPr>
          <w:rStyle w:val="Emphasis"/>
          <w:rFonts w:ascii="Times New Roman" w:hAnsi="Times New Roman" w:cs="Times New Roman"/>
          <w:sz w:val="24"/>
          <w:szCs w:val="24"/>
        </w:rPr>
        <w:t>Organisations</w:t>
      </w:r>
      <w:proofErr w:type="spellEnd"/>
      <w:r w:rsidRPr="009A1DFA">
        <w:rPr>
          <w:rStyle w:val="Emphasis"/>
          <w:rFonts w:ascii="Times New Roman" w:hAnsi="Times New Roman" w:cs="Times New Roman"/>
          <w:sz w:val="24"/>
          <w:szCs w:val="24"/>
        </w:rPr>
        <w:t xml:space="preserve"> (FPOs)</w:t>
      </w:r>
      <w:r w:rsidRPr="009A1DFA">
        <w:rPr>
          <w:rFonts w:ascii="Times New Roman" w:hAnsi="Times New Roman" w:cs="Times New Roman"/>
          <w:sz w:val="24"/>
          <w:szCs w:val="24"/>
        </w:rPr>
        <w:t>. New Delhi: SFAC.</w:t>
      </w:r>
    </w:p>
    <w:p w14:paraId="296A9A8E"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proofErr w:type="spellStart"/>
      <w:r w:rsidRPr="009A1DFA">
        <w:rPr>
          <w:rFonts w:ascii="Times New Roman" w:hAnsi="Times New Roman" w:cs="Times New Roman"/>
          <w:sz w:val="24"/>
          <w:szCs w:val="24"/>
        </w:rPr>
        <w:t>Shelake</w:t>
      </w:r>
      <w:proofErr w:type="spellEnd"/>
      <w:r w:rsidRPr="009A1DFA">
        <w:rPr>
          <w:rFonts w:ascii="Times New Roman" w:hAnsi="Times New Roman" w:cs="Times New Roman"/>
          <w:sz w:val="24"/>
          <w:szCs w:val="24"/>
        </w:rPr>
        <w:t xml:space="preserve">, C., Rathod, M. K., &amp; </w:t>
      </w:r>
      <w:proofErr w:type="spellStart"/>
      <w:r w:rsidRPr="009A1DFA">
        <w:rPr>
          <w:rFonts w:ascii="Times New Roman" w:hAnsi="Times New Roman" w:cs="Times New Roman"/>
          <w:sz w:val="24"/>
          <w:szCs w:val="24"/>
        </w:rPr>
        <w:t>Deore</w:t>
      </w:r>
      <w:proofErr w:type="spellEnd"/>
      <w:r w:rsidRPr="009A1DFA">
        <w:rPr>
          <w:rFonts w:ascii="Times New Roman" w:hAnsi="Times New Roman" w:cs="Times New Roman"/>
          <w:sz w:val="24"/>
          <w:szCs w:val="24"/>
        </w:rPr>
        <w:t xml:space="preserve">, P. (2023). Impact of communication training on FPO members in Maharashtra. </w:t>
      </w:r>
      <w:r w:rsidRPr="009A1DFA">
        <w:rPr>
          <w:rStyle w:val="Emphasis"/>
          <w:rFonts w:ascii="Times New Roman" w:hAnsi="Times New Roman" w:cs="Times New Roman"/>
          <w:sz w:val="24"/>
          <w:szCs w:val="24"/>
        </w:rPr>
        <w:t>MANAGE Extension Research Review, 24</w:t>
      </w:r>
      <w:r w:rsidRPr="009A1DFA">
        <w:rPr>
          <w:rFonts w:ascii="Times New Roman" w:hAnsi="Times New Roman" w:cs="Times New Roman"/>
          <w:sz w:val="24"/>
          <w:szCs w:val="24"/>
        </w:rPr>
        <w:t>(1), 45–50.</w:t>
      </w:r>
    </w:p>
    <w:p w14:paraId="79B8064F"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hAnsi="Times New Roman" w:cs="Times New Roman"/>
          <w:sz w:val="24"/>
          <w:szCs w:val="24"/>
        </w:rPr>
      </w:pPr>
      <w:r w:rsidRPr="009A1DFA">
        <w:rPr>
          <w:rFonts w:ascii="Times New Roman" w:hAnsi="Times New Roman" w:cs="Times New Roman"/>
          <w:sz w:val="24"/>
          <w:szCs w:val="24"/>
        </w:rPr>
        <w:t xml:space="preserve">Singh, A., &amp; Kumar, A. (2019). An analysis of policy support and constraints of farmer producer organizations (FPOs) in India. </w:t>
      </w:r>
      <w:r w:rsidRPr="009A1DFA">
        <w:rPr>
          <w:rStyle w:val="Emphasis"/>
          <w:rFonts w:ascii="Times New Roman" w:hAnsi="Times New Roman" w:cs="Times New Roman"/>
          <w:sz w:val="24"/>
          <w:szCs w:val="24"/>
        </w:rPr>
        <w:t>Indian Journal of Agricultural Economics, 74</w:t>
      </w:r>
      <w:r w:rsidRPr="009A1DFA">
        <w:rPr>
          <w:rFonts w:ascii="Times New Roman" w:hAnsi="Times New Roman" w:cs="Times New Roman"/>
          <w:sz w:val="24"/>
          <w:szCs w:val="24"/>
        </w:rPr>
        <w:t>(4), 588–601.</w:t>
      </w:r>
    </w:p>
    <w:p w14:paraId="23D704E7"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Singh, M., Tiwari, D., Monga, S., &amp; Rana, R. K. (2021). Behavioural determinants of functionality of Farmer Producer Organisations in Punjab. </w:t>
      </w:r>
      <w:r w:rsidRPr="009A1DFA">
        <w:rPr>
          <w:rFonts w:ascii="Times New Roman" w:eastAsia="Times New Roman" w:hAnsi="Times New Roman" w:cs="Times New Roman"/>
          <w:i/>
          <w:iCs/>
          <w:sz w:val="24"/>
          <w:szCs w:val="24"/>
          <w:lang w:val="en-IN" w:eastAsia="en-IN"/>
        </w:rPr>
        <w:t>Indian Journal of Extension Education, 58</w:t>
      </w:r>
      <w:r w:rsidRPr="009A1DFA">
        <w:rPr>
          <w:rFonts w:ascii="Times New Roman" w:eastAsia="Times New Roman" w:hAnsi="Times New Roman" w:cs="Times New Roman"/>
          <w:sz w:val="24"/>
          <w:szCs w:val="24"/>
          <w:lang w:val="en-IN" w:eastAsia="en-IN"/>
        </w:rPr>
        <w:t>(1), 130–135.</w:t>
      </w:r>
    </w:p>
    <w:p w14:paraId="0AE3E3AB"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Singh, P., Singh, A. K., &amp; Roy, A. (2019). Achievement motivation and entrepreneurial behaviour among rural youth. </w:t>
      </w:r>
      <w:r w:rsidRPr="009A1DFA">
        <w:rPr>
          <w:rFonts w:ascii="Times New Roman" w:eastAsia="Times New Roman" w:hAnsi="Times New Roman" w:cs="Times New Roman"/>
          <w:i/>
          <w:iCs/>
          <w:sz w:val="24"/>
          <w:szCs w:val="24"/>
          <w:lang w:val="en-IN" w:eastAsia="en-IN"/>
        </w:rPr>
        <w:t>Indian Journal of Extension Education, 55</w:t>
      </w:r>
      <w:r w:rsidRPr="009A1DFA">
        <w:rPr>
          <w:rFonts w:ascii="Times New Roman" w:eastAsia="Times New Roman" w:hAnsi="Times New Roman" w:cs="Times New Roman"/>
          <w:sz w:val="24"/>
          <w:szCs w:val="24"/>
          <w:lang w:val="en-IN" w:eastAsia="en-IN"/>
        </w:rPr>
        <w:t>(4), 27–30.</w:t>
      </w:r>
    </w:p>
    <w:p w14:paraId="63A1D11D"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Singh, R., Sharma, V., &amp; Narayan, D. (2021). </w:t>
      </w:r>
      <w:proofErr w:type="spellStart"/>
      <w:r w:rsidRPr="009A1DFA">
        <w:rPr>
          <w:rFonts w:ascii="Times New Roman" w:eastAsia="Times New Roman" w:hAnsi="Times New Roman" w:cs="Times New Roman"/>
          <w:sz w:val="24"/>
          <w:szCs w:val="24"/>
          <w:lang w:val="en-IN" w:eastAsia="en-IN"/>
        </w:rPr>
        <w:t>Behavioral</w:t>
      </w:r>
      <w:proofErr w:type="spellEnd"/>
      <w:r w:rsidRPr="009A1DFA">
        <w:rPr>
          <w:rFonts w:ascii="Times New Roman" w:eastAsia="Times New Roman" w:hAnsi="Times New Roman" w:cs="Times New Roman"/>
          <w:sz w:val="24"/>
          <w:szCs w:val="24"/>
          <w:lang w:val="en-IN" w:eastAsia="en-IN"/>
        </w:rPr>
        <w:t xml:space="preserve"> traits in functional vs. non-functional FPOs. </w:t>
      </w:r>
      <w:r w:rsidRPr="009A1DFA">
        <w:rPr>
          <w:rFonts w:ascii="Times New Roman" w:eastAsia="Times New Roman" w:hAnsi="Times New Roman" w:cs="Times New Roman"/>
          <w:i/>
          <w:iCs/>
          <w:sz w:val="24"/>
          <w:szCs w:val="24"/>
          <w:lang w:val="en-IN" w:eastAsia="en-IN"/>
        </w:rPr>
        <w:t>Journal of Rural and Agricultural Research, 21</w:t>
      </w:r>
      <w:r w:rsidRPr="009A1DFA">
        <w:rPr>
          <w:rFonts w:ascii="Times New Roman" w:eastAsia="Times New Roman" w:hAnsi="Times New Roman" w:cs="Times New Roman"/>
          <w:sz w:val="24"/>
          <w:szCs w:val="24"/>
          <w:lang w:val="en-IN" w:eastAsia="en-IN"/>
        </w:rPr>
        <w:t>(2), 33–40.</w:t>
      </w:r>
    </w:p>
    <w:p w14:paraId="51E03600"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lastRenderedPageBreak/>
        <w:t xml:space="preserve">Singh, S. K., &amp; Kumar, A. (2019). Policy-level challenges in farmer organizations. </w:t>
      </w:r>
      <w:r w:rsidRPr="009A1DFA">
        <w:rPr>
          <w:rFonts w:ascii="Times New Roman" w:eastAsia="Times New Roman" w:hAnsi="Times New Roman" w:cs="Times New Roman"/>
          <w:i/>
          <w:iCs/>
          <w:sz w:val="24"/>
          <w:szCs w:val="24"/>
          <w:lang w:val="en-IN" w:eastAsia="en-IN"/>
        </w:rPr>
        <w:t>Policy Perspectives, 17</w:t>
      </w:r>
      <w:r w:rsidRPr="009A1DFA">
        <w:rPr>
          <w:rFonts w:ascii="Times New Roman" w:eastAsia="Times New Roman" w:hAnsi="Times New Roman" w:cs="Times New Roman"/>
          <w:sz w:val="24"/>
          <w:szCs w:val="24"/>
          <w:lang w:val="en-IN" w:eastAsia="en-IN"/>
        </w:rPr>
        <w:t>(4), 56–62.</w:t>
      </w:r>
    </w:p>
    <w:p w14:paraId="2184907E"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Skinner, B. F. (1972). </w:t>
      </w:r>
      <w:r w:rsidRPr="009A1DFA">
        <w:rPr>
          <w:rFonts w:ascii="Times New Roman" w:eastAsia="Times New Roman" w:hAnsi="Times New Roman" w:cs="Times New Roman"/>
          <w:i/>
          <w:iCs/>
          <w:sz w:val="24"/>
          <w:szCs w:val="24"/>
          <w:lang w:val="en-IN" w:eastAsia="en-IN"/>
        </w:rPr>
        <w:t>Cumulative record</w:t>
      </w:r>
      <w:r w:rsidRPr="009A1DFA">
        <w:rPr>
          <w:rFonts w:ascii="Times New Roman" w:eastAsia="Times New Roman" w:hAnsi="Times New Roman" w:cs="Times New Roman"/>
          <w:sz w:val="24"/>
          <w:szCs w:val="24"/>
          <w:lang w:val="en-IN" w:eastAsia="en-IN"/>
        </w:rPr>
        <w:t>. Appleton-Century-Crofts.</w:t>
      </w:r>
    </w:p>
    <w:p w14:paraId="75A7FA3A"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Skinner, B. F. (1972). </w:t>
      </w:r>
      <w:r w:rsidRPr="009A1DFA">
        <w:rPr>
          <w:rFonts w:ascii="Times New Roman" w:eastAsia="Times New Roman" w:hAnsi="Times New Roman" w:cs="Times New Roman"/>
          <w:i/>
          <w:iCs/>
          <w:sz w:val="24"/>
          <w:szCs w:val="24"/>
          <w:lang w:val="en-IN" w:eastAsia="en-IN"/>
        </w:rPr>
        <w:t>Beyond freedom and dignity</w:t>
      </w:r>
      <w:r w:rsidRPr="009A1DFA">
        <w:rPr>
          <w:rFonts w:ascii="Times New Roman" w:eastAsia="Times New Roman" w:hAnsi="Times New Roman" w:cs="Times New Roman"/>
          <w:sz w:val="24"/>
          <w:szCs w:val="24"/>
          <w:lang w:val="en-IN" w:eastAsia="en-IN"/>
        </w:rPr>
        <w:t>. New York: Vintage Books.</w:t>
      </w:r>
    </w:p>
    <w:p w14:paraId="483775B6"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Sparkman, G., &amp; Walton, G. M. (2019). Dynamic norms promote sustainable </w:t>
      </w:r>
      <w:proofErr w:type="spellStart"/>
      <w:r w:rsidRPr="009A1DFA">
        <w:rPr>
          <w:rFonts w:ascii="Times New Roman" w:eastAsia="Times New Roman" w:hAnsi="Times New Roman" w:cs="Times New Roman"/>
          <w:sz w:val="24"/>
          <w:szCs w:val="24"/>
          <w:lang w:val="en-IN" w:eastAsia="en-IN"/>
        </w:rPr>
        <w:t>behavior</w:t>
      </w:r>
      <w:proofErr w:type="spellEnd"/>
      <w:r w:rsidRPr="009A1DFA">
        <w:rPr>
          <w:rFonts w:ascii="Times New Roman" w:eastAsia="Times New Roman" w:hAnsi="Times New Roman" w:cs="Times New Roman"/>
          <w:sz w:val="24"/>
          <w:szCs w:val="24"/>
          <w:lang w:val="en-IN" w:eastAsia="en-IN"/>
        </w:rPr>
        <w:t xml:space="preserve">. </w:t>
      </w:r>
      <w:r w:rsidRPr="009A1DFA">
        <w:rPr>
          <w:rFonts w:ascii="Times New Roman" w:eastAsia="Times New Roman" w:hAnsi="Times New Roman" w:cs="Times New Roman"/>
          <w:i/>
          <w:iCs/>
          <w:sz w:val="24"/>
          <w:szCs w:val="24"/>
          <w:lang w:val="en-IN" w:eastAsia="en-IN"/>
        </w:rPr>
        <w:t>Psychological Science, 30</w:t>
      </w:r>
      <w:r w:rsidRPr="009A1DFA">
        <w:rPr>
          <w:rFonts w:ascii="Times New Roman" w:eastAsia="Times New Roman" w:hAnsi="Times New Roman" w:cs="Times New Roman"/>
          <w:sz w:val="24"/>
          <w:szCs w:val="24"/>
          <w:lang w:val="en-IN" w:eastAsia="en-IN"/>
        </w:rPr>
        <w:t>(6), 745–758.</w:t>
      </w:r>
    </w:p>
    <w:p w14:paraId="12AB9DAA"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Sparkman, G., &amp; Walton, G. M. (2019). Dynamic norms promote sustainable behaviour, even if it is counter-normative. </w:t>
      </w:r>
      <w:r w:rsidRPr="009A1DFA">
        <w:rPr>
          <w:rFonts w:ascii="Times New Roman" w:eastAsia="Times New Roman" w:hAnsi="Times New Roman" w:cs="Times New Roman"/>
          <w:i/>
          <w:iCs/>
          <w:sz w:val="24"/>
          <w:szCs w:val="24"/>
          <w:lang w:val="en-IN" w:eastAsia="en-IN"/>
        </w:rPr>
        <w:t>Psychological Science, 30</w:t>
      </w:r>
      <w:r w:rsidRPr="009A1DFA">
        <w:rPr>
          <w:rFonts w:ascii="Times New Roman" w:eastAsia="Times New Roman" w:hAnsi="Times New Roman" w:cs="Times New Roman"/>
          <w:sz w:val="24"/>
          <w:szCs w:val="24"/>
          <w:lang w:val="en-IN" w:eastAsia="en-IN"/>
        </w:rPr>
        <w:t>(11), 1601–1614.</w:t>
      </w:r>
    </w:p>
    <w:p w14:paraId="5CCC2E5D"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Tajfel, H., &amp; Turner, J. C. (1979). An integrative theory of intergroup conflict. In W. G. Austin &amp; S. </w:t>
      </w:r>
      <w:proofErr w:type="spellStart"/>
      <w:r w:rsidRPr="009A1DFA">
        <w:rPr>
          <w:rFonts w:ascii="Times New Roman" w:eastAsia="Times New Roman" w:hAnsi="Times New Roman" w:cs="Times New Roman"/>
          <w:sz w:val="24"/>
          <w:szCs w:val="24"/>
          <w:lang w:val="en-IN" w:eastAsia="en-IN"/>
        </w:rPr>
        <w:t>Worchel</w:t>
      </w:r>
      <w:proofErr w:type="spellEnd"/>
      <w:r w:rsidRPr="009A1DFA">
        <w:rPr>
          <w:rFonts w:ascii="Times New Roman" w:eastAsia="Times New Roman" w:hAnsi="Times New Roman" w:cs="Times New Roman"/>
          <w:sz w:val="24"/>
          <w:szCs w:val="24"/>
          <w:lang w:val="en-IN" w:eastAsia="en-IN"/>
        </w:rPr>
        <w:t xml:space="preserve"> (Eds.), </w:t>
      </w:r>
      <w:r w:rsidRPr="009A1DFA">
        <w:rPr>
          <w:rFonts w:ascii="Times New Roman" w:eastAsia="Times New Roman" w:hAnsi="Times New Roman" w:cs="Times New Roman"/>
          <w:i/>
          <w:iCs/>
          <w:sz w:val="24"/>
          <w:szCs w:val="24"/>
          <w:lang w:val="en-IN" w:eastAsia="en-IN"/>
        </w:rPr>
        <w:t>The social psychology of intergroup relations</w:t>
      </w:r>
      <w:r w:rsidRPr="009A1DFA">
        <w:rPr>
          <w:rFonts w:ascii="Times New Roman" w:eastAsia="Times New Roman" w:hAnsi="Times New Roman" w:cs="Times New Roman"/>
          <w:sz w:val="24"/>
          <w:szCs w:val="24"/>
          <w:lang w:val="en-IN" w:eastAsia="en-IN"/>
        </w:rPr>
        <w:t xml:space="preserve"> (pp. 33–47). Brooks/Cole.</w:t>
      </w:r>
    </w:p>
    <w:p w14:paraId="201B9B0D"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Terry, D. J., Hogg, M. A., &amp; White, K. M. (1999). The theory of planned behaviour: Self-identity, social identity and group norms. </w:t>
      </w:r>
      <w:r w:rsidRPr="009A1DFA">
        <w:rPr>
          <w:rFonts w:ascii="Times New Roman" w:eastAsia="Times New Roman" w:hAnsi="Times New Roman" w:cs="Times New Roman"/>
          <w:i/>
          <w:iCs/>
          <w:sz w:val="24"/>
          <w:szCs w:val="24"/>
          <w:lang w:val="en-IN" w:eastAsia="en-IN"/>
        </w:rPr>
        <w:t>British Journal of Social Psychology, 38</w:t>
      </w:r>
      <w:r w:rsidRPr="009A1DFA">
        <w:rPr>
          <w:rFonts w:ascii="Times New Roman" w:eastAsia="Times New Roman" w:hAnsi="Times New Roman" w:cs="Times New Roman"/>
          <w:sz w:val="24"/>
          <w:szCs w:val="24"/>
          <w:lang w:val="en-IN" w:eastAsia="en-IN"/>
        </w:rPr>
        <w:t>(3), 225–244.</w:t>
      </w:r>
    </w:p>
    <w:p w14:paraId="5E17FF76" w14:textId="77777777" w:rsidR="00A93FA6" w:rsidRPr="009A1DFA" w:rsidRDefault="00A93FA6"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hAnsi="Times New Roman" w:cs="Times New Roman"/>
          <w:sz w:val="24"/>
          <w:szCs w:val="24"/>
        </w:rPr>
        <w:t>(TCI Policy Brief, 2024)</w:t>
      </w:r>
      <w:hyperlink r:id="rId23" w:history="1">
        <w:r w:rsidRPr="009A1DFA">
          <w:rPr>
            <w:rStyle w:val="Hyperlink"/>
            <w:rFonts w:ascii="Times New Roman" w:hAnsi="Times New Roman" w:cs="Times New Roman"/>
            <w:color w:val="auto"/>
            <w:sz w:val="24"/>
            <w:szCs w:val="24"/>
          </w:rPr>
          <w:t>https://tci.cornell.edu/wp-content/uploads/2024/10/TCI-FPO-Numbers_Policy-Brief.pdf</w:t>
        </w:r>
      </w:hyperlink>
    </w:p>
    <w:p w14:paraId="59B0457B"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proofErr w:type="spellStart"/>
      <w:r w:rsidRPr="009A1DFA">
        <w:rPr>
          <w:rFonts w:ascii="Times New Roman" w:eastAsia="Times New Roman" w:hAnsi="Times New Roman" w:cs="Times New Roman"/>
          <w:sz w:val="24"/>
          <w:szCs w:val="24"/>
          <w:lang w:val="en-IN" w:eastAsia="en-IN"/>
        </w:rPr>
        <w:t>Tikariha</w:t>
      </w:r>
      <w:proofErr w:type="spellEnd"/>
      <w:r w:rsidRPr="009A1DFA">
        <w:rPr>
          <w:rFonts w:ascii="Times New Roman" w:eastAsia="Times New Roman" w:hAnsi="Times New Roman" w:cs="Times New Roman"/>
          <w:sz w:val="24"/>
          <w:szCs w:val="24"/>
          <w:lang w:val="en-IN" w:eastAsia="en-IN"/>
        </w:rPr>
        <w:t xml:space="preserve">, A., &amp; Soni, D. (2018). Credit seeking behaviour of farmers in Durg district of Chhattisgarh. </w:t>
      </w:r>
      <w:r w:rsidRPr="009A1DFA">
        <w:rPr>
          <w:rFonts w:ascii="Times New Roman" w:eastAsia="Times New Roman" w:hAnsi="Times New Roman" w:cs="Times New Roman"/>
          <w:i/>
          <w:iCs/>
          <w:sz w:val="24"/>
          <w:szCs w:val="24"/>
          <w:lang w:val="en-IN" w:eastAsia="en-IN"/>
        </w:rPr>
        <w:t>International Journal of Current Microbiology and Applied Sciences, 7</w:t>
      </w:r>
      <w:r w:rsidRPr="009A1DFA">
        <w:rPr>
          <w:rFonts w:ascii="Times New Roman" w:eastAsia="Times New Roman" w:hAnsi="Times New Roman" w:cs="Times New Roman"/>
          <w:sz w:val="24"/>
          <w:szCs w:val="24"/>
          <w:lang w:val="en-IN" w:eastAsia="en-IN"/>
        </w:rPr>
        <w:t>(5), 1667–1672.</w:t>
      </w:r>
    </w:p>
    <w:p w14:paraId="5A6663F0"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Trebbin, A. (2014). Linking small farmers to modern retail through producer organizations. </w:t>
      </w:r>
      <w:r w:rsidRPr="009A1DFA">
        <w:rPr>
          <w:rFonts w:ascii="Times New Roman" w:eastAsia="Times New Roman" w:hAnsi="Times New Roman" w:cs="Times New Roman"/>
          <w:i/>
          <w:iCs/>
          <w:sz w:val="24"/>
          <w:szCs w:val="24"/>
          <w:lang w:val="en-IN" w:eastAsia="en-IN"/>
        </w:rPr>
        <w:t>World Development, 59</w:t>
      </w:r>
      <w:r w:rsidRPr="009A1DFA">
        <w:rPr>
          <w:rFonts w:ascii="Times New Roman" w:eastAsia="Times New Roman" w:hAnsi="Times New Roman" w:cs="Times New Roman"/>
          <w:sz w:val="24"/>
          <w:szCs w:val="24"/>
          <w:lang w:val="en-IN" w:eastAsia="en-IN"/>
        </w:rPr>
        <w:t>, 53–62.</w:t>
      </w:r>
    </w:p>
    <w:p w14:paraId="2514C961"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Tully, J. (1964). The social character of Indian farmers. </w:t>
      </w:r>
      <w:r w:rsidRPr="009A1DFA">
        <w:rPr>
          <w:rFonts w:ascii="Times New Roman" w:eastAsia="Times New Roman" w:hAnsi="Times New Roman" w:cs="Times New Roman"/>
          <w:i/>
          <w:iCs/>
          <w:sz w:val="24"/>
          <w:szCs w:val="24"/>
          <w:lang w:val="en-IN" w:eastAsia="en-IN"/>
        </w:rPr>
        <w:t>Journal of Rural Studies, 1</w:t>
      </w:r>
      <w:r w:rsidRPr="009A1DFA">
        <w:rPr>
          <w:rFonts w:ascii="Times New Roman" w:eastAsia="Times New Roman" w:hAnsi="Times New Roman" w:cs="Times New Roman"/>
          <w:sz w:val="24"/>
          <w:szCs w:val="24"/>
          <w:lang w:val="en-IN" w:eastAsia="en-IN"/>
        </w:rPr>
        <w:t>(1), 22–33.</w:t>
      </w:r>
    </w:p>
    <w:p w14:paraId="297E43E3"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Turner, J. C., Hogg, M. A., Oakes, P. J., Reicher, S. D., &amp; Wetherell, M. S. (1987). </w:t>
      </w:r>
      <w:r w:rsidRPr="009A1DFA">
        <w:rPr>
          <w:rFonts w:ascii="Times New Roman" w:eastAsia="Times New Roman" w:hAnsi="Times New Roman" w:cs="Times New Roman"/>
          <w:i/>
          <w:iCs/>
          <w:sz w:val="24"/>
          <w:szCs w:val="24"/>
          <w:lang w:val="en-IN" w:eastAsia="en-IN"/>
        </w:rPr>
        <w:t>Rediscovering the social group: A self-categorization theory</w:t>
      </w:r>
      <w:r w:rsidRPr="009A1DFA">
        <w:rPr>
          <w:rFonts w:ascii="Times New Roman" w:eastAsia="Times New Roman" w:hAnsi="Times New Roman" w:cs="Times New Roman"/>
          <w:sz w:val="24"/>
          <w:szCs w:val="24"/>
          <w:lang w:val="en-IN" w:eastAsia="en-IN"/>
        </w:rPr>
        <w:t>. Basil Blackwell.</w:t>
      </w:r>
    </w:p>
    <w:p w14:paraId="6BFF3766"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proofErr w:type="spellStart"/>
      <w:r w:rsidRPr="009A1DFA">
        <w:rPr>
          <w:rFonts w:ascii="Times New Roman" w:eastAsia="Times New Roman" w:hAnsi="Times New Roman" w:cs="Times New Roman"/>
          <w:sz w:val="24"/>
          <w:szCs w:val="24"/>
          <w:lang w:val="en-IN" w:eastAsia="en-IN"/>
        </w:rPr>
        <w:t>Venkatta</w:t>
      </w:r>
      <w:proofErr w:type="spellEnd"/>
      <w:r w:rsidRPr="009A1DFA">
        <w:rPr>
          <w:rFonts w:ascii="Times New Roman" w:eastAsia="Times New Roman" w:hAnsi="Times New Roman" w:cs="Times New Roman"/>
          <w:sz w:val="24"/>
          <w:szCs w:val="24"/>
          <w:lang w:val="en-IN" w:eastAsia="en-IN"/>
        </w:rPr>
        <w:t xml:space="preserve"> Kumar, R., et al. (2017). </w:t>
      </w:r>
      <w:r w:rsidRPr="009A1DFA">
        <w:rPr>
          <w:rFonts w:ascii="Times New Roman" w:eastAsia="Times New Roman" w:hAnsi="Times New Roman" w:cs="Times New Roman"/>
          <w:i/>
          <w:iCs/>
          <w:sz w:val="24"/>
          <w:szCs w:val="24"/>
          <w:lang w:val="en-IN" w:eastAsia="en-IN"/>
        </w:rPr>
        <w:t>Farmer Producer Organizations in India: Issues and Challenges</w:t>
      </w:r>
      <w:r w:rsidRPr="009A1DFA">
        <w:rPr>
          <w:rFonts w:ascii="Times New Roman" w:eastAsia="Times New Roman" w:hAnsi="Times New Roman" w:cs="Times New Roman"/>
          <w:sz w:val="24"/>
          <w:szCs w:val="24"/>
          <w:lang w:val="en-IN" w:eastAsia="en-IN"/>
        </w:rPr>
        <w:t>. ICAR-NIASM, Pune.</w:t>
      </w:r>
    </w:p>
    <w:p w14:paraId="38FD3F63" w14:textId="77777777" w:rsidR="00467DCE"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Verma, A. K., Singh, V. K., Asha, K., Dubey, S. K., &amp; Verma, A. P. (2021). Constraints perceived by the members and non-members towards functioning of FPO-AKPCL in Kannauj District of Uttar Pradesh. </w:t>
      </w:r>
      <w:r w:rsidRPr="009A1DFA">
        <w:rPr>
          <w:rFonts w:ascii="Times New Roman" w:eastAsia="Times New Roman" w:hAnsi="Times New Roman" w:cs="Times New Roman"/>
          <w:i/>
          <w:iCs/>
          <w:sz w:val="24"/>
          <w:szCs w:val="24"/>
          <w:lang w:val="en-IN" w:eastAsia="en-IN"/>
        </w:rPr>
        <w:t>Economic Affairs, 66</w:t>
      </w:r>
      <w:r w:rsidRPr="009A1DFA">
        <w:rPr>
          <w:rFonts w:ascii="Times New Roman" w:eastAsia="Times New Roman" w:hAnsi="Times New Roman" w:cs="Times New Roman"/>
          <w:sz w:val="24"/>
          <w:szCs w:val="24"/>
          <w:lang w:val="en-IN" w:eastAsia="en-IN"/>
        </w:rPr>
        <w:t>(2), 335–341.</w:t>
      </w:r>
    </w:p>
    <w:p w14:paraId="66759234" w14:textId="77777777" w:rsidR="002848AC" w:rsidRPr="009A1DFA" w:rsidRDefault="00467DCE"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eastAsia="Times New Roman" w:hAnsi="Times New Roman" w:cs="Times New Roman"/>
          <w:sz w:val="24"/>
          <w:szCs w:val="24"/>
          <w:lang w:val="en-IN" w:eastAsia="en-IN"/>
        </w:rPr>
        <w:t xml:space="preserve">Wankhade, R. P., </w:t>
      </w:r>
      <w:proofErr w:type="spellStart"/>
      <w:r w:rsidRPr="009A1DFA">
        <w:rPr>
          <w:rFonts w:ascii="Times New Roman" w:eastAsia="Times New Roman" w:hAnsi="Times New Roman" w:cs="Times New Roman"/>
          <w:sz w:val="24"/>
          <w:szCs w:val="24"/>
          <w:lang w:val="en-IN" w:eastAsia="en-IN"/>
        </w:rPr>
        <w:t>Sacgane</w:t>
      </w:r>
      <w:proofErr w:type="spellEnd"/>
      <w:r w:rsidRPr="009A1DFA">
        <w:rPr>
          <w:rFonts w:ascii="Times New Roman" w:eastAsia="Times New Roman" w:hAnsi="Times New Roman" w:cs="Times New Roman"/>
          <w:sz w:val="24"/>
          <w:szCs w:val="24"/>
          <w:lang w:val="en-IN" w:eastAsia="en-IN"/>
        </w:rPr>
        <w:t xml:space="preserve">, M. A., &amp; Mankar, D. M. (2013). Entrepreneurial behaviour of vegetable growers. </w:t>
      </w:r>
      <w:r w:rsidRPr="009A1DFA">
        <w:rPr>
          <w:rFonts w:ascii="Times New Roman" w:eastAsia="Times New Roman" w:hAnsi="Times New Roman" w:cs="Times New Roman"/>
          <w:i/>
          <w:iCs/>
          <w:sz w:val="24"/>
          <w:szCs w:val="24"/>
          <w:lang w:val="en-IN" w:eastAsia="en-IN"/>
        </w:rPr>
        <w:t>Agricultural Science Digest, 33</w:t>
      </w:r>
      <w:r w:rsidRPr="009A1DFA">
        <w:rPr>
          <w:rFonts w:ascii="Times New Roman" w:eastAsia="Times New Roman" w:hAnsi="Times New Roman" w:cs="Times New Roman"/>
          <w:sz w:val="24"/>
          <w:szCs w:val="24"/>
          <w:lang w:val="en-IN" w:eastAsia="en-IN"/>
        </w:rPr>
        <w:t>(2), 85–91.</w:t>
      </w:r>
      <w:r w:rsidR="002848AC" w:rsidRPr="009A1DFA">
        <w:rPr>
          <w:rFonts w:ascii="Times New Roman" w:hAnsi="Times New Roman" w:cs="Times New Roman"/>
          <w:sz w:val="24"/>
          <w:szCs w:val="24"/>
        </w:rPr>
        <w:t xml:space="preserve"> </w:t>
      </w:r>
    </w:p>
    <w:p w14:paraId="4776BB8B" w14:textId="77777777" w:rsidR="002848AC" w:rsidRPr="009A1DFA" w:rsidRDefault="002848AC" w:rsidP="00585ADA">
      <w:pPr>
        <w:pStyle w:val="ListParagraph"/>
        <w:numPr>
          <w:ilvl w:val="0"/>
          <w:numId w:val="23"/>
        </w:numPr>
        <w:spacing w:beforeLines="80" w:before="192" w:afterLines="80" w:after="192"/>
        <w:ind w:left="426"/>
        <w:jc w:val="both"/>
        <w:rPr>
          <w:rFonts w:ascii="Times New Roman" w:eastAsia="Times New Roman" w:hAnsi="Times New Roman" w:cs="Times New Roman"/>
          <w:sz w:val="24"/>
          <w:szCs w:val="24"/>
          <w:lang w:val="en-IN" w:eastAsia="en-IN"/>
        </w:rPr>
      </w:pPr>
      <w:r w:rsidRPr="009A1DFA">
        <w:rPr>
          <w:rFonts w:ascii="Times New Roman" w:hAnsi="Times New Roman" w:cs="Times New Roman"/>
          <w:sz w:val="24"/>
          <w:szCs w:val="24"/>
        </w:rPr>
        <w:t>Yazhini A</w:t>
      </w:r>
      <w:r w:rsidRPr="009A1DFA">
        <w:rPr>
          <w:rFonts w:ascii="Times New Roman" w:hAnsi="Times New Roman" w:cs="Times New Roman"/>
          <w:i/>
          <w:sz w:val="24"/>
          <w:szCs w:val="24"/>
        </w:rPr>
        <w:t>, et al</w:t>
      </w:r>
      <w:r w:rsidR="0093226C" w:rsidRPr="009A1DFA">
        <w:rPr>
          <w:rFonts w:ascii="Times New Roman" w:hAnsi="Times New Roman" w:cs="Times New Roman"/>
          <w:i/>
          <w:sz w:val="24"/>
          <w:szCs w:val="24"/>
        </w:rPr>
        <w:t>.,</w:t>
      </w:r>
      <w:r w:rsidRPr="009A1DFA">
        <w:rPr>
          <w:rFonts w:ascii="Times New Roman" w:hAnsi="Times New Roman" w:cs="Times New Roman"/>
          <w:sz w:val="24"/>
          <w:szCs w:val="24"/>
        </w:rPr>
        <w:t xml:space="preserve"> (2025) A comprehensive review of farmers producer organizations in India: Historical evolution, current status, and future policy challenges. Plant Science Today. 2025; 12(1): 1-13. https:// doi.org/10.14719/pst.5831</w:t>
      </w:r>
    </w:p>
    <w:p w14:paraId="3105977E" w14:textId="77777777" w:rsidR="002848AC" w:rsidRPr="009A1DFA" w:rsidRDefault="002848AC" w:rsidP="00585ADA">
      <w:pPr>
        <w:pStyle w:val="ListParagraph"/>
        <w:spacing w:beforeLines="80" w:before="192" w:afterLines="80" w:after="192"/>
        <w:ind w:left="426"/>
        <w:jc w:val="both"/>
        <w:rPr>
          <w:rFonts w:ascii="Times New Roman" w:eastAsia="Times New Roman" w:hAnsi="Times New Roman" w:cs="Times New Roman"/>
          <w:sz w:val="24"/>
          <w:szCs w:val="24"/>
          <w:lang w:val="en-IN" w:eastAsia="en-IN"/>
        </w:rPr>
      </w:pPr>
    </w:p>
    <w:p w14:paraId="3E918800" w14:textId="77777777" w:rsidR="002848AC" w:rsidRPr="009A1DFA" w:rsidRDefault="002848AC" w:rsidP="00585ADA">
      <w:pPr>
        <w:spacing w:beforeLines="80" w:before="192" w:afterLines="80" w:after="192"/>
        <w:ind w:left="66"/>
        <w:jc w:val="both"/>
        <w:rPr>
          <w:rFonts w:ascii="Times New Roman" w:eastAsia="Times New Roman" w:hAnsi="Times New Roman" w:cs="Times New Roman"/>
          <w:sz w:val="24"/>
          <w:szCs w:val="24"/>
          <w:lang w:val="en-IN" w:eastAsia="en-IN"/>
        </w:rPr>
      </w:pPr>
    </w:p>
    <w:p w14:paraId="701B4FEC" w14:textId="77777777" w:rsidR="00467DCE" w:rsidRPr="009A1DFA" w:rsidRDefault="00467DCE" w:rsidP="00870507">
      <w:pPr>
        <w:pStyle w:val="NormalWeb"/>
        <w:spacing w:beforeLines="40" w:before="96" w:beforeAutospacing="0" w:afterLines="40" w:after="96" w:afterAutospacing="0"/>
        <w:jc w:val="both"/>
      </w:pPr>
    </w:p>
    <w:sectPr w:rsidR="00467DCE" w:rsidRPr="009A1DFA" w:rsidSect="005C38F8">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921D2" w14:textId="77777777" w:rsidR="006E6343" w:rsidRDefault="006E6343" w:rsidP="00622635">
      <w:pPr>
        <w:spacing w:after="0" w:line="240" w:lineRule="auto"/>
      </w:pPr>
      <w:r>
        <w:separator/>
      </w:r>
    </w:p>
  </w:endnote>
  <w:endnote w:type="continuationSeparator" w:id="0">
    <w:p w14:paraId="087FB2BA" w14:textId="77777777" w:rsidR="006E6343" w:rsidRDefault="006E6343" w:rsidP="0062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257E" w14:textId="77777777" w:rsidR="00622635" w:rsidRDefault="006226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72C4" w14:textId="77777777" w:rsidR="00622635" w:rsidRDefault="006226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79F2" w14:textId="77777777" w:rsidR="00622635" w:rsidRDefault="00622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602DB" w14:textId="77777777" w:rsidR="006E6343" w:rsidRDefault="006E6343" w:rsidP="00622635">
      <w:pPr>
        <w:spacing w:after="0" w:line="240" w:lineRule="auto"/>
      </w:pPr>
      <w:r>
        <w:separator/>
      </w:r>
    </w:p>
  </w:footnote>
  <w:footnote w:type="continuationSeparator" w:id="0">
    <w:p w14:paraId="1EB13BC0" w14:textId="77777777" w:rsidR="006E6343" w:rsidRDefault="006E6343" w:rsidP="00622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A393" w14:textId="39F6AA03" w:rsidR="00622635" w:rsidRDefault="00622635">
    <w:pPr>
      <w:pStyle w:val="Header"/>
    </w:pPr>
    <w:r>
      <w:rPr>
        <w:noProof/>
      </w:rPr>
      <w:pict w14:anchorId="689BB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718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BB31" w14:textId="0118B4E6" w:rsidR="00622635" w:rsidRDefault="00622635">
    <w:pPr>
      <w:pStyle w:val="Header"/>
    </w:pPr>
    <w:r>
      <w:rPr>
        <w:noProof/>
      </w:rPr>
      <w:pict w14:anchorId="79BDC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718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75B5" w14:textId="2FFBECCD" w:rsidR="00622635" w:rsidRDefault="00622635">
    <w:pPr>
      <w:pStyle w:val="Header"/>
    </w:pPr>
    <w:r>
      <w:rPr>
        <w:noProof/>
      </w:rPr>
      <w:pict w14:anchorId="1960C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1718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A88"/>
    <w:multiLevelType w:val="hybridMultilevel"/>
    <w:tmpl w:val="4AF4D22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523CD4"/>
    <w:multiLevelType w:val="hybridMultilevel"/>
    <w:tmpl w:val="89EED0A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70725D"/>
    <w:multiLevelType w:val="hybridMultilevel"/>
    <w:tmpl w:val="562EBD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762105"/>
    <w:multiLevelType w:val="hybridMultilevel"/>
    <w:tmpl w:val="0DDACB1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88273EA"/>
    <w:multiLevelType w:val="multilevel"/>
    <w:tmpl w:val="5006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E3EBD"/>
    <w:multiLevelType w:val="multilevel"/>
    <w:tmpl w:val="109C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5631A"/>
    <w:multiLevelType w:val="hybridMultilevel"/>
    <w:tmpl w:val="3EBE620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DB1457D"/>
    <w:multiLevelType w:val="multilevel"/>
    <w:tmpl w:val="3078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C1A8D"/>
    <w:multiLevelType w:val="hybridMultilevel"/>
    <w:tmpl w:val="773EE8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964331"/>
    <w:multiLevelType w:val="hybridMultilevel"/>
    <w:tmpl w:val="E9B8B4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7F72C89"/>
    <w:multiLevelType w:val="multilevel"/>
    <w:tmpl w:val="73004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6C1410"/>
    <w:multiLevelType w:val="hybridMultilevel"/>
    <w:tmpl w:val="0778F482"/>
    <w:lvl w:ilvl="0" w:tplc="30BA9C70">
      <w:numFmt w:val="bullet"/>
      <w:lvlText w:val=""/>
      <w:lvlJc w:val="left"/>
      <w:pPr>
        <w:ind w:left="768" w:hanging="408"/>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D663D81"/>
    <w:multiLevelType w:val="hybridMultilevel"/>
    <w:tmpl w:val="C234C912"/>
    <w:lvl w:ilvl="0" w:tplc="30B84BF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5395FD1"/>
    <w:multiLevelType w:val="hybridMultilevel"/>
    <w:tmpl w:val="1E0864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AC94E9A"/>
    <w:multiLevelType w:val="multilevel"/>
    <w:tmpl w:val="7DEC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9C05AD"/>
    <w:multiLevelType w:val="multilevel"/>
    <w:tmpl w:val="E57C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B71B3"/>
    <w:multiLevelType w:val="multilevel"/>
    <w:tmpl w:val="6B10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D1507F"/>
    <w:multiLevelType w:val="hybridMultilevel"/>
    <w:tmpl w:val="DF6851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ED81AB6"/>
    <w:multiLevelType w:val="multilevel"/>
    <w:tmpl w:val="005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F45CB5"/>
    <w:multiLevelType w:val="multilevel"/>
    <w:tmpl w:val="A304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5335EB"/>
    <w:multiLevelType w:val="hybridMultilevel"/>
    <w:tmpl w:val="6E5C174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56C0028"/>
    <w:multiLevelType w:val="multilevel"/>
    <w:tmpl w:val="6166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03330B"/>
    <w:multiLevelType w:val="multilevel"/>
    <w:tmpl w:val="EB40B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372786"/>
    <w:multiLevelType w:val="multilevel"/>
    <w:tmpl w:val="EB40B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2786727">
    <w:abstractNumId w:val="5"/>
  </w:num>
  <w:num w:numId="2" w16cid:durableId="2094431284">
    <w:abstractNumId w:val="7"/>
  </w:num>
  <w:num w:numId="3" w16cid:durableId="241136821">
    <w:abstractNumId w:val="15"/>
  </w:num>
  <w:num w:numId="4" w16cid:durableId="1680810572">
    <w:abstractNumId w:val="16"/>
  </w:num>
  <w:num w:numId="5" w16cid:durableId="531378135">
    <w:abstractNumId w:val="4"/>
  </w:num>
  <w:num w:numId="6" w16cid:durableId="1678726887">
    <w:abstractNumId w:val="21"/>
  </w:num>
  <w:num w:numId="7" w16cid:durableId="796341587">
    <w:abstractNumId w:val="19"/>
  </w:num>
  <w:num w:numId="8" w16cid:durableId="1844515627">
    <w:abstractNumId w:val="10"/>
  </w:num>
  <w:num w:numId="9" w16cid:durableId="169030020">
    <w:abstractNumId w:val="14"/>
  </w:num>
  <w:num w:numId="10" w16cid:durableId="1673147136">
    <w:abstractNumId w:val="18"/>
  </w:num>
  <w:num w:numId="11" w16cid:durableId="647323419">
    <w:abstractNumId w:val="23"/>
  </w:num>
  <w:num w:numId="12" w16cid:durableId="1590039745">
    <w:abstractNumId w:val="22"/>
  </w:num>
  <w:num w:numId="13" w16cid:durableId="581960167">
    <w:abstractNumId w:val="17"/>
  </w:num>
  <w:num w:numId="14" w16cid:durableId="146745988">
    <w:abstractNumId w:val="1"/>
  </w:num>
  <w:num w:numId="15" w16cid:durableId="511064434">
    <w:abstractNumId w:val="0"/>
  </w:num>
  <w:num w:numId="16" w16cid:durableId="682509229">
    <w:abstractNumId w:val="20"/>
  </w:num>
  <w:num w:numId="17" w16cid:durableId="87164385">
    <w:abstractNumId w:val="6"/>
  </w:num>
  <w:num w:numId="18" w16cid:durableId="1181705118">
    <w:abstractNumId w:val="8"/>
  </w:num>
  <w:num w:numId="19" w16cid:durableId="620502784">
    <w:abstractNumId w:val="3"/>
  </w:num>
  <w:num w:numId="20" w16cid:durableId="1140541297">
    <w:abstractNumId w:val="2"/>
  </w:num>
  <w:num w:numId="21" w16cid:durableId="1338383227">
    <w:abstractNumId w:val="12"/>
  </w:num>
  <w:num w:numId="22" w16cid:durableId="979699098">
    <w:abstractNumId w:val="13"/>
  </w:num>
  <w:num w:numId="23" w16cid:durableId="1660304768">
    <w:abstractNumId w:val="9"/>
  </w:num>
  <w:num w:numId="24" w16cid:durableId="17087928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E2289"/>
    <w:rsid w:val="00021CFC"/>
    <w:rsid w:val="00030DBB"/>
    <w:rsid w:val="00055312"/>
    <w:rsid w:val="000555DC"/>
    <w:rsid w:val="00077448"/>
    <w:rsid w:val="00077AEB"/>
    <w:rsid w:val="000830BA"/>
    <w:rsid w:val="000C0FC4"/>
    <w:rsid w:val="000D1AFF"/>
    <w:rsid w:val="000D2ECA"/>
    <w:rsid w:val="000D33D0"/>
    <w:rsid w:val="00116251"/>
    <w:rsid w:val="00174FD8"/>
    <w:rsid w:val="0019389C"/>
    <w:rsid w:val="001956BE"/>
    <w:rsid w:val="00197D17"/>
    <w:rsid w:val="001F3EC5"/>
    <w:rsid w:val="002050CF"/>
    <w:rsid w:val="00233515"/>
    <w:rsid w:val="002640A7"/>
    <w:rsid w:val="00265B7C"/>
    <w:rsid w:val="00267DD6"/>
    <w:rsid w:val="002848AC"/>
    <w:rsid w:val="00287197"/>
    <w:rsid w:val="002930F3"/>
    <w:rsid w:val="002B4CD3"/>
    <w:rsid w:val="002B5448"/>
    <w:rsid w:val="002D4A8C"/>
    <w:rsid w:val="002E5225"/>
    <w:rsid w:val="002E5934"/>
    <w:rsid w:val="002E7510"/>
    <w:rsid w:val="0030694A"/>
    <w:rsid w:val="00307B4E"/>
    <w:rsid w:val="0032735B"/>
    <w:rsid w:val="00331B0C"/>
    <w:rsid w:val="00335DB0"/>
    <w:rsid w:val="0035758B"/>
    <w:rsid w:val="003666BE"/>
    <w:rsid w:val="00393127"/>
    <w:rsid w:val="003B4088"/>
    <w:rsid w:val="003B60E6"/>
    <w:rsid w:val="003C3425"/>
    <w:rsid w:val="003D4DD1"/>
    <w:rsid w:val="003D5D6C"/>
    <w:rsid w:val="0040193F"/>
    <w:rsid w:val="00407DD4"/>
    <w:rsid w:val="00430469"/>
    <w:rsid w:val="004343C6"/>
    <w:rsid w:val="00436478"/>
    <w:rsid w:val="0046774A"/>
    <w:rsid w:val="00467DCE"/>
    <w:rsid w:val="004B1C63"/>
    <w:rsid w:val="004B5C85"/>
    <w:rsid w:val="004F102F"/>
    <w:rsid w:val="005237F7"/>
    <w:rsid w:val="00527204"/>
    <w:rsid w:val="00527B40"/>
    <w:rsid w:val="005525C9"/>
    <w:rsid w:val="0057657D"/>
    <w:rsid w:val="00581118"/>
    <w:rsid w:val="00585ADA"/>
    <w:rsid w:val="005951EB"/>
    <w:rsid w:val="005A3A40"/>
    <w:rsid w:val="005C38F8"/>
    <w:rsid w:val="005C5101"/>
    <w:rsid w:val="005E0A38"/>
    <w:rsid w:val="005E7EA5"/>
    <w:rsid w:val="005F451C"/>
    <w:rsid w:val="00613416"/>
    <w:rsid w:val="00613A19"/>
    <w:rsid w:val="00617837"/>
    <w:rsid w:val="00621D51"/>
    <w:rsid w:val="00622635"/>
    <w:rsid w:val="00631FB6"/>
    <w:rsid w:val="00632333"/>
    <w:rsid w:val="006349CF"/>
    <w:rsid w:val="0066364A"/>
    <w:rsid w:val="006636C2"/>
    <w:rsid w:val="0068520B"/>
    <w:rsid w:val="0069041F"/>
    <w:rsid w:val="006909BE"/>
    <w:rsid w:val="00692A84"/>
    <w:rsid w:val="00697478"/>
    <w:rsid w:val="006B19EC"/>
    <w:rsid w:val="006C5F94"/>
    <w:rsid w:val="006E3C11"/>
    <w:rsid w:val="006E6343"/>
    <w:rsid w:val="006F6D6C"/>
    <w:rsid w:val="0073280B"/>
    <w:rsid w:val="00745733"/>
    <w:rsid w:val="00746293"/>
    <w:rsid w:val="007477D7"/>
    <w:rsid w:val="00781A53"/>
    <w:rsid w:val="00790275"/>
    <w:rsid w:val="00790D78"/>
    <w:rsid w:val="007B7B5D"/>
    <w:rsid w:val="007C1084"/>
    <w:rsid w:val="007D3435"/>
    <w:rsid w:val="007D5EE2"/>
    <w:rsid w:val="007D79A6"/>
    <w:rsid w:val="008232D9"/>
    <w:rsid w:val="00841623"/>
    <w:rsid w:val="00853C66"/>
    <w:rsid w:val="00870507"/>
    <w:rsid w:val="008802A7"/>
    <w:rsid w:val="008B1235"/>
    <w:rsid w:val="008C4643"/>
    <w:rsid w:val="008C7BBE"/>
    <w:rsid w:val="008E6CF1"/>
    <w:rsid w:val="008F38B6"/>
    <w:rsid w:val="008F459A"/>
    <w:rsid w:val="00900BCC"/>
    <w:rsid w:val="00906D4F"/>
    <w:rsid w:val="00924D6A"/>
    <w:rsid w:val="00926410"/>
    <w:rsid w:val="0093226C"/>
    <w:rsid w:val="009412AC"/>
    <w:rsid w:val="00943B76"/>
    <w:rsid w:val="00975BEA"/>
    <w:rsid w:val="009A1DFA"/>
    <w:rsid w:val="009B1C73"/>
    <w:rsid w:val="009B3961"/>
    <w:rsid w:val="009B7B45"/>
    <w:rsid w:val="009C6156"/>
    <w:rsid w:val="009D0F70"/>
    <w:rsid w:val="009D6BAF"/>
    <w:rsid w:val="009E5EED"/>
    <w:rsid w:val="009F039F"/>
    <w:rsid w:val="009F0FB8"/>
    <w:rsid w:val="009F749B"/>
    <w:rsid w:val="00A05757"/>
    <w:rsid w:val="00A11375"/>
    <w:rsid w:val="00A27EDB"/>
    <w:rsid w:val="00A60A6D"/>
    <w:rsid w:val="00A93CB7"/>
    <w:rsid w:val="00A93FA6"/>
    <w:rsid w:val="00AB58BE"/>
    <w:rsid w:val="00AD22E0"/>
    <w:rsid w:val="00AD2994"/>
    <w:rsid w:val="00AE0C93"/>
    <w:rsid w:val="00AF437A"/>
    <w:rsid w:val="00B00F0A"/>
    <w:rsid w:val="00B03460"/>
    <w:rsid w:val="00B1406E"/>
    <w:rsid w:val="00B34A40"/>
    <w:rsid w:val="00B51269"/>
    <w:rsid w:val="00B53F28"/>
    <w:rsid w:val="00B64761"/>
    <w:rsid w:val="00B70C3B"/>
    <w:rsid w:val="00BA1D37"/>
    <w:rsid w:val="00BD01DA"/>
    <w:rsid w:val="00BF5CD8"/>
    <w:rsid w:val="00BF6DC1"/>
    <w:rsid w:val="00C04B79"/>
    <w:rsid w:val="00C17EC8"/>
    <w:rsid w:val="00C21CB2"/>
    <w:rsid w:val="00C61A66"/>
    <w:rsid w:val="00C645A8"/>
    <w:rsid w:val="00C66FC5"/>
    <w:rsid w:val="00C72AAA"/>
    <w:rsid w:val="00C93724"/>
    <w:rsid w:val="00CB2B93"/>
    <w:rsid w:val="00D25312"/>
    <w:rsid w:val="00D6380F"/>
    <w:rsid w:val="00D810DA"/>
    <w:rsid w:val="00D868BA"/>
    <w:rsid w:val="00DA1E22"/>
    <w:rsid w:val="00DB1E05"/>
    <w:rsid w:val="00DB4F77"/>
    <w:rsid w:val="00DC0047"/>
    <w:rsid w:val="00DE22FB"/>
    <w:rsid w:val="00DE3356"/>
    <w:rsid w:val="00E02612"/>
    <w:rsid w:val="00E33A0F"/>
    <w:rsid w:val="00E405FD"/>
    <w:rsid w:val="00E460FD"/>
    <w:rsid w:val="00E609BC"/>
    <w:rsid w:val="00E90FD3"/>
    <w:rsid w:val="00ED3B34"/>
    <w:rsid w:val="00EE2289"/>
    <w:rsid w:val="00EE561F"/>
    <w:rsid w:val="00EF6115"/>
    <w:rsid w:val="00F25A1A"/>
    <w:rsid w:val="00F540F5"/>
    <w:rsid w:val="00F55CBD"/>
    <w:rsid w:val="00F60623"/>
    <w:rsid w:val="00F615C6"/>
    <w:rsid w:val="00F6662C"/>
    <w:rsid w:val="00F94D0C"/>
    <w:rsid w:val="00FB0EE4"/>
    <w:rsid w:val="00FC1B72"/>
    <w:rsid w:val="00FD3D94"/>
    <w:rsid w:val="00FE2BA9"/>
    <w:rsid w:val="00FE68A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rules v:ext="edit">
        <o:r id="V:Rule1" type="connector" idref="#_x0000_s2064"/>
        <o:r id="V:Rule2" type="connector" idref="#_x0000_s2067"/>
        <o:r id="V:Rule3" type="connector" idref="#_x0000_s2063"/>
        <o:r id="V:Rule4" type="connector" idref="#_x0000_s2065"/>
        <o:r id="V:Rule5" type="connector" idref="#_x0000_s2068"/>
        <o:r id="V:Rule6" type="connector" idref="#_x0000_s2066"/>
      </o:rules>
    </o:shapelayout>
  </w:shapeDefaults>
  <w:decimalSymbol w:val="."/>
  <w:listSeparator w:val=","/>
  <w14:docId w14:val="03F474AF"/>
  <w15:docId w15:val="{4809274D-F0BF-4000-8415-A55D9D8A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FD3"/>
  </w:style>
  <w:style w:type="paragraph" w:styleId="Heading1">
    <w:name w:val="heading 1"/>
    <w:basedOn w:val="Normal"/>
    <w:next w:val="Normal"/>
    <w:link w:val="Heading1Char"/>
    <w:uiPriority w:val="9"/>
    <w:qFormat/>
    <w:rsid w:val="00790D78"/>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3">
    <w:name w:val="heading 3"/>
    <w:basedOn w:val="Normal"/>
    <w:link w:val="Heading3Char"/>
    <w:uiPriority w:val="9"/>
    <w:qFormat/>
    <w:rsid w:val="00EE22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92A8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2289"/>
    <w:rPr>
      <w:rFonts w:ascii="Times New Roman" w:eastAsia="Times New Roman" w:hAnsi="Times New Roman" w:cs="Times New Roman"/>
      <w:b/>
      <w:bCs/>
      <w:sz w:val="27"/>
      <w:szCs w:val="27"/>
    </w:rPr>
  </w:style>
  <w:style w:type="paragraph" w:styleId="NormalWeb">
    <w:name w:val="Normal (Web)"/>
    <w:basedOn w:val="Normal"/>
    <w:uiPriority w:val="99"/>
    <w:unhideWhenUsed/>
    <w:rsid w:val="00EE22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2289"/>
    <w:rPr>
      <w:b/>
      <w:bCs/>
    </w:rPr>
  </w:style>
  <w:style w:type="character" w:customStyle="1" w:styleId="Heading4Char">
    <w:name w:val="Heading 4 Char"/>
    <w:basedOn w:val="DefaultParagraphFont"/>
    <w:link w:val="Heading4"/>
    <w:uiPriority w:val="9"/>
    <w:semiHidden/>
    <w:rsid w:val="00692A84"/>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73280B"/>
    <w:rPr>
      <w:i/>
      <w:iCs/>
    </w:rPr>
  </w:style>
  <w:style w:type="character" w:customStyle="1" w:styleId="Heading1Char">
    <w:name w:val="Heading 1 Char"/>
    <w:basedOn w:val="DefaultParagraphFont"/>
    <w:link w:val="Heading1"/>
    <w:uiPriority w:val="9"/>
    <w:rsid w:val="00790D78"/>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790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D78"/>
    <w:rPr>
      <w:rFonts w:ascii="Tahoma" w:hAnsi="Tahoma" w:cs="Tahoma"/>
      <w:sz w:val="16"/>
      <w:szCs w:val="16"/>
    </w:rPr>
  </w:style>
  <w:style w:type="paragraph" w:styleId="ListParagraph">
    <w:name w:val="List Paragraph"/>
    <w:basedOn w:val="Normal"/>
    <w:uiPriority w:val="34"/>
    <w:qFormat/>
    <w:rsid w:val="00790D78"/>
    <w:pPr>
      <w:ind w:left="720"/>
      <w:contextualSpacing/>
    </w:pPr>
  </w:style>
  <w:style w:type="table" w:styleId="TableGrid">
    <w:name w:val="Table Grid"/>
    <w:basedOn w:val="TableNormal"/>
    <w:uiPriority w:val="59"/>
    <w:rsid w:val="00790D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90275"/>
    <w:rPr>
      <w:color w:val="0000FF" w:themeColor="hyperlink"/>
      <w:u w:val="single"/>
    </w:rPr>
  </w:style>
  <w:style w:type="table" w:customStyle="1" w:styleId="LightShading1">
    <w:name w:val="Light Shading1"/>
    <w:basedOn w:val="TableNormal"/>
    <w:uiPriority w:val="60"/>
    <w:rsid w:val="003B40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B408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B408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B408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B408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B408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relative">
    <w:name w:val="relative"/>
    <w:basedOn w:val="DefaultParagraphFont"/>
    <w:rsid w:val="00AD22E0"/>
  </w:style>
  <w:style w:type="character" w:styleId="UnresolvedMention">
    <w:name w:val="Unresolved Mention"/>
    <w:basedOn w:val="DefaultParagraphFont"/>
    <w:uiPriority w:val="99"/>
    <w:semiHidden/>
    <w:unhideWhenUsed/>
    <w:rsid w:val="00697478"/>
    <w:rPr>
      <w:color w:val="605E5C"/>
      <w:shd w:val="clear" w:color="auto" w:fill="E1DFDD"/>
    </w:rPr>
  </w:style>
  <w:style w:type="paragraph" w:styleId="Header">
    <w:name w:val="header"/>
    <w:basedOn w:val="Normal"/>
    <w:link w:val="HeaderChar"/>
    <w:uiPriority w:val="99"/>
    <w:unhideWhenUsed/>
    <w:rsid w:val="00622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635"/>
  </w:style>
  <w:style w:type="paragraph" w:styleId="Footer">
    <w:name w:val="footer"/>
    <w:basedOn w:val="Normal"/>
    <w:link w:val="FooterChar"/>
    <w:uiPriority w:val="99"/>
    <w:unhideWhenUsed/>
    <w:rsid w:val="00622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0939">
      <w:bodyDiv w:val="1"/>
      <w:marLeft w:val="0"/>
      <w:marRight w:val="0"/>
      <w:marTop w:val="0"/>
      <w:marBottom w:val="0"/>
      <w:divBdr>
        <w:top w:val="none" w:sz="0" w:space="0" w:color="auto"/>
        <w:left w:val="none" w:sz="0" w:space="0" w:color="auto"/>
        <w:bottom w:val="none" w:sz="0" w:space="0" w:color="auto"/>
        <w:right w:val="none" w:sz="0" w:space="0" w:color="auto"/>
      </w:divBdr>
      <w:divsChild>
        <w:div w:id="1452213402">
          <w:marLeft w:val="0"/>
          <w:marRight w:val="0"/>
          <w:marTop w:val="0"/>
          <w:marBottom w:val="0"/>
          <w:divBdr>
            <w:top w:val="none" w:sz="0" w:space="0" w:color="auto"/>
            <w:left w:val="none" w:sz="0" w:space="0" w:color="auto"/>
            <w:bottom w:val="none" w:sz="0" w:space="0" w:color="auto"/>
            <w:right w:val="none" w:sz="0" w:space="0" w:color="auto"/>
          </w:divBdr>
        </w:div>
      </w:divsChild>
    </w:div>
    <w:div w:id="28726225">
      <w:bodyDiv w:val="1"/>
      <w:marLeft w:val="0"/>
      <w:marRight w:val="0"/>
      <w:marTop w:val="0"/>
      <w:marBottom w:val="0"/>
      <w:divBdr>
        <w:top w:val="none" w:sz="0" w:space="0" w:color="auto"/>
        <w:left w:val="none" w:sz="0" w:space="0" w:color="auto"/>
        <w:bottom w:val="none" w:sz="0" w:space="0" w:color="auto"/>
        <w:right w:val="none" w:sz="0" w:space="0" w:color="auto"/>
      </w:divBdr>
    </w:div>
    <w:div w:id="68039361">
      <w:bodyDiv w:val="1"/>
      <w:marLeft w:val="0"/>
      <w:marRight w:val="0"/>
      <w:marTop w:val="0"/>
      <w:marBottom w:val="0"/>
      <w:divBdr>
        <w:top w:val="none" w:sz="0" w:space="0" w:color="auto"/>
        <w:left w:val="none" w:sz="0" w:space="0" w:color="auto"/>
        <w:bottom w:val="none" w:sz="0" w:space="0" w:color="auto"/>
        <w:right w:val="none" w:sz="0" w:space="0" w:color="auto"/>
      </w:divBdr>
      <w:divsChild>
        <w:div w:id="2112242389">
          <w:marLeft w:val="0"/>
          <w:marRight w:val="0"/>
          <w:marTop w:val="0"/>
          <w:marBottom w:val="0"/>
          <w:divBdr>
            <w:top w:val="none" w:sz="0" w:space="0" w:color="auto"/>
            <w:left w:val="none" w:sz="0" w:space="0" w:color="auto"/>
            <w:bottom w:val="none" w:sz="0" w:space="0" w:color="auto"/>
            <w:right w:val="none" w:sz="0" w:space="0" w:color="auto"/>
          </w:divBdr>
        </w:div>
      </w:divsChild>
    </w:div>
    <w:div w:id="136992612">
      <w:bodyDiv w:val="1"/>
      <w:marLeft w:val="0"/>
      <w:marRight w:val="0"/>
      <w:marTop w:val="0"/>
      <w:marBottom w:val="0"/>
      <w:divBdr>
        <w:top w:val="none" w:sz="0" w:space="0" w:color="auto"/>
        <w:left w:val="none" w:sz="0" w:space="0" w:color="auto"/>
        <w:bottom w:val="none" w:sz="0" w:space="0" w:color="auto"/>
        <w:right w:val="none" w:sz="0" w:space="0" w:color="auto"/>
      </w:divBdr>
      <w:divsChild>
        <w:div w:id="1034232998">
          <w:marLeft w:val="0"/>
          <w:marRight w:val="0"/>
          <w:marTop w:val="0"/>
          <w:marBottom w:val="0"/>
          <w:divBdr>
            <w:top w:val="none" w:sz="0" w:space="0" w:color="auto"/>
            <w:left w:val="none" w:sz="0" w:space="0" w:color="auto"/>
            <w:bottom w:val="none" w:sz="0" w:space="0" w:color="auto"/>
            <w:right w:val="none" w:sz="0" w:space="0" w:color="auto"/>
          </w:divBdr>
        </w:div>
      </w:divsChild>
    </w:div>
    <w:div w:id="168644698">
      <w:bodyDiv w:val="1"/>
      <w:marLeft w:val="0"/>
      <w:marRight w:val="0"/>
      <w:marTop w:val="0"/>
      <w:marBottom w:val="0"/>
      <w:divBdr>
        <w:top w:val="none" w:sz="0" w:space="0" w:color="auto"/>
        <w:left w:val="none" w:sz="0" w:space="0" w:color="auto"/>
        <w:bottom w:val="none" w:sz="0" w:space="0" w:color="auto"/>
        <w:right w:val="none" w:sz="0" w:space="0" w:color="auto"/>
      </w:divBdr>
      <w:divsChild>
        <w:div w:id="617027639">
          <w:marLeft w:val="0"/>
          <w:marRight w:val="0"/>
          <w:marTop w:val="0"/>
          <w:marBottom w:val="0"/>
          <w:divBdr>
            <w:top w:val="none" w:sz="0" w:space="0" w:color="auto"/>
            <w:left w:val="none" w:sz="0" w:space="0" w:color="auto"/>
            <w:bottom w:val="none" w:sz="0" w:space="0" w:color="auto"/>
            <w:right w:val="none" w:sz="0" w:space="0" w:color="auto"/>
          </w:divBdr>
        </w:div>
      </w:divsChild>
    </w:div>
    <w:div w:id="188028761">
      <w:bodyDiv w:val="1"/>
      <w:marLeft w:val="0"/>
      <w:marRight w:val="0"/>
      <w:marTop w:val="0"/>
      <w:marBottom w:val="0"/>
      <w:divBdr>
        <w:top w:val="none" w:sz="0" w:space="0" w:color="auto"/>
        <w:left w:val="none" w:sz="0" w:space="0" w:color="auto"/>
        <w:bottom w:val="none" w:sz="0" w:space="0" w:color="auto"/>
        <w:right w:val="none" w:sz="0" w:space="0" w:color="auto"/>
      </w:divBdr>
      <w:divsChild>
        <w:div w:id="1732531640">
          <w:marLeft w:val="0"/>
          <w:marRight w:val="0"/>
          <w:marTop w:val="0"/>
          <w:marBottom w:val="0"/>
          <w:divBdr>
            <w:top w:val="none" w:sz="0" w:space="0" w:color="auto"/>
            <w:left w:val="none" w:sz="0" w:space="0" w:color="auto"/>
            <w:bottom w:val="none" w:sz="0" w:space="0" w:color="auto"/>
            <w:right w:val="none" w:sz="0" w:space="0" w:color="auto"/>
          </w:divBdr>
        </w:div>
      </w:divsChild>
    </w:div>
    <w:div w:id="201599213">
      <w:bodyDiv w:val="1"/>
      <w:marLeft w:val="0"/>
      <w:marRight w:val="0"/>
      <w:marTop w:val="0"/>
      <w:marBottom w:val="0"/>
      <w:divBdr>
        <w:top w:val="none" w:sz="0" w:space="0" w:color="auto"/>
        <w:left w:val="none" w:sz="0" w:space="0" w:color="auto"/>
        <w:bottom w:val="none" w:sz="0" w:space="0" w:color="auto"/>
        <w:right w:val="none" w:sz="0" w:space="0" w:color="auto"/>
      </w:divBdr>
    </w:div>
    <w:div w:id="231084697">
      <w:bodyDiv w:val="1"/>
      <w:marLeft w:val="0"/>
      <w:marRight w:val="0"/>
      <w:marTop w:val="0"/>
      <w:marBottom w:val="0"/>
      <w:divBdr>
        <w:top w:val="none" w:sz="0" w:space="0" w:color="auto"/>
        <w:left w:val="none" w:sz="0" w:space="0" w:color="auto"/>
        <w:bottom w:val="none" w:sz="0" w:space="0" w:color="auto"/>
        <w:right w:val="none" w:sz="0" w:space="0" w:color="auto"/>
      </w:divBdr>
      <w:divsChild>
        <w:div w:id="668607210">
          <w:marLeft w:val="0"/>
          <w:marRight w:val="0"/>
          <w:marTop w:val="0"/>
          <w:marBottom w:val="0"/>
          <w:divBdr>
            <w:top w:val="none" w:sz="0" w:space="0" w:color="auto"/>
            <w:left w:val="none" w:sz="0" w:space="0" w:color="auto"/>
            <w:bottom w:val="none" w:sz="0" w:space="0" w:color="auto"/>
            <w:right w:val="none" w:sz="0" w:space="0" w:color="auto"/>
          </w:divBdr>
        </w:div>
      </w:divsChild>
    </w:div>
    <w:div w:id="239288614">
      <w:bodyDiv w:val="1"/>
      <w:marLeft w:val="0"/>
      <w:marRight w:val="0"/>
      <w:marTop w:val="0"/>
      <w:marBottom w:val="0"/>
      <w:divBdr>
        <w:top w:val="none" w:sz="0" w:space="0" w:color="auto"/>
        <w:left w:val="none" w:sz="0" w:space="0" w:color="auto"/>
        <w:bottom w:val="none" w:sz="0" w:space="0" w:color="auto"/>
        <w:right w:val="none" w:sz="0" w:space="0" w:color="auto"/>
      </w:divBdr>
    </w:div>
    <w:div w:id="263735818">
      <w:bodyDiv w:val="1"/>
      <w:marLeft w:val="0"/>
      <w:marRight w:val="0"/>
      <w:marTop w:val="0"/>
      <w:marBottom w:val="0"/>
      <w:divBdr>
        <w:top w:val="none" w:sz="0" w:space="0" w:color="auto"/>
        <w:left w:val="none" w:sz="0" w:space="0" w:color="auto"/>
        <w:bottom w:val="none" w:sz="0" w:space="0" w:color="auto"/>
        <w:right w:val="none" w:sz="0" w:space="0" w:color="auto"/>
      </w:divBdr>
      <w:divsChild>
        <w:div w:id="1872764186">
          <w:marLeft w:val="0"/>
          <w:marRight w:val="0"/>
          <w:marTop w:val="0"/>
          <w:marBottom w:val="0"/>
          <w:divBdr>
            <w:top w:val="none" w:sz="0" w:space="0" w:color="auto"/>
            <w:left w:val="none" w:sz="0" w:space="0" w:color="auto"/>
            <w:bottom w:val="none" w:sz="0" w:space="0" w:color="auto"/>
            <w:right w:val="none" w:sz="0" w:space="0" w:color="auto"/>
          </w:divBdr>
        </w:div>
      </w:divsChild>
    </w:div>
    <w:div w:id="275068120">
      <w:bodyDiv w:val="1"/>
      <w:marLeft w:val="0"/>
      <w:marRight w:val="0"/>
      <w:marTop w:val="0"/>
      <w:marBottom w:val="0"/>
      <w:divBdr>
        <w:top w:val="none" w:sz="0" w:space="0" w:color="auto"/>
        <w:left w:val="none" w:sz="0" w:space="0" w:color="auto"/>
        <w:bottom w:val="none" w:sz="0" w:space="0" w:color="auto"/>
        <w:right w:val="none" w:sz="0" w:space="0" w:color="auto"/>
      </w:divBdr>
    </w:div>
    <w:div w:id="300306588">
      <w:bodyDiv w:val="1"/>
      <w:marLeft w:val="0"/>
      <w:marRight w:val="0"/>
      <w:marTop w:val="0"/>
      <w:marBottom w:val="0"/>
      <w:divBdr>
        <w:top w:val="none" w:sz="0" w:space="0" w:color="auto"/>
        <w:left w:val="none" w:sz="0" w:space="0" w:color="auto"/>
        <w:bottom w:val="none" w:sz="0" w:space="0" w:color="auto"/>
        <w:right w:val="none" w:sz="0" w:space="0" w:color="auto"/>
      </w:divBdr>
    </w:div>
    <w:div w:id="312100910">
      <w:bodyDiv w:val="1"/>
      <w:marLeft w:val="0"/>
      <w:marRight w:val="0"/>
      <w:marTop w:val="0"/>
      <w:marBottom w:val="0"/>
      <w:divBdr>
        <w:top w:val="none" w:sz="0" w:space="0" w:color="auto"/>
        <w:left w:val="none" w:sz="0" w:space="0" w:color="auto"/>
        <w:bottom w:val="none" w:sz="0" w:space="0" w:color="auto"/>
        <w:right w:val="none" w:sz="0" w:space="0" w:color="auto"/>
      </w:divBdr>
    </w:div>
    <w:div w:id="331029262">
      <w:bodyDiv w:val="1"/>
      <w:marLeft w:val="0"/>
      <w:marRight w:val="0"/>
      <w:marTop w:val="0"/>
      <w:marBottom w:val="0"/>
      <w:divBdr>
        <w:top w:val="none" w:sz="0" w:space="0" w:color="auto"/>
        <w:left w:val="none" w:sz="0" w:space="0" w:color="auto"/>
        <w:bottom w:val="none" w:sz="0" w:space="0" w:color="auto"/>
        <w:right w:val="none" w:sz="0" w:space="0" w:color="auto"/>
      </w:divBdr>
      <w:divsChild>
        <w:div w:id="1164466199">
          <w:marLeft w:val="0"/>
          <w:marRight w:val="0"/>
          <w:marTop w:val="0"/>
          <w:marBottom w:val="0"/>
          <w:divBdr>
            <w:top w:val="none" w:sz="0" w:space="0" w:color="auto"/>
            <w:left w:val="none" w:sz="0" w:space="0" w:color="auto"/>
            <w:bottom w:val="none" w:sz="0" w:space="0" w:color="auto"/>
            <w:right w:val="none" w:sz="0" w:space="0" w:color="auto"/>
          </w:divBdr>
        </w:div>
      </w:divsChild>
    </w:div>
    <w:div w:id="347681303">
      <w:bodyDiv w:val="1"/>
      <w:marLeft w:val="0"/>
      <w:marRight w:val="0"/>
      <w:marTop w:val="0"/>
      <w:marBottom w:val="0"/>
      <w:divBdr>
        <w:top w:val="none" w:sz="0" w:space="0" w:color="auto"/>
        <w:left w:val="none" w:sz="0" w:space="0" w:color="auto"/>
        <w:bottom w:val="none" w:sz="0" w:space="0" w:color="auto"/>
        <w:right w:val="none" w:sz="0" w:space="0" w:color="auto"/>
      </w:divBdr>
      <w:divsChild>
        <w:div w:id="1204754711">
          <w:marLeft w:val="0"/>
          <w:marRight w:val="0"/>
          <w:marTop w:val="0"/>
          <w:marBottom w:val="0"/>
          <w:divBdr>
            <w:top w:val="none" w:sz="0" w:space="0" w:color="auto"/>
            <w:left w:val="none" w:sz="0" w:space="0" w:color="auto"/>
            <w:bottom w:val="none" w:sz="0" w:space="0" w:color="auto"/>
            <w:right w:val="none" w:sz="0" w:space="0" w:color="auto"/>
          </w:divBdr>
        </w:div>
      </w:divsChild>
    </w:div>
    <w:div w:id="444812721">
      <w:bodyDiv w:val="1"/>
      <w:marLeft w:val="0"/>
      <w:marRight w:val="0"/>
      <w:marTop w:val="0"/>
      <w:marBottom w:val="0"/>
      <w:divBdr>
        <w:top w:val="none" w:sz="0" w:space="0" w:color="auto"/>
        <w:left w:val="none" w:sz="0" w:space="0" w:color="auto"/>
        <w:bottom w:val="none" w:sz="0" w:space="0" w:color="auto"/>
        <w:right w:val="none" w:sz="0" w:space="0" w:color="auto"/>
      </w:divBdr>
    </w:div>
    <w:div w:id="510098177">
      <w:bodyDiv w:val="1"/>
      <w:marLeft w:val="0"/>
      <w:marRight w:val="0"/>
      <w:marTop w:val="0"/>
      <w:marBottom w:val="0"/>
      <w:divBdr>
        <w:top w:val="none" w:sz="0" w:space="0" w:color="auto"/>
        <w:left w:val="none" w:sz="0" w:space="0" w:color="auto"/>
        <w:bottom w:val="none" w:sz="0" w:space="0" w:color="auto"/>
        <w:right w:val="none" w:sz="0" w:space="0" w:color="auto"/>
      </w:divBdr>
    </w:div>
    <w:div w:id="525025800">
      <w:bodyDiv w:val="1"/>
      <w:marLeft w:val="0"/>
      <w:marRight w:val="0"/>
      <w:marTop w:val="0"/>
      <w:marBottom w:val="0"/>
      <w:divBdr>
        <w:top w:val="none" w:sz="0" w:space="0" w:color="auto"/>
        <w:left w:val="none" w:sz="0" w:space="0" w:color="auto"/>
        <w:bottom w:val="none" w:sz="0" w:space="0" w:color="auto"/>
        <w:right w:val="none" w:sz="0" w:space="0" w:color="auto"/>
      </w:divBdr>
    </w:div>
    <w:div w:id="534852644">
      <w:bodyDiv w:val="1"/>
      <w:marLeft w:val="0"/>
      <w:marRight w:val="0"/>
      <w:marTop w:val="0"/>
      <w:marBottom w:val="0"/>
      <w:divBdr>
        <w:top w:val="none" w:sz="0" w:space="0" w:color="auto"/>
        <w:left w:val="none" w:sz="0" w:space="0" w:color="auto"/>
        <w:bottom w:val="none" w:sz="0" w:space="0" w:color="auto"/>
        <w:right w:val="none" w:sz="0" w:space="0" w:color="auto"/>
      </w:divBdr>
      <w:divsChild>
        <w:div w:id="1489132147">
          <w:marLeft w:val="0"/>
          <w:marRight w:val="0"/>
          <w:marTop w:val="0"/>
          <w:marBottom w:val="0"/>
          <w:divBdr>
            <w:top w:val="none" w:sz="0" w:space="0" w:color="auto"/>
            <w:left w:val="none" w:sz="0" w:space="0" w:color="auto"/>
            <w:bottom w:val="none" w:sz="0" w:space="0" w:color="auto"/>
            <w:right w:val="none" w:sz="0" w:space="0" w:color="auto"/>
          </w:divBdr>
        </w:div>
      </w:divsChild>
    </w:div>
    <w:div w:id="596669762">
      <w:bodyDiv w:val="1"/>
      <w:marLeft w:val="0"/>
      <w:marRight w:val="0"/>
      <w:marTop w:val="0"/>
      <w:marBottom w:val="0"/>
      <w:divBdr>
        <w:top w:val="none" w:sz="0" w:space="0" w:color="auto"/>
        <w:left w:val="none" w:sz="0" w:space="0" w:color="auto"/>
        <w:bottom w:val="none" w:sz="0" w:space="0" w:color="auto"/>
        <w:right w:val="none" w:sz="0" w:space="0" w:color="auto"/>
      </w:divBdr>
    </w:div>
    <w:div w:id="597834682">
      <w:bodyDiv w:val="1"/>
      <w:marLeft w:val="0"/>
      <w:marRight w:val="0"/>
      <w:marTop w:val="0"/>
      <w:marBottom w:val="0"/>
      <w:divBdr>
        <w:top w:val="none" w:sz="0" w:space="0" w:color="auto"/>
        <w:left w:val="none" w:sz="0" w:space="0" w:color="auto"/>
        <w:bottom w:val="none" w:sz="0" w:space="0" w:color="auto"/>
        <w:right w:val="none" w:sz="0" w:space="0" w:color="auto"/>
      </w:divBdr>
    </w:div>
    <w:div w:id="662974252">
      <w:bodyDiv w:val="1"/>
      <w:marLeft w:val="0"/>
      <w:marRight w:val="0"/>
      <w:marTop w:val="0"/>
      <w:marBottom w:val="0"/>
      <w:divBdr>
        <w:top w:val="none" w:sz="0" w:space="0" w:color="auto"/>
        <w:left w:val="none" w:sz="0" w:space="0" w:color="auto"/>
        <w:bottom w:val="none" w:sz="0" w:space="0" w:color="auto"/>
        <w:right w:val="none" w:sz="0" w:space="0" w:color="auto"/>
      </w:divBdr>
      <w:divsChild>
        <w:div w:id="1120564570">
          <w:marLeft w:val="0"/>
          <w:marRight w:val="0"/>
          <w:marTop w:val="0"/>
          <w:marBottom w:val="0"/>
          <w:divBdr>
            <w:top w:val="none" w:sz="0" w:space="0" w:color="auto"/>
            <w:left w:val="none" w:sz="0" w:space="0" w:color="auto"/>
            <w:bottom w:val="none" w:sz="0" w:space="0" w:color="auto"/>
            <w:right w:val="none" w:sz="0" w:space="0" w:color="auto"/>
          </w:divBdr>
        </w:div>
      </w:divsChild>
    </w:div>
    <w:div w:id="686445332">
      <w:bodyDiv w:val="1"/>
      <w:marLeft w:val="0"/>
      <w:marRight w:val="0"/>
      <w:marTop w:val="0"/>
      <w:marBottom w:val="0"/>
      <w:divBdr>
        <w:top w:val="none" w:sz="0" w:space="0" w:color="auto"/>
        <w:left w:val="none" w:sz="0" w:space="0" w:color="auto"/>
        <w:bottom w:val="none" w:sz="0" w:space="0" w:color="auto"/>
        <w:right w:val="none" w:sz="0" w:space="0" w:color="auto"/>
      </w:divBdr>
    </w:div>
    <w:div w:id="692388986">
      <w:bodyDiv w:val="1"/>
      <w:marLeft w:val="0"/>
      <w:marRight w:val="0"/>
      <w:marTop w:val="0"/>
      <w:marBottom w:val="0"/>
      <w:divBdr>
        <w:top w:val="none" w:sz="0" w:space="0" w:color="auto"/>
        <w:left w:val="none" w:sz="0" w:space="0" w:color="auto"/>
        <w:bottom w:val="none" w:sz="0" w:space="0" w:color="auto"/>
        <w:right w:val="none" w:sz="0" w:space="0" w:color="auto"/>
      </w:divBdr>
      <w:divsChild>
        <w:div w:id="203447160">
          <w:marLeft w:val="0"/>
          <w:marRight w:val="0"/>
          <w:marTop w:val="0"/>
          <w:marBottom w:val="0"/>
          <w:divBdr>
            <w:top w:val="none" w:sz="0" w:space="0" w:color="auto"/>
            <w:left w:val="none" w:sz="0" w:space="0" w:color="auto"/>
            <w:bottom w:val="none" w:sz="0" w:space="0" w:color="auto"/>
            <w:right w:val="none" w:sz="0" w:space="0" w:color="auto"/>
          </w:divBdr>
        </w:div>
      </w:divsChild>
    </w:div>
    <w:div w:id="699476926">
      <w:bodyDiv w:val="1"/>
      <w:marLeft w:val="0"/>
      <w:marRight w:val="0"/>
      <w:marTop w:val="0"/>
      <w:marBottom w:val="0"/>
      <w:divBdr>
        <w:top w:val="none" w:sz="0" w:space="0" w:color="auto"/>
        <w:left w:val="none" w:sz="0" w:space="0" w:color="auto"/>
        <w:bottom w:val="none" w:sz="0" w:space="0" w:color="auto"/>
        <w:right w:val="none" w:sz="0" w:space="0" w:color="auto"/>
      </w:divBdr>
    </w:div>
    <w:div w:id="702826287">
      <w:bodyDiv w:val="1"/>
      <w:marLeft w:val="0"/>
      <w:marRight w:val="0"/>
      <w:marTop w:val="0"/>
      <w:marBottom w:val="0"/>
      <w:divBdr>
        <w:top w:val="none" w:sz="0" w:space="0" w:color="auto"/>
        <w:left w:val="none" w:sz="0" w:space="0" w:color="auto"/>
        <w:bottom w:val="none" w:sz="0" w:space="0" w:color="auto"/>
        <w:right w:val="none" w:sz="0" w:space="0" w:color="auto"/>
      </w:divBdr>
    </w:div>
    <w:div w:id="762384469">
      <w:bodyDiv w:val="1"/>
      <w:marLeft w:val="0"/>
      <w:marRight w:val="0"/>
      <w:marTop w:val="0"/>
      <w:marBottom w:val="0"/>
      <w:divBdr>
        <w:top w:val="none" w:sz="0" w:space="0" w:color="auto"/>
        <w:left w:val="none" w:sz="0" w:space="0" w:color="auto"/>
        <w:bottom w:val="none" w:sz="0" w:space="0" w:color="auto"/>
        <w:right w:val="none" w:sz="0" w:space="0" w:color="auto"/>
      </w:divBdr>
      <w:divsChild>
        <w:div w:id="998658935">
          <w:marLeft w:val="0"/>
          <w:marRight w:val="0"/>
          <w:marTop w:val="0"/>
          <w:marBottom w:val="0"/>
          <w:divBdr>
            <w:top w:val="none" w:sz="0" w:space="0" w:color="auto"/>
            <w:left w:val="none" w:sz="0" w:space="0" w:color="auto"/>
            <w:bottom w:val="none" w:sz="0" w:space="0" w:color="auto"/>
            <w:right w:val="none" w:sz="0" w:space="0" w:color="auto"/>
          </w:divBdr>
        </w:div>
      </w:divsChild>
    </w:div>
    <w:div w:id="776101164">
      <w:bodyDiv w:val="1"/>
      <w:marLeft w:val="0"/>
      <w:marRight w:val="0"/>
      <w:marTop w:val="0"/>
      <w:marBottom w:val="0"/>
      <w:divBdr>
        <w:top w:val="none" w:sz="0" w:space="0" w:color="auto"/>
        <w:left w:val="none" w:sz="0" w:space="0" w:color="auto"/>
        <w:bottom w:val="none" w:sz="0" w:space="0" w:color="auto"/>
        <w:right w:val="none" w:sz="0" w:space="0" w:color="auto"/>
      </w:divBdr>
      <w:divsChild>
        <w:div w:id="1157764776">
          <w:marLeft w:val="0"/>
          <w:marRight w:val="0"/>
          <w:marTop w:val="0"/>
          <w:marBottom w:val="0"/>
          <w:divBdr>
            <w:top w:val="none" w:sz="0" w:space="0" w:color="auto"/>
            <w:left w:val="none" w:sz="0" w:space="0" w:color="auto"/>
            <w:bottom w:val="none" w:sz="0" w:space="0" w:color="auto"/>
            <w:right w:val="none" w:sz="0" w:space="0" w:color="auto"/>
          </w:divBdr>
        </w:div>
      </w:divsChild>
    </w:div>
    <w:div w:id="802117295">
      <w:bodyDiv w:val="1"/>
      <w:marLeft w:val="0"/>
      <w:marRight w:val="0"/>
      <w:marTop w:val="0"/>
      <w:marBottom w:val="0"/>
      <w:divBdr>
        <w:top w:val="none" w:sz="0" w:space="0" w:color="auto"/>
        <w:left w:val="none" w:sz="0" w:space="0" w:color="auto"/>
        <w:bottom w:val="none" w:sz="0" w:space="0" w:color="auto"/>
        <w:right w:val="none" w:sz="0" w:space="0" w:color="auto"/>
      </w:divBdr>
      <w:divsChild>
        <w:div w:id="15008849">
          <w:marLeft w:val="0"/>
          <w:marRight w:val="0"/>
          <w:marTop w:val="0"/>
          <w:marBottom w:val="0"/>
          <w:divBdr>
            <w:top w:val="none" w:sz="0" w:space="0" w:color="auto"/>
            <w:left w:val="none" w:sz="0" w:space="0" w:color="auto"/>
            <w:bottom w:val="none" w:sz="0" w:space="0" w:color="auto"/>
            <w:right w:val="none" w:sz="0" w:space="0" w:color="auto"/>
          </w:divBdr>
        </w:div>
      </w:divsChild>
    </w:div>
    <w:div w:id="847982793">
      <w:bodyDiv w:val="1"/>
      <w:marLeft w:val="0"/>
      <w:marRight w:val="0"/>
      <w:marTop w:val="0"/>
      <w:marBottom w:val="0"/>
      <w:divBdr>
        <w:top w:val="none" w:sz="0" w:space="0" w:color="auto"/>
        <w:left w:val="none" w:sz="0" w:space="0" w:color="auto"/>
        <w:bottom w:val="none" w:sz="0" w:space="0" w:color="auto"/>
        <w:right w:val="none" w:sz="0" w:space="0" w:color="auto"/>
      </w:divBdr>
    </w:div>
    <w:div w:id="852377292">
      <w:bodyDiv w:val="1"/>
      <w:marLeft w:val="0"/>
      <w:marRight w:val="0"/>
      <w:marTop w:val="0"/>
      <w:marBottom w:val="0"/>
      <w:divBdr>
        <w:top w:val="none" w:sz="0" w:space="0" w:color="auto"/>
        <w:left w:val="none" w:sz="0" w:space="0" w:color="auto"/>
        <w:bottom w:val="none" w:sz="0" w:space="0" w:color="auto"/>
        <w:right w:val="none" w:sz="0" w:space="0" w:color="auto"/>
      </w:divBdr>
      <w:divsChild>
        <w:div w:id="1871066484">
          <w:marLeft w:val="0"/>
          <w:marRight w:val="0"/>
          <w:marTop w:val="0"/>
          <w:marBottom w:val="0"/>
          <w:divBdr>
            <w:top w:val="none" w:sz="0" w:space="0" w:color="auto"/>
            <w:left w:val="none" w:sz="0" w:space="0" w:color="auto"/>
            <w:bottom w:val="none" w:sz="0" w:space="0" w:color="auto"/>
            <w:right w:val="none" w:sz="0" w:space="0" w:color="auto"/>
          </w:divBdr>
        </w:div>
      </w:divsChild>
    </w:div>
    <w:div w:id="895630124">
      <w:bodyDiv w:val="1"/>
      <w:marLeft w:val="0"/>
      <w:marRight w:val="0"/>
      <w:marTop w:val="0"/>
      <w:marBottom w:val="0"/>
      <w:divBdr>
        <w:top w:val="none" w:sz="0" w:space="0" w:color="auto"/>
        <w:left w:val="none" w:sz="0" w:space="0" w:color="auto"/>
        <w:bottom w:val="none" w:sz="0" w:space="0" w:color="auto"/>
        <w:right w:val="none" w:sz="0" w:space="0" w:color="auto"/>
      </w:divBdr>
    </w:div>
    <w:div w:id="901597078">
      <w:bodyDiv w:val="1"/>
      <w:marLeft w:val="0"/>
      <w:marRight w:val="0"/>
      <w:marTop w:val="0"/>
      <w:marBottom w:val="0"/>
      <w:divBdr>
        <w:top w:val="none" w:sz="0" w:space="0" w:color="auto"/>
        <w:left w:val="none" w:sz="0" w:space="0" w:color="auto"/>
        <w:bottom w:val="none" w:sz="0" w:space="0" w:color="auto"/>
        <w:right w:val="none" w:sz="0" w:space="0" w:color="auto"/>
      </w:divBdr>
      <w:divsChild>
        <w:div w:id="627130551">
          <w:marLeft w:val="0"/>
          <w:marRight w:val="0"/>
          <w:marTop w:val="0"/>
          <w:marBottom w:val="0"/>
          <w:divBdr>
            <w:top w:val="none" w:sz="0" w:space="0" w:color="auto"/>
            <w:left w:val="none" w:sz="0" w:space="0" w:color="auto"/>
            <w:bottom w:val="none" w:sz="0" w:space="0" w:color="auto"/>
            <w:right w:val="none" w:sz="0" w:space="0" w:color="auto"/>
          </w:divBdr>
        </w:div>
      </w:divsChild>
    </w:div>
    <w:div w:id="921527942">
      <w:bodyDiv w:val="1"/>
      <w:marLeft w:val="0"/>
      <w:marRight w:val="0"/>
      <w:marTop w:val="0"/>
      <w:marBottom w:val="0"/>
      <w:divBdr>
        <w:top w:val="none" w:sz="0" w:space="0" w:color="auto"/>
        <w:left w:val="none" w:sz="0" w:space="0" w:color="auto"/>
        <w:bottom w:val="none" w:sz="0" w:space="0" w:color="auto"/>
        <w:right w:val="none" w:sz="0" w:space="0" w:color="auto"/>
      </w:divBdr>
    </w:div>
    <w:div w:id="962493478">
      <w:bodyDiv w:val="1"/>
      <w:marLeft w:val="0"/>
      <w:marRight w:val="0"/>
      <w:marTop w:val="0"/>
      <w:marBottom w:val="0"/>
      <w:divBdr>
        <w:top w:val="none" w:sz="0" w:space="0" w:color="auto"/>
        <w:left w:val="none" w:sz="0" w:space="0" w:color="auto"/>
        <w:bottom w:val="none" w:sz="0" w:space="0" w:color="auto"/>
        <w:right w:val="none" w:sz="0" w:space="0" w:color="auto"/>
      </w:divBdr>
    </w:div>
    <w:div w:id="977032541">
      <w:bodyDiv w:val="1"/>
      <w:marLeft w:val="0"/>
      <w:marRight w:val="0"/>
      <w:marTop w:val="0"/>
      <w:marBottom w:val="0"/>
      <w:divBdr>
        <w:top w:val="none" w:sz="0" w:space="0" w:color="auto"/>
        <w:left w:val="none" w:sz="0" w:space="0" w:color="auto"/>
        <w:bottom w:val="none" w:sz="0" w:space="0" w:color="auto"/>
        <w:right w:val="none" w:sz="0" w:space="0" w:color="auto"/>
      </w:divBdr>
    </w:div>
    <w:div w:id="1002321560">
      <w:bodyDiv w:val="1"/>
      <w:marLeft w:val="0"/>
      <w:marRight w:val="0"/>
      <w:marTop w:val="0"/>
      <w:marBottom w:val="0"/>
      <w:divBdr>
        <w:top w:val="none" w:sz="0" w:space="0" w:color="auto"/>
        <w:left w:val="none" w:sz="0" w:space="0" w:color="auto"/>
        <w:bottom w:val="none" w:sz="0" w:space="0" w:color="auto"/>
        <w:right w:val="none" w:sz="0" w:space="0" w:color="auto"/>
      </w:divBdr>
    </w:div>
    <w:div w:id="1004240210">
      <w:bodyDiv w:val="1"/>
      <w:marLeft w:val="0"/>
      <w:marRight w:val="0"/>
      <w:marTop w:val="0"/>
      <w:marBottom w:val="0"/>
      <w:divBdr>
        <w:top w:val="none" w:sz="0" w:space="0" w:color="auto"/>
        <w:left w:val="none" w:sz="0" w:space="0" w:color="auto"/>
        <w:bottom w:val="none" w:sz="0" w:space="0" w:color="auto"/>
        <w:right w:val="none" w:sz="0" w:space="0" w:color="auto"/>
      </w:divBdr>
    </w:div>
    <w:div w:id="1012755108">
      <w:bodyDiv w:val="1"/>
      <w:marLeft w:val="0"/>
      <w:marRight w:val="0"/>
      <w:marTop w:val="0"/>
      <w:marBottom w:val="0"/>
      <w:divBdr>
        <w:top w:val="none" w:sz="0" w:space="0" w:color="auto"/>
        <w:left w:val="none" w:sz="0" w:space="0" w:color="auto"/>
        <w:bottom w:val="none" w:sz="0" w:space="0" w:color="auto"/>
        <w:right w:val="none" w:sz="0" w:space="0" w:color="auto"/>
      </w:divBdr>
    </w:div>
    <w:div w:id="1030299733">
      <w:bodyDiv w:val="1"/>
      <w:marLeft w:val="0"/>
      <w:marRight w:val="0"/>
      <w:marTop w:val="0"/>
      <w:marBottom w:val="0"/>
      <w:divBdr>
        <w:top w:val="none" w:sz="0" w:space="0" w:color="auto"/>
        <w:left w:val="none" w:sz="0" w:space="0" w:color="auto"/>
        <w:bottom w:val="none" w:sz="0" w:space="0" w:color="auto"/>
        <w:right w:val="none" w:sz="0" w:space="0" w:color="auto"/>
      </w:divBdr>
      <w:divsChild>
        <w:div w:id="570429746">
          <w:marLeft w:val="0"/>
          <w:marRight w:val="0"/>
          <w:marTop w:val="0"/>
          <w:marBottom w:val="0"/>
          <w:divBdr>
            <w:top w:val="none" w:sz="0" w:space="0" w:color="auto"/>
            <w:left w:val="none" w:sz="0" w:space="0" w:color="auto"/>
            <w:bottom w:val="none" w:sz="0" w:space="0" w:color="auto"/>
            <w:right w:val="none" w:sz="0" w:space="0" w:color="auto"/>
          </w:divBdr>
        </w:div>
      </w:divsChild>
    </w:div>
    <w:div w:id="1061516805">
      <w:bodyDiv w:val="1"/>
      <w:marLeft w:val="0"/>
      <w:marRight w:val="0"/>
      <w:marTop w:val="0"/>
      <w:marBottom w:val="0"/>
      <w:divBdr>
        <w:top w:val="none" w:sz="0" w:space="0" w:color="auto"/>
        <w:left w:val="none" w:sz="0" w:space="0" w:color="auto"/>
        <w:bottom w:val="none" w:sz="0" w:space="0" w:color="auto"/>
        <w:right w:val="none" w:sz="0" w:space="0" w:color="auto"/>
      </w:divBdr>
      <w:divsChild>
        <w:div w:id="386032285">
          <w:marLeft w:val="0"/>
          <w:marRight w:val="0"/>
          <w:marTop w:val="0"/>
          <w:marBottom w:val="0"/>
          <w:divBdr>
            <w:top w:val="none" w:sz="0" w:space="0" w:color="auto"/>
            <w:left w:val="none" w:sz="0" w:space="0" w:color="auto"/>
            <w:bottom w:val="none" w:sz="0" w:space="0" w:color="auto"/>
            <w:right w:val="none" w:sz="0" w:space="0" w:color="auto"/>
          </w:divBdr>
        </w:div>
      </w:divsChild>
    </w:div>
    <w:div w:id="1107312072">
      <w:bodyDiv w:val="1"/>
      <w:marLeft w:val="0"/>
      <w:marRight w:val="0"/>
      <w:marTop w:val="0"/>
      <w:marBottom w:val="0"/>
      <w:divBdr>
        <w:top w:val="none" w:sz="0" w:space="0" w:color="auto"/>
        <w:left w:val="none" w:sz="0" w:space="0" w:color="auto"/>
        <w:bottom w:val="none" w:sz="0" w:space="0" w:color="auto"/>
        <w:right w:val="none" w:sz="0" w:space="0" w:color="auto"/>
      </w:divBdr>
    </w:div>
    <w:div w:id="1120342744">
      <w:bodyDiv w:val="1"/>
      <w:marLeft w:val="0"/>
      <w:marRight w:val="0"/>
      <w:marTop w:val="0"/>
      <w:marBottom w:val="0"/>
      <w:divBdr>
        <w:top w:val="none" w:sz="0" w:space="0" w:color="auto"/>
        <w:left w:val="none" w:sz="0" w:space="0" w:color="auto"/>
        <w:bottom w:val="none" w:sz="0" w:space="0" w:color="auto"/>
        <w:right w:val="none" w:sz="0" w:space="0" w:color="auto"/>
      </w:divBdr>
    </w:div>
    <w:div w:id="1220634797">
      <w:bodyDiv w:val="1"/>
      <w:marLeft w:val="0"/>
      <w:marRight w:val="0"/>
      <w:marTop w:val="0"/>
      <w:marBottom w:val="0"/>
      <w:divBdr>
        <w:top w:val="none" w:sz="0" w:space="0" w:color="auto"/>
        <w:left w:val="none" w:sz="0" w:space="0" w:color="auto"/>
        <w:bottom w:val="none" w:sz="0" w:space="0" w:color="auto"/>
        <w:right w:val="none" w:sz="0" w:space="0" w:color="auto"/>
      </w:divBdr>
      <w:divsChild>
        <w:div w:id="995572318">
          <w:marLeft w:val="0"/>
          <w:marRight w:val="0"/>
          <w:marTop w:val="0"/>
          <w:marBottom w:val="0"/>
          <w:divBdr>
            <w:top w:val="none" w:sz="0" w:space="0" w:color="auto"/>
            <w:left w:val="none" w:sz="0" w:space="0" w:color="auto"/>
            <w:bottom w:val="none" w:sz="0" w:space="0" w:color="auto"/>
            <w:right w:val="none" w:sz="0" w:space="0" w:color="auto"/>
          </w:divBdr>
        </w:div>
      </w:divsChild>
    </w:div>
    <w:div w:id="1263535643">
      <w:bodyDiv w:val="1"/>
      <w:marLeft w:val="0"/>
      <w:marRight w:val="0"/>
      <w:marTop w:val="0"/>
      <w:marBottom w:val="0"/>
      <w:divBdr>
        <w:top w:val="none" w:sz="0" w:space="0" w:color="auto"/>
        <w:left w:val="none" w:sz="0" w:space="0" w:color="auto"/>
        <w:bottom w:val="none" w:sz="0" w:space="0" w:color="auto"/>
        <w:right w:val="none" w:sz="0" w:space="0" w:color="auto"/>
      </w:divBdr>
      <w:divsChild>
        <w:div w:id="1217157238">
          <w:marLeft w:val="0"/>
          <w:marRight w:val="0"/>
          <w:marTop w:val="0"/>
          <w:marBottom w:val="0"/>
          <w:divBdr>
            <w:top w:val="none" w:sz="0" w:space="0" w:color="auto"/>
            <w:left w:val="none" w:sz="0" w:space="0" w:color="auto"/>
            <w:bottom w:val="none" w:sz="0" w:space="0" w:color="auto"/>
            <w:right w:val="none" w:sz="0" w:space="0" w:color="auto"/>
          </w:divBdr>
        </w:div>
      </w:divsChild>
    </w:div>
    <w:div w:id="1264875215">
      <w:bodyDiv w:val="1"/>
      <w:marLeft w:val="0"/>
      <w:marRight w:val="0"/>
      <w:marTop w:val="0"/>
      <w:marBottom w:val="0"/>
      <w:divBdr>
        <w:top w:val="none" w:sz="0" w:space="0" w:color="auto"/>
        <w:left w:val="none" w:sz="0" w:space="0" w:color="auto"/>
        <w:bottom w:val="none" w:sz="0" w:space="0" w:color="auto"/>
        <w:right w:val="none" w:sz="0" w:space="0" w:color="auto"/>
      </w:divBdr>
      <w:divsChild>
        <w:div w:id="19015951">
          <w:marLeft w:val="0"/>
          <w:marRight w:val="0"/>
          <w:marTop w:val="0"/>
          <w:marBottom w:val="0"/>
          <w:divBdr>
            <w:top w:val="none" w:sz="0" w:space="0" w:color="auto"/>
            <w:left w:val="none" w:sz="0" w:space="0" w:color="auto"/>
            <w:bottom w:val="none" w:sz="0" w:space="0" w:color="auto"/>
            <w:right w:val="none" w:sz="0" w:space="0" w:color="auto"/>
          </w:divBdr>
        </w:div>
      </w:divsChild>
    </w:div>
    <w:div w:id="1274436331">
      <w:bodyDiv w:val="1"/>
      <w:marLeft w:val="0"/>
      <w:marRight w:val="0"/>
      <w:marTop w:val="0"/>
      <w:marBottom w:val="0"/>
      <w:divBdr>
        <w:top w:val="none" w:sz="0" w:space="0" w:color="auto"/>
        <w:left w:val="none" w:sz="0" w:space="0" w:color="auto"/>
        <w:bottom w:val="none" w:sz="0" w:space="0" w:color="auto"/>
        <w:right w:val="none" w:sz="0" w:space="0" w:color="auto"/>
      </w:divBdr>
    </w:div>
    <w:div w:id="1288009141">
      <w:bodyDiv w:val="1"/>
      <w:marLeft w:val="0"/>
      <w:marRight w:val="0"/>
      <w:marTop w:val="0"/>
      <w:marBottom w:val="0"/>
      <w:divBdr>
        <w:top w:val="none" w:sz="0" w:space="0" w:color="auto"/>
        <w:left w:val="none" w:sz="0" w:space="0" w:color="auto"/>
        <w:bottom w:val="none" w:sz="0" w:space="0" w:color="auto"/>
        <w:right w:val="none" w:sz="0" w:space="0" w:color="auto"/>
      </w:divBdr>
    </w:div>
    <w:div w:id="1295134735">
      <w:bodyDiv w:val="1"/>
      <w:marLeft w:val="0"/>
      <w:marRight w:val="0"/>
      <w:marTop w:val="0"/>
      <w:marBottom w:val="0"/>
      <w:divBdr>
        <w:top w:val="none" w:sz="0" w:space="0" w:color="auto"/>
        <w:left w:val="none" w:sz="0" w:space="0" w:color="auto"/>
        <w:bottom w:val="none" w:sz="0" w:space="0" w:color="auto"/>
        <w:right w:val="none" w:sz="0" w:space="0" w:color="auto"/>
      </w:divBdr>
    </w:div>
    <w:div w:id="1347245545">
      <w:bodyDiv w:val="1"/>
      <w:marLeft w:val="0"/>
      <w:marRight w:val="0"/>
      <w:marTop w:val="0"/>
      <w:marBottom w:val="0"/>
      <w:divBdr>
        <w:top w:val="none" w:sz="0" w:space="0" w:color="auto"/>
        <w:left w:val="none" w:sz="0" w:space="0" w:color="auto"/>
        <w:bottom w:val="none" w:sz="0" w:space="0" w:color="auto"/>
        <w:right w:val="none" w:sz="0" w:space="0" w:color="auto"/>
      </w:divBdr>
      <w:divsChild>
        <w:div w:id="1886599778">
          <w:marLeft w:val="0"/>
          <w:marRight w:val="0"/>
          <w:marTop w:val="0"/>
          <w:marBottom w:val="0"/>
          <w:divBdr>
            <w:top w:val="none" w:sz="0" w:space="0" w:color="auto"/>
            <w:left w:val="none" w:sz="0" w:space="0" w:color="auto"/>
            <w:bottom w:val="none" w:sz="0" w:space="0" w:color="auto"/>
            <w:right w:val="none" w:sz="0" w:space="0" w:color="auto"/>
          </w:divBdr>
        </w:div>
      </w:divsChild>
    </w:div>
    <w:div w:id="1395081970">
      <w:bodyDiv w:val="1"/>
      <w:marLeft w:val="0"/>
      <w:marRight w:val="0"/>
      <w:marTop w:val="0"/>
      <w:marBottom w:val="0"/>
      <w:divBdr>
        <w:top w:val="none" w:sz="0" w:space="0" w:color="auto"/>
        <w:left w:val="none" w:sz="0" w:space="0" w:color="auto"/>
        <w:bottom w:val="none" w:sz="0" w:space="0" w:color="auto"/>
        <w:right w:val="none" w:sz="0" w:space="0" w:color="auto"/>
      </w:divBdr>
      <w:divsChild>
        <w:div w:id="1070232329">
          <w:marLeft w:val="0"/>
          <w:marRight w:val="0"/>
          <w:marTop w:val="0"/>
          <w:marBottom w:val="0"/>
          <w:divBdr>
            <w:top w:val="none" w:sz="0" w:space="0" w:color="auto"/>
            <w:left w:val="none" w:sz="0" w:space="0" w:color="auto"/>
            <w:bottom w:val="none" w:sz="0" w:space="0" w:color="auto"/>
            <w:right w:val="none" w:sz="0" w:space="0" w:color="auto"/>
          </w:divBdr>
        </w:div>
      </w:divsChild>
    </w:div>
    <w:div w:id="1409038902">
      <w:bodyDiv w:val="1"/>
      <w:marLeft w:val="0"/>
      <w:marRight w:val="0"/>
      <w:marTop w:val="0"/>
      <w:marBottom w:val="0"/>
      <w:divBdr>
        <w:top w:val="none" w:sz="0" w:space="0" w:color="auto"/>
        <w:left w:val="none" w:sz="0" w:space="0" w:color="auto"/>
        <w:bottom w:val="none" w:sz="0" w:space="0" w:color="auto"/>
        <w:right w:val="none" w:sz="0" w:space="0" w:color="auto"/>
      </w:divBdr>
    </w:div>
    <w:div w:id="1454059088">
      <w:bodyDiv w:val="1"/>
      <w:marLeft w:val="0"/>
      <w:marRight w:val="0"/>
      <w:marTop w:val="0"/>
      <w:marBottom w:val="0"/>
      <w:divBdr>
        <w:top w:val="none" w:sz="0" w:space="0" w:color="auto"/>
        <w:left w:val="none" w:sz="0" w:space="0" w:color="auto"/>
        <w:bottom w:val="none" w:sz="0" w:space="0" w:color="auto"/>
        <w:right w:val="none" w:sz="0" w:space="0" w:color="auto"/>
      </w:divBdr>
    </w:div>
    <w:div w:id="1456219192">
      <w:bodyDiv w:val="1"/>
      <w:marLeft w:val="0"/>
      <w:marRight w:val="0"/>
      <w:marTop w:val="0"/>
      <w:marBottom w:val="0"/>
      <w:divBdr>
        <w:top w:val="none" w:sz="0" w:space="0" w:color="auto"/>
        <w:left w:val="none" w:sz="0" w:space="0" w:color="auto"/>
        <w:bottom w:val="none" w:sz="0" w:space="0" w:color="auto"/>
        <w:right w:val="none" w:sz="0" w:space="0" w:color="auto"/>
      </w:divBdr>
    </w:div>
    <w:div w:id="1472364313">
      <w:bodyDiv w:val="1"/>
      <w:marLeft w:val="0"/>
      <w:marRight w:val="0"/>
      <w:marTop w:val="0"/>
      <w:marBottom w:val="0"/>
      <w:divBdr>
        <w:top w:val="none" w:sz="0" w:space="0" w:color="auto"/>
        <w:left w:val="none" w:sz="0" w:space="0" w:color="auto"/>
        <w:bottom w:val="none" w:sz="0" w:space="0" w:color="auto"/>
        <w:right w:val="none" w:sz="0" w:space="0" w:color="auto"/>
      </w:divBdr>
    </w:div>
    <w:div w:id="1505583446">
      <w:bodyDiv w:val="1"/>
      <w:marLeft w:val="0"/>
      <w:marRight w:val="0"/>
      <w:marTop w:val="0"/>
      <w:marBottom w:val="0"/>
      <w:divBdr>
        <w:top w:val="none" w:sz="0" w:space="0" w:color="auto"/>
        <w:left w:val="none" w:sz="0" w:space="0" w:color="auto"/>
        <w:bottom w:val="none" w:sz="0" w:space="0" w:color="auto"/>
        <w:right w:val="none" w:sz="0" w:space="0" w:color="auto"/>
      </w:divBdr>
      <w:divsChild>
        <w:div w:id="903218999">
          <w:marLeft w:val="0"/>
          <w:marRight w:val="0"/>
          <w:marTop w:val="0"/>
          <w:marBottom w:val="0"/>
          <w:divBdr>
            <w:top w:val="none" w:sz="0" w:space="0" w:color="auto"/>
            <w:left w:val="none" w:sz="0" w:space="0" w:color="auto"/>
            <w:bottom w:val="none" w:sz="0" w:space="0" w:color="auto"/>
            <w:right w:val="none" w:sz="0" w:space="0" w:color="auto"/>
          </w:divBdr>
        </w:div>
      </w:divsChild>
    </w:div>
    <w:div w:id="1509754139">
      <w:bodyDiv w:val="1"/>
      <w:marLeft w:val="0"/>
      <w:marRight w:val="0"/>
      <w:marTop w:val="0"/>
      <w:marBottom w:val="0"/>
      <w:divBdr>
        <w:top w:val="none" w:sz="0" w:space="0" w:color="auto"/>
        <w:left w:val="none" w:sz="0" w:space="0" w:color="auto"/>
        <w:bottom w:val="none" w:sz="0" w:space="0" w:color="auto"/>
        <w:right w:val="none" w:sz="0" w:space="0" w:color="auto"/>
      </w:divBdr>
    </w:div>
    <w:div w:id="1571503601">
      <w:bodyDiv w:val="1"/>
      <w:marLeft w:val="0"/>
      <w:marRight w:val="0"/>
      <w:marTop w:val="0"/>
      <w:marBottom w:val="0"/>
      <w:divBdr>
        <w:top w:val="none" w:sz="0" w:space="0" w:color="auto"/>
        <w:left w:val="none" w:sz="0" w:space="0" w:color="auto"/>
        <w:bottom w:val="none" w:sz="0" w:space="0" w:color="auto"/>
        <w:right w:val="none" w:sz="0" w:space="0" w:color="auto"/>
      </w:divBdr>
    </w:div>
    <w:div w:id="1590970238">
      <w:bodyDiv w:val="1"/>
      <w:marLeft w:val="0"/>
      <w:marRight w:val="0"/>
      <w:marTop w:val="0"/>
      <w:marBottom w:val="0"/>
      <w:divBdr>
        <w:top w:val="none" w:sz="0" w:space="0" w:color="auto"/>
        <w:left w:val="none" w:sz="0" w:space="0" w:color="auto"/>
        <w:bottom w:val="none" w:sz="0" w:space="0" w:color="auto"/>
        <w:right w:val="none" w:sz="0" w:space="0" w:color="auto"/>
      </w:divBdr>
      <w:divsChild>
        <w:div w:id="771903473">
          <w:marLeft w:val="0"/>
          <w:marRight w:val="0"/>
          <w:marTop w:val="0"/>
          <w:marBottom w:val="0"/>
          <w:divBdr>
            <w:top w:val="none" w:sz="0" w:space="0" w:color="auto"/>
            <w:left w:val="none" w:sz="0" w:space="0" w:color="auto"/>
            <w:bottom w:val="none" w:sz="0" w:space="0" w:color="auto"/>
            <w:right w:val="none" w:sz="0" w:space="0" w:color="auto"/>
          </w:divBdr>
        </w:div>
      </w:divsChild>
    </w:div>
    <w:div w:id="1593584445">
      <w:bodyDiv w:val="1"/>
      <w:marLeft w:val="0"/>
      <w:marRight w:val="0"/>
      <w:marTop w:val="0"/>
      <w:marBottom w:val="0"/>
      <w:divBdr>
        <w:top w:val="none" w:sz="0" w:space="0" w:color="auto"/>
        <w:left w:val="none" w:sz="0" w:space="0" w:color="auto"/>
        <w:bottom w:val="none" w:sz="0" w:space="0" w:color="auto"/>
        <w:right w:val="none" w:sz="0" w:space="0" w:color="auto"/>
      </w:divBdr>
      <w:divsChild>
        <w:div w:id="1291278808">
          <w:marLeft w:val="0"/>
          <w:marRight w:val="0"/>
          <w:marTop w:val="0"/>
          <w:marBottom w:val="0"/>
          <w:divBdr>
            <w:top w:val="none" w:sz="0" w:space="0" w:color="auto"/>
            <w:left w:val="none" w:sz="0" w:space="0" w:color="auto"/>
            <w:bottom w:val="none" w:sz="0" w:space="0" w:color="auto"/>
            <w:right w:val="none" w:sz="0" w:space="0" w:color="auto"/>
          </w:divBdr>
        </w:div>
      </w:divsChild>
    </w:div>
    <w:div w:id="1636987582">
      <w:bodyDiv w:val="1"/>
      <w:marLeft w:val="0"/>
      <w:marRight w:val="0"/>
      <w:marTop w:val="0"/>
      <w:marBottom w:val="0"/>
      <w:divBdr>
        <w:top w:val="none" w:sz="0" w:space="0" w:color="auto"/>
        <w:left w:val="none" w:sz="0" w:space="0" w:color="auto"/>
        <w:bottom w:val="none" w:sz="0" w:space="0" w:color="auto"/>
        <w:right w:val="none" w:sz="0" w:space="0" w:color="auto"/>
      </w:divBdr>
      <w:divsChild>
        <w:div w:id="393701436">
          <w:marLeft w:val="0"/>
          <w:marRight w:val="0"/>
          <w:marTop w:val="0"/>
          <w:marBottom w:val="0"/>
          <w:divBdr>
            <w:top w:val="none" w:sz="0" w:space="0" w:color="auto"/>
            <w:left w:val="none" w:sz="0" w:space="0" w:color="auto"/>
            <w:bottom w:val="none" w:sz="0" w:space="0" w:color="auto"/>
            <w:right w:val="none" w:sz="0" w:space="0" w:color="auto"/>
          </w:divBdr>
        </w:div>
      </w:divsChild>
    </w:div>
    <w:div w:id="1711342974">
      <w:bodyDiv w:val="1"/>
      <w:marLeft w:val="0"/>
      <w:marRight w:val="0"/>
      <w:marTop w:val="0"/>
      <w:marBottom w:val="0"/>
      <w:divBdr>
        <w:top w:val="none" w:sz="0" w:space="0" w:color="auto"/>
        <w:left w:val="none" w:sz="0" w:space="0" w:color="auto"/>
        <w:bottom w:val="none" w:sz="0" w:space="0" w:color="auto"/>
        <w:right w:val="none" w:sz="0" w:space="0" w:color="auto"/>
      </w:divBdr>
      <w:divsChild>
        <w:div w:id="1649699780">
          <w:marLeft w:val="0"/>
          <w:marRight w:val="0"/>
          <w:marTop w:val="0"/>
          <w:marBottom w:val="0"/>
          <w:divBdr>
            <w:top w:val="none" w:sz="0" w:space="0" w:color="auto"/>
            <w:left w:val="none" w:sz="0" w:space="0" w:color="auto"/>
            <w:bottom w:val="none" w:sz="0" w:space="0" w:color="auto"/>
            <w:right w:val="none" w:sz="0" w:space="0" w:color="auto"/>
          </w:divBdr>
        </w:div>
      </w:divsChild>
    </w:div>
    <w:div w:id="1765148242">
      <w:bodyDiv w:val="1"/>
      <w:marLeft w:val="0"/>
      <w:marRight w:val="0"/>
      <w:marTop w:val="0"/>
      <w:marBottom w:val="0"/>
      <w:divBdr>
        <w:top w:val="none" w:sz="0" w:space="0" w:color="auto"/>
        <w:left w:val="none" w:sz="0" w:space="0" w:color="auto"/>
        <w:bottom w:val="none" w:sz="0" w:space="0" w:color="auto"/>
        <w:right w:val="none" w:sz="0" w:space="0" w:color="auto"/>
      </w:divBdr>
      <w:divsChild>
        <w:div w:id="1134130190">
          <w:marLeft w:val="0"/>
          <w:marRight w:val="0"/>
          <w:marTop w:val="0"/>
          <w:marBottom w:val="0"/>
          <w:divBdr>
            <w:top w:val="none" w:sz="0" w:space="0" w:color="auto"/>
            <w:left w:val="none" w:sz="0" w:space="0" w:color="auto"/>
            <w:bottom w:val="none" w:sz="0" w:space="0" w:color="auto"/>
            <w:right w:val="none" w:sz="0" w:space="0" w:color="auto"/>
          </w:divBdr>
        </w:div>
      </w:divsChild>
    </w:div>
    <w:div w:id="1827744829">
      <w:bodyDiv w:val="1"/>
      <w:marLeft w:val="0"/>
      <w:marRight w:val="0"/>
      <w:marTop w:val="0"/>
      <w:marBottom w:val="0"/>
      <w:divBdr>
        <w:top w:val="none" w:sz="0" w:space="0" w:color="auto"/>
        <w:left w:val="none" w:sz="0" w:space="0" w:color="auto"/>
        <w:bottom w:val="none" w:sz="0" w:space="0" w:color="auto"/>
        <w:right w:val="none" w:sz="0" w:space="0" w:color="auto"/>
      </w:divBdr>
      <w:divsChild>
        <w:div w:id="646397706">
          <w:marLeft w:val="0"/>
          <w:marRight w:val="0"/>
          <w:marTop w:val="0"/>
          <w:marBottom w:val="0"/>
          <w:divBdr>
            <w:top w:val="none" w:sz="0" w:space="0" w:color="auto"/>
            <w:left w:val="none" w:sz="0" w:space="0" w:color="auto"/>
            <w:bottom w:val="none" w:sz="0" w:space="0" w:color="auto"/>
            <w:right w:val="none" w:sz="0" w:space="0" w:color="auto"/>
          </w:divBdr>
        </w:div>
      </w:divsChild>
    </w:div>
    <w:div w:id="1830172728">
      <w:bodyDiv w:val="1"/>
      <w:marLeft w:val="0"/>
      <w:marRight w:val="0"/>
      <w:marTop w:val="0"/>
      <w:marBottom w:val="0"/>
      <w:divBdr>
        <w:top w:val="none" w:sz="0" w:space="0" w:color="auto"/>
        <w:left w:val="none" w:sz="0" w:space="0" w:color="auto"/>
        <w:bottom w:val="none" w:sz="0" w:space="0" w:color="auto"/>
        <w:right w:val="none" w:sz="0" w:space="0" w:color="auto"/>
      </w:divBdr>
      <w:divsChild>
        <w:div w:id="1342244941">
          <w:marLeft w:val="0"/>
          <w:marRight w:val="0"/>
          <w:marTop w:val="0"/>
          <w:marBottom w:val="0"/>
          <w:divBdr>
            <w:top w:val="none" w:sz="0" w:space="0" w:color="auto"/>
            <w:left w:val="none" w:sz="0" w:space="0" w:color="auto"/>
            <w:bottom w:val="none" w:sz="0" w:space="0" w:color="auto"/>
            <w:right w:val="none" w:sz="0" w:space="0" w:color="auto"/>
          </w:divBdr>
        </w:div>
      </w:divsChild>
    </w:div>
    <w:div w:id="1877160835">
      <w:bodyDiv w:val="1"/>
      <w:marLeft w:val="0"/>
      <w:marRight w:val="0"/>
      <w:marTop w:val="0"/>
      <w:marBottom w:val="0"/>
      <w:divBdr>
        <w:top w:val="none" w:sz="0" w:space="0" w:color="auto"/>
        <w:left w:val="none" w:sz="0" w:space="0" w:color="auto"/>
        <w:bottom w:val="none" w:sz="0" w:space="0" w:color="auto"/>
        <w:right w:val="none" w:sz="0" w:space="0" w:color="auto"/>
      </w:divBdr>
    </w:div>
    <w:div w:id="1899702897">
      <w:bodyDiv w:val="1"/>
      <w:marLeft w:val="0"/>
      <w:marRight w:val="0"/>
      <w:marTop w:val="0"/>
      <w:marBottom w:val="0"/>
      <w:divBdr>
        <w:top w:val="none" w:sz="0" w:space="0" w:color="auto"/>
        <w:left w:val="none" w:sz="0" w:space="0" w:color="auto"/>
        <w:bottom w:val="none" w:sz="0" w:space="0" w:color="auto"/>
        <w:right w:val="none" w:sz="0" w:space="0" w:color="auto"/>
      </w:divBdr>
    </w:div>
    <w:div w:id="1906069696">
      <w:bodyDiv w:val="1"/>
      <w:marLeft w:val="0"/>
      <w:marRight w:val="0"/>
      <w:marTop w:val="0"/>
      <w:marBottom w:val="0"/>
      <w:divBdr>
        <w:top w:val="none" w:sz="0" w:space="0" w:color="auto"/>
        <w:left w:val="none" w:sz="0" w:space="0" w:color="auto"/>
        <w:bottom w:val="none" w:sz="0" w:space="0" w:color="auto"/>
        <w:right w:val="none" w:sz="0" w:space="0" w:color="auto"/>
      </w:divBdr>
      <w:divsChild>
        <w:div w:id="1412851328">
          <w:marLeft w:val="0"/>
          <w:marRight w:val="0"/>
          <w:marTop w:val="0"/>
          <w:marBottom w:val="0"/>
          <w:divBdr>
            <w:top w:val="none" w:sz="0" w:space="0" w:color="auto"/>
            <w:left w:val="none" w:sz="0" w:space="0" w:color="auto"/>
            <w:bottom w:val="none" w:sz="0" w:space="0" w:color="auto"/>
            <w:right w:val="none" w:sz="0" w:space="0" w:color="auto"/>
          </w:divBdr>
        </w:div>
      </w:divsChild>
    </w:div>
    <w:div w:id="1916695425">
      <w:bodyDiv w:val="1"/>
      <w:marLeft w:val="0"/>
      <w:marRight w:val="0"/>
      <w:marTop w:val="0"/>
      <w:marBottom w:val="0"/>
      <w:divBdr>
        <w:top w:val="none" w:sz="0" w:space="0" w:color="auto"/>
        <w:left w:val="none" w:sz="0" w:space="0" w:color="auto"/>
        <w:bottom w:val="none" w:sz="0" w:space="0" w:color="auto"/>
        <w:right w:val="none" w:sz="0" w:space="0" w:color="auto"/>
      </w:divBdr>
      <w:divsChild>
        <w:div w:id="1925020313">
          <w:marLeft w:val="0"/>
          <w:marRight w:val="0"/>
          <w:marTop w:val="0"/>
          <w:marBottom w:val="0"/>
          <w:divBdr>
            <w:top w:val="none" w:sz="0" w:space="0" w:color="auto"/>
            <w:left w:val="none" w:sz="0" w:space="0" w:color="auto"/>
            <w:bottom w:val="none" w:sz="0" w:space="0" w:color="auto"/>
            <w:right w:val="none" w:sz="0" w:space="0" w:color="auto"/>
          </w:divBdr>
        </w:div>
      </w:divsChild>
    </w:div>
    <w:div w:id="1919973690">
      <w:bodyDiv w:val="1"/>
      <w:marLeft w:val="0"/>
      <w:marRight w:val="0"/>
      <w:marTop w:val="0"/>
      <w:marBottom w:val="0"/>
      <w:divBdr>
        <w:top w:val="none" w:sz="0" w:space="0" w:color="auto"/>
        <w:left w:val="none" w:sz="0" w:space="0" w:color="auto"/>
        <w:bottom w:val="none" w:sz="0" w:space="0" w:color="auto"/>
        <w:right w:val="none" w:sz="0" w:space="0" w:color="auto"/>
      </w:divBdr>
      <w:divsChild>
        <w:div w:id="1507136463">
          <w:marLeft w:val="0"/>
          <w:marRight w:val="0"/>
          <w:marTop w:val="0"/>
          <w:marBottom w:val="0"/>
          <w:divBdr>
            <w:top w:val="none" w:sz="0" w:space="0" w:color="auto"/>
            <w:left w:val="none" w:sz="0" w:space="0" w:color="auto"/>
            <w:bottom w:val="none" w:sz="0" w:space="0" w:color="auto"/>
            <w:right w:val="none" w:sz="0" w:space="0" w:color="auto"/>
          </w:divBdr>
        </w:div>
      </w:divsChild>
    </w:div>
    <w:div w:id="1923835450">
      <w:bodyDiv w:val="1"/>
      <w:marLeft w:val="0"/>
      <w:marRight w:val="0"/>
      <w:marTop w:val="0"/>
      <w:marBottom w:val="0"/>
      <w:divBdr>
        <w:top w:val="none" w:sz="0" w:space="0" w:color="auto"/>
        <w:left w:val="none" w:sz="0" w:space="0" w:color="auto"/>
        <w:bottom w:val="none" w:sz="0" w:space="0" w:color="auto"/>
        <w:right w:val="none" w:sz="0" w:space="0" w:color="auto"/>
      </w:divBdr>
    </w:div>
    <w:div w:id="1926376711">
      <w:bodyDiv w:val="1"/>
      <w:marLeft w:val="0"/>
      <w:marRight w:val="0"/>
      <w:marTop w:val="0"/>
      <w:marBottom w:val="0"/>
      <w:divBdr>
        <w:top w:val="none" w:sz="0" w:space="0" w:color="auto"/>
        <w:left w:val="none" w:sz="0" w:space="0" w:color="auto"/>
        <w:bottom w:val="none" w:sz="0" w:space="0" w:color="auto"/>
        <w:right w:val="none" w:sz="0" w:space="0" w:color="auto"/>
      </w:divBdr>
      <w:divsChild>
        <w:div w:id="1220751239">
          <w:marLeft w:val="0"/>
          <w:marRight w:val="0"/>
          <w:marTop w:val="0"/>
          <w:marBottom w:val="0"/>
          <w:divBdr>
            <w:top w:val="none" w:sz="0" w:space="0" w:color="auto"/>
            <w:left w:val="none" w:sz="0" w:space="0" w:color="auto"/>
            <w:bottom w:val="none" w:sz="0" w:space="0" w:color="auto"/>
            <w:right w:val="none" w:sz="0" w:space="0" w:color="auto"/>
          </w:divBdr>
        </w:div>
      </w:divsChild>
    </w:div>
    <w:div w:id="1949652480">
      <w:bodyDiv w:val="1"/>
      <w:marLeft w:val="0"/>
      <w:marRight w:val="0"/>
      <w:marTop w:val="0"/>
      <w:marBottom w:val="0"/>
      <w:divBdr>
        <w:top w:val="none" w:sz="0" w:space="0" w:color="auto"/>
        <w:left w:val="none" w:sz="0" w:space="0" w:color="auto"/>
        <w:bottom w:val="none" w:sz="0" w:space="0" w:color="auto"/>
        <w:right w:val="none" w:sz="0" w:space="0" w:color="auto"/>
      </w:divBdr>
      <w:divsChild>
        <w:div w:id="1816097419">
          <w:marLeft w:val="0"/>
          <w:marRight w:val="0"/>
          <w:marTop w:val="0"/>
          <w:marBottom w:val="0"/>
          <w:divBdr>
            <w:top w:val="none" w:sz="0" w:space="0" w:color="auto"/>
            <w:left w:val="none" w:sz="0" w:space="0" w:color="auto"/>
            <w:bottom w:val="none" w:sz="0" w:space="0" w:color="auto"/>
            <w:right w:val="none" w:sz="0" w:space="0" w:color="auto"/>
          </w:divBdr>
        </w:div>
      </w:divsChild>
    </w:div>
    <w:div w:id="1973443949">
      <w:bodyDiv w:val="1"/>
      <w:marLeft w:val="0"/>
      <w:marRight w:val="0"/>
      <w:marTop w:val="0"/>
      <w:marBottom w:val="0"/>
      <w:divBdr>
        <w:top w:val="none" w:sz="0" w:space="0" w:color="auto"/>
        <w:left w:val="none" w:sz="0" w:space="0" w:color="auto"/>
        <w:bottom w:val="none" w:sz="0" w:space="0" w:color="auto"/>
        <w:right w:val="none" w:sz="0" w:space="0" w:color="auto"/>
      </w:divBdr>
      <w:divsChild>
        <w:div w:id="2080013060">
          <w:marLeft w:val="0"/>
          <w:marRight w:val="0"/>
          <w:marTop w:val="0"/>
          <w:marBottom w:val="0"/>
          <w:divBdr>
            <w:top w:val="none" w:sz="0" w:space="0" w:color="auto"/>
            <w:left w:val="none" w:sz="0" w:space="0" w:color="auto"/>
            <w:bottom w:val="none" w:sz="0" w:space="0" w:color="auto"/>
            <w:right w:val="none" w:sz="0" w:space="0" w:color="auto"/>
          </w:divBdr>
        </w:div>
      </w:divsChild>
    </w:div>
    <w:div w:id="1981839604">
      <w:bodyDiv w:val="1"/>
      <w:marLeft w:val="0"/>
      <w:marRight w:val="0"/>
      <w:marTop w:val="0"/>
      <w:marBottom w:val="0"/>
      <w:divBdr>
        <w:top w:val="none" w:sz="0" w:space="0" w:color="auto"/>
        <w:left w:val="none" w:sz="0" w:space="0" w:color="auto"/>
        <w:bottom w:val="none" w:sz="0" w:space="0" w:color="auto"/>
        <w:right w:val="none" w:sz="0" w:space="0" w:color="auto"/>
      </w:divBdr>
      <w:divsChild>
        <w:div w:id="1689259659">
          <w:marLeft w:val="0"/>
          <w:marRight w:val="0"/>
          <w:marTop w:val="0"/>
          <w:marBottom w:val="0"/>
          <w:divBdr>
            <w:top w:val="none" w:sz="0" w:space="0" w:color="auto"/>
            <w:left w:val="none" w:sz="0" w:space="0" w:color="auto"/>
            <w:bottom w:val="none" w:sz="0" w:space="0" w:color="auto"/>
            <w:right w:val="none" w:sz="0" w:space="0" w:color="auto"/>
          </w:divBdr>
        </w:div>
      </w:divsChild>
    </w:div>
    <w:div w:id="2087415581">
      <w:bodyDiv w:val="1"/>
      <w:marLeft w:val="0"/>
      <w:marRight w:val="0"/>
      <w:marTop w:val="0"/>
      <w:marBottom w:val="0"/>
      <w:divBdr>
        <w:top w:val="none" w:sz="0" w:space="0" w:color="auto"/>
        <w:left w:val="none" w:sz="0" w:space="0" w:color="auto"/>
        <w:bottom w:val="none" w:sz="0" w:space="0" w:color="auto"/>
        <w:right w:val="none" w:sz="0" w:space="0" w:color="auto"/>
      </w:divBdr>
      <w:divsChild>
        <w:div w:id="1440753713">
          <w:marLeft w:val="0"/>
          <w:marRight w:val="0"/>
          <w:marTop w:val="0"/>
          <w:marBottom w:val="0"/>
          <w:divBdr>
            <w:top w:val="none" w:sz="0" w:space="0" w:color="auto"/>
            <w:left w:val="none" w:sz="0" w:space="0" w:color="auto"/>
            <w:bottom w:val="none" w:sz="0" w:space="0" w:color="auto"/>
            <w:right w:val="none" w:sz="0" w:space="0" w:color="auto"/>
          </w:divBdr>
        </w:div>
      </w:divsChild>
    </w:div>
    <w:div w:id="2108773485">
      <w:bodyDiv w:val="1"/>
      <w:marLeft w:val="0"/>
      <w:marRight w:val="0"/>
      <w:marTop w:val="0"/>
      <w:marBottom w:val="0"/>
      <w:divBdr>
        <w:top w:val="none" w:sz="0" w:space="0" w:color="auto"/>
        <w:left w:val="none" w:sz="0" w:space="0" w:color="auto"/>
        <w:bottom w:val="none" w:sz="0" w:space="0" w:color="auto"/>
        <w:right w:val="none" w:sz="0" w:space="0" w:color="auto"/>
      </w:divBdr>
      <w:divsChild>
        <w:div w:id="1861897518">
          <w:marLeft w:val="0"/>
          <w:marRight w:val="0"/>
          <w:marTop w:val="0"/>
          <w:marBottom w:val="0"/>
          <w:divBdr>
            <w:top w:val="none" w:sz="0" w:space="0" w:color="auto"/>
            <w:left w:val="none" w:sz="0" w:space="0" w:color="auto"/>
            <w:bottom w:val="none" w:sz="0" w:space="0" w:color="auto"/>
            <w:right w:val="none" w:sz="0" w:space="0" w:color="auto"/>
          </w:divBdr>
        </w:div>
      </w:divsChild>
    </w:div>
    <w:div w:id="21386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pib.gov.in"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tci.cornell.edu/wp-content/uploads/2024/10/TCI-FPO-Numbers_Policy-Brief.pdf" TargetMode="External"/><Relationship Id="rId10" Type="http://schemas.openxmlformats.org/officeDocument/2006/relationships/diagramQuickStyle" Target="diagrams/quickStyle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hyperlink" Target="https://pib.gov.i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avan\Downloads\pavan%20sir%20graphs%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avan\Downloads\pavan%20sir%20graphs%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Times New Roman" pitchFamily="18" charset="0"/>
                <a:ea typeface="+mn-ea"/>
                <a:cs typeface="+mn-cs"/>
              </a:defRPr>
            </a:pPr>
            <a:r>
              <a:rPr lang="en-US" baseline="0">
                <a:latin typeface="Times New Roman" pitchFamily="18" charset="0"/>
              </a:rPr>
              <a:t>44,460 FPO's formed between 2003-2024</a:t>
            </a:r>
          </a:p>
        </c:rich>
      </c:tx>
      <c:overlay val="0"/>
      <c:spPr>
        <a:noFill/>
        <a:ln>
          <a:noFill/>
        </a:ln>
        <a:effectLst/>
      </c:spPr>
    </c:title>
    <c:autoTitleDeleted val="0"/>
    <c:plotArea>
      <c:layout/>
      <c:barChart>
        <c:barDir val="col"/>
        <c:grouping val="clustered"/>
        <c:varyColors val="0"/>
        <c:ser>
          <c:idx val="0"/>
          <c:order val="0"/>
          <c:tx>
            <c:strRef>
              <c:f>Sheet1!$C$4</c:f>
              <c:strCache>
                <c:ptCount val="1"/>
                <c:pt idx="0">
                  <c:v>FPO's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Sheet1!$D$3:$Z$3</c:f>
              <c:strCach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Jan-Sept 2024</c:v>
                </c:pt>
              </c:strCache>
            </c:strRef>
          </c:cat>
          <c:val>
            <c:numRef>
              <c:f>Sheet1!$D$4:$Z$4</c:f>
              <c:numCache>
                <c:formatCode>General</c:formatCode>
                <c:ptCount val="23"/>
                <c:pt idx="0">
                  <c:v>1</c:v>
                </c:pt>
                <c:pt idx="1">
                  <c:v>15</c:v>
                </c:pt>
                <c:pt idx="2">
                  <c:v>16</c:v>
                </c:pt>
                <c:pt idx="3">
                  <c:v>36</c:v>
                </c:pt>
                <c:pt idx="4">
                  <c:v>14</c:v>
                </c:pt>
                <c:pt idx="5">
                  <c:v>30</c:v>
                </c:pt>
                <c:pt idx="6">
                  <c:v>34</c:v>
                </c:pt>
                <c:pt idx="7">
                  <c:v>44</c:v>
                </c:pt>
                <c:pt idx="8">
                  <c:v>58</c:v>
                </c:pt>
                <c:pt idx="9">
                  <c:v>119</c:v>
                </c:pt>
                <c:pt idx="10">
                  <c:v>364</c:v>
                </c:pt>
                <c:pt idx="11">
                  <c:v>495</c:v>
                </c:pt>
                <c:pt idx="12">
                  <c:v>1223</c:v>
                </c:pt>
                <c:pt idx="13">
                  <c:v>1900</c:v>
                </c:pt>
                <c:pt idx="14">
                  <c:v>1023</c:v>
                </c:pt>
                <c:pt idx="15">
                  <c:v>1249</c:v>
                </c:pt>
                <c:pt idx="16">
                  <c:v>2580</c:v>
                </c:pt>
                <c:pt idx="17">
                  <c:v>4790</c:v>
                </c:pt>
                <c:pt idx="18">
                  <c:v>9039</c:v>
                </c:pt>
                <c:pt idx="19">
                  <c:v>8851</c:v>
                </c:pt>
                <c:pt idx="20">
                  <c:v>8708</c:v>
                </c:pt>
                <c:pt idx="21">
                  <c:v>3871</c:v>
                </c:pt>
              </c:numCache>
            </c:numRef>
          </c:val>
          <c:extLst>
            <c:ext xmlns:c16="http://schemas.microsoft.com/office/drawing/2014/chart" uri="{C3380CC4-5D6E-409C-BE32-E72D297353CC}">
              <c16:uniqueId val="{00000000-AF7B-40AB-8339-E492C0DBF271}"/>
            </c:ext>
          </c:extLst>
        </c:ser>
        <c:dLbls>
          <c:showLegendKey val="0"/>
          <c:showVal val="1"/>
          <c:showCatName val="0"/>
          <c:showSerName val="0"/>
          <c:showPercent val="0"/>
          <c:showBubbleSize val="0"/>
        </c:dLbls>
        <c:gapWidth val="219"/>
        <c:overlap val="-27"/>
        <c:axId val="101888384"/>
        <c:axId val="101890304"/>
      </c:barChart>
      <c:catAx>
        <c:axId val="10188838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200">
                    <a:latin typeface="Times New Roman" pitchFamily="18" charset="0"/>
                    <a:cs typeface="Times New Roman" pitchFamily="18" charset="0"/>
                  </a:rPr>
                  <a:t>Year wise</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1890304"/>
        <c:crosses val="autoZero"/>
        <c:auto val="1"/>
        <c:lblAlgn val="ctr"/>
        <c:lblOffset val="100"/>
        <c:noMultiLvlLbl val="0"/>
      </c:catAx>
      <c:valAx>
        <c:axId val="101890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itchFamily="18" charset="0"/>
                    <a:ea typeface="+mn-ea"/>
                    <a:cs typeface="+mn-cs"/>
                  </a:defRPr>
                </a:pPr>
                <a:r>
                  <a:rPr lang="en-IN" sz="1200" baseline="0">
                    <a:latin typeface="Times New Roman" pitchFamily="18" charset="0"/>
                  </a:rPr>
                  <a:t>Number of New Incorporated FPO's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018883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200"/>
            </a:pPr>
            <a:r>
              <a:rPr lang="en-US" sz="1200"/>
              <a:t>Maharashtra, Madhya Pradesh, and Uttar Pradesh have the highest FPO numbers in the country (2003-2024)</a:t>
            </a:r>
          </a:p>
        </c:rich>
      </c:tx>
      <c:overlay val="0"/>
      <c:spPr>
        <a:noFill/>
        <a:ln>
          <a:noFill/>
        </a:ln>
        <a:effectLst/>
      </c:spPr>
    </c:title>
    <c:autoTitleDeleted val="0"/>
    <c:plotArea>
      <c:layout>
        <c:manualLayout>
          <c:layoutTarget val="inner"/>
          <c:xMode val="edge"/>
          <c:yMode val="edge"/>
          <c:x val="5.0582132088443241E-2"/>
          <c:y val="0.12305533149130521"/>
          <c:w val="0.93049003124465224"/>
          <c:h val="0.53721086830438325"/>
        </c:manualLayout>
      </c:layout>
      <c:barChart>
        <c:barDir val="col"/>
        <c:grouping val="clustered"/>
        <c:varyColors val="0"/>
        <c:ser>
          <c:idx val="0"/>
          <c:order val="0"/>
          <c:tx>
            <c:strRef>
              <c:f>Sheet2!$B$4</c:f>
              <c:strCache>
                <c:ptCount val="1"/>
                <c:pt idx="0">
                  <c:v>number</c:v>
                </c:pt>
              </c:strCache>
            </c:strRef>
          </c:tx>
          <c:spPr>
            <a:solidFill>
              <a:schemeClr val="accent1"/>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Sheet2!$C$3:$AK$3</c:f>
              <c:strCache>
                <c:ptCount val="34"/>
                <c:pt idx="0">
                  <c:v>Maharashtra</c:v>
                </c:pt>
                <c:pt idx="1">
                  <c:v>Uttar Pradesh</c:v>
                </c:pt>
                <c:pt idx="2">
                  <c:v>Madhya Pradesh</c:v>
                </c:pt>
                <c:pt idx="3">
                  <c:v>Karnataka</c:v>
                </c:pt>
                <c:pt idx="4">
                  <c:v>Tamil Nadu</c:v>
                </c:pt>
                <c:pt idx="5">
                  <c:v>Bihar</c:v>
                </c:pt>
                <c:pt idx="6">
                  <c:v>Odisha</c:v>
                </c:pt>
                <c:pt idx="7">
                  <c:v>West Bengal</c:v>
                </c:pt>
                <c:pt idx="8">
                  <c:v>Rajasthan</c:v>
                </c:pt>
                <c:pt idx="9">
                  <c:v>Haryana</c:v>
                </c:pt>
                <c:pt idx="10">
                  <c:v>Andhra Pradesh</c:v>
                </c:pt>
                <c:pt idx="11">
                  <c:v>Assam</c:v>
                </c:pt>
                <c:pt idx="12">
                  <c:v>Telangana</c:v>
                </c:pt>
                <c:pt idx="13">
                  <c:v>Gujarat</c:v>
                </c:pt>
                <c:pt idx="14">
                  <c:v>Jharkhand</c:v>
                </c:pt>
                <c:pt idx="15">
                  <c:v>Kerala</c:v>
                </c:pt>
                <c:pt idx="16">
                  <c:v>Chattisgarh</c:v>
                </c:pt>
                <c:pt idx="17">
                  <c:v>Jammu &amp; Kashmir</c:v>
                </c:pt>
                <c:pt idx="18">
                  <c:v>Punjab</c:v>
                </c:pt>
                <c:pt idx="19">
                  <c:v>Himachal Pradesh</c:v>
                </c:pt>
                <c:pt idx="20">
                  <c:v>Manipur</c:v>
                </c:pt>
                <c:pt idx="21">
                  <c:v>Arunachal Pradesh</c:v>
                </c:pt>
                <c:pt idx="22">
                  <c:v>Uttarakhand</c:v>
                </c:pt>
                <c:pt idx="23">
                  <c:v>Nagaland</c:v>
                </c:pt>
                <c:pt idx="24">
                  <c:v>Tripura</c:v>
                </c:pt>
                <c:pt idx="25">
                  <c:v>Mizoram</c:v>
                </c:pt>
                <c:pt idx="26">
                  <c:v>Delhi</c:v>
                </c:pt>
                <c:pt idx="27">
                  <c:v>Meghalaya</c:v>
                </c:pt>
                <c:pt idx="28">
                  <c:v>Goa</c:v>
                </c:pt>
                <c:pt idx="29">
                  <c:v>Pondicherry</c:v>
                </c:pt>
                <c:pt idx="30">
                  <c:v>Andaman &amp; Nicobar Islands</c:v>
                </c:pt>
                <c:pt idx="31">
                  <c:v>Chattishgarh</c:v>
                </c:pt>
                <c:pt idx="32">
                  <c:v>Ladakh</c:v>
                </c:pt>
                <c:pt idx="33">
                  <c:v>Lakshadwep</c:v>
                </c:pt>
              </c:strCache>
            </c:strRef>
          </c:cat>
          <c:val>
            <c:numRef>
              <c:f>Sheet2!$C$4:$AK$4</c:f>
              <c:numCache>
                <c:formatCode>General</c:formatCode>
                <c:ptCount val="35"/>
                <c:pt idx="0">
                  <c:v>15369</c:v>
                </c:pt>
                <c:pt idx="1">
                  <c:v>7033</c:v>
                </c:pt>
                <c:pt idx="2">
                  <c:v>2472</c:v>
                </c:pt>
                <c:pt idx="3">
                  <c:v>1781</c:v>
                </c:pt>
                <c:pt idx="4">
                  <c:v>1752</c:v>
                </c:pt>
                <c:pt idx="5">
                  <c:v>1731</c:v>
                </c:pt>
                <c:pt idx="6">
                  <c:v>1720</c:v>
                </c:pt>
                <c:pt idx="7">
                  <c:v>1622</c:v>
                </c:pt>
                <c:pt idx="8">
                  <c:v>1437</c:v>
                </c:pt>
                <c:pt idx="9">
                  <c:v>1182</c:v>
                </c:pt>
                <c:pt idx="10">
                  <c:v>1158</c:v>
                </c:pt>
                <c:pt idx="11">
                  <c:v>1156</c:v>
                </c:pt>
                <c:pt idx="12">
                  <c:v>1026</c:v>
                </c:pt>
                <c:pt idx="13">
                  <c:v>1010</c:v>
                </c:pt>
                <c:pt idx="14">
                  <c:v>730</c:v>
                </c:pt>
                <c:pt idx="15">
                  <c:v>684</c:v>
                </c:pt>
                <c:pt idx="16">
                  <c:v>520</c:v>
                </c:pt>
                <c:pt idx="17">
                  <c:v>306</c:v>
                </c:pt>
                <c:pt idx="18">
                  <c:v>284</c:v>
                </c:pt>
                <c:pt idx="19">
                  <c:v>271</c:v>
                </c:pt>
                <c:pt idx="20">
                  <c:v>236</c:v>
                </c:pt>
                <c:pt idx="21">
                  <c:v>226</c:v>
                </c:pt>
                <c:pt idx="22">
                  <c:v>194</c:v>
                </c:pt>
                <c:pt idx="23">
                  <c:v>147</c:v>
                </c:pt>
                <c:pt idx="24">
                  <c:v>124</c:v>
                </c:pt>
                <c:pt idx="25">
                  <c:v>91</c:v>
                </c:pt>
                <c:pt idx="26">
                  <c:v>70</c:v>
                </c:pt>
                <c:pt idx="27">
                  <c:v>69</c:v>
                </c:pt>
                <c:pt idx="28">
                  <c:v>20</c:v>
                </c:pt>
                <c:pt idx="29">
                  <c:v>14</c:v>
                </c:pt>
                <c:pt idx="30">
                  <c:v>13</c:v>
                </c:pt>
                <c:pt idx="31">
                  <c:v>5</c:v>
                </c:pt>
                <c:pt idx="32">
                  <c:v>3</c:v>
                </c:pt>
                <c:pt idx="33">
                  <c:v>2</c:v>
                </c:pt>
              </c:numCache>
            </c:numRef>
          </c:val>
          <c:extLst>
            <c:ext xmlns:c16="http://schemas.microsoft.com/office/drawing/2014/chart" uri="{C3380CC4-5D6E-409C-BE32-E72D297353CC}">
              <c16:uniqueId val="{00000000-0361-49D4-B791-46C5FB1A5AFD}"/>
            </c:ext>
          </c:extLst>
        </c:ser>
        <c:dLbls>
          <c:showLegendKey val="0"/>
          <c:showVal val="1"/>
          <c:showCatName val="0"/>
          <c:showSerName val="0"/>
          <c:showPercent val="0"/>
          <c:showBubbleSize val="0"/>
        </c:dLbls>
        <c:gapWidth val="219"/>
        <c:axId val="101930880"/>
        <c:axId val="102031360"/>
      </c:barChart>
      <c:catAx>
        <c:axId val="101930880"/>
        <c:scaling>
          <c:orientation val="minMax"/>
        </c:scaling>
        <c:delete val="0"/>
        <c:axPos val="b"/>
        <c:title>
          <c:tx>
            <c:rich>
              <a:bodyPr rot="0" vert="horz"/>
              <a:lstStyle/>
              <a:p>
                <a:pPr>
                  <a:defRPr/>
                </a:pPr>
                <a:r>
                  <a:rPr lang="en-IN" sz="1200"/>
                  <a:t>States in INDIA</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sz="900" baseline="0"/>
            </a:pPr>
            <a:endParaRPr lang="en-US"/>
          </a:p>
        </c:txPr>
        <c:crossAx val="102031360"/>
        <c:crosses val="autoZero"/>
        <c:auto val="1"/>
        <c:lblAlgn val="ctr"/>
        <c:lblOffset val="100"/>
        <c:noMultiLvlLbl val="0"/>
      </c:catAx>
      <c:valAx>
        <c:axId val="102031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IN"/>
                  <a:t>Number of FPO's</a:t>
                </a:r>
              </a:p>
            </c:rich>
          </c:tx>
          <c:overlay val="0"/>
          <c:spPr>
            <a:noFill/>
            <a:ln>
              <a:noFill/>
            </a:ln>
            <a:effectLst/>
          </c:spPr>
        </c:title>
        <c:numFmt formatCode="General" sourceLinked="1"/>
        <c:majorTickMark val="out"/>
        <c:minorTickMark val="none"/>
        <c:tickLblPos val="nextTo"/>
        <c:spPr>
          <a:noFill/>
          <a:ln>
            <a:noFill/>
          </a:ln>
          <a:effectLst/>
        </c:spPr>
        <c:txPr>
          <a:bodyPr rot="-60000000" vert="horz"/>
          <a:lstStyle/>
          <a:p>
            <a:pPr>
              <a:defRPr/>
            </a:pPr>
            <a:endParaRPr lang="en-US"/>
          </a:p>
        </c:txPr>
        <c:crossAx val="101930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baseline="0">
          <a:latin typeface="Times New Roman" pitchFamily="18" charset="0"/>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539957-09D5-4C30-9A87-D330C536ECAF}" type="doc">
      <dgm:prSet loTypeId="urn:microsoft.com/office/officeart/2005/8/layout/hierarchy1" loCatId="hierarchy" qsTypeId="urn:microsoft.com/office/officeart/2005/8/quickstyle/simple1" qsCatId="simple" csTypeId="urn:microsoft.com/office/officeart/2005/8/colors/colorful3" csCatId="colorful" phldr="1"/>
      <dgm:spPr/>
      <dgm:t>
        <a:bodyPr/>
        <a:lstStyle/>
        <a:p>
          <a:endParaRPr lang="en-IN"/>
        </a:p>
      </dgm:t>
    </dgm:pt>
    <dgm:pt modelId="{9EBD9EB7-206A-4F29-B6CA-48BCAFC752DC}">
      <dgm:prSet phldrT="[Text]" custT="1"/>
      <dgm:spPr/>
      <dgm:t>
        <a:bodyPr/>
        <a:lstStyle/>
        <a:p>
          <a:pPr algn="ctr"/>
          <a:r>
            <a:rPr lang="en-IN" sz="1200">
              <a:latin typeface="Times New Roman" pitchFamily="18" charset="0"/>
              <a:cs typeface="Times New Roman" pitchFamily="18" charset="0"/>
            </a:rPr>
            <a:t>FARMER PRODUCER ORGANIZATIONS</a:t>
          </a:r>
        </a:p>
      </dgm:t>
    </dgm:pt>
    <dgm:pt modelId="{AA2F32EE-51FF-406B-8406-A2E7E5FDE954}" type="parTrans" cxnId="{026DC0AC-A074-499A-9173-35D5A24321A0}">
      <dgm:prSet/>
      <dgm:spPr/>
      <dgm:t>
        <a:bodyPr/>
        <a:lstStyle/>
        <a:p>
          <a:pPr algn="ctr"/>
          <a:endParaRPr lang="en-IN" sz="1200">
            <a:latin typeface="Times New Roman" pitchFamily="18" charset="0"/>
            <a:cs typeface="Times New Roman" pitchFamily="18" charset="0"/>
          </a:endParaRPr>
        </a:p>
      </dgm:t>
    </dgm:pt>
    <dgm:pt modelId="{29611C23-2940-4E7E-9B46-097273F3AAFE}" type="sibTrans" cxnId="{026DC0AC-A074-499A-9173-35D5A24321A0}">
      <dgm:prSet/>
      <dgm:spPr/>
      <dgm:t>
        <a:bodyPr/>
        <a:lstStyle/>
        <a:p>
          <a:pPr algn="ctr"/>
          <a:endParaRPr lang="en-IN" sz="1200">
            <a:latin typeface="Times New Roman" pitchFamily="18" charset="0"/>
            <a:cs typeface="Times New Roman" pitchFamily="18" charset="0"/>
          </a:endParaRPr>
        </a:p>
      </dgm:t>
    </dgm:pt>
    <dgm:pt modelId="{1A4CAD40-83BF-4581-A7B8-3139DD3F0E80}">
      <dgm:prSet phldrT="[Text]" custT="1"/>
      <dgm:spPr/>
      <dgm:t>
        <a:bodyPr/>
        <a:lstStyle/>
        <a:p>
          <a:pPr algn="ctr"/>
          <a:r>
            <a:rPr lang="en-IN" sz="1200">
              <a:latin typeface="Times New Roman" pitchFamily="18" charset="0"/>
              <a:cs typeface="Times New Roman" pitchFamily="18" charset="0"/>
            </a:rPr>
            <a:t>GENSIS</a:t>
          </a:r>
        </a:p>
      </dgm:t>
    </dgm:pt>
    <dgm:pt modelId="{D8BA2985-5C47-440A-9BEC-0ED96E09A0C0}" type="parTrans" cxnId="{C66A38B3-C6AB-4B44-85D4-60BDBFC6A5A3}">
      <dgm:prSet/>
      <dgm:spPr/>
      <dgm:t>
        <a:bodyPr/>
        <a:lstStyle/>
        <a:p>
          <a:pPr algn="ctr"/>
          <a:endParaRPr lang="en-IN" sz="1200">
            <a:latin typeface="Times New Roman" pitchFamily="18" charset="0"/>
            <a:cs typeface="Times New Roman" pitchFamily="18" charset="0"/>
          </a:endParaRPr>
        </a:p>
      </dgm:t>
    </dgm:pt>
    <dgm:pt modelId="{F2BFFAF1-CEFC-42DE-90F4-8E53AE65A0AA}" type="sibTrans" cxnId="{C66A38B3-C6AB-4B44-85D4-60BDBFC6A5A3}">
      <dgm:prSet/>
      <dgm:spPr/>
      <dgm:t>
        <a:bodyPr/>
        <a:lstStyle/>
        <a:p>
          <a:pPr algn="ctr"/>
          <a:endParaRPr lang="en-IN" sz="1200">
            <a:latin typeface="Times New Roman" pitchFamily="18" charset="0"/>
            <a:cs typeface="Times New Roman" pitchFamily="18" charset="0"/>
          </a:endParaRPr>
        </a:p>
      </dgm:t>
    </dgm:pt>
    <dgm:pt modelId="{08F8810D-4E5B-4E2F-A083-569C9C620F57}">
      <dgm:prSet custT="1"/>
      <dgm:spPr/>
      <dgm:t>
        <a:bodyPr/>
        <a:lstStyle/>
        <a:p>
          <a:pPr algn="ctr"/>
          <a:r>
            <a:rPr lang="en-IN" sz="1200">
              <a:latin typeface="Times New Roman" pitchFamily="18" charset="0"/>
              <a:cs typeface="Times New Roman" pitchFamily="18" charset="0"/>
            </a:rPr>
            <a:t>BEHAVIOUR CHANGE</a:t>
          </a:r>
        </a:p>
      </dgm:t>
    </dgm:pt>
    <dgm:pt modelId="{FFAD9B60-C241-4630-A286-DBEFDDF73A36}" type="parTrans" cxnId="{44034954-21CA-491E-A60D-25242260FFED}">
      <dgm:prSet/>
      <dgm:spPr/>
      <dgm:t>
        <a:bodyPr/>
        <a:lstStyle/>
        <a:p>
          <a:pPr algn="ctr"/>
          <a:endParaRPr lang="en-IN" sz="1200">
            <a:latin typeface="Times New Roman" pitchFamily="18" charset="0"/>
            <a:cs typeface="Times New Roman" pitchFamily="18" charset="0"/>
          </a:endParaRPr>
        </a:p>
      </dgm:t>
    </dgm:pt>
    <dgm:pt modelId="{3C2BD9D5-DB8C-465C-A329-BB2062880A3F}" type="sibTrans" cxnId="{44034954-21CA-491E-A60D-25242260FFED}">
      <dgm:prSet/>
      <dgm:spPr/>
      <dgm:t>
        <a:bodyPr/>
        <a:lstStyle/>
        <a:p>
          <a:pPr algn="ctr"/>
          <a:endParaRPr lang="en-IN" sz="1200">
            <a:latin typeface="Times New Roman" pitchFamily="18" charset="0"/>
            <a:cs typeface="Times New Roman" pitchFamily="18" charset="0"/>
          </a:endParaRPr>
        </a:p>
      </dgm:t>
    </dgm:pt>
    <dgm:pt modelId="{3B6BDD3E-10C6-4A3D-823D-6233138C84C6}">
      <dgm:prSet custT="1"/>
      <dgm:spPr/>
      <dgm:t>
        <a:bodyPr/>
        <a:lstStyle/>
        <a:p>
          <a:pPr algn="ctr"/>
          <a:r>
            <a:rPr lang="en-IN" sz="1200">
              <a:latin typeface="Times New Roman" pitchFamily="18" charset="0"/>
              <a:cs typeface="Times New Roman" pitchFamily="18" charset="0"/>
            </a:rPr>
            <a:t>CONSTRAINTS</a:t>
          </a:r>
        </a:p>
      </dgm:t>
    </dgm:pt>
    <dgm:pt modelId="{E81ACDFA-C7C1-42CB-A5EF-A15A3FFDE0F1}" type="parTrans" cxnId="{59870F51-BA68-4001-B5A2-DB6CB24D4673}">
      <dgm:prSet/>
      <dgm:spPr/>
      <dgm:t>
        <a:bodyPr/>
        <a:lstStyle/>
        <a:p>
          <a:pPr algn="ctr"/>
          <a:endParaRPr lang="en-IN" sz="1200">
            <a:latin typeface="Times New Roman" pitchFamily="18" charset="0"/>
            <a:cs typeface="Times New Roman" pitchFamily="18" charset="0"/>
          </a:endParaRPr>
        </a:p>
      </dgm:t>
    </dgm:pt>
    <dgm:pt modelId="{0681830F-461C-43C9-9244-FCA92BAAD660}" type="sibTrans" cxnId="{59870F51-BA68-4001-B5A2-DB6CB24D4673}">
      <dgm:prSet/>
      <dgm:spPr/>
      <dgm:t>
        <a:bodyPr/>
        <a:lstStyle/>
        <a:p>
          <a:pPr algn="ctr"/>
          <a:endParaRPr lang="en-IN" sz="1200">
            <a:latin typeface="Times New Roman" pitchFamily="18" charset="0"/>
            <a:cs typeface="Times New Roman" pitchFamily="18" charset="0"/>
          </a:endParaRPr>
        </a:p>
      </dgm:t>
    </dgm:pt>
    <dgm:pt modelId="{6A65BDCA-8FC1-49AD-BF6F-1C266E0FF79E}">
      <dgm:prSet custT="1"/>
      <dgm:spPr/>
      <dgm:t>
        <a:bodyPr/>
        <a:lstStyle/>
        <a:p>
          <a:pPr algn="ctr"/>
          <a:r>
            <a:rPr lang="en-IN" sz="1200">
              <a:latin typeface="Times New Roman" pitchFamily="18" charset="0"/>
              <a:cs typeface="Times New Roman" pitchFamily="18" charset="0"/>
            </a:rPr>
            <a:t>EVOLUTION OF FPOs</a:t>
          </a:r>
        </a:p>
      </dgm:t>
    </dgm:pt>
    <dgm:pt modelId="{972165E1-804C-4F56-960B-213D3AF7B239}" type="parTrans" cxnId="{E354D8E5-6D57-49D4-A4EE-BBB9C9FFD147}">
      <dgm:prSet/>
      <dgm:spPr/>
      <dgm:t>
        <a:bodyPr/>
        <a:lstStyle/>
        <a:p>
          <a:pPr algn="ctr"/>
          <a:endParaRPr lang="en-IN" sz="1200">
            <a:latin typeface="Times New Roman" pitchFamily="18" charset="0"/>
            <a:cs typeface="Times New Roman" pitchFamily="18" charset="0"/>
          </a:endParaRPr>
        </a:p>
      </dgm:t>
    </dgm:pt>
    <dgm:pt modelId="{24EC4F71-68B2-4731-B992-086E7F3CAE03}" type="sibTrans" cxnId="{E354D8E5-6D57-49D4-A4EE-BBB9C9FFD147}">
      <dgm:prSet/>
      <dgm:spPr/>
      <dgm:t>
        <a:bodyPr/>
        <a:lstStyle/>
        <a:p>
          <a:pPr algn="ctr"/>
          <a:endParaRPr lang="en-IN" sz="1200">
            <a:latin typeface="Times New Roman" pitchFamily="18" charset="0"/>
            <a:cs typeface="Times New Roman" pitchFamily="18" charset="0"/>
          </a:endParaRPr>
        </a:p>
      </dgm:t>
    </dgm:pt>
    <dgm:pt modelId="{C84462EC-7DF5-4776-8260-4B27558F8D78}">
      <dgm:prSet custT="1"/>
      <dgm:spPr/>
      <dgm:t>
        <a:bodyPr/>
        <a:lstStyle/>
        <a:p>
          <a:pPr algn="ctr"/>
          <a:r>
            <a:rPr lang="en-IN" sz="1200">
              <a:latin typeface="Times New Roman" pitchFamily="18" charset="0"/>
              <a:cs typeface="Times New Roman" pitchFamily="18" charset="0"/>
            </a:rPr>
            <a:t>TYPES OF FPOs</a:t>
          </a:r>
        </a:p>
      </dgm:t>
    </dgm:pt>
    <dgm:pt modelId="{515B3A03-23CA-4BF4-94C8-756427E9C5C0}" type="parTrans" cxnId="{3AB08BDA-4320-4F6A-AFFD-2806C76031A3}">
      <dgm:prSet/>
      <dgm:spPr/>
      <dgm:t>
        <a:bodyPr/>
        <a:lstStyle/>
        <a:p>
          <a:pPr algn="ctr"/>
          <a:endParaRPr lang="en-IN" sz="1200">
            <a:latin typeface="Times New Roman" pitchFamily="18" charset="0"/>
            <a:cs typeface="Times New Roman" pitchFamily="18" charset="0"/>
          </a:endParaRPr>
        </a:p>
      </dgm:t>
    </dgm:pt>
    <dgm:pt modelId="{49649D25-9AC3-46A7-BACF-70A0FF809508}" type="sibTrans" cxnId="{3AB08BDA-4320-4F6A-AFFD-2806C76031A3}">
      <dgm:prSet/>
      <dgm:spPr/>
      <dgm:t>
        <a:bodyPr/>
        <a:lstStyle/>
        <a:p>
          <a:pPr algn="ctr"/>
          <a:endParaRPr lang="en-IN" sz="1200">
            <a:latin typeface="Times New Roman" pitchFamily="18" charset="0"/>
            <a:cs typeface="Times New Roman" pitchFamily="18" charset="0"/>
          </a:endParaRPr>
        </a:p>
      </dgm:t>
    </dgm:pt>
    <dgm:pt modelId="{7CA309EB-2416-42C5-9E38-AE0F8BBBD93E}">
      <dgm:prSet custT="1"/>
      <dgm:spPr/>
      <dgm:t>
        <a:bodyPr/>
        <a:lstStyle/>
        <a:p>
          <a:pPr algn="ctr"/>
          <a:r>
            <a:rPr lang="en-IN" sz="1200">
              <a:latin typeface="Times New Roman" pitchFamily="18" charset="0"/>
              <a:cs typeface="Times New Roman" pitchFamily="18" charset="0"/>
            </a:rPr>
            <a:t>BEHVIOURAL DEFINITIONS AND  DIMNESIONS</a:t>
          </a:r>
        </a:p>
      </dgm:t>
    </dgm:pt>
    <dgm:pt modelId="{480390E7-AC9E-4E26-B02B-375172B15F7D}" type="parTrans" cxnId="{5F88C73F-DFB7-47B8-B15E-ACB71A04E679}">
      <dgm:prSet/>
      <dgm:spPr/>
      <dgm:t>
        <a:bodyPr/>
        <a:lstStyle/>
        <a:p>
          <a:pPr algn="ctr"/>
          <a:endParaRPr lang="en-IN" sz="1200">
            <a:latin typeface="Times New Roman" pitchFamily="18" charset="0"/>
            <a:cs typeface="Times New Roman" pitchFamily="18" charset="0"/>
          </a:endParaRPr>
        </a:p>
      </dgm:t>
    </dgm:pt>
    <dgm:pt modelId="{06ECBA75-A2C3-47F9-8DD8-0A8F6F085056}" type="sibTrans" cxnId="{5F88C73F-DFB7-47B8-B15E-ACB71A04E679}">
      <dgm:prSet/>
      <dgm:spPr/>
      <dgm:t>
        <a:bodyPr/>
        <a:lstStyle/>
        <a:p>
          <a:pPr algn="ctr"/>
          <a:endParaRPr lang="en-IN" sz="1200">
            <a:latin typeface="Times New Roman" pitchFamily="18" charset="0"/>
            <a:cs typeface="Times New Roman" pitchFamily="18" charset="0"/>
          </a:endParaRPr>
        </a:p>
      </dgm:t>
    </dgm:pt>
    <dgm:pt modelId="{B2425C3A-F0BE-470E-8E85-963CDBE2965A}">
      <dgm:prSet custT="1"/>
      <dgm:spPr/>
      <dgm:t>
        <a:bodyPr/>
        <a:lstStyle/>
        <a:p>
          <a:pPr algn="ctr"/>
          <a:r>
            <a:rPr lang="en-IN" sz="1200">
              <a:latin typeface="Times New Roman" pitchFamily="18" charset="0"/>
              <a:cs typeface="Times New Roman" pitchFamily="18" charset="0"/>
            </a:rPr>
            <a:t>STUDIES ON FPOs BEHAVIOURAL CHANGE ON MEMBERS</a:t>
          </a:r>
        </a:p>
      </dgm:t>
    </dgm:pt>
    <dgm:pt modelId="{76826430-F176-4651-B368-3F3261F5D225}" type="parTrans" cxnId="{9BBED1DC-5728-49BA-AADD-A428B9CC3ABA}">
      <dgm:prSet/>
      <dgm:spPr/>
      <dgm:t>
        <a:bodyPr/>
        <a:lstStyle/>
        <a:p>
          <a:pPr algn="ctr"/>
          <a:endParaRPr lang="en-IN" sz="1200">
            <a:latin typeface="Times New Roman" pitchFamily="18" charset="0"/>
            <a:cs typeface="Times New Roman" pitchFamily="18" charset="0"/>
          </a:endParaRPr>
        </a:p>
      </dgm:t>
    </dgm:pt>
    <dgm:pt modelId="{149DA8F9-78AC-43F2-851D-AAB162BA0C3C}" type="sibTrans" cxnId="{9BBED1DC-5728-49BA-AADD-A428B9CC3ABA}">
      <dgm:prSet/>
      <dgm:spPr/>
      <dgm:t>
        <a:bodyPr/>
        <a:lstStyle/>
        <a:p>
          <a:pPr algn="ctr"/>
          <a:endParaRPr lang="en-IN" sz="1200">
            <a:latin typeface="Times New Roman" pitchFamily="18" charset="0"/>
            <a:cs typeface="Times New Roman" pitchFamily="18" charset="0"/>
          </a:endParaRPr>
        </a:p>
      </dgm:t>
    </dgm:pt>
    <dgm:pt modelId="{63BF5FA6-6194-4277-BE24-C446087D3B8A}">
      <dgm:prSet custT="1"/>
      <dgm:spPr/>
      <dgm:t>
        <a:bodyPr/>
        <a:lstStyle/>
        <a:p>
          <a:r>
            <a:rPr lang="en-IN" sz="1200">
              <a:latin typeface="Times New Roman" pitchFamily="18" charset="0"/>
              <a:cs typeface="Times New Roman" pitchFamily="18" charset="0"/>
            </a:rPr>
            <a:t>CURRENT STATUS OF FPOs</a:t>
          </a:r>
        </a:p>
      </dgm:t>
    </dgm:pt>
    <dgm:pt modelId="{EBDE3EB7-B8D5-4680-9B66-756873C8179B}" type="parTrans" cxnId="{DECF42E2-3A98-4414-898F-5F9101223AED}">
      <dgm:prSet/>
      <dgm:spPr/>
      <dgm:t>
        <a:bodyPr/>
        <a:lstStyle/>
        <a:p>
          <a:endParaRPr lang="en-IN"/>
        </a:p>
      </dgm:t>
    </dgm:pt>
    <dgm:pt modelId="{E4DF7AC9-5EB0-4DD6-A49A-EC21868B872D}" type="sibTrans" cxnId="{DECF42E2-3A98-4414-898F-5F9101223AED}">
      <dgm:prSet/>
      <dgm:spPr/>
      <dgm:t>
        <a:bodyPr/>
        <a:lstStyle/>
        <a:p>
          <a:endParaRPr lang="en-IN"/>
        </a:p>
      </dgm:t>
    </dgm:pt>
    <dgm:pt modelId="{40ADE6DE-BA5B-4EB4-99BD-400F8FA0C786}" type="pres">
      <dgm:prSet presAssocID="{54539957-09D5-4C30-9A87-D330C536ECAF}" presName="hierChild1" presStyleCnt="0">
        <dgm:presLayoutVars>
          <dgm:chPref val="1"/>
          <dgm:dir/>
          <dgm:animOne val="branch"/>
          <dgm:animLvl val="lvl"/>
          <dgm:resizeHandles/>
        </dgm:presLayoutVars>
      </dgm:prSet>
      <dgm:spPr/>
    </dgm:pt>
    <dgm:pt modelId="{7DCBC371-C9A3-4D08-B45D-588CB95F2927}" type="pres">
      <dgm:prSet presAssocID="{9EBD9EB7-206A-4F29-B6CA-48BCAFC752DC}" presName="hierRoot1" presStyleCnt="0"/>
      <dgm:spPr/>
    </dgm:pt>
    <dgm:pt modelId="{96E8C25F-71F7-47BE-98B0-4D1C6511DFF6}" type="pres">
      <dgm:prSet presAssocID="{9EBD9EB7-206A-4F29-B6CA-48BCAFC752DC}" presName="composite" presStyleCnt="0"/>
      <dgm:spPr/>
    </dgm:pt>
    <dgm:pt modelId="{DE8F6C49-C579-4801-A362-833CF16512BF}" type="pres">
      <dgm:prSet presAssocID="{9EBD9EB7-206A-4F29-B6CA-48BCAFC752DC}" presName="background" presStyleLbl="node0" presStyleIdx="0" presStyleCnt="1"/>
      <dgm:spPr/>
    </dgm:pt>
    <dgm:pt modelId="{6480F3E7-9BA1-4275-925D-E833865D4CD2}" type="pres">
      <dgm:prSet presAssocID="{9EBD9EB7-206A-4F29-B6CA-48BCAFC752DC}" presName="text" presStyleLbl="fgAcc0" presStyleIdx="0" presStyleCnt="1" custScaleX="152369">
        <dgm:presLayoutVars>
          <dgm:chPref val="3"/>
        </dgm:presLayoutVars>
      </dgm:prSet>
      <dgm:spPr/>
    </dgm:pt>
    <dgm:pt modelId="{284F70AF-5618-4722-93E0-E49753463923}" type="pres">
      <dgm:prSet presAssocID="{9EBD9EB7-206A-4F29-B6CA-48BCAFC752DC}" presName="hierChild2" presStyleCnt="0"/>
      <dgm:spPr/>
    </dgm:pt>
    <dgm:pt modelId="{0A3B0254-642A-4382-8F01-1A4F21183EF2}" type="pres">
      <dgm:prSet presAssocID="{D8BA2985-5C47-440A-9BEC-0ED96E09A0C0}" presName="Name10" presStyleLbl="parChTrans1D2" presStyleIdx="0" presStyleCnt="3"/>
      <dgm:spPr/>
    </dgm:pt>
    <dgm:pt modelId="{9408BC76-4254-46CC-A692-09507FF6A2E6}" type="pres">
      <dgm:prSet presAssocID="{1A4CAD40-83BF-4581-A7B8-3139DD3F0E80}" presName="hierRoot2" presStyleCnt="0"/>
      <dgm:spPr/>
    </dgm:pt>
    <dgm:pt modelId="{531202E4-CDA3-49C5-9EF5-13B65B4E43A6}" type="pres">
      <dgm:prSet presAssocID="{1A4CAD40-83BF-4581-A7B8-3139DD3F0E80}" presName="composite2" presStyleCnt="0"/>
      <dgm:spPr/>
    </dgm:pt>
    <dgm:pt modelId="{4BE1806B-4DA7-4B8D-8ED4-D2DA3B1F3926}" type="pres">
      <dgm:prSet presAssocID="{1A4CAD40-83BF-4581-A7B8-3139DD3F0E80}" presName="background2" presStyleLbl="node2" presStyleIdx="0" presStyleCnt="3"/>
      <dgm:spPr/>
    </dgm:pt>
    <dgm:pt modelId="{4E1326E4-C0E1-4CA9-9D8E-5A300C701297}" type="pres">
      <dgm:prSet presAssocID="{1A4CAD40-83BF-4581-A7B8-3139DD3F0E80}" presName="text2" presStyleLbl="fgAcc2" presStyleIdx="0" presStyleCnt="3">
        <dgm:presLayoutVars>
          <dgm:chPref val="3"/>
        </dgm:presLayoutVars>
      </dgm:prSet>
      <dgm:spPr/>
    </dgm:pt>
    <dgm:pt modelId="{550D78FF-22F2-43DF-8C5B-46A6E95E2B99}" type="pres">
      <dgm:prSet presAssocID="{1A4CAD40-83BF-4581-A7B8-3139DD3F0E80}" presName="hierChild3" presStyleCnt="0"/>
      <dgm:spPr/>
    </dgm:pt>
    <dgm:pt modelId="{B23CEDC0-C782-46F9-A2F2-2F6591650158}" type="pres">
      <dgm:prSet presAssocID="{972165E1-804C-4F56-960B-213D3AF7B239}" presName="Name17" presStyleLbl="parChTrans1D3" presStyleIdx="0" presStyleCnt="2"/>
      <dgm:spPr/>
    </dgm:pt>
    <dgm:pt modelId="{21E3CAF2-710A-49B0-9447-9F32119E2FF8}" type="pres">
      <dgm:prSet presAssocID="{6A65BDCA-8FC1-49AD-BF6F-1C266E0FF79E}" presName="hierRoot3" presStyleCnt="0"/>
      <dgm:spPr/>
    </dgm:pt>
    <dgm:pt modelId="{B5A10BE9-9E94-42F5-ACB8-E014019949BD}" type="pres">
      <dgm:prSet presAssocID="{6A65BDCA-8FC1-49AD-BF6F-1C266E0FF79E}" presName="composite3" presStyleCnt="0"/>
      <dgm:spPr/>
    </dgm:pt>
    <dgm:pt modelId="{01F645FA-D073-4BCB-A5B9-536C866CB3D5}" type="pres">
      <dgm:prSet presAssocID="{6A65BDCA-8FC1-49AD-BF6F-1C266E0FF79E}" presName="background3" presStyleLbl="node3" presStyleIdx="0" presStyleCnt="2"/>
      <dgm:spPr/>
    </dgm:pt>
    <dgm:pt modelId="{5F130061-AE2E-40A9-B480-7D84C9E7BD2A}" type="pres">
      <dgm:prSet presAssocID="{6A65BDCA-8FC1-49AD-BF6F-1C266E0FF79E}" presName="text3" presStyleLbl="fgAcc3" presStyleIdx="0" presStyleCnt="2" custScaleX="126662">
        <dgm:presLayoutVars>
          <dgm:chPref val="3"/>
        </dgm:presLayoutVars>
      </dgm:prSet>
      <dgm:spPr/>
    </dgm:pt>
    <dgm:pt modelId="{9627245D-88CB-4AA4-8214-7D0845BDB212}" type="pres">
      <dgm:prSet presAssocID="{6A65BDCA-8FC1-49AD-BF6F-1C266E0FF79E}" presName="hierChild4" presStyleCnt="0"/>
      <dgm:spPr/>
    </dgm:pt>
    <dgm:pt modelId="{790CBF1B-60D2-482F-AC9F-EE787EAF7626}" type="pres">
      <dgm:prSet presAssocID="{515B3A03-23CA-4BF4-94C8-756427E9C5C0}" presName="Name23" presStyleLbl="parChTrans1D4" presStyleIdx="0" presStyleCnt="3"/>
      <dgm:spPr/>
    </dgm:pt>
    <dgm:pt modelId="{330FEED7-961E-4148-88CA-03A95A1D0912}" type="pres">
      <dgm:prSet presAssocID="{C84462EC-7DF5-4776-8260-4B27558F8D78}" presName="hierRoot4" presStyleCnt="0"/>
      <dgm:spPr/>
    </dgm:pt>
    <dgm:pt modelId="{71A653A1-6AD0-459D-BCD5-27FA603D95C5}" type="pres">
      <dgm:prSet presAssocID="{C84462EC-7DF5-4776-8260-4B27558F8D78}" presName="composite4" presStyleCnt="0"/>
      <dgm:spPr/>
    </dgm:pt>
    <dgm:pt modelId="{2D67615A-6AE7-4B76-B268-8F70957B7B8E}" type="pres">
      <dgm:prSet presAssocID="{C84462EC-7DF5-4776-8260-4B27558F8D78}" presName="background4" presStyleLbl="node4" presStyleIdx="0" presStyleCnt="3"/>
      <dgm:spPr/>
    </dgm:pt>
    <dgm:pt modelId="{FAD88A2B-4E7C-463A-9A66-0523A6128412}" type="pres">
      <dgm:prSet presAssocID="{C84462EC-7DF5-4776-8260-4B27558F8D78}" presName="text4" presStyleLbl="fgAcc4" presStyleIdx="0" presStyleCnt="3">
        <dgm:presLayoutVars>
          <dgm:chPref val="3"/>
        </dgm:presLayoutVars>
      </dgm:prSet>
      <dgm:spPr/>
    </dgm:pt>
    <dgm:pt modelId="{155B910F-556A-4D34-9900-200C2971F09A}" type="pres">
      <dgm:prSet presAssocID="{C84462EC-7DF5-4776-8260-4B27558F8D78}" presName="hierChild5" presStyleCnt="0"/>
      <dgm:spPr/>
    </dgm:pt>
    <dgm:pt modelId="{844E7F7D-F787-4AFE-8E50-009C449F2B46}" type="pres">
      <dgm:prSet presAssocID="{EBDE3EB7-B8D5-4680-9B66-756873C8179B}" presName="Name23" presStyleLbl="parChTrans1D4" presStyleIdx="1" presStyleCnt="3"/>
      <dgm:spPr/>
    </dgm:pt>
    <dgm:pt modelId="{DAA158CA-1A56-4400-BB58-873187A07105}" type="pres">
      <dgm:prSet presAssocID="{63BF5FA6-6194-4277-BE24-C446087D3B8A}" presName="hierRoot4" presStyleCnt="0"/>
      <dgm:spPr/>
    </dgm:pt>
    <dgm:pt modelId="{480CAAE1-8EA3-47BE-9CF2-DAC550643828}" type="pres">
      <dgm:prSet presAssocID="{63BF5FA6-6194-4277-BE24-C446087D3B8A}" presName="composite4" presStyleCnt="0"/>
      <dgm:spPr/>
    </dgm:pt>
    <dgm:pt modelId="{116D2DBC-4985-4FEA-B6AA-F9C46361ED45}" type="pres">
      <dgm:prSet presAssocID="{63BF5FA6-6194-4277-BE24-C446087D3B8A}" presName="background4" presStyleLbl="node4" presStyleIdx="1" presStyleCnt="3"/>
      <dgm:spPr/>
    </dgm:pt>
    <dgm:pt modelId="{DE72BFD0-669F-48C7-B35F-D38BFE6693FB}" type="pres">
      <dgm:prSet presAssocID="{63BF5FA6-6194-4277-BE24-C446087D3B8A}" presName="text4" presStyleLbl="fgAcc4" presStyleIdx="1" presStyleCnt="3">
        <dgm:presLayoutVars>
          <dgm:chPref val="3"/>
        </dgm:presLayoutVars>
      </dgm:prSet>
      <dgm:spPr/>
    </dgm:pt>
    <dgm:pt modelId="{927E1AB4-FBA6-404C-AC5F-C1A06E35DAF6}" type="pres">
      <dgm:prSet presAssocID="{63BF5FA6-6194-4277-BE24-C446087D3B8A}" presName="hierChild5" presStyleCnt="0"/>
      <dgm:spPr/>
    </dgm:pt>
    <dgm:pt modelId="{22BB485F-619E-4C2E-9B84-AB415E469F73}" type="pres">
      <dgm:prSet presAssocID="{FFAD9B60-C241-4630-A286-DBEFDDF73A36}" presName="Name10" presStyleLbl="parChTrans1D2" presStyleIdx="1" presStyleCnt="3"/>
      <dgm:spPr/>
    </dgm:pt>
    <dgm:pt modelId="{4630C6AD-9D54-4B79-A291-A49903E5AC51}" type="pres">
      <dgm:prSet presAssocID="{08F8810D-4E5B-4E2F-A083-569C9C620F57}" presName="hierRoot2" presStyleCnt="0"/>
      <dgm:spPr/>
    </dgm:pt>
    <dgm:pt modelId="{B2DFD511-29A0-44F1-8481-4117F90796C6}" type="pres">
      <dgm:prSet presAssocID="{08F8810D-4E5B-4E2F-A083-569C9C620F57}" presName="composite2" presStyleCnt="0"/>
      <dgm:spPr/>
    </dgm:pt>
    <dgm:pt modelId="{897A466D-F8E7-4BBB-94FA-54C143274F50}" type="pres">
      <dgm:prSet presAssocID="{08F8810D-4E5B-4E2F-A083-569C9C620F57}" presName="background2" presStyleLbl="node2" presStyleIdx="1" presStyleCnt="3"/>
      <dgm:spPr/>
    </dgm:pt>
    <dgm:pt modelId="{989132C4-5723-4F2E-8BE2-15AB51BDE8BE}" type="pres">
      <dgm:prSet presAssocID="{08F8810D-4E5B-4E2F-A083-569C9C620F57}" presName="text2" presStyleLbl="fgAcc2" presStyleIdx="1" presStyleCnt="3" custScaleX="124307">
        <dgm:presLayoutVars>
          <dgm:chPref val="3"/>
        </dgm:presLayoutVars>
      </dgm:prSet>
      <dgm:spPr/>
    </dgm:pt>
    <dgm:pt modelId="{1CC9DD6B-76C5-441F-9F9E-540CFB5E1B7F}" type="pres">
      <dgm:prSet presAssocID="{08F8810D-4E5B-4E2F-A083-569C9C620F57}" presName="hierChild3" presStyleCnt="0"/>
      <dgm:spPr/>
    </dgm:pt>
    <dgm:pt modelId="{9E7AA4DF-C88C-42DF-9A47-2FFB84805556}" type="pres">
      <dgm:prSet presAssocID="{480390E7-AC9E-4E26-B02B-375172B15F7D}" presName="Name17" presStyleLbl="parChTrans1D3" presStyleIdx="1" presStyleCnt="2"/>
      <dgm:spPr/>
    </dgm:pt>
    <dgm:pt modelId="{4A73A908-2A5F-42C1-B380-8F0E1F21D2DB}" type="pres">
      <dgm:prSet presAssocID="{7CA309EB-2416-42C5-9E38-AE0F8BBBD93E}" presName="hierRoot3" presStyleCnt="0"/>
      <dgm:spPr/>
    </dgm:pt>
    <dgm:pt modelId="{49380EDE-C0D2-4193-ACB2-66F23EA01A97}" type="pres">
      <dgm:prSet presAssocID="{7CA309EB-2416-42C5-9E38-AE0F8BBBD93E}" presName="composite3" presStyleCnt="0"/>
      <dgm:spPr/>
    </dgm:pt>
    <dgm:pt modelId="{665DF828-9DE9-4215-B59B-82F607BBB124}" type="pres">
      <dgm:prSet presAssocID="{7CA309EB-2416-42C5-9E38-AE0F8BBBD93E}" presName="background3" presStyleLbl="node3" presStyleIdx="1" presStyleCnt="2"/>
      <dgm:spPr/>
    </dgm:pt>
    <dgm:pt modelId="{BE5B2640-FC92-441C-ACD4-DBD77D77C9A3}" type="pres">
      <dgm:prSet presAssocID="{7CA309EB-2416-42C5-9E38-AE0F8BBBD93E}" presName="text3" presStyleLbl="fgAcc3" presStyleIdx="1" presStyleCnt="2" custScaleX="133379">
        <dgm:presLayoutVars>
          <dgm:chPref val="3"/>
        </dgm:presLayoutVars>
      </dgm:prSet>
      <dgm:spPr/>
    </dgm:pt>
    <dgm:pt modelId="{E324C8D1-098A-48DB-A2A3-1C020C2FD7DF}" type="pres">
      <dgm:prSet presAssocID="{7CA309EB-2416-42C5-9E38-AE0F8BBBD93E}" presName="hierChild4" presStyleCnt="0"/>
      <dgm:spPr/>
    </dgm:pt>
    <dgm:pt modelId="{C73880FD-0C3F-4685-9270-1ABAF3F7A01D}" type="pres">
      <dgm:prSet presAssocID="{76826430-F176-4651-B368-3F3261F5D225}" presName="Name23" presStyleLbl="parChTrans1D4" presStyleIdx="2" presStyleCnt="3"/>
      <dgm:spPr/>
    </dgm:pt>
    <dgm:pt modelId="{49854DE0-0506-4459-9D75-1CCB25B71027}" type="pres">
      <dgm:prSet presAssocID="{B2425C3A-F0BE-470E-8E85-963CDBE2965A}" presName="hierRoot4" presStyleCnt="0"/>
      <dgm:spPr/>
    </dgm:pt>
    <dgm:pt modelId="{2B322A0D-2BE6-4EFA-A2CC-489A8DE76648}" type="pres">
      <dgm:prSet presAssocID="{B2425C3A-F0BE-470E-8E85-963CDBE2965A}" presName="composite4" presStyleCnt="0"/>
      <dgm:spPr/>
    </dgm:pt>
    <dgm:pt modelId="{4388CF85-1721-46B2-8EEA-EB527A69BA7B}" type="pres">
      <dgm:prSet presAssocID="{B2425C3A-F0BE-470E-8E85-963CDBE2965A}" presName="background4" presStyleLbl="node4" presStyleIdx="2" presStyleCnt="3"/>
      <dgm:spPr/>
    </dgm:pt>
    <dgm:pt modelId="{4F3025C8-CDD9-4439-B58A-9BF19AECCD78}" type="pres">
      <dgm:prSet presAssocID="{B2425C3A-F0BE-470E-8E85-963CDBE2965A}" presName="text4" presStyleLbl="fgAcc4" presStyleIdx="2" presStyleCnt="3" custScaleX="153001" custScaleY="115976">
        <dgm:presLayoutVars>
          <dgm:chPref val="3"/>
        </dgm:presLayoutVars>
      </dgm:prSet>
      <dgm:spPr/>
    </dgm:pt>
    <dgm:pt modelId="{A2151798-345A-44CE-BDDC-38649F222326}" type="pres">
      <dgm:prSet presAssocID="{B2425C3A-F0BE-470E-8E85-963CDBE2965A}" presName="hierChild5" presStyleCnt="0"/>
      <dgm:spPr/>
    </dgm:pt>
    <dgm:pt modelId="{BE280A65-7532-43D0-B279-72EFCE304586}" type="pres">
      <dgm:prSet presAssocID="{E81ACDFA-C7C1-42CB-A5EF-A15A3FFDE0F1}" presName="Name10" presStyleLbl="parChTrans1D2" presStyleIdx="2" presStyleCnt="3"/>
      <dgm:spPr/>
    </dgm:pt>
    <dgm:pt modelId="{ED37CF43-FFD3-468F-B91A-853BFC53DB05}" type="pres">
      <dgm:prSet presAssocID="{3B6BDD3E-10C6-4A3D-823D-6233138C84C6}" presName="hierRoot2" presStyleCnt="0"/>
      <dgm:spPr/>
    </dgm:pt>
    <dgm:pt modelId="{2A559007-3E69-43C7-AC3D-95B3931D0A52}" type="pres">
      <dgm:prSet presAssocID="{3B6BDD3E-10C6-4A3D-823D-6233138C84C6}" presName="composite2" presStyleCnt="0"/>
      <dgm:spPr/>
    </dgm:pt>
    <dgm:pt modelId="{1464BFEB-BEC5-4D84-AE1E-097C2EE775B8}" type="pres">
      <dgm:prSet presAssocID="{3B6BDD3E-10C6-4A3D-823D-6233138C84C6}" presName="background2" presStyleLbl="node2" presStyleIdx="2" presStyleCnt="3"/>
      <dgm:spPr/>
    </dgm:pt>
    <dgm:pt modelId="{6209CBDF-EA23-4207-916E-6BD628B9B9BE}" type="pres">
      <dgm:prSet presAssocID="{3B6BDD3E-10C6-4A3D-823D-6233138C84C6}" presName="text2" presStyleLbl="fgAcc2" presStyleIdx="2" presStyleCnt="3" custScaleX="124342">
        <dgm:presLayoutVars>
          <dgm:chPref val="3"/>
        </dgm:presLayoutVars>
      </dgm:prSet>
      <dgm:spPr/>
    </dgm:pt>
    <dgm:pt modelId="{AE22B622-E755-49CE-B7F9-A7A339E3C565}" type="pres">
      <dgm:prSet presAssocID="{3B6BDD3E-10C6-4A3D-823D-6233138C84C6}" presName="hierChild3" presStyleCnt="0"/>
      <dgm:spPr/>
    </dgm:pt>
  </dgm:ptLst>
  <dgm:cxnLst>
    <dgm:cxn modelId="{3D401608-90EA-4F28-A48F-BDDC35F5DAF3}" type="presOf" srcId="{08F8810D-4E5B-4E2F-A083-569C9C620F57}" destId="{989132C4-5723-4F2E-8BE2-15AB51BDE8BE}" srcOrd="0" destOrd="0" presId="urn:microsoft.com/office/officeart/2005/8/layout/hierarchy1"/>
    <dgm:cxn modelId="{86D25509-D88D-422A-84E9-FB4BBFE0F3EF}" type="presOf" srcId="{B2425C3A-F0BE-470E-8E85-963CDBE2965A}" destId="{4F3025C8-CDD9-4439-B58A-9BF19AECCD78}" srcOrd="0" destOrd="0" presId="urn:microsoft.com/office/officeart/2005/8/layout/hierarchy1"/>
    <dgm:cxn modelId="{20694917-8501-4A5C-AA31-7D6ADB6E4BEB}" type="presOf" srcId="{D8BA2985-5C47-440A-9BEC-0ED96E09A0C0}" destId="{0A3B0254-642A-4382-8F01-1A4F21183EF2}" srcOrd="0" destOrd="0" presId="urn:microsoft.com/office/officeart/2005/8/layout/hierarchy1"/>
    <dgm:cxn modelId="{B063F41B-2076-4D9D-BAE8-EF252640A5F7}" type="presOf" srcId="{76826430-F176-4651-B368-3F3261F5D225}" destId="{C73880FD-0C3F-4685-9270-1ABAF3F7A01D}" srcOrd="0" destOrd="0" presId="urn:microsoft.com/office/officeart/2005/8/layout/hierarchy1"/>
    <dgm:cxn modelId="{63CF021D-90B0-4ADB-82D8-DEA5D4BF4B16}" type="presOf" srcId="{C84462EC-7DF5-4776-8260-4B27558F8D78}" destId="{FAD88A2B-4E7C-463A-9A66-0523A6128412}" srcOrd="0" destOrd="0" presId="urn:microsoft.com/office/officeart/2005/8/layout/hierarchy1"/>
    <dgm:cxn modelId="{2ABDB21D-E55F-46CA-A96F-0CD04292B399}" type="presOf" srcId="{972165E1-804C-4F56-960B-213D3AF7B239}" destId="{B23CEDC0-C782-46F9-A2F2-2F6591650158}" srcOrd="0" destOrd="0" presId="urn:microsoft.com/office/officeart/2005/8/layout/hierarchy1"/>
    <dgm:cxn modelId="{E8B69E30-DBB2-4ADA-9BFD-A724C29A0F11}" type="presOf" srcId="{EBDE3EB7-B8D5-4680-9B66-756873C8179B}" destId="{844E7F7D-F787-4AFE-8E50-009C449F2B46}" srcOrd="0" destOrd="0" presId="urn:microsoft.com/office/officeart/2005/8/layout/hierarchy1"/>
    <dgm:cxn modelId="{05D7AC3D-4B62-47DA-A4CF-3C8F9185CABE}" type="presOf" srcId="{3B6BDD3E-10C6-4A3D-823D-6233138C84C6}" destId="{6209CBDF-EA23-4207-916E-6BD628B9B9BE}" srcOrd="0" destOrd="0" presId="urn:microsoft.com/office/officeart/2005/8/layout/hierarchy1"/>
    <dgm:cxn modelId="{5F88C73F-DFB7-47B8-B15E-ACB71A04E679}" srcId="{08F8810D-4E5B-4E2F-A083-569C9C620F57}" destId="{7CA309EB-2416-42C5-9E38-AE0F8BBBD93E}" srcOrd="0" destOrd="0" parTransId="{480390E7-AC9E-4E26-B02B-375172B15F7D}" sibTransId="{06ECBA75-A2C3-47F9-8DD8-0A8F6F085056}"/>
    <dgm:cxn modelId="{27F0405D-C8F1-46BB-B3C7-CBCE389C7834}" type="presOf" srcId="{480390E7-AC9E-4E26-B02B-375172B15F7D}" destId="{9E7AA4DF-C88C-42DF-9A47-2FFB84805556}" srcOrd="0" destOrd="0" presId="urn:microsoft.com/office/officeart/2005/8/layout/hierarchy1"/>
    <dgm:cxn modelId="{06BCC465-BFB4-4008-8F8C-312D2FC293A6}" type="presOf" srcId="{E81ACDFA-C7C1-42CB-A5EF-A15A3FFDE0F1}" destId="{BE280A65-7532-43D0-B279-72EFCE304586}" srcOrd="0" destOrd="0" presId="urn:microsoft.com/office/officeart/2005/8/layout/hierarchy1"/>
    <dgm:cxn modelId="{BDC73070-4F5B-44F6-BE55-4E4D9ED6ECB9}" type="presOf" srcId="{FFAD9B60-C241-4630-A286-DBEFDDF73A36}" destId="{22BB485F-619E-4C2E-9B84-AB415E469F73}" srcOrd="0" destOrd="0" presId="urn:microsoft.com/office/officeart/2005/8/layout/hierarchy1"/>
    <dgm:cxn modelId="{59870F51-BA68-4001-B5A2-DB6CB24D4673}" srcId="{9EBD9EB7-206A-4F29-B6CA-48BCAFC752DC}" destId="{3B6BDD3E-10C6-4A3D-823D-6233138C84C6}" srcOrd="2" destOrd="0" parTransId="{E81ACDFA-C7C1-42CB-A5EF-A15A3FFDE0F1}" sibTransId="{0681830F-461C-43C9-9244-FCA92BAAD660}"/>
    <dgm:cxn modelId="{A584B272-530C-4E50-983E-D29852258E97}" type="presOf" srcId="{6A65BDCA-8FC1-49AD-BF6F-1C266E0FF79E}" destId="{5F130061-AE2E-40A9-B480-7D84C9E7BD2A}" srcOrd="0" destOrd="0" presId="urn:microsoft.com/office/officeart/2005/8/layout/hierarchy1"/>
    <dgm:cxn modelId="{44034954-21CA-491E-A60D-25242260FFED}" srcId="{9EBD9EB7-206A-4F29-B6CA-48BCAFC752DC}" destId="{08F8810D-4E5B-4E2F-A083-569C9C620F57}" srcOrd="1" destOrd="0" parTransId="{FFAD9B60-C241-4630-A286-DBEFDDF73A36}" sibTransId="{3C2BD9D5-DB8C-465C-A329-BB2062880A3F}"/>
    <dgm:cxn modelId="{0B06C875-F027-4255-A6C9-4288708466DF}" type="presOf" srcId="{1A4CAD40-83BF-4581-A7B8-3139DD3F0E80}" destId="{4E1326E4-C0E1-4CA9-9D8E-5A300C701297}" srcOrd="0" destOrd="0" presId="urn:microsoft.com/office/officeart/2005/8/layout/hierarchy1"/>
    <dgm:cxn modelId="{2E786A82-99BF-42A0-ACDE-520F11A4AEC1}" type="presOf" srcId="{9EBD9EB7-206A-4F29-B6CA-48BCAFC752DC}" destId="{6480F3E7-9BA1-4275-925D-E833865D4CD2}" srcOrd="0" destOrd="0" presId="urn:microsoft.com/office/officeart/2005/8/layout/hierarchy1"/>
    <dgm:cxn modelId="{6D7F4896-13C0-4031-AEF1-4C3771680D63}" type="presOf" srcId="{63BF5FA6-6194-4277-BE24-C446087D3B8A}" destId="{DE72BFD0-669F-48C7-B35F-D38BFE6693FB}" srcOrd="0" destOrd="0" presId="urn:microsoft.com/office/officeart/2005/8/layout/hierarchy1"/>
    <dgm:cxn modelId="{026DC0AC-A074-499A-9173-35D5A24321A0}" srcId="{54539957-09D5-4C30-9A87-D330C536ECAF}" destId="{9EBD9EB7-206A-4F29-B6CA-48BCAFC752DC}" srcOrd="0" destOrd="0" parTransId="{AA2F32EE-51FF-406B-8406-A2E7E5FDE954}" sibTransId="{29611C23-2940-4E7E-9B46-097273F3AAFE}"/>
    <dgm:cxn modelId="{C66A38B3-C6AB-4B44-85D4-60BDBFC6A5A3}" srcId="{9EBD9EB7-206A-4F29-B6CA-48BCAFC752DC}" destId="{1A4CAD40-83BF-4581-A7B8-3139DD3F0E80}" srcOrd="0" destOrd="0" parTransId="{D8BA2985-5C47-440A-9BEC-0ED96E09A0C0}" sibTransId="{F2BFFAF1-CEFC-42DE-90F4-8E53AE65A0AA}"/>
    <dgm:cxn modelId="{7323D1C2-187D-4488-98AF-AE8DA31F3330}" type="presOf" srcId="{515B3A03-23CA-4BF4-94C8-756427E9C5C0}" destId="{790CBF1B-60D2-482F-AC9F-EE787EAF7626}" srcOrd="0" destOrd="0" presId="urn:microsoft.com/office/officeart/2005/8/layout/hierarchy1"/>
    <dgm:cxn modelId="{3A9138CB-2CDB-47E5-A59A-EC372573D8A5}" type="presOf" srcId="{54539957-09D5-4C30-9A87-D330C536ECAF}" destId="{40ADE6DE-BA5B-4EB4-99BD-400F8FA0C786}" srcOrd="0" destOrd="0" presId="urn:microsoft.com/office/officeart/2005/8/layout/hierarchy1"/>
    <dgm:cxn modelId="{3AB08BDA-4320-4F6A-AFFD-2806C76031A3}" srcId="{6A65BDCA-8FC1-49AD-BF6F-1C266E0FF79E}" destId="{C84462EC-7DF5-4776-8260-4B27558F8D78}" srcOrd="0" destOrd="0" parTransId="{515B3A03-23CA-4BF4-94C8-756427E9C5C0}" sibTransId="{49649D25-9AC3-46A7-BACF-70A0FF809508}"/>
    <dgm:cxn modelId="{9BBED1DC-5728-49BA-AADD-A428B9CC3ABA}" srcId="{7CA309EB-2416-42C5-9E38-AE0F8BBBD93E}" destId="{B2425C3A-F0BE-470E-8E85-963CDBE2965A}" srcOrd="0" destOrd="0" parTransId="{76826430-F176-4651-B368-3F3261F5D225}" sibTransId="{149DA8F9-78AC-43F2-851D-AAB162BA0C3C}"/>
    <dgm:cxn modelId="{DECF42E2-3A98-4414-898F-5F9101223AED}" srcId="{C84462EC-7DF5-4776-8260-4B27558F8D78}" destId="{63BF5FA6-6194-4277-BE24-C446087D3B8A}" srcOrd="0" destOrd="0" parTransId="{EBDE3EB7-B8D5-4680-9B66-756873C8179B}" sibTransId="{E4DF7AC9-5EB0-4DD6-A49A-EC21868B872D}"/>
    <dgm:cxn modelId="{E354D8E5-6D57-49D4-A4EE-BBB9C9FFD147}" srcId="{1A4CAD40-83BF-4581-A7B8-3139DD3F0E80}" destId="{6A65BDCA-8FC1-49AD-BF6F-1C266E0FF79E}" srcOrd="0" destOrd="0" parTransId="{972165E1-804C-4F56-960B-213D3AF7B239}" sibTransId="{24EC4F71-68B2-4731-B992-086E7F3CAE03}"/>
    <dgm:cxn modelId="{A84768ED-9E1C-4470-A1E6-3BA66B9005C7}" type="presOf" srcId="{7CA309EB-2416-42C5-9E38-AE0F8BBBD93E}" destId="{BE5B2640-FC92-441C-ACD4-DBD77D77C9A3}" srcOrd="0" destOrd="0" presId="urn:microsoft.com/office/officeart/2005/8/layout/hierarchy1"/>
    <dgm:cxn modelId="{1C92CD51-4862-422E-BF85-262CAD4F7DFB}" type="presParOf" srcId="{40ADE6DE-BA5B-4EB4-99BD-400F8FA0C786}" destId="{7DCBC371-C9A3-4D08-B45D-588CB95F2927}" srcOrd="0" destOrd="0" presId="urn:microsoft.com/office/officeart/2005/8/layout/hierarchy1"/>
    <dgm:cxn modelId="{4151C854-5D7A-410F-ACFF-C297B7D73F26}" type="presParOf" srcId="{7DCBC371-C9A3-4D08-B45D-588CB95F2927}" destId="{96E8C25F-71F7-47BE-98B0-4D1C6511DFF6}" srcOrd="0" destOrd="0" presId="urn:microsoft.com/office/officeart/2005/8/layout/hierarchy1"/>
    <dgm:cxn modelId="{B2BC8EAB-35B2-4A62-8750-842966EEEDB5}" type="presParOf" srcId="{96E8C25F-71F7-47BE-98B0-4D1C6511DFF6}" destId="{DE8F6C49-C579-4801-A362-833CF16512BF}" srcOrd="0" destOrd="0" presId="urn:microsoft.com/office/officeart/2005/8/layout/hierarchy1"/>
    <dgm:cxn modelId="{5FE4E0B4-8384-4A99-B3C3-08191B4D1C6A}" type="presParOf" srcId="{96E8C25F-71F7-47BE-98B0-4D1C6511DFF6}" destId="{6480F3E7-9BA1-4275-925D-E833865D4CD2}" srcOrd="1" destOrd="0" presId="urn:microsoft.com/office/officeart/2005/8/layout/hierarchy1"/>
    <dgm:cxn modelId="{703AD28D-2F3C-4B38-A366-4CD78A928AF8}" type="presParOf" srcId="{7DCBC371-C9A3-4D08-B45D-588CB95F2927}" destId="{284F70AF-5618-4722-93E0-E49753463923}" srcOrd="1" destOrd="0" presId="urn:microsoft.com/office/officeart/2005/8/layout/hierarchy1"/>
    <dgm:cxn modelId="{97B1D2F8-F17F-4179-909F-24E089063167}" type="presParOf" srcId="{284F70AF-5618-4722-93E0-E49753463923}" destId="{0A3B0254-642A-4382-8F01-1A4F21183EF2}" srcOrd="0" destOrd="0" presId="urn:microsoft.com/office/officeart/2005/8/layout/hierarchy1"/>
    <dgm:cxn modelId="{34915694-5743-4EB3-BE46-DC4E5E09B99C}" type="presParOf" srcId="{284F70AF-5618-4722-93E0-E49753463923}" destId="{9408BC76-4254-46CC-A692-09507FF6A2E6}" srcOrd="1" destOrd="0" presId="urn:microsoft.com/office/officeart/2005/8/layout/hierarchy1"/>
    <dgm:cxn modelId="{B245BD90-D5D1-4E15-A860-EC35D60784D8}" type="presParOf" srcId="{9408BC76-4254-46CC-A692-09507FF6A2E6}" destId="{531202E4-CDA3-49C5-9EF5-13B65B4E43A6}" srcOrd="0" destOrd="0" presId="urn:microsoft.com/office/officeart/2005/8/layout/hierarchy1"/>
    <dgm:cxn modelId="{1AF1C5ED-1CFF-4E50-8093-932A1B4F8825}" type="presParOf" srcId="{531202E4-CDA3-49C5-9EF5-13B65B4E43A6}" destId="{4BE1806B-4DA7-4B8D-8ED4-D2DA3B1F3926}" srcOrd="0" destOrd="0" presId="urn:microsoft.com/office/officeart/2005/8/layout/hierarchy1"/>
    <dgm:cxn modelId="{09DF8E17-F1EA-4B39-B851-31EF1856FCE7}" type="presParOf" srcId="{531202E4-CDA3-49C5-9EF5-13B65B4E43A6}" destId="{4E1326E4-C0E1-4CA9-9D8E-5A300C701297}" srcOrd="1" destOrd="0" presId="urn:microsoft.com/office/officeart/2005/8/layout/hierarchy1"/>
    <dgm:cxn modelId="{0688673A-A64B-4804-9313-809D76A333F2}" type="presParOf" srcId="{9408BC76-4254-46CC-A692-09507FF6A2E6}" destId="{550D78FF-22F2-43DF-8C5B-46A6E95E2B99}" srcOrd="1" destOrd="0" presId="urn:microsoft.com/office/officeart/2005/8/layout/hierarchy1"/>
    <dgm:cxn modelId="{09294D56-69CE-4DCD-A918-23656236A3BD}" type="presParOf" srcId="{550D78FF-22F2-43DF-8C5B-46A6E95E2B99}" destId="{B23CEDC0-C782-46F9-A2F2-2F6591650158}" srcOrd="0" destOrd="0" presId="urn:microsoft.com/office/officeart/2005/8/layout/hierarchy1"/>
    <dgm:cxn modelId="{FD597473-98EA-4DC8-B7BF-F3A43DF0FFFF}" type="presParOf" srcId="{550D78FF-22F2-43DF-8C5B-46A6E95E2B99}" destId="{21E3CAF2-710A-49B0-9447-9F32119E2FF8}" srcOrd="1" destOrd="0" presId="urn:microsoft.com/office/officeart/2005/8/layout/hierarchy1"/>
    <dgm:cxn modelId="{75F58B48-6038-4DDD-BC4F-E6DECCE680BA}" type="presParOf" srcId="{21E3CAF2-710A-49B0-9447-9F32119E2FF8}" destId="{B5A10BE9-9E94-42F5-ACB8-E014019949BD}" srcOrd="0" destOrd="0" presId="urn:microsoft.com/office/officeart/2005/8/layout/hierarchy1"/>
    <dgm:cxn modelId="{C295F824-A807-48CC-AEEA-0A2022B06959}" type="presParOf" srcId="{B5A10BE9-9E94-42F5-ACB8-E014019949BD}" destId="{01F645FA-D073-4BCB-A5B9-536C866CB3D5}" srcOrd="0" destOrd="0" presId="urn:microsoft.com/office/officeart/2005/8/layout/hierarchy1"/>
    <dgm:cxn modelId="{46D5EC7E-EF5A-4BF6-B9DC-6896DAB89D85}" type="presParOf" srcId="{B5A10BE9-9E94-42F5-ACB8-E014019949BD}" destId="{5F130061-AE2E-40A9-B480-7D84C9E7BD2A}" srcOrd="1" destOrd="0" presId="urn:microsoft.com/office/officeart/2005/8/layout/hierarchy1"/>
    <dgm:cxn modelId="{AA637F52-85AD-411F-AC61-C130C4E104EE}" type="presParOf" srcId="{21E3CAF2-710A-49B0-9447-9F32119E2FF8}" destId="{9627245D-88CB-4AA4-8214-7D0845BDB212}" srcOrd="1" destOrd="0" presId="urn:microsoft.com/office/officeart/2005/8/layout/hierarchy1"/>
    <dgm:cxn modelId="{C1A13270-968B-4E32-9022-E3CC256C02EC}" type="presParOf" srcId="{9627245D-88CB-4AA4-8214-7D0845BDB212}" destId="{790CBF1B-60D2-482F-AC9F-EE787EAF7626}" srcOrd="0" destOrd="0" presId="urn:microsoft.com/office/officeart/2005/8/layout/hierarchy1"/>
    <dgm:cxn modelId="{19CD4C95-17E5-4242-8A8A-DD3335AF80B3}" type="presParOf" srcId="{9627245D-88CB-4AA4-8214-7D0845BDB212}" destId="{330FEED7-961E-4148-88CA-03A95A1D0912}" srcOrd="1" destOrd="0" presId="urn:microsoft.com/office/officeart/2005/8/layout/hierarchy1"/>
    <dgm:cxn modelId="{A1106591-CA38-4251-913F-8CD01781B29C}" type="presParOf" srcId="{330FEED7-961E-4148-88CA-03A95A1D0912}" destId="{71A653A1-6AD0-459D-BCD5-27FA603D95C5}" srcOrd="0" destOrd="0" presId="urn:microsoft.com/office/officeart/2005/8/layout/hierarchy1"/>
    <dgm:cxn modelId="{C70FAF0D-057F-4564-9EAD-1558DB5CCDFB}" type="presParOf" srcId="{71A653A1-6AD0-459D-BCD5-27FA603D95C5}" destId="{2D67615A-6AE7-4B76-B268-8F70957B7B8E}" srcOrd="0" destOrd="0" presId="urn:microsoft.com/office/officeart/2005/8/layout/hierarchy1"/>
    <dgm:cxn modelId="{579CDA2D-7B99-4D07-819F-BF246A6E1494}" type="presParOf" srcId="{71A653A1-6AD0-459D-BCD5-27FA603D95C5}" destId="{FAD88A2B-4E7C-463A-9A66-0523A6128412}" srcOrd="1" destOrd="0" presId="urn:microsoft.com/office/officeart/2005/8/layout/hierarchy1"/>
    <dgm:cxn modelId="{F57D5876-21F4-4895-B89E-8E3AFFFE8F0C}" type="presParOf" srcId="{330FEED7-961E-4148-88CA-03A95A1D0912}" destId="{155B910F-556A-4D34-9900-200C2971F09A}" srcOrd="1" destOrd="0" presId="urn:microsoft.com/office/officeart/2005/8/layout/hierarchy1"/>
    <dgm:cxn modelId="{178EB30A-529E-4E0C-8E19-159A11218267}" type="presParOf" srcId="{155B910F-556A-4D34-9900-200C2971F09A}" destId="{844E7F7D-F787-4AFE-8E50-009C449F2B46}" srcOrd="0" destOrd="0" presId="urn:microsoft.com/office/officeart/2005/8/layout/hierarchy1"/>
    <dgm:cxn modelId="{26FED86C-E443-4FAC-88B6-F8B183CDA93E}" type="presParOf" srcId="{155B910F-556A-4D34-9900-200C2971F09A}" destId="{DAA158CA-1A56-4400-BB58-873187A07105}" srcOrd="1" destOrd="0" presId="urn:microsoft.com/office/officeart/2005/8/layout/hierarchy1"/>
    <dgm:cxn modelId="{52DE2255-7BA2-499C-B169-7B7D6CA4E484}" type="presParOf" srcId="{DAA158CA-1A56-4400-BB58-873187A07105}" destId="{480CAAE1-8EA3-47BE-9CF2-DAC550643828}" srcOrd="0" destOrd="0" presId="urn:microsoft.com/office/officeart/2005/8/layout/hierarchy1"/>
    <dgm:cxn modelId="{99A46E2C-E8EC-42F3-864C-9556A24E6DA1}" type="presParOf" srcId="{480CAAE1-8EA3-47BE-9CF2-DAC550643828}" destId="{116D2DBC-4985-4FEA-B6AA-F9C46361ED45}" srcOrd="0" destOrd="0" presId="urn:microsoft.com/office/officeart/2005/8/layout/hierarchy1"/>
    <dgm:cxn modelId="{4CB4CEF8-98A8-488F-9DB0-AD1AE3559645}" type="presParOf" srcId="{480CAAE1-8EA3-47BE-9CF2-DAC550643828}" destId="{DE72BFD0-669F-48C7-B35F-D38BFE6693FB}" srcOrd="1" destOrd="0" presId="urn:microsoft.com/office/officeart/2005/8/layout/hierarchy1"/>
    <dgm:cxn modelId="{96E30869-1230-4E56-8402-31C5D08E6942}" type="presParOf" srcId="{DAA158CA-1A56-4400-BB58-873187A07105}" destId="{927E1AB4-FBA6-404C-AC5F-C1A06E35DAF6}" srcOrd="1" destOrd="0" presId="urn:microsoft.com/office/officeart/2005/8/layout/hierarchy1"/>
    <dgm:cxn modelId="{83CD09AC-99CF-40D3-AAD7-BA92916B4F2C}" type="presParOf" srcId="{284F70AF-5618-4722-93E0-E49753463923}" destId="{22BB485F-619E-4C2E-9B84-AB415E469F73}" srcOrd="2" destOrd="0" presId="urn:microsoft.com/office/officeart/2005/8/layout/hierarchy1"/>
    <dgm:cxn modelId="{D8B9276D-513F-4123-8E91-D38CFD64E092}" type="presParOf" srcId="{284F70AF-5618-4722-93E0-E49753463923}" destId="{4630C6AD-9D54-4B79-A291-A49903E5AC51}" srcOrd="3" destOrd="0" presId="urn:microsoft.com/office/officeart/2005/8/layout/hierarchy1"/>
    <dgm:cxn modelId="{8355244E-B7D3-4422-A236-4D2BA772125C}" type="presParOf" srcId="{4630C6AD-9D54-4B79-A291-A49903E5AC51}" destId="{B2DFD511-29A0-44F1-8481-4117F90796C6}" srcOrd="0" destOrd="0" presId="urn:microsoft.com/office/officeart/2005/8/layout/hierarchy1"/>
    <dgm:cxn modelId="{940D4EDD-BE99-4270-B52C-D63B272EC6A3}" type="presParOf" srcId="{B2DFD511-29A0-44F1-8481-4117F90796C6}" destId="{897A466D-F8E7-4BBB-94FA-54C143274F50}" srcOrd="0" destOrd="0" presId="urn:microsoft.com/office/officeart/2005/8/layout/hierarchy1"/>
    <dgm:cxn modelId="{1F5A7125-0FEE-400D-B5AD-E828F37064A6}" type="presParOf" srcId="{B2DFD511-29A0-44F1-8481-4117F90796C6}" destId="{989132C4-5723-4F2E-8BE2-15AB51BDE8BE}" srcOrd="1" destOrd="0" presId="urn:microsoft.com/office/officeart/2005/8/layout/hierarchy1"/>
    <dgm:cxn modelId="{EAF3F2D1-44FB-4C39-872E-2A13D44EECA9}" type="presParOf" srcId="{4630C6AD-9D54-4B79-A291-A49903E5AC51}" destId="{1CC9DD6B-76C5-441F-9F9E-540CFB5E1B7F}" srcOrd="1" destOrd="0" presId="urn:microsoft.com/office/officeart/2005/8/layout/hierarchy1"/>
    <dgm:cxn modelId="{31EE1B4A-8DD2-4B20-B06A-1848ACC62CAE}" type="presParOf" srcId="{1CC9DD6B-76C5-441F-9F9E-540CFB5E1B7F}" destId="{9E7AA4DF-C88C-42DF-9A47-2FFB84805556}" srcOrd="0" destOrd="0" presId="urn:microsoft.com/office/officeart/2005/8/layout/hierarchy1"/>
    <dgm:cxn modelId="{A93089E2-854A-48E7-8400-BD5CB143C90F}" type="presParOf" srcId="{1CC9DD6B-76C5-441F-9F9E-540CFB5E1B7F}" destId="{4A73A908-2A5F-42C1-B380-8F0E1F21D2DB}" srcOrd="1" destOrd="0" presId="urn:microsoft.com/office/officeart/2005/8/layout/hierarchy1"/>
    <dgm:cxn modelId="{1DA0D009-8271-4189-96C1-DD7391CFEE86}" type="presParOf" srcId="{4A73A908-2A5F-42C1-B380-8F0E1F21D2DB}" destId="{49380EDE-C0D2-4193-ACB2-66F23EA01A97}" srcOrd="0" destOrd="0" presId="urn:microsoft.com/office/officeart/2005/8/layout/hierarchy1"/>
    <dgm:cxn modelId="{700EB2EA-A6A2-42C5-80EE-D3AB923D0F4C}" type="presParOf" srcId="{49380EDE-C0D2-4193-ACB2-66F23EA01A97}" destId="{665DF828-9DE9-4215-B59B-82F607BBB124}" srcOrd="0" destOrd="0" presId="urn:microsoft.com/office/officeart/2005/8/layout/hierarchy1"/>
    <dgm:cxn modelId="{6E3C1F66-5EA3-45E3-A42E-533BB78389AB}" type="presParOf" srcId="{49380EDE-C0D2-4193-ACB2-66F23EA01A97}" destId="{BE5B2640-FC92-441C-ACD4-DBD77D77C9A3}" srcOrd="1" destOrd="0" presId="urn:microsoft.com/office/officeart/2005/8/layout/hierarchy1"/>
    <dgm:cxn modelId="{66A7CD62-0D63-416F-8238-12451FDEBF4F}" type="presParOf" srcId="{4A73A908-2A5F-42C1-B380-8F0E1F21D2DB}" destId="{E324C8D1-098A-48DB-A2A3-1C020C2FD7DF}" srcOrd="1" destOrd="0" presId="urn:microsoft.com/office/officeart/2005/8/layout/hierarchy1"/>
    <dgm:cxn modelId="{4D7DD6D3-C423-43D7-B8F0-00517F90B0CC}" type="presParOf" srcId="{E324C8D1-098A-48DB-A2A3-1C020C2FD7DF}" destId="{C73880FD-0C3F-4685-9270-1ABAF3F7A01D}" srcOrd="0" destOrd="0" presId="urn:microsoft.com/office/officeart/2005/8/layout/hierarchy1"/>
    <dgm:cxn modelId="{34B2C75B-4F6C-4B60-9153-07269E1130FD}" type="presParOf" srcId="{E324C8D1-098A-48DB-A2A3-1C020C2FD7DF}" destId="{49854DE0-0506-4459-9D75-1CCB25B71027}" srcOrd="1" destOrd="0" presId="urn:microsoft.com/office/officeart/2005/8/layout/hierarchy1"/>
    <dgm:cxn modelId="{AF6B5E6F-78F8-4807-83AD-1F11554E24E6}" type="presParOf" srcId="{49854DE0-0506-4459-9D75-1CCB25B71027}" destId="{2B322A0D-2BE6-4EFA-A2CC-489A8DE76648}" srcOrd="0" destOrd="0" presId="urn:microsoft.com/office/officeart/2005/8/layout/hierarchy1"/>
    <dgm:cxn modelId="{8EC9B5DC-6F2F-48D7-8124-3B58AEA2E879}" type="presParOf" srcId="{2B322A0D-2BE6-4EFA-A2CC-489A8DE76648}" destId="{4388CF85-1721-46B2-8EEA-EB527A69BA7B}" srcOrd="0" destOrd="0" presId="urn:microsoft.com/office/officeart/2005/8/layout/hierarchy1"/>
    <dgm:cxn modelId="{7B4B7EAF-3ABF-4E4B-B61F-806F0DF45CF1}" type="presParOf" srcId="{2B322A0D-2BE6-4EFA-A2CC-489A8DE76648}" destId="{4F3025C8-CDD9-4439-B58A-9BF19AECCD78}" srcOrd="1" destOrd="0" presId="urn:microsoft.com/office/officeart/2005/8/layout/hierarchy1"/>
    <dgm:cxn modelId="{CF78E0DC-CD3F-4247-AE95-D9D635E19459}" type="presParOf" srcId="{49854DE0-0506-4459-9D75-1CCB25B71027}" destId="{A2151798-345A-44CE-BDDC-38649F222326}" srcOrd="1" destOrd="0" presId="urn:microsoft.com/office/officeart/2005/8/layout/hierarchy1"/>
    <dgm:cxn modelId="{6A5FA752-BA3A-4F09-B95B-DCDFD1C8C975}" type="presParOf" srcId="{284F70AF-5618-4722-93E0-E49753463923}" destId="{BE280A65-7532-43D0-B279-72EFCE304586}" srcOrd="4" destOrd="0" presId="urn:microsoft.com/office/officeart/2005/8/layout/hierarchy1"/>
    <dgm:cxn modelId="{666DC5AD-45E7-42E2-9E55-8F8879AAD378}" type="presParOf" srcId="{284F70AF-5618-4722-93E0-E49753463923}" destId="{ED37CF43-FFD3-468F-B91A-853BFC53DB05}" srcOrd="5" destOrd="0" presId="urn:microsoft.com/office/officeart/2005/8/layout/hierarchy1"/>
    <dgm:cxn modelId="{79CF8694-D7AA-46E9-9EBD-9C1FF72376EA}" type="presParOf" srcId="{ED37CF43-FFD3-468F-B91A-853BFC53DB05}" destId="{2A559007-3E69-43C7-AC3D-95B3931D0A52}" srcOrd="0" destOrd="0" presId="urn:microsoft.com/office/officeart/2005/8/layout/hierarchy1"/>
    <dgm:cxn modelId="{30C63299-E508-4FC5-8C78-368CD977C223}" type="presParOf" srcId="{2A559007-3E69-43C7-AC3D-95B3931D0A52}" destId="{1464BFEB-BEC5-4D84-AE1E-097C2EE775B8}" srcOrd="0" destOrd="0" presId="urn:microsoft.com/office/officeart/2005/8/layout/hierarchy1"/>
    <dgm:cxn modelId="{848B5B9D-DDA1-499C-B7E8-BA9F804AE351}" type="presParOf" srcId="{2A559007-3E69-43C7-AC3D-95B3931D0A52}" destId="{6209CBDF-EA23-4207-916E-6BD628B9B9BE}" srcOrd="1" destOrd="0" presId="urn:microsoft.com/office/officeart/2005/8/layout/hierarchy1"/>
    <dgm:cxn modelId="{9844404D-B0AB-4759-B944-B51D0B9A1CE3}" type="presParOf" srcId="{ED37CF43-FFD3-468F-B91A-853BFC53DB05}" destId="{AE22B622-E755-49CE-B7F9-A7A339E3C565}"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280A65-7532-43D0-B279-72EFCE304586}">
      <dsp:nvSpPr>
        <dsp:cNvPr id="0" name=""/>
        <dsp:cNvSpPr/>
      </dsp:nvSpPr>
      <dsp:spPr>
        <a:xfrm>
          <a:off x="2985904" y="809788"/>
          <a:ext cx="1821038" cy="369563"/>
        </a:xfrm>
        <a:custGeom>
          <a:avLst/>
          <a:gdLst/>
          <a:ahLst/>
          <a:cxnLst/>
          <a:rect l="0" t="0" r="0" b="0"/>
          <a:pathLst>
            <a:path>
              <a:moveTo>
                <a:pt x="0" y="0"/>
              </a:moveTo>
              <a:lnTo>
                <a:pt x="0" y="251846"/>
              </a:lnTo>
              <a:lnTo>
                <a:pt x="1821038" y="251846"/>
              </a:lnTo>
              <a:lnTo>
                <a:pt x="1821038" y="36956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880FD-0C3F-4685-9270-1ABAF3F7A01D}">
      <dsp:nvSpPr>
        <dsp:cNvPr id="0" name=""/>
        <dsp:cNvSpPr/>
      </dsp:nvSpPr>
      <dsp:spPr>
        <a:xfrm>
          <a:off x="2899045" y="3162711"/>
          <a:ext cx="91440" cy="369563"/>
        </a:xfrm>
        <a:custGeom>
          <a:avLst/>
          <a:gdLst/>
          <a:ahLst/>
          <a:cxnLst/>
          <a:rect l="0" t="0" r="0" b="0"/>
          <a:pathLst>
            <a:path>
              <a:moveTo>
                <a:pt x="45720" y="0"/>
              </a:moveTo>
              <a:lnTo>
                <a:pt x="45720" y="36956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7AA4DF-C88C-42DF-9A47-2FFB84805556}">
      <dsp:nvSpPr>
        <dsp:cNvPr id="0" name=""/>
        <dsp:cNvSpPr/>
      </dsp:nvSpPr>
      <dsp:spPr>
        <a:xfrm>
          <a:off x="2899045" y="1986249"/>
          <a:ext cx="91440" cy="369563"/>
        </a:xfrm>
        <a:custGeom>
          <a:avLst/>
          <a:gdLst/>
          <a:ahLst/>
          <a:cxnLst/>
          <a:rect l="0" t="0" r="0" b="0"/>
          <a:pathLst>
            <a:path>
              <a:moveTo>
                <a:pt x="45720" y="0"/>
              </a:moveTo>
              <a:lnTo>
                <a:pt x="45720" y="36956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BB485F-619E-4C2E-9B84-AB415E469F73}">
      <dsp:nvSpPr>
        <dsp:cNvPr id="0" name=""/>
        <dsp:cNvSpPr/>
      </dsp:nvSpPr>
      <dsp:spPr>
        <a:xfrm>
          <a:off x="2899045" y="809788"/>
          <a:ext cx="91440" cy="369563"/>
        </a:xfrm>
        <a:custGeom>
          <a:avLst/>
          <a:gdLst/>
          <a:ahLst/>
          <a:cxnLst/>
          <a:rect l="0" t="0" r="0" b="0"/>
          <a:pathLst>
            <a:path>
              <a:moveTo>
                <a:pt x="86859" y="0"/>
              </a:moveTo>
              <a:lnTo>
                <a:pt x="86859" y="251846"/>
              </a:lnTo>
              <a:lnTo>
                <a:pt x="45720" y="251846"/>
              </a:lnTo>
              <a:lnTo>
                <a:pt x="45720" y="36956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4E7F7D-F787-4AFE-8E50-009C449F2B46}">
      <dsp:nvSpPr>
        <dsp:cNvPr id="0" name=""/>
        <dsp:cNvSpPr/>
      </dsp:nvSpPr>
      <dsp:spPr>
        <a:xfrm>
          <a:off x="964488" y="4339173"/>
          <a:ext cx="91440" cy="369563"/>
        </a:xfrm>
        <a:custGeom>
          <a:avLst/>
          <a:gdLst/>
          <a:ahLst/>
          <a:cxnLst/>
          <a:rect l="0" t="0" r="0" b="0"/>
          <a:pathLst>
            <a:path>
              <a:moveTo>
                <a:pt x="45720" y="0"/>
              </a:moveTo>
              <a:lnTo>
                <a:pt x="45720" y="36956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0CBF1B-60D2-482F-AC9F-EE787EAF7626}">
      <dsp:nvSpPr>
        <dsp:cNvPr id="0" name=""/>
        <dsp:cNvSpPr/>
      </dsp:nvSpPr>
      <dsp:spPr>
        <a:xfrm>
          <a:off x="964488" y="3162711"/>
          <a:ext cx="91440" cy="369563"/>
        </a:xfrm>
        <a:custGeom>
          <a:avLst/>
          <a:gdLst/>
          <a:ahLst/>
          <a:cxnLst/>
          <a:rect l="0" t="0" r="0" b="0"/>
          <a:pathLst>
            <a:path>
              <a:moveTo>
                <a:pt x="45720" y="0"/>
              </a:moveTo>
              <a:lnTo>
                <a:pt x="45720" y="36956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3CEDC0-C782-46F9-A2F2-2F6591650158}">
      <dsp:nvSpPr>
        <dsp:cNvPr id="0" name=""/>
        <dsp:cNvSpPr/>
      </dsp:nvSpPr>
      <dsp:spPr>
        <a:xfrm>
          <a:off x="964488" y="1986249"/>
          <a:ext cx="91440" cy="369563"/>
        </a:xfrm>
        <a:custGeom>
          <a:avLst/>
          <a:gdLst/>
          <a:ahLst/>
          <a:cxnLst/>
          <a:rect l="0" t="0" r="0" b="0"/>
          <a:pathLst>
            <a:path>
              <a:moveTo>
                <a:pt x="45720" y="0"/>
              </a:moveTo>
              <a:lnTo>
                <a:pt x="45720" y="36956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3B0254-642A-4382-8F01-1A4F21183EF2}">
      <dsp:nvSpPr>
        <dsp:cNvPr id="0" name=""/>
        <dsp:cNvSpPr/>
      </dsp:nvSpPr>
      <dsp:spPr>
        <a:xfrm>
          <a:off x="1010208" y="809788"/>
          <a:ext cx="1975696" cy="369563"/>
        </a:xfrm>
        <a:custGeom>
          <a:avLst/>
          <a:gdLst/>
          <a:ahLst/>
          <a:cxnLst/>
          <a:rect l="0" t="0" r="0" b="0"/>
          <a:pathLst>
            <a:path>
              <a:moveTo>
                <a:pt x="1975696" y="0"/>
              </a:moveTo>
              <a:lnTo>
                <a:pt x="1975696" y="251846"/>
              </a:lnTo>
              <a:lnTo>
                <a:pt x="0" y="251846"/>
              </a:lnTo>
              <a:lnTo>
                <a:pt x="0" y="36956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8F6C49-C579-4801-A362-833CF16512BF}">
      <dsp:nvSpPr>
        <dsp:cNvPr id="0" name=""/>
        <dsp:cNvSpPr/>
      </dsp:nvSpPr>
      <dsp:spPr>
        <a:xfrm>
          <a:off x="2017823" y="2890"/>
          <a:ext cx="1936161" cy="806898"/>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80F3E7-9BA1-4275-925D-E833865D4CD2}">
      <dsp:nvSpPr>
        <dsp:cNvPr id="0" name=""/>
        <dsp:cNvSpPr/>
      </dsp:nvSpPr>
      <dsp:spPr>
        <a:xfrm>
          <a:off x="2159012" y="137020"/>
          <a:ext cx="1936161" cy="806898"/>
        </a:xfrm>
        <a:prstGeom prst="roundRect">
          <a:avLst>
            <a:gd name="adj" fmla="val 10000"/>
          </a:avLst>
        </a:prstGeom>
        <a:solidFill>
          <a:schemeClr val="lt1">
            <a:alpha val="90000"/>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FARMER PRODUCER ORGANIZATIONS</a:t>
          </a:r>
        </a:p>
      </dsp:txBody>
      <dsp:txXfrm>
        <a:off x="2182645" y="160653"/>
        <a:ext cx="1888895" cy="759632"/>
      </dsp:txXfrm>
    </dsp:sp>
    <dsp:sp modelId="{4BE1806B-4DA7-4B8D-8ED4-D2DA3B1F3926}">
      <dsp:nvSpPr>
        <dsp:cNvPr id="0" name=""/>
        <dsp:cNvSpPr/>
      </dsp:nvSpPr>
      <dsp:spPr>
        <a:xfrm>
          <a:off x="374855" y="1179351"/>
          <a:ext cx="1270705" cy="80689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E1326E4-C0E1-4CA9-9D8E-5A300C701297}">
      <dsp:nvSpPr>
        <dsp:cNvPr id="0" name=""/>
        <dsp:cNvSpPr/>
      </dsp:nvSpPr>
      <dsp:spPr>
        <a:xfrm>
          <a:off x="516044" y="1313481"/>
          <a:ext cx="1270705" cy="806898"/>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GENSIS</a:t>
          </a:r>
        </a:p>
      </dsp:txBody>
      <dsp:txXfrm>
        <a:off x="539677" y="1337114"/>
        <a:ext cx="1223439" cy="759632"/>
      </dsp:txXfrm>
    </dsp:sp>
    <dsp:sp modelId="{01F645FA-D073-4BCB-A5B9-536C866CB3D5}">
      <dsp:nvSpPr>
        <dsp:cNvPr id="0" name=""/>
        <dsp:cNvSpPr/>
      </dsp:nvSpPr>
      <dsp:spPr>
        <a:xfrm>
          <a:off x="205457" y="2355813"/>
          <a:ext cx="1609501" cy="806898"/>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F130061-AE2E-40A9-B480-7D84C9E7BD2A}">
      <dsp:nvSpPr>
        <dsp:cNvPr id="0" name=""/>
        <dsp:cNvSpPr/>
      </dsp:nvSpPr>
      <dsp:spPr>
        <a:xfrm>
          <a:off x="346646" y="2489943"/>
          <a:ext cx="1609501" cy="806898"/>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EVOLUTION OF FPOs</a:t>
          </a:r>
        </a:p>
      </dsp:txBody>
      <dsp:txXfrm>
        <a:off x="370279" y="2513576"/>
        <a:ext cx="1562235" cy="759632"/>
      </dsp:txXfrm>
    </dsp:sp>
    <dsp:sp modelId="{2D67615A-6AE7-4B76-B268-8F70957B7B8E}">
      <dsp:nvSpPr>
        <dsp:cNvPr id="0" name=""/>
        <dsp:cNvSpPr/>
      </dsp:nvSpPr>
      <dsp:spPr>
        <a:xfrm>
          <a:off x="374855" y="3532275"/>
          <a:ext cx="1270705" cy="806898"/>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AD88A2B-4E7C-463A-9A66-0523A6128412}">
      <dsp:nvSpPr>
        <dsp:cNvPr id="0" name=""/>
        <dsp:cNvSpPr/>
      </dsp:nvSpPr>
      <dsp:spPr>
        <a:xfrm>
          <a:off x="516044" y="3666405"/>
          <a:ext cx="1270705" cy="806898"/>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TYPES OF FPOs</a:t>
          </a:r>
        </a:p>
      </dsp:txBody>
      <dsp:txXfrm>
        <a:off x="539677" y="3690038"/>
        <a:ext cx="1223439" cy="759632"/>
      </dsp:txXfrm>
    </dsp:sp>
    <dsp:sp modelId="{116D2DBC-4985-4FEA-B6AA-F9C46361ED45}">
      <dsp:nvSpPr>
        <dsp:cNvPr id="0" name=""/>
        <dsp:cNvSpPr/>
      </dsp:nvSpPr>
      <dsp:spPr>
        <a:xfrm>
          <a:off x="374855" y="4708736"/>
          <a:ext cx="1270705" cy="806898"/>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72BFD0-669F-48C7-B35F-D38BFE6693FB}">
      <dsp:nvSpPr>
        <dsp:cNvPr id="0" name=""/>
        <dsp:cNvSpPr/>
      </dsp:nvSpPr>
      <dsp:spPr>
        <a:xfrm>
          <a:off x="516044" y="4842866"/>
          <a:ext cx="1270705" cy="806898"/>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CURRENT STATUS OF FPOs</a:t>
          </a:r>
        </a:p>
      </dsp:txBody>
      <dsp:txXfrm>
        <a:off x="539677" y="4866499"/>
        <a:ext cx="1223439" cy="759632"/>
      </dsp:txXfrm>
    </dsp:sp>
    <dsp:sp modelId="{897A466D-F8E7-4BBB-94FA-54C143274F50}">
      <dsp:nvSpPr>
        <dsp:cNvPr id="0" name=""/>
        <dsp:cNvSpPr/>
      </dsp:nvSpPr>
      <dsp:spPr>
        <a:xfrm>
          <a:off x="2154976" y="1179351"/>
          <a:ext cx="1579576" cy="80689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89132C4-5723-4F2E-8BE2-15AB51BDE8BE}">
      <dsp:nvSpPr>
        <dsp:cNvPr id="0" name=""/>
        <dsp:cNvSpPr/>
      </dsp:nvSpPr>
      <dsp:spPr>
        <a:xfrm>
          <a:off x="2296166" y="1313481"/>
          <a:ext cx="1579576" cy="806898"/>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BEHAVIOUR CHANGE</a:t>
          </a:r>
        </a:p>
      </dsp:txBody>
      <dsp:txXfrm>
        <a:off x="2319799" y="1337114"/>
        <a:ext cx="1532310" cy="759632"/>
      </dsp:txXfrm>
    </dsp:sp>
    <dsp:sp modelId="{665DF828-9DE9-4215-B59B-82F607BBB124}">
      <dsp:nvSpPr>
        <dsp:cNvPr id="0" name=""/>
        <dsp:cNvSpPr/>
      </dsp:nvSpPr>
      <dsp:spPr>
        <a:xfrm>
          <a:off x="2097337" y="2355813"/>
          <a:ext cx="1694854" cy="806898"/>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E5B2640-FC92-441C-ACD4-DBD77D77C9A3}">
      <dsp:nvSpPr>
        <dsp:cNvPr id="0" name=""/>
        <dsp:cNvSpPr/>
      </dsp:nvSpPr>
      <dsp:spPr>
        <a:xfrm>
          <a:off x="2238527" y="2489943"/>
          <a:ext cx="1694854" cy="806898"/>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BEHVIOURAL DEFINITIONS AND  DIMNESIONS</a:t>
          </a:r>
        </a:p>
      </dsp:txBody>
      <dsp:txXfrm>
        <a:off x="2262160" y="2513576"/>
        <a:ext cx="1647588" cy="759632"/>
      </dsp:txXfrm>
    </dsp:sp>
    <dsp:sp modelId="{4388CF85-1721-46B2-8EEA-EB527A69BA7B}">
      <dsp:nvSpPr>
        <dsp:cNvPr id="0" name=""/>
        <dsp:cNvSpPr/>
      </dsp:nvSpPr>
      <dsp:spPr>
        <a:xfrm>
          <a:off x="1972668" y="3532275"/>
          <a:ext cx="1944192" cy="935808"/>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F3025C8-CDD9-4439-B58A-9BF19AECCD78}">
      <dsp:nvSpPr>
        <dsp:cNvPr id="0" name=""/>
        <dsp:cNvSpPr/>
      </dsp:nvSpPr>
      <dsp:spPr>
        <a:xfrm>
          <a:off x="2113858" y="3666405"/>
          <a:ext cx="1944192" cy="935808"/>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STUDIES ON FPOs BEHAVIOURAL CHANGE ON MEMBERS</a:t>
          </a:r>
        </a:p>
      </dsp:txBody>
      <dsp:txXfrm>
        <a:off x="2141267" y="3693814"/>
        <a:ext cx="1889374" cy="880990"/>
      </dsp:txXfrm>
    </dsp:sp>
    <dsp:sp modelId="{1464BFEB-BEC5-4D84-AE1E-097C2EE775B8}">
      <dsp:nvSpPr>
        <dsp:cNvPr id="0" name=""/>
        <dsp:cNvSpPr/>
      </dsp:nvSpPr>
      <dsp:spPr>
        <a:xfrm>
          <a:off x="4016932" y="1179351"/>
          <a:ext cx="1580020" cy="806898"/>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209CBDF-EA23-4207-916E-6BD628B9B9BE}">
      <dsp:nvSpPr>
        <dsp:cNvPr id="0" name=""/>
        <dsp:cNvSpPr/>
      </dsp:nvSpPr>
      <dsp:spPr>
        <a:xfrm>
          <a:off x="4158121" y="1313481"/>
          <a:ext cx="1580020" cy="806898"/>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a:latin typeface="Times New Roman" pitchFamily="18" charset="0"/>
              <a:cs typeface="Times New Roman" pitchFamily="18" charset="0"/>
            </a:rPr>
            <a:t>CONSTRAINTS</a:t>
          </a:r>
        </a:p>
      </dsp:txBody>
      <dsp:txXfrm>
        <a:off x="4181754" y="1337114"/>
        <a:ext cx="1532754" cy="75963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2E9F2-9AA7-4B21-A5AB-2ACC32B41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20</Pages>
  <Words>7144</Words>
  <Characters>40722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47771</CharactersWithSpaces>
  <SharedDoc>false</SharedDoc>
  <HLinks>
    <vt:vector size="12" baseType="variant">
      <vt:variant>
        <vt:i4>2228304</vt:i4>
      </vt:variant>
      <vt:variant>
        <vt:i4>3</vt:i4>
      </vt:variant>
      <vt:variant>
        <vt:i4>0</vt:i4>
      </vt:variant>
      <vt:variant>
        <vt:i4>5</vt:i4>
      </vt:variant>
      <vt:variant>
        <vt:lpwstr>https://tci.cornell.edu/wp-content/uploads/2024/10/TCI-FPO-Numbers_Policy-Brief.pdf</vt:lpwstr>
      </vt:variant>
      <vt:variant>
        <vt:lpwstr/>
      </vt:variant>
      <vt:variant>
        <vt:i4>3801211</vt:i4>
      </vt:variant>
      <vt:variant>
        <vt:i4>0</vt:i4>
      </vt:variant>
      <vt:variant>
        <vt:i4>0</vt:i4>
      </vt:variant>
      <vt:variant>
        <vt:i4>5</vt:i4>
      </vt:variant>
      <vt:variant>
        <vt:lpwstr>https://pib.gov.in/PressReleaseIframePage.aspx?PRID=2106913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pavan</dc:creator>
  <cp:lastModifiedBy>Editor-22</cp:lastModifiedBy>
  <cp:revision>73</cp:revision>
  <dcterms:created xsi:type="dcterms:W3CDTF">2025-04-13T03:28:00Z</dcterms:created>
  <dcterms:modified xsi:type="dcterms:W3CDTF">2025-05-05T12:05:00Z</dcterms:modified>
</cp:coreProperties>
</file>