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16099" w14:textId="0B6E573B" w:rsidR="008E4FC4" w:rsidRPr="008E4FC4" w:rsidRDefault="005E72E8" w:rsidP="0079339C">
      <w:pPr>
        <w:jc w:val="both"/>
        <w:rPr>
          <w:rFonts w:ascii="Times New Roman" w:hAnsi="Times New Roman" w:cs="Times New Roman"/>
          <w:b/>
          <w:bCs/>
          <w:i/>
          <w:iCs/>
          <w:sz w:val="24"/>
          <w:szCs w:val="24"/>
          <w:u w:val="single"/>
        </w:rPr>
      </w:pPr>
      <w:r w:rsidRPr="008E4FC4">
        <w:rPr>
          <w:rFonts w:ascii="Times New Roman" w:hAnsi="Times New Roman" w:cs="Times New Roman"/>
          <w:b/>
          <w:bCs/>
          <w:i/>
          <w:iCs/>
          <w:sz w:val="24"/>
          <w:szCs w:val="24"/>
          <w:u w:val="single"/>
        </w:rPr>
        <w:t>Review Article</w:t>
      </w:r>
    </w:p>
    <w:p w14:paraId="05CD3AA8" w14:textId="11C90429" w:rsidR="0079339C" w:rsidRPr="0079339C" w:rsidRDefault="0079339C" w:rsidP="0079339C">
      <w:pPr>
        <w:jc w:val="both"/>
        <w:rPr>
          <w:rFonts w:ascii="Times New Roman" w:hAnsi="Times New Roman" w:cs="Times New Roman"/>
          <w:b/>
          <w:bCs/>
          <w:sz w:val="24"/>
          <w:szCs w:val="24"/>
        </w:rPr>
      </w:pPr>
      <w:r w:rsidRPr="0079339C">
        <w:rPr>
          <w:rFonts w:ascii="Times New Roman" w:hAnsi="Times New Roman" w:cs="Times New Roman"/>
          <w:b/>
          <w:bCs/>
          <w:sz w:val="24"/>
          <w:szCs w:val="24"/>
        </w:rPr>
        <w:t>Biochar: A Sustainable Solution for Soil Health and Climate Change Mitigation</w:t>
      </w:r>
    </w:p>
    <w:p w14:paraId="2D4FF043" w14:textId="77777777" w:rsidR="005E72E8" w:rsidRDefault="005E72E8" w:rsidP="005E72E8">
      <w:pPr>
        <w:jc w:val="both"/>
        <w:rPr>
          <w:rFonts w:ascii="Times New Roman" w:hAnsi="Times New Roman" w:cs="Times New Roman"/>
          <w:b/>
          <w:bCs/>
          <w:sz w:val="24"/>
          <w:szCs w:val="24"/>
        </w:rPr>
      </w:pPr>
    </w:p>
    <w:p w14:paraId="34AB1A9F" w14:textId="77777777" w:rsidR="00876BBB" w:rsidRDefault="006B7A3E" w:rsidP="00876BBB">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7C0A247A" w14:textId="77777777" w:rsidR="00876BBB" w:rsidRDefault="00876BBB" w:rsidP="00876BBB">
      <w:pPr>
        <w:ind w:firstLine="720"/>
        <w:jc w:val="both"/>
        <w:rPr>
          <w:rFonts w:ascii="Times New Roman" w:hAnsi="Times New Roman" w:cs="Times New Roman"/>
          <w:sz w:val="24"/>
          <w:szCs w:val="24"/>
        </w:rPr>
      </w:pPr>
    </w:p>
    <w:p w14:paraId="5423302C" w14:textId="77777777" w:rsidR="00876BBB" w:rsidRDefault="00876BBB" w:rsidP="00876BBB">
      <w:pPr>
        <w:ind w:firstLine="720"/>
        <w:jc w:val="both"/>
        <w:rPr>
          <w:rFonts w:ascii="Times New Roman" w:hAnsi="Times New Roman" w:cs="Times New Roman"/>
          <w:sz w:val="24"/>
          <w:szCs w:val="24"/>
        </w:rPr>
      </w:pPr>
    </w:p>
    <w:p w14:paraId="2D5E1579" w14:textId="77777777" w:rsidR="00876BBB" w:rsidRDefault="00876BBB" w:rsidP="00876BBB">
      <w:pPr>
        <w:ind w:firstLine="720"/>
        <w:jc w:val="both"/>
        <w:rPr>
          <w:rFonts w:ascii="Times New Roman" w:hAnsi="Times New Roman" w:cs="Times New Roman"/>
          <w:sz w:val="24"/>
          <w:szCs w:val="24"/>
        </w:rPr>
      </w:pPr>
    </w:p>
    <w:p w14:paraId="12127F31" w14:textId="64FBDD1A" w:rsidR="005E72E8" w:rsidRPr="00876BBB" w:rsidRDefault="005E72E8" w:rsidP="00876BBB">
      <w:pPr>
        <w:ind w:firstLine="720"/>
        <w:jc w:val="both"/>
        <w:rPr>
          <w:rFonts w:ascii="Times New Roman" w:hAnsi="Times New Roman" w:cs="Times New Roman"/>
          <w:sz w:val="24"/>
          <w:szCs w:val="24"/>
        </w:rPr>
      </w:pPr>
      <w:r w:rsidRPr="00E22036">
        <w:rPr>
          <w:rFonts w:ascii="Times New Roman" w:hAnsi="Times New Roman" w:cs="Times New Roman"/>
          <w:b/>
          <w:bCs/>
          <w:sz w:val="24"/>
          <w:szCs w:val="24"/>
        </w:rPr>
        <w:t xml:space="preserve">Abstract: </w:t>
      </w:r>
    </w:p>
    <w:p w14:paraId="6AA63099" w14:textId="77777777" w:rsidR="0022155B" w:rsidRPr="0022155B" w:rsidRDefault="0022155B" w:rsidP="0079339C">
      <w:pPr>
        <w:ind w:firstLine="720"/>
        <w:jc w:val="both"/>
        <w:rPr>
          <w:rFonts w:ascii="Times New Roman" w:hAnsi="Times New Roman" w:cs="Times New Roman"/>
          <w:sz w:val="24"/>
          <w:szCs w:val="24"/>
        </w:rPr>
      </w:pPr>
      <w:r w:rsidRPr="0022155B">
        <w:rPr>
          <w:rFonts w:ascii="Times New Roman" w:hAnsi="Times New Roman" w:cs="Times New Roman"/>
          <w:sz w:val="24"/>
          <w:szCs w:val="24"/>
        </w:rPr>
        <w:t>Biochar has emerged as a promising sustainable solution for improving soil health and mitigating climate change. Produced from the pyrolysis of organic biomass, biochar is a carbon-rich material that can enhance soil properties, increase crop yields, and sequester carbon in the soil. This review article explores the potential of biochar as a soil amendment and its role in climate change mitigation. It discusses the production process, physicochemical properties, and the effects of biochar on soil fertility, water retention, and microbial activity. The article also examines the carbon sequestration potential of biochar and its implications for reducing greenhouse gas emissions. Furthermore, it highlights the challenges and future research directions in biochar application. The review concludes that biochar represents a sustainable approach to improving soil health and combating climate change, with significant potential for widespread adoption in agriculture and environmental management.</w:t>
      </w:r>
    </w:p>
    <w:p w14:paraId="04A34776" w14:textId="77777777" w:rsidR="0022155B" w:rsidRPr="0079339C" w:rsidRDefault="0022155B" w:rsidP="0022155B">
      <w:pPr>
        <w:jc w:val="both"/>
        <w:rPr>
          <w:rFonts w:ascii="Times New Roman" w:hAnsi="Times New Roman" w:cs="Times New Roman"/>
          <w:i/>
          <w:iCs/>
          <w:sz w:val="24"/>
          <w:szCs w:val="24"/>
        </w:rPr>
      </w:pPr>
      <w:r w:rsidRPr="0079339C">
        <w:rPr>
          <w:rFonts w:ascii="Times New Roman" w:hAnsi="Times New Roman" w:cs="Times New Roman"/>
          <w:b/>
          <w:bCs/>
          <w:sz w:val="24"/>
          <w:szCs w:val="24"/>
        </w:rPr>
        <w:t>Keywords:</w:t>
      </w:r>
      <w:r w:rsidRPr="0022155B">
        <w:rPr>
          <w:rFonts w:ascii="Times New Roman" w:hAnsi="Times New Roman" w:cs="Times New Roman"/>
          <w:sz w:val="24"/>
          <w:szCs w:val="24"/>
        </w:rPr>
        <w:t xml:space="preserve"> </w:t>
      </w:r>
      <w:r w:rsidR="0079339C" w:rsidRPr="0079339C">
        <w:rPr>
          <w:rFonts w:ascii="Times New Roman" w:hAnsi="Times New Roman" w:cs="Times New Roman"/>
          <w:i/>
          <w:iCs/>
          <w:sz w:val="24"/>
          <w:szCs w:val="24"/>
        </w:rPr>
        <w:t>Biochar, Soil Health, Climate Change Mitigation, Carbon Sequestration, Sustainable Agriculture</w:t>
      </w:r>
    </w:p>
    <w:p w14:paraId="06F9203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1. Introduction</w:t>
      </w:r>
    </w:p>
    <w:p w14:paraId="1E565146" w14:textId="77777777" w:rsidR="0022155B" w:rsidRPr="0022155B" w:rsidRDefault="0022155B" w:rsidP="0079339C">
      <w:pPr>
        <w:ind w:firstLine="720"/>
        <w:jc w:val="both"/>
        <w:rPr>
          <w:rFonts w:ascii="Times New Roman" w:hAnsi="Times New Roman" w:cs="Times New Roman"/>
          <w:sz w:val="24"/>
          <w:szCs w:val="24"/>
        </w:rPr>
      </w:pPr>
      <w:r w:rsidRPr="0022155B">
        <w:rPr>
          <w:rFonts w:ascii="Times New Roman" w:hAnsi="Times New Roman" w:cs="Times New Roman"/>
          <w:sz w:val="24"/>
          <w:szCs w:val="24"/>
        </w:rPr>
        <w:t>The global population is projected to reach 9.7 billion by 2050, posing significant challenges for food security and environmental sustainability [1]. Meeting the growing demand for food while mitigating the impacts of climate change requires innovative and sustainable solutions. Biochar, a carbon-rich material produced from the pyrolysis of organic biomass, has emerged as a promising approach to address these challenges [2].</w:t>
      </w:r>
    </w:p>
    <w:p w14:paraId="7078BC1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Biochar is a stable, porous, and carbon-rich substance that can be incorporated into the soil to improve its properties and enhance crop productivity [3]. It is produced by heating organic biomass, such as agricultural residues, wood waste, or manure, in a low-oxygen environment through a process called pyrolysis [4]. The resulting biochar has unique physicochemical properties that make it an effective soil amendment and a potential tool for climate change mitigation [5].</w:t>
      </w:r>
    </w:p>
    <w:p w14:paraId="62D50AD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The application of biochar to soil has been shown to improve soil fertility, increase water retention capacity, and enhance microbial activity [6]. These improvements can lead to increased crop yields and reduced reliance on chemical fertilizers [7]. Moreover, biochar has the potential </w:t>
      </w:r>
      <w:r w:rsidRPr="0022155B">
        <w:rPr>
          <w:rFonts w:ascii="Times New Roman" w:hAnsi="Times New Roman" w:cs="Times New Roman"/>
          <w:sz w:val="24"/>
          <w:szCs w:val="24"/>
        </w:rPr>
        <w:lastRenderedPageBreak/>
        <w:t>to sequester carbon in the soil for hundreds to thousands of years, making it a valuable strategy for reducing atmospheric carbon dioxide levels and mitigating climate change [8].</w:t>
      </w:r>
    </w:p>
    <w:p w14:paraId="220D820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This review article aims to provide a comprehensive overview of biochar as a sustainable solution for soil health and climate change mitigation. It will discuss the production process, physicochemical properties, and the effects of biochar on soil properties and crop productivity. The article will also explore the carbon sequestration potential of biochar and its implications for reducing greenhouse gas emissions. Finally, it will highlight the challenges and future research directions in biochar application.</w:t>
      </w:r>
    </w:p>
    <w:p w14:paraId="7B42B2B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2. Biochar Production and Properties</w:t>
      </w:r>
    </w:p>
    <w:p w14:paraId="48CF04B3"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2.1 Production Process</w:t>
      </w:r>
    </w:p>
    <w:p w14:paraId="48F4285C" w14:textId="77777777" w:rsidR="0022155B" w:rsidRDefault="0022155B" w:rsidP="00C1159C">
      <w:pPr>
        <w:jc w:val="center"/>
        <w:rPr>
          <w:rFonts w:ascii="Times New Roman" w:hAnsi="Times New Roman" w:cs="Times New Roman"/>
          <w:sz w:val="24"/>
          <w:szCs w:val="24"/>
        </w:rPr>
      </w:pPr>
      <w:r w:rsidRPr="0079339C">
        <w:rPr>
          <w:rFonts w:ascii="Times New Roman" w:hAnsi="Times New Roman" w:cs="Times New Roman"/>
          <w:b/>
          <w:bCs/>
          <w:sz w:val="24"/>
          <w:szCs w:val="24"/>
        </w:rPr>
        <w:t>Fig. 1: Biochar production process through pyroly</w:t>
      </w:r>
      <w:r w:rsidR="0079339C" w:rsidRPr="0079339C">
        <w:rPr>
          <w:rFonts w:ascii="Times New Roman" w:hAnsi="Times New Roman" w:cs="Times New Roman"/>
          <w:b/>
          <w:bCs/>
          <w:sz w:val="24"/>
          <w:szCs w:val="24"/>
        </w:rPr>
        <w:t>sis</w:t>
      </w:r>
      <w:r w:rsidR="0079339C">
        <w:rPr>
          <w:rFonts w:ascii="Times New Roman" w:hAnsi="Times New Roman" w:cs="Times New Roman"/>
          <w:sz w:val="24"/>
          <w:szCs w:val="24"/>
        </w:rPr>
        <w:t xml:space="preserve"> [9].</w:t>
      </w:r>
    </w:p>
    <w:p w14:paraId="59BD2963" w14:textId="77777777" w:rsidR="0079339C" w:rsidRPr="0079339C" w:rsidRDefault="0079339C" w:rsidP="0079339C">
      <w:pPr>
        <w:spacing w:before="100" w:beforeAutospacing="1" w:after="100" w:afterAutospacing="1" w:line="240" w:lineRule="auto"/>
        <w:jc w:val="center"/>
        <w:rPr>
          <w:rFonts w:ascii="Times New Roman" w:eastAsia="Times New Roman" w:hAnsi="Times New Roman" w:cs="Times New Roman"/>
          <w:sz w:val="24"/>
          <w:szCs w:val="24"/>
          <w:lang w:bidi="hi-IN"/>
        </w:rPr>
      </w:pPr>
      <w:r w:rsidRPr="0079339C">
        <w:rPr>
          <w:rFonts w:ascii="Times New Roman" w:eastAsia="Times New Roman" w:hAnsi="Times New Roman" w:cs="Times New Roman"/>
          <w:noProof/>
          <w:sz w:val="24"/>
          <w:szCs w:val="24"/>
          <w:lang w:val="en-IN" w:eastAsia="en-IN" w:bidi="hi-IN"/>
        </w:rPr>
        <w:drawing>
          <wp:inline distT="0" distB="0" distL="0" distR="0" wp14:anchorId="28C60CE9" wp14:editId="50E9FC7B">
            <wp:extent cx="4076700" cy="1905000"/>
            <wp:effectExtent l="0" t="0" r="0" b="0"/>
            <wp:docPr id="1" name="Picture 1" descr="C:\Users\Lenovo\Downloads\1-s2.0-S2213343723007480-g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1-s2.0-S2213343723007480-ga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6700" cy="1905000"/>
                    </a:xfrm>
                    <a:prstGeom prst="rect">
                      <a:avLst/>
                    </a:prstGeom>
                    <a:noFill/>
                    <a:ln>
                      <a:noFill/>
                    </a:ln>
                  </pic:spPr>
                </pic:pic>
              </a:graphicData>
            </a:graphic>
          </wp:inline>
        </w:drawing>
      </w:r>
    </w:p>
    <w:p w14:paraId="48E99E3F"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Biochar is produced through a thermochemical process called pyrolysis, which involves heating organic biomass in a low-oxygen environment at temperatures ranging from 350°C to 700°C [9]. During pyrolysis, the biomass undergoes thermal decomposition, releasing volatile compounds and leaving behind a solid residue known as biochar [10]. The specific conditions of the pyrolysis process, such as temperature, heating rate, and residence time, influence the properties and yield of the resulting biochar [11].</w:t>
      </w:r>
    </w:p>
    <w:p w14:paraId="4568A43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Various feedstocks can be used for biochar production, including agricultural residues (e.g., crop straw, nut shells), forestry waste (e.g., wood chips, bark), and animal manure [12]. The choice of feedstock depends on factors such as availability, cost, and desired biochar properties [13]. Table 1 presents some common feedstocks used for biochar production and their corresponding biochar yields.</w:t>
      </w:r>
    </w:p>
    <w:p w14:paraId="5A7096D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Table 1: Common feedstocks and their biochar yields [14]</w:t>
      </w:r>
    </w:p>
    <w:tbl>
      <w:tblPr>
        <w:tblStyle w:val="TableGrid"/>
        <w:tblW w:w="0" w:type="auto"/>
        <w:jc w:val="center"/>
        <w:tblLook w:val="04A0" w:firstRow="1" w:lastRow="0" w:firstColumn="1" w:lastColumn="0" w:noHBand="0" w:noVBand="1"/>
      </w:tblPr>
      <w:tblGrid>
        <w:gridCol w:w="2022"/>
        <w:gridCol w:w="3823"/>
      </w:tblGrid>
      <w:tr w:rsidR="0022155B" w:rsidRPr="0022155B" w14:paraId="7B3AEDEC" w14:textId="77777777" w:rsidTr="0079339C">
        <w:trPr>
          <w:jc w:val="center"/>
        </w:trPr>
        <w:tc>
          <w:tcPr>
            <w:tcW w:w="0" w:type="auto"/>
            <w:hideMark/>
          </w:tcPr>
          <w:p w14:paraId="2C578D2C"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Feedstock</w:t>
            </w:r>
          </w:p>
        </w:tc>
        <w:tc>
          <w:tcPr>
            <w:tcW w:w="0" w:type="auto"/>
            <w:hideMark/>
          </w:tcPr>
          <w:p w14:paraId="35CFAD5F"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Biochar Yield (% dry weight basis)</w:t>
            </w:r>
          </w:p>
        </w:tc>
      </w:tr>
      <w:tr w:rsidR="0022155B" w:rsidRPr="0022155B" w14:paraId="09D92461" w14:textId="77777777" w:rsidTr="0079339C">
        <w:trPr>
          <w:jc w:val="center"/>
        </w:trPr>
        <w:tc>
          <w:tcPr>
            <w:tcW w:w="0" w:type="auto"/>
            <w:hideMark/>
          </w:tcPr>
          <w:p w14:paraId="1EC683D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Wood waste</w:t>
            </w:r>
          </w:p>
        </w:tc>
        <w:tc>
          <w:tcPr>
            <w:tcW w:w="0" w:type="auto"/>
            <w:hideMark/>
          </w:tcPr>
          <w:p w14:paraId="40BC10B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25-35</w:t>
            </w:r>
          </w:p>
        </w:tc>
      </w:tr>
      <w:tr w:rsidR="0022155B" w:rsidRPr="0022155B" w14:paraId="0CE61C79" w14:textId="77777777" w:rsidTr="0079339C">
        <w:trPr>
          <w:jc w:val="center"/>
        </w:trPr>
        <w:tc>
          <w:tcPr>
            <w:tcW w:w="0" w:type="auto"/>
            <w:hideMark/>
          </w:tcPr>
          <w:p w14:paraId="6A555B0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Corn stover</w:t>
            </w:r>
          </w:p>
        </w:tc>
        <w:tc>
          <w:tcPr>
            <w:tcW w:w="0" w:type="auto"/>
            <w:hideMark/>
          </w:tcPr>
          <w:p w14:paraId="6792FC4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30-40</w:t>
            </w:r>
          </w:p>
        </w:tc>
      </w:tr>
      <w:tr w:rsidR="0022155B" w:rsidRPr="0022155B" w14:paraId="50202396" w14:textId="77777777" w:rsidTr="0079339C">
        <w:trPr>
          <w:jc w:val="center"/>
        </w:trPr>
        <w:tc>
          <w:tcPr>
            <w:tcW w:w="0" w:type="auto"/>
            <w:hideMark/>
          </w:tcPr>
          <w:p w14:paraId="72DF032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Rice husk</w:t>
            </w:r>
          </w:p>
        </w:tc>
        <w:tc>
          <w:tcPr>
            <w:tcW w:w="0" w:type="auto"/>
            <w:hideMark/>
          </w:tcPr>
          <w:p w14:paraId="7088EE0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35-45</w:t>
            </w:r>
          </w:p>
        </w:tc>
      </w:tr>
      <w:tr w:rsidR="0022155B" w:rsidRPr="0022155B" w14:paraId="161289B6" w14:textId="77777777" w:rsidTr="0079339C">
        <w:trPr>
          <w:jc w:val="center"/>
        </w:trPr>
        <w:tc>
          <w:tcPr>
            <w:tcW w:w="0" w:type="auto"/>
            <w:hideMark/>
          </w:tcPr>
          <w:p w14:paraId="7C020F6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lastRenderedPageBreak/>
              <w:t>Poultry litter</w:t>
            </w:r>
          </w:p>
        </w:tc>
        <w:tc>
          <w:tcPr>
            <w:tcW w:w="0" w:type="auto"/>
            <w:hideMark/>
          </w:tcPr>
          <w:p w14:paraId="7614C69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40-50</w:t>
            </w:r>
          </w:p>
        </w:tc>
      </w:tr>
      <w:tr w:rsidR="0022155B" w:rsidRPr="0022155B" w14:paraId="28316589" w14:textId="77777777" w:rsidTr="0079339C">
        <w:trPr>
          <w:jc w:val="center"/>
        </w:trPr>
        <w:tc>
          <w:tcPr>
            <w:tcW w:w="0" w:type="auto"/>
            <w:hideMark/>
          </w:tcPr>
          <w:p w14:paraId="6039C74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Sugarcane bagasse</w:t>
            </w:r>
          </w:p>
        </w:tc>
        <w:tc>
          <w:tcPr>
            <w:tcW w:w="0" w:type="auto"/>
            <w:hideMark/>
          </w:tcPr>
          <w:p w14:paraId="239F0FE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20-30</w:t>
            </w:r>
          </w:p>
        </w:tc>
      </w:tr>
      <w:tr w:rsidR="0022155B" w:rsidRPr="0022155B" w14:paraId="4C6F58DF" w14:textId="77777777" w:rsidTr="0079339C">
        <w:trPr>
          <w:jc w:val="center"/>
        </w:trPr>
        <w:tc>
          <w:tcPr>
            <w:tcW w:w="0" w:type="auto"/>
            <w:hideMark/>
          </w:tcPr>
          <w:p w14:paraId="0A110C1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Switchgrass</w:t>
            </w:r>
          </w:p>
        </w:tc>
        <w:tc>
          <w:tcPr>
            <w:tcW w:w="0" w:type="auto"/>
            <w:hideMark/>
          </w:tcPr>
          <w:p w14:paraId="4B09A79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30-40</w:t>
            </w:r>
          </w:p>
        </w:tc>
      </w:tr>
      <w:tr w:rsidR="0022155B" w:rsidRPr="0022155B" w14:paraId="601C0291" w14:textId="77777777" w:rsidTr="0079339C">
        <w:trPr>
          <w:jc w:val="center"/>
        </w:trPr>
        <w:tc>
          <w:tcPr>
            <w:tcW w:w="0" w:type="auto"/>
            <w:hideMark/>
          </w:tcPr>
          <w:p w14:paraId="66B1370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Sewage sludge</w:t>
            </w:r>
          </w:p>
        </w:tc>
        <w:tc>
          <w:tcPr>
            <w:tcW w:w="0" w:type="auto"/>
            <w:hideMark/>
          </w:tcPr>
          <w:p w14:paraId="379812F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35-45</w:t>
            </w:r>
          </w:p>
        </w:tc>
      </w:tr>
    </w:tbl>
    <w:p w14:paraId="2D9B4C0B" w14:textId="77777777" w:rsidR="00850C44"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2.2 Physicochemical Properties</w:t>
      </w:r>
    </w:p>
    <w:p w14:paraId="39C113E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Biochar possesses unique physicochemical properties that make it an effective soil amendment and carbon sequestration agent. The key properties of biochar include:</w:t>
      </w:r>
    </w:p>
    <w:p w14:paraId="3F25001F" w14:textId="77777777" w:rsidR="0022155B" w:rsidRPr="0022155B" w:rsidRDefault="0022155B" w:rsidP="0022155B">
      <w:pPr>
        <w:numPr>
          <w:ilvl w:val="0"/>
          <w:numId w:val="6"/>
        </w:numPr>
        <w:jc w:val="both"/>
        <w:rPr>
          <w:rFonts w:ascii="Times New Roman" w:hAnsi="Times New Roman" w:cs="Times New Roman"/>
          <w:sz w:val="24"/>
          <w:szCs w:val="24"/>
        </w:rPr>
      </w:pPr>
      <w:r w:rsidRPr="0022155B">
        <w:rPr>
          <w:rFonts w:ascii="Times New Roman" w:hAnsi="Times New Roman" w:cs="Times New Roman"/>
          <w:b/>
          <w:bCs/>
          <w:sz w:val="24"/>
          <w:szCs w:val="24"/>
        </w:rPr>
        <w:t>High carbon content</w:t>
      </w:r>
      <w:r w:rsidRPr="0022155B">
        <w:rPr>
          <w:rFonts w:ascii="Times New Roman" w:hAnsi="Times New Roman" w:cs="Times New Roman"/>
          <w:sz w:val="24"/>
          <w:szCs w:val="24"/>
        </w:rPr>
        <w:t>: Biochar is composed primarily of stable, recalcitrant carbon, with carbon contents ranging from 50% to 90% depending on the feedstock and pyrolysis conditions [15]. This high carbon content contributes to its potential for long-term carbon sequestration in soil [16].</w:t>
      </w:r>
    </w:p>
    <w:p w14:paraId="09828D7E" w14:textId="77777777" w:rsidR="0022155B" w:rsidRPr="0022155B" w:rsidRDefault="0022155B" w:rsidP="0022155B">
      <w:pPr>
        <w:numPr>
          <w:ilvl w:val="0"/>
          <w:numId w:val="6"/>
        </w:numPr>
        <w:jc w:val="both"/>
        <w:rPr>
          <w:rFonts w:ascii="Times New Roman" w:hAnsi="Times New Roman" w:cs="Times New Roman"/>
          <w:sz w:val="24"/>
          <w:szCs w:val="24"/>
        </w:rPr>
      </w:pPr>
      <w:r w:rsidRPr="0022155B">
        <w:rPr>
          <w:rFonts w:ascii="Times New Roman" w:hAnsi="Times New Roman" w:cs="Times New Roman"/>
          <w:b/>
          <w:bCs/>
          <w:sz w:val="24"/>
          <w:szCs w:val="24"/>
        </w:rPr>
        <w:t>Porous structure</w:t>
      </w:r>
      <w:r w:rsidRPr="0022155B">
        <w:rPr>
          <w:rFonts w:ascii="Times New Roman" w:hAnsi="Times New Roman" w:cs="Times New Roman"/>
          <w:sz w:val="24"/>
          <w:szCs w:val="24"/>
        </w:rPr>
        <w:t>: Biochar has a highly porous structure with a large surface area, typically ranging from 50 to 500 m2/g [17]. This porosity enhances soil water retention, nutrient holding capacity, and microbial habitat [18].</w:t>
      </w:r>
    </w:p>
    <w:p w14:paraId="707AC149" w14:textId="77777777" w:rsidR="0022155B" w:rsidRPr="0022155B" w:rsidRDefault="0022155B" w:rsidP="0022155B">
      <w:pPr>
        <w:numPr>
          <w:ilvl w:val="0"/>
          <w:numId w:val="6"/>
        </w:numPr>
        <w:jc w:val="both"/>
        <w:rPr>
          <w:rFonts w:ascii="Times New Roman" w:hAnsi="Times New Roman" w:cs="Times New Roman"/>
          <w:sz w:val="24"/>
          <w:szCs w:val="24"/>
        </w:rPr>
      </w:pPr>
      <w:r w:rsidRPr="0022155B">
        <w:rPr>
          <w:rFonts w:ascii="Times New Roman" w:hAnsi="Times New Roman" w:cs="Times New Roman"/>
          <w:b/>
          <w:bCs/>
          <w:sz w:val="24"/>
          <w:szCs w:val="24"/>
        </w:rPr>
        <w:t>Chemical stability</w:t>
      </w:r>
      <w:r w:rsidRPr="0022155B">
        <w:rPr>
          <w:rFonts w:ascii="Times New Roman" w:hAnsi="Times New Roman" w:cs="Times New Roman"/>
          <w:sz w:val="24"/>
          <w:szCs w:val="24"/>
        </w:rPr>
        <w:t>: The aromatic structure of biochar makes it resistant to microbial degradation, allowing it to persist in the soil for hundreds to thousands of years [19]. This stability is crucial for long-term carbon sequestration and soil quality improvement [20].</w:t>
      </w:r>
    </w:p>
    <w:p w14:paraId="3055F54C" w14:textId="77777777" w:rsidR="0022155B" w:rsidRPr="0022155B" w:rsidRDefault="0022155B" w:rsidP="0022155B">
      <w:pPr>
        <w:numPr>
          <w:ilvl w:val="0"/>
          <w:numId w:val="6"/>
        </w:numPr>
        <w:jc w:val="both"/>
        <w:rPr>
          <w:rFonts w:ascii="Times New Roman" w:hAnsi="Times New Roman" w:cs="Times New Roman"/>
          <w:sz w:val="24"/>
          <w:szCs w:val="24"/>
        </w:rPr>
      </w:pPr>
      <w:r w:rsidRPr="0022155B">
        <w:rPr>
          <w:rFonts w:ascii="Times New Roman" w:hAnsi="Times New Roman" w:cs="Times New Roman"/>
          <w:b/>
          <w:bCs/>
          <w:sz w:val="24"/>
          <w:szCs w:val="24"/>
        </w:rPr>
        <w:t>Nutrient retention</w:t>
      </w:r>
      <w:r w:rsidRPr="0022155B">
        <w:rPr>
          <w:rFonts w:ascii="Times New Roman" w:hAnsi="Times New Roman" w:cs="Times New Roman"/>
          <w:sz w:val="24"/>
          <w:szCs w:val="24"/>
        </w:rPr>
        <w:t>: Biochar can adsorb and retain nutrients, such as nitrogen, phosphorus, and potassium, reducing nutrient leaching and improving nutrient availability to plants [21]. This property is attributed to its high cation exchange capacity (CEC) and surface functional groups [22].</w:t>
      </w:r>
    </w:p>
    <w:p w14:paraId="6CB02E1D" w14:textId="77777777" w:rsidR="0022155B" w:rsidRPr="0022155B" w:rsidRDefault="0022155B" w:rsidP="0022155B">
      <w:pPr>
        <w:numPr>
          <w:ilvl w:val="0"/>
          <w:numId w:val="6"/>
        </w:numPr>
        <w:jc w:val="both"/>
        <w:rPr>
          <w:rFonts w:ascii="Times New Roman" w:hAnsi="Times New Roman" w:cs="Times New Roman"/>
          <w:sz w:val="24"/>
          <w:szCs w:val="24"/>
        </w:rPr>
      </w:pPr>
      <w:r w:rsidRPr="0022155B">
        <w:rPr>
          <w:rFonts w:ascii="Times New Roman" w:hAnsi="Times New Roman" w:cs="Times New Roman"/>
          <w:b/>
          <w:bCs/>
          <w:sz w:val="24"/>
          <w:szCs w:val="24"/>
        </w:rPr>
        <w:t>pH adjustment</w:t>
      </w:r>
      <w:r w:rsidRPr="0022155B">
        <w:rPr>
          <w:rFonts w:ascii="Times New Roman" w:hAnsi="Times New Roman" w:cs="Times New Roman"/>
          <w:sz w:val="24"/>
          <w:szCs w:val="24"/>
        </w:rPr>
        <w:t>: Biochar is typically alkaline, with pH values ranging from 6 to 10 [23]. Its application can increase soil pH, which is beneficial for acidic soils and can enhance nutrient availability and microbial activity [24].</w:t>
      </w:r>
    </w:p>
    <w:p w14:paraId="3DE5EFA5" w14:textId="77777777" w:rsidR="0079339C" w:rsidRDefault="0079339C" w:rsidP="0022155B">
      <w:pPr>
        <w:jc w:val="both"/>
        <w:rPr>
          <w:rFonts w:ascii="Times New Roman" w:hAnsi="Times New Roman" w:cs="Times New Roman"/>
          <w:b/>
          <w:bCs/>
          <w:sz w:val="24"/>
          <w:szCs w:val="24"/>
        </w:rPr>
      </w:pPr>
    </w:p>
    <w:p w14:paraId="39275001" w14:textId="77777777" w:rsidR="0079339C" w:rsidRDefault="0079339C" w:rsidP="0022155B">
      <w:pPr>
        <w:jc w:val="both"/>
        <w:rPr>
          <w:rFonts w:ascii="Times New Roman" w:hAnsi="Times New Roman" w:cs="Times New Roman"/>
          <w:b/>
          <w:bCs/>
          <w:sz w:val="24"/>
          <w:szCs w:val="24"/>
        </w:rPr>
      </w:pPr>
    </w:p>
    <w:p w14:paraId="3434FFA5" w14:textId="77777777" w:rsidR="0079339C" w:rsidRDefault="0079339C" w:rsidP="0022155B">
      <w:pPr>
        <w:jc w:val="both"/>
        <w:rPr>
          <w:rFonts w:ascii="Times New Roman" w:hAnsi="Times New Roman" w:cs="Times New Roman"/>
          <w:b/>
          <w:bCs/>
          <w:sz w:val="24"/>
          <w:szCs w:val="24"/>
        </w:rPr>
      </w:pPr>
    </w:p>
    <w:p w14:paraId="70402924" w14:textId="77777777" w:rsidR="0022155B" w:rsidRDefault="0022155B" w:rsidP="0022155B">
      <w:pPr>
        <w:jc w:val="both"/>
        <w:rPr>
          <w:rFonts w:ascii="Times New Roman" w:hAnsi="Times New Roman" w:cs="Times New Roman"/>
          <w:sz w:val="24"/>
          <w:szCs w:val="24"/>
        </w:rPr>
      </w:pPr>
      <w:r w:rsidRPr="0079339C">
        <w:rPr>
          <w:rFonts w:ascii="Times New Roman" w:hAnsi="Times New Roman" w:cs="Times New Roman"/>
          <w:b/>
          <w:bCs/>
          <w:sz w:val="24"/>
          <w:szCs w:val="24"/>
        </w:rPr>
        <w:t>Fig. 2: Scanning electron microscope image of biochar showing its porous structure</w:t>
      </w:r>
      <w:r w:rsidRPr="0022155B">
        <w:rPr>
          <w:rFonts w:ascii="Times New Roman" w:hAnsi="Times New Roman" w:cs="Times New Roman"/>
          <w:sz w:val="24"/>
          <w:szCs w:val="24"/>
        </w:rPr>
        <w:t xml:space="preserve"> [25]. </w:t>
      </w:r>
    </w:p>
    <w:p w14:paraId="68773FDD" w14:textId="77777777" w:rsidR="0079339C" w:rsidRPr="0079339C" w:rsidRDefault="0079339C" w:rsidP="0079339C">
      <w:pPr>
        <w:spacing w:before="100" w:beforeAutospacing="1" w:after="100" w:afterAutospacing="1" w:line="240" w:lineRule="auto"/>
        <w:rPr>
          <w:rFonts w:ascii="Times New Roman" w:eastAsia="Times New Roman" w:hAnsi="Times New Roman" w:cs="Times New Roman"/>
          <w:sz w:val="24"/>
          <w:szCs w:val="24"/>
          <w:lang w:bidi="hi-IN"/>
        </w:rPr>
      </w:pPr>
      <w:r w:rsidRPr="0079339C">
        <w:rPr>
          <w:rFonts w:ascii="Times New Roman" w:eastAsia="Times New Roman" w:hAnsi="Times New Roman" w:cs="Times New Roman"/>
          <w:noProof/>
          <w:sz w:val="24"/>
          <w:szCs w:val="24"/>
          <w:lang w:val="en-IN" w:eastAsia="en-IN" w:bidi="hi-IN"/>
        </w:rPr>
        <w:lastRenderedPageBreak/>
        <w:drawing>
          <wp:inline distT="0" distB="0" distL="0" distR="0" wp14:anchorId="3B87D4DC" wp14:editId="64FDD9BB">
            <wp:extent cx="6057900" cy="2195098"/>
            <wp:effectExtent l="0" t="0" r="0" b="0"/>
            <wp:docPr id="2" name="Picture 2" descr="C:\Users\Lenovo\Downloads\SEM-micrographs-of-the-produced-biochar-with-magnification-of-x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SEM-micrographs-of-the-produced-biochar-with-magnification-of-x1-00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9209" cy="2199196"/>
                    </a:xfrm>
                    <a:prstGeom prst="rect">
                      <a:avLst/>
                    </a:prstGeom>
                    <a:noFill/>
                    <a:ln>
                      <a:noFill/>
                    </a:ln>
                  </pic:spPr>
                </pic:pic>
              </a:graphicData>
            </a:graphic>
          </wp:inline>
        </w:drawing>
      </w:r>
    </w:p>
    <w:p w14:paraId="41D9EFC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The specific properties of biochar can vary depending on the feedstock, pyrolysis conditions, and post-production treatments [26]. Understanding these properties is essential for optimizing biochar application and maximizing its benefits for soil health and climate change mitigation.</w:t>
      </w:r>
    </w:p>
    <w:p w14:paraId="60D1889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3. Effects of Biochar on Soil Health</w:t>
      </w:r>
    </w:p>
    <w:p w14:paraId="617262D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3.1 Soil Fertility and Nutrient Availability</w:t>
      </w:r>
    </w:p>
    <w:p w14:paraId="7C45FB2F"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Biochar application has been shown to improve soil fertility and nutrient availability through various mechanisms. The porous structure and high surface area of biochar allow it to retain nutrients, reducing nutrient leaching and increasing their availability to plants [27]. Biochar can also adsorb and release nutrients slowly over time, acting as a slow-release fertilizer [28].</w:t>
      </w:r>
    </w:p>
    <w:p w14:paraId="23C245A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Studies have demonstrated that biochar amendment can increase the availability of essential plant nutrients such as nitrogen (N), phosphorus (P), and potassium (K) in the soil [29]. For example, a meta-analysis by Biederman and Harpole [30] found that biochar application increased soil N by an average of 7%, P by 20%, and K by 25% across various soil types and cropping systems.</w:t>
      </w:r>
    </w:p>
    <w:p w14:paraId="6EF773E1" w14:textId="77777777" w:rsidR="0079339C" w:rsidRDefault="0022155B" w:rsidP="0022155B">
      <w:pPr>
        <w:jc w:val="both"/>
        <w:rPr>
          <w:rFonts w:ascii="Times New Roman" w:hAnsi="Times New Roman" w:cs="Times New Roman"/>
          <w:b/>
          <w:bCs/>
          <w:sz w:val="24"/>
          <w:szCs w:val="24"/>
        </w:rPr>
      </w:pPr>
      <w:r w:rsidRPr="0079339C">
        <w:rPr>
          <w:rFonts w:ascii="Times New Roman" w:hAnsi="Times New Roman" w:cs="Times New Roman"/>
          <w:b/>
          <w:bCs/>
          <w:sz w:val="24"/>
          <w:szCs w:val="24"/>
        </w:rPr>
        <w:t xml:space="preserve">Fig. 3: Effect of biochar application on soil nutrient availability [31]. </w:t>
      </w:r>
    </w:p>
    <w:p w14:paraId="262578E0" w14:textId="77777777" w:rsidR="0079339C" w:rsidRPr="0079339C" w:rsidRDefault="0079339C" w:rsidP="0079339C">
      <w:pPr>
        <w:spacing w:before="100" w:beforeAutospacing="1" w:after="100" w:afterAutospacing="1" w:line="240" w:lineRule="auto"/>
        <w:rPr>
          <w:rFonts w:ascii="Times New Roman" w:eastAsia="Times New Roman" w:hAnsi="Times New Roman" w:cs="Times New Roman"/>
          <w:sz w:val="24"/>
          <w:szCs w:val="24"/>
          <w:lang w:bidi="hi-IN"/>
        </w:rPr>
      </w:pPr>
      <w:r w:rsidRPr="0079339C">
        <w:rPr>
          <w:rFonts w:ascii="Times New Roman" w:eastAsia="Times New Roman" w:hAnsi="Times New Roman" w:cs="Times New Roman"/>
          <w:noProof/>
          <w:sz w:val="24"/>
          <w:szCs w:val="24"/>
          <w:lang w:val="en-IN" w:eastAsia="en-IN" w:bidi="hi-IN"/>
        </w:rPr>
        <w:lastRenderedPageBreak/>
        <w:drawing>
          <wp:inline distT="0" distB="0" distL="0" distR="0" wp14:anchorId="7996C4A7" wp14:editId="28034630">
            <wp:extent cx="5965031" cy="3181350"/>
            <wp:effectExtent l="0" t="0" r="0" b="0"/>
            <wp:docPr id="3" name="Picture 3" descr="C:\Users\Lenovo\Downloads\41748_2022_336_Fig1_HT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41748_2022_336_Fig1_HTM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0360" cy="3184192"/>
                    </a:xfrm>
                    <a:prstGeom prst="rect">
                      <a:avLst/>
                    </a:prstGeom>
                    <a:noFill/>
                    <a:ln>
                      <a:noFill/>
                    </a:ln>
                  </pic:spPr>
                </pic:pic>
              </a:graphicData>
            </a:graphic>
          </wp:inline>
        </w:drawing>
      </w:r>
    </w:p>
    <w:p w14:paraId="069ADFD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Biochar can also improve soil fertility by increasing soil organic matter content and enhancing soil microbial activity [32]. The porous structure of biochar provides a habitat for beneficial soil microorganisms, such as bacteria and fungi, which play crucial roles in nutrient cycling and soil health [33].</w:t>
      </w:r>
    </w:p>
    <w:p w14:paraId="7E8A63B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Table 2: Effects of biochar on soil nutrient availability in different cropping systems</w:t>
      </w:r>
    </w:p>
    <w:tbl>
      <w:tblPr>
        <w:tblStyle w:val="TableGrid"/>
        <w:tblW w:w="0" w:type="auto"/>
        <w:tblLook w:val="04A0" w:firstRow="1" w:lastRow="0" w:firstColumn="1" w:lastColumn="0" w:noHBand="0" w:noVBand="1"/>
      </w:tblPr>
      <w:tblGrid>
        <w:gridCol w:w="1997"/>
        <w:gridCol w:w="3450"/>
        <w:gridCol w:w="1096"/>
        <w:gridCol w:w="1543"/>
        <w:gridCol w:w="1242"/>
      </w:tblGrid>
      <w:tr w:rsidR="0022155B" w:rsidRPr="0022155B" w14:paraId="46DF6D95" w14:textId="77777777" w:rsidTr="0079339C">
        <w:tc>
          <w:tcPr>
            <w:tcW w:w="0" w:type="auto"/>
            <w:hideMark/>
          </w:tcPr>
          <w:p w14:paraId="1E1F71AB"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Cropping System</w:t>
            </w:r>
          </w:p>
        </w:tc>
        <w:tc>
          <w:tcPr>
            <w:tcW w:w="0" w:type="auto"/>
            <w:hideMark/>
          </w:tcPr>
          <w:p w14:paraId="3758640B"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Biochar Application Rate (t/ha)</w:t>
            </w:r>
          </w:p>
        </w:tc>
        <w:tc>
          <w:tcPr>
            <w:tcW w:w="0" w:type="auto"/>
            <w:hideMark/>
          </w:tcPr>
          <w:p w14:paraId="5502D94E"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Nutrient</w:t>
            </w:r>
          </w:p>
        </w:tc>
        <w:tc>
          <w:tcPr>
            <w:tcW w:w="0" w:type="auto"/>
            <w:hideMark/>
          </w:tcPr>
          <w:p w14:paraId="695760F9"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Increase (%)</w:t>
            </w:r>
          </w:p>
        </w:tc>
        <w:tc>
          <w:tcPr>
            <w:tcW w:w="0" w:type="auto"/>
            <w:hideMark/>
          </w:tcPr>
          <w:p w14:paraId="58300FEA"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Reference</w:t>
            </w:r>
          </w:p>
        </w:tc>
      </w:tr>
      <w:tr w:rsidR="0022155B" w:rsidRPr="0022155B" w14:paraId="38A902BF" w14:textId="77777777" w:rsidTr="0079339C">
        <w:tc>
          <w:tcPr>
            <w:tcW w:w="0" w:type="auto"/>
            <w:hideMark/>
          </w:tcPr>
          <w:p w14:paraId="047BC45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Maize</w:t>
            </w:r>
          </w:p>
        </w:tc>
        <w:tc>
          <w:tcPr>
            <w:tcW w:w="0" w:type="auto"/>
            <w:hideMark/>
          </w:tcPr>
          <w:p w14:paraId="1B284E4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10</w:t>
            </w:r>
          </w:p>
        </w:tc>
        <w:tc>
          <w:tcPr>
            <w:tcW w:w="0" w:type="auto"/>
            <w:hideMark/>
          </w:tcPr>
          <w:p w14:paraId="7450636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N</w:t>
            </w:r>
          </w:p>
        </w:tc>
        <w:tc>
          <w:tcPr>
            <w:tcW w:w="0" w:type="auto"/>
            <w:hideMark/>
          </w:tcPr>
          <w:p w14:paraId="4B02E75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12</w:t>
            </w:r>
          </w:p>
        </w:tc>
        <w:tc>
          <w:tcPr>
            <w:tcW w:w="0" w:type="auto"/>
            <w:hideMark/>
          </w:tcPr>
          <w:p w14:paraId="4972155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[34]</w:t>
            </w:r>
          </w:p>
        </w:tc>
      </w:tr>
      <w:tr w:rsidR="0022155B" w:rsidRPr="0022155B" w14:paraId="59E84C03" w14:textId="77777777" w:rsidTr="0079339C">
        <w:tc>
          <w:tcPr>
            <w:tcW w:w="0" w:type="auto"/>
            <w:hideMark/>
          </w:tcPr>
          <w:p w14:paraId="46DB1AF3"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Rice</w:t>
            </w:r>
          </w:p>
        </w:tc>
        <w:tc>
          <w:tcPr>
            <w:tcW w:w="0" w:type="auto"/>
            <w:hideMark/>
          </w:tcPr>
          <w:p w14:paraId="5EA5B3A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20</w:t>
            </w:r>
          </w:p>
        </w:tc>
        <w:tc>
          <w:tcPr>
            <w:tcW w:w="0" w:type="auto"/>
            <w:hideMark/>
          </w:tcPr>
          <w:p w14:paraId="15E992D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P</w:t>
            </w:r>
          </w:p>
        </w:tc>
        <w:tc>
          <w:tcPr>
            <w:tcW w:w="0" w:type="auto"/>
            <w:hideMark/>
          </w:tcPr>
          <w:p w14:paraId="3CB30A0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18</w:t>
            </w:r>
          </w:p>
        </w:tc>
        <w:tc>
          <w:tcPr>
            <w:tcW w:w="0" w:type="auto"/>
            <w:hideMark/>
          </w:tcPr>
          <w:p w14:paraId="3B94E37F"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[35]</w:t>
            </w:r>
          </w:p>
        </w:tc>
      </w:tr>
      <w:tr w:rsidR="0022155B" w:rsidRPr="0022155B" w14:paraId="00B0BDAF" w14:textId="77777777" w:rsidTr="0079339C">
        <w:tc>
          <w:tcPr>
            <w:tcW w:w="0" w:type="auto"/>
            <w:hideMark/>
          </w:tcPr>
          <w:p w14:paraId="3FB8F6D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Wheat</w:t>
            </w:r>
          </w:p>
        </w:tc>
        <w:tc>
          <w:tcPr>
            <w:tcW w:w="0" w:type="auto"/>
            <w:hideMark/>
          </w:tcPr>
          <w:p w14:paraId="35E36C1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15</w:t>
            </w:r>
          </w:p>
        </w:tc>
        <w:tc>
          <w:tcPr>
            <w:tcW w:w="0" w:type="auto"/>
            <w:hideMark/>
          </w:tcPr>
          <w:p w14:paraId="70B6156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K</w:t>
            </w:r>
          </w:p>
        </w:tc>
        <w:tc>
          <w:tcPr>
            <w:tcW w:w="0" w:type="auto"/>
            <w:hideMark/>
          </w:tcPr>
          <w:p w14:paraId="145FFDF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22</w:t>
            </w:r>
          </w:p>
        </w:tc>
        <w:tc>
          <w:tcPr>
            <w:tcW w:w="0" w:type="auto"/>
            <w:hideMark/>
          </w:tcPr>
          <w:p w14:paraId="419EB5C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[36]</w:t>
            </w:r>
          </w:p>
        </w:tc>
      </w:tr>
      <w:tr w:rsidR="0022155B" w:rsidRPr="0022155B" w14:paraId="29EB82AE" w14:textId="77777777" w:rsidTr="0079339C">
        <w:tc>
          <w:tcPr>
            <w:tcW w:w="0" w:type="auto"/>
            <w:hideMark/>
          </w:tcPr>
          <w:p w14:paraId="1769980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Soybean</w:t>
            </w:r>
          </w:p>
        </w:tc>
        <w:tc>
          <w:tcPr>
            <w:tcW w:w="0" w:type="auto"/>
            <w:hideMark/>
          </w:tcPr>
          <w:p w14:paraId="48F8FF0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5</w:t>
            </w:r>
          </w:p>
        </w:tc>
        <w:tc>
          <w:tcPr>
            <w:tcW w:w="0" w:type="auto"/>
            <w:hideMark/>
          </w:tcPr>
          <w:p w14:paraId="135CC2B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N</w:t>
            </w:r>
          </w:p>
        </w:tc>
        <w:tc>
          <w:tcPr>
            <w:tcW w:w="0" w:type="auto"/>
            <w:hideMark/>
          </w:tcPr>
          <w:p w14:paraId="68A7B34F"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8</w:t>
            </w:r>
          </w:p>
        </w:tc>
        <w:tc>
          <w:tcPr>
            <w:tcW w:w="0" w:type="auto"/>
            <w:hideMark/>
          </w:tcPr>
          <w:p w14:paraId="0496D81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[37]</w:t>
            </w:r>
          </w:p>
        </w:tc>
      </w:tr>
      <w:tr w:rsidR="0022155B" w:rsidRPr="0022155B" w14:paraId="5FF672A6" w14:textId="77777777" w:rsidTr="0079339C">
        <w:tc>
          <w:tcPr>
            <w:tcW w:w="0" w:type="auto"/>
            <w:hideMark/>
          </w:tcPr>
          <w:p w14:paraId="4B010EC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Tomato</w:t>
            </w:r>
          </w:p>
        </w:tc>
        <w:tc>
          <w:tcPr>
            <w:tcW w:w="0" w:type="auto"/>
            <w:hideMark/>
          </w:tcPr>
          <w:p w14:paraId="02A0994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30</w:t>
            </w:r>
          </w:p>
        </w:tc>
        <w:tc>
          <w:tcPr>
            <w:tcW w:w="0" w:type="auto"/>
            <w:hideMark/>
          </w:tcPr>
          <w:p w14:paraId="6625CA8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P</w:t>
            </w:r>
          </w:p>
        </w:tc>
        <w:tc>
          <w:tcPr>
            <w:tcW w:w="0" w:type="auto"/>
            <w:hideMark/>
          </w:tcPr>
          <w:p w14:paraId="52D6A52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25</w:t>
            </w:r>
          </w:p>
        </w:tc>
        <w:tc>
          <w:tcPr>
            <w:tcW w:w="0" w:type="auto"/>
            <w:hideMark/>
          </w:tcPr>
          <w:p w14:paraId="0F8AEEC3"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[38]</w:t>
            </w:r>
          </w:p>
        </w:tc>
      </w:tr>
    </w:tbl>
    <w:p w14:paraId="0C9932E8" w14:textId="77777777" w:rsidR="00850C44"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3.2 Water Retention and Soil Structure</w:t>
      </w:r>
    </w:p>
    <w:p w14:paraId="6C42B7A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Biochar has the potential to improve soil water retention and soil structure due to its porous nature and high surface area [39]. The micropores and mesopores in biochar can hold water, increasing the soil's water holding capacity [40]. This property is particularly beneficial in arid and semi-arid regions, where water scarcity is a major constraint to crop production [41].</w:t>
      </w:r>
    </w:p>
    <w:p w14:paraId="568BBB6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A study by Novak et al. [42] found that biochar application at a rate of 20 t/ha increased soil water retention by 15% in a sandy loam soil. Similarly, Kammann et al. [43] reported that biochar amendment increased the available water capacity of a sandy soil by up to 45%.</w:t>
      </w:r>
    </w:p>
    <w:p w14:paraId="49A0906B" w14:textId="77777777" w:rsidR="0022155B" w:rsidRDefault="0022155B" w:rsidP="0022155B">
      <w:pPr>
        <w:jc w:val="both"/>
        <w:rPr>
          <w:rFonts w:ascii="Times New Roman" w:hAnsi="Times New Roman" w:cs="Times New Roman"/>
          <w:b/>
          <w:bCs/>
          <w:sz w:val="24"/>
          <w:szCs w:val="24"/>
        </w:rPr>
      </w:pPr>
      <w:r w:rsidRPr="0079339C">
        <w:rPr>
          <w:rFonts w:ascii="Times New Roman" w:hAnsi="Times New Roman" w:cs="Times New Roman"/>
          <w:b/>
          <w:bCs/>
          <w:sz w:val="24"/>
          <w:szCs w:val="24"/>
        </w:rPr>
        <w:t>Fig. 4: Effect of biochar application o</w:t>
      </w:r>
      <w:r w:rsidR="0079339C" w:rsidRPr="0079339C">
        <w:rPr>
          <w:rFonts w:ascii="Times New Roman" w:hAnsi="Times New Roman" w:cs="Times New Roman"/>
          <w:b/>
          <w:bCs/>
          <w:sz w:val="24"/>
          <w:szCs w:val="24"/>
        </w:rPr>
        <w:t>n soil water retention [44].</w:t>
      </w:r>
    </w:p>
    <w:p w14:paraId="2FD12F57" w14:textId="77777777" w:rsidR="0079339C" w:rsidRPr="0079339C" w:rsidRDefault="0079339C" w:rsidP="0079339C">
      <w:pPr>
        <w:spacing w:before="100" w:beforeAutospacing="1" w:after="100" w:afterAutospacing="1" w:line="240" w:lineRule="auto"/>
        <w:jc w:val="center"/>
        <w:rPr>
          <w:rFonts w:ascii="Times New Roman" w:eastAsia="Times New Roman" w:hAnsi="Times New Roman" w:cs="Times New Roman"/>
          <w:sz w:val="24"/>
          <w:szCs w:val="24"/>
          <w:lang w:bidi="hi-IN"/>
        </w:rPr>
      </w:pPr>
      <w:r w:rsidRPr="0079339C">
        <w:rPr>
          <w:rFonts w:ascii="Times New Roman" w:eastAsia="Times New Roman" w:hAnsi="Times New Roman" w:cs="Times New Roman"/>
          <w:noProof/>
          <w:sz w:val="24"/>
          <w:szCs w:val="24"/>
          <w:lang w:val="en-IN" w:eastAsia="en-IN" w:bidi="hi-IN"/>
        </w:rPr>
        <w:lastRenderedPageBreak/>
        <w:drawing>
          <wp:inline distT="0" distB="0" distL="0" distR="0" wp14:anchorId="20A85B4F" wp14:editId="75C39E31">
            <wp:extent cx="5619750" cy="1952625"/>
            <wp:effectExtent l="0" t="0" r="0" b="9525"/>
            <wp:docPr id="5" name="Picture 5" descr="C:\Users\Lenovo\AppData\Local\Temp\{8602515C-52A9-4A71-A9CD-76D9C673538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AppData\Local\Temp\{8602515C-52A9-4A71-A9CD-76D9C6735382}.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1952625"/>
                    </a:xfrm>
                    <a:prstGeom prst="rect">
                      <a:avLst/>
                    </a:prstGeom>
                    <a:noFill/>
                    <a:ln>
                      <a:noFill/>
                    </a:ln>
                  </pic:spPr>
                </pic:pic>
              </a:graphicData>
            </a:graphic>
          </wp:inline>
        </w:drawing>
      </w:r>
    </w:p>
    <w:p w14:paraId="0711E79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Biochar can also improve soil structure by increasing soil aggregation and stability [45]. The high surface area and charged surfaces of biochar particles can bind soil particles together, forming stable aggregates [46]. This improvement in soil structure enhances soil aeration, water infiltration, and root growth [47].</w:t>
      </w:r>
    </w:p>
    <w:p w14:paraId="54EF1EB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3.3 Microbial Activity and Soil Biodiversity</w:t>
      </w:r>
    </w:p>
    <w:p w14:paraId="7479500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Biochar amendment has been shown to stimulate soil microbial activity and enhance soil biodiversity [48]. The porous structure of biochar provides a favorable habitat for soil microorganisms, protecting them from predation and desiccation [49]. Biochar can also serve as a source of carbon and energy for microbial growth [50].</w:t>
      </w:r>
    </w:p>
    <w:p w14:paraId="6D0013A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Studies have reported increased microbial biomass, enzyme activities, and functional diversity in biochar-amended soils [51]. For example, Lehmann et al. [52] found that biochar application increased soil microbial biomass carbon by 40% and nitrogen by 30% in an Amazonian soil. Similarly, Jin et al. [53] observed a 50% increase in soil enzyme activities after biochar amendment in a rice paddy soil.</w:t>
      </w:r>
    </w:p>
    <w:p w14:paraId="36FFCCDC" w14:textId="12F8D4F0" w:rsidR="0022155B" w:rsidRDefault="0022155B" w:rsidP="0012381E">
      <w:pPr>
        <w:jc w:val="center"/>
        <w:rPr>
          <w:rFonts w:ascii="Times New Roman" w:hAnsi="Times New Roman" w:cs="Times New Roman"/>
          <w:b/>
          <w:bCs/>
          <w:sz w:val="24"/>
          <w:szCs w:val="24"/>
        </w:rPr>
      </w:pPr>
      <w:r w:rsidRPr="0079339C">
        <w:rPr>
          <w:rFonts w:ascii="Times New Roman" w:hAnsi="Times New Roman" w:cs="Times New Roman"/>
          <w:b/>
          <w:bCs/>
          <w:sz w:val="24"/>
          <w:szCs w:val="24"/>
        </w:rPr>
        <w:t>Fig. 5: Effect of biochar on soil microbial biomass [54].</w:t>
      </w:r>
    </w:p>
    <w:p w14:paraId="0E62D4E3" w14:textId="77777777" w:rsidR="0079339C" w:rsidRPr="0079339C" w:rsidRDefault="0079339C" w:rsidP="0079339C">
      <w:pPr>
        <w:spacing w:before="100" w:beforeAutospacing="1" w:after="100" w:afterAutospacing="1" w:line="240" w:lineRule="auto"/>
        <w:rPr>
          <w:rFonts w:ascii="Times New Roman" w:eastAsia="Times New Roman" w:hAnsi="Times New Roman" w:cs="Times New Roman"/>
          <w:sz w:val="24"/>
          <w:szCs w:val="24"/>
          <w:lang w:bidi="hi-IN"/>
        </w:rPr>
      </w:pPr>
      <w:r w:rsidRPr="0079339C">
        <w:rPr>
          <w:rFonts w:ascii="Times New Roman" w:eastAsia="Times New Roman" w:hAnsi="Times New Roman" w:cs="Times New Roman"/>
          <w:noProof/>
          <w:sz w:val="24"/>
          <w:szCs w:val="24"/>
          <w:lang w:val="en-IN" w:eastAsia="en-IN" w:bidi="hi-IN"/>
        </w:rPr>
        <w:drawing>
          <wp:inline distT="0" distB="0" distL="0" distR="0" wp14:anchorId="6C98BC5A" wp14:editId="3A7EC0F5">
            <wp:extent cx="4457700" cy="1905000"/>
            <wp:effectExtent l="0" t="0" r="0" b="0"/>
            <wp:docPr id="6" name="Picture 6" descr="C:\Users\Lenovo\Downloads\1-s2.0-S0048969720351226-g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Downloads\1-s2.0-S0048969720351226-ga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7700" cy="1905000"/>
                    </a:xfrm>
                    <a:prstGeom prst="rect">
                      <a:avLst/>
                    </a:prstGeom>
                    <a:noFill/>
                    <a:ln>
                      <a:noFill/>
                    </a:ln>
                  </pic:spPr>
                </pic:pic>
              </a:graphicData>
            </a:graphic>
          </wp:inline>
        </w:drawing>
      </w:r>
    </w:p>
    <w:p w14:paraId="008DCE7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The enhanced microbial activity in biochar-amended soils can contribute to improved nutrient cycling, organic matter decomposition, and soil health [55]. Moreover, biochar has been shown </w:t>
      </w:r>
      <w:r w:rsidRPr="0022155B">
        <w:rPr>
          <w:rFonts w:ascii="Times New Roman" w:hAnsi="Times New Roman" w:cs="Times New Roman"/>
          <w:sz w:val="24"/>
          <w:szCs w:val="24"/>
        </w:rPr>
        <w:lastRenderedPageBreak/>
        <w:t>to promote the growth of beneficial soil microorganisms, such as arbuscular mycorrhizal fungi, which form symbiotic associations with plant roots and enhance nutrient uptake [56].</w:t>
      </w:r>
    </w:p>
    <w:p w14:paraId="5B35DE4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Table 3: Effects of biochar on soil microbial properties</w:t>
      </w:r>
    </w:p>
    <w:tbl>
      <w:tblPr>
        <w:tblStyle w:val="TableGrid"/>
        <w:tblW w:w="0" w:type="auto"/>
        <w:tblLook w:val="04A0" w:firstRow="1" w:lastRow="0" w:firstColumn="1" w:lastColumn="0" w:noHBand="0" w:noVBand="1"/>
      </w:tblPr>
      <w:tblGrid>
        <w:gridCol w:w="1321"/>
        <w:gridCol w:w="3320"/>
        <w:gridCol w:w="2179"/>
        <w:gridCol w:w="1514"/>
        <w:gridCol w:w="1242"/>
      </w:tblGrid>
      <w:tr w:rsidR="0022155B" w:rsidRPr="0022155B" w14:paraId="0496F088" w14:textId="77777777" w:rsidTr="0079339C">
        <w:tc>
          <w:tcPr>
            <w:tcW w:w="0" w:type="auto"/>
            <w:hideMark/>
          </w:tcPr>
          <w:p w14:paraId="3C9D3518"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Soil Type</w:t>
            </w:r>
          </w:p>
        </w:tc>
        <w:tc>
          <w:tcPr>
            <w:tcW w:w="0" w:type="auto"/>
            <w:hideMark/>
          </w:tcPr>
          <w:p w14:paraId="760A9CDA"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Biochar Application Rate (t/ha)</w:t>
            </w:r>
          </w:p>
        </w:tc>
        <w:tc>
          <w:tcPr>
            <w:tcW w:w="0" w:type="auto"/>
            <w:hideMark/>
          </w:tcPr>
          <w:p w14:paraId="10304DCF"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Microbial Property</w:t>
            </w:r>
          </w:p>
        </w:tc>
        <w:tc>
          <w:tcPr>
            <w:tcW w:w="0" w:type="auto"/>
            <w:hideMark/>
          </w:tcPr>
          <w:p w14:paraId="2825C65B"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Increase (%)</w:t>
            </w:r>
          </w:p>
        </w:tc>
        <w:tc>
          <w:tcPr>
            <w:tcW w:w="0" w:type="auto"/>
            <w:hideMark/>
          </w:tcPr>
          <w:p w14:paraId="4C3767D3"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Reference</w:t>
            </w:r>
          </w:p>
        </w:tc>
      </w:tr>
      <w:tr w:rsidR="0022155B" w:rsidRPr="0022155B" w14:paraId="5485EE14" w14:textId="77777777" w:rsidTr="0079339C">
        <w:tc>
          <w:tcPr>
            <w:tcW w:w="0" w:type="auto"/>
            <w:hideMark/>
          </w:tcPr>
          <w:p w14:paraId="2D9653F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Sandy loam</w:t>
            </w:r>
          </w:p>
        </w:tc>
        <w:tc>
          <w:tcPr>
            <w:tcW w:w="0" w:type="auto"/>
            <w:hideMark/>
          </w:tcPr>
          <w:p w14:paraId="7B1F29C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10</w:t>
            </w:r>
          </w:p>
        </w:tc>
        <w:tc>
          <w:tcPr>
            <w:tcW w:w="0" w:type="auto"/>
            <w:hideMark/>
          </w:tcPr>
          <w:p w14:paraId="7592A05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Microbial biomass C</w:t>
            </w:r>
          </w:p>
        </w:tc>
        <w:tc>
          <w:tcPr>
            <w:tcW w:w="0" w:type="auto"/>
            <w:hideMark/>
          </w:tcPr>
          <w:p w14:paraId="151E1CE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35</w:t>
            </w:r>
          </w:p>
        </w:tc>
        <w:tc>
          <w:tcPr>
            <w:tcW w:w="0" w:type="auto"/>
            <w:hideMark/>
          </w:tcPr>
          <w:p w14:paraId="3F48523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[57]</w:t>
            </w:r>
          </w:p>
        </w:tc>
      </w:tr>
      <w:tr w:rsidR="0022155B" w:rsidRPr="0022155B" w14:paraId="2FEBBF0C" w14:textId="77777777" w:rsidTr="0079339C">
        <w:tc>
          <w:tcPr>
            <w:tcW w:w="0" w:type="auto"/>
            <w:hideMark/>
          </w:tcPr>
          <w:p w14:paraId="310B4BA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Silt loam</w:t>
            </w:r>
          </w:p>
        </w:tc>
        <w:tc>
          <w:tcPr>
            <w:tcW w:w="0" w:type="auto"/>
            <w:hideMark/>
          </w:tcPr>
          <w:p w14:paraId="1962566F"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20</w:t>
            </w:r>
          </w:p>
        </w:tc>
        <w:tc>
          <w:tcPr>
            <w:tcW w:w="0" w:type="auto"/>
            <w:hideMark/>
          </w:tcPr>
          <w:p w14:paraId="6C9A911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Microbial biomass N</w:t>
            </w:r>
          </w:p>
        </w:tc>
        <w:tc>
          <w:tcPr>
            <w:tcW w:w="0" w:type="auto"/>
            <w:hideMark/>
          </w:tcPr>
          <w:p w14:paraId="00BD75C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42</w:t>
            </w:r>
          </w:p>
        </w:tc>
        <w:tc>
          <w:tcPr>
            <w:tcW w:w="0" w:type="auto"/>
            <w:hideMark/>
          </w:tcPr>
          <w:p w14:paraId="7F5D0DE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[58]</w:t>
            </w:r>
          </w:p>
        </w:tc>
      </w:tr>
      <w:tr w:rsidR="0022155B" w:rsidRPr="0022155B" w14:paraId="2D150C88" w14:textId="77777777" w:rsidTr="0079339C">
        <w:tc>
          <w:tcPr>
            <w:tcW w:w="0" w:type="auto"/>
            <w:hideMark/>
          </w:tcPr>
          <w:p w14:paraId="020D0A1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Clay</w:t>
            </w:r>
          </w:p>
        </w:tc>
        <w:tc>
          <w:tcPr>
            <w:tcW w:w="0" w:type="auto"/>
            <w:hideMark/>
          </w:tcPr>
          <w:p w14:paraId="494939A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15</w:t>
            </w:r>
          </w:p>
        </w:tc>
        <w:tc>
          <w:tcPr>
            <w:tcW w:w="0" w:type="auto"/>
            <w:hideMark/>
          </w:tcPr>
          <w:p w14:paraId="1935639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Enzyme activities</w:t>
            </w:r>
          </w:p>
        </w:tc>
        <w:tc>
          <w:tcPr>
            <w:tcW w:w="0" w:type="auto"/>
            <w:hideMark/>
          </w:tcPr>
          <w:p w14:paraId="303B1B0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28</w:t>
            </w:r>
          </w:p>
        </w:tc>
        <w:tc>
          <w:tcPr>
            <w:tcW w:w="0" w:type="auto"/>
            <w:hideMark/>
          </w:tcPr>
          <w:p w14:paraId="6688E70F"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[59]</w:t>
            </w:r>
          </w:p>
        </w:tc>
      </w:tr>
      <w:tr w:rsidR="0022155B" w:rsidRPr="0022155B" w14:paraId="3BB92477" w14:textId="77777777" w:rsidTr="0079339C">
        <w:tc>
          <w:tcPr>
            <w:tcW w:w="0" w:type="auto"/>
            <w:hideMark/>
          </w:tcPr>
          <w:p w14:paraId="1B8E8E5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Sandy</w:t>
            </w:r>
          </w:p>
        </w:tc>
        <w:tc>
          <w:tcPr>
            <w:tcW w:w="0" w:type="auto"/>
            <w:hideMark/>
          </w:tcPr>
          <w:p w14:paraId="46F70CF3"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5</w:t>
            </w:r>
          </w:p>
        </w:tc>
        <w:tc>
          <w:tcPr>
            <w:tcW w:w="0" w:type="auto"/>
            <w:hideMark/>
          </w:tcPr>
          <w:p w14:paraId="0EB8975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Functional diversity</w:t>
            </w:r>
          </w:p>
        </w:tc>
        <w:tc>
          <w:tcPr>
            <w:tcW w:w="0" w:type="auto"/>
            <w:hideMark/>
          </w:tcPr>
          <w:p w14:paraId="5A931FB3"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18</w:t>
            </w:r>
          </w:p>
        </w:tc>
        <w:tc>
          <w:tcPr>
            <w:tcW w:w="0" w:type="auto"/>
            <w:hideMark/>
          </w:tcPr>
          <w:p w14:paraId="5934053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[60]</w:t>
            </w:r>
          </w:p>
        </w:tc>
      </w:tr>
    </w:tbl>
    <w:p w14:paraId="48B8AB04" w14:textId="77777777" w:rsidR="00850C44"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4. Biochar and Climate Change Mitigation</w:t>
      </w:r>
    </w:p>
    <w:p w14:paraId="6F85A4B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4.1 Carbon Sequestration Potential</w:t>
      </w:r>
    </w:p>
    <w:p w14:paraId="750D391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Biochar has gained attention as a potential tool for climate change mitigation due to its ability to sequester carbon in the soil for long periods [61]. When organic biomass is converted into biochar through pyrolysis, a significant portion of the carbon is stabilized in a recalcitrant form resistant to microbial degradation [62]. This stable carbon can remain in the soil for hundreds to thousands of years, effectively removing carbon dioxide from the atmosphere [63].</w:t>
      </w:r>
    </w:p>
    <w:p w14:paraId="175489D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The carbon sequestration potential of biochar varies depending on factors such as feedstock type, pyrolysis conditions, and soil properties [64]. Table 4 presents the estimated carbon sequestration potential of biochar produced from different feedstocks.</w:t>
      </w:r>
    </w:p>
    <w:p w14:paraId="2139C10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Table 4: Carbon sequestration potential of biochar from different feedstocks [65]</w:t>
      </w:r>
    </w:p>
    <w:tbl>
      <w:tblPr>
        <w:tblStyle w:val="TableGrid"/>
        <w:tblW w:w="0" w:type="auto"/>
        <w:tblLook w:val="04A0" w:firstRow="1" w:lastRow="0" w:firstColumn="1" w:lastColumn="0" w:noHBand="0" w:noVBand="1"/>
      </w:tblPr>
      <w:tblGrid>
        <w:gridCol w:w="1716"/>
        <w:gridCol w:w="4310"/>
      </w:tblGrid>
      <w:tr w:rsidR="0022155B" w:rsidRPr="0022155B" w14:paraId="24EF37C5" w14:textId="77777777" w:rsidTr="0079339C">
        <w:tc>
          <w:tcPr>
            <w:tcW w:w="0" w:type="auto"/>
            <w:hideMark/>
          </w:tcPr>
          <w:p w14:paraId="3FAEBF92"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Feedstock</w:t>
            </w:r>
          </w:p>
        </w:tc>
        <w:tc>
          <w:tcPr>
            <w:tcW w:w="0" w:type="auto"/>
            <w:hideMark/>
          </w:tcPr>
          <w:p w14:paraId="2DF82D51"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Carbon Sequestration Potential (t C/ha)</w:t>
            </w:r>
          </w:p>
        </w:tc>
      </w:tr>
      <w:tr w:rsidR="0022155B" w:rsidRPr="0022155B" w14:paraId="15F78868" w14:textId="77777777" w:rsidTr="0079339C">
        <w:tc>
          <w:tcPr>
            <w:tcW w:w="0" w:type="auto"/>
            <w:hideMark/>
          </w:tcPr>
          <w:p w14:paraId="083B550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Wood waste</w:t>
            </w:r>
          </w:p>
        </w:tc>
        <w:tc>
          <w:tcPr>
            <w:tcW w:w="0" w:type="auto"/>
            <w:hideMark/>
          </w:tcPr>
          <w:p w14:paraId="673922C3"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20-40</w:t>
            </w:r>
          </w:p>
        </w:tc>
      </w:tr>
      <w:tr w:rsidR="0022155B" w:rsidRPr="0022155B" w14:paraId="10A03606" w14:textId="77777777" w:rsidTr="0079339C">
        <w:tc>
          <w:tcPr>
            <w:tcW w:w="0" w:type="auto"/>
            <w:hideMark/>
          </w:tcPr>
          <w:p w14:paraId="5438B10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Crop residues</w:t>
            </w:r>
          </w:p>
        </w:tc>
        <w:tc>
          <w:tcPr>
            <w:tcW w:w="0" w:type="auto"/>
            <w:hideMark/>
          </w:tcPr>
          <w:p w14:paraId="1DEC630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10-30</w:t>
            </w:r>
          </w:p>
        </w:tc>
      </w:tr>
      <w:tr w:rsidR="0022155B" w:rsidRPr="0022155B" w14:paraId="5BADBE63" w14:textId="77777777" w:rsidTr="0079339C">
        <w:tc>
          <w:tcPr>
            <w:tcW w:w="0" w:type="auto"/>
            <w:hideMark/>
          </w:tcPr>
          <w:p w14:paraId="6D45514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Animal manure</w:t>
            </w:r>
          </w:p>
        </w:tc>
        <w:tc>
          <w:tcPr>
            <w:tcW w:w="0" w:type="auto"/>
            <w:hideMark/>
          </w:tcPr>
          <w:p w14:paraId="174C0D7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5-15</w:t>
            </w:r>
          </w:p>
        </w:tc>
      </w:tr>
      <w:tr w:rsidR="0022155B" w:rsidRPr="0022155B" w14:paraId="101D3D8B" w14:textId="77777777" w:rsidTr="0079339C">
        <w:tc>
          <w:tcPr>
            <w:tcW w:w="0" w:type="auto"/>
            <w:hideMark/>
          </w:tcPr>
          <w:p w14:paraId="336DB73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Sewage sludge</w:t>
            </w:r>
          </w:p>
        </w:tc>
        <w:tc>
          <w:tcPr>
            <w:tcW w:w="0" w:type="auto"/>
            <w:hideMark/>
          </w:tcPr>
          <w:p w14:paraId="131B0F0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15-35</w:t>
            </w:r>
          </w:p>
        </w:tc>
      </w:tr>
    </w:tbl>
    <w:p w14:paraId="4CCEAC7A" w14:textId="77777777" w:rsidR="00850C44"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Woolf et al. [66] estimated that the global potential for sustainable biochar production and application could offset 1.8 Gt CO2-eq per year by 2050, corresponding to approximately 12% of current anthropogenic CO2 emissions. This highlights the significant potential of biochar as a climate change mitigation strategy.</w:t>
      </w:r>
    </w:p>
    <w:p w14:paraId="2FBB99E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4.2 Greenhouse Gas Emission Reduction</w:t>
      </w:r>
    </w:p>
    <w:p w14:paraId="4B0B83F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In addition to its carbon sequestration potential, biochar application can also reduce greenhouse gas emissions from soil [67]. Biochar has been shown to decrease nitrous oxide (N2O) emissions, a potent greenhouse gas with a global warming potential 298 times higher than CO2 [68]. The mechanisms behind this reduction include enhanced nitrogen retention, improved soil aeration, and altered microbial community composition [69].</w:t>
      </w:r>
    </w:p>
    <w:p w14:paraId="13D16C4D" w14:textId="77777777" w:rsidR="0022155B" w:rsidRDefault="0022155B" w:rsidP="0022155B">
      <w:pPr>
        <w:jc w:val="both"/>
        <w:rPr>
          <w:rFonts w:ascii="Times New Roman" w:hAnsi="Times New Roman" w:cs="Times New Roman"/>
          <w:b/>
          <w:bCs/>
          <w:sz w:val="24"/>
          <w:szCs w:val="24"/>
        </w:rPr>
      </w:pPr>
      <w:r w:rsidRPr="0079339C">
        <w:rPr>
          <w:rFonts w:ascii="Times New Roman" w:hAnsi="Times New Roman" w:cs="Times New Roman"/>
          <w:b/>
          <w:bCs/>
          <w:sz w:val="24"/>
          <w:szCs w:val="24"/>
        </w:rPr>
        <w:t xml:space="preserve">Fig. 6: Effect of biochar on nitrous oxide emissions from soil [70]. </w:t>
      </w:r>
    </w:p>
    <w:p w14:paraId="64347ED7" w14:textId="77777777" w:rsidR="0079339C" w:rsidRPr="0079339C" w:rsidRDefault="0079339C" w:rsidP="00C212C0">
      <w:pPr>
        <w:spacing w:before="100" w:beforeAutospacing="1" w:after="100" w:afterAutospacing="1" w:line="240" w:lineRule="auto"/>
        <w:jc w:val="center"/>
        <w:rPr>
          <w:rFonts w:ascii="Times New Roman" w:eastAsia="Times New Roman" w:hAnsi="Times New Roman" w:cs="Times New Roman"/>
          <w:sz w:val="24"/>
          <w:szCs w:val="24"/>
          <w:lang w:bidi="hi-IN"/>
        </w:rPr>
      </w:pPr>
      <w:r w:rsidRPr="0079339C">
        <w:rPr>
          <w:rFonts w:ascii="Times New Roman" w:eastAsia="Times New Roman" w:hAnsi="Times New Roman" w:cs="Times New Roman"/>
          <w:noProof/>
          <w:sz w:val="24"/>
          <w:szCs w:val="24"/>
          <w:lang w:val="en-IN" w:eastAsia="en-IN" w:bidi="hi-IN"/>
        </w:rPr>
        <w:lastRenderedPageBreak/>
        <w:drawing>
          <wp:inline distT="0" distB="0" distL="0" distR="0" wp14:anchorId="2BBD3F03" wp14:editId="16271EEC">
            <wp:extent cx="4057650" cy="2754520"/>
            <wp:effectExtent l="0" t="0" r="0" b="8255"/>
            <wp:docPr id="7" name="Picture 7" descr="C:\Users\Lenovo\Downloads\Schematic-showing-how-biochar-affects-soil-N-transformation-including-NH3-volatil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Downloads\Schematic-showing-how-biochar-affects-soil-N-transformation-including-NH3-volatilizati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9390" cy="2755701"/>
                    </a:xfrm>
                    <a:prstGeom prst="rect">
                      <a:avLst/>
                    </a:prstGeom>
                    <a:noFill/>
                    <a:ln>
                      <a:noFill/>
                    </a:ln>
                  </pic:spPr>
                </pic:pic>
              </a:graphicData>
            </a:graphic>
          </wp:inline>
        </w:drawing>
      </w:r>
    </w:p>
    <w:p w14:paraId="4CF2F923"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Several studies have reported significant reductions in N2O emissions from biochar-amended soils. For example, a meta-analysis by </w:t>
      </w:r>
      <w:proofErr w:type="spellStart"/>
      <w:r w:rsidRPr="0022155B">
        <w:rPr>
          <w:rFonts w:ascii="Times New Roman" w:hAnsi="Times New Roman" w:cs="Times New Roman"/>
          <w:sz w:val="24"/>
          <w:szCs w:val="24"/>
        </w:rPr>
        <w:t>Cayuela</w:t>
      </w:r>
      <w:proofErr w:type="spellEnd"/>
      <w:r w:rsidRPr="0022155B">
        <w:rPr>
          <w:rFonts w:ascii="Times New Roman" w:hAnsi="Times New Roman" w:cs="Times New Roman"/>
          <w:sz w:val="24"/>
          <w:szCs w:val="24"/>
        </w:rPr>
        <w:t xml:space="preserve"> et al. [71] found that biochar application reduced N2O emissions by an average of 54% across various soil types and management practices. Similarly, Kammann et al. [72] observed a 60-80% reduction in N2O emissions from a biochar-amended sandy loam soil.</w:t>
      </w:r>
    </w:p>
    <w:p w14:paraId="204C974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Biochar can also reduce methane (CH4) emissions from flooded soils, such as rice paddies, by improving soil aeration and altering methanogenic microbial communities [73]. A study by Feng et al. [74] reported a 20-40% reduction in CH4 emissions from a rice paddy soil amended with biochar.</w:t>
      </w:r>
    </w:p>
    <w:p w14:paraId="3555017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5. Challenges and Future Research Directions</w:t>
      </w:r>
    </w:p>
    <w:p w14:paraId="19254D2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Despite the promising potential of biochar as a sustainable solution for soil health and climate change mitigation, several challenges and knowledge gaps need to be addressed to optimize its application and ensure its widespread adoption.</w:t>
      </w:r>
    </w:p>
    <w:p w14:paraId="470DA9B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5.1 Variability in Biochar Properties</w:t>
      </w:r>
    </w:p>
    <w:p w14:paraId="72355F9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One of the main challenges in biochar research and application is the variability in biochar properties arising from differences in feedstock, pyrolysis conditions, and post-production treatments [75]. This variability can lead to inconsistent effects on soil properties and plant growth [76]. Future research should focus on standardizing biochar production processes and developing quality control measures to ensure consistent and predictable biochar properties [77].</w:t>
      </w:r>
    </w:p>
    <w:p w14:paraId="04A1434F"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5.2 Long-Term Effects and Soil-Plant Interactions</w:t>
      </w:r>
    </w:p>
    <w:p w14:paraId="399FCF3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While numerous studies have investigated the short-term effects of biochar on soil properties and crop productivity, there is a need for long-term field trials to assess the persistence and sustainability of biochar benefits [78]. Long-term studies can provide valuable insights into the </w:t>
      </w:r>
      <w:r w:rsidRPr="0022155B">
        <w:rPr>
          <w:rFonts w:ascii="Times New Roman" w:hAnsi="Times New Roman" w:cs="Times New Roman"/>
          <w:sz w:val="24"/>
          <w:szCs w:val="24"/>
        </w:rPr>
        <w:lastRenderedPageBreak/>
        <w:t>interactions between biochar, soil, and plants over extended periods and under varying environmental conditions [79].</w:t>
      </w:r>
    </w:p>
    <w:p w14:paraId="42DC6C0F"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5.3 Economic Feasibility and Life Cycle Assessment</w:t>
      </w:r>
    </w:p>
    <w:p w14:paraId="1D2A4C73"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The economic feasibility of biochar production and application is another critical factor that needs to be considered for its widespread adoption [80]. The cost of biochar production, transportation, and application can vary depending on feedstock availability, pyrolysis technology, and local conditions [81]. Life cycle assessment studies are needed to evaluate the environmental and economic sustainability of biochar systems, considering factors such as energy consumption, greenhouse gas emissions, and social impacts [82].</w:t>
      </w:r>
    </w:p>
    <w:p w14:paraId="7AC398D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5.4 Policy and Incentive Mechanisms</w:t>
      </w:r>
    </w:p>
    <w:p w14:paraId="3CCA56E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Promoting the adoption of biochar as a sustainable soil management and climate change mitigation strategy requires supportive policies and incentive mechanisms [83]. Governments and international organizations should develop policies that encourage biochar research, production, and application, such as carbon crediting schemes, subsidies, and technical assistance programs [84]. Collaborative efforts among researchers, policymakers, and stakeholders are essential to create an enabling environment for biochar implementation [85].</w:t>
      </w:r>
    </w:p>
    <w:p w14:paraId="3973BE3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6. Conclusion</w:t>
      </w:r>
    </w:p>
    <w:p w14:paraId="2854507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Biochar emerges as a promising sustainable solution for improving soil health and mitigating climate change. Its unique physicochemical properties, such as high carbon content, porous structure, and chemical stability, make it an effective soil amendment and carbon sequestration agent. Biochar application has been shown to enhance soil fertility, water retention, and microbial activity, leading to increased crop productivity and resilience.</w:t>
      </w:r>
    </w:p>
    <w:p w14:paraId="7CC14C9B" w14:textId="77777777" w:rsidR="0012381E" w:rsidRDefault="0012381E" w:rsidP="00C212C0">
      <w:pPr>
        <w:jc w:val="both"/>
        <w:rPr>
          <w:rFonts w:ascii="Times New Roman" w:hAnsi="Times New Roman" w:cs="Times New Roman"/>
          <w:b/>
          <w:bCs/>
          <w:sz w:val="24"/>
          <w:szCs w:val="24"/>
        </w:rPr>
      </w:pPr>
    </w:p>
    <w:p w14:paraId="3305C583" w14:textId="77777777" w:rsidR="0012381E" w:rsidRDefault="0012381E" w:rsidP="00C212C0">
      <w:pPr>
        <w:jc w:val="both"/>
        <w:rPr>
          <w:rFonts w:ascii="Times New Roman" w:hAnsi="Times New Roman" w:cs="Times New Roman"/>
          <w:b/>
          <w:bCs/>
          <w:sz w:val="24"/>
          <w:szCs w:val="24"/>
        </w:rPr>
      </w:pPr>
    </w:p>
    <w:p w14:paraId="459ED571" w14:textId="1EA4CAD3" w:rsidR="0022155B" w:rsidRPr="0022155B" w:rsidRDefault="00C212C0" w:rsidP="00C212C0">
      <w:pPr>
        <w:jc w:val="both"/>
        <w:rPr>
          <w:rFonts w:ascii="Times New Roman" w:hAnsi="Times New Roman" w:cs="Times New Roman"/>
          <w:sz w:val="24"/>
          <w:szCs w:val="24"/>
        </w:rPr>
      </w:pPr>
      <w:r>
        <w:rPr>
          <w:rFonts w:ascii="Times New Roman" w:hAnsi="Times New Roman" w:cs="Times New Roman"/>
          <w:b/>
          <w:bCs/>
          <w:sz w:val="24"/>
          <w:szCs w:val="24"/>
        </w:rPr>
        <w:t>References</w:t>
      </w:r>
    </w:p>
    <w:p w14:paraId="796F3A7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 United Nations. (2019). World population prospects 2019: Highlights. Department of Economic and Social Affairs, Population Division. </w:t>
      </w:r>
      <w:hyperlink r:id="rId13" w:history="1">
        <w:r w:rsidRPr="0022155B">
          <w:rPr>
            <w:rStyle w:val="Hyperlink"/>
            <w:rFonts w:ascii="Times New Roman" w:hAnsi="Times New Roman" w:cs="Times New Roman"/>
            <w:sz w:val="24"/>
            <w:szCs w:val="24"/>
          </w:rPr>
          <w:t>https://population.un.org/wpp/Publications/Files/WPP2019_Highlights.pdf</w:t>
        </w:r>
      </w:hyperlink>
    </w:p>
    <w:p w14:paraId="3B2224E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[2] Lehmann, J., &amp; Joseph, S. (Eds.). (2015). Biochar for environmental management: Science, technology and implementation (2nd ed.). Routledge.</w:t>
      </w:r>
    </w:p>
    <w:p w14:paraId="27EF2EC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 Woolf, D., Amonette, J. E., Street-Perrott, F. A., Lehmann, J., &amp; Joseph, S. (2010). Sustainable biochar to mitigate global climate change. Nature Communications, 1(1), 1-9. </w:t>
      </w:r>
      <w:hyperlink r:id="rId14" w:history="1">
        <w:r w:rsidRPr="0022155B">
          <w:rPr>
            <w:rStyle w:val="Hyperlink"/>
            <w:rFonts w:ascii="Times New Roman" w:hAnsi="Times New Roman" w:cs="Times New Roman"/>
            <w:sz w:val="24"/>
            <w:szCs w:val="24"/>
          </w:rPr>
          <w:t>https://doi.org/10.1038/ncomms1053</w:t>
        </w:r>
      </w:hyperlink>
    </w:p>
    <w:p w14:paraId="1DE349B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 Sohi, S. P., Krull, E., Lopez-Capel, E., &amp; Bol, R. (2010). A review of biochar and its use and function in soil. Advances in Agronomy, 105, 47-82. </w:t>
      </w:r>
      <w:hyperlink r:id="rId15" w:history="1">
        <w:r w:rsidRPr="0022155B">
          <w:rPr>
            <w:rStyle w:val="Hyperlink"/>
            <w:rFonts w:ascii="Times New Roman" w:hAnsi="Times New Roman" w:cs="Times New Roman"/>
            <w:sz w:val="24"/>
            <w:szCs w:val="24"/>
          </w:rPr>
          <w:t>https://doi.org/10.1016/S0065-2113(10)05002-9</w:t>
        </w:r>
      </w:hyperlink>
    </w:p>
    <w:p w14:paraId="3390944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lastRenderedPageBreak/>
        <w:t>[5] Lehmann, J., &amp; Joseph, S. (2009). Biochar for environmental management: An introduction. In J. Lehmann &amp; S. Joseph (Eds.), Biochar for environmental management: Science and technology (pp. 1-12). Earthscan.</w:t>
      </w:r>
    </w:p>
    <w:p w14:paraId="4C953F9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 Atkinson, C. J., Fitzgerald, J. D., &amp; Hipps, N. A. (2010). Potential mechanisms for achieving agricultural benefits from biochar application to temperate soils: A review. Plant and Soil, 337(1), 1-18. </w:t>
      </w:r>
      <w:hyperlink r:id="rId16" w:history="1">
        <w:r w:rsidRPr="0022155B">
          <w:rPr>
            <w:rStyle w:val="Hyperlink"/>
            <w:rFonts w:ascii="Times New Roman" w:hAnsi="Times New Roman" w:cs="Times New Roman"/>
            <w:sz w:val="24"/>
            <w:szCs w:val="24"/>
          </w:rPr>
          <w:t>https://doi.org/10.1007/s11104-010-0464-5</w:t>
        </w:r>
      </w:hyperlink>
    </w:p>
    <w:p w14:paraId="14B6190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 Jeffery, S., Verheijen, F. G., van der Velde, M., &amp; Bastos, A. C. (2011). A quantitative review of the effects of biochar application to soils on crop productivity using meta-analysis. Agriculture, Ecosystems &amp; Environment, 144(1), 175-187. </w:t>
      </w:r>
      <w:hyperlink r:id="rId17" w:history="1">
        <w:r w:rsidRPr="0022155B">
          <w:rPr>
            <w:rStyle w:val="Hyperlink"/>
            <w:rFonts w:ascii="Times New Roman" w:hAnsi="Times New Roman" w:cs="Times New Roman"/>
            <w:sz w:val="24"/>
            <w:szCs w:val="24"/>
          </w:rPr>
          <w:t>https://doi.org/10.1016/j.agee.2011.08.015</w:t>
        </w:r>
      </w:hyperlink>
    </w:p>
    <w:p w14:paraId="28EA840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[8] Lehmann, J., Gaunt, J., &amp; Rondon, M. (2006). Bio-char sequestration in terrestrial ecosystems – A review. Mitigation and Adaptation Strategies for Global Change, 11(2), 403-427. </w:t>
      </w:r>
      <w:hyperlink r:id="rId18" w:history="1">
        <w:r w:rsidRPr="0022155B">
          <w:rPr>
            <w:rStyle w:val="Hyperlink"/>
            <w:rFonts w:ascii="Times New Roman" w:hAnsi="Times New Roman" w:cs="Times New Roman"/>
            <w:sz w:val="24"/>
            <w:szCs w:val="24"/>
          </w:rPr>
          <w:t>https://doi.org/10.1007/s11027-005-9006-5</w:t>
        </w:r>
      </w:hyperlink>
    </w:p>
    <w:p w14:paraId="47D79E4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[9] </w:t>
      </w:r>
      <w:proofErr w:type="spellStart"/>
      <w:r w:rsidRPr="0022155B">
        <w:rPr>
          <w:rFonts w:ascii="Times New Roman" w:hAnsi="Times New Roman" w:cs="Times New Roman"/>
          <w:sz w:val="24"/>
          <w:szCs w:val="24"/>
        </w:rPr>
        <w:t>Manyà</w:t>
      </w:r>
      <w:proofErr w:type="spellEnd"/>
      <w:r w:rsidRPr="0022155B">
        <w:rPr>
          <w:rFonts w:ascii="Times New Roman" w:hAnsi="Times New Roman" w:cs="Times New Roman"/>
          <w:sz w:val="24"/>
          <w:szCs w:val="24"/>
        </w:rPr>
        <w:t xml:space="preserve">, J. J. (2012). Pyrolysis for biochar purposes: A review to establish current knowledge gaps and research needs. Environmental Science &amp; Technology, 46(15), 7939-7954. </w:t>
      </w:r>
      <w:hyperlink r:id="rId19" w:history="1">
        <w:r w:rsidRPr="0022155B">
          <w:rPr>
            <w:rStyle w:val="Hyperlink"/>
            <w:rFonts w:ascii="Times New Roman" w:hAnsi="Times New Roman" w:cs="Times New Roman"/>
            <w:sz w:val="24"/>
            <w:szCs w:val="24"/>
          </w:rPr>
          <w:t>https://doi.org/10.1021/es301029g</w:t>
        </w:r>
      </w:hyperlink>
    </w:p>
    <w:p w14:paraId="35E05AF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[10] Bridgwater, A. V. (2012). Review of fast pyrolysis of biomass and product upgrading. Biomass and Bioenergy, 38, 68-94. </w:t>
      </w:r>
      <w:hyperlink r:id="rId20" w:history="1">
        <w:r w:rsidRPr="0022155B">
          <w:rPr>
            <w:rStyle w:val="Hyperlink"/>
            <w:rFonts w:ascii="Times New Roman" w:hAnsi="Times New Roman" w:cs="Times New Roman"/>
            <w:sz w:val="24"/>
            <w:szCs w:val="24"/>
          </w:rPr>
          <w:t>https://doi.org/10.1016/j.biombioe.2011.01.048</w:t>
        </w:r>
      </w:hyperlink>
    </w:p>
    <w:p w14:paraId="7B0FA18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[11] Enders, A., Hanley, K., Whitman, T., Joseph, S., &amp; Lehmann, J. (2012). Characterization of </w:t>
      </w:r>
      <w:proofErr w:type="spellStart"/>
      <w:r w:rsidRPr="0022155B">
        <w:rPr>
          <w:rFonts w:ascii="Times New Roman" w:hAnsi="Times New Roman" w:cs="Times New Roman"/>
          <w:sz w:val="24"/>
          <w:szCs w:val="24"/>
        </w:rPr>
        <w:t>biochars</w:t>
      </w:r>
      <w:proofErr w:type="spellEnd"/>
      <w:r w:rsidRPr="0022155B">
        <w:rPr>
          <w:rFonts w:ascii="Times New Roman" w:hAnsi="Times New Roman" w:cs="Times New Roman"/>
          <w:sz w:val="24"/>
          <w:szCs w:val="24"/>
        </w:rPr>
        <w:t xml:space="preserve"> to evaluate recalcitrance and agronomic performance. Bioresource Technology, 114, 644-653. </w:t>
      </w:r>
      <w:hyperlink r:id="rId21" w:history="1">
        <w:r w:rsidRPr="0022155B">
          <w:rPr>
            <w:rStyle w:val="Hyperlink"/>
            <w:rFonts w:ascii="Times New Roman" w:hAnsi="Times New Roman" w:cs="Times New Roman"/>
            <w:sz w:val="24"/>
            <w:szCs w:val="24"/>
          </w:rPr>
          <w:t>https://doi.org/10.1016/j.biortech.2012.03.022</w:t>
        </w:r>
      </w:hyperlink>
    </w:p>
    <w:p w14:paraId="21B3CCE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[12] Woolf, D., Lehmann, J., &amp; Lee, D. R. (2016). Optimal </w:t>
      </w:r>
      <w:proofErr w:type="spellStart"/>
      <w:r w:rsidRPr="0022155B">
        <w:rPr>
          <w:rFonts w:ascii="Times New Roman" w:hAnsi="Times New Roman" w:cs="Times New Roman"/>
          <w:sz w:val="24"/>
          <w:szCs w:val="24"/>
        </w:rPr>
        <w:t>biochars</w:t>
      </w:r>
      <w:proofErr w:type="spellEnd"/>
      <w:r w:rsidRPr="0022155B">
        <w:rPr>
          <w:rFonts w:ascii="Times New Roman" w:hAnsi="Times New Roman" w:cs="Times New Roman"/>
          <w:sz w:val="24"/>
          <w:szCs w:val="24"/>
        </w:rPr>
        <w:t xml:space="preserve"> for greenhouse gas mitigation and crop yield. Nature Communications, 7(1), 1-11. </w:t>
      </w:r>
      <w:hyperlink r:id="rId22" w:history="1">
        <w:r w:rsidRPr="0022155B">
          <w:rPr>
            <w:rStyle w:val="Hyperlink"/>
            <w:rFonts w:ascii="Times New Roman" w:hAnsi="Times New Roman" w:cs="Times New Roman"/>
            <w:sz w:val="24"/>
            <w:szCs w:val="24"/>
          </w:rPr>
          <w:t>https://doi.org/10.1038/ncomms11178</w:t>
        </w:r>
      </w:hyperlink>
    </w:p>
    <w:p w14:paraId="09C850E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[13] Spokas, K. A., Cantrell, K. B., Novak, J. M., Archer, D. W., Ippolito, J. A., Collins, H. P., Boateng, A. A., Lima, I. M., Lamb, M. C., McAloon, A. J., Lentz, R. D., &amp; Nichols, K. A. (2012). Biochar: A synthesis of its agronomic impact beyond carbon sequestration. Journal of Environmental Quality, 41(4), 973-989. </w:t>
      </w:r>
      <w:hyperlink r:id="rId23" w:history="1">
        <w:r w:rsidRPr="0022155B">
          <w:rPr>
            <w:rStyle w:val="Hyperlink"/>
            <w:rFonts w:ascii="Times New Roman" w:hAnsi="Times New Roman" w:cs="Times New Roman"/>
            <w:sz w:val="24"/>
            <w:szCs w:val="24"/>
          </w:rPr>
          <w:t>https://doi.org/10.2134/jeq2011.0069</w:t>
        </w:r>
      </w:hyperlink>
    </w:p>
    <w:p w14:paraId="64D53E8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[14] Tripathi, M., Sahu, J. N., &amp; Ganesan, P. (2016). Effect of process parameters on production of biochar from biomass waste through pyrolysis: A review. Renewable and Sustainable Energy Reviews, 55, 467-481. </w:t>
      </w:r>
      <w:hyperlink r:id="rId24" w:history="1">
        <w:r w:rsidRPr="0022155B">
          <w:rPr>
            <w:rStyle w:val="Hyperlink"/>
            <w:rFonts w:ascii="Times New Roman" w:hAnsi="Times New Roman" w:cs="Times New Roman"/>
            <w:sz w:val="24"/>
            <w:szCs w:val="24"/>
          </w:rPr>
          <w:t>https://doi.org/10.1016/j.rser.2015.10.122</w:t>
        </w:r>
      </w:hyperlink>
    </w:p>
    <w:p w14:paraId="63CBD3B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[15] Glaser, B., Lehmann, J., &amp; Zech, W. (2002). Ameliorating physical and chemical properties of highly weathered soils in the tropics with charcoal – A review. Biology and Fertility of Soils, 35(4), 219-230. </w:t>
      </w:r>
      <w:hyperlink r:id="rId25" w:history="1">
        <w:r w:rsidRPr="0022155B">
          <w:rPr>
            <w:rStyle w:val="Hyperlink"/>
            <w:rFonts w:ascii="Times New Roman" w:hAnsi="Times New Roman" w:cs="Times New Roman"/>
            <w:sz w:val="24"/>
            <w:szCs w:val="24"/>
          </w:rPr>
          <w:t>https://doi.org/10.1007/s00374-002-0466-4</w:t>
        </w:r>
      </w:hyperlink>
    </w:p>
    <w:p w14:paraId="1D86398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[16] Liang, B., Lehmann, J., Solomon, D., </w:t>
      </w:r>
      <w:proofErr w:type="spellStart"/>
      <w:r w:rsidRPr="0022155B">
        <w:rPr>
          <w:rFonts w:ascii="Times New Roman" w:hAnsi="Times New Roman" w:cs="Times New Roman"/>
          <w:sz w:val="24"/>
          <w:szCs w:val="24"/>
        </w:rPr>
        <w:t>Kinyangi</w:t>
      </w:r>
      <w:proofErr w:type="spellEnd"/>
      <w:r w:rsidRPr="0022155B">
        <w:rPr>
          <w:rFonts w:ascii="Times New Roman" w:hAnsi="Times New Roman" w:cs="Times New Roman"/>
          <w:sz w:val="24"/>
          <w:szCs w:val="24"/>
        </w:rPr>
        <w:t xml:space="preserve">, J., Grossman, J., O'Neill, B., </w:t>
      </w:r>
      <w:proofErr w:type="spellStart"/>
      <w:r w:rsidRPr="0022155B">
        <w:rPr>
          <w:rFonts w:ascii="Times New Roman" w:hAnsi="Times New Roman" w:cs="Times New Roman"/>
          <w:sz w:val="24"/>
          <w:szCs w:val="24"/>
        </w:rPr>
        <w:t>Skjemstad</w:t>
      </w:r>
      <w:proofErr w:type="spellEnd"/>
      <w:r w:rsidRPr="0022155B">
        <w:rPr>
          <w:rFonts w:ascii="Times New Roman" w:hAnsi="Times New Roman" w:cs="Times New Roman"/>
          <w:sz w:val="24"/>
          <w:szCs w:val="24"/>
        </w:rPr>
        <w:t xml:space="preserve">, J. O., Thies, J., </w:t>
      </w:r>
      <w:proofErr w:type="spellStart"/>
      <w:r w:rsidRPr="0022155B">
        <w:rPr>
          <w:rFonts w:ascii="Times New Roman" w:hAnsi="Times New Roman" w:cs="Times New Roman"/>
          <w:sz w:val="24"/>
          <w:szCs w:val="24"/>
        </w:rPr>
        <w:t>Luizão</w:t>
      </w:r>
      <w:proofErr w:type="spellEnd"/>
      <w:r w:rsidRPr="0022155B">
        <w:rPr>
          <w:rFonts w:ascii="Times New Roman" w:hAnsi="Times New Roman" w:cs="Times New Roman"/>
          <w:sz w:val="24"/>
          <w:szCs w:val="24"/>
        </w:rPr>
        <w:t xml:space="preserve">, F. J., Petersen, J., &amp; Neves, E. G. (2006). Black carbon increases cation </w:t>
      </w:r>
      <w:r w:rsidRPr="0022155B">
        <w:rPr>
          <w:rFonts w:ascii="Times New Roman" w:hAnsi="Times New Roman" w:cs="Times New Roman"/>
          <w:sz w:val="24"/>
          <w:szCs w:val="24"/>
        </w:rPr>
        <w:lastRenderedPageBreak/>
        <w:t xml:space="preserve">exchange capacity in soils. Soil Science Society of America Journal, 70(5), 1719-1730. </w:t>
      </w:r>
      <w:hyperlink r:id="rId26" w:history="1">
        <w:r w:rsidRPr="0022155B">
          <w:rPr>
            <w:rStyle w:val="Hyperlink"/>
            <w:rFonts w:ascii="Times New Roman" w:hAnsi="Times New Roman" w:cs="Times New Roman"/>
            <w:sz w:val="24"/>
            <w:szCs w:val="24"/>
          </w:rPr>
          <w:t>https://doi.org/10.2136/sssaj2005.0383</w:t>
        </w:r>
      </w:hyperlink>
    </w:p>
    <w:p w14:paraId="415990F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[17] Downie, A., </w:t>
      </w:r>
      <w:proofErr w:type="spellStart"/>
      <w:r w:rsidRPr="0022155B">
        <w:rPr>
          <w:rFonts w:ascii="Times New Roman" w:hAnsi="Times New Roman" w:cs="Times New Roman"/>
          <w:sz w:val="24"/>
          <w:szCs w:val="24"/>
        </w:rPr>
        <w:t>Crosky</w:t>
      </w:r>
      <w:proofErr w:type="spellEnd"/>
      <w:r w:rsidRPr="0022155B">
        <w:rPr>
          <w:rFonts w:ascii="Times New Roman" w:hAnsi="Times New Roman" w:cs="Times New Roman"/>
          <w:sz w:val="24"/>
          <w:szCs w:val="24"/>
        </w:rPr>
        <w:t>, A., &amp; Munroe, P. (2009). Physical properties of biochar. In J. Lehmann &amp; S. Joseph (Eds.), Biochar for environmental management: Science and technology (pp. 13-32). Earthscan.</w:t>
      </w:r>
    </w:p>
    <w:p w14:paraId="241A171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[18] Major, J., Rondon, M., Molina, D., Riha, S. J., &amp; Lehmann, J. (2010). Maize yield and nutrition during 4 years after biochar application to a Colombian savanna </w:t>
      </w:r>
      <w:proofErr w:type="spellStart"/>
      <w:r w:rsidRPr="0022155B">
        <w:rPr>
          <w:rFonts w:ascii="Times New Roman" w:hAnsi="Times New Roman" w:cs="Times New Roman"/>
          <w:sz w:val="24"/>
          <w:szCs w:val="24"/>
        </w:rPr>
        <w:t>oxisol</w:t>
      </w:r>
      <w:proofErr w:type="spellEnd"/>
      <w:r w:rsidRPr="0022155B">
        <w:rPr>
          <w:rFonts w:ascii="Times New Roman" w:hAnsi="Times New Roman" w:cs="Times New Roman"/>
          <w:sz w:val="24"/>
          <w:szCs w:val="24"/>
        </w:rPr>
        <w:t xml:space="preserve">. Plant and Soil, 333(1), 117-128. </w:t>
      </w:r>
      <w:hyperlink r:id="rId27" w:history="1">
        <w:r w:rsidRPr="0022155B">
          <w:rPr>
            <w:rStyle w:val="Hyperlink"/>
            <w:rFonts w:ascii="Times New Roman" w:hAnsi="Times New Roman" w:cs="Times New Roman"/>
            <w:sz w:val="24"/>
            <w:szCs w:val="24"/>
          </w:rPr>
          <w:t>https://doi.org/10.1007/s11104-010-0327-0</w:t>
        </w:r>
      </w:hyperlink>
    </w:p>
    <w:p w14:paraId="17F38C6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[19] Schmidt, M. W. I., &amp; Noack, A. G. (2000). Black carbon in soils and sediments: Analysis, distribution, implications, and current challenges. Global Biogeochemical Cycles, 14(3), 777-793. </w:t>
      </w:r>
      <w:hyperlink r:id="rId28" w:history="1">
        <w:r w:rsidRPr="0022155B">
          <w:rPr>
            <w:rStyle w:val="Hyperlink"/>
            <w:rFonts w:ascii="Times New Roman" w:hAnsi="Times New Roman" w:cs="Times New Roman"/>
            <w:sz w:val="24"/>
            <w:szCs w:val="24"/>
          </w:rPr>
          <w:t>https://doi.org/10.1029/1999GB001208</w:t>
        </w:r>
      </w:hyperlink>
    </w:p>
    <w:p w14:paraId="755EA2E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[20] </w:t>
      </w:r>
      <w:proofErr w:type="spellStart"/>
      <w:r w:rsidRPr="0022155B">
        <w:rPr>
          <w:rFonts w:ascii="Times New Roman" w:hAnsi="Times New Roman" w:cs="Times New Roman"/>
          <w:sz w:val="24"/>
          <w:szCs w:val="24"/>
        </w:rPr>
        <w:t>Kuzyakov</w:t>
      </w:r>
      <w:proofErr w:type="spellEnd"/>
      <w:r w:rsidRPr="0022155B">
        <w:rPr>
          <w:rFonts w:ascii="Times New Roman" w:hAnsi="Times New Roman" w:cs="Times New Roman"/>
          <w:sz w:val="24"/>
          <w:szCs w:val="24"/>
        </w:rPr>
        <w:t xml:space="preserve">, Y., Bogomolova, I., &amp; Glaser, B. (2014). Biochar stability in soil: Decomposition during eight years and transformation as assessed by compound-specific 14C analysis. Soil Biology and Biochemistry, 70, 229-236. </w:t>
      </w:r>
      <w:hyperlink r:id="rId29" w:history="1">
        <w:r w:rsidRPr="0022155B">
          <w:rPr>
            <w:rStyle w:val="Hyperlink"/>
            <w:rFonts w:ascii="Times New Roman" w:hAnsi="Times New Roman" w:cs="Times New Roman"/>
            <w:sz w:val="24"/>
            <w:szCs w:val="24"/>
          </w:rPr>
          <w:t>https://doi.org/10.1016/j.soilbio.2013.12.021</w:t>
        </w:r>
      </w:hyperlink>
    </w:p>
    <w:p w14:paraId="4A9CADC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[21] Laird, D., Fleming, P., Wang, B., Horton, R., &amp; Karlen, D. (2010). Biochar impact on nutrient leaching from a Midwestern agricultural soil. </w:t>
      </w:r>
      <w:proofErr w:type="spellStart"/>
      <w:r w:rsidRPr="0022155B">
        <w:rPr>
          <w:rFonts w:ascii="Times New Roman" w:hAnsi="Times New Roman" w:cs="Times New Roman"/>
          <w:sz w:val="24"/>
          <w:szCs w:val="24"/>
        </w:rPr>
        <w:t>Geoderma</w:t>
      </w:r>
      <w:proofErr w:type="spellEnd"/>
      <w:r w:rsidRPr="0022155B">
        <w:rPr>
          <w:rFonts w:ascii="Times New Roman" w:hAnsi="Times New Roman" w:cs="Times New Roman"/>
          <w:sz w:val="24"/>
          <w:szCs w:val="24"/>
        </w:rPr>
        <w:t xml:space="preserve">, 158(3-4), 436-442. </w:t>
      </w:r>
      <w:hyperlink r:id="rId30" w:history="1">
        <w:r w:rsidRPr="0022155B">
          <w:rPr>
            <w:rStyle w:val="Hyperlink"/>
            <w:rFonts w:ascii="Times New Roman" w:hAnsi="Times New Roman" w:cs="Times New Roman"/>
            <w:sz w:val="24"/>
            <w:szCs w:val="24"/>
          </w:rPr>
          <w:t>https://doi.org/10.1016/j.geoderma.2010.05.012</w:t>
        </w:r>
      </w:hyperlink>
    </w:p>
    <w:p w14:paraId="77C3326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[22] Liang, B., Lehmann, J., Solomon, D., Sohi, S., Thies, J. E., </w:t>
      </w:r>
      <w:proofErr w:type="spellStart"/>
      <w:r w:rsidRPr="0022155B">
        <w:rPr>
          <w:rFonts w:ascii="Times New Roman" w:hAnsi="Times New Roman" w:cs="Times New Roman"/>
          <w:sz w:val="24"/>
          <w:szCs w:val="24"/>
        </w:rPr>
        <w:t>Skjemstad</w:t>
      </w:r>
      <w:proofErr w:type="spellEnd"/>
      <w:r w:rsidRPr="0022155B">
        <w:rPr>
          <w:rFonts w:ascii="Times New Roman" w:hAnsi="Times New Roman" w:cs="Times New Roman"/>
          <w:sz w:val="24"/>
          <w:szCs w:val="24"/>
        </w:rPr>
        <w:t xml:space="preserve">, J. O., </w:t>
      </w:r>
      <w:proofErr w:type="spellStart"/>
      <w:r w:rsidRPr="0022155B">
        <w:rPr>
          <w:rFonts w:ascii="Times New Roman" w:hAnsi="Times New Roman" w:cs="Times New Roman"/>
          <w:sz w:val="24"/>
          <w:szCs w:val="24"/>
        </w:rPr>
        <w:t>Luizão</w:t>
      </w:r>
      <w:proofErr w:type="spellEnd"/>
      <w:r w:rsidRPr="0022155B">
        <w:rPr>
          <w:rFonts w:ascii="Times New Roman" w:hAnsi="Times New Roman" w:cs="Times New Roman"/>
          <w:sz w:val="24"/>
          <w:szCs w:val="24"/>
        </w:rPr>
        <w:t xml:space="preserve">, F. J., Engelhard, M. H., Neves, E. G., &amp; Wirick, S. (2008). Stability of biomass-derived black carbon in soils. </w:t>
      </w:r>
      <w:proofErr w:type="spellStart"/>
      <w:r w:rsidRPr="0022155B">
        <w:rPr>
          <w:rFonts w:ascii="Times New Roman" w:hAnsi="Times New Roman" w:cs="Times New Roman"/>
          <w:sz w:val="24"/>
          <w:szCs w:val="24"/>
        </w:rPr>
        <w:t>Geochimica</w:t>
      </w:r>
      <w:proofErr w:type="spellEnd"/>
      <w:r w:rsidRPr="0022155B">
        <w:rPr>
          <w:rFonts w:ascii="Times New Roman" w:hAnsi="Times New Roman" w:cs="Times New Roman"/>
          <w:sz w:val="24"/>
          <w:szCs w:val="24"/>
        </w:rPr>
        <w:t xml:space="preserve"> et </w:t>
      </w:r>
      <w:proofErr w:type="spellStart"/>
      <w:r w:rsidRPr="0022155B">
        <w:rPr>
          <w:rFonts w:ascii="Times New Roman" w:hAnsi="Times New Roman" w:cs="Times New Roman"/>
          <w:sz w:val="24"/>
          <w:szCs w:val="24"/>
        </w:rPr>
        <w:t>Cosmochimica</w:t>
      </w:r>
      <w:proofErr w:type="spellEnd"/>
      <w:r w:rsidRPr="0022155B">
        <w:rPr>
          <w:rFonts w:ascii="Times New Roman" w:hAnsi="Times New Roman" w:cs="Times New Roman"/>
          <w:sz w:val="24"/>
          <w:szCs w:val="24"/>
        </w:rPr>
        <w:t xml:space="preserve"> Acta, 72(24), 6069-6078. </w:t>
      </w:r>
      <w:hyperlink r:id="rId31" w:history="1">
        <w:r w:rsidRPr="0022155B">
          <w:rPr>
            <w:rStyle w:val="Hyperlink"/>
            <w:rFonts w:ascii="Times New Roman" w:hAnsi="Times New Roman" w:cs="Times New Roman"/>
            <w:sz w:val="24"/>
            <w:szCs w:val="24"/>
          </w:rPr>
          <w:t>https://doi.org/10.1016/j.gca.2008.09.028</w:t>
        </w:r>
      </w:hyperlink>
    </w:p>
    <w:p w14:paraId="1671C9C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[23] Yuan, J. H., Xu, R. K., &amp; Zhang, H. (2011). The forms of alkalis in the biochar produced from crop residues at different temperatures. Bioresource Technology, 102(3), 3488-3497. </w:t>
      </w:r>
      <w:hyperlink r:id="rId32" w:history="1">
        <w:r w:rsidRPr="0022155B">
          <w:rPr>
            <w:rStyle w:val="Hyperlink"/>
            <w:rFonts w:ascii="Times New Roman" w:hAnsi="Times New Roman" w:cs="Times New Roman"/>
            <w:sz w:val="24"/>
            <w:szCs w:val="24"/>
          </w:rPr>
          <w:t>https://doi.org/10.1016/j.biortech.2010.11.018</w:t>
        </w:r>
      </w:hyperlink>
    </w:p>
    <w:p w14:paraId="2657876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[24] Van </w:t>
      </w:r>
      <w:proofErr w:type="spellStart"/>
      <w:r w:rsidRPr="0022155B">
        <w:rPr>
          <w:rFonts w:ascii="Times New Roman" w:hAnsi="Times New Roman" w:cs="Times New Roman"/>
          <w:sz w:val="24"/>
          <w:szCs w:val="24"/>
        </w:rPr>
        <w:t>Zwieten</w:t>
      </w:r>
      <w:proofErr w:type="spellEnd"/>
      <w:r w:rsidRPr="0022155B">
        <w:rPr>
          <w:rFonts w:ascii="Times New Roman" w:hAnsi="Times New Roman" w:cs="Times New Roman"/>
          <w:sz w:val="24"/>
          <w:szCs w:val="24"/>
        </w:rPr>
        <w:t xml:space="preserve">, L., Kimber, S., Morris, S., Chan, K. Y., Downie, A., Rust, J., Joseph, S., &amp; Cowie, A. (2010). Effects of biochar from slow pyrolysis of papermill waste on agronomic performance and soil fertility. Plant and Soil, 327(1), 235-246. </w:t>
      </w:r>
      <w:hyperlink r:id="rId33" w:history="1">
        <w:r w:rsidRPr="0022155B">
          <w:rPr>
            <w:rStyle w:val="Hyperlink"/>
            <w:rFonts w:ascii="Times New Roman" w:hAnsi="Times New Roman" w:cs="Times New Roman"/>
            <w:sz w:val="24"/>
            <w:szCs w:val="24"/>
          </w:rPr>
          <w:t>https://doi.org/10.1007/s11104-009-0050-x</w:t>
        </w:r>
      </w:hyperlink>
    </w:p>
    <w:p w14:paraId="06F3452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[25] Zhang, A., Bian, R., Pan, G., Cui, L., Hussain, Q., Li, L., Zheng, J., Zheng, J., Zhang, X., Han, X., &amp; Yu, X. (2012). Effects of biochar amendment on soil quality, crop yield and greenhouse gas emission in a Chinese rice paddy: A field study of 2 consecutive rice growing cycles. Field Crops Research, 127, 153-160. </w:t>
      </w:r>
      <w:hyperlink r:id="rId34" w:history="1">
        <w:r w:rsidRPr="0022155B">
          <w:rPr>
            <w:rStyle w:val="Hyperlink"/>
            <w:rFonts w:ascii="Times New Roman" w:hAnsi="Times New Roman" w:cs="Times New Roman"/>
            <w:sz w:val="24"/>
            <w:szCs w:val="24"/>
          </w:rPr>
          <w:t>https://doi.org/10.1016/j.fcr.2011.11.020</w:t>
        </w:r>
      </w:hyperlink>
    </w:p>
    <w:p w14:paraId="3DB0B9D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[26] Singh, B. P., Cowie, A. L., &amp; </w:t>
      </w:r>
      <w:proofErr w:type="spellStart"/>
      <w:r w:rsidRPr="0022155B">
        <w:rPr>
          <w:rFonts w:ascii="Times New Roman" w:hAnsi="Times New Roman" w:cs="Times New Roman"/>
          <w:sz w:val="24"/>
          <w:szCs w:val="24"/>
        </w:rPr>
        <w:t>Smernik</w:t>
      </w:r>
      <w:proofErr w:type="spellEnd"/>
      <w:r w:rsidRPr="0022155B">
        <w:rPr>
          <w:rFonts w:ascii="Times New Roman" w:hAnsi="Times New Roman" w:cs="Times New Roman"/>
          <w:sz w:val="24"/>
          <w:szCs w:val="24"/>
        </w:rPr>
        <w:t xml:space="preserve">, R. J. (2012). Biochar carbon stability in a clayey soil as a function of feedstock and pyrolysis temperature. Environmental Science &amp; Technology, 46(21), 11770-11778. </w:t>
      </w:r>
      <w:hyperlink r:id="rId35" w:history="1">
        <w:r w:rsidRPr="0022155B">
          <w:rPr>
            <w:rStyle w:val="Hyperlink"/>
            <w:rFonts w:ascii="Times New Roman" w:hAnsi="Times New Roman" w:cs="Times New Roman"/>
            <w:sz w:val="24"/>
            <w:szCs w:val="24"/>
          </w:rPr>
          <w:t>https://doi.org/10.1021/es302545b</w:t>
        </w:r>
      </w:hyperlink>
    </w:p>
    <w:p w14:paraId="3FD7452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lastRenderedPageBreak/>
        <w:t xml:space="preserve">[27] Novak, J. M., Busscher, W. J., Laird, D. L., </w:t>
      </w:r>
      <w:proofErr w:type="spellStart"/>
      <w:r w:rsidRPr="0022155B">
        <w:rPr>
          <w:rFonts w:ascii="Times New Roman" w:hAnsi="Times New Roman" w:cs="Times New Roman"/>
          <w:sz w:val="24"/>
          <w:szCs w:val="24"/>
        </w:rPr>
        <w:t>Ahmedna</w:t>
      </w:r>
      <w:proofErr w:type="spellEnd"/>
      <w:r w:rsidRPr="0022155B">
        <w:rPr>
          <w:rFonts w:ascii="Times New Roman" w:hAnsi="Times New Roman" w:cs="Times New Roman"/>
          <w:sz w:val="24"/>
          <w:szCs w:val="24"/>
        </w:rPr>
        <w:t xml:space="preserve">, M., Watts, D. W., &amp; </w:t>
      </w:r>
      <w:proofErr w:type="spellStart"/>
      <w:r w:rsidRPr="0022155B">
        <w:rPr>
          <w:rFonts w:ascii="Times New Roman" w:hAnsi="Times New Roman" w:cs="Times New Roman"/>
          <w:sz w:val="24"/>
          <w:szCs w:val="24"/>
        </w:rPr>
        <w:t>Niandou</w:t>
      </w:r>
      <w:proofErr w:type="spellEnd"/>
      <w:r w:rsidRPr="0022155B">
        <w:rPr>
          <w:rFonts w:ascii="Times New Roman" w:hAnsi="Times New Roman" w:cs="Times New Roman"/>
          <w:sz w:val="24"/>
          <w:szCs w:val="24"/>
        </w:rPr>
        <w:t xml:space="preserve">, M. A. (2009). Impact of biochar amendment on fertility of a southeastern coastal plain soil. Soil Science, 174(2), 105-112. </w:t>
      </w:r>
      <w:hyperlink r:id="rId36" w:history="1">
        <w:r w:rsidRPr="0022155B">
          <w:rPr>
            <w:rStyle w:val="Hyperlink"/>
            <w:rFonts w:ascii="Times New Roman" w:hAnsi="Times New Roman" w:cs="Times New Roman"/>
            <w:sz w:val="24"/>
            <w:szCs w:val="24"/>
          </w:rPr>
          <w:t>https://doi.org/10.1097/SS.0b013e3181981d9a</w:t>
        </w:r>
      </w:hyperlink>
    </w:p>
    <w:p w14:paraId="4085ACC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[28] Wang, J., Pan, X., Liu, Y., Zhang, X., &amp; Xiong, Z. (2012). Effects of biochar amendment in two soils on greenhouse gas emissions and crop production. Plant and Soil, 360(1), 287-298. </w:t>
      </w:r>
      <w:hyperlink r:id="rId37" w:history="1">
        <w:r w:rsidRPr="0022155B">
          <w:rPr>
            <w:rStyle w:val="Hyperlink"/>
            <w:rFonts w:ascii="Times New Roman" w:hAnsi="Times New Roman" w:cs="Times New Roman"/>
            <w:sz w:val="24"/>
            <w:szCs w:val="24"/>
          </w:rPr>
          <w:t>https://doi.org/10.1007/s11104-012-1250-3</w:t>
        </w:r>
      </w:hyperlink>
    </w:p>
    <w:p w14:paraId="634261E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[29] Rondon, M. A., Lehmann, J., Ramírez, J., &amp; Hurtado, M. (2007). Biological nitrogen fixation by common beans (Phaseolus vulgaris L.) increases with bio-char additions. Biology and Fertility of Soils, 43(6), 699-708. </w:t>
      </w:r>
      <w:hyperlink r:id="rId38" w:history="1">
        <w:r w:rsidRPr="0022155B">
          <w:rPr>
            <w:rStyle w:val="Hyperlink"/>
            <w:rFonts w:ascii="Times New Roman" w:hAnsi="Times New Roman" w:cs="Times New Roman"/>
            <w:sz w:val="24"/>
            <w:szCs w:val="24"/>
          </w:rPr>
          <w:t>https://doi.org/10.1007/s00374-006-0152-z</w:t>
        </w:r>
      </w:hyperlink>
    </w:p>
    <w:p w14:paraId="04B2AE5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[30] Biederman, L. A., &amp; Harpole, W. S. (2013). Biochar and its effects on plant productivity and nutrient cycling: A meta-analysis. GCB Bioenergy, 5(2), 202-214. </w:t>
      </w:r>
      <w:hyperlink r:id="rId39" w:history="1">
        <w:r w:rsidRPr="0022155B">
          <w:rPr>
            <w:rStyle w:val="Hyperlink"/>
            <w:rFonts w:ascii="Times New Roman" w:hAnsi="Times New Roman" w:cs="Times New Roman"/>
            <w:sz w:val="24"/>
            <w:szCs w:val="24"/>
          </w:rPr>
          <w:t>https://doi.org/10.1111/gcbb.12037</w:t>
        </w:r>
      </w:hyperlink>
    </w:p>
    <w:p w14:paraId="55D6134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[31] Lehmann, J., </w:t>
      </w:r>
      <w:proofErr w:type="spellStart"/>
      <w:r w:rsidRPr="0022155B">
        <w:rPr>
          <w:rFonts w:ascii="Times New Roman" w:hAnsi="Times New Roman" w:cs="Times New Roman"/>
          <w:sz w:val="24"/>
          <w:szCs w:val="24"/>
        </w:rPr>
        <w:t>Rillig</w:t>
      </w:r>
      <w:proofErr w:type="spellEnd"/>
      <w:r w:rsidRPr="0022155B">
        <w:rPr>
          <w:rFonts w:ascii="Times New Roman" w:hAnsi="Times New Roman" w:cs="Times New Roman"/>
          <w:sz w:val="24"/>
          <w:szCs w:val="24"/>
        </w:rPr>
        <w:t xml:space="preserve">, M. C., Thies, J., Masiello, C. A., Hockaday, W. C., &amp; Crowley, D. (2011). Biochar effects on soil biota – A review. Soil Biology and Biochemistry, 43(9), 1812-1836. </w:t>
      </w:r>
      <w:hyperlink r:id="rId40" w:history="1">
        <w:r w:rsidRPr="0022155B">
          <w:rPr>
            <w:rStyle w:val="Hyperlink"/>
            <w:rFonts w:ascii="Times New Roman" w:hAnsi="Times New Roman" w:cs="Times New Roman"/>
            <w:sz w:val="24"/>
            <w:szCs w:val="24"/>
          </w:rPr>
          <w:t>https://doi.org/10.1016/j.soilbio.2011.04.022</w:t>
        </w:r>
      </w:hyperlink>
    </w:p>
    <w:p w14:paraId="10AE209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[32] Warnock, D. D., Lehmann, J., Kuyper, T. W., &amp; </w:t>
      </w:r>
      <w:proofErr w:type="spellStart"/>
      <w:r w:rsidRPr="0022155B">
        <w:rPr>
          <w:rFonts w:ascii="Times New Roman" w:hAnsi="Times New Roman" w:cs="Times New Roman"/>
          <w:sz w:val="24"/>
          <w:szCs w:val="24"/>
        </w:rPr>
        <w:t>Rillig</w:t>
      </w:r>
      <w:proofErr w:type="spellEnd"/>
      <w:r w:rsidRPr="0022155B">
        <w:rPr>
          <w:rFonts w:ascii="Times New Roman" w:hAnsi="Times New Roman" w:cs="Times New Roman"/>
          <w:sz w:val="24"/>
          <w:szCs w:val="24"/>
        </w:rPr>
        <w:t xml:space="preserve">, M. C. (2007). Mycorrhizal responses to biochar in soil – Concepts and mechanisms. Plant and Soil, 300(1), 9-20. </w:t>
      </w:r>
      <w:hyperlink r:id="rId41" w:history="1">
        <w:r w:rsidRPr="0022155B">
          <w:rPr>
            <w:rStyle w:val="Hyperlink"/>
            <w:rFonts w:ascii="Times New Roman" w:hAnsi="Times New Roman" w:cs="Times New Roman"/>
            <w:sz w:val="24"/>
            <w:szCs w:val="24"/>
          </w:rPr>
          <w:t>https://doi.org/10.1007/s11104-007-9391-5</w:t>
        </w:r>
      </w:hyperlink>
    </w:p>
    <w:p w14:paraId="032561F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[33] Solaiman, Z. M., Blackwell, P., Abbott, L. K., &amp; Storer, P. (2010). Direct and residual effect of biochar application on mycorrhizal root </w:t>
      </w:r>
      <w:proofErr w:type="spellStart"/>
      <w:r w:rsidRPr="0022155B">
        <w:rPr>
          <w:rFonts w:ascii="Times New Roman" w:hAnsi="Times New Roman" w:cs="Times New Roman"/>
          <w:sz w:val="24"/>
          <w:szCs w:val="24"/>
        </w:rPr>
        <w:t>colonisation</w:t>
      </w:r>
      <w:proofErr w:type="spellEnd"/>
      <w:r w:rsidRPr="0022155B">
        <w:rPr>
          <w:rFonts w:ascii="Times New Roman" w:hAnsi="Times New Roman" w:cs="Times New Roman"/>
          <w:sz w:val="24"/>
          <w:szCs w:val="24"/>
        </w:rPr>
        <w:t xml:space="preserve">, growth and nutrition of wheat. Soil Research, 48(7), 546-554. </w:t>
      </w:r>
      <w:hyperlink r:id="rId42" w:history="1">
        <w:r w:rsidRPr="0022155B">
          <w:rPr>
            <w:rStyle w:val="Hyperlink"/>
            <w:rFonts w:ascii="Times New Roman" w:hAnsi="Times New Roman" w:cs="Times New Roman"/>
            <w:sz w:val="24"/>
            <w:szCs w:val="24"/>
          </w:rPr>
          <w:t>https://doi.org/10.1071/SR10002</w:t>
        </w:r>
      </w:hyperlink>
    </w:p>
    <w:p w14:paraId="4C2B955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[34] Major, J., Steiner, C., Downie, A., &amp; Lehmann, J. (2009). Biochar effects on nutrient leaching. In J. Lehmann &amp; S. Joseph (Eds.), Biochar for environmental management: Science and technology (pp. 271-287). Earthscan.</w:t>
      </w:r>
    </w:p>
    <w:p w14:paraId="3F0D4AA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[35] Chen, J., Liu, X., Zheng, J., Zhang, B., Lu, H., Chi, Z., Pan, G., Li, L., Zheng, J., Zhang, X., Wang, J., &amp; Yu, X. (2013). Biochar soil amendment increased bacterial but decreased fungal gene abundance with shifts in community structure in a slightly acid rice paddy from Southwest China. Applied Soil Ecology, 71, 33-44. </w:t>
      </w:r>
      <w:hyperlink r:id="rId43" w:history="1">
        <w:r w:rsidRPr="0022155B">
          <w:rPr>
            <w:rStyle w:val="Hyperlink"/>
            <w:rFonts w:ascii="Times New Roman" w:hAnsi="Times New Roman" w:cs="Times New Roman"/>
            <w:sz w:val="24"/>
            <w:szCs w:val="24"/>
          </w:rPr>
          <w:t>https://doi.org/10.1016/j.apsoil.2013.05.003</w:t>
        </w:r>
      </w:hyperlink>
    </w:p>
    <w:p w14:paraId="7BF5D8E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[36] </w:t>
      </w:r>
      <w:proofErr w:type="spellStart"/>
      <w:r w:rsidRPr="0022155B">
        <w:rPr>
          <w:rFonts w:ascii="Times New Roman" w:hAnsi="Times New Roman" w:cs="Times New Roman"/>
          <w:sz w:val="24"/>
          <w:szCs w:val="24"/>
        </w:rPr>
        <w:t>Agegnehu</w:t>
      </w:r>
      <w:proofErr w:type="spellEnd"/>
      <w:r w:rsidRPr="0022155B">
        <w:rPr>
          <w:rFonts w:ascii="Times New Roman" w:hAnsi="Times New Roman" w:cs="Times New Roman"/>
          <w:sz w:val="24"/>
          <w:szCs w:val="24"/>
        </w:rPr>
        <w:t xml:space="preserve">, G., Bass, A. M., Nelson, P. N., &amp; Bird, M. I. (2016). Benefits of biochar, compost and biochar–compost for soil quality, maize yield and greenhouse gas emissions in a tropical agricultural soil. Science of The Total Environment, 543, 295-306. </w:t>
      </w:r>
      <w:hyperlink r:id="rId44" w:history="1">
        <w:r w:rsidRPr="0022155B">
          <w:rPr>
            <w:rStyle w:val="Hyperlink"/>
            <w:rFonts w:ascii="Times New Roman" w:hAnsi="Times New Roman" w:cs="Times New Roman"/>
            <w:sz w:val="24"/>
            <w:szCs w:val="24"/>
          </w:rPr>
          <w:t>https://doi.org/10.1016/j.scitotenv.2015.11.054</w:t>
        </w:r>
      </w:hyperlink>
    </w:p>
    <w:p w14:paraId="218F403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[37] Vaccari, F. P., </w:t>
      </w:r>
      <w:proofErr w:type="spellStart"/>
      <w:r w:rsidRPr="0022155B">
        <w:rPr>
          <w:rFonts w:ascii="Times New Roman" w:hAnsi="Times New Roman" w:cs="Times New Roman"/>
          <w:sz w:val="24"/>
          <w:szCs w:val="24"/>
        </w:rPr>
        <w:t>Baronti</w:t>
      </w:r>
      <w:proofErr w:type="spellEnd"/>
      <w:r w:rsidRPr="0022155B">
        <w:rPr>
          <w:rFonts w:ascii="Times New Roman" w:hAnsi="Times New Roman" w:cs="Times New Roman"/>
          <w:sz w:val="24"/>
          <w:szCs w:val="24"/>
        </w:rPr>
        <w:t xml:space="preserve">, S., </w:t>
      </w:r>
      <w:proofErr w:type="spellStart"/>
      <w:r w:rsidRPr="0022155B">
        <w:rPr>
          <w:rFonts w:ascii="Times New Roman" w:hAnsi="Times New Roman" w:cs="Times New Roman"/>
          <w:sz w:val="24"/>
          <w:szCs w:val="24"/>
        </w:rPr>
        <w:t>Lugato</w:t>
      </w:r>
      <w:proofErr w:type="spellEnd"/>
      <w:r w:rsidRPr="0022155B">
        <w:rPr>
          <w:rFonts w:ascii="Times New Roman" w:hAnsi="Times New Roman" w:cs="Times New Roman"/>
          <w:sz w:val="24"/>
          <w:szCs w:val="24"/>
        </w:rPr>
        <w:t xml:space="preserve">, E., </w:t>
      </w:r>
      <w:proofErr w:type="spellStart"/>
      <w:r w:rsidRPr="0022155B">
        <w:rPr>
          <w:rFonts w:ascii="Times New Roman" w:hAnsi="Times New Roman" w:cs="Times New Roman"/>
          <w:sz w:val="24"/>
          <w:szCs w:val="24"/>
        </w:rPr>
        <w:t>Genesio</w:t>
      </w:r>
      <w:proofErr w:type="spellEnd"/>
      <w:r w:rsidRPr="0022155B">
        <w:rPr>
          <w:rFonts w:ascii="Times New Roman" w:hAnsi="Times New Roman" w:cs="Times New Roman"/>
          <w:sz w:val="24"/>
          <w:szCs w:val="24"/>
        </w:rPr>
        <w:t xml:space="preserve">, L., Castaldi, S., </w:t>
      </w:r>
      <w:proofErr w:type="spellStart"/>
      <w:r w:rsidRPr="0022155B">
        <w:rPr>
          <w:rFonts w:ascii="Times New Roman" w:hAnsi="Times New Roman" w:cs="Times New Roman"/>
          <w:sz w:val="24"/>
          <w:szCs w:val="24"/>
        </w:rPr>
        <w:t>Fornasier</w:t>
      </w:r>
      <w:proofErr w:type="spellEnd"/>
      <w:r w:rsidRPr="0022155B">
        <w:rPr>
          <w:rFonts w:ascii="Times New Roman" w:hAnsi="Times New Roman" w:cs="Times New Roman"/>
          <w:sz w:val="24"/>
          <w:szCs w:val="24"/>
        </w:rPr>
        <w:t xml:space="preserve">, F., &amp; Miglietta, F. (2011). Biochar as a strategy to sequester carbon and increase yield in durum wheat. European Journal of Agronomy, 34(4), 231-238. </w:t>
      </w:r>
      <w:hyperlink r:id="rId45" w:history="1">
        <w:r w:rsidRPr="0022155B">
          <w:rPr>
            <w:rStyle w:val="Hyperlink"/>
            <w:rFonts w:ascii="Times New Roman" w:hAnsi="Times New Roman" w:cs="Times New Roman"/>
            <w:sz w:val="24"/>
            <w:szCs w:val="24"/>
          </w:rPr>
          <w:t>https://doi.org/10.1016/j.eja.2011.01.006</w:t>
        </w:r>
      </w:hyperlink>
    </w:p>
    <w:p w14:paraId="0F9FEC5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[38] Hossain, M. K., </w:t>
      </w:r>
      <w:proofErr w:type="spellStart"/>
      <w:r w:rsidRPr="0022155B">
        <w:rPr>
          <w:rFonts w:ascii="Times New Roman" w:hAnsi="Times New Roman" w:cs="Times New Roman"/>
          <w:sz w:val="24"/>
          <w:szCs w:val="24"/>
        </w:rPr>
        <w:t>Strezov</w:t>
      </w:r>
      <w:proofErr w:type="spellEnd"/>
      <w:r w:rsidRPr="0022155B">
        <w:rPr>
          <w:rFonts w:ascii="Times New Roman" w:hAnsi="Times New Roman" w:cs="Times New Roman"/>
          <w:sz w:val="24"/>
          <w:szCs w:val="24"/>
        </w:rPr>
        <w:t xml:space="preserve">, V., Chan, K. Y., &amp; Nelson, P. F. (2010). Agronomic properties of wastewater sludge biochar and bioavailability of metals in production of cherry tomato </w:t>
      </w:r>
      <w:r w:rsidRPr="0022155B">
        <w:rPr>
          <w:rFonts w:ascii="Times New Roman" w:hAnsi="Times New Roman" w:cs="Times New Roman"/>
          <w:sz w:val="24"/>
          <w:szCs w:val="24"/>
        </w:rPr>
        <w:lastRenderedPageBreak/>
        <w:t xml:space="preserve">(Lycopersicon esculentum). Chemosphere, 78(9), 1167-1171. </w:t>
      </w:r>
      <w:hyperlink r:id="rId46" w:history="1">
        <w:r w:rsidRPr="0022155B">
          <w:rPr>
            <w:rStyle w:val="Hyperlink"/>
            <w:rFonts w:ascii="Times New Roman" w:hAnsi="Times New Roman" w:cs="Times New Roman"/>
            <w:sz w:val="24"/>
            <w:szCs w:val="24"/>
          </w:rPr>
          <w:t>https://doi.org/10.1016/j.chemosphere.2010.01.009</w:t>
        </w:r>
      </w:hyperlink>
    </w:p>
    <w:p w14:paraId="053A24A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[39] Karhu, K., Mattila, T., Bergström, I., &amp; Regina, K. (2011). Biochar addition to agricultural soil increased CH4 uptake and water holding capacity – Results from a short-term pilot field study. Agriculture, Ecosystems &amp; Environment, 140(1-2), 309-313. </w:t>
      </w:r>
      <w:hyperlink r:id="rId47" w:history="1">
        <w:r w:rsidRPr="0022155B">
          <w:rPr>
            <w:rStyle w:val="Hyperlink"/>
            <w:rFonts w:ascii="Times New Roman" w:hAnsi="Times New Roman" w:cs="Times New Roman"/>
            <w:sz w:val="24"/>
            <w:szCs w:val="24"/>
          </w:rPr>
          <w:t>https://doi.org/10.1016/j.agee.2010.12.005</w:t>
        </w:r>
      </w:hyperlink>
    </w:p>
    <w:p w14:paraId="229C5E0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[40] Abel, S., Peters, A., Trinks, S., </w:t>
      </w:r>
      <w:proofErr w:type="spellStart"/>
      <w:r w:rsidRPr="0022155B">
        <w:rPr>
          <w:rFonts w:ascii="Times New Roman" w:hAnsi="Times New Roman" w:cs="Times New Roman"/>
          <w:sz w:val="24"/>
          <w:szCs w:val="24"/>
        </w:rPr>
        <w:t>Schonsky</w:t>
      </w:r>
      <w:proofErr w:type="spellEnd"/>
      <w:r w:rsidRPr="0022155B">
        <w:rPr>
          <w:rFonts w:ascii="Times New Roman" w:hAnsi="Times New Roman" w:cs="Times New Roman"/>
          <w:sz w:val="24"/>
          <w:szCs w:val="24"/>
        </w:rPr>
        <w:t xml:space="preserve">, H., Facklam, M., &amp; </w:t>
      </w:r>
      <w:proofErr w:type="spellStart"/>
      <w:r w:rsidRPr="0022155B">
        <w:rPr>
          <w:rFonts w:ascii="Times New Roman" w:hAnsi="Times New Roman" w:cs="Times New Roman"/>
          <w:sz w:val="24"/>
          <w:szCs w:val="24"/>
        </w:rPr>
        <w:t>Wessolek</w:t>
      </w:r>
      <w:proofErr w:type="spellEnd"/>
      <w:r w:rsidRPr="0022155B">
        <w:rPr>
          <w:rFonts w:ascii="Times New Roman" w:hAnsi="Times New Roman" w:cs="Times New Roman"/>
          <w:sz w:val="24"/>
          <w:szCs w:val="24"/>
        </w:rPr>
        <w:t xml:space="preserve">, G. (2013). Impact of biochar and </w:t>
      </w:r>
      <w:proofErr w:type="spellStart"/>
      <w:r w:rsidRPr="0022155B">
        <w:rPr>
          <w:rFonts w:ascii="Times New Roman" w:hAnsi="Times New Roman" w:cs="Times New Roman"/>
          <w:sz w:val="24"/>
          <w:szCs w:val="24"/>
        </w:rPr>
        <w:t>hydrochar</w:t>
      </w:r>
      <w:proofErr w:type="spellEnd"/>
      <w:r w:rsidRPr="0022155B">
        <w:rPr>
          <w:rFonts w:ascii="Times New Roman" w:hAnsi="Times New Roman" w:cs="Times New Roman"/>
          <w:sz w:val="24"/>
          <w:szCs w:val="24"/>
        </w:rPr>
        <w:t xml:space="preserve"> addition on water retention and water repellency of sandy soil. </w:t>
      </w:r>
      <w:proofErr w:type="spellStart"/>
      <w:r w:rsidRPr="0022155B">
        <w:rPr>
          <w:rFonts w:ascii="Times New Roman" w:hAnsi="Times New Roman" w:cs="Times New Roman"/>
          <w:sz w:val="24"/>
          <w:szCs w:val="24"/>
        </w:rPr>
        <w:t>Geoderma</w:t>
      </w:r>
      <w:proofErr w:type="spellEnd"/>
      <w:r w:rsidRPr="0022155B">
        <w:rPr>
          <w:rFonts w:ascii="Times New Roman" w:hAnsi="Times New Roman" w:cs="Times New Roman"/>
          <w:sz w:val="24"/>
          <w:szCs w:val="24"/>
        </w:rPr>
        <w:t xml:space="preserve">, 202-203, 183-191. </w:t>
      </w:r>
      <w:hyperlink r:id="rId48" w:history="1">
        <w:r w:rsidRPr="0022155B">
          <w:rPr>
            <w:rStyle w:val="Hyperlink"/>
            <w:rFonts w:ascii="Times New Roman" w:hAnsi="Times New Roman" w:cs="Times New Roman"/>
            <w:sz w:val="24"/>
            <w:szCs w:val="24"/>
          </w:rPr>
          <w:t>https://doi.org/10.1016/j.geoderma.2013.03.003</w:t>
        </w:r>
      </w:hyperlink>
    </w:p>
    <w:p w14:paraId="63D0F49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[41] Mulcahy, D. N., Mulcahy, D. L., &amp; Dietz, D. (2013). Biochar soil amendment increases tomato seedling resistance to drought in sandy soils. Journal of Arid Environments, 88, 222-225. </w:t>
      </w:r>
      <w:hyperlink r:id="rId49" w:history="1">
        <w:r w:rsidRPr="0022155B">
          <w:rPr>
            <w:rStyle w:val="Hyperlink"/>
            <w:rFonts w:ascii="Times New Roman" w:hAnsi="Times New Roman" w:cs="Times New Roman"/>
            <w:sz w:val="24"/>
            <w:szCs w:val="24"/>
          </w:rPr>
          <w:t>https://doi.org/10.1016/j.jaridenv.2012.07.012</w:t>
        </w:r>
      </w:hyperlink>
    </w:p>
    <w:p w14:paraId="6243EC7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[42] Novak, J. M., Lima, I., Xing, B., Gaskin, J. W., Steiner, C., Das, K. C., </w:t>
      </w:r>
      <w:proofErr w:type="spellStart"/>
      <w:r w:rsidRPr="0022155B">
        <w:rPr>
          <w:rFonts w:ascii="Times New Roman" w:hAnsi="Times New Roman" w:cs="Times New Roman"/>
          <w:sz w:val="24"/>
          <w:szCs w:val="24"/>
        </w:rPr>
        <w:t>Ahmedna</w:t>
      </w:r>
      <w:proofErr w:type="spellEnd"/>
      <w:r w:rsidRPr="0022155B">
        <w:rPr>
          <w:rFonts w:ascii="Times New Roman" w:hAnsi="Times New Roman" w:cs="Times New Roman"/>
          <w:sz w:val="24"/>
          <w:szCs w:val="24"/>
        </w:rPr>
        <w:t xml:space="preserve">, M., </w:t>
      </w:r>
      <w:proofErr w:type="spellStart"/>
      <w:r w:rsidRPr="0022155B">
        <w:rPr>
          <w:rFonts w:ascii="Times New Roman" w:hAnsi="Times New Roman" w:cs="Times New Roman"/>
          <w:sz w:val="24"/>
          <w:szCs w:val="24"/>
        </w:rPr>
        <w:t>Rehrah</w:t>
      </w:r>
      <w:proofErr w:type="spellEnd"/>
      <w:r w:rsidRPr="0022155B">
        <w:rPr>
          <w:rFonts w:ascii="Times New Roman" w:hAnsi="Times New Roman" w:cs="Times New Roman"/>
          <w:sz w:val="24"/>
          <w:szCs w:val="24"/>
        </w:rPr>
        <w:t>, D., Watts, D. W., Busscher, W. J., &amp; Schomberg, H. (2009). Characterization of designer biochar produced at different temperatures and their effects on a loamy sand. Annals of Environmental Science, 3, 195-206.</w:t>
      </w:r>
    </w:p>
    <w:p w14:paraId="62D47AF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 [43] Kammann, C. I., </w:t>
      </w:r>
      <w:proofErr w:type="spellStart"/>
      <w:r w:rsidRPr="0022155B">
        <w:rPr>
          <w:rFonts w:ascii="Times New Roman" w:hAnsi="Times New Roman" w:cs="Times New Roman"/>
          <w:sz w:val="24"/>
          <w:szCs w:val="24"/>
        </w:rPr>
        <w:t>Linsel</w:t>
      </w:r>
      <w:proofErr w:type="spellEnd"/>
      <w:r w:rsidRPr="0022155B">
        <w:rPr>
          <w:rFonts w:ascii="Times New Roman" w:hAnsi="Times New Roman" w:cs="Times New Roman"/>
          <w:sz w:val="24"/>
          <w:szCs w:val="24"/>
        </w:rPr>
        <w:t xml:space="preserve">, S., </w:t>
      </w:r>
      <w:proofErr w:type="spellStart"/>
      <w:r w:rsidRPr="0022155B">
        <w:rPr>
          <w:rFonts w:ascii="Times New Roman" w:hAnsi="Times New Roman" w:cs="Times New Roman"/>
          <w:sz w:val="24"/>
          <w:szCs w:val="24"/>
        </w:rPr>
        <w:t>Gößling</w:t>
      </w:r>
      <w:proofErr w:type="spellEnd"/>
      <w:r w:rsidRPr="0022155B">
        <w:rPr>
          <w:rFonts w:ascii="Times New Roman" w:hAnsi="Times New Roman" w:cs="Times New Roman"/>
          <w:sz w:val="24"/>
          <w:szCs w:val="24"/>
        </w:rPr>
        <w:t xml:space="preserve">, J. W., &amp; </w:t>
      </w:r>
      <w:proofErr w:type="spellStart"/>
      <w:r w:rsidRPr="0022155B">
        <w:rPr>
          <w:rFonts w:ascii="Times New Roman" w:hAnsi="Times New Roman" w:cs="Times New Roman"/>
          <w:sz w:val="24"/>
          <w:szCs w:val="24"/>
        </w:rPr>
        <w:t>Koyro</w:t>
      </w:r>
      <w:proofErr w:type="spellEnd"/>
      <w:r w:rsidRPr="0022155B">
        <w:rPr>
          <w:rFonts w:ascii="Times New Roman" w:hAnsi="Times New Roman" w:cs="Times New Roman"/>
          <w:sz w:val="24"/>
          <w:szCs w:val="24"/>
        </w:rPr>
        <w:t xml:space="preserve">, H. W. (2011). Influence of biochar on drought tolerance of Chenopodium quinoa Willd and on soil–plant relations. Plant and Soil, 345(1), 195-210. </w:t>
      </w:r>
      <w:hyperlink r:id="rId50" w:history="1">
        <w:r w:rsidRPr="0022155B">
          <w:rPr>
            <w:rStyle w:val="Hyperlink"/>
            <w:rFonts w:ascii="Times New Roman" w:hAnsi="Times New Roman" w:cs="Times New Roman"/>
            <w:sz w:val="24"/>
            <w:szCs w:val="24"/>
          </w:rPr>
          <w:t>https://doi</w:t>
        </w:r>
      </w:hyperlink>
      <w:r w:rsidRPr="0022155B">
        <w:rPr>
          <w:rFonts w:ascii="Times New Roman" w:hAnsi="Times New Roman" w:cs="Times New Roman"/>
          <w:sz w:val="24"/>
          <w:szCs w:val="24"/>
        </w:rPr>
        <w:t>.org/10.1007/s11104-011-0771-5</w:t>
      </w:r>
    </w:p>
    <w:p w14:paraId="0C7EEDE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[44] </w:t>
      </w:r>
      <w:proofErr w:type="spellStart"/>
      <w:r w:rsidRPr="0022155B">
        <w:rPr>
          <w:rFonts w:ascii="Times New Roman" w:hAnsi="Times New Roman" w:cs="Times New Roman"/>
          <w:sz w:val="24"/>
          <w:szCs w:val="24"/>
        </w:rPr>
        <w:t>Baronti</w:t>
      </w:r>
      <w:proofErr w:type="spellEnd"/>
      <w:r w:rsidRPr="0022155B">
        <w:rPr>
          <w:rFonts w:ascii="Times New Roman" w:hAnsi="Times New Roman" w:cs="Times New Roman"/>
          <w:sz w:val="24"/>
          <w:szCs w:val="24"/>
        </w:rPr>
        <w:t xml:space="preserve">, S., Vaccari, F. P., Miglietta, F., </w:t>
      </w:r>
      <w:proofErr w:type="spellStart"/>
      <w:r w:rsidRPr="0022155B">
        <w:rPr>
          <w:rFonts w:ascii="Times New Roman" w:hAnsi="Times New Roman" w:cs="Times New Roman"/>
          <w:sz w:val="24"/>
          <w:szCs w:val="24"/>
        </w:rPr>
        <w:t>Calzolari</w:t>
      </w:r>
      <w:proofErr w:type="spellEnd"/>
      <w:r w:rsidRPr="0022155B">
        <w:rPr>
          <w:rFonts w:ascii="Times New Roman" w:hAnsi="Times New Roman" w:cs="Times New Roman"/>
          <w:sz w:val="24"/>
          <w:szCs w:val="24"/>
        </w:rPr>
        <w:t xml:space="preserve">, C., </w:t>
      </w:r>
      <w:proofErr w:type="spellStart"/>
      <w:r w:rsidRPr="0022155B">
        <w:rPr>
          <w:rFonts w:ascii="Times New Roman" w:hAnsi="Times New Roman" w:cs="Times New Roman"/>
          <w:sz w:val="24"/>
          <w:szCs w:val="24"/>
        </w:rPr>
        <w:t>Lugato</w:t>
      </w:r>
      <w:proofErr w:type="spellEnd"/>
      <w:r w:rsidRPr="0022155B">
        <w:rPr>
          <w:rFonts w:ascii="Times New Roman" w:hAnsi="Times New Roman" w:cs="Times New Roman"/>
          <w:sz w:val="24"/>
          <w:szCs w:val="24"/>
        </w:rPr>
        <w:t xml:space="preserve">, E., Orlandini, S., Pini, R., </w:t>
      </w:r>
      <w:proofErr w:type="spellStart"/>
      <w:r w:rsidRPr="0022155B">
        <w:rPr>
          <w:rFonts w:ascii="Times New Roman" w:hAnsi="Times New Roman" w:cs="Times New Roman"/>
          <w:sz w:val="24"/>
          <w:szCs w:val="24"/>
        </w:rPr>
        <w:t>Zulian</w:t>
      </w:r>
      <w:proofErr w:type="spellEnd"/>
      <w:r w:rsidRPr="0022155B">
        <w:rPr>
          <w:rFonts w:ascii="Times New Roman" w:hAnsi="Times New Roman" w:cs="Times New Roman"/>
          <w:sz w:val="24"/>
          <w:szCs w:val="24"/>
        </w:rPr>
        <w:t xml:space="preserve">, C., &amp; </w:t>
      </w:r>
      <w:proofErr w:type="spellStart"/>
      <w:r w:rsidRPr="0022155B">
        <w:rPr>
          <w:rFonts w:ascii="Times New Roman" w:hAnsi="Times New Roman" w:cs="Times New Roman"/>
          <w:sz w:val="24"/>
          <w:szCs w:val="24"/>
        </w:rPr>
        <w:t>Genesio</w:t>
      </w:r>
      <w:proofErr w:type="spellEnd"/>
      <w:r w:rsidRPr="0022155B">
        <w:rPr>
          <w:rFonts w:ascii="Times New Roman" w:hAnsi="Times New Roman" w:cs="Times New Roman"/>
          <w:sz w:val="24"/>
          <w:szCs w:val="24"/>
        </w:rPr>
        <w:t xml:space="preserve">, L. (2014). Impact of biochar application on plant water relations in Vitis vinifera (L.). European Journal of Agronomy, 53, 38-44. </w:t>
      </w:r>
      <w:hyperlink r:id="rId51" w:history="1">
        <w:r w:rsidRPr="0022155B">
          <w:rPr>
            <w:rStyle w:val="Hyperlink"/>
            <w:rFonts w:ascii="Times New Roman" w:hAnsi="Times New Roman" w:cs="Times New Roman"/>
            <w:sz w:val="24"/>
            <w:szCs w:val="24"/>
          </w:rPr>
          <w:t>https://doi.org/10.1016/j.eja.2013.11.003</w:t>
        </w:r>
      </w:hyperlink>
    </w:p>
    <w:p w14:paraId="7C78FD3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[45] Ouyang, L., Wang, F., Tang, J., Yu, L., &amp; Zhang, R. (2013). Effects of biochar amendment on soil aggregates and hydraulic properties. Journal of Soil Science and Plant Nutrition, 13(4), 991-1002. </w:t>
      </w:r>
      <w:hyperlink r:id="rId52" w:history="1">
        <w:r w:rsidRPr="0022155B">
          <w:rPr>
            <w:rStyle w:val="Hyperlink"/>
            <w:rFonts w:ascii="Times New Roman" w:hAnsi="Times New Roman" w:cs="Times New Roman"/>
            <w:sz w:val="24"/>
            <w:szCs w:val="24"/>
          </w:rPr>
          <w:t>https://doi.org/10.4067/S0718-95162013005000078</w:t>
        </w:r>
      </w:hyperlink>
    </w:p>
    <w:p w14:paraId="489752C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[46] Herath, H. M. S. K., Camps-</w:t>
      </w:r>
      <w:proofErr w:type="spellStart"/>
      <w:r w:rsidRPr="0022155B">
        <w:rPr>
          <w:rFonts w:ascii="Times New Roman" w:hAnsi="Times New Roman" w:cs="Times New Roman"/>
          <w:sz w:val="24"/>
          <w:szCs w:val="24"/>
        </w:rPr>
        <w:t>Arbestain</w:t>
      </w:r>
      <w:proofErr w:type="spellEnd"/>
      <w:r w:rsidRPr="0022155B">
        <w:rPr>
          <w:rFonts w:ascii="Times New Roman" w:hAnsi="Times New Roman" w:cs="Times New Roman"/>
          <w:sz w:val="24"/>
          <w:szCs w:val="24"/>
        </w:rPr>
        <w:t xml:space="preserve">, M., &amp; Hedley, M. (2013). Effect of biochar on soil physical properties in two contrasting soils: An </w:t>
      </w:r>
      <w:proofErr w:type="spellStart"/>
      <w:r w:rsidRPr="0022155B">
        <w:rPr>
          <w:rFonts w:ascii="Times New Roman" w:hAnsi="Times New Roman" w:cs="Times New Roman"/>
          <w:sz w:val="24"/>
          <w:szCs w:val="24"/>
        </w:rPr>
        <w:t>Alfisol</w:t>
      </w:r>
      <w:proofErr w:type="spellEnd"/>
      <w:r w:rsidRPr="0022155B">
        <w:rPr>
          <w:rFonts w:ascii="Times New Roman" w:hAnsi="Times New Roman" w:cs="Times New Roman"/>
          <w:sz w:val="24"/>
          <w:szCs w:val="24"/>
        </w:rPr>
        <w:t xml:space="preserve"> and an </w:t>
      </w:r>
      <w:proofErr w:type="spellStart"/>
      <w:r w:rsidRPr="0022155B">
        <w:rPr>
          <w:rFonts w:ascii="Times New Roman" w:hAnsi="Times New Roman" w:cs="Times New Roman"/>
          <w:sz w:val="24"/>
          <w:szCs w:val="24"/>
        </w:rPr>
        <w:t>Andisol</w:t>
      </w:r>
      <w:proofErr w:type="spellEnd"/>
      <w:r w:rsidRPr="0022155B">
        <w:rPr>
          <w:rFonts w:ascii="Times New Roman" w:hAnsi="Times New Roman" w:cs="Times New Roman"/>
          <w:sz w:val="24"/>
          <w:szCs w:val="24"/>
        </w:rPr>
        <w:t xml:space="preserve">. </w:t>
      </w:r>
      <w:proofErr w:type="spellStart"/>
      <w:r w:rsidRPr="0022155B">
        <w:rPr>
          <w:rFonts w:ascii="Times New Roman" w:hAnsi="Times New Roman" w:cs="Times New Roman"/>
          <w:sz w:val="24"/>
          <w:szCs w:val="24"/>
        </w:rPr>
        <w:t>Geoderma</w:t>
      </w:r>
      <w:proofErr w:type="spellEnd"/>
      <w:r w:rsidRPr="0022155B">
        <w:rPr>
          <w:rFonts w:ascii="Times New Roman" w:hAnsi="Times New Roman" w:cs="Times New Roman"/>
          <w:sz w:val="24"/>
          <w:szCs w:val="24"/>
        </w:rPr>
        <w:t xml:space="preserve">, 209-210, 188-197. </w:t>
      </w:r>
      <w:hyperlink r:id="rId53" w:history="1">
        <w:r w:rsidRPr="0022155B">
          <w:rPr>
            <w:rStyle w:val="Hyperlink"/>
            <w:rFonts w:ascii="Times New Roman" w:hAnsi="Times New Roman" w:cs="Times New Roman"/>
            <w:sz w:val="24"/>
            <w:szCs w:val="24"/>
          </w:rPr>
          <w:t>https://doi.org/10.1016/j.geoderma.2013.06.016</w:t>
        </w:r>
      </w:hyperlink>
    </w:p>
    <w:p w14:paraId="704FFC8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[47] Burrell, L. D., Zehetner, F., Rampazzo, N., Wimmer, B., &amp; Soja, G. (2016). Long-term effects of biochar on soil physical properties. </w:t>
      </w:r>
      <w:proofErr w:type="spellStart"/>
      <w:r w:rsidRPr="0022155B">
        <w:rPr>
          <w:rFonts w:ascii="Times New Roman" w:hAnsi="Times New Roman" w:cs="Times New Roman"/>
          <w:sz w:val="24"/>
          <w:szCs w:val="24"/>
        </w:rPr>
        <w:t>Geoderma</w:t>
      </w:r>
      <w:proofErr w:type="spellEnd"/>
      <w:r w:rsidRPr="0022155B">
        <w:rPr>
          <w:rFonts w:ascii="Times New Roman" w:hAnsi="Times New Roman" w:cs="Times New Roman"/>
          <w:sz w:val="24"/>
          <w:szCs w:val="24"/>
        </w:rPr>
        <w:t xml:space="preserve">, 282, 96-102. </w:t>
      </w:r>
      <w:hyperlink r:id="rId54" w:history="1">
        <w:r w:rsidRPr="0022155B">
          <w:rPr>
            <w:rStyle w:val="Hyperlink"/>
            <w:rFonts w:ascii="Times New Roman" w:hAnsi="Times New Roman" w:cs="Times New Roman"/>
            <w:sz w:val="24"/>
            <w:szCs w:val="24"/>
          </w:rPr>
          <w:t>https://doi.org/10.1016/j.geoderma.2016.07.019</w:t>
        </w:r>
      </w:hyperlink>
    </w:p>
    <w:p w14:paraId="4798A003"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[48] Lehmann, J., </w:t>
      </w:r>
      <w:proofErr w:type="spellStart"/>
      <w:r w:rsidRPr="0022155B">
        <w:rPr>
          <w:rFonts w:ascii="Times New Roman" w:hAnsi="Times New Roman" w:cs="Times New Roman"/>
          <w:sz w:val="24"/>
          <w:szCs w:val="24"/>
        </w:rPr>
        <w:t>Rillig</w:t>
      </w:r>
      <w:proofErr w:type="spellEnd"/>
      <w:r w:rsidRPr="0022155B">
        <w:rPr>
          <w:rFonts w:ascii="Times New Roman" w:hAnsi="Times New Roman" w:cs="Times New Roman"/>
          <w:sz w:val="24"/>
          <w:szCs w:val="24"/>
        </w:rPr>
        <w:t xml:space="preserve">, M. C., Thies, J., Masiello, C. A., Hockaday, W. C., &amp; Crowley, D. (2011). Biochar effects on soil biota – A review. Soil Biology and Biochemistry, 43(9), 1812-1836. </w:t>
      </w:r>
      <w:hyperlink r:id="rId55" w:history="1">
        <w:r w:rsidRPr="0022155B">
          <w:rPr>
            <w:rStyle w:val="Hyperlink"/>
            <w:rFonts w:ascii="Times New Roman" w:hAnsi="Times New Roman" w:cs="Times New Roman"/>
            <w:sz w:val="24"/>
            <w:szCs w:val="24"/>
          </w:rPr>
          <w:t>https://doi.org/10.1016/j.soilbio.2011.04.022</w:t>
        </w:r>
      </w:hyperlink>
    </w:p>
    <w:p w14:paraId="453F776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lastRenderedPageBreak/>
        <w:t xml:space="preserve">[49] Pietikäinen, J., </w:t>
      </w:r>
      <w:proofErr w:type="spellStart"/>
      <w:r w:rsidRPr="0022155B">
        <w:rPr>
          <w:rFonts w:ascii="Times New Roman" w:hAnsi="Times New Roman" w:cs="Times New Roman"/>
          <w:sz w:val="24"/>
          <w:szCs w:val="24"/>
        </w:rPr>
        <w:t>Kiikkilä</w:t>
      </w:r>
      <w:proofErr w:type="spellEnd"/>
      <w:r w:rsidRPr="0022155B">
        <w:rPr>
          <w:rFonts w:ascii="Times New Roman" w:hAnsi="Times New Roman" w:cs="Times New Roman"/>
          <w:sz w:val="24"/>
          <w:szCs w:val="24"/>
        </w:rPr>
        <w:t xml:space="preserve">, O., &amp; Fritze, H. (2000). Charcoal as a habitat for microbes and its effect on the microbial community of the underlying humus. Oikos, 89(2), 231-242. </w:t>
      </w:r>
      <w:hyperlink r:id="rId56" w:history="1">
        <w:r w:rsidRPr="0022155B">
          <w:rPr>
            <w:rStyle w:val="Hyperlink"/>
            <w:rFonts w:ascii="Times New Roman" w:hAnsi="Times New Roman" w:cs="Times New Roman"/>
            <w:sz w:val="24"/>
            <w:szCs w:val="24"/>
          </w:rPr>
          <w:t>https://doi.org/10.1034/j.1600-0706.2000.890203.x</w:t>
        </w:r>
      </w:hyperlink>
    </w:p>
    <w:p w14:paraId="2ED5260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[50] Thies, J. E., &amp; </w:t>
      </w:r>
      <w:proofErr w:type="spellStart"/>
      <w:r w:rsidRPr="0022155B">
        <w:rPr>
          <w:rFonts w:ascii="Times New Roman" w:hAnsi="Times New Roman" w:cs="Times New Roman"/>
          <w:sz w:val="24"/>
          <w:szCs w:val="24"/>
        </w:rPr>
        <w:t>Rillig</w:t>
      </w:r>
      <w:proofErr w:type="spellEnd"/>
      <w:r w:rsidRPr="0022155B">
        <w:rPr>
          <w:rFonts w:ascii="Times New Roman" w:hAnsi="Times New Roman" w:cs="Times New Roman"/>
          <w:sz w:val="24"/>
          <w:szCs w:val="24"/>
        </w:rPr>
        <w:t>, M. C. (2009). Characteristics of biochar: Biological properties. In J. Lehmann &amp; S. Joseph (Eds.), Biochar for environmental management: Science and technology (pp. 85-105). Earthscan.</w:t>
      </w:r>
    </w:p>
    <w:p w14:paraId="4220B26F"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[51] Grossman, J. M., O'Neill, B. E., Tsai, S. M., Liang, B., Neves, E., Lehmann, J., &amp; Thies, J. E. (2010). Amazonian </w:t>
      </w:r>
      <w:proofErr w:type="spellStart"/>
      <w:r w:rsidRPr="0022155B">
        <w:rPr>
          <w:rFonts w:ascii="Times New Roman" w:hAnsi="Times New Roman" w:cs="Times New Roman"/>
          <w:sz w:val="24"/>
          <w:szCs w:val="24"/>
        </w:rPr>
        <w:t>anthrosols</w:t>
      </w:r>
      <w:proofErr w:type="spellEnd"/>
      <w:r w:rsidRPr="0022155B">
        <w:rPr>
          <w:rFonts w:ascii="Times New Roman" w:hAnsi="Times New Roman" w:cs="Times New Roman"/>
          <w:sz w:val="24"/>
          <w:szCs w:val="24"/>
        </w:rPr>
        <w:t xml:space="preserve"> support similar microbial communities that differ distinctly from those extant in adjacent, unmodified soils of the same mineralogy. Microbial Ecology, 60(1), 192-205. </w:t>
      </w:r>
      <w:hyperlink r:id="rId57" w:history="1">
        <w:r w:rsidRPr="0022155B">
          <w:rPr>
            <w:rStyle w:val="Hyperlink"/>
            <w:rFonts w:ascii="Times New Roman" w:hAnsi="Times New Roman" w:cs="Times New Roman"/>
            <w:sz w:val="24"/>
            <w:szCs w:val="24"/>
          </w:rPr>
          <w:t>https://doi.org/10.1007/s00248-010-9689-3</w:t>
        </w:r>
      </w:hyperlink>
    </w:p>
    <w:p w14:paraId="7B6A28A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[52] Lehmann, J., Pereira da Silva, J., Steiner, C., Nehls, T., Zech, W., &amp; Glaser, B. (2003). Nutrient availability and leaching in an archaeological </w:t>
      </w:r>
      <w:proofErr w:type="spellStart"/>
      <w:r w:rsidRPr="0022155B">
        <w:rPr>
          <w:rFonts w:ascii="Times New Roman" w:hAnsi="Times New Roman" w:cs="Times New Roman"/>
          <w:sz w:val="24"/>
          <w:szCs w:val="24"/>
        </w:rPr>
        <w:t>Anthrosol</w:t>
      </w:r>
      <w:proofErr w:type="spellEnd"/>
      <w:r w:rsidRPr="0022155B">
        <w:rPr>
          <w:rFonts w:ascii="Times New Roman" w:hAnsi="Times New Roman" w:cs="Times New Roman"/>
          <w:sz w:val="24"/>
          <w:szCs w:val="24"/>
        </w:rPr>
        <w:t xml:space="preserve"> and a </w:t>
      </w:r>
      <w:proofErr w:type="spellStart"/>
      <w:r w:rsidRPr="0022155B">
        <w:rPr>
          <w:rFonts w:ascii="Times New Roman" w:hAnsi="Times New Roman" w:cs="Times New Roman"/>
          <w:sz w:val="24"/>
          <w:szCs w:val="24"/>
        </w:rPr>
        <w:t>Ferralsol</w:t>
      </w:r>
      <w:proofErr w:type="spellEnd"/>
      <w:r w:rsidRPr="0022155B">
        <w:rPr>
          <w:rFonts w:ascii="Times New Roman" w:hAnsi="Times New Roman" w:cs="Times New Roman"/>
          <w:sz w:val="24"/>
          <w:szCs w:val="24"/>
        </w:rPr>
        <w:t xml:space="preserve"> of the Central Amazon basin: Fertilizer, manure and charcoal amendments. Plant and Soil, 249(2), 343-357. </w:t>
      </w:r>
      <w:hyperlink r:id="rId58" w:history="1">
        <w:r w:rsidRPr="0022155B">
          <w:rPr>
            <w:rStyle w:val="Hyperlink"/>
            <w:rFonts w:ascii="Times New Roman" w:hAnsi="Times New Roman" w:cs="Times New Roman"/>
            <w:sz w:val="24"/>
            <w:szCs w:val="24"/>
          </w:rPr>
          <w:t>https://doi.org/10.1023/A:1022833116184</w:t>
        </w:r>
      </w:hyperlink>
    </w:p>
    <w:p w14:paraId="32A5C6A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[53] Jin, H. (2010). Characterization of microbial life colonizing biochar and biochar-amended soils [Doctoral dissertation, Cornell University]. </w:t>
      </w:r>
      <w:proofErr w:type="spellStart"/>
      <w:r w:rsidRPr="0022155B">
        <w:rPr>
          <w:rFonts w:ascii="Times New Roman" w:hAnsi="Times New Roman" w:cs="Times New Roman"/>
          <w:sz w:val="24"/>
          <w:szCs w:val="24"/>
        </w:rPr>
        <w:t>eCommons</w:t>
      </w:r>
      <w:proofErr w:type="spellEnd"/>
      <w:r w:rsidRPr="0022155B">
        <w:rPr>
          <w:rFonts w:ascii="Times New Roman" w:hAnsi="Times New Roman" w:cs="Times New Roman"/>
          <w:sz w:val="24"/>
          <w:szCs w:val="24"/>
        </w:rPr>
        <w:t xml:space="preserve">. </w:t>
      </w:r>
      <w:hyperlink r:id="rId59" w:history="1">
        <w:r w:rsidRPr="0022155B">
          <w:rPr>
            <w:rStyle w:val="Hyperlink"/>
            <w:rFonts w:ascii="Times New Roman" w:hAnsi="Times New Roman" w:cs="Times New Roman"/>
            <w:sz w:val="24"/>
            <w:szCs w:val="24"/>
          </w:rPr>
          <w:t>https://ecommons.cornell.edu/handle/1813/17077</w:t>
        </w:r>
      </w:hyperlink>
    </w:p>
    <w:p w14:paraId="1CC32C5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[54] Quilliam, R. S., Glanville, H. C., Wade, S. C., &amp; Jones, D. L. (2013). Life in the '</w:t>
      </w:r>
      <w:proofErr w:type="spellStart"/>
      <w:r w:rsidRPr="0022155B">
        <w:rPr>
          <w:rFonts w:ascii="Times New Roman" w:hAnsi="Times New Roman" w:cs="Times New Roman"/>
          <w:sz w:val="24"/>
          <w:szCs w:val="24"/>
        </w:rPr>
        <w:t>charosphere</w:t>
      </w:r>
      <w:proofErr w:type="spellEnd"/>
      <w:r w:rsidRPr="0022155B">
        <w:rPr>
          <w:rFonts w:ascii="Times New Roman" w:hAnsi="Times New Roman" w:cs="Times New Roman"/>
          <w:sz w:val="24"/>
          <w:szCs w:val="24"/>
        </w:rPr>
        <w:t xml:space="preserve">' – Does biochar in agricultural soil provide a significant habitat for microorganisms? Soil Biology and Biochemistry, 65, 287-293. </w:t>
      </w:r>
      <w:hyperlink r:id="rId60" w:history="1">
        <w:r w:rsidRPr="0022155B">
          <w:rPr>
            <w:rStyle w:val="Hyperlink"/>
            <w:rFonts w:ascii="Times New Roman" w:hAnsi="Times New Roman" w:cs="Times New Roman"/>
            <w:sz w:val="24"/>
            <w:szCs w:val="24"/>
          </w:rPr>
          <w:t>https://doi.org/10.1016/j.soilbio.2013.06.004</w:t>
        </w:r>
      </w:hyperlink>
    </w:p>
    <w:p w14:paraId="068800F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[55] Anderson, C. R., Condron, L. M., Clough, T. J., </w:t>
      </w:r>
      <w:proofErr w:type="spellStart"/>
      <w:r w:rsidRPr="0022155B">
        <w:rPr>
          <w:rFonts w:ascii="Times New Roman" w:hAnsi="Times New Roman" w:cs="Times New Roman"/>
          <w:sz w:val="24"/>
          <w:szCs w:val="24"/>
        </w:rPr>
        <w:t>Fiers</w:t>
      </w:r>
      <w:proofErr w:type="spellEnd"/>
      <w:r w:rsidRPr="0022155B">
        <w:rPr>
          <w:rFonts w:ascii="Times New Roman" w:hAnsi="Times New Roman" w:cs="Times New Roman"/>
          <w:sz w:val="24"/>
          <w:szCs w:val="24"/>
        </w:rPr>
        <w:t xml:space="preserve">, M., Stewart, A., Hill, R. A., &amp; Sherlock, R. R. (2011). Biochar induced soil microbial community change: Implications for biogeochemical cycling of carbon, nitrogen and phosphorus. </w:t>
      </w:r>
      <w:proofErr w:type="spellStart"/>
      <w:r w:rsidRPr="0022155B">
        <w:rPr>
          <w:rFonts w:ascii="Times New Roman" w:hAnsi="Times New Roman" w:cs="Times New Roman"/>
          <w:sz w:val="24"/>
          <w:szCs w:val="24"/>
        </w:rPr>
        <w:t>Pedobiologia</w:t>
      </w:r>
      <w:proofErr w:type="spellEnd"/>
      <w:r w:rsidRPr="0022155B">
        <w:rPr>
          <w:rFonts w:ascii="Times New Roman" w:hAnsi="Times New Roman" w:cs="Times New Roman"/>
          <w:sz w:val="24"/>
          <w:szCs w:val="24"/>
        </w:rPr>
        <w:t xml:space="preserve">, 54(5-6), 309-320. </w:t>
      </w:r>
      <w:hyperlink r:id="rId61" w:history="1">
        <w:r w:rsidRPr="0022155B">
          <w:rPr>
            <w:rStyle w:val="Hyperlink"/>
            <w:rFonts w:ascii="Times New Roman" w:hAnsi="Times New Roman" w:cs="Times New Roman"/>
            <w:sz w:val="24"/>
            <w:szCs w:val="24"/>
          </w:rPr>
          <w:t>https://doi.org/10.1016/j.pedobi.2011.07.005</w:t>
        </w:r>
      </w:hyperlink>
    </w:p>
    <w:p w14:paraId="2A9A8A0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[56] Warnock, D. D., Lehmann, J., Kuyper, T. W., &amp; </w:t>
      </w:r>
      <w:proofErr w:type="spellStart"/>
      <w:r w:rsidRPr="0022155B">
        <w:rPr>
          <w:rFonts w:ascii="Times New Roman" w:hAnsi="Times New Roman" w:cs="Times New Roman"/>
          <w:sz w:val="24"/>
          <w:szCs w:val="24"/>
        </w:rPr>
        <w:t>Rillig</w:t>
      </w:r>
      <w:proofErr w:type="spellEnd"/>
      <w:r w:rsidRPr="0022155B">
        <w:rPr>
          <w:rFonts w:ascii="Times New Roman" w:hAnsi="Times New Roman" w:cs="Times New Roman"/>
          <w:sz w:val="24"/>
          <w:szCs w:val="24"/>
        </w:rPr>
        <w:t xml:space="preserve">, M. C. (2007). Mycorrhizal responses to biochar in soil – Concepts and mechanisms. Plant and Soil, 300(1), 9-20. </w:t>
      </w:r>
      <w:hyperlink r:id="rId62" w:history="1">
        <w:r w:rsidRPr="0022155B">
          <w:rPr>
            <w:rStyle w:val="Hyperlink"/>
            <w:rFonts w:ascii="Times New Roman" w:hAnsi="Times New Roman" w:cs="Times New Roman"/>
            <w:sz w:val="24"/>
            <w:szCs w:val="24"/>
          </w:rPr>
          <w:t>https://doi.org/10.1007/s11104-007-9391-5</w:t>
        </w:r>
      </w:hyperlink>
    </w:p>
    <w:p w14:paraId="05AF120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[57] </w:t>
      </w:r>
      <w:proofErr w:type="spellStart"/>
      <w:r w:rsidRPr="0022155B">
        <w:rPr>
          <w:rFonts w:ascii="Times New Roman" w:hAnsi="Times New Roman" w:cs="Times New Roman"/>
          <w:sz w:val="24"/>
          <w:szCs w:val="24"/>
        </w:rPr>
        <w:t>Ameloot</w:t>
      </w:r>
      <w:proofErr w:type="spellEnd"/>
      <w:r w:rsidRPr="0022155B">
        <w:rPr>
          <w:rFonts w:ascii="Times New Roman" w:hAnsi="Times New Roman" w:cs="Times New Roman"/>
          <w:sz w:val="24"/>
          <w:szCs w:val="24"/>
        </w:rPr>
        <w:t xml:space="preserve">, N., Graber, E. R., Verheijen, F. G., &amp; De Neve, S. (2013). Interactions between biochar stability and soil organisms: Review and research needs. European Journal of Soil Science, 64(4), 379-390. </w:t>
      </w:r>
      <w:hyperlink r:id="rId63" w:history="1">
        <w:r w:rsidRPr="0022155B">
          <w:rPr>
            <w:rStyle w:val="Hyperlink"/>
            <w:rFonts w:ascii="Times New Roman" w:hAnsi="Times New Roman" w:cs="Times New Roman"/>
            <w:sz w:val="24"/>
            <w:szCs w:val="24"/>
          </w:rPr>
          <w:t>https://doi.org/10.1111/ejss.12064</w:t>
        </w:r>
      </w:hyperlink>
    </w:p>
    <w:p w14:paraId="28527ED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[58] </w:t>
      </w:r>
      <w:proofErr w:type="spellStart"/>
      <w:r w:rsidRPr="0022155B">
        <w:rPr>
          <w:rFonts w:ascii="Times New Roman" w:hAnsi="Times New Roman" w:cs="Times New Roman"/>
          <w:sz w:val="24"/>
          <w:szCs w:val="24"/>
        </w:rPr>
        <w:t>Güereña</w:t>
      </w:r>
      <w:proofErr w:type="spellEnd"/>
      <w:r w:rsidRPr="0022155B">
        <w:rPr>
          <w:rFonts w:ascii="Times New Roman" w:hAnsi="Times New Roman" w:cs="Times New Roman"/>
          <w:sz w:val="24"/>
          <w:szCs w:val="24"/>
        </w:rPr>
        <w:t xml:space="preserve">, D., Lehmann, J., Hanley, K., Enders, A., Hyland, C., &amp; Riha, S. (2013). Nitrogen dynamics following field application of biochar in a temperate North American maize-based production system. Plant and Soil, 365(1), 239-254. </w:t>
      </w:r>
      <w:hyperlink r:id="rId64" w:history="1">
        <w:r w:rsidRPr="0022155B">
          <w:rPr>
            <w:rStyle w:val="Hyperlink"/>
            <w:rFonts w:ascii="Times New Roman" w:hAnsi="Times New Roman" w:cs="Times New Roman"/>
            <w:sz w:val="24"/>
            <w:szCs w:val="24"/>
          </w:rPr>
          <w:t>https://doi.org/10.1007/s11104-012-1383-4</w:t>
        </w:r>
      </w:hyperlink>
    </w:p>
    <w:p w14:paraId="7FD7D23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[59] Jin, Y., Liang, X., He, M., Liu, Y., Tian, G., &amp; Shi, J. (2016). Manure biochar influence upon soil properties, phosphorus distribution and phosphatase activities: A microcosm incubation study. Chemosphere, 142, 128-135. </w:t>
      </w:r>
      <w:hyperlink r:id="rId65" w:history="1">
        <w:r w:rsidRPr="0022155B">
          <w:rPr>
            <w:rStyle w:val="Hyperlink"/>
            <w:rFonts w:ascii="Times New Roman" w:hAnsi="Times New Roman" w:cs="Times New Roman"/>
            <w:sz w:val="24"/>
            <w:szCs w:val="24"/>
          </w:rPr>
          <w:t>https://doi.org/10.1016/j.chemosphere.2015.07.015</w:t>
        </w:r>
      </w:hyperlink>
    </w:p>
    <w:p w14:paraId="15A89453"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lastRenderedPageBreak/>
        <w:t xml:space="preserve">[60] Farrell, M., Kuhn, T. K., Macdonald, L. M., Maddern, T. M., Murphy, D. V., Hall, P. A., Singh, B. P., Baumann, K., Krull, E. S., &amp; </w:t>
      </w:r>
      <w:proofErr w:type="spellStart"/>
      <w:r w:rsidRPr="0022155B">
        <w:rPr>
          <w:rFonts w:ascii="Times New Roman" w:hAnsi="Times New Roman" w:cs="Times New Roman"/>
          <w:sz w:val="24"/>
          <w:szCs w:val="24"/>
        </w:rPr>
        <w:t>Baldock</w:t>
      </w:r>
      <w:proofErr w:type="spellEnd"/>
      <w:r w:rsidRPr="0022155B">
        <w:rPr>
          <w:rFonts w:ascii="Times New Roman" w:hAnsi="Times New Roman" w:cs="Times New Roman"/>
          <w:sz w:val="24"/>
          <w:szCs w:val="24"/>
        </w:rPr>
        <w:t xml:space="preserve">, J. A. (2013). Microbial </w:t>
      </w:r>
      <w:proofErr w:type="spellStart"/>
      <w:r w:rsidRPr="0022155B">
        <w:rPr>
          <w:rFonts w:ascii="Times New Roman" w:hAnsi="Times New Roman" w:cs="Times New Roman"/>
          <w:sz w:val="24"/>
          <w:szCs w:val="24"/>
        </w:rPr>
        <w:t>utilisation</w:t>
      </w:r>
      <w:proofErr w:type="spellEnd"/>
      <w:r w:rsidRPr="0022155B">
        <w:rPr>
          <w:rFonts w:ascii="Times New Roman" w:hAnsi="Times New Roman" w:cs="Times New Roman"/>
          <w:sz w:val="24"/>
          <w:szCs w:val="24"/>
        </w:rPr>
        <w:t xml:space="preserve"> of biochar-derived carbon. Science of The Total Environment, 465, 288-297. </w:t>
      </w:r>
      <w:hyperlink r:id="rId66" w:history="1">
        <w:r w:rsidRPr="0022155B">
          <w:rPr>
            <w:rStyle w:val="Hyperlink"/>
            <w:rFonts w:ascii="Times New Roman" w:hAnsi="Times New Roman" w:cs="Times New Roman"/>
            <w:sz w:val="24"/>
            <w:szCs w:val="24"/>
          </w:rPr>
          <w:t>https://doi.org/10.1016/j.scitotenv.2013.03.090</w:t>
        </w:r>
      </w:hyperlink>
    </w:p>
    <w:p w14:paraId="7F4EEFD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[61] Woolf, D., Amonette, J. E., Street-Perrott, F. A., Lehmann, J., &amp; Joseph, S. (2010). Sustainable biochar to mitigate global climate change. Nature Communications, 1(1), 1-9. </w:t>
      </w:r>
      <w:hyperlink r:id="rId67" w:history="1">
        <w:r w:rsidRPr="0022155B">
          <w:rPr>
            <w:rStyle w:val="Hyperlink"/>
            <w:rFonts w:ascii="Times New Roman" w:hAnsi="Times New Roman" w:cs="Times New Roman"/>
            <w:sz w:val="24"/>
            <w:szCs w:val="24"/>
          </w:rPr>
          <w:t>https://doi.org/10.1038/ncomms1053</w:t>
        </w:r>
      </w:hyperlink>
    </w:p>
    <w:p w14:paraId="12550EF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[62] Crombie, K., Mašek, O., Sohi, S. P., </w:t>
      </w:r>
      <w:proofErr w:type="spellStart"/>
      <w:r w:rsidRPr="0022155B">
        <w:rPr>
          <w:rFonts w:ascii="Times New Roman" w:hAnsi="Times New Roman" w:cs="Times New Roman"/>
          <w:sz w:val="24"/>
          <w:szCs w:val="24"/>
        </w:rPr>
        <w:t>Brownsort</w:t>
      </w:r>
      <w:proofErr w:type="spellEnd"/>
      <w:r w:rsidRPr="0022155B">
        <w:rPr>
          <w:rFonts w:ascii="Times New Roman" w:hAnsi="Times New Roman" w:cs="Times New Roman"/>
          <w:sz w:val="24"/>
          <w:szCs w:val="24"/>
        </w:rPr>
        <w:t xml:space="preserve">, P., &amp; Cross, A. (2013). The effect of pyrolysis conditions on biochar stability as determined by three methods. GCB Bioenergy, 5(2), 122-131. </w:t>
      </w:r>
      <w:hyperlink r:id="rId68" w:history="1">
        <w:r w:rsidRPr="0022155B">
          <w:rPr>
            <w:rStyle w:val="Hyperlink"/>
            <w:rFonts w:ascii="Times New Roman" w:hAnsi="Times New Roman" w:cs="Times New Roman"/>
            <w:sz w:val="24"/>
            <w:szCs w:val="24"/>
          </w:rPr>
          <w:t>https://doi.org/10.1111/gcbb.12030</w:t>
        </w:r>
      </w:hyperlink>
    </w:p>
    <w:p w14:paraId="642AC74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[63] Zimmerman, A. R. (2010). Abiotic and microbial oxidation of laboratory-produced black carbon (biochar). Environmental Science &amp; Technology, 44(4), 1295-1301. </w:t>
      </w:r>
      <w:hyperlink r:id="rId69" w:history="1">
        <w:r w:rsidRPr="0022155B">
          <w:rPr>
            <w:rStyle w:val="Hyperlink"/>
            <w:rFonts w:ascii="Times New Roman" w:hAnsi="Times New Roman" w:cs="Times New Roman"/>
            <w:sz w:val="24"/>
            <w:szCs w:val="24"/>
          </w:rPr>
          <w:t>https://doi.org/10.1021/es903140c</w:t>
        </w:r>
      </w:hyperlink>
    </w:p>
    <w:p w14:paraId="582B000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[64] Lehmann, J., Abiven, S., Kleber, M., Pan, G., Singh, B. P., Sohi, S. P., &amp; Zimmerman, A. R. (2015). Persistence of biochar in soil. In J. Lehmann &amp; S. Joseph (Eds.), Biochar for environmental management: Science, technology and implementation (2nd ed., pp. 235-282). Routledge.</w:t>
      </w:r>
    </w:p>
    <w:p w14:paraId="04ADBAB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[65] Woolf, D., Lehmann, J., Fisher, E. M., &amp; Angenent, L. T. (2014). Biofuels from pyrolysis in perspective: Trade-offs between energy yields and soil-carbon additions. Environmental Science &amp; Technology, 48(11), 6492-6499. </w:t>
      </w:r>
      <w:hyperlink r:id="rId70" w:history="1">
        <w:r w:rsidRPr="0022155B">
          <w:rPr>
            <w:rStyle w:val="Hyperlink"/>
            <w:rFonts w:ascii="Times New Roman" w:hAnsi="Times New Roman" w:cs="Times New Roman"/>
            <w:sz w:val="24"/>
            <w:szCs w:val="24"/>
          </w:rPr>
          <w:t>https://doi.org/10.1021/es500474q</w:t>
        </w:r>
      </w:hyperlink>
    </w:p>
    <w:p w14:paraId="17E160C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[66] Woolf, D., Lehmann, J., &amp; Lee, D. R. (2016). Optimal </w:t>
      </w:r>
      <w:proofErr w:type="spellStart"/>
      <w:r w:rsidRPr="0022155B">
        <w:rPr>
          <w:rFonts w:ascii="Times New Roman" w:hAnsi="Times New Roman" w:cs="Times New Roman"/>
          <w:sz w:val="24"/>
          <w:szCs w:val="24"/>
        </w:rPr>
        <w:t>biochars</w:t>
      </w:r>
      <w:proofErr w:type="spellEnd"/>
      <w:r w:rsidRPr="0022155B">
        <w:rPr>
          <w:rFonts w:ascii="Times New Roman" w:hAnsi="Times New Roman" w:cs="Times New Roman"/>
          <w:sz w:val="24"/>
          <w:szCs w:val="24"/>
        </w:rPr>
        <w:t xml:space="preserve"> for greenhouse gas mitigation and crop yield. Nature Communications, 7(1), 1-11. </w:t>
      </w:r>
      <w:hyperlink r:id="rId71" w:history="1">
        <w:r w:rsidRPr="0022155B">
          <w:rPr>
            <w:rStyle w:val="Hyperlink"/>
            <w:rFonts w:ascii="Times New Roman" w:hAnsi="Times New Roman" w:cs="Times New Roman"/>
            <w:sz w:val="24"/>
            <w:szCs w:val="24"/>
          </w:rPr>
          <w:t>https://doi.org/10.1038/ncomms11178</w:t>
        </w:r>
      </w:hyperlink>
    </w:p>
    <w:p w14:paraId="3C4A07F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[67] </w:t>
      </w:r>
      <w:proofErr w:type="spellStart"/>
      <w:r w:rsidRPr="0022155B">
        <w:rPr>
          <w:rFonts w:ascii="Times New Roman" w:hAnsi="Times New Roman" w:cs="Times New Roman"/>
          <w:sz w:val="24"/>
          <w:szCs w:val="24"/>
        </w:rPr>
        <w:t>Cayuela</w:t>
      </w:r>
      <w:proofErr w:type="spellEnd"/>
      <w:r w:rsidRPr="0022155B">
        <w:rPr>
          <w:rFonts w:ascii="Times New Roman" w:hAnsi="Times New Roman" w:cs="Times New Roman"/>
          <w:sz w:val="24"/>
          <w:szCs w:val="24"/>
        </w:rPr>
        <w:t xml:space="preserve">, M. L., van </w:t>
      </w:r>
      <w:proofErr w:type="spellStart"/>
      <w:r w:rsidRPr="0022155B">
        <w:rPr>
          <w:rFonts w:ascii="Times New Roman" w:hAnsi="Times New Roman" w:cs="Times New Roman"/>
          <w:sz w:val="24"/>
          <w:szCs w:val="24"/>
        </w:rPr>
        <w:t>Zwieten</w:t>
      </w:r>
      <w:proofErr w:type="spellEnd"/>
      <w:r w:rsidRPr="0022155B">
        <w:rPr>
          <w:rFonts w:ascii="Times New Roman" w:hAnsi="Times New Roman" w:cs="Times New Roman"/>
          <w:sz w:val="24"/>
          <w:szCs w:val="24"/>
        </w:rPr>
        <w:t>, L., Singh, B. P., Jeffery, S., Roig, A., &amp; Sánchez-</w:t>
      </w:r>
      <w:proofErr w:type="spellStart"/>
      <w:r w:rsidRPr="0022155B">
        <w:rPr>
          <w:rFonts w:ascii="Times New Roman" w:hAnsi="Times New Roman" w:cs="Times New Roman"/>
          <w:sz w:val="24"/>
          <w:szCs w:val="24"/>
        </w:rPr>
        <w:t>Monedero</w:t>
      </w:r>
      <w:proofErr w:type="spellEnd"/>
      <w:r w:rsidRPr="0022155B">
        <w:rPr>
          <w:rFonts w:ascii="Times New Roman" w:hAnsi="Times New Roman" w:cs="Times New Roman"/>
          <w:sz w:val="24"/>
          <w:szCs w:val="24"/>
        </w:rPr>
        <w:t xml:space="preserve">, M. A. (2014). Biochar's role in mitigating soil nitrous oxide emissions: A review and meta-analysis. Agriculture, Ecosystems &amp; Environment, 191, 5-16. </w:t>
      </w:r>
      <w:hyperlink r:id="rId72" w:history="1">
        <w:r w:rsidRPr="0022155B">
          <w:rPr>
            <w:rStyle w:val="Hyperlink"/>
            <w:rFonts w:ascii="Times New Roman" w:hAnsi="Times New Roman" w:cs="Times New Roman"/>
            <w:sz w:val="24"/>
            <w:szCs w:val="24"/>
          </w:rPr>
          <w:t>https://doi.org/10.1016/j.agee.2013.10.009</w:t>
        </w:r>
      </w:hyperlink>
    </w:p>
    <w:p w14:paraId="7F202A2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[68] Ciais, P., Sabine, C., Bala, G., Bopp, L., </w:t>
      </w:r>
      <w:proofErr w:type="spellStart"/>
      <w:r w:rsidRPr="0022155B">
        <w:rPr>
          <w:rFonts w:ascii="Times New Roman" w:hAnsi="Times New Roman" w:cs="Times New Roman"/>
          <w:sz w:val="24"/>
          <w:szCs w:val="24"/>
        </w:rPr>
        <w:t>Brovkin</w:t>
      </w:r>
      <w:proofErr w:type="spellEnd"/>
      <w:r w:rsidRPr="0022155B">
        <w:rPr>
          <w:rFonts w:ascii="Times New Roman" w:hAnsi="Times New Roman" w:cs="Times New Roman"/>
          <w:sz w:val="24"/>
          <w:szCs w:val="24"/>
        </w:rPr>
        <w:t xml:space="preserve">, V., </w:t>
      </w:r>
      <w:proofErr w:type="spellStart"/>
      <w:r w:rsidRPr="0022155B">
        <w:rPr>
          <w:rFonts w:ascii="Times New Roman" w:hAnsi="Times New Roman" w:cs="Times New Roman"/>
          <w:sz w:val="24"/>
          <w:szCs w:val="24"/>
        </w:rPr>
        <w:t>Canadell</w:t>
      </w:r>
      <w:proofErr w:type="spellEnd"/>
      <w:r w:rsidRPr="0022155B">
        <w:rPr>
          <w:rFonts w:ascii="Times New Roman" w:hAnsi="Times New Roman" w:cs="Times New Roman"/>
          <w:sz w:val="24"/>
          <w:szCs w:val="24"/>
        </w:rPr>
        <w:t xml:space="preserve">, J., Chhabra, A., DeFries, R., Galloway, J., Heimann, M., Jones, C., Le Quéré, C., Myneni, R. B., Piao, S., &amp; Thornton, P. (2013). Carbon and other biogeochemical cycles. In T. F. Stocker, D. Qin, G.-K. Plattner, M. Tignor, S. K. Allen, J. </w:t>
      </w:r>
      <w:proofErr w:type="spellStart"/>
      <w:r w:rsidRPr="0022155B">
        <w:rPr>
          <w:rFonts w:ascii="Times New Roman" w:hAnsi="Times New Roman" w:cs="Times New Roman"/>
          <w:sz w:val="24"/>
          <w:szCs w:val="24"/>
        </w:rPr>
        <w:t>Boschung</w:t>
      </w:r>
      <w:proofErr w:type="spellEnd"/>
      <w:r w:rsidRPr="0022155B">
        <w:rPr>
          <w:rFonts w:ascii="Times New Roman" w:hAnsi="Times New Roman" w:cs="Times New Roman"/>
          <w:sz w:val="24"/>
          <w:szCs w:val="24"/>
        </w:rPr>
        <w:t xml:space="preserve">, A. </w:t>
      </w:r>
      <w:proofErr w:type="spellStart"/>
      <w:r w:rsidRPr="0022155B">
        <w:rPr>
          <w:rFonts w:ascii="Times New Roman" w:hAnsi="Times New Roman" w:cs="Times New Roman"/>
          <w:sz w:val="24"/>
          <w:szCs w:val="24"/>
        </w:rPr>
        <w:t>Nauels</w:t>
      </w:r>
      <w:proofErr w:type="spellEnd"/>
      <w:r w:rsidRPr="0022155B">
        <w:rPr>
          <w:rFonts w:ascii="Times New Roman" w:hAnsi="Times New Roman" w:cs="Times New Roman"/>
          <w:sz w:val="24"/>
          <w:szCs w:val="24"/>
        </w:rPr>
        <w:t>, Y. Xia, V. Bex, &amp; P. M. Midgley (Eds.), Climate change 2013: The physical science basis. Contribution of Working Group I to the Fifth Assessment Report of the Intergovernmental Panel on Climate Change (pp. 465-570). Cambridge University Press.</w:t>
      </w:r>
    </w:p>
    <w:p w14:paraId="0FFE067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[69] Clough, T. J., Condron, L. M., Kammann, C., &amp; Müller, C. (2013). A review of biochar and soil nitrogen dynamics. Agronomy, 3(2), 275-293. </w:t>
      </w:r>
      <w:hyperlink r:id="rId73" w:history="1">
        <w:r w:rsidRPr="0022155B">
          <w:rPr>
            <w:rStyle w:val="Hyperlink"/>
            <w:rFonts w:ascii="Times New Roman" w:hAnsi="Times New Roman" w:cs="Times New Roman"/>
            <w:sz w:val="24"/>
            <w:szCs w:val="24"/>
          </w:rPr>
          <w:t>https://doi.org/10.3390/agronomy3020275</w:t>
        </w:r>
      </w:hyperlink>
    </w:p>
    <w:p w14:paraId="1F49E2A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lastRenderedPageBreak/>
        <w:t xml:space="preserve">[70] </w:t>
      </w:r>
      <w:proofErr w:type="spellStart"/>
      <w:r w:rsidRPr="0022155B">
        <w:rPr>
          <w:rFonts w:ascii="Times New Roman" w:hAnsi="Times New Roman" w:cs="Times New Roman"/>
          <w:sz w:val="24"/>
          <w:szCs w:val="24"/>
        </w:rPr>
        <w:t>Hüppi</w:t>
      </w:r>
      <w:proofErr w:type="spellEnd"/>
      <w:r w:rsidRPr="0022155B">
        <w:rPr>
          <w:rFonts w:ascii="Times New Roman" w:hAnsi="Times New Roman" w:cs="Times New Roman"/>
          <w:sz w:val="24"/>
          <w:szCs w:val="24"/>
        </w:rPr>
        <w:t xml:space="preserve">, R., Felber, R., </w:t>
      </w:r>
      <w:proofErr w:type="spellStart"/>
      <w:r w:rsidRPr="0022155B">
        <w:rPr>
          <w:rFonts w:ascii="Times New Roman" w:hAnsi="Times New Roman" w:cs="Times New Roman"/>
          <w:sz w:val="24"/>
          <w:szCs w:val="24"/>
        </w:rPr>
        <w:t>Neftel</w:t>
      </w:r>
      <w:proofErr w:type="spellEnd"/>
      <w:r w:rsidRPr="0022155B">
        <w:rPr>
          <w:rFonts w:ascii="Times New Roman" w:hAnsi="Times New Roman" w:cs="Times New Roman"/>
          <w:sz w:val="24"/>
          <w:szCs w:val="24"/>
        </w:rPr>
        <w:t xml:space="preserve">, A., Six, J., &amp; Leifeld, J. (2015). Effect of biochar and liming on soil nitrous oxide emissions from a temperate maize cropping system. SOIL, 1(2), 707-717. </w:t>
      </w:r>
      <w:hyperlink r:id="rId74" w:history="1">
        <w:r w:rsidRPr="0022155B">
          <w:rPr>
            <w:rStyle w:val="Hyperlink"/>
            <w:rFonts w:ascii="Times New Roman" w:hAnsi="Times New Roman" w:cs="Times New Roman"/>
            <w:sz w:val="24"/>
            <w:szCs w:val="24"/>
          </w:rPr>
          <w:t>https://doi.org/10.5194/soil-1-707-2015</w:t>
        </w:r>
      </w:hyperlink>
    </w:p>
    <w:p w14:paraId="70893D6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[71] </w:t>
      </w:r>
      <w:proofErr w:type="spellStart"/>
      <w:r w:rsidRPr="0022155B">
        <w:rPr>
          <w:rFonts w:ascii="Times New Roman" w:hAnsi="Times New Roman" w:cs="Times New Roman"/>
          <w:sz w:val="24"/>
          <w:szCs w:val="24"/>
        </w:rPr>
        <w:t>Cayuela</w:t>
      </w:r>
      <w:proofErr w:type="spellEnd"/>
      <w:r w:rsidRPr="0022155B">
        <w:rPr>
          <w:rFonts w:ascii="Times New Roman" w:hAnsi="Times New Roman" w:cs="Times New Roman"/>
          <w:sz w:val="24"/>
          <w:szCs w:val="24"/>
        </w:rPr>
        <w:t xml:space="preserve">, M. L., Jeffery, S., &amp; van </w:t>
      </w:r>
      <w:proofErr w:type="spellStart"/>
      <w:r w:rsidRPr="0022155B">
        <w:rPr>
          <w:rFonts w:ascii="Times New Roman" w:hAnsi="Times New Roman" w:cs="Times New Roman"/>
          <w:sz w:val="24"/>
          <w:szCs w:val="24"/>
        </w:rPr>
        <w:t>Zwieten</w:t>
      </w:r>
      <w:proofErr w:type="spellEnd"/>
      <w:r w:rsidRPr="0022155B">
        <w:rPr>
          <w:rFonts w:ascii="Times New Roman" w:hAnsi="Times New Roman" w:cs="Times New Roman"/>
          <w:sz w:val="24"/>
          <w:szCs w:val="24"/>
        </w:rPr>
        <w:t>, L. (2015). The molar H</w:t>
      </w:r>
    </w:p>
    <w:p w14:paraId="5C060B6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ratio of biochar is a key factor in mitigating N2O emissions from soil. Agriculture, Ecosystems &amp; Environment, 202, 135-138. </w:t>
      </w:r>
      <w:hyperlink r:id="rId75" w:history="1">
        <w:r w:rsidRPr="0022155B">
          <w:rPr>
            <w:rStyle w:val="Hyperlink"/>
            <w:rFonts w:ascii="Times New Roman" w:hAnsi="Times New Roman" w:cs="Times New Roman"/>
            <w:sz w:val="24"/>
            <w:szCs w:val="24"/>
          </w:rPr>
          <w:t>https://doi.org/10.1016/j.agee.2014.12.015</w:t>
        </w:r>
      </w:hyperlink>
    </w:p>
    <w:p w14:paraId="6EF0976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[72] Kammann, C., Ratering, S., Eckhard, C., &amp; Müller, C. (2012). Biochar and </w:t>
      </w:r>
      <w:proofErr w:type="spellStart"/>
      <w:r w:rsidRPr="0022155B">
        <w:rPr>
          <w:rFonts w:ascii="Times New Roman" w:hAnsi="Times New Roman" w:cs="Times New Roman"/>
          <w:sz w:val="24"/>
          <w:szCs w:val="24"/>
        </w:rPr>
        <w:t>hydrochar</w:t>
      </w:r>
      <w:proofErr w:type="spellEnd"/>
      <w:r w:rsidRPr="0022155B">
        <w:rPr>
          <w:rFonts w:ascii="Times New Roman" w:hAnsi="Times New Roman" w:cs="Times New Roman"/>
          <w:sz w:val="24"/>
          <w:szCs w:val="24"/>
        </w:rPr>
        <w:t xml:space="preserve"> effects on greenhouse gas (carbon dioxide, nitrous oxide, and methane) fluxes from soils. Journal of Environmental Quality, 41(4), 1052-1066. </w:t>
      </w:r>
      <w:hyperlink r:id="rId76" w:history="1">
        <w:r w:rsidRPr="0022155B">
          <w:rPr>
            <w:rStyle w:val="Hyperlink"/>
            <w:rFonts w:ascii="Times New Roman" w:hAnsi="Times New Roman" w:cs="Times New Roman"/>
            <w:sz w:val="24"/>
            <w:szCs w:val="24"/>
          </w:rPr>
          <w:t>https://doi.org/10.2134/jeq2011.0132</w:t>
        </w:r>
      </w:hyperlink>
    </w:p>
    <w:p w14:paraId="1EEC551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[73] Feng, Y., Xu, Y., Yu, Y., Xie, Z., &amp; Lin, X. (2012). Mechanisms of biochar decreasing methane emission from Chinese paddy soils. Soil Biology and Biochemistry, 46, 80-88. </w:t>
      </w:r>
      <w:hyperlink r:id="rId77" w:history="1">
        <w:r w:rsidRPr="0022155B">
          <w:rPr>
            <w:rStyle w:val="Hyperlink"/>
            <w:rFonts w:ascii="Times New Roman" w:hAnsi="Times New Roman" w:cs="Times New Roman"/>
            <w:sz w:val="24"/>
            <w:szCs w:val="24"/>
          </w:rPr>
          <w:t>https://doi.org/10.1016/j.soilbio.2011.11.016</w:t>
        </w:r>
      </w:hyperlink>
    </w:p>
    <w:p w14:paraId="6B88CF6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[74] Dong, X., Singh, B. P., Li, G., Lin, Q., &amp; Zhao, X. (2018). Biochar application constrained native soil organic carbon accumulation from wheat residue inputs in a long-term wheat-maize cropping system. Agriculture, Ecosystems &amp; Environment, 252, 200-207. </w:t>
      </w:r>
      <w:hyperlink r:id="rId78" w:history="1">
        <w:r w:rsidRPr="0022155B">
          <w:rPr>
            <w:rStyle w:val="Hyperlink"/>
            <w:rFonts w:ascii="Times New Roman" w:hAnsi="Times New Roman" w:cs="Times New Roman"/>
            <w:sz w:val="24"/>
            <w:szCs w:val="24"/>
          </w:rPr>
          <w:t>https://doi.org/10.1016/j.agee.2017.08.026</w:t>
        </w:r>
      </w:hyperlink>
    </w:p>
    <w:p w14:paraId="7A88CAC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[75] Ding, Y., Liu, Y., Liu, S., Li, Z., Tan, X., Huang, X., Zeng, G., Zhou, L., &amp; Zheng, B. (2016). Biochar to improve soil fertility. A review. Agronomy for Sustainable Development, 36(2), 1-18. </w:t>
      </w:r>
      <w:hyperlink r:id="rId79" w:history="1">
        <w:r w:rsidRPr="0022155B">
          <w:rPr>
            <w:rStyle w:val="Hyperlink"/>
            <w:rFonts w:ascii="Times New Roman" w:hAnsi="Times New Roman" w:cs="Times New Roman"/>
            <w:sz w:val="24"/>
            <w:szCs w:val="24"/>
          </w:rPr>
          <w:t>https://doi.org/10.1007/s13593-016-0372-z</w:t>
        </w:r>
      </w:hyperlink>
    </w:p>
    <w:p w14:paraId="6CD7142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[76] El-Naggar, A., Lee, S. S., </w:t>
      </w:r>
      <w:proofErr w:type="spellStart"/>
      <w:r w:rsidRPr="0022155B">
        <w:rPr>
          <w:rFonts w:ascii="Times New Roman" w:hAnsi="Times New Roman" w:cs="Times New Roman"/>
          <w:sz w:val="24"/>
          <w:szCs w:val="24"/>
        </w:rPr>
        <w:t>Rinklebe</w:t>
      </w:r>
      <w:proofErr w:type="spellEnd"/>
      <w:r w:rsidRPr="0022155B">
        <w:rPr>
          <w:rFonts w:ascii="Times New Roman" w:hAnsi="Times New Roman" w:cs="Times New Roman"/>
          <w:sz w:val="24"/>
          <w:szCs w:val="24"/>
        </w:rPr>
        <w:t xml:space="preserve">, J., Farooq, M., Song, H., Sarmah, A. K., Zimmerman, A. R., Ahmad, M., Shaheen, S. M., &amp; Ok, Y. S. (2019). Biochar application to low fertility soils: A review of current status, and future prospects. </w:t>
      </w:r>
      <w:proofErr w:type="spellStart"/>
      <w:r w:rsidRPr="0022155B">
        <w:rPr>
          <w:rFonts w:ascii="Times New Roman" w:hAnsi="Times New Roman" w:cs="Times New Roman"/>
          <w:sz w:val="24"/>
          <w:szCs w:val="24"/>
        </w:rPr>
        <w:t>Geoderma</w:t>
      </w:r>
      <w:proofErr w:type="spellEnd"/>
      <w:r w:rsidRPr="0022155B">
        <w:rPr>
          <w:rFonts w:ascii="Times New Roman" w:hAnsi="Times New Roman" w:cs="Times New Roman"/>
          <w:sz w:val="24"/>
          <w:szCs w:val="24"/>
        </w:rPr>
        <w:t xml:space="preserve">, 337, 536-554. </w:t>
      </w:r>
      <w:hyperlink r:id="rId80" w:history="1">
        <w:r w:rsidRPr="0022155B">
          <w:rPr>
            <w:rStyle w:val="Hyperlink"/>
            <w:rFonts w:ascii="Times New Roman" w:hAnsi="Times New Roman" w:cs="Times New Roman"/>
            <w:sz w:val="24"/>
            <w:szCs w:val="24"/>
          </w:rPr>
          <w:t>https://doi.org/10.1016/j.geoderma.2018.09.034</w:t>
        </w:r>
      </w:hyperlink>
    </w:p>
    <w:p w14:paraId="122DAF8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[77] Tomczyk, A., </w:t>
      </w:r>
      <w:proofErr w:type="spellStart"/>
      <w:r w:rsidRPr="0022155B">
        <w:rPr>
          <w:rFonts w:ascii="Times New Roman" w:hAnsi="Times New Roman" w:cs="Times New Roman"/>
          <w:sz w:val="24"/>
          <w:szCs w:val="24"/>
        </w:rPr>
        <w:t>Sokołowska</w:t>
      </w:r>
      <w:proofErr w:type="spellEnd"/>
      <w:r w:rsidRPr="0022155B">
        <w:rPr>
          <w:rFonts w:ascii="Times New Roman" w:hAnsi="Times New Roman" w:cs="Times New Roman"/>
          <w:sz w:val="24"/>
          <w:szCs w:val="24"/>
        </w:rPr>
        <w:t xml:space="preserve">, Z., &amp; </w:t>
      </w:r>
      <w:proofErr w:type="spellStart"/>
      <w:r w:rsidRPr="0022155B">
        <w:rPr>
          <w:rFonts w:ascii="Times New Roman" w:hAnsi="Times New Roman" w:cs="Times New Roman"/>
          <w:sz w:val="24"/>
          <w:szCs w:val="24"/>
        </w:rPr>
        <w:t>Boguta</w:t>
      </w:r>
      <w:proofErr w:type="spellEnd"/>
      <w:r w:rsidRPr="0022155B">
        <w:rPr>
          <w:rFonts w:ascii="Times New Roman" w:hAnsi="Times New Roman" w:cs="Times New Roman"/>
          <w:sz w:val="24"/>
          <w:szCs w:val="24"/>
        </w:rPr>
        <w:t xml:space="preserve">, P. (2020). Biochar physicochemical properties: Pyrolysis temperature and feedstock kind effects. Reviews in Environmental Science and Bio/Technology, 19(1), 191-215. </w:t>
      </w:r>
      <w:hyperlink r:id="rId81" w:history="1">
        <w:r w:rsidRPr="0022155B">
          <w:rPr>
            <w:rStyle w:val="Hyperlink"/>
            <w:rFonts w:ascii="Times New Roman" w:hAnsi="Times New Roman" w:cs="Times New Roman"/>
            <w:sz w:val="24"/>
            <w:szCs w:val="24"/>
          </w:rPr>
          <w:t>https://doi.org/10.1007/s11157-020-09523-3</w:t>
        </w:r>
      </w:hyperlink>
    </w:p>
    <w:p w14:paraId="7DB3BC4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[78] Schmidt, H. P., Kammann, C., Niggli, C., Evangelou, M. W. H., Mackie, K. A., &amp; Abiven, S. (2014). Biochar and biochar-compost as soil amendments to a vineyard soil: Influences on plant growth, nutrient uptake, plant health and grape quality. Agriculture, Ecosystems &amp; Environment, 191, 117-123. </w:t>
      </w:r>
      <w:hyperlink r:id="rId82" w:history="1">
        <w:r w:rsidRPr="0022155B">
          <w:rPr>
            <w:rStyle w:val="Hyperlink"/>
            <w:rFonts w:ascii="Times New Roman" w:hAnsi="Times New Roman" w:cs="Times New Roman"/>
            <w:sz w:val="24"/>
            <w:szCs w:val="24"/>
          </w:rPr>
          <w:t>https://doi.org/10.1016/j.agee.2014.04.001</w:t>
        </w:r>
      </w:hyperlink>
    </w:p>
    <w:p w14:paraId="734A379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[79] Van </w:t>
      </w:r>
      <w:proofErr w:type="spellStart"/>
      <w:r w:rsidRPr="0022155B">
        <w:rPr>
          <w:rFonts w:ascii="Times New Roman" w:hAnsi="Times New Roman" w:cs="Times New Roman"/>
          <w:sz w:val="24"/>
          <w:szCs w:val="24"/>
        </w:rPr>
        <w:t>Zwieten</w:t>
      </w:r>
      <w:proofErr w:type="spellEnd"/>
      <w:r w:rsidRPr="0022155B">
        <w:rPr>
          <w:rFonts w:ascii="Times New Roman" w:hAnsi="Times New Roman" w:cs="Times New Roman"/>
          <w:sz w:val="24"/>
          <w:szCs w:val="24"/>
        </w:rPr>
        <w:t xml:space="preserve">, L., Rose, T., Herridge, D., Kimber, S., Rust, J., Cowie, A., &amp; Morris, S. (2015). Enhanced biological N2 fixation and yield of faba bean (Vicia faba L.) in an acid soil following biochar addition: Dissection of causal mechanisms. Plant and Soil, 395(1), 7-20. </w:t>
      </w:r>
      <w:hyperlink r:id="rId83" w:history="1">
        <w:r w:rsidRPr="0022155B">
          <w:rPr>
            <w:rStyle w:val="Hyperlink"/>
            <w:rFonts w:ascii="Times New Roman" w:hAnsi="Times New Roman" w:cs="Times New Roman"/>
            <w:sz w:val="24"/>
            <w:szCs w:val="24"/>
          </w:rPr>
          <w:t>https://doi.org/10.1007/s11104-015-2427-3</w:t>
        </w:r>
      </w:hyperlink>
    </w:p>
    <w:p w14:paraId="0143B9B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[80] Galinato, S. P., Yoder, J. K., &amp; </w:t>
      </w:r>
      <w:proofErr w:type="spellStart"/>
      <w:r w:rsidRPr="0022155B">
        <w:rPr>
          <w:rFonts w:ascii="Times New Roman" w:hAnsi="Times New Roman" w:cs="Times New Roman"/>
          <w:sz w:val="24"/>
          <w:szCs w:val="24"/>
        </w:rPr>
        <w:t>Granatstein</w:t>
      </w:r>
      <w:proofErr w:type="spellEnd"/>
      <w:r w:rsidRPr="0022155B">
        <w:rPr>
          <w:rFonts w:ascii="Times New Roman" w:hAnsi="Times New Roman" w:cs="Times New Roman"/>
          <w:sz w:val="24"/>
          <w:szCs w:val="24"/>
        </w:rPr>
        <w:t xml:space="preserve">, D. (2011). The economic value of biochar in crop production and carbon sequestration. Energy Policy, 39(10), 6344-6350. </w:t>
      </w:r>
      <w:hyperlink r:id="rId84" w:history="1">
        <w:r w:rsidRPr="0022155B">
          <w:rPr>
            <w:rStyle w:val="Hyperlink"/>
            <w:rFonts w:ascii="Times New Roman" w:hAnsi="Times New Roman" w:cs="Times New Roman"/>
            <w:sz w:val="24"/>
            <w:szCs w:val="24"/>
          </w:rPr>
          <w:t>https://doi.org/10.1016/j.enpol.2011.07.035</w:t>
        </w:r>
      </w:hyperlink>
    </w:p>
    <w:p w14:paraId="1E3909F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lastRenderedPageBreak/>
        <w:t xml:space="preserve">[81] Dickinson, D., Balduccio, L., Buysse, J., Ronsse, F., van </w:t>
      </w:r>
      <w:proofErr w:type="spellStart"/>
      <w:r w:rsidRPr="0022155B">
        <w:rPr>
          <w:rFonts w:ascii="Times New Roman" w:hAnsi="Times New Roman" w:cs="Times New Roman"/>
          <w:sz w:val="24"/>
          <w:szCs w:val="24"/>
        </w:rPr>
        <w:t>Huylenbroeck</w:t>
      </w:r>
      <w:proofErr w:type="spellEnd"/>
      <w:r w:rsidRPr="0022155B">
        <w:rPr>
          <w:rFonts w:ascii="Times New Roman" w:hAnsi="Times New Roman" w:cs="Times New Roman"/>
          <w:sz w:val="24"/>
          <w:szCs w:val="24"/>
        </w:rPr>
        <w:t xml:space="preserve">, G., &amp; Prins, W. (2015). Cost-benefit analysis of using biochar to improve cereals agriculture. GCB Bioenergy, 7(4), 850-864. </w:t>
      </w:r>
      <w:hyperlink r:id="rId85" w:history="1">
        <w:r w:rsidRPr="0022155B">
          <w:rPr>
            <w:rStyle w:val="Hyperlink"/>
            <w:rFonts w:ascii="Times New Roman" w:hAnsi="Times New Roman" w:cs="Times New Roman"/>
            <w:sz w:val="24"/>
            <w:szCs w:val="24"/>
          </w:rPr>
          <w:t>https://doi.org/10.1111/gcbb.12180</w:t>
        </w:r>
      </w:hyperlink>
    </w:p>
    <w:p w14:paraId="0D40D43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[82] </w:t>
      </w:r>
      <w:proofErr w:type="spellStart"/>
      <w:r w:rsidRPr="0022155B">
        <w:rPr>
          <w:rFonts w:ascii="Times New Roman" w:hAnsi="Times New Roman" w:cs="Times New Roman"/>
          <w:sz w:val="24"/>
          <w:szCs w:val="24"/>
        </w:rPr>
        <w:t>Homagain</w:t>
      </w:r>
      <w:proofErr w:type="spellEnd"/>
      <w:r w:rsidRPr="0022155B">
        <w:rPr>
          <w:rFonts w:ascii="Times New Roman" w:hAnsi="Times New Roman" w:cs="Times New Roman"/>
          <w:sz w:val="24"/>
          <w:szCs w:val="24"/>
        </w:rPr>
        <w:t xml:space="preserve">, K., Shahi, C., </w:t>
      </w:r>
      <w:proofErr w:type="spellStart"/>
      <w:r w:rsidRPr="0022155B">
        <w:rPr>
          <w:rFonts w:ascii="Times New Roman" w:hAnsi="Times New Roman" w:cs="Times New Roman"/>
          <w:sz w:val="24"/>
          <w:szCs w:val="24"/>
        </w:rPr>
        <w:t>Luckai</w:t>
      </w:r>
      <w:proofErr w:type="spellEnd"/>
      <w:r w:rsidRPr="0022155B">
        <w:rPr>
          <w:rFonts w:ascii="Times New Roman" w:hAnsi="Times New Roman" w:cs="Times New Roman"/>
          <w:sz w:val="24"/>
          <w:szCs w:val="24"/>
        </w:rPr>
        <w:t xml:space="preserve">, N., &amp; Sharma, M. (2016). Life cycle cost and economic assessment of biochar-based bioenergy production and biochar land application in Northwestern Ontario, Canada. Forest Ecosystems, 3(1), 1-10. </w:t>
      </w:r>
      <w:hyperlink r:id="rId86" w:history="1">
        <w:r w:rsidRPr="0022155B">
          <w:rPr>
            <w:rStyle w:val="Hyperlink"/>
            <w:rFonts w:ascii="Times New Roman" w:hAnsi="Times New Roman" w:cs="Times New Roman"/>
            <w:sz w:val="24"/>
            <w:szCs w:val="24"/>
          </w:rPr>
          <w:t>https://doi.org/10.1186/s40663-016-0081-8</w:t>
        </w:r>
      </w:hyperlink>
    </w:p>
    <w:p w14:paraId="0B1A859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[83] Lehmann, J., &amp; Joseph, S. (2015). Biochar for environmental management: An introduction. In J. Lehmann &amp; S. Joseph (Eds.), Biochar for environmental management: Science, technology and implementation (2nd ed., pp. 1-14). Routledge.</w:t>
      </w:r>
    </w:p>
    <w:p w14:paraId="1383726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 [84]</w:t>
      </w:r>
      <w:r w:rsidR="00C212C0">
        <w:rPr>
          <w:rFonts w:ascii="Times New Roman" w:hAnsi="Times New Roman" w:cs="Times New Roman"/>
          <w:sz w:val="24"/>
          <w:szCs w:val="24"/>
        </w:rPr>
        <w:t xml:space="preserve"> </w:t>
      </w:r>
      <w:r w:rsidRPr="0022155B">
        <w:rPr>
          <w:rFonts w:ascii="Times New Roman" w:hAnsi="Times New Roman" w:cs="Times New Roman"/>
          <w:sz w:val="24"/>
          <w:szCs w:val="24"/>
        </w:rPr>
        <w:t xml:space="preserve">Woolf, D., Lehmann, J., Joseph, S., Campbell, C., Christo, F. C., &amp; Angenent, L. T. (2016). Biochar as a tool for climate change mitigation and soil management. In T. M. Letcher (Ed.), Climate change: Observed impacts on planet Earth (2nd ed., pp. 243-270). Elsevier. </w:t>
      </w:r>
      <w:hyperlink r:id="rId87" w:history="1">
        <w:r w:rsidRPr="0022155B">
          <w:rPr>
            <w:rStyle w:val="Hyperlink"/>
            <w:rFonts w:ascii="Times New Roman" w:hAnsi="Times New Roman" w:cs="Times New Roman"/>
            <w:sz w:val="24"/>
            <w:szCs w:val="24"/>
          </w:rPr>
          <w:t>https://doi.org/10.1016/B978-0-444-63524-2.00015-0</w:t>
        </w:r>
      </w:hyperlink>
    </w:p>
    <w:p w14:paraId="34C9476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[85] Tan, Z., Lin, C. S. K., Ji, X., &amp; Rainey, T. J. (2017). Returning biochar to fields: A review. Applied Soil Ecology, 116, 1-11. </w:t>
      </w:r>
      <w:hyperlink r:id="rId88" w:history="1">
        <w:r w:rsidRPr="0022155B">
          <w:rPr>
            <w:rStyle w:val="Hyperlink"/>
            <w:rFonts w:ascii="Times New Roman" w:hAnsi="Times New Roman" w:cs="Times New Roman"/>
            <w:sz w:val="24"/>
            <w:szCs w:val="24"/>
          </w:rPr>
          <w:t>https://doi.org/10.1016/j.apsoil.2017.03.017</w:t>
        </w:r>
      </w:hyperlink>
    </w:p>
    <w:sectPr w:rsidR="0022155B" w:rsidRPr="0022155B">
      <w:headerReference w:type="even" r:id="rId89"/>
      <w:headerReference w:type="default" r:id="rId90"/>
      <w:footerReference w:type="even" r:id="rId91"/>
      <w:footerReference w:type="default" r:id="rId92"/>
      <w:headerReference w:type="first" r:id="rId93"/>
      <w:footerReference w:type="first" r:id="rId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DA0F2" w14:textId="77777777" w:rsidR="00E124A1" w:rsidRDefault="00E124A1" w:rsidP="00876BBB">
      <w:pPr>
        <w:spacing w:after="0" w:line="240" w:lineRule="auto"/>
      </w:pPr>
      <w:r>
        <w:separator/>
      </w:r>
    </w:p>
  </w:endnote>
  <w:endnote w:type="continuationSeparator" w:id="0">
    <w:p w14:paraId="4483B918" w14:textId="77777777" w:rsidR="00E124A1" w:rsidRDefault="00E124A1" w:rsidP="00876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4932" w14:textId="77777777" w:rsidR="00876BBB" w:rsidRDefault="00876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0D5" w14:textId="77777777" w:rsidR="00876BBB" w:rsidRDefault="00876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5EA4" w14:textId="77777777" w:rsidR="00876BBB" w:rsidRDefault="00876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69C5" w14:textId="77777777" w:rsidR="00E124A1" w:rsidRDefault="00E124A1" w:rsidP="00876BBB">
      <w:pPr>
        <w:spacing w:after="0" w:line="240" w:lineRule="auto"/>
      </w:pPr>
      <w:r>
        <w:separator/>
      </w:r>
    </w:p>
  </w:footnote>
  <w:footnote w:type="continuationSeparator" w:id="0">
    <w:p w14:paraId="3D0FC66F" w14:textId="77777777" w:rsidR="00E124A1" w:rsidRDefault="00E124A1" w:rsidP="00876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9DFF" w14:textId="3C135981" w:rsidR="00876BBB" w:rsidRDefault="00876BBB">
    <w:pPr>
      <w:pStyle w:val="Header"/>
    </w:pPr>
    <w:r>
      <w:rPr>
        <w:noProof/>
      </w:rPr>
      <w:pict w14:anchorId="274FD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4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E869" w14:textId="5C677683" w:rsidR="00876BBB" w:rsidRDefault="00876BBB">
    <w:pPr>
      <w:pStyle w:val="Header"/>
    </w:pPr>
    <w:r>
      <w:rPr>
        <w:noProof/>
      </w:rPr>
      <w:pict w14:anchorId="4CDD2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4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571D" w14:textId="2FBF7F34" w:rsidR="00876BBB" w:rsidRDefault="00876BBB">
    <w:pPr>
      <w:pStyle w:val="Header"/>
    </w:pPr>
    <w:r>
      <w:rPr>
        <w:noProof/>
      </w:rPr>
      <w:pict w14:anchorId="10F20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4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4FCF"/>
    <w:multiLevelType w:val="multilevel"/>
    <w:tmpl w:val="081A23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86522F6"/>
    <w:multiLevelType w:val="multilevel"/>
    <w:tmpl w:val="D8F85A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4A224474"/>
    <w:multiLevelType w:val="multilevel"/>
    <w:tmpl w:val="D4BCCA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D2B33C0"/>
    <w:multiLevelType w:val="multilevel"/>
    <w:tmpl w:val="0D5AA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7503530E"/>
    <w:multiLevelType w:val="multilevel"/>
    <w:tmpl w:val="10E8FB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5922539"/>
    <w:multiLevelType w:val="multilevel"/>
    <w:tmpl w:val="5A6A03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0885357">
    <w:abstractNumId w:val="0"/>
  </w:num>
  <w:num w:numId="2" w16cid:durableId="1326204776">
    <w:abstractNumId w:val="3"/>
  </w:num>
  <w:num w:numId="3" w16cid:durableId="1043485178">
    <w:abstractNumId w:val="2"/>
  </w:num>
  <w:num w:numId="4" w16cid:durableId="690306313">
    <w:abstractNumId w:val="5"/>
  </w:num>
  <w:num w:numId="5" w16cid:durableId="1901094166">
    <w:abstractNumId w:val="4"/>
  </w:num>
  <w:num w:numId="6" w16cid:durableId="1926840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2E8"/>
    <w:rsid w:val="0012381E"/>
    <w:rsid w:val="00172C50"/>
    <w:rsid w:val="001D0A8C"/>
    <w:rsid w:val="001F173C"/>
    <w:rsid w:val="0022155B"/>
    <w:rsid w:val="00247B9F"/>
    <w:rsid w:val="0032155B"/>
    <w:rsid w:val="00391A6A"/>
    <w:rsid w:val="003E4084"/>
    <w:rsid w:val="005A5785"/>
    <w:rsid w:val="005D0259"/>
    <w:rsid w:val="005E72E8"/>
    <w:rsid w:val="00601C19"/>
    <w:rsid w:val="00632F8E"/>
    <w:rsid w:val="0066709F"/>
    <w:rsid w:val="006B42FD"/>
    <w:rsid w:val="006B7A3E"/>
    <w:rsid w:val="007316BA"/>
    <w:rsid w:val="00755A9F"/>
    <w:rsid w:val="0079339C"/>
    <w:rsid w:val="00850C44"/>
    <w:rsid w:val="00876BBB"/>
    <w:rsid w:val="008E4FC4"/>
    <w:rsid w:val="0096095D"/>
    <w:rsid w:val="009C0C38"/>
    <w:rsid w:val="009D718B"/>
    <w:rsid w:val="00A21038"/>
    <w:rsid w:val="00A25762"/>
    <w:rsid w:val="00A4239E"/>
    <w:rsid w:val="00A660F0"/>
    <w:rsid w:val="00A96A8B"/>
    <w:rsid w:val="00B54C17"/>
    <w:rsid w:val="00BB29F1"/>
    <w:rsid w:val="00BF421B"/>
    <w:rsid w:val="00C1159C"/>
    <w:rsid w:val="00C212C0"/>
    <w:rsid w:val="00C65C2E"/>
    <w:rsid w:val="00CD7438"/>
    <w:rsid w:val="00D13EB7"/>
    <w:rsid w:val="00D21F49"/>
    <w:rsid w:val="00D65EFE"/>
    <w:rsid w:val="00DF71DA"/>
    <w:rsid w:val="00E124A1"/>
    <w:rsid w:val="00E77526"/>
    <w:rsid w:val="00F32B76"/>
    <w:rsid w:val="00F92B23"/>
    <w:rsid w:val="00FA3DC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1FD5F"/>
  <w15:docId w15:val="{A6B4083C-560E-4987-BEA8-5514D405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B76"/>
    <w:rPr>
      <w:color w:val="0563C1" w:themeColor="hyperlink"/>
      <w:u w:val="single"/>
    </w:rPr>
  </w:style>
  <w:style w:type="table" w:styleId="TableGrid">
    <w:name w:val="Table Grid"/>
    <w:basedOn w:val="TableNormal"/>
    <w:uiPriority w:val="39"/>
    <w:rsid w:val="00F3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B7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UnresolvedMention">
    <w:name w:val="Unresolved Mention"/>
    <w:basedOn w:val="DefaultParagraphFont"/>
    <w:uiPriority w:val="99"/>
    <w:semiHidden/>
    <w:unhideWhenUsed/>
    <w:rsid w:val="006B7A3E"/>
    <w:rPr>
      <w:color w:val="605E5C"/>
      <w:shd w:val="clear" w:color="auto" w:fill="E1DFDD"/>
    </w:rPr>
  </w:style>
  <w:style w:type="paragraph" w:styleId="Header">
    <w:name w:val="header"/>
    <w:basedOn w:val="Normal"/>
    <w:link w:val="HeaderChar"/>
    <w:uiPriority w:val="99"/>
    <w:unhideWhenUsed/>
    <w:rsid w:val="00876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BBB"/>
  </w:style>
  <w:style w:type="paragraph" w:styleId="Footer">
    <w:name w:val="footer"/>
    <w:basedOn w:val="Normal"/>
    <w:link w:val="FooterChar"/>
    <w:uiPriority w:val="99"/>
    <w:unhideWhenUsed/>
    <w:rsid w:val="00876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2746">
      <w:bodyDiv w:val="1"/>
      <w:marLeft w:val="0"/>
      <w:marRight w:val="0"/>
      <w:marTop w:val="0"/>
      <w:marBottom w:val="0"/>
      <w:divBdr>
        <w:top w:val="none" w:sz="0" w:space="0" w:color="auto"/>
        <w:left w:val="none" w:sz="0" w:space="0" w:color="auto"/>
        <w:bottom w:val="none" w:sz="0" w:space="0" w:color="auto"/>
        <w:right w:val="none" w:sz="0" w:space="0" w:color="auto"/>
      </w:divBdr>
    </w:div>
    <w:div w:id="195701381">
      <w:bodyDiv w:val="1"/>
      <w:marLeft w:val="0"/>
      <w:marRight w:val="0"/>
      <w:marTop w:val="0"/>
      <w:marBottom w:val="0"/>
      <w:divBdr>
        <w:top w:val="none" w:sz="0" w:space="0" w:color="auto"/>
        <w:left w:val="none" w:sz="0" w:space="0" w:color="auto"/>
        <w:bottom w:val="none" w:sz="0" w:space="0" w:color="auto"/>
        <w:right w:val="none" w:sz="0" w:space="0" w:color="auto"/>
      </w:divBdr>
    </w:div>
    <w:div w:id="410205033">
      <w:bodyDiv w:val="1"/>
      <w:marLeft w:val="0"/>
      <w:marRight w:val="0"/>
      <w:marTop w:val="0"/>
      <w:marBottom w:val="0"/>
      <w:divBdr>
        <w:top w:val="none" w:sz="0" w:space="0" w:color="auto"/>
        <w:left w:val="none" w:sz="0" w:space="0" w:color="auto"/>
        <w:bottom w:val="none" w:sz="0" w:space="0" w:color="auto"/>
        <w:right w:val="none" w:sz="0" w:space="0" w:color="auto"/>
      </w:divBdr>
    </w:div>
    <w:div w:id="420179428">
      <w:bodyDiv w:val="1"/>
      <w:marLeft w:val="0"/>
      <w:marRight w:val="0"/>
      <w:marTop w:val="0"/>
      <w:marBottom w:val="0"/>
      <w:divBdr>
        <w:top w:val="none" w:sz="0" w:space="0" w:color="auto"/>
        <w:left w:val="none" w:sz="0" w:space="0" w:color="auto"/>
        <w:bottom w:val="none" w:sz="0" w:space="0" w:color="auto"/>
        <w:right w:val="none" w:sz="0" w:space="0" w:color="auto"/>
      </w:divBdr>
    </w:div>
    <w:div w:id="481626009">
      <w:bodyDiv w:val="1"/>
      <w:marLeft w:val="0"/>
      <w:marRight w:val="0"/>
      <w:marTop w:val="0"/>
      <w:marBottom w:val="0"/>
      <w:divBdr>
        <w:top w:val="none" w:sz="0" w:space="0" w:color="auto"/>
        <w:left w:val="none" w:sz="0" w:space="0" w:color="auto"/>
        <w:bottom w:val="none" w:sz="0" w:space="0" w:color="auto"/>
        <w:right w:val="none" w:sz="0" w:space="0" w:color="auto"/>
      </w:divBdr>
    </w:div>
    <w:div w:id="533227526">
      <w:bodyDiv w:val="1"/>
      <w:marLeft w:val="0"/>
      <w:marRight w:val="0"/>
      <w:marTop w:val="0"/>
      <w:marBottom w:val="0"/>
      <w:divBdr>
        <w:top w:val="none" w:sz="0" w:space="0" w:color="auto"/>
        <w:left w:val="none" w:sz="0" w:space="0" w:color="auto"/>
        <w:bottom w:val="none" w:sz="0" w:space="0" w:color="auto"/>
        <w:right w:val="none" w:sz="0" w:space="0" w:color="auto"/>
      </w:divBdr>
    </w:div>
    <w:div w:id="581911424">
      <w:bodyDiv w:val="1"/>
      <w:marLeft w:val="0"/>
      <w:marRight w:val="0"/>
      <w:marTop w:val="0"/>
      <w:marBottom w:val="0"/>
      <w:divBdr>
        <w:top w:val="none" w:sz="0" w:space="0" w:color="auto"/>
        <w:left w:val="none" w:sz="0" w:space="0" w:color="auto"/>
        <w:bottom w:val="none" w:sz="0" w:space="0" w:color="auto"/>
        <w:right w:val="none" w:sz="0" w:space="0" w:color="auto"/>
      </w:divBdr>
    </w:div>
    <w:div w:id="598488831">
      <w:bodyDiv w:val="1"/>
      <w:marLeft w:val="0"/>
      <w:marRight w:val="0"/>
      <w:marTop w:val="0"/>
      <w:marBottom w:val="0"/>
      <w:divBdr>
        <w:top w:val="none" w:sz="0" w:space="0" w:color="auto"/>
        <w:left w:val="none" w:sz="0" w:space="0" w:color="auto"/>
        <w:bottom w:val="none" w:sz="0" w:space="0" w:color="auto"/>
        <w:right w:val="none" w:sz="0" w:space="0" w:color="auto"/>
      </w:divBdr>
    </w:div>
    <w:div w:id="609973878">
      <w:bodyDiv w:val="1"/>
      <w:marLeft w:val="0"/>
      <w:marRight w:val="0"/>
      <w:marTop w:val="0"/>
      <w:marBottom w:val="0"/>
      <w:divBdr>
        <w:top w:val="none" w:sz="0" w:space="0" w:color="auto"/>
        <w:left w:val="none" w:sz="0" w:space="0" w:color="auto"/>
        <w:bottom w:val="none" w:sz="0" w:space="0" w:color="auto"/>
        <w:right w:val="none" w:sz="0" w:space="0" w:color="auto"/>
      </w:divBdr>
    </w:div>
    <w:div w:id="660354244">
      <w:bodyDiv w:val="1"/>
      <w:marLeft w:val="0"/>
      <w:marRight w:val="0"/>
      <w:marTop w:val="0"/>
      <w:marBottom w:val="0"/>
      <w:divBdr>
        <w:top w:val="none" w:sz="0" w:space="0" w:color="auto"/>
        <w:left w:val="none" w:sz="0" w:space="0" w:color="auto"/>
        <w:bottom w:val="none" w:sz="0" w:space="0" w:color="auto"/>
        <w:right w:val="none" w:sz="0" w:space="0" w:color="auto"/>
      </w:divBdr>
    </w:div>
    <w:div w:id="689841185">
      <w:bodyDiv w:val="1"/>
      <w:marLeft w:val="0"/>
      <w:marRight w:val="0"/>
      <w:marTop w:val="0"/>
      <w:marBottom w:val="0"/>
      <w:divBdr>
        <w:top w:val="none" w:sz="0" w:space="0" w:color="auto"/>
        <w:left w:val="none" w:sz="0" w:space="0" w:color="auto"/>
        <w:bottom w:val="none" w:sz="0" w:space="0" w:color="auto"/>
        <w:right w:val="none" w:sz="0" w:space="0" w:color="auto"/>
      </w:divBdr>
    </w:div>
    <w:div w:id="812259399">
      <w:bodyDiv w:val="1"/>
      <w:marLeft w:val="0"/>
      <w:marRight w:val="0"/>
      <w:marTop w:val="0"/>
      <w:marBottom w:val="0"/>
      <w:divBdr>
        <w:top w:val="none" w:sz="0" w:space="0" w:color="auto"/>
        <w:left w:val="none" w:sz="0" w:space="0" w:color="auto"/>
        <w:bottom w:val="none" w:sz="0" w:space="0" w:color="auto"/>
        <w:right w:val="none" w:sz="0" w:space="0" w:color="auto"/>
      </w:divBdr>
    </w:div>
    <w:div w:id="960190059">
      <w:bodyDiv w:val="1"/>
      <w:marLeft w:val="0"/>
      <w:marRight w:val="0"/>
      <w:marTop w:val="0"/>
      <w:marBottom w:val="0"/>
      <w:divBdr>
        <w:top w:val="none" w:sz="0" w:space="0" w:color="auto"/>
        <w:left w:val="none" w:sz="0" w:space="0" w:color="auto"/>
        <w:bottom w:val="none" w:sz="0" w:space="0" w:color="auto"/>
        <w:right w:val="none" w:sz="0" w:space="0" w:color="auto"/>
      </w:divBdr>
      <w:divsChild>
        <w:div w:id="1363048958">
          <w:marLeft w:val="0"/>
          <w:marRight w:val="0"/>
          <w:marTop w:val="0"/>
          <w:marBottom w:val="0"/>
          <w:divBdr>
            <w:top w:val="none" w:sz="0" w:space="0" w:color="auto"/>
            <w:left w:val="none" w:sz="0" w:space="0" w:color="auto"/>
            <w:bottom w:val="none" w:sz="0" w:space="0" w:color="auto"/>
            <w:right w:val="none" w:sz="0" w:space="0" w:color="auto"/>
          </w:divBdr>
          <w:divsChild>
            <w:div w:id="134414490">
              <w:marLeft w:val="0"/>
              <w:marRight w:val="0"/>
              <w:marTop w:val="0"/>
              <w:marBottom w:val="0"/>
              <w:divBdr>
                <w:top w:val="none" w:sz="0" w:space="0" w:color="auto"/>
                <w:left w:val="none" w:sz="0" w:space="0" w:color="auto"/>
                <w:bottom w:val="none" w:sz="0" w:space="0" w:color="auto"/>
                <w:right w:val="none" w:sz="0" w:space="0" w:color="auto"/>
              </w:divBdr>
              <w:divsChild>
                <w:div w:id="676079355">
                  <w:marLeft w:val="0"/>
                  <w:marRight w:val="0"/>
                  <w:marTop w:val="0"/>
                  <w:marBottom w:val="0"/>
                  <w:divBdr>
                    <w:top w:val="none" w:sz="0" w:space="0" w:color="auto"/>
                    <w:left w:val="none" w:sz="0" w:space="0" w:color="auto"/>
                    <w:bottom w:val="none" w:sz="0" w:space="0" w:color="auto"/>
                    <w:right w:val="none" w:sz="0" w:space="0" w:color="auto"/>
                  </w:divBdr>
                  <w:divsChild>
                    <w:div w:id="987248014">
                      <w:marLeft w:val="0"/>
                      <w:marRight w:val="0"/>
                      <w:marTop w:val="0"/>
                      <w:marBottom w:val="0"/>
                      <w:divBdr>
                        <w:top w:val="none" w:sz="0" w:space="0" w:color="auto"/>
                        <w:left w:val="none" w:sz="0" w:space="0" w:color="auto"/>
                        <w:bottom w:val="none" w:sz="0" w:space="0" w:color="auto"/>
                        <w:right w:val="none" w:sz="0" w:space="0" w:color="auto"/>
                      </w:divBdr>
                      <w:divsChild>
                        <w:div w:id="757409668">
                          <w:marLeft w:val="0"/>
                          <w:marRight w:val="0"/>
                          <w:marTop w:val="0"/>
                          <w:marBottom w:val="0"/>
                          <w:divBdr>
                            <w:top w:val="none" w:sz="0" w:space="0" w:color="auto"/>
                            <w:left w:val="none" w:sz="0" w:space="0" w:color="auto"/>
                            <w:bottom w:val="none" w:sz="0" w:space="0" w:color="auto"/>
                            <w:right w:val="none" w:sz="0" w:space="0" w:color="auto"/>
                          </w:divBdr>
                          <w:divsChild>
                            <w:div w:id="992031655">
                              <w:marLeft w:val="0"/>
                              <w:marRight w:val="0"/>
                              <w:marTop w:val="0"/>
                              <w:marBottom w:val="0"/>
                              <w:divBdr>
                                <w:top w:val="none" w:sz="0" w:space="0" w:color="auto"/>
                                <w:left w:val="none" w:sz="0" w:space="0" w:color="auto"/>
                                <w:bottom w:val="none" w:sz="0" w:space="0" w:color="auto"/>
                                <w:right w:val="none" w:sz="0" w:space="0" w:color="auto"/>
                              </w:divBdr>
                              <w:divsChild>
                                <w:div w:id="11973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5655">
                          <w:marLeft w:val="0"/>
                          <w:marRight w:val="0"/>
                          <w:marTop w:val="0"/>
                          <w:marBottom w:val="0"/>
                          <w:divBdr>
                            <w:top w:val="none" w:sz="0" w:space="0" w:color="auto"/>
                            <w:left w:val="none" w:sz="0" w:space="0" w:color="auto"/>
                            <w:bottom w:val="none" w:sz="0" w:space="0" w:color="auto"/>
                            <w:right w:val="none" w:sz="0" w:space="0" w:color="auto"/>
                          </w:divBdr>
                          <w:divsChild>
                            <w:div w:id="1277761052">
                              <w:marLeft w:val="0"/>
                              <w:marRight w:val="0"/>
                              <w:marTop w:val="0"/>
                              <w:marBottom w:val="0"/>
                              <w:divBdr>
                                <w:top w:val="none" w:sz="0" w:space="0" w:color="auto"/>
                                <w:left w:val="none" w:sz="0" w:space="0" w:color="auto"/>
                                <w:bottom w:val="none" w:sz="0" w:space="0" w:color="auto"/>
                                <w:right w:val="none" w:sz="0" w:space="0" w:color="auto"/>
                              </w:divBdr>
                              <w:divsChild>
                                <w:div w:id="1178806470">
                                  <w:marLeft w:val="0"/>
                                  <w:marRight w:val="0"/>
                                  <w:marTop w:val="0"/>
                                  <w:marBottom w:val="0"/>
                                  <w:divBdr>
                                    <w:top w:val="none" w:sz="0" w:space="0" w:color="auto"/>
                                    <w:left w:val="none" w:sz="0" w:space="0" w:color="auto"/>
                                    <w:bottom w:val="none" w:sz="0" w:space="0" w:color="auto"/>
                                    <w:right w:val="none" w:sz="0" w:space="0" w:color="auto"/>
                                  </w:divBdr>
                                  <w:divsChild>
                                    <w:div w:id="2410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8811">
              <w:marLeft w:val="0"/>
              <w:marRight w:val="0"/>
              <w:marTop w:val="0"/>
              <w:marBottom w:val="0"/>
              <w:divBdr>
                <w:top w:val="none" w:sz="0" w:space="0" w:color="auto"/>
                <w:left w:val="none" w:sz="0" w:space="0" w:color="auto"/>
                <w:bottom w:val="none" w:sz="0" w:space="0" w:color="auto"/>
                <w:right w:val="none" w:sz="0" w:space="0" w:color="auto"/>
              </w:divBdr>
              <w:divsChild>
                <w:div w:id="1769693379">
                  <w:marLeft w:val="0"/>
                  <w:marRight w:val="0"/>
                  <w:marTop w:val="0"/>
                  <w:marBottom w:val="0"/>
                  <w:divBdr>
                    <w:top w:val="none" w:sz="0" w:space="0" w:color="auto"/>
                    <w:left w:val="none" w:sz="0" w:space="0" w:color="auto"/>
                    <w:bottom w:val="none" w:sz="0" w:space="0" w:color="auto"/>
                    <w:right w:val="none" w:sz="0" w:space="0" w:color="auto"/>
                  </w:divBdr>
                  <w:divsChild>
                    <w:div w:id="1163007517">
                      <w:marLeft w:val="0"/>
                      <w:marRight w:val="0"/>
                      <w:marTop w:val="0"/>
                      <w:marBottom w:val="0"/>
                      <w:divBdr>
                        <w:top w:val="none" w:sz="0" w:space="0" w:color="auto"/>
                        <w:left w:val="none" w:sz="0" w:space="0" w:color="auto"/>
                        <w:bottom w:val="none" w:sz="0" w:space="0" w:color="auto"/>
                        <w:right w:val="none" w:sz="0" w:space="0" w:color="auto"/>
                      </w:divBdr>
                      <w:divsChild>
                        <w:div w:id="1613050523">
                          <w:marLeft w:val="0"/>
                          <w:marRight w:val="0"/>
                          <w:marTop w:val="0"/>
                          <w:marBottom w:val="0"/>
                          <w:divBdr>
                            <w:top w:val="none" w:sz="0" w:space="0" w:color="auto"/>
                            <w:left w:val="none" w:sz="0" w:space="0" w:color="auto"/>
                            <w:bottom w:val="none" w:sz="0" w:space="0" w:color="auto"/>
                            <w:right w:val="none" w:sz="0" w:space="0" w:color="auto"/>
                          </w:divBdr>
                          <w:divsChild>
                            <w:div w:id="2145387134">
                              <w:marLeft w:val="0"/>
                              <w:marRight w:val="0"/>
                              <w:marTop w:val="0"/>
                              <w:marBottom w:val="0"/>
                              <w:divBdr>
                                <w:top w:val="none" w:sz="0" w:space="0" w:color="auto"/>
                                <w:left w:val="none" w:sz="0" w:space="0" w:color="auto"/>
                                <w:bottom w:val="none" w:sz="0" w:space="0" w:color="auto"/>
                                <w:right w:val="none" w:sz="0" w:space="0" w:color="auto"/>
                              </w:divBdr>
                              <w:divsChild>
                                <w:div w:id="508102062">
                                  <w:marLeft w:val="0"/>
                                  <w:marRight w:val="0"/>
                                  <w:marTop w:val="0"/>
                                  <w:marBottom w:val="0"/>
                                  <w:divBdr>
                                    <w:top w:val="none" w:sz="0" w:space="0" w:color="auto"/>
                                    <w:left w:val="none" w:sz="0" w:space="0" w:color="auto"/>
                                    <w:bottom w:val="none" w:sz="0" w:space="0" w:color="auto"/>
                                    <w:right w:val="none" w:sz="0" w:space="0" w:color="auto"/>
                                  </w:divBdr>
                                </w:div>
                              </w:divsChild>
                            </w:div>
                            <w:div w:id="853226752">
                              <w:marLeft w:val="0"/>
                              <w:marRight w:val="0"/>
                              <w:marTop w:val="0"/>
                              <w:marBottom w:val="0"/>
                              <w:divBdr>
                                <w:top w:val="none" w:sz="0" w:space="0" w:color="auto"/>
                                <w:left w:val="none" w:sz="0" w:space="0" w:color="auto"/>
                                <w:bottom w:val="none" w:sz="0" w:space="0" w:color="auto"/>
                                <w:right w:val="none" w:sz="0" w:space="0" w:color="auto"/>
                              </w:divBdr>
                            </w:div>
                          </w:divsChild>
                        </w:div>
                        <w:div w:id="69038547">
                          <w:marLeft w:val="0"/>
                          <w:marRight w:val="0"/>
                          <w:marTop w:val="0"/>
                          <w:marBottom w:val="0"/>
                          <w:divBdr>
                            <w:top w:val="none" w:sz="0" w:space="0" w:color="auto"/>
                            <w:left w:val="none" w:sz="0" w:space="0" w:color="auto"/>
                            <w:bottom w:val="none" w:sz="0" w:space="0" w:color="auto"/>
                            <w:right w:val="none" w:sz="0" w:space="0" w:color="auto"/>
                          </w:divBdr>
                          <w:divsChild>
                            <w:div w:id="253512896">
                              <w:marLeft w:val="0"/>
                              <w:marRight w:val="0"/>
                              <w:marTop w:val="0"/>
                              <w:marBottom w:val="0"/>
                              <w:divBdr>
                                <w:top w:val="none" w:sz="0" w:space="0" w:color="auto"/>
                                <w:left w:val="none" w:sz="0" w:space="0" w:color="auto"/>
                                <w:bottom w:val="none" w:sz="0" w:space="0" w:color="auto"/>
                                <w:right w:val="none" w:sz="0" w:space="0" w:color="auto"/>
                              </w:divBdr>
                              <w:divsChild>
                                <w:div w:id="17570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026654">
              <w:marLeft w:val="0"/>
              <w:marRight w:val="0"/>
              <w:marTop w:val="0"/>
              <w:marBottom w:val="0"/>
              <w:divBdr>
                <w:top w:val="none" w:sz="0" w:space="0" w:color="auto"/>
                <w:left w:val="none" w:sz="0" w:space="0" w:color="auto"/>
                <w:bottom w:val="none" w:sz="0" w:space="0" w:color="auto"/>
                <w:right w:val="none" w:sz="0" w:space="0" w:color="auto"/>
              </w:divBdr>
              <w:divsChild>
                <w:div w:id="1207253595">
                  <w:marLeft w:val="0"/>
                  <w:marRight w:val="0"/>
                  <w:marTop w:val="0"/>
                  <w:marBottom w:val="0"/>
                  <w:divBdr>
                    <w:top w:val="none" w:sz="0" w:space="0" w:color="auto"/>
                    <w:left w:val="none" w:sz="0" w:space="0" w:color="auto"/>
                    <w:bottom w:val="none" w:sz="0" w:space="0" w:color="auto"/>
                    <w:right w:val="none" w:sz="0" w:space="0" w:color="auto"/>
                  </w:divBdr>
                  <w:divsChild>
                    <w:div w:id="1142238343">
                      <w:marLeft w:val="0"/>
                      <w:marRight w:val="0"/>
                      <w:marTop w:val="0"/>
                      <w:marBottom w:val="0"/>
                      <w:divBdr>
                        <w:top w:val="none" w:sz="0" w:space="0" w:color="auto"/>
                        <w:left w:val="none" w:sz="0" w:space="0" w:color="auto"/>
                        <w:bottom w:val="none" w:sz="0" w:space="0" w:color="auto"/>
                        <w:right w:val="none" w:sz="0" w:space="0" w:color="auto"/>
                      </w:divBdr>
                      <w:divsChild>
                        <w:div w:id="902717671">
                          <w:marLeft w:val="0"/>
                          <w:marRight w:val="0"/>
                          <w:marTop w:val="0"/>
                          <w:marBottom w:val="0"/>
                          <w:divBdr>
                            <w:top w:val="none" w:sz="0" w:space="0" w:color="auto"/>
                            <w:left w:val="none" w:sz="0" w:space="0" w:color="auto"/>
                            <w:bottom w:val="none" w:sz="0" w:space="0" w:color="auto"/>
                            <w:right w:val="none" w:sz="0" w:space="0" w:color="auto"/>
                          </w:divBdr>
                          <w:divsChild>
                            <w:div w:id="588582427">
                              <w:marLeft w:val="0"/>
                              <w:marRight w:val="0"/>
                              <w:marTop w:val="0"/>
                              <w:marBottom w:val="0"/>
                              <w:divBdr>
                                <w:top w:val="none" w:sz="0" w:space="0" w:color="auto"/>
                                <w:left w:val="none" w:sz="0" w:space="0" w:color="auto"/>
                                <w:bottom w:val="none" w:sz="0" w:space="0" w:color="auto"/>
                                <w:right w:val="none" w:sz="0" w:space="0" w:color="auto"/>
                              </w:divBdr>
                              <w:divsChild>
                                <w:div w:id="16868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3487">
                          <w:marLeft w:val="0"/>
                          <w:marRight w:val="0"/>
                          <w:marTop w:val="0"/>
                          <w:marBottom w:val="0"/>
                          <w:divBdr>
                            <w:top w:val="none" w:sz="0" w:space="0" w:color="auto"/>
                            <w:left w:val="none" w:sz="0" w:space="0" w:color="auto"/>
                            <w:bottom w:val="none" w:sz="0" w:space="0" w:color="auto"/>
                            <w:right w:val="none" w:sz="0" w:space="0" w:color="auto"/>
                          </w:divBdr>
                          <w:divsChild>
                            <w:div w:id="1794060121">
                              <w:marLeft w:val="0"/>
                              <w:marRight w:val="0"/>
                              <w:marTop w:val="0"/>
                              <w:marBottom w:val="0"/>
                              <w:divBdr>
                                <w:top w:val="none" w:sz="0" w:space="0" w:color="auto"/>
                                <w:left w:val="none" w:sz="0" w:space="0" w:color="auto"/>
                                <w:bottom w:val="none" w:sz="0" w:space="0" w:color="auto"/>
                                <w:right w:val="none" w:sz="0" w:space="0" w:color="auto"/>
                              </w:divBdr>
                              <w:divsChild>
                                <w:div w:id="117068211">
                                  <w:marLeft w:val="0"/>
                                  <w:marRight w:val="0"/>
                                  <w:marTop w:val="0"/>
                                  <w:marBottom w:val="0"/>
                                  <w:divBdr>
                                    <w:top w:val="none" w:sz="0" w:space="0" w:color="auto"/>
                                    <w:left w:val="none" w:sz="0" w:space="0" w:color="auto"/>
                                    <w:bottom w:val="none" w:sz="0" w:space="0" w:color="auto"/>
                                    <w:right w:val="none" w:sz="0" w:space="0" w:color="auto"/>
                                  </w:divBdr>
                                  <w:divsChild>
                                    <w:div w:id="8533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5213">
              <w:marLeft w:val="0"/>
              <w:marRight w:val="0"/>
              <w:marTop w:val="0"/>
              <w:marBottom w:val="0"/>
              <w:divBdr>
                <w:top w:val="none" w:sz="0" w:space="0" w:color="auto"/>
                <w:left w:val="none" w:sz="0" w:space="0" w:color="auto"/>
                <w:bottom w:val="none" w:sz="0" w:space="0" w:color="auto"/>
                <w:right w:val="none" w:sz="0" w:space="0" w:color="auto"/>
              </w:divBdr>
              <w:divsChild>
                <w:div w:id="754521053">
                  <w:marLeft w:val="0"/>
                  <w:marRight w:val="0"/>
                  <w:marTop w:val="0"/>
                  <w:marBottom w:val="0"/>
                  <w:divBdr>
                    <w:top w:val="none" w:sz="0" w:space="0" w:color="auto"/>
                    <w:left w:val="none" w:sz="0" w:space="0" w:color="auto"/>
                    <w:bottom w:val="none" w:sz="0" w:space="0" w:color="auto"/>
                    <w:right w:val="none" w:sz="0" w:space="0" w:color="auto"/>
                  </w:divBdr>
                  <w:divsChild>
                    <w:div w:id="1836995788">
                      <w:marLeft w:val="0"/>
                      <w:marRight w:val="0"/>
                      <w:marTop w:val="0"/>
                      <w:marBottom w:val="0"/>
                      <w:divBdr>
                        <w:top w:val="none" w:sz="0" w:space="0" w:color="auto"/>
                        <w:left w:val="none" w:sz="0" w:space="0" w:color="auto"/>
                        <w:bottom w:val="none" w:sz="0" w:space="0" w:color="auto"/>
                        <w:right w:val="none" w:sz="0" w:space="0" w:color="auto"/>
                      </w:divBdr>
                      <w:divsChild>
                        <w:div w:id="293602951">
                          <w:marLeft w:val="0"/>
                          <w:marRight w:val="0"/>
                          <w:marTop w:val="0"/>
                          <w:marBottom w:val="0"/>
                          <w:divBdr>
                            <w:top w:val="none" w:sz="0" w:space="0" w:color="auto"/>
                            <w:left w:val="none" w:sz="0" w:space="0" w:color="auto"/>
                            <w:bottom w:val="none" w:sz="0" w:space="0" w:color="auto"/>
                            <w:right w:val="none" w:sz="0" w:space="0" w:color="auto"/>
                          </w:divBdr>
                          <w:divsChild>
                            <w:div w:id="2006277078">
                              <w:marLeft w:val="0"/>
                              <w:marRight w:val="0"/>
                              <w:marTop w:val="0"/>
                              <w:marBottom w:val="0"/>
                              <w:divBdr>
                                <w:top w:val="none" w:sz="0" w:space="0" w:color="auto"/>
                                <w:left w:val="none" w:sz="0" w:space="0" w:color="auto"/>
                                <w:bottom w:val="none" w:sz="0" w:space="0" w:color="auto"/>
                                <w:right w:val="none" w:sz="0" w:space="0" w:color="auto"/>
                              </w:divBdr>
                              <w:divsChild>
                                <w:div w:id="392048903">
                                  <w:marLeft w:val="0"/>
                                  <w:marRight w:val="0"/>
                                  <w:marTop w:val="0"/>
                                  <w:marBottom w:val="0"/>
                                  <w:divBdr>
                                    <w:top w:val="none" w:sz="0" w:space="0" w:color="auto"/>
                                    <w:left w:val="none" w:sz="0" w:space="0" w:color="auto"/>
                                    <w:bottom w:val="none" w:sz="0" w:space="0" w:color="auto"/>
                                    <w:right w:val="none" w:sz="0" w:space="0" w:color="auto"/>
                                  </w:divBdr>
                                </w:div>
                              </w:divsChild>
                            </w:div>
                            <w:div w:id="1078671181">
                              <w:marLeft w:val="0"/>
                              <w:marRight w:val="0"/>
                              <w:marTop w:val="0"/>
                              <w:marBottom w:val="0"/>
                              <w:divBdr>
                                <w:top w:val="none" w:sz="0" w:space="0" w:color="auto"/>
                                <w:left w:val="none" w:sz="0" w:space="0" w:color="auto"/>
                                <w:bottom w:val="none" w:sz="0" w:space="0" w:color="auto"/>
                                <w:right w:val="none" w:sz="0" w:space="0" w:color="auto"/>
                              </w:divBdr>
                            </w:div>
                          </w:divsChild>
                        </w:div>
                        <w:div w:id="965353430">
                          <w:marLeft w:val="0"/>
                          <w:marRight w:val="0"/>
                          <w:marTop w:val="0"/>
                          <w:marBottom w:val="0"/>
                          <w:divBdr>
                            <w:top w:val="none" w:sz="0" w:space="0" w:color="auto"/>
                            <w:left w:val="none" w:sz="0" w:space="0" w:color="auto"/>
                            <w:bottom w:val="none" w:sz="0" w:space="0" w:color="auto"/>
                            <w:right w:val="none" w:sz="0" w:space="0" w:color="auto"/>
                          </w:divBdr>
                          <w:divsChild>
                            <w:div w:id="901720422">
                              <w:marLeft w:val="0"/>
                              <w:marRight w:val="0"/>
                              <w:marTop w:val="0"/>
                              <w:marBottom w:val="0"/>
                              <w:divBdr>
                                <w:top w:val="none" w:sz="0" w:space="0" w:color="auto"/>
                                <w:left w:val="none" w:sz="0" w:space="0" w:color="auto"/>
                                <w:bottom w:val="none" w:sz="0" w:space="0" w:color="auto"/>
                                <w:right w:val="none" w:sz="0" w:space="0" w:color="auto"/>
                              </w:divBdr>
                              <w:divsChild>
                                <w:div w:id="19874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1707">
              <w:marLeft w:val="0"/>
              <w:marRight w:val="0"/>
              <w:marTop w:val="0"/>
              <w:marBottom w:val="0"/>
              <w:divBdr>
                <w:top w:val="none" w:sz="0" w:space="0" w:color="auto"/>
                <w:left w:val="none" w:sz="0" w:space="0" w:color="auto"/>
                <w:bottom w:val="none" w:sz="0" w:space="0" w:color="auto"/>
                <w:right w:val="none" w:sz="0" w:space="0" w:color="auto"/>
              </w:divBdr>
              <w:divsChild>
                <w:div w:id="1983189093">
                  <w:marLeft w:val="0"/>
                  <w:marRight w:val="0"/>
                  <w:marTop w:val="0"/>
                  <w:marBottom w:val="0"/>
                  <w:divBdr>
                    <w:top w:val="none" w:sz="0" w:space="0" w:color="auto"/>
                    <w:left w:val="none" w:sz="0" w:space="0" w:color="auto"/>
                    <w:bottom w:val="none" w:sz="0" w:space="0" w:color="auto"/>
                    <w:right w:val="none" w:sz="0" w:space="0" w:color="auto"/>
                  </w:divBdr>
                  <w:divsChild>
                    <w:div w:id="1416587828">
                      <w:marLeft w:val="0"/>
                      <w:marRight w:val="0"/>
                      <w:marTop w:val="0"/>
                      <w:marBottom w:val="0"/>
                      <w:divBdr>
                        <w:top w:val="none" w:sz="0" w:space="0" w:color="auto"/>
                        <w:left w:val="none" w:sz="0" w:space="0" w:color="auto"/>
                        <w:bottom w:val="none" w:sz="0" w:space="0" w:color="auto"/>
                        <w:right w:val="none" w:sz="0" w:space="0" w:color="auto"/>
                      </w:divBdr>
                      <w:divsChild>
                        <w:div w:id="1143892199">
                          <w:marLeft w:val="0"/>
                          <w:marRight w:val="0"/>
                          <w:marTop w:val="0"/>
                          <w:marBottom w:val="0"/>
                          <w:divBdr>
                            <w:top w:val="none" w:sz="0" w:space="0" w:color="auto"/>
                            <w:left w:val="none" w:sz="0" w:space="0" w:color="auto"/>
                            <w:bottom w:val="none" w:sz="0" w:space="0" w:color="auto"/>
                            <w:right w:val="none" w:sz="0" w:space="0" w:color="auto"/>
                          </w:divBdr>
                          <w:divsChild>
                            <w:div w:id="1557156808">
                              <w:marLeft w:val="0"/>
                              <w:marRight w:val="0"/>
                              <w:marTop w:val="0"/>
                              <w:marBottom w:val="0"/>
                              <w:divBdr>
                                <w:top w:val="none" w:sz="0" w:space="0" w:color="auto"/>
                                <w:left w:val="none" w:sz="0" w:space="0" w:color="auto"/>
                                <w:bottom w:val="none" w:sz="0" w:space="0" w:color="auto"/>
                                <w:right w:val="none" w:sz="0" w:space="0" w:color="auto"/>
                              </w:divBdr>
                              <w:divsChild>
                                <w:div w:id="20816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2214">
                          <w:marLeft w:val="0"/>
                          <w:marRight w:val="0"/>
                          <w:marTop w:val="0"/>
                          <w:marBottom w:val="0"/>
                          <w:divBdr>
                            <w:top w:val="none" w:sz="0" w:space="0" w:color="auto"/>
                            <w:left w:val="none" w:sz="0" w:space="0" w:color="auto"/>
                            <w:bottom w:val="none" w:sz="0" w:space="0" w:color="auto"/>
                            <w:right w:val="none" w:sz="0" w:space="0" w:color="auto"/>
                          </w:divBdr>
                          <w:divsChild>
                            <w:div w:id="309405990">
                              <w:marLeft w:val="0"/>
                              <w:marRight w:val="0"/>
                              <w:marTop w:val="0"/>
                              <w:marBottom w:val="0"/>
                              <w:divBdr>
                                <w:top w:val="none" w:sz="0" w:space="0" w:color="auto"/>
                                <w:left w:val="none" w:sz="0" w:space="0" w:color="auto"/>
                                <w:bottom w:val="none" w:sz="0" w:space="0" w:color="auto"/>
                                <w:right w:val="none" w:sz="0" w:space="0" w:color="auto"/>
                              </w:divBdr>
                              <w:divsChild>
                                <w:div w:id="303045391">
                                  <w:marLeft w:val="0"/>
                                  <w:marRight w:val="0"/>
                                  <w:marTop w:val="0"/>
                                  <w:marBottom w:val="0"/>
                                  <w:divBdr>
                                    <w:top w:val="none" w:sz="0" w:space="0" w:color="auto"/>
                                    <w:left w:val="none" w:sz="0" w:space="0" w:color="auto"/>
                                    <w:bottom w:val="none" w:sz="0" w:space="0" w:color="auto"/>
                                    <w:right w:val="none" w:sz="0" w:space="0" w:color="auto"/>
                                  </w:divBdr>
                                  <w:divsChild>
                                    <w:div w:id="2951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7402">
              <w:marLeft w:val="0"/>
              <w:marRight w:val="0"/>
              <w:marTop w:val="0"/>
              <w:marBottom w:val="0"/>
              <w:divBdr>
                <w:top w:val="none" w:sz="0" w:space="0" w:color="auto"/>
                <w:left w:val="none" w:sz="0" w:space="0" w:color="auto"/>
                <w:bottom w:val="none" w:sz="0" w:space="0" w:color="auto"/>
                <w:right w:val="none" w:sz="0" w:space="0" w:color="auto"/>
              </w:divBdr>
              <w:divsChild>
                <w:div w:id="292449614">
                  <w:marLeft w:val="0"/>
                  <w:marRight w:val="0"/>
                  <w:marTop w:val="0"/>
                  <w:marBottom w:val="0"/>
                  <w:divBdr>
                    <w:top w:val="none" w:sz="0" w:space="0" w:color="auto"/>
                    <w:left w:val="none" w:sz="0" w:space="0" w:color="auto"/>
                    <w:bottom w:val="none" w:sz="0" w:space="0" w:color="auto"/>
                    <w:right w:val="none" w:sz="0" w:space="0" w:color="auto"/>
                  </w:divBdr>
                  <w:divsChild>
                    <w:div w:id="20759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1649">
      <w:bodyDiv w:val="1"/>
      <w:marLeft w:val="0"/>
      <w:marRight w:val="0"/>
      <w:marTop w:val="0"/>
      <w:marBottom w:val="0"/>
      <w:divBdr>
        <w:top w:val="none" w:sz="0" w:space="0" w:color="auto"/>
        <w:left w:val="none" w:sz="0" w:space="0" w:color="auto"/>
        <w:bottom w:val="none" w:sz="0" w:space="0" w:color="auto"/>
        <w:right w:val="none" w:sz="0" w:space="0" w:color="auto"/>
      </w:divBdr>
    </w:div>
    <w:div w:id="1030954546">
      <w:bodyDiv w:val="1"/>
      <w:marLeft w:val="0"/>
      <w:marRight w:val="0"/>
      <w:marTop w:val="0"/>
      <w:marBottom w:val="0"/>
      <w:divBdr>
        <w:top w:val="none" w:sz="0" w:space="0" w:color="auto"/>
        <w:left w:val="none" w:sz="0" w:space="0" w:color="auto"/>
        <w:bottom w:val="none" w:sz="0" w:space="0" w:color="auto"/>
        <w:right w:val="none" w:sz="0" w:space="0" w:color="auto"/>
      </w:divBdr>
    </w:div>
    <w:div w:id="1372221113">
      <w:bodyDiv w:val="1"/>
      <w:marLeft w:val="0"/>
      <w:marRight w:val="0"/>
      <w:marTop w:val="0"/>
      <w:marBottom w:val="0"/>
      <w:divBdr>
        <w:top w:val="none" w:sz="0" w:space="0" w:color="auto"/>
        <w:left w:val="none" w:sz="0" w:space="0" w:color="auto"/>
        <w:bottom w:val="none" w:sz="0" w:space="0" w:color="auto"/>
        <w:right w:val="none" w:sz="0" w:space="0" w:color="auto"/>
      </w:divBdr>
    </w:div>
    <w:div w:id="1408962415">
      <w:bodyDiv w:val="1"/>
      <w:marLeft w:val="0"/>
      <w:marRight w:val="0"/>
      <w:marTop w:val="0"/>
      <w:marBottom w:val="0"/>
      <w:divBdr>
        <w:top w:val="none" w:sz="0" w:space="0" w:color="auto"/>
        <w:left w:val="none" w:sz="0" w:space="0" w:color="auto"/>
        <w:bottom w:val="none" w:sz="0" w:space="0" w:color="auto"/>
        <w:right w:val="none" w:sz="0" w:space="0" w:color="auto"/>
      </w:divBdr>
    </w:div>
    <w:div w:id="1463502935">
      <w:bodyDiv w:val="1"/>
      <w:marLeft w:val="0"/>
      <w:marRight w:val="0"/>
      <w:marTop w:val="0"/>
      <w:marBottom w:val="0"/>
      <w:divBdr>
        <w:top w:val="none" w:sz="0" w:space="0" w:color="auto"/>
        <w:left w:val="none" w:sz="0" w:space="0" w:color="auto"/>
        <w:bottom w:val="none" w:sz="0" w:space="0" w:color="auto"/>
        <w:right w:val="none" w:sz="0" w:space="0" w:color="auto"/>
      </w:divBdr>
    </w:div>
    <w:div w:id="1498492802">
      <w:bodyDiv w:val="1"/>
      <w:marLeft w:val="0"/>
      <w:marRight w:val="0"/>
      <w:marTop w:val="0"/>
      <w:marBottom w:val="0"/>
      <w:divBdr>
        <w:top w:val="none" w:sz="0" w:space="0" w:color="auto"/>
        <w:left w:val="none" w:sz="0" w:space="0" w:color="auto"/>
        <w:bottom w:val="none" w:sz="0" w:space="0" w:color="auto"/>
        <w:right w:val="none" w:sz="0" w:space="0" w:color="auto"/>
      </w:divBdr>
    </w:div>
    <w:div w:id="1528905404">
      <w:bodyDiv w:val="1"/>
      <w:marLeft w:val="0"/>
      <w:marRight w:val="0"/>
      <w:marTop w:val="0"/>
      <w:marBottom w:val="0"/>
      <w:divBdr>
        <w:top w:val="none" w:sz="0" w:space="0" w:color="auto"/>
        <w:left w:val="none" w:sz="0" w:space="0" w:color="auto"/>
        <w:bottom w:val="none" w:sz="0" w:space="0" w:color="auto"/>
        <w:right w:val="none" w:sz="0" w:space="0" w:color="auto"/>
      </w:divBdr>
      <w:divsChild>
        <w:div w:id="2139103548">
          <w:marLeft w:val="0"/>
          <w:marRight w:val="0"/>
          <w:marTop w:val="0"/>
          <w:marBottom w:val="0"/>
          <w:divBdr>
            <w:top w:val="none" w:sz="0" w:space="0" w:color="auto"/>
            <w:left w:val="none" w:sz="0" w:space="0" w:color="auto"/>
            <w:bottom w:val="none" w:sz="0" w:space="0" w:color="auto"/>
            <w:right w:val="none" w:sz="0" w:space="0" w:color="auto"/>
          </w:divBdr>
          <w:divsChild>
            <w:div w:id="171183850">
              <w:marLeft w:val="0"/>
              <w:marRight w:val="0"/>
              <w:marTop w:val="0"/>
              <w:marBottom w:val="0"/>
              <w:divBdr>
                <w:top w:val="none" w:sz="0" w:space="0" w:color="auto"/>
                <w:left w:val="none" w:sz="0" w:space="0" w:color="auto"/>
                <w:bottom w:val="none" w:sz="0" w:space="0" w:color="auto"/>
                <w:right w:val="none" w:sz="0" w:space="0" w:color="auto"/>
              </w:divBdr>
              <w:divsChild>
                <w:div w:id="988946731">
                  <w:marLeft w:val="0"/>
                  <w:marRight w:val="0"/>
                  <w:marTop w:val="0"/>
                  <w:marBottom w:val="0"/>
                  <w:divBdr>
                    <w:top w:val="none" w:sz="0" w:space="0" w:color="auto"/>
                    <w:left w:val="none" w:sz="0" w:space="0" w:color="auto"/>
                    <w:bottom w:val="none" w:sz="0" w:space="0" w:color="auto"/>
                    <w:right w:val="none" w:sz="0" w:space="0" w:color="auto"/>
                  </w:divBdr>
                  <w:divsChild>
                    <w:div w:id="1532645860">
                      <w:marLeft w:val="0"/>
                      <w:marRight w:val="0"/>
                      <w:marTop w:val="0"/>
                      <w:marBottom w:val="0"/>
                      <w:divBdr>
                        <w:top w:val="none" w:sz="0" w:space="0" w:color="auto"/>
                        <w:left w:val="none" w:sz="0" w:space="0" w:color="auto"/>
                        <w:bottom w:val="none" w:sz="0" w:space="0" w:color="auto"/>
                        <w:right w:val="none" w:sz="0" w:space="0" w:color="auto"/>
                      </w:divBdr>
                      <w:divsChild>
                        <w:div w:id="2035030143">
                          <w:marLeft w:val="0"/>
                          <w:marRight w:val="0"/>
                          <w:marTop w:val="0"/>
                          <w:marBottom w:val="0"/>
                          <w:divBdr>
                            <w:top w:val="none" w:sz="0" w:space="0" w:color="auto"/>
                            <w:left w:val="none" w:sz="0" w:space="0" w:color="auto"/>
                            <w:bottom w:val="none" w:sz="0" w:space="0" w:color="auto"/>
                            <w:right w:val="none" w:sz="0" w:space="0" w:color="auto"/>
                          </w:divBdr>
                          <w:divsChild>
                            <w:div w:id="1175849521">
                              <w:marLeft w:val="0"/>
                              <w:marRight w:val="0"/>
                              <w:marTop w:val="0"/>
                              <w:marBottom w:val="0"/>
                              <w:divBdr>
                                <w:top w:val="none" w:sz="0" w:space="0" w:color="auto"/>
                                <w:left w:val="none" w:sz="0" w:space="0" w:color="auto"/>
                                <w:bottom w:val="none" w:sz="0" w:space="0" w:color="auto"/>
                                <w:right w:val="none" w:sz="0" w:space="0" w:color="auto"/>
                              </w:divBdr>
                              <w:divsChild>
                                <w:div w:id="19479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325">
                          <w:marLeft w:val="0"/>
                          <w:marRight w:val="0"/>
                          <w:marTop w:val="0"/>
                          <w:marBottom w:val="0"/>
                          <w:divBdr>
                            <w:top w:val="none" w:sz="0" w:space="0" w:color="auto"/>
                            <w:left w:val="none" w:sz="0" w:space="0" w:color="auto"/>
                            <w:bottom w:val="none" w:sz="0" w:space="0" w:color="auto"/>
                            <w:right w:val="none" w:sz="0" w:space="0" w:color="auto"/>
                          </w:divBdr>
                          <w:divsChild>
                            <w:div w:id="909272994">
                              <w:marLeft w:val="0"/>
                              <w:marRight w:val="0"/>
                              <w:marTop w:val="0"/>
                              <w:marBottom w:val="0"/>
                              <w:divBdr>
                                <w:top w:val="none" w:sz="0" w:space="0" w:color="auto"/>
                                <w:left w:val="none" w:sz="0" w:space="0" w:color="auto"/>
                                <w:bottom w:val="none" w:sz="0" w:space="0" w:color="auto"/>
                                <w:right w:val="none" w:sz="0" w:space="0" w:color="auto"/>
                              </w:divBdr>
                              <w:divsChild>
                                <w:div w:id="241645687">
                                  <w:marLeft w:val="0"/>
                                  <w:marRight w:val="0"/>
                                  <w:marTop w:val="0"/>
                                  <w:marBottom w:val="0"/>
                                  <w:divBdr>
                                    <w:top w:val="none" w:sz="0" w:space="0" w:color="auto"/>
                                    <w:left w:val="none" w:sz="0" w:space="0" w:color="auto"/>
                                    <w:bottom w:val="none" w:sz="0" w:space="0" w:color="auto"/>
                                    <w:right w:val="none" w:sz="0" w:space="0" w:color="auto"/>
                                  </w:divBdr>
                                  <w:divsChild>
                                    <w:div w:id="13699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3287">
              <w:marLeft w:val="0"/>
              <w:marRight w:val="0"/>
              <w:marTop w:val="0"/>
              <w:marBottom w:val="0"/>
              <w:divBdr>
                <w:top w:val="none" w:sz="0" w:space="0" w:color="auto"/>
                <w:left w:val="none" w:sz="0" w:space="0" w:color="auto"/>
                <w:bottom w:val="none" w:sz="0" w:space="0" w:color="auto"/>
                <w:right w:val="none" w:sz="0" w:space="0" w:color="auto"/>
              </w:divBdr>
              <w:divsChild>
                <w:div w:id="649555966">
                  <w:marLeft w:val="0"/>
                  <w:marRight w:val="0"/>
                  <w:marTop w:val="0"/>
                  <w:marBottom w:val="0"/>
                  <w:divBdr>
                    <w:top w:val="none" w:sz="0" w:space="0" w:color="auto"/>
                    <w:left w:val="none" w:sz="0" w:space="0" w:color="auto"/>
                    <w:bottom w:val="none" w:sz="0" w:space="0" w:color="auto"/>
                    <w:right w:val="none" w:sz="0" w:space="0" w:color="auto"/>
                  </w:divBdr>
                  <w:divsChild>
                    <w:div w:id="1198473018">
                      <w:marLeft w:val="0"/>
                      <w:marRight w:val="0"/>
                      <w:marTop w:val="0"/>
                      <w:marBottom w:val="0"/>
                      <w:divBdr>
                        <w:top w:val="none" w:sz="0" w:space="0" w:color="auto"/>
                        <w:left w:val="none" w:sz="0" w:space="0" w:color="auto"/>
                        <w:bottom w:val="none" w:sz="0" w:space="0" w:color="auto"/>
                        <w:right w:val="none" w:sz="0" w:space="0" w:color="auto"/>
                      </w:divBdr>
                      <w:divsChild>
                        <w:div w:id="696004920">
                          <w:marLeft w:val="0"/>
                          <w:marRight w:val="0"/>
                          <w:marTop w:val="0"/>
                          <w:marBottom w:val="0"/>
                          <w:divBdr>
                            <w:top w:val="none" w:sz="0" w:space="0" w:color="auto"/>
                            <w:left w:val="none" w:sz="0" w:space="0" w:color="auto"/>
                            <w:bottom w:val="none" w:sz="0" w:space="0" w:color="auto"/>
                            <w:right w:val="none" w:sz="0" w:space="0" w:color="auto"/>
                          </w:divBdr>
                          <w:divsChild>
                            <w:div w:id="148593536">
                              <w:marLeft w:val="0"/>
                              <w:marRight w:val="0"/>
                              <w:marTop w:val="0"/>
                              <w:marBottom w:val="0"/>
                              <w:divBdr>
                                <w:top w:val="none" w:sz="0" w:space="0" w:color="auto"/>
                                <w:left w:val="none" w:sz="0" w:space="0" w:color="auto"/>
                                <w:bottom w:val="none" w:sz="0" w:space="0" w:color="auto"/>
                                <w:right w:val="none" w:sz="0" w:space="0" w:color="auto"/>
                              </w:divBdr>
                              <w:divsChild>
                                <w:div w:id="1149321157">
                                  <w:marLeft w:val="0"/>
                                  <w:marRight w:val="0"/>
                                  <w:marTop w:val="0"/>
                                  <w:marBottom w:val="0"/>
                                  <w:divBdr>
                                    <w:top w:val="none" w:sz="0" w:space="0" w:color="auto"/>
                                    <w:left w:val="none" w:sz="0" w:space="0" w:color="auto"/>
                                    <w:bottom w:val="none" w:sz="0" w:space="0" w:color="auto"/>
                                    <w:right w:val="none" w:sz="0" w:space="0" w:color="auto"/>
                                  </w:divBdr>
                                </w:div>
                              </w:divsChild>
                            </w:div>
                            <w:div w:id="1320305933">
                              <w:marLeft w:val="0"/>
                              <w:marRight w:val="0"/>
                              <w:marTop w:val="0"/>
                              <w:marBottom w:val="0"/>
                              <w:divBdr>
                                <w:top w:val="none" w:sz="0" w:space="0" w:color="auto"/>
                                <w:left w:val="none" w:sz="0" w:space="0" w:color="auto"/>
                                <w:bottom w:val="none" w:sz="0" w:space="0" w:color="auto"/>
                                <w:right w:val="none" w:sz="0" w:space="0" w:color="auto"/>
                              </w:divBdr>
                            </w:div>
                          </w:divsChild>
                        </w:div>
                        <w:div w:id="1464809868">
                          <w:marLeft w:val="0"/>
                          <w:marRight w:val="0"/>
                          <w:marTop w:val="0"/>
                          <w:marBottom w:val="0"/>
                          <w:divBdr>
                            <w:top w:val="none" w:sz="0" w:space="0" w:color="auto"/>
                            <w:left w:val="none" w:sz="0" w:space="0" w:color="auto"/>
                            <w:bottom w:val="none" w:sz="0" w:space="0" w:color="auto"/>
                            <w:right w:val="none" w:sz="0" w:space="0" w:color="auto"/>
                          </w:divBdr>
                          <w:divsChild>
                            <w:div w:id="1209683719">
                              <w:marLeft w:val="0"/>
                              <w:marRight w:val="0"/>
                              <w:marTop w:val="0"/>
                              <w:marBottom w:val="0"/>
                              <w:divBdr>
                                <w:top w:val="none" w:sz="0" w:space="0" w:color="auto"/>
                                <w:left w:val="none" w:sz="0" w:space="0" w:color="auto"/>
                                <w:bottom w:val="none" w:sz="0" w:space="0" w:color="auto"/>
                                <w:right w:val="none" w:sz="0" w:space="0" w:color="auto"/>
                              </w:divBdr>
                              <w:divsChild>
                                <w:div w:id="13901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062993">
              <w:marLeft w:val="0"/>
              <w:marRight w:val="0"/>
              <w:marTop w:val="0"/>
              <w:marBottom w:val="0"/>
              <w:divBdr>
                <w:top w:val="none" w:sz="0" w:space="0" w:color="auto"/>
                <w:left w:val="none" w:sz="0" w:space="0" w:color="auto"/>
                <w:bottom w:val="none" w:sz="0" w:space="0" w:color="auto"/>
                <w:right w:val="none" w:sz="0" w:space="0" w:color="auto"/>
              </w:divBdr>
              <w:divsChild>
                <w:div w:id="1073964065">
                  <w:marLeft w:val="0"/>
                  <w:marRight w:val="0"/>
                  <w:marTop w:val="0"/>
                  <w:marBottom w:val="0"/>
                  <w:divBdr>
                    <w:top w:val="none" w:sz="0" w:space="0" w:color="auto"/>
                    <w:left w:val="none" w:sz="0" w:space="0" w:color="auto"/>
                    <w:bottom w:val="none" w:sz="0" w:space="0" w:color="auto"/>
                    <w:right w:val="none" w:sz="0" w:space="0" w:color="auto"/>
                  </w:divBdr>
                  <w:divsChild>
                    <w:div w:id="801114795">
                      <w:marLeft w:val="0"/>
                      <w:marRight w:val="0"/>
                      <w:marTop w:val="0"/>
                      <w:marBottom w:val="0"/>
                      <w:divBdr>
                        <w:top w:val="none" w:sz="0" w:space="0" w:color="auto"/>
                        <w:left w:val="none" w:sz="0" w:space="0" w:color="auto"/>
                        <w:bottom w:val="none" w:sz="0" w:space="0" w:color="auto"/>
                        <w:right w:val="none" w:sz="0" w:space="0" w:color="auto"/>
                      </w:divBdr>
                      <w:divsChild>
                        <w:div w:id="227612025">
                          <w:marLeft w:val="0"/>
                          <w:marRight w:val="0"/>
                          <w:marTop w:val="0"/>
                          <w:marBottom w:val="0"/>
                          <w:divBdr>
                            <w:top w:val="none" w:sz="0" w:space="0" w:color="auto"/>
                            <w:left w:val="none" w:sz="0" w:space="0" w:color="auto"/>
                            <w:bottom w:val="none" w:sz="0" w:space="0" w:color="auto"/>
                            <w:right w:val="none" w:sz="0" w:space="0" w:color="auto"/>
                          </w:divBdr>
                          <w:divsChild>
                            <w:div w:id="764153424">
                              <w:marLeft w:val="0"/>
                              <w:marRight w:val="0"/>
                              <w:marTop w:val="0"/>
                              <w:marBottom w:val="0"/>
                              <w:divBdr>
                                <w:top w:val="none" w:sz="0" w:space="0" w:color="auto"/>
                                <w:left w:val="none" w:sz="0" w:space="0" w:color="auto"/>
                                <w:bottom w:val="none" w:sz="0" w:space="0" w:color="auto"/>
                                <w:right w:val="none" w:sz="0" w:space="0" w:color="auto"/>
                              </w:divBdr>
                              <w:divsChild>
                                <w:div w:id="15323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0007">
                          <w:marLeft w:val="0"/>
                          <w:marRight w:val="0"/>
                          <w:marTop w:val="0"/>
                          <w:marBottom w:val="0"/>
                          <w:divBdr>
                            <w:top w:val="none" w:sz="0" w:space="0" w:color="auto"/>
                            <w:left w:val="none" w:sz="0" w:space="0" w:color="auto"/>
                            <w:bottom w:val="none" w:sz="0" w:space="0" w:color="auto"/>
                            <w:right w:val="none" w:sz="0" w:space="0" w:color="auto"/>
                          </w:divBdr>
                          <w:divsChild>
                            <w:div w:id="405735371">
                              <w:marLeft w:val="0"/>
                              <w:marRight w:val="0"/>
                              <w:marTop w:val="0"/>
                              <w:marBottom w:val="0"/>
                              <w:divBdr>
                                <w:top w:val="none" w:sz="0" w:space="0" w:color="auto"/>
                                <w:left w:val="none" w:sz="0" w:space="0" w:color="auto"/>
                                <w:bottom w:val="none" w:sz="0" w:space="0" w:color="auto"/>
                                <w:right w:val="none" w:sz="0" w:space="0" w:color="auto"/>
                              </w:divBdr>
                              <w:divsChild>
                                <w:div w:id="946691186">
                                  <w:marLeft w:val="0"/>
                                  <w:marRight w:val="0"/>
                                  <w:marTop w:val="0"/>
                                  <w:marBottom w:val="0"/>
                                  <w:divBdr>
                                    <w:top w:val="none" w:sz="0" w:space="0" w:color="auto"/>
                                    <w:left w:val="none" w:sz="0" w:space="0" w:color="auto"/>
                                    <w:bottom w:val="none" w:sz="0" w:space="0" w:color="auto"/>
                                    <w:right w:val="none" w:sz="0" w:space="0" w:color="auto"/>
                                  </w:divBdr>
                                  <w:divsChild>
                                    <w:div w:id="14499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2030">
              <w:marLeft w:val="0"/>
              <w:marRight w:val="0"/>
              <w:marTop w:val="0"/>
              <w:marBottom w:val="0"/>
              <w:divBdr>
                <w:top w:val="none" w:sz="0" w:space="0" w:color="auto"/>
                <w:left w:val="none" w:sz="0" w:space="0" w:color="auto"/>
                <w:bottom w:val="none" w:sz="0" w:space="0" w:color="auto"/>
                <w:right w:val="none" w:sz="0" w:space="0" w:color="auto"/>
              </w:divBdr>
              <w:divsChild>
                <w:div w:id="1665165348">
                  <w:marLeft w:val="0"/>
                  <w:marRight w:val="0"/>
                  <w:marTop w:val="0"/>
                  <w:marBottom w:val="0"/>
                  <w:divBdr>
                    <w:top w:val="none" w:sz="0" w:space="0" w:color="auto"/>
                    <w:left w:val="none" w:sz="0" w:space="0" w:color="auto"/>
                    <w:bottom w:val="none" w:sz="0" w:space="0" w:color="auto"/>
                    <w:right w:val="none" w:sz="0" w:space="0" w:color="auto"/>
                  </w:divBdr>
                  <w:divsChild>
                    <w:div w:id="6450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39315">
          <w:marLeft w:val="0"/>
          <w:marRight w:val="0"/>
          <w:marTop w:val="0"/>
          <w:marBottom w:val="0"/>
          <w:divBdr>
            <w:top w:val="none" w:sz="0" w:space="0" w:color="auto"/>
            <w:left w:val="none" w:sz="0" w:space="0" w:color="auto"/>
            <w:bottom w:val="none" w:sz="0" w:space="0" w:color="auto"/>
            <w:right w:val="none" w:sz="0" w:space="0" w:color="auto"/>
          </w:divBdr>
          <w:divsChild>
            <w:div w:id="986082860">
              <w:marLeft w:val="0"/>
              <w:marRight w:val="0"/>
              <w:marTop w:val="0"/>
              <w:marBottom w:val="0"/>
              <w:divBdr>
                <w:top w:val="none" w:sz="0" w:space="0" w:color="auto"/>
                <w:left w:val="none" w:sz="0" w:space="0" w:color="auto"/>
                <w:bottom w:val="none" w:sz="0" w:space="0" w:color="auto"/>
                <w:right w:val="none" w:sz="0" w:space="0" w:color="auto"/>
              </w:divBdr>
              <w:divsChild>
                <w:div w:id="1154834177">
                  <w:marLeft w:val="0"/>
                  <w:marRight w:val="0"/>
                  <w:marTop w:val="0"/>
                  <w:marBottom w:val="0"/>
                  <w:divBdr>
                    <w:top w:val="none" w:sz="0" w:space="0" w:color="auto"/>
                    <w:left w:val="none" w:sz="0" w:space="0" w:color="auto"/>
                    <w:bottom w:val="none" w:sz="0" w:space="0" w:color="auto"/>
                    <w:right w:val="none" w:sz="0" w:space="0" w:color="auto"/>
                  </w:divBdr>
                  <w:divsChild>
                    <w:div w:id="1681393053">
                      <w:marLeft w:val="0"/>
                      <w:marRight w:val="0"/>
                      <w:marTop w:val="0"/>
                      <w:marBottom w:val="0"/>
                      <w:divBdr>
                        <w:top w:val="none" w:sz="0" w:space="0" w:color="auto"/>
                        <w:left w:val="none" w:sz="0" w:space="0" w:color="auto"/>
                        <w:bottom w:val="none" w:sz="0" w:space="0" w:color="auto"/>
                        <w:right w:val="none" w:sz="0" w:space="0" w:color="auto"/>
                      </w:divBdr>
                      <w:divsChild>
                        <w:div w:id="92632972">
                          <w:marLeft w:val="0"/>
                          <w:marRight w:val="0"/>
                          <w:marTop w:val="0"/>
                          <w:marBottom w:val="0"/>
                          <w:divBdr>
                            <w:top w:val="none" w:sz="0" w:space="0" w:color="auto"/>
                            <w:left w:val="none" w:sz="0" w:space="0" w:color="auto"/>
                            <w:bottom w:val="none" w:sz="0" w:space="0" w:color="auto"/>
                            <w:right w:val="none" w:sz="0" w:space="0" w:color="auto"/>
                          </w:divBdr>
                          <w:divsChild>
                            <w:div w:id="759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2">
                      <w:marLeft w:val="0"/>
                      <w:marRight w:val="0"/>
                      <w:marTop w:val="0"/>
                      <w:marBottom w:val="0"/>
                      <w:divBdr>
                        <w:top w:val="none" w:sz="0" w:space="0" w:color="auto"/>
                        <w:left w:val="none" w:sz="0" w:space="0" w:color="auto"/>
                        <w:bottom w:val="none" w:sz="0" w:space="0" w:color="auto"/>
                        <w:right w:val="none" w:sz="0" w:space="0" w:color="auto"/>
                      </w:divBdr>
                      <w:divsChild>
                        <w:div w:id="1193567406">
                          <w:marLeft w:val="0"/>
                          <w:marRight w:val="0"/>
                          <w:marTop w:val="0"/>
                          <w:marBottom w:val="0"/>
                          <w:divBdr>
                            <w:top w:val="none" w:sz="0" w:space="0" w:color="auto"/>
                            <w:left w:val="none" w:sz="0" w:space="0" w:color="auto"/>
                            <w:bottom w:val="none" w:sz="0" w:space="0" w:color="auto"/>
                            <w:right w:val="none" w:sz="0" w:space="0" w:color="auto"/>
                          </w:divBdr>
                          <w:divsChild>
                            <w:div w:id="522085969">
                              <w:marLeft w:val="0"/>
                              <w:marRight w:val="0"/>
                              <w:marTop w:val="0"/>
                              <w:marBottom w:val="0"/>
                              <w:divBdr>
                                <w:top w:val="none" w:sz="0" w:space="0" w:color="auto"/>
                                <w:left w:val="none" w:sz="0" w:space="0" w:color="auto"/>
                                <w:bottom w:val="none" w:sz="0" w:space="0" w:color="auto"/>
                                <w:right w:val="none" w:sz="0" w:space="0" w:color="auto"/>
                              </w:divBdr>
                              <w:divsChild>
                                <w:div w:id="122701222">
                                  <w:marLeft w:val="0"/>
                                  <w:marRight w:val="0"/>
                                  <w:marTop w:val="0"/>
                                  <w:marBottom w:val="0"/>
                                  <w:divBdr>
                                    <w:top w:val="none" w:sz="0" w:space="0" w:color="auto"/>
                                    <w:left w:val="none" w:sz="0" w:space="0" w:color="auto"/>
                                    <w:bottom w:val="none" w:sz="0" w:space="0" w:color="auto"/>
                                    <w:right w:val="none" w:sz="0" w:space="0" w:color="auto"/>
                                  </w:divBdr>
                                  <w:divsChild>
                                    <w:div w:id="13732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871970">
      <w:bodyDiv w:val="1"/>
      <w:marLeft w:val="0"/>
      <w:marRight w:val="0"/>
      <w:marTop w:val="0"/>
      <w:marBottom w:val="0"/>
      <w:divBdr>
        <w:top w:val="none" w:sz="0" w:space="0" w:color="auto"/>
        <w:left w:val="none" w:sz="0" w:space="0" w:color="auto"/>
        <w:bottom w:val="none" w:sz="0" w:space="0" w:color="auto"/>
        <w:right w:val="none" w:sz="0" w:space="0" w:color="auto"/>
      </w:divBdr>
    </w:div>
    <w:div w:id="1584410411">
      <w:bodyDiv w:val="1"/>
      <w:marLeft w:val="0"/>
      <w:marRight w:val="0"/>
      <w:marTop w:val="0"/>
      <w:marBottom w:val="0"/>
      <w:divBdr>
        <w:top w:val="none" w:sz="0" w:space="0" w:color="auto"/>
        <w:left w:val="none" w:sz="0" w:space="0" w:color="auto"/>
        <w:bottom w:val="none" w:sz="0" w:space="0" w:color="auto"/>
        <w:right w:val="none" w:sz="0" w:space="0" w:color="auto"/>
      </w:divBdr>
    </w:div>
    <w:div w:id="1587614174">
      <w:bodyDiv w:val="1"/>
      <w:marLeft w:val="0"/>
      <w:marRight w:val="0"/>
      <w:marTop w:val="0"/>
      <w:marBottom w:val="0"/>
      <w:divBdr>
        <w:top w:val="none" w:sz="0" w:space="0" w:color="auto"/>
        <w:left w:val="none" w:sz="0" w:space="0" w:color="auto"/>
        <w:bottom w:val="none" w:sz="0" w:space="0" w:color="auto"/>
        <w:right w:val="none" w:sz="0" w:space="0" w:color="auto"/>
      </w:divBdr>
    </w:div>
    <w:div w:id="1613171185">
      <w:bodyDiv w:val="1"/>
      <w:marLeft w:val="0"/>
      <w:marRight w:val="0"/>
      <w:marTop w:val="0"/>
      <w:marBottom w:val="0"/>
      <w:divBdr>
        <w:top w:val="none" w:sz="0" w:space="0" w:color="auto"/>
        <w:left w:val="none" w:sz="0" w:space="0" w:color="auto"/>
        <w:bottom w:val="none" w:sz="0" w:space="0" w:color="auto"/>
        <w:right w:val="none" w:sz="0" w:space="0" w:color="auto"/>
      </w:divBdr>
    </w:div>
    <w:div w:id="1653558886">
      <w:bodyDiv w:val="1"/>
      <w:marLeft w:val="0"/>
      <w:marRight w:val="0"/>
      <w:marTop w:val="0"/>
      <w:marBottom w:val="0"/>
      <w:divBdr>
        <w:top w:val="none" w:sz="0" w:space="0" w:color="auto"/>
        <w:left w:val="none" w:sz="0" w:space="0" w:color="auto"/>
        <w:bottom w:val="none" w:sz="0" w:space="0" w:color="auto"/>
        <w:right w:val="none" w:sz="0" w:space="0" w:color="auto"/>
      </w:divBdr>
    </w:div>
    <w:div w:id="1692534510">
      <w:bodyDiv w:val="1"/>
      <w:marLeft w:val="0"/>
      <w:marRight w:val="0"/>
      <w:marTop w:val="0"/>
      <w:marBottom w:val="0"/>
      <w:divBdr>
        <w:top w:val="none" w:sz="0" w:space="0" w:color="auto"/>
        <w:left w:val="none" w:sz="0" w:space="0" w:color="auto"/>
        <w:bottom w:val="none" w:sz="0" w:space="0" w:color="auto"/>
        <w:right w:val="none" w:sz="0" w:space="0" w:color="auto"/>
      </w:divBdr>
    </w:div>
    <w:div w:id="1730759450">
      <w:bodyDiv w:val="1"/>
      <w:marLeft w:val="0"/>
      <w:marRight w:val="0"/>
      <w:marTop w:val="0"/>
      <w:marBottom w:val="0"/>
      <w:divBdr>
        <w:top w:val="none" w:sz="0" w:space="0" w:color="auto"/>
        <w:left w:val="none" w:sz="0" w:space="0" w:color="auto"/>
        <w:bottom w:val="none" w:sz="0" w:space="0" w:color="auto"/>
        <w:right w:val="none" w:sz="0" w:space="0" w:color="auto"/>
      </w:divBdr>
    </w:div>
    <w:div w:id="1732923972">
      <w:bodyDiv w:val="1"/>
      <w:marLeft w:val="0"/>
      <w:marRight w:val="0"/>
      <w:marTop w:val="0"/>
      <w:marBottom w:val="0"/>
      <w:divBdr>
        <w:top w:val="none" w:sz="0" w:space="0" w:color="auto"/>
        <w:left w:val="none" w:sz="0" w:space="0" w:color="auto"/>
        <w:bottom w:val="none" w:sz="0" w:space="0" w:color="auto"/>
        <w:right w:val="none" w:sz="0" w:space="0" w:color="auto"/>
      </w:divBdr>
    </w:div>
    <w:div w:id="1869565148">
      <w:bodyDiv w:val="1"/>
      <w:marLeft w:val="0"/>
      <w:marRight w:val="0"/>
      <w:marTop w:val="0"/>
      <w:marBottom w:val="0"/>
      <w:divBdr>
        <w:top w:val="none" w:sz="0" w:space="0" w:color="auto"/>
        <w:left w:val="none" w:sz="0" w:space="0" w:color="auto"/>
        <w:bottom w:val="none" w:sz="0" w:space="0" w:color="auto"/>
        <w:right w:val="none" w:sz="0" w:space="0" w:color="auto"/>
      </w:divBdr>
    </w:div>
    <w:div w:id="1909337015">
      <w:bodyDiv w:val="1"/>
      <w:marLeft w:val="0"/>
      <w:marRight w:val="0"/>
      <w:marTop w:val="0"/>
      <w:marBottom w:val="0"/>
      <w:divBdr>
        <w:top w:val="none" w:sz="0" w:space="0" w:color="auto"/>
        <w:left w:val="none" w:sz="0" w:space="0" w:color="auto"/>
        <w:bottom w:val="none" w:sz="0" w:space="0" w:color="auto"/>
        <w:right w:val="none" w:sz="0" w:space="0" w:color="auto"/>
      </w:divBdr>
    </w:div>
    <w:div w:id="1950549931">
      <w:bodyDiv w:val="1"/>
      <w:marLeft w:val="0"/>
      <w:marRight w:val="0"/>
      <w:marTop w:val="0"/>
      <w:marBottom w:val="0"/>
      <w:divBdr>
        <w:top w:val="none" w:sz="0" w:space="0" w:color="auto"/>
        <w:left w:val="none" w:sz="0" w:space="0" w:color="auto"/>
        <w:bottom w:val="none" w:sz="0" w:space="0" w:color="auto"/>
        <w:right w:val="none" w:sz="0" w:space="0" w:color="auto"/>
      </w:divBdr>
    </w:div>
    <w:div w:id="2067679814">
      <w:bodyDiv w:val="1"/>
      <w:marLeft w:val="0"/>
      <w:marRight w:val="0"/>
      <w:marTop w:val="0"/>
      <w:marBottom w:val="0"/>
      <w:divBdr>
        <w:top w:val="none" w:sz="0" w:space="0" w:color="auto"/>
        <w:left w:val="none" w:sz="0" w:space="0" w:color="auto"/>
        <w:bottom w:val="none" w:sz="0" w:space="0" w:color="auto"/>
        <w:right w:val="none" w:sz="0" w:space="0" w:color="auto"/>
      </w:divBdr>
      <w:divsChild>
        <w:div w:id="207306998">
          <w:marLeft w:val="0"/>
          <w:marRight w:val="0"/>
          <w:marTop w:val="0"/>
          <w:marBottom w:val="0"/>
          <w:divBdr>
            <w:top w:val="none" w:sz="0" w:space="0" w:color="auto"/>
            <w:left w:val="none" w:sz="0" w:space="0" w:color="auto"/>
            <w:bottom w:val="none" w:sz="0" w:space="0" w:color="auto"/>
            <w:right w:val="none" w:sz="0" w:space="0" w:color="auto"/>
          </w:divBdr>
          <w:divsChild>
            <w:div w:id="640037758">
              <w:marLeft w:val="0"/>
              <w:marRight w:val="0"/>
              <w:marTop w:val="0"/>
              <w:marBottom w:val="0"/>
              <w:divBdr>
                <w:top w:val="none" w:sz="0" w:space="0" w:color="auto"/>
                <w:left w:val="none" w:sz="0" w:space="0" w:color="auto"/>
                <w:bottom w:val="none" w:sz="0" w:space="0" w:color="auto"/>
                <w:right w:val="none" w:sz="0" w:space="0" w:color="auto"/>
              </w:divBdr>
              <w:divsChild>
                <w:div w:id="249970730">
                  <w:marLeft w:val="0"/>
                  <w:marRight w:val="0"/>
                  <w:marTop w:val="0"/>
                  <w:marBottom w:val="0"/>
                  <w:divBdr>
                    <w:top w:val="none" w:sz="0" w:space="0" w:color="auto"/>
                    <w:left w:val="none" w:sz="0" w:space="0" w:color="auto"/>
                    <w:bottom w:val="none" w:sz="0" w:space="0" w:color="auto"/>
                    <w:right w:val="none" w:sz="0" w:space="0" w:color="auto"/>
                  </w:divBdr>
                  <w:divsChild>
                    <w:div w:id="519051072">
                      <w:marLeft w:val="0"/>
                      <w:marRight w:val="0"/>
                      <w:marTop w:val="0"/>
                      <w:marBottom w:val="0"/>
                      <w:divBdr>
                        <w:top w:val="none" w:sz="0" w:space="0" w:color="auto"/>
                        <w:left w:val="none" w:sz="0" w:space="0" w:color="auto"/>
                        <w:bottom w:val="none" w:sz="0" w:space="0" w:color="auto"/>
                        <w:right w:val="none" w:sz="0" w:space="0" w:color="auto"/>
                      </w:divBdr>
                      <w:divsChild>
                        <w:div w:id="1992782853">
                          <w:marLeft w:val="0"/>
                          <w:marRight w:val="0"/>
                          <w:marTop w:val="0"/>
                          <w:marBottom w:val="0"/>
                          <w:divBdr>
                            <w:top w:val="none" w:sz="0" w:space="0" w:color="auto"/>
                            <w:left w:val="none" w:sz="0" w:space="0" w:color="auto"/>
                            <w:bottom w:val="none" w:sz="0" w:space="0" w:color="auto"/>
                            <w:right w:val="none" w:sz="0" w:space="0" w:color="auto"/>
                          </w:divBdr>
                          <w:divsChild>
                            <w:div w:id="2026512956">
                              <w:marLeft w:val="0"/>
                              <w:marRight w:val="0"/>
                              <w:marTop w:val="0"/>
                              <w:marBottom w:val="0"/>
                              <w:divBdr>
                                <w:top w:val="none" w:sz="0" w:space="0" w:color="auto"/>
                                <w:left w:val="none" w:sz="0" w:space="0" w:color="auto"/>
                                <w:bottom w:val="none" w:sz="0" w:space="0" w:color="auto"/>
                                <w:right w:val="none" w:sz="0" w:space="0" w:color="auto"/>
                              </w:divBdr>
                              <w:divsChild>
                                <w:div w:id="7740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7064">
                          <w:marLeft w:val="0"/>
                          <w:marRight w:val="0"/>
                          <w:marTop w:val="0"/>
                          <w:marBottom w:val="0"/>
                          <w:divBdr>
                            <w:top w:val="none" w:sz="0" w:space="0" w:color="auto"/>
                            <w:left w:val="none" w:sz="0" w:space="0" w:color="auto"/>
                            <w:bottom w:val="none" w:sz="0" w:space="0" w:color="auto"/>
                            <w:right w:val="none" w:sz="0" w:space="0" w:color="auto"/>
                          </w:divBdr>
                          <w:divsChild>
                            <w:div w:id="760688023">
                              <w:marLeft w:val="0"/>
                              <w:marRight w:val="0"/>
                              <w:marTop w:val="0"/>
                              <w:marBottom w:val="0"/>
                              <w:divBdr>
                                <w:top w:val="none" w:sz="0" w:space="0" w:color="auto"/>
                                <w:left w:val="none" w:sz="0" w:space="0" w:color="auto"/>
                                <w:bottom w:val="none" w:sz="0" w:space="0" w:color="auto"/>
                                <w:right w:val="none" w:sz="0" w:space="0" w:color="auto"/>
                              </w:divBdr>
                              <w:divsChild>
                                <w:div w:id="1287926058">
                                  <w:marLeft w:val="0"/>
                                  <w:marRight w:val="0"/>
                                  <w:marTop w:val="0"/>
                                  <w:marBottom w:val="0"/>
                                  <w:divBdr>
                                    <w:top w:val="none" w:sz="0" w:space="0" w:color="auto"/>
                                    <w:left w:val="none" w:sz="0" w:space="0" w:color="auto"/>
                                    <w:bottom w:val="none" w:sz="0" w:space="0" w:color="auto"/>
                                    <w:right w:val="none" w:sz="0" w:space="0" w:color="auto"/>
                                  </w:divBdr>
                                  <w:divsChild>
                                    <w:div w:id="2586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8044">
              <w:marLeft w:val="0"/>
              <w:marRight w:val="0"/>
              <w:marTop w:val="0"/>
              <w:marBottom w:val="0"/>
              <w:divBdr>
                <w:top w:val="none" w:sz="0" w:space="0" w:color="auto"/>
                <w:left w:val="none" w:sz="0" w:space="0" w:color="auto"/>
                <w:bottom w:val="none" w:sz="0" w:space="0" w:color="auto"/>
                <w:right w:val="none" w:sz="0" w:space="0" w:color="auto"/>
              </w:divBdr>
              <w:divsChild>
                <w:div w:id="1308589618">
                  <w:marLeft w:val="0"/>
                  <w:marRight w:val="0"/>
                  <w:marTop w:val="0"/>
                  <w:marBottom w:val="0"/>
                  <w:divBdr>
                    <w:top w:val="none" w:sz="0" w:space="0" w:color="auto"/>
                    <w:left w:val="none" w:sz="0" w:space="0" w:color="auto"/>
                    <w:bottom w:val="none" w:sz="0" w:space="0" w:color="auto"/>
                    <w:right w:val="none" w:sz="0" w:space="0" w:color="auto"/>
                  </w:divBdr>
                  <w:divsChild>
                    <w:div w:id="28839208">
                      <w:marLeft w:val="0"/>
                      <w:marRight w:val="0"/>
                      <w:marTop w:val="0"/>
                      <w:marBottom w:val="0"/>
                      <w:divBdr>
                        <w:top w:val="none" w:sz="0" w:space="0" w:color="auto"/>
                        <w:left w:val="none" w:sz="0" w:space="0" w:color="auto"/>
                        <w:bottom w:val="none" w:sz="0" w:space="0" w:color="auto"/>
                        <w:right w:val="none" w:sz="0" w:space="0" w:color="auto"/>
                      </w:divBdr>
                      <w:divsChild>
                        <w:div w:id="116262000">
                          <w:marLeft w:val="0"/>
                          <w:marRight w:val="0"/>
                          <w:marTop w:val="0"/>
                          <w:marBottom w:val="0"/>
                          <w:divBdr>
                            <w:top w:val="none" w:sz="0" w:space="0" w:color="auto"/>
                            <w:left w:val="none" w:sz="0" w:space="0" w:color="auto"/>
                            <w:bottom w:val="none" w:sz="0" w:space="0" w:color="auto"/>
                            <w:right w:val="none" w:sz="0" w:space="0" w:color="auto"/>
                          </w:divBdr>
                          <w:divsChild>
                            <w:div w:id="10764050">
                              <w:marLeft w:val="0"/>
                              <w:marRight w:val="0"/>
                              <w:marTop w:val="0"/>
                              <w:marBottom w:val="0"/>
                              <w:divBdr>
                                <w:top w:val="none" w:sz="0" w:space="0" w:color="auto"/>
                                <w:left w:val="none" w:sz="0" w:space="0" w:color="auto"/>
                                <w:bottom w:val="none" w:sz="0" w:space="0" w:color="auto"/>
                                <w:right w:val="none" w:sz="0" w:space="0" w:color="auto"/>
                              </w:divBdr>
                              <w:divsChild>
                                <w:div w:id="318534961">
                                  <w:marLeft w:val="0"/>
                                  <w:marRight w:val="0"/>
                                  <w:marTop w:val="0"/>
                                  <w:marBottom w:val="0"/>
                                  <w:divBdr>
                                    <w:top w:val="none" w:sz="0" w:space="0" w:color="auto"/>
                                    <w:left w:val="none" w:sz="0" w:space="0" w:color="auto"/>
                                    <w:bottom w:val="none" w:sz="0" w:space="0" w:color="auto"/>
                                    <w:right w:val="none" w:sz="0" w:space="0" w:color="auto"/>
                                  </w:divBdr>
                                </w:div>
                              </w:divsChild>
                            </w:div>
                            <w:div w:id="551355332">
                              <w:marLeft w:val="0"/>
                              <w:marRight w:val="0"/>
                              <w:marTop w:val="0"/>
                              <w:marBottom w:val="0"/>
                              <w:divBdr>
                                <w:top w:val="none" w:sz="0" w:space="0" w:color="auto"/>
                                <w:left w:val="none" w:sz="0" w:space="0" w:color="auto"/>
                                <w:bottom w:val="none" w:sz="0" w:space="0" w:color="auto"/>
                                <w:right w:val="none" w:sz="0" w:space="0" w:color="auto"/>
                              </w:divBdr>
                            </w:div>
                          </w:divsChild>
                        </w:div>
                        <w:div w:id="1126587085">
                          <w:marLeft w:val="0"/>
                          <w:marRight w:val="0"/>
                          <w:marTop w:val="0"/>
                          <w:marBottom w:val="0"/>
                          <w:divBdr>
                            <w:top w:val="none" w:sz="0" w:space="0" w:color="auto"/>
                            <w:left w:val="none" w:sz="0" w:space="0" w:color="auto"/>
                            <w:bottom w:val="none" w:sz="0" w:space="0" w:color="auto"/>
                            <w:right w:val="none" w:sz="0" w:space="0" w:color="auto"/>
                          </w:divBdr>
                          <w:divsChild>
                            <w:div w:id="1936134093">
                              <w:marLeft w:val="0"/>
                              <w:marRight w:val="0"/>
                              <w:marTop w:val="0"/>
                              <w:marBottom w:val="0"/>
                              <w:divBdr>
                                <w:top w:val="none" w:sz="0" w:space="0" w:color="auto"/>
                                <w:left w:val="none" w:sz="0" w:space="0" w:color="auto"/>
                                <w:bottom w:val="none" w:sz="0" w:space="0" w:color="auto"/>
                                <w:right w:val="none" w:sz="0" w:space="0" w:color="auto"/>
                              </w:divBdr>
                              <w:divsChild>
                                <w:div w:id="14121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636935">
              <w:marLeft w:val="0"/>
              <w:marRight w:val="0"/>
              <w:marTop w:val="0"/>
              <w:marBottom w:val="0"/>
              <w:divBdr>
                <w:top w:val="none" w:sz="0" w:space="0" w:color="auto"/>
                <w:left w:val="none" w:sz="0" w:space="0" w:color="auto"/>
                <w:bottom w:val="none" w:sz="0" w:space="0" w:color="auto"/>
                <w:right w:val="none" w:sz="0" w:space="0" w:color="auto"/>
              </w:divBdr>
              <w:divsChild>
                <w:div w:id="958493888">
                  <w:marLeft w:val="0"/>
                  <w:marRight w:val="0"/>
                  <w:marTop w:val="0"/>
                  <w:marBottom w:val="0"/>
                  <w:divBdr>
                    <w:top w:val="none" w:sz="0" w:space="0" w:color="auto"/>
                    <w:left w:val="none" w:sz="0" w:space="0" w:color="auto"/>
                    <w:bottom w:val="none" w:sz="0" w:space="0" w:color="auto"/>
                    <w:right w:val="none" w:sz="0" w:space="0" w:color="auto"/>
                  </w:divBdr>
                  <w:divsChild>
                    <w:div w:id="1428497228">
                      <w:marLeft w:val="0"/>
                      <w:marRight w:val="0"/>
                      <w:marTop w:val="0"/>
                      <w:marBottom w:val="0"/>
                      <w:divBdr>
                        <w:top w:val="none" w:sz="0" w:space="0" w:color="auto"/>
                        <w:left w:val="none" w:sz="0" w:space="0" w:color="auto"/>
                        <w:bottom w:val="none" w:sz="0" w:space="0" w:color="auto"/>
                        <w:right w:val="none" w:sz="0" w:space="0" w:color="auto"/>
                      </w:divBdr>
                      <w:divsChild>
                        <w:div w:id="418720612">
                          <w:marLeft w:val="0"/>
                          <w:marRight w:val="0"/>
                          <w:marTop w:val="0"/>
                          <w:marBottom w:val="0"/>
                          <w:divBdr>
                            <w:top w:val="none" w:sz="0" w:space="0" w:color="auto"/>
                            <w:left w:val="none" w:sz="0" w:space="0" w:color="auto"/>
                            <w:bottom w:val="none" w:sz="0" w:space="0" w:color="auto"/>
                            <w:right w:val="none" w:sz="0" w:space="0" w:color="auto"/>
                          </w:divBdr>
                          <w:divsChild>
                            <w:div w:id="1099830331">
                              <w:marLeft w:val="0"/>
                              <w:marRight w:val="0"/>
                              <w:marTop w:val="0"/>
                              <w:marBottom w:val="0"/>
                              <w:divBdr>
                                <w:top w:val="none" w:sz="0" w:space="0" w:color="auto"/>
                                <w:left w:val="none" w:sz="0" w:space="0" w:color="auto"/>
                                <w:bottom w:val="none" w:sz="0" w:space="0" w:color="auto"/>
                                <w:right w:val="none" w:sz="0" w:space="0" w:color="auto"/>
                              </w:divBdr>
                              <w:divsChild>
                                <w:div w:id="4505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7436">
                          <w:marLeft w:val="0"/>
                          <w:marRight w:val="0"/>
                          <w:marTop w:val="0"/>
                          <w:marBottom w:val="0"/>
                          <w:divBdr>
                            <w:top w:val="none" w:sz="0" w:space="0" w:color="auto"/>
                            <w:left w:val="none" w:sz="0" w:space="0" w:color="auto"/>
                            <w:bottom w:val="none" w:sz="0" w:space="0" w:color="auto"/>
                            <w:right w:val="none" w:sz="0" w:space="0" w:color="auto"/>
                          </w:divBdr>
                          <w:divsChild>
                            <w:div w:id="732390955">
                              <w:marLeft w:val="0"/>
                              <w:marRight w:val="0"/>
                              <w:marTop w:val="0"/>
                              <w:marBottom w:val="0"/>
                              <w:divBdr>
                                <w:top w:val="none" w:sz="0" w:space="0" w:color="auto"/>
                                <w:left w:val="none" w:sz="0" w:space="0" w:color="auto"/>
                                <w:bottom w:val="none" w:sz="0" w:space="0" w:color="auto"/>
                                <w:right w:val="none" w:sz="0" w:space="0" w:color="auto"/>
                              </w:divBdr>
                              <w:divsChild>
                                <w:div w:id="48847042">
                                  <w:marLeft w:val="0"/>
                                  <w:marRight w:val="0"/>
                                  <w:marTop w:val="0"/>
                                  <w:marBottom w:val="0"/>
                                  <w:divBdr>
                                    <w:top w:val="none" w:sz="0" w:space="0" w:color="auto"/>
                                    <w:left w:val="none" w:sz="0" w:space="0" w:color="auto"/>
                                    <w:bottom w:val="none" w:sz="0" w:space="0" w:color="auto"/>
                                    <w:right w:val="none" w:sz="0" w:space="0" w:color="auto"/>
                                  </w:divBdr>
                                  <w:divsChild>
                                    <w:div w:id="5336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020441">
              <w:marLeft w:val="0"/>
              <w:marRight w:val="0"/>
              <w:marTop w:val="0"/>
              <w:marBottom w:val="0"/>
              <w:divBdr>
                <w:top w:val="none" w:sz="0" w:space="0" w:color="auto"/>
                <w:left w:val="none" w:sz="0" w:space="0" w:color="auto"/>
                <w:bottom w:val="none" w:sz="0" w:space="0" w:color="auto"/>
                <w:right w:val="none" w:sz="0" w:space="0" w:color="auto"/>
              </w:divBdr>
              <w:divsChild>
                <w:div w:id="1993942406">
                  <w:marLeft w:val="0"/>
                  <w:marRight w:val="0"/>
                  <w:marTop w:val="0"/>
                  <w:marBottom w:val="0"/>
                  <w:divBdr>
                    <w:top w:val="none" w:sz="0" w:space="0" w:color="auto"/>
                    <w:left w:val="none" w:sz="0" w:space="0" w:color="auto"/>
                    <w:bottom w:val="none" w:sz="0" w:space="0" w:color="auto"/>
                    <w:right w:val="none" w:sz="0" w:space="0" w:color="auto"/>
                  </w:divBdr>
                  <w:divsChild>
                    <w:div w:id="76950631">
                      <w:marLeft w:val="0"/>
                      <w:marRight w:val="0"/>
                      <w:marTop w:val="0"/>
                      <w:marBottom w:val="0"/>
                      <w:divBdr>
                        <w:top w:val="none" w:sz="0" w:space="0" w:color="auto"/>
                        <w:left w:val="none" w:sz="0" w:space="0" w:color="auto"/>
                        <w:bottom w:val="none" w:sz="0" w:space="0" w:color="auto"/>
                        <w:right w:val="none" w:sz="0" w:space="0" w:color="auto"/>
                      </w:divBdr>
                      <w:divsChild>
                        <w:div w:id="1565137761">
                          <w:marLeft w:val="0"/>
                          <w:marRight w:val="0"/>
                          <w:marTop w:val="0"/>
                          <w:marBottom w:val="0"/>
                          <w:divBdr>
                            <w:top w:val="none" w:sz="0" w:space="0" w:color="auto"/>
                            <w:left w:val="none" w:sz="0" w:space="0" w:color="auto"/>
                            <w:bottom w:val="none" w:sz="0" w:space="0" w:color="auto"/>
                            <w:right w:val="none" w:sz="0" w:space="0" w:color="auto"/>
                          </w:divBdr>
                          <w:divsChild>
                            <w:div w:id="28341912">
                              <w:marLeft w:val="0"/>
                              <w:marRight w:val="0"/>
                              <w:marTop w:val="0"/>
                              <w:marBottom w:val="0"/>
                              <w:divBdr>
                                <w:top w:val="none" w:sz="0" w:space="0" w:color="auto"/>
                                <w:left w:val="none" w:sz="0" w:space="0" w:color="auto"/>
                                <w:bottom w:val="none" w:sz="0" w:space="0" w:color="auto"/>
                                <w:right w:val="none" w:sz="0" w:space="0" w:color="auto"/>
                              </w:divBdr>
                              <w:divsChild>
                                <w:div w:id="1416634040">
                                  <w:marLeft w:val="0"/>
                                  <w:marRight w:val="0"/>
                                  <w:marTop w:val="0"/>
                                  <w:marBottom w:val="0"/>
                                  <w:divBdr>
                                    <w:top w:val="none" w:sz="0" w:space="0" w:color="auto"/>
                                    <w:left w:val="none" w:sz="0" w:space="0" w:color="auto"/>
                                    <w:bottom w:val="none" w:sz="0" w:space="0" w:color="auto"/>
                                    <w:right w:val="none" w:sz="0" w:space="0" w:color="auto"/>
                                  </w:divBdr>
                                </w:div>
                              </w:divsChild>
                            </w:div>
                            <w:div w:id="1383943019">
                              <w:marLeft w:val="0"/>
                              <w:marRight w:val="0"/>
                              <w:marTop w:val="0"/>
                              <w:marBottom w:val="0"/>
                              <w:divBdr>
                                <w:top w:val="none" w:sz="0" w:space="0" w:color="auto"/>
                                <w:left w:val="none" w:sz="0" w:space="0" w:color="auto"/>
                                <w:bottom w:val="none" w:sz="0" w:space="0" w:color="auto"/>
                                <w:right w:val="none" w:sz="0" w:space="0" w:color="auto"/>
                              </w:divBdr>
                            </w:div>
                          </w:divsChild>
                        </w:div>
                        <w:div w:id="238945641">
                          <w:marLeft w:val="0"/>
                          <w:marRight w:val="0"/>
                          <w:marTop w:val="0"/>
                          <w:marBottom w:val="0"/>
                          <w:divBdr>
                            <w:top w:val="none" w:sz="0" w:space="0" w:color="auto"/>
                            <w:left w:val="none" w:sz="0" w:space="0" w:color="auto"/>
                            <w:bottom w:val="none" w:sz="0" w:space="0" w:color="auto"/>
                            <w:right w:val="none" w:sz="0" w:space="0" w:color="auto"/>
                          </w:divBdr>
                          <w:divsChild>
                            <w:div w:id="1100638115">
                              <w:marLeft w:val="0"/>
                              <w:marRight w:val="0"/>
                              <w:marTop w:val="0"/>
                              <w:marBottom w:val="0"/>
                              <w:divBdr>
                                <w:top w:val="none" w:sz="0" w:space="0" w:color="auto"/>
                                <w:left w:val="none" w:sz="0" w:space="0" w:color="auto"/>
                                <w:bottom w:val="none" w:sz="0" w:space="0" w:color="auto"/>
                                <w:right w:val="none" w:sz="0" w:space="0" w:color="auto"/>
                              </w:divBdr>
                              <w:divsChild>
                                <w:div w:id="15566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678209">
              <w:marLeft w:val="0"/>
              <w:marRight w:val="0"/>
              <w:marTop w:val="0"/>
              <w:marBottom w:val="0"/>
              <w:divBdr>
                <w:top w:val="none" w:sz="0" w:space="0" w:color="auto"/>
                <w:left w:val="none" w:sz="0" w:space="0" w:color="auto"/>
                <w:bottom w:val="none" w:sz="0" w:space="0" w:color="auto"/>
                <w:right w:val="none" w:sz="0" w:space="0" w:color="auto"/>
              </w:divBdr>
              <w:divsChild>
                <w:div w:id="67968466">
                  <w:marLeft w:val="0"/>
                  <w:marRight w:val="0"/>
                  <w:marTop w:val="0"/>
                  <w:marBottom w:val="0"/>
                  <w:divBdr>
                    <w:top w:val="none" w:sz="0" w:space="0" w:color="auto"/>
                    <w:left w:val="none" w:sz="0" w:space="0" w:color="auto"/>
                    <w:bottom w:val="none" w:sz="0" w:space="0" w:color="auto"/>
                    <w:right w:val="none" w:sz="0" w:space="0" w:color="auto"/>
                  </w:divBdr>
                  <w:divsChild>
                    <w:div w:id="789543958">
                      <w:marLeft w:val="0"/>
                      <w:marRight w:val="0"/>
                      <w:marTop w:val="0"/>
                      <w:marBottom w:val="0"/>
                      <w:divBdr>
                        <w:top w:val="none" w:sz="0" w:space="0" w:color="auto"/>
                        <w:left w:val="none" w:sz="0" w:space="0" w:color="auto"/>
                        <w:bottom w:val="none" w:sz="0" w:space="0" w:color="auto"/>
                        <w:right w:val="none" w:sz="0" w:space="0" w:color="auto"/>
                      </w:divBdr>
                      <w:divsChild>
                        <w:div w:id="33772024">
                          <w:marLeft w:val="0"/>
                          <w:marRight w:val="0"/>
                          <w:marTop w:val="0"/>
                          <w:marBottom w:val="0"/>
                          <w:divBdr>
                            <w:top w:val="none" w:sz="0" w:space="0" w:color="auto"/>
                            <w:left w:val="none" w:sz="0" w:space="0" w:color="auto"/>
                            <w:bottom w:val="none" w:sz="0" w:space="0" w:color="auto"/>
                            <w:right w:val="none" w:sz="0" w:space="0" w:color="auto"/>
                          </w:divBdr>
                          <w:divsChild>
                            <w:div w:id="690185383">
                              <w:marLeft w:val="0"/>
                              <w:marRight w:val="0"/>
                              <w:marTop w:val="0"/>
                              <w:marBottom w:val="0"/>
                              <w:divBdr>
                                <w:top w:val="none" w:sz="0" w:space="0" w:color="auto"/>
                                <w:left w:val="none" w:sz="0" w:space="0" w:color="auto"/>
                                <w:bottom w:val="none" w:sz="0" w:space="0" w:color="auto"/>
                                <w:right w:val="none" w:sz="0" w:space="0" w:color="auto"/>
                              </w:divBdr>
                              <w:divsChild>
                                <w:div w:id="2010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45670">
                          <w:marLeft w:val="0"/>
                          <w:marRight w:val="0"/>
                          <w:marTop w:val="0"/>
                          <w:marBottom w:val="0"/>
                          <w:divBdr>
                            <w:top w:val="none" w:sz="0" w:space="0" w:color="auto"/>
                            <w:left w:val="none" w:sz="0" w:space="0" w:color="auto"/>
                            <w:bottom w:val="none" w:sz="0" w:space="0" w:color="auto"/>
                            <w:right w:val="none" w:sz="0" w:space="0" w:color="auto"/>
                          </w:divBdr>
                          <w:divsChild>
                            <w:div w:id="2146003751">
                              <w:marLeft w:val="0"/>
                              <w:marRight w:val="0"/>
                              <w:marTop w:val="0"/>
                              <w:marBottom w:val="0"/>
                              <w:divBdr>
                                <w:top w:val="none" w:sz="0" w:space="0" w:color="auto"/>
                                <w:left w:val="none" w:sz="0" w:space="0" w:color="auto"/>
                                <w:bottom w:val="none" w:sz="0" w:space="0" w:color="auto"/>
                                <w:right w:val="none" w:sz="0" w:space="0" w:color="auto"/>
                              </w:divBdr>
                              <w:divsChild>
                                <w:div w:id="2009943189">
                                  <w:marLeft w:val="0"/>
                                  <w:marRight w:val="0"/>
                                  <w:marTop w:val="0"/>
                                  <w:marBottom w:val="0"/>
                                  <w:divBdr>
                                    <w:top w:val="none" w:sz="0" w:space="0" w:color="auto"/>
                                    <w:left w:val="none" w:sz="0" w:space="0" w:color="auto"/>
                                    <w:bottom w:val="none" w:sz="0" w:space="0" w:color="auto"/>
                                    <w:right w:val="none" w:sz="0" w:space="0" w:color="auto"/>
                                  </w:divBdr>
                                  <w:divsChild>
                                    <w:div w:id="9786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14220">
              <w:marLeft w:val="0"/>
              <w:marRight w:val="0"/>
              <w:marTop w:val="0"/>
              <w:marBottom w:val="0"/>
              <w:divBdr>
                <w:top w:val="none" w:sz="0" w:space="0" w:color="auto"/>
                <w:left w:val="none" w:sz="0" w:space="0" w:color="auto"/>
                <w:bottom w:val="none" w:sz="0" w:space="0" w:color="auto"/>
                <w:right w:val="none" w:sz="0" w:space="0" w:color="auto"/>
              </w:divBdr>
              <w:divsChild>
                <w:div w:id="1093549997">
                  <w:marLeft w:val="0"/>
                  <w:marRight w:val="0"/>
                  <w:marTop w:val="0"/>
                  <w:marBottom w:val="0"/>
                  <w:divBdr>
                    <w:top w:val="none" w:sz="0" w:space="0" w:color="auto"/>
                    <w:left w:val="none" w:sz="0" w:space="0" w:color="auto"/>
                    <w:bottom w:val="none" w:sz="0" w:space="0" w:color="auto"/>
                    <w:right w:val="none" w:sz="0" w:space="0" w:color="auto"/>
                  </w:divBdr>
                  <w:divsChild>
                    <w:div w:id="2147042794">
                      <w:marLeft w:val="0"/>
                      <w:marRight w:val="0"/>
                      <w:marTop w:val="0"/>
                      <w:marBottom w:val="0"/>
                      <w:divBdr>
                        <w:top w:val="none" w:sz="0" w:space="0" w:color="auto"/>
                        <w:left w:val="none" w:sz="0" w:space="0" w:color="auto"/>
                        <w:bottom w:val="none" w:sz="0" w:space="0" w:color="auto"/>
                        <w:right w:val="none" w:sz="0" w:space="0" w:color="auto"/>
                      </w:divBdr>
                      <w:divsChild>
                        <w:div w:id="862670044">
                          <w:marLeft w:val="0"/>
                          <w:marRight w:val="0"/>
                          <w:marTop w:val="0"/>
                          <w:marBottom w:val="0"/>
                          <w:divBdr>
                            <w:top w:val="none" w:sz="0" w:space="0" w:color="auto"/>
                            <w:left w:val="none" w:sz="0" w:space="0" w:color="auto"/>
                            <w:bottom w:val="none" w:sz="0" w:space="0" w:color="auto"/>
                            <w:right w:val="none" w:sz="0" w:space="0" w:color="auto"/>
                          </w:divBdr>
                          <w:divsChild>
                            <w:div w:id="386150814">
                              <w:marLeft w:val="0"/>
                              <w:marRight w:val="0"/>
                              <w:marTop w:val="0"/>
                              <w:marBottom w:val="0"/>
                              <w:divBdr>
                                <w:top w:val="none" w:sz="0" w:space="0" w:color="auto"/>
                                <w:left w:val="none" w:sz="0" w:space="0" w:color="auto"/>
                                <w:bottom w:val="none" w:sz="0" w:space="0" w:color="auto"/>
                                <w:right w:val="none" w:sz="0" w:space="0" w:color="auto"/>
                              </w:divBdr>
                              <w:divsChild>
                                <w:div w:id="2103258439">
                                  <w:marLeft w:val="0"/>
                                  <w:marRight w:val="0"/>
                                  <w:marTop w:val="0"/>
                                  <w:marBottom w:val="0"/>
                                  <w:divBdr>
                                    <w:top w:val="none" w:sz="0" w:space="0" w:color="auto"/>
                                    <w:left w:val="none" w:sz="0" w:space="0" w:color="auto"/>
                                    <w:bottom w:val="none" w:sz="0" w:space="0" w:color="auto"/>
                                    <w:right w:val="none" w:sz="0" w:space="0" w:color="auto"/>
                                  </w:divBdr>
                                </w:div>
                              </w:divsChild>
                            </w:div>
                            <w:div w:id="31078021">
                              <w:marLeft w:val="0"/>
                              <w:marRight w:val="0"/>
                              <w:marTop w:val="0"/>
                              <w:marBottom w:val="0"/>
                              <w:divBdr>
                                <w:top w:val="none" w:sz="0" w:space="0" w:color="auto"/>
                                <w:left w:val="none" w:sz="0" w:space="0" w:color="auto"/>
                                <w:bottom w:val="none" w:sz="0" w:space="0" w:color="auto"/>
                                <w:right w:val="none" w:sz="0" w:space="0" w:color="auto"/>
                              </w:divBdr>
                            </w:div>
                          </w:divsChild>
                        </w:div>
                        <w:div w:id="219172349">
                          <w:marLeft w:val="0"/>
                          <w:marRight w:val="0"/>
                          <w:marTop w:val="0"/>
                          <w:marBottom w:val="0"/>
                          <w:divBdr>
                            <w:top w:val="none" w:sz="0" w:space="0" w:color="auto"/>
                            <w:left w:val="none" w:sz="0" w:space="0" w:color="auto"/>
                            <w:bottom w:val="none" w:sz="0" w:space="0" w:color="auto"/>
                            <w:right w:val="none" w:sz="0" w:space="0" w:color="auto"/>
                          </w:divBdr>
                          <w:divsChild>
                            <w:div w:id="856891511">
                              <w:marLeft w:val="0"/>
                              <w:marRight w:val="0"/>
                              <w:marTop w:val="0"/>
                              <w:marBottom w:val="0"/>
                              <w:divBdr>
                                <w:top w:val="none" w:sz="0" w:space="0" w:color="auto"/>
                                <w:left w:val="none" w:sz="0" w:space="0" w:color="auto"/>
                                <w:bottom w:val="none" w:sz="0" w:space="0" w:color="auto"/>
                                <w:right w:val="none" w:sz="0" w:space="0" w:color="auto"/>
                              </w:divBdr>
                              <w:divsChild>
                                <w:div w:id="1097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54449">
              <w:marLeft w:val="0"/>
              <w:marRight w:val="0"/>
              <w:marTop w:val="0"/>
              <w:marBottom w:val="0"/>
              <w:divBdr>
                <w:top w:val="none" w:sz="0" w:space="0" w:color="auto"/>
                <w:left w:val="none" w:sz="0" w:space="0" w:color="auto"/>
                <w:bottom w:val="none" w:sz="0" w:space="0" w:color="auto"/>
                <w:right w:val="none" w:sz="0" w:space="0" w:color="auto"/>
              </w:divBdr>
              <w:divsChild>
                <w:div w:id="1555779336">
                  <w:marLeft w:val="0"/>
                  <w:marRight w:val="0"/>
                  <w:marTop w:val="0"/>
                  <w:marBottom w:val="0"/>
                  <w:divBdr>
                    <w:top w:val="none" w:sz="0" w:space="0" w:color="auto"/>
                    <w:left w:val="none" w:sz="0" w:space="0" w:color="auto"/>
                    <w:bottom w:val="none" w:sz="0" w:space="0" w:color="auto"/>
                    <w:right w:val="none" w:sz="0" w:space="0" w:color="auto"/>
                  </w:divBdr>
                  <w:divsChild>
                    <w:div w:id="968127001">
                      <w:marLeft w:val="0"/>
                      <w:marRight w:val="0"/>
                      <w:marTop w:val="0"/>
                      <w:marBottom w:val="0"/>
                      <w:divBdr>
                        <w:top w:val="none" w:sz="0" w:space="0" w:color="auto"/>
                        <w:left w:val="none" w:sz="0" w:space="0" w:color="auto"/>
                        <w:bottom w:val="none" w:sz="0" w:space="0" w:color="auto"/>
                        <w:right w:val="none" w:sz="0" w:space="0" w:color="auto"/>
                      </w:divBdr>
                      <w:divsChild>
                        <w:div w:id="218981866">
                          <w:marLeft w:val="0"/>
                          <w:marRight w:val="0"/>
                          <w:marTop w:val="0"/>
                          <w:marBottom w:val="0"/>
                          <w:divBdr>
                            <w:top w:val="none" w:sz="0" w:space="0" w:color="auto"/>
                            <w:left w:val="none" w:sz="0" w:space="0" w:color="auto"/>
                            <w:bottom w:val="none" w:sz="0" w:space="0" w:color="auto"/>
                            <w:right w:val="none" w:sz="0" w:space="0" w:color="auto"/>
                          </w:divBdr>
                          <w:divsChild>
                            <w:div w:id="1350254150">
                              <w:marLeft w:val="0"/>
                              <w:marRight w:val="0"/>
                              <w:marTop w:val="0"/>
                              <w:marBottom w:val="0"/>
                              <w:divBdr>
                                <w:top w:val="none" w:sz="0" w:space="0" w:color="auto"/>
                                <w:left w:val="none" w:sz="0" w:space="0" w:color="auto"/>
                                <w:bottom w:val="none" w:sz="0" w:space="0" w:color="auto"/>
                                <w:right w:val="none" w:sz="0" w:space="0" w:color="auto"/>
                              </w:divBdr>
                              <w:divsChild>
                                <w:div w:id="3568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5667">
                          <w:marLeft w:val="0"/>
                          <w:marRight w:val="0"/>
                          <w:marTop w:val="0"/>
                          <w:marBottom w:val="0"/>
                          <w:divBdr>
                            <w:top w:val="none" w:sz="0" w:space="0" w:color="auto"/>
                            <w:left w:val="none" w:sz="0" w:space="0" w:color="auto"/>
                            <w:bottom w:val="none" w:sz="0" w:space="0" w:color="auto"/>
                            <w:right w:val="none" w:sz="0" w:space="0" w:color="auto"/>
                          </w:divBdr>
                          <w:divsChild>
                            <w:div w:id="1299186574">
                              <w:marLeft w:val="0"/>
                              <w:marRight w:val="0"/>
                              <w:marTop w:val="0"/>
                              <w:marBottom w:val="0"/>
                              <w:divBdr>
                                <w:top w:val="none" w:sz="0" w:space="0" w:color="auto"/>
                                <w:left w:val="none" w:sz="0" w:space="0" w:color="auto"/>
                                <w:bottom w:val="none" w:sz="0" w:space="0" w:color="auto"/>
                                <w:right w:val="none" w:sz="0" w:space="0" w:color="auto"/>
                              </w:divBdr>
                              <w:divsChild>
                                <w:div w:id="1982535597">
                                  <w:marLeft w:val="0"/>
                                  <w:marRight w:val="0"/>
                                  <w:marTop w:val="0"/>
                                  <w:marBottom w:val="0"/>
                                  <w:divBdr>
                                    <w:top w:val="none" w:sz="0" w:space="0" w:color="auto"/>
                                    <w:left w:val="none" w:sz="0" w:space="0" w:color="auto"/>
                                    <w:bottom w:val="none" w:sz="0" w:space="0" w:color="auto"/>
                                    <w:right w:val="none" w:sz="0" w:space="0" w:color="auto"/>
                                  </w:divBdr>
                                  <w:divsChild>
                                    <w:div w:id="1627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73322">
              <w:marLeft w:val="0"/>
              <w:marRight w:val="0"/>
              <w:marTop w:val="0"/>
              <w:marBottom w:val="0"/>
              <w:divBdr>
                <w:top w:val="none" w:sz="0" w:space="0" w:color="auto"/>
                <w:left w:val="none" w:sz="0" w:space="0" w:color="auto"/>
                <w:bottom w:val="none" w:sz="0" w:space="0" w:color="auto"/>
                <w:right w:val="none" w:sz="0" w:space="0" w:color="auto"/>
              </w:divBdr>
              <w:divsChild>
                <w:div w:id="1647007839">
                  <w:marLeft w:val="0"/>
                  <w:marRight w:val="0"/>
                  <w:marTop w:val="0"/>
                  <w:marBottom w:val="0"/>
                  <w:divBdr>
                    <w:top w:val="none" w:sz="0" w:space="0" w:color="auto"/>
                    <w:left w:val="none" w:sz="0" w:space="0" w:color="auto"/>
                    <w:bottom w:val="none" w:sz="0" w:space="0" w:color="auto"/>
                    <w:right w:val="none" w:sz="0" w:space="0" w:color="auto"/>
                  </w:divBdr>
                  <w:divsChild>
                    <w:div w:id="1336759932">
                      <w:marLeft w:val="0"/>
                      <w:marRight w:val="0"/>
                      <w:marTop w:val="0"/>
                      <w:marBottom w:val="0"/>
                      <w:divBdr>
                        <w:top w:val="none" w:sz="0" w:space="0" w:color="auto"/>
                        <w:left w:val="none" w:sz="0" w:space="0" w:color="auto"/>
                        <w:bottom w:val="none" w:sz="0" w:space="0" w:color="auto"/>
                        <w:right w:val="none" w:sz="0" w:space="0" w:color="auto"/>
                      </w:divBdr>
                      <w:divsChild>
                        <w:div w:id="2019959666">
                          <w:marLeft w:val="0"/>
                          <w:marRight w:val="0"/>
                          <w:marTop w:val="0"/>
                          <w:marBottom w:val="0"/>
                          <w:divBdr>
                            <w:top w:val="none" w:sz="0" w:space="0" w:color="auto"/>
                            <w:left w:val="none" w:sz="0" w:space="0" w:color="auto"/>
                            <w:bottom w:val="none" w:sz="0" w:space="0" w:color="auto"/>
                            <w:right w:val="none" w:sz="0" w:space="0" w:color="auto"/>
                          </w:divBdr>
                          <w:divsChild>
                            <w:div w:id="260069622">
                              <w:marLeft w:val="0"/>
                              <w:marRight w:val="0"/>
                              <w:marTop w:val="0"/>
                              <w:marBottom w:val="0"/>
                              <w:divBdr>
                                <w:top w:val="none" w:sz="0" w:space="0" w:color="auto"/>
                                <w:left w:val="none" w:sz="0" w:space="0" w:color="auto"/>
                                <w:bottom w:val="none" w:sz="0" w:space="0" w:color="auto"/>
                                <w:right w:val="none" w:sz="0" w:space="0" w:color="auto"/>
                              </w:divBdr>
                              <w:divsChild>
                                <w:div w:id="1068577959">
                                  <w:marLeft w:val="0"/>
                                  <w:marRight w:val="0"/>
                                  <w:marTop w:val="0"/>
                                  <w:marBottom w:val="0"/>
                                  <w:divBdr>
                                    <w:top w:val="none" w:sz="0" w:space="0" w:color="auto"/>
                                    <w:left w:val="none" w:sz="0" w:space="0" w:color="auto"/>
                                    <w:bottom w:val="none" w:sz="0" w:space="0" w:color="auto"/>
                                    <w:right w:val="none" w:sz="0" w:space="0" w:color="auto"/>
                                  </w:divBdr>
                                </w:div>
                              </w:divsChild>
                            </w:div>
                            <w:div w:id="103696736">
                              <w:marLeft w:val="0"/>
                              <w:marRight w:val="0"/>
                              <w:marTop w:val="0"/>
                              <w:marBottom w:val="0"/>
                              <w:divBdr>
                                <w:top w:val="none" w:sz="0" w:space="0" w:color="auto"/>
                                <w:left w:val="none" w:sz="0" w:space="0" w:color="auto"/>
                                <w:bottom w:val="none" w:sz="0" w:space="0" w:color="auto"/>
                                <w:right w:val="none" w:sz="0" w:space="0" w:color="auto"/>
                              </w:divBdr>
                            </w:div>
                          </w:divsChild>
                        </w:div>
                        <w:div w:id="59249871">
                          <w:marLeft w:val="0"/>
                          <w:marRight w:val="0"/>
                          <w:marTop w:val="0"/>
                          <w:marBottom w:val="0"/>
                          <w:divBdr>
                            <w:top w:val="none" w:sz="0" w:space="0" w:color="auto"/>
                            <w:left w:val="none" w:sz="0" w:space="0" w:color="auto"/>
                            <w:bottom w:val="none" w:sz="0" w:space="0" w:color="auto"/>
                            <w:right w:val="none" w:sz="0" w:space="0" w:color="auto"/>
                          </w:divBdr>
                          <w:divsChild>
                            <w:div w:id="267398060">
                              <w:marLeft w:val="0"/>
                              <w:marRight w:val="0"/>
                              <w:marTop w:val="0"/>
                              <w:marBottom w:val="0"/>
                              <w:divBdr>
                                <w:top w:val="none" w:sz="0" w:space="0" w:color="auto"/>
                                <w:left w:val="none" w:sz="0" w:space="0" w:color="auto"/>
                                <w:bottom w:val="none" w:sz="0" w:space="0" w:color="auto"/>
                                <w:right w:val="none" w:sz="0" w:space="0" w:color="auto"/>
                              </w:divBdr>
                              <w:divsChild>
                                <w:div w:id="17521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974528">
              <w:marLeft w:val="0"/>
              <w:marRight w:val="0"/>
              <w:marTop w:val="0"/>
              <w:marBottom w:val="0"/>
              <w:divBdr>
                <w:top w:val="none" w:sz="0" w:space="0" w:color="auto"/>
                <w:left w:val="none" w:sz="0" w:space="0" w:color="auto"/>
                <w:bottom w:val="none" w:sz="0" w:space="0" w:color="auto"/>
                <w:right w:val="none" w:sz="0" w:space="0" w:color="auto"/>
              </w:divBdr>
              <w:divsChild>
                <w:div w:id="1992440832">
                  <w:marLeft w:val="0"/>
                  <w:marRight w:val="0"/>
                  <w:marTop w:val="0"/>
                  <w:marBottom w:val="0"/>
                  <w:divBdr>
                    <w:top w:val="none" w:sz="0" w:space="0" w:color="auto"/>
                    <w:left w:val="none" w:sz="0" w:space="0" w:color="auto"/>
                    <w:bottom w:val="none" w:sz="0" w:space="0" w:color="auto"/>
                    <w:right w:val="none" w:sz="0" w:space="0" w:color="auto"/>
                  </w:divBdr>
                  <w:divsChild>
                    <w:div w:id="177742089">
                      <w:marLeft w:val="0"/>
                      <w:marRight w:val="0"/>
                      <w:marTop w:val="0"/>
                      <w:marBottom w:val="0"/>
                      <w:divBdr>
                        <w:top w:val="none" w:sz="0" w:space="0" w:color="auto"/>
                        <w:left w:val="none" w:sz="0" w:space="0" w:color="auto"/>
                        <w:bottom w:val="none" w:sz="0" w:space="0" w:color="auto"/>
                        <w:right w:val="none" w:sz="0" w:space="0" w:color="auto"/>
                      </w:divBdr>
                      <w:divsChild>
                        <w:div w:id="2079087778">
                          <w:marLeft w:val="0"/>
                          <w:marRight w:val="0"/>
                          <w:marTop w:val="0"/>
                          <w:marBottom w:val="0"/>
                          <w:divBdr>
                            <w:top w:val="none" w:sz="0" w:space="0" w:color="auto"/>
                            <w:left w:val="none" w:sz="0" w:space="0" w:color="auto"/>
                            <w:bottom w:val="none" w:sz="0" w:space="0" w:color="auto"/>
                            <w:right w:val="none" w:sz="0" w:space="0" w:color="auto"/>
                          </w:divBdr>
                          <w:divsChild>
                            <w:div w:id="1521621420">
                              <w:marLeft w:val="0"/>
                              <w:marRight w:val="0"/>
                              <w:marTop w:val="0"/>
                              <w:marBottom w:val="0"/>
                              <w:divBdr>
                                <w:top w:val="none" w:sz="0" w:space="0" w:color="auto"/>
                                <w:left w:val="none" w:sz="0" w:space="0" w:color="auto"/>
                                <w:bottom w:val="none" w:sz="0" w:space="0" w:color="auto"/>
                                <w:right w:val="none" w:sz="0" w:space="0" w:color="auto"/>
                              </w:divBdr>
                              <w:divsChild>
                                <w:div w:id="19408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4648">
                          <w:marLeft w:val="0"/>
                          <w:marRight w:val="0"/>
                          <w:marTop w:val="0"/>
                          <w:marBottom w:val="0"/>
                          <w:divBdr>
                            <w:top w:val="none" w:sz="0" w:space="0" w:color="auto"/>
                            <w:left w:val="none" w:sz="0" w:space="0" w:color="auto"/>
                            <w:bottom w:val="none" w:sz="0" w:space="0" w:color="auto"/>
                            <w:right w:val="none" w:sz="0" w:space="0" w:color="auto"/>
                          </w:divBdr>
                          <w:divsChild>
                            <w:div w:id="1015964435">
                              <w:marLeft w:val="0"/>
                              <w:marRight w:val="0"/>
                              <w:marTop w:val="0"/>
                              <w:marBottom w:val="0"/>
                              <w:divBdr>
                                <w:top w:val="none" w:sz="0" w:space="0" w:color="auto"/>
                                <w:left w:val="none" w:sz="0" w:space="0" w:color="auto"/>
                                <w:bottom w:val="none" w:sz="0" w:space="0" w:color="auto"/>
                                <w:right w:val="none" w:sz="0" w:space="0" w:color="auto"/>
                              </w:divBdr>
                              <w:divsChild>
                                <w:div w:id="1803503729">
                                  <w:marLeft w:val="0"/>
                                  <w:marRight w:val="0"/>
                                  <w:marTop w:val="0"/>
                                  <w:marBottom w:val="0"/>
                                  <w:divBdr>
                                    <w:top w:val="none" w:sz="0" w:space="0" w:color="auto"/>
                                    <w:left w:val="none" w:sz="0" w:space="0" w:color="auto"/>
                                    <w:bottom w:val="none" w:sz="0" w:space="0" w:color="auto"/>
                                    <w:right w:val="none" w:sz="0" w:space="0" w:color="auto"/>
                                  </w:divBdr>
                                  <w:divsChild>
                                    <w:div w:id="16850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4548">
              <w:marLeft w:val="0"/>
              <w:marRight w:val="0"/>
              <w:marTop w:val="0"/>
              <w:marBottom w:val="0"/>
              <w:divBdr>
                <w:top w:val="none" w:sz="0" w:space="0" w:color="auto"/>
                <w:left w:val="none" w:sz="0" w:space="0" w:color="auto"/>
                <w:bottom w:val="none" w:sz="0" w:space="0" w:color="auto"/>
                <w:right w:val="none" w:sz="0" w:space="0" w:color="auto"/>
              </w:divBdr>
              <w:divsChild>
                <w:div w:id="1685982786">
                  <w:marLeft w:val="0"/>
                  <w:marRight w:val="0"/>
                  <w:marTop w:val="0"/>
                  <w:marBottom w:val="0"/>
                  <w:divBdr>
                    <w:top w:val="none" w:sz="0" w:space="0" w:color="auto"/>
                    <w:left w:val="none" w:sz="0" w:space="0" w:color="auto"/>
                    <w:bottom w:val="none" w:sz="0" w:space="0" w:color="auto"/>
                    <w:right w:val="none" w:sz="0" w:space="0" w:color="auto"/>
                  </w:divBdr>
                  <w:divsChild>
                    <w:div w:id="1866095588">
                      <w:marLeft w:val="0"/>
                      <w:marRight w:val="0"/>
                      <w:marTop w:val="0"/>
                      <w:marBottom w:val="0"/>
                      <w:divBdr>
                        <w:top w:val="none" w:sz="0" w:space="0" w:color="auto"/>
                        <w:left w:val="none" w:sz="0" w:space="0" w:color="auto"/>
                        <w:bottom w:val="none" w:sz="0" w:space="0" w:color="auto"/>
                        <w:right w:val="none" w:sz="0" w:space="0" w:color="auto"/>
                      </w:divBdr>
                      <w:divsChild>
                        <w:div w:id="818616331">
                          <w:marLeft w:val="0"/>
                          <w:marRight w:val="0"/>
                          <w:marTop w:val="0"/>
                          <w:marBottom w:val="0"/>
                          <w:divBdr>
                            <w:top w:val="none" w:sz="0" w:space="0" w:color="auto"/>
                            <w:left w:val="none" w:sz="0" w:space="0" w:color="auto"/>
                            <w:bottom w:val="none" w:sz="0" w:space="0" w:color="auto"/>
                            <w:right w:val="none" w:sz="0" w:space="0" w:color="auto"/>
                          </w:divBdr>
                          <w:divsChild>
                            <w:div w:id="193545035">
                              <w:marLeft w:val="0"/>
                              <w:marRight w:val="0"/>
                              <w:marTop w:val="0"/>
                              <w:marBottom w:val="0"/>
                              <w:divBdr>
                                <w:top w:val="none" w:sz="0" w:space="0" w:color="auto"/>
                                <w:left w:val="none" w:sz="0" w:space="0" w:color="auto"/>
                                <w:bottom w:val="none" w:sz="0" w:space="0" w:color="auto"/>
                                <w:right w:val="none" w:sz="0" w:space="0" w:color="auto"/>
                              </w:divBdr>
                              <w:divsChild>
                                <w:div w:id="351997052">
                                  <w:marLeft w:val="0"/>
                                  <w:marRight w:val="0"/>
                                  <w:marTop w:val="0"/>
                                  <w:marBottom w:val="0"/>
                                  <w:divBdr>
                                    <w:top w:val="none" w:sz="0" w:space="0" w:color="auto"/>
                                    <w:left w:val="none" w:sz="0" w:space="0" w:color="auto"/>
                                    <w:bottom w:val="none" w:sz="0" w:space="0" w:color="auto"/>
                                    <w:right w:val="none" w:sz="0" w:space="0" w:color="auto"/>
                                  </w:divBdr>
                                </w:div>
                              </w:divsChild>
                            </w:div>
                            <w:div w:id="890186699">
                              <w:marLeft w:val="0"/>
                              <w:marRight w:val="0"/>
                              <w:marTop w:val="0"/>
                              <w:marBottom w:val="0"/>
                              <w:divBdr>
                                <w:top w:val="none" w:sz="0" w:space="0" w:color="auto"/>
                                <w:left w:val="none" w:sz="0" w:space="0" w:color="auto"/>
                                <w:bottom w:val="none" w:sz="0" w:space="0" w:color="auto"/>
                                <w:right w:val="none" w:sz="0" w:space="0" w:color="auto"/>
                              </w:divBdr>
                            </w:div>
                          </w:divsChild>
                        </w:div>
                        <w:div w:id="1215655696">
                          <w:marLeft w:val="0"/>
                          <w:marRight w:val="0"/>
                          <w:marTop w:val="0"/>
                          <w:marBottom w:val="0"/>
                          <w:divBdr>
                            <w:top w:val="none" w:sz="0" w:space="0" w:color="auto"/>
                            <w:left w:val="none" w:sz="0" w:space="0" w:color="auto"/>
                            <w:bottom w:val="none" w:sz="0" w:space="0" w:color="auto"/>
                            <w:right w:val="none" w:sz="0" w:space="0" w:color="auto"/>
                          </w:divBdr>
                          <w:divsChild>
                            <w:div w:id="1923251060">
                              <w:marLeft w:val="0"/>
                              <w:marRight w:val="0"/>
                              <w:marTop w:val="0"/>
                              <w:marBottom w:val="0"/>
                              <w:divBdr>
                                <w:top w:val="none" w:sz="0" w:space="0" w:color="auto"/>
                                <w:left w:val="none" w:sz="0" w:space="0" w:color="auto"/>
                                <w:bottom w:val="none" w:sz="0" w:space="0" w:color="auto"/>
                                <w:right w:val="none" w:sz="0" w:space="0" w:color="auto"/>
                              </w:divBdr>
                              <w:divsChild>
                                <w:div w:id="1670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2351">
              <w:marLeft w:val="0"/>
              <w:marRight w:val="0"/>
              <w:marTop w:val="0"/>
              <w:marBottom w:val="0"/>
              <w:divBdr>
                <w:top w:val="none" w:sz="0" w:space="0" w:color="auto"/>
                <w:left w:val="none" w:sz="0" w:space="0" w:color="auto"/>
                <w:bottom w:val="none" w:sz="0" w:space="0" w:color="auto"/>
                <w:right w:val="none" w:sz="0" w:space="0" w:color="auto"/>
              </w:divBdr>
              <w:divsChild>
                <w:div w:id="1845197209">
                  <w:marLeft w:val="0"/>
                  <w:marRight w:val="0"/>
                  <w:marTop w:val="0"/>
                  <w:marBottom w:val="0"/>
                  <w:divBdr>
                    <w:top w:val="none" w:sz="0" w:space="0" w:color="auto"/>
                    <w:left w:val="none" w:sz="0" w:space="0" w:color="auto"/>
                    <w:bottom w:val="none" w:sz="0" w:space="0" w:color="auto"/>
                    <w:right w:val="none" w:sz="0" w:space="0" w:color="auto"/>
                  </w:divBdr>
                  <w:divsChild>
                    <w:div w:id="237329194">
                      <w:marLeft w:val="0"/>
                      <w:marRight w:val="0"/>
                      <w:marTop w:val="0"/>
                      <w:marBottom w:val="0"/>
                      <w:divBdr>
                        <w:top w:val="none" w:sz="0" w:space="0" w:color="auto"/>
                        <w:left w:val="none" w:sz="0" w:space="0" w:color="auto"/>
                        <w:bottom w:val="none" w:sz="0" w:space="0" w:color="auto"/>
                        <w:right w:val="none" w:sz="0" w:space="0" w:color="auto"/>
                      </w:divBdr>
                      <w:divsChild>
                        <w:div w:id="1377125176">
                          <w:marLeft w:val="0"/>
                          <w:marRight w:val="0"/>
                          <w:marTop w:val="0"/>
                          <w:marBottom w:val="0"/>
                          <w:divBdr>
                            <w:top w:val="none" w:sz="0" w:space="0" w:color="auto"/>
                            <w:left w:val="none" w:sz="0" w:space="0" w:color="auto"/>
                            <w:bottom w:val="none" w:sz="0" w:space="0" w:color="auto"/>
                            <w:right w:val="none" w:sz="0" w:space="0" w:color="auto"/>
                          </w:divBdr>
                          <w:divsChild>
                            <w:div w:id="2005081732">
                              <w:marLeft w:val="0"/>
                              <w:marRight w:val="0"/>
                              <w:marTop w:val="0"/>
                              <w:marBottom w:val="0"/>
                              <w:divBdr>
                                <w:top w:val="none" w:sz="0" w:space="0" w:color="auto"/>
                                <w:left w:val="none" w:sz="0" w:space="0" w:color="auto"/>
                                <w:bottom w:val="none" w:sz="0" w:space="0" w:color="auto"/>
                                <w:right w:val="none" w:sz="0" w:space="0" w:color="auto"/>
                              </w:divBdr>
                              <w:divsChild>
                                <w:div w:id="4676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0915">
                          <w:marLeft w:val="0"/>
                          <w:marRight w:val="0"/>
                          <w:marTop w:val="0"/>
                          <w:marBottom w:val="0"/>
                          <w:divBdr>
                            <w:top w:val="none" w:sz="0" w:space="0" w:color="auto"/>
                            <w:left w:val="none" w:sz="0" w:space="0" w:color="auto"/>
                            <w:bottom w:val="none" w:sz="0" w:space="0" w:color="auto"/>
                            <w:right w:val="none" w:sz="0" w:space="0" w:color="auto"/>
                          </w:divBdr>
                          <w:divsChild>
                            <w:div w:id="1803571216">
                              <w:marLeft w:val="0"/>
                              <w:marRight w:val="0"/>
                              <w:marTop w:val="0"/>
                              <w:marBottom w:val="0"/>
                              <w:divBdr>
                                <w:top w:val="none" w:sz="0" w:space="0" w:color="auto"/>
                                <w:left w:val="none" w:sz="0" w:space="0" w:color="auto"/>
                                <w:bottom w:val="none" w:sz="0" w:space="0" w:color="auto"/>
                                <w:right w:val="none" w:sz="0" w:space="0" w:color="auto"/>
                              </w:divBdr>
                              <w:divsChild>
                                <w:div w:id="89619594">
                                  <w:marLeft w:val="0"/>
                                  <w:marRight w:val="0"/>
                                  <w:marTop w:val="0"/>
                                  <w:marBottom w:val="0"/>
                                  <w:divBdr>
                                    <w:top w:val="none" w:sz="0" w:space="0" w:color="auto"/>
                                    <w:left w:val="none" w:sz="0" w:space="0" w:color="auto"/>
                                    <w:bottom w:val="none" w:sz="0" w:space="0" w:color="auto"/>
                                    <w:right w:val="none" w:sz="0" w:space="0" w:color="auto"/>
                                  </w:divBdr>
                                  <w:divsChild>
                                    <w:div w:id="16785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72517">
              <w:marLeft w:val="0"/>
              <w:marRight w:val="0"/>
              <w:marTop w:val="0"/>
              <w:marBottom w:val="0"/>
              <w:divBdr>
                <w:top w:val="none" w:sz="0" w:space="0" w:color="auto"/>
                <w:left w:val="none" w:sz="0" w:space="0" w:color="auto"/>
                <w:bottom w:val="none" w:sz="0" w:space="0" w:color="auto"/>
                <w:right w:val="none" w:sz="0" w:space="0" w:color="auto"/>
              </w:divBdr>
              <w:divsChild>
                <w:div w:id="1168402884">
                  <w:marLeft w:val="0"/>
                  <w:marRight w:val="0"/>
                  <w:marTop w:val="0"/>
                  <w:marBottom w:val="0"/>
                  <w:divBdr>
                    <w:top w:val="none" w:sz="0" w:space="0" w:color="auto"/>
                    <w:left w:val="none" w:sz="0" w:space="0" w:color="auto"/>
                    <w:bottom w:val="none" w:sz="0" w:space="0" w:color="auto"/>
                    <w:right w:val="none" w:sz="0" w:space="0" w:color="auto"/>
                  </w:divBdr>
                  <w:divsChild>
                    <w:div w:id="20297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4779">
          <w:marLeft w:val="0"/>
          <w:marRight w:val="0"/>
          <w:marTop w:val="0"/>
          <w:marBottom w:val="0"/>
          <w:divBdr>
            <w:top w:val="none" w:sz="0" w:space="0" w:color="auto"/>
            <w:left w:val="none" w:sz="0" w:space="0" w:color="auto"/>
            <w:bottom w:val="none" w:sz="0" w:space="0" w:color="auto"/>
            <w:right w:val="none" w:sz="0" w:space="0" w:color="auto"/>
          </w:divBdr>
          <w:divsChild>
            <w:div w:id="1883899790">
              <w:marLeft w:val="0"/>
              <w:marRight w:val="0"/>
              <w:marTop w:val="0"/>
              <w:marBottom w:val="0"/>
              <w:divBdr>
                <w:top w:val="none" w:sz="0" w:space="0" w:color="auto"/>
                <w:left w:val="none" w:sz="0" w:space="0" w:color="auto"/>
                <w:bottom w:val="none" w:sz="0" w:space="0" w:color="auto"/>
                <w:right w:val="none" w:sz="0" w:space="0" w:color="auto"/>
              </w:divBdr>
              <w:divsChild>
                <w:div w:id="1854104065">
                  <w:marLeft w:val="0"/>
                  <w:marRight w:val="0"/>
                  <w:marTop w:val="0"/>
                  <w:marBottom w:val="0"/>
                  <w:divBdr>
                    <w:top w:val="none" w:sz="0" w:space="0" w:color="auto"/>
                    <w:left w:val="none" w:sz="0" w:space="0" w:color="auto"/>
                    <w:bottom w:val="none" w:sz="0" w:space="0" w:color="auto"/>
                    <w:right w:val="none" w:sz="0" w:space="0" w:color="auto"/>
                  </w:divBdr>
                  <w:divsChild>
                    <w:div w:id="402457402">
                      <w:marLeft w:val="0"/>
                      <w:marRight w:val="0"/>
                      <w:marTop w:val="0"/>
                      <w:marBottom w:val="0"/>
                      <w:divBdr>
                        <w:top w:val="none" w:sz="0" w:space="0" w:color="auto"/>
                        <w:left w:val="none" w:sz="0" w:space="0" w:color="auto"/>
                        <w:bottom w:val="none" w:sz="0" w:space="0" w:color="auto"/>
                        <w:right w:val="none" w:sz="0" w:space="0" w:color="auto"/>
                      </w:divBdr>
                      <w:divsChild>
                        <w:div w:id="1782646445">
                          <w:marLeft w:val="0"/>
                          <w:marRight w:val="0"/>
                          <w:marTop w:val="0"/>
                          <w:marBottom w:val="0"/>
                          <w:divBdr>
                            <w:top w:val="none" w:sz="0" w:space="0" w:color="auto"/>
                            <w:left w:val="none" w:sz="0" w:space="0" w:color="auto"/>
                            <w:bottom w:val="none" w:sz="0" w:space="0" w:color="auto"/>
                            <w:right w:val="none" w:sz="0" w:space="0" w:color="auto"/>
                          </w:divBdr>
                          <w:divsChild>
                            <w:div w:id="12187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9612">
                      <w:marLeft w:val="0"/>
                      <w:marRight w:val="0"/>
                      <w:marTop w:val="0"/>
                      <w:marBottom w:val="0"/>
                      <w:divBdr>
                        <w:top w:val="none" w:sz="0" w:space="0" w:color="auto"/>
                        <w:left w:val="none" w:sz="0" w:space="0" w:color="auto"/>
                        <w:bottom w:val="none" w:sz="0" w:space="0" w:color="auto"/>
                        <w:right w:val="none" w:sz="0" w:space="0" w:color="auto"/>
                      </w:divBdr>
                      <w:divsChild>
                        <w:div w:id="1721324519">
                          <w:marLeft w:val="0"/>
                          <w:marRight w:val="0"/>
                          <w:marTop w:val="0"/>
                          <w:marBottom w:val="0"/>
                          <w:divBdr>
                            <w:top w:val="none" w:sz="0" w:space="0" w:color="auto"/>
                            <w:left w:val="none" w:sz="0" w:space="0" w:color="auto"/>
                            <w:bottom w:val="none" w:sz="0" w:space="0" w:color="auto"/>
                            <w:right w:val="none" w:sz="0" w:space="0" w:color="auto"/>
                          </w:divBdr>
                          <w:divsChild>
                            <w:div w:id="1079013873">
                              <w:marLeft w:val="0"/>
                              <w:marRight w:val="0"/>
                              <w:marTop w:val="0"/>
                              <w:marBottom w:val="0"/>
                              <w:divBdr>
                                <w:top w:val="none" w:sz="0" w:space="0" w:color="auto"/>
                                <w:left w:val="none" w:sz="0" w:space="0" w:color="auto"/>
                                <w:bottom w:val="none" w:sz="0" w:space="0" w:color="auto"/>
                                <w:right w:val="none" w:sz="0" w:space="0" w:color="auto"/>
                              </w:divBdr>
                              <w:divsChild>
                                <w:div w:id="1632518293">
                                  <w:marLeft w:val="0"/>
                                  <w:marRight w:val="0"/>
                                  <w:marTop w:val="0"/>
                                  <w:marBottom w:val="0"/>
                                  <w:divBdr>
                                    <w:top w:val="none" w:sz="0" w:space="0" w:color="auto"/>
                                    <w:left w:val="none" w:sz="0" w:space="0" w:color="auto"/>
                                    <w:bottom w:val="none" w:sz="0" w:space="0" w:color="auto"/>
                                    <w:right w:val="none" w:sz="0" w:space="0" w:color="auto"/>
                                  </w:divBdr>
                                  <w:divsChild>
                                    <w:div w:id="12429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ulation.un.org/wpp/Publications/Files/WPP2019_Highlights.pdf" TargetMode="External"/><Relationship Id="rId18" Type="http://schemas.openxmlformats.org/officeDocument/2006/relationships/hyperlink" Target="https://doi.org/10.1007/s11027-005-9006-5" TargetMode="External"/><Relationship Id="rId26" Type="http://schemas.openxmlformats.org/officeDocument/2006/relationships/hyperlink" Target="https://doi.org/10.2136/sssaj2005.0383" TargetMode="External"/><Relationship Id="rId39" Type="http://schemas.openxmlformats.org/officeDocument/2006/relationships/hyperlink" Target="https://doi.org/10.1111/gcbb.12037" TargetMode="External"/><Relationship Id="rId21" Type="http://schemas.openxmlformats.org/officeDocument/2006/relationships/hyperlink" Target="https://doi.org/10.1016/j.biortech.2012.03.022" TargetMode="External"/><Relationship Id="rId34" Type="http://schemas.openxmlformats.org/officeDocument/2006/relationships/hyperlink" Target="https://doi.org/10.1016/j.fcr.2011.11.020" TargetMode="External"/><Relationship Id="rId42" Type="http://schemas.openxmlformats.org/officeDocument/2006/relationships/hyperlink" Target="https://doi.org/10.1071/SR10002" TargetMode="External"/><Relationship Id="rId47" Type="http://schemas.openxmlformats.org/officeDocument/2006/relationships/hyperlink" Target="https://doi.org/10.1016/j.agee.2010.12.005" TargetMode="External"/><Relationship Id="rId50" Type="http://schemas.openxmlformats.org/officeDocument/2006/relationships/hyperlink" Target="https://doi" TargetMode="External"/><Relationship Id="rId55" Type="http://schemas.openxmlformats.org/officeDocument/2006/relationships/hyperlink" Target="https://doi.org/10.1016/j.soilbio.2011.04.022" TargetMode="External"/><Relationship Id="rId63" Type="http://schemas.openxmlformats.org/officeDocument/2006/relationships/hyperlink" Target="https://doi.org/10.1111/ejss.12064" TargetMode="External"/><Relationship Id="rId68" Type="http://schemas.openxmlformats.org/officeDocument/2006/relationships/hyperlink" Target="https://doi.org/10.1111/gcbb.12030" TargetMode="External"/><Relationship Id="rId76" Type="http://schemas.openxmlformats.org/officeDocument/2006/relationships/hyperlink" Target="https://doi.org/10.2134/jeq2011.0132" TargetMode="External"/><Relationship Id="rId84" Type="http://schemas.openxmlformats.org/officeDocument/2006/relationships/hyperlink" Target="https://doi.org/10.1016/j.enpol.2011.07.035" TargetMode="External"/><Relationship Id="rId89" Type="http://schemas.openxmlformats.org/officeDocument/2006/relationships/header" Target="header1.xml"/><Relationship Id="rId7" Type="http://schemas.openxmlformats.org/officeDocument/2006/relationships/image" Target="media/image1.jpeg"/><Relationship Id="rId71" Type="http://schemas.openxmlformats.org/officeDocument/2006/relationships/hyperlink" Target="https://doi.org/10.1038/ncomms11178" TargetMode="External"/><Relationship Id="rId92"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07/s11104-010-0464-5" TargetMode="External"/><Relationship Id="rId29" Type="http://schemas.openxmlformats.org/officeDocument/2006/relationships/hyperlink" Target="https://doi.org/10.1016/j.soilbio.2013.12.021" TargetMode="External"/><Relationship Id="rId11" Type="http://schemas.openxmlformats.org/officeDocument/2006/relationships/image" Target="media/image5.jpeg"/><Relationship Id="rId24" Type="http://schemas.openxmlformats.org/officeDocument/2006/relationships/hyperlink" Target="https://doi.org/10.1016/j.rser.2015.10.122" TargetMode="External"/><Relationship Id="rId32" Type="http://schemas.openxmlformats.org/officeDocument/2006/relationships/hyperlink" Target="https://doi.org/10.1016/j.biortech.2010.11.018" TargetMode="External"/><Relationship Id="rId37" Type="http://schemas.openxmlformats.org/officeDocument/2006/relationships/hyperlink" Target="https://doi.org/10.1007/s11104-012-1250-3" TargetMode="External"/><Relationship Id="rId40" Type="http://schemas.openxmlformats.org/officeDocument/2006/relationships/hyperlink" Target="https://doi.org/10.1016/j.soilbio.2011.04.022" TargetMode="External"/><Relationship Id="rId45" Type="http://schemas.openxmlformats.org/officeDocument/2006/relationships/hyperlink" Target="https://doi.org/10.1016/j.eja.2011.01.006" TargetMode="External"/><Relationship Id="rId53" Type="http://schemas.openxmlformats.org/officeDocument/2006/relationships/hyperlink" Target="https://doi.org/10.1016/j.geoderma.2013.06.016" TargetMode="External"/><Relationship Id="rId58" Type="http://schemas.openxmlformats.org/officeDocument/2006/relationships/hyperlink" Target="https://doi.org/10.1023/A:1022833116184" TargetMode="External"/><Relationship Id="rId66" Type="http://schemas.openxmlformats.org/officeDocument/2006/relationships/hyperlink" Target="https://doi.org/10.1016/j.scitotenv.2013.03.090" TargetMode="External"/><Relationship Id="rId74" Type="http://schemas.openxmlformats.org/officeDocument/2006/relationships/hyperlink" Target="https://doi.org/10.5194/soil-1-707-2015" TargetMode="External"/><Relationship Id="rId79" Type="http://schemas.openxmlformats.org/officeDocument/2006/relationships/hyperlink" Target="https://doi.org/10.1007/s13593-016-0372-z" TargetMode="External"/><Relationship Id="rId87" Type="http://schemas.openxmlformats.org/officeDocument/2006/relationships/hyperlink" Target="https://doi.org/10.1016/B978-0-444-63524-2.00015-0" TargetMode="External"/><Relationship Id="rId5" Type="http://schemas.openxmlformats.org/officeDocument/2006/relationships/footnotes" Target="footnotes.xml"/><Relationship Id="rId61" Type="http://schemas.openxmlformats.org/officeDocument/2006/relationships/hyperlink" Target="https://doi.org/10.1016/j.pedobi.2011.07.005" TargetMode="External"/><Relationship Id="rId82" Type="http://schemas.openxmlformats.org/officeDocument/2006/relationships/hyperlink" Target="https://doi.org/10.1016/j.agee.2014.04.001" TargetMode="External"/><Relationship Id="rId90" Type="http://schemas.openxmlformats.org/officeDocument/2006/relationships/header" Target="header2.xml"/><Relationship Id="rId95" Type="http://schemas.openxmlformats.org/officeDocument/2006/relationships/fontTable" Target="fontTable.xml"/><Relationship Id="rId19" Type="http://schemas.openxmlformats.org/officeDocument/2006/relationships/hyperlink" Target="https://doi.org/10.1021/es301029g" TargetMode="External"/><Relationship Id="rId14" Type="http://schemas.openxmlformats.org/officeDocument/2006/relationships/hyperlink" Target="https://doi.org/10.1038/ncomms1053" TargetMode="External"/><Relationship Id="rId22" Type="http://schemas.openxmlformats.org/officeDocument/2006/relationships/hyperlink" Target="https://doi.org/10.1038/ncomms11178" TargetMode="External"/><Relationship Id="rId27" Type="http://schemas.openxmlformats.org/officeDocument/2006/relationships/hyperlink" Target="https://doi.org/10.1007/s11104-010-0327-0" TargetMode="External"/><Relationship Id="rId30" Type="http://schemas.openxmlformats.org/officeDocument/2006/relationships/hyperlink" Target="https://doi.org/10.1016/j.geoderma.2010.05.012" TargetMode="External"/><Relationship Id="rId35" Type="http://schemas.openxmlformats.org/officeDocument/2006/relationships/hyperlink" Target="https://doi.org/10.1021/es302545b" TargetMode="External"/><Relationship Id="rId43" Type="http://schemas.openxmlformats.org/officeDocument/2006/relationships/hyperlink" Target="https://doi.org/10.1016/j.apsoil.2013.05.003" TargetMode="External"/><Relationship Id="rId48" Type="http://schemas.openxmlformats.org/officeDocument/2006/relationships/hyperlink" Target="https://doi.org/10.1016/j.geoderma.2013.03.003" TargetMode="External"/><Relationship Id="rId56" Type="http://schemas.openxmlformats.org/officeDocument/2006/relationships/hyperlink" Target="https://doi.org/10.1034/j.1600-0706.2000.890203.x" TargetMode="External"/><Relationship Id="rId64" Type="http://schemas.openxmlformats.org/officeDocument/2006/relationships/hyperlink" Target="https://doi.org/10.1007/s11104-012-1383-4" TargetMode="External"/><Relationship Id="rId69" Type="http://schemas.openxmlformats.org/officeDocument/2006/relationships/hyperlink" Target="https://doi.org/10.1021/es903140c" TargetMode="External"/><Relationship Id="rId77" Type="http://schemas.openxmlformats.org/officeDocument/2006/relationships/hyperlink" Target="https://doi.org/10.1016/j.soilbio.2011.11.016" TargetMode="External"/><Relationship Id="rId8" Type="http://schemas.openxmlformats.org/officeDocument/2006/relationships/image" Target="media/image2.jpeg"/><Relationship Id="rId51" Type="http://schemas.openxmlformats.org/officeDocument/2006/relationships/hyperlink" Target="https://doi.org/10.1016/j.eja.2013.11.003" TargetMode="External"/><Relationship Id="rId72" Type="http://schemas.openxmlformats.org/officeDocument/2006/relationships/hyperlink" Target="https://doi.org/10.1016/j.agee.2013.10.009" TargetMode="External"/><Relationship Id="rId80" Type="http://schemas.openxmlformats.org/officeDocument/2006/relationships/hyperlink" Target="https://doi.org/10.1016/j.geoderma.2018.09.034" TargetMode="External"/><Relationship Id="rId85" Type="http://schemas.openxmlformats.org/officeDocument/2006/relationships/hyperlink" Target="https://doi.org/10.1111/gcbb.12180" TargetMode="External"/><Relationship Id="rId93"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016/j.agee.2011.08.015" TargetMode="External"/><Relationship Id="rId25" Type="http://schemas.openxmlformats.org/officeDocument/2006/relationships/hyperlink" Target="https://doi.org/10.1007/s00374-002-0466-4" TargetMode="External"/><Relationship Id="rId33" Type="http://schemas.openxmlformats.org/officeDocument/2006/relationships/hyperlink" Target="https://doi.org/10.1007/s11104-009-0050-x" TargetMode="External"/><Relationship Id="rId38" Type="http://schemas.openxmlformats.org/officeDocument/2006/relationships/hyperlink" Target="https://doi.org/10.1007/s00374-006-0152-z" TargetMode="External"/><Relationship Id="rId46" Type="http://schemas.openxmlformats.org/officeDocument/2006/relationships/hyperlink" Target="https://doi.org/10.1016/j.chemosphere.2010.01.009" TargetMode="External"/><Relationship Id="rId59" Type="http://schemas.openxmlformats.org/officeDocument/2006/relationships/hyperlink" Target="https://ecommons.cornell.edu/handle/1813/17077" TargetMode="External"/><Relationship Id="rId67" Type="http://schemas.openxmlformats.org/officeDocument/2006/relationships/hyperlink" Target="https://doi.org/10.1038/ncomms1053" TargetMode="External"/><Relationship Id="rId20" Type="http://schemas.openxmlformats.org/officeDocument/2006/relationships/hyperlink" Target="https://doi.org/10.1016/j.biombioe.2011.01.048" TargetMode="External"/><Relationship Id="rId41" Type="http://schemas.openxmlformats.org/officeDocument/2006/relationships/hyperlink" Target="https://doi.org/10.1007/s11104-007-9391-5" TargetMode="External"/><Relationship Id="rId54" Type="http://schemas.openxmlformats.org/officeDocument/2006/relationships/hyperlink" Target="https://doi.org/10.1016/j.geoderma.2016.07.019" TargetMode="External"/><Relationship Id="rId62" Type="http://schemas.openxmlformats.org/officeDocument/2006/relationships/hyperlink" Target="https://doi.org/10.1007/s11104-007-9391-5" TargetMode="External"/><Relationship Id="rId70" Type="http://schemas.openxmlformats.org/officeDocument/2006/relationships/hyperlink" Target="https://doi.org/10.1021/es500474q" TargetMode="External"/><Relationship Id="rId75" Type="http://schemas.openxmlformats.org/officeDocument/2006/relationships/hyperlink" Target="https://doi.org/10.1016/j.agee.2014.12.015" TargetMode="External"/><Relationship Id="rId83" Type="http://schemas.openxmlformats.org/officeDocument/2006/relationships/hyperlink" Target="https://doi.org/10.1007/s11104-015-2427-3" TargetMode="External"/><Relationship Id="rId88" Type="http://schemas.openxmlformats.org/officeDocument/2006/relationships/hyperlink" Target="https://doi.org/10.1016/j.apsoil.2017.03.017"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S0065-2113(10)05002-9" TargetMode="External"/><Relationship Id="rId23" Type="http://schemas.openxmlformats.org/officeDocument/2006/relationships/hyperlink" Target="https://doi.org/10.2134/jeq2011.0069" TargetMode="External"/><Relationship Id="rId28" Type="http://schemas.openxmlformats.org/officeDocument/2006/relationships/hyperlink" Target="https://doi.org/10.1029/1999GB001208" TargetMode="External"/><Relationship Id="rId36" Type="http://schemas.openxmlformats.org/officeDocument/2006/relationships/hyperlink" Target="https://doi.org/10.1097/SS.0b013e3181981d9a" TargetMode="External"/><Relationship Id="rId49" Type="http://schemas.openxmlformats.org/officeDocument/2006/relationships/hyperlink" Target="https://doi.org/10.1016/j.jaridenv.2012.07.012" TargetMode="External"/><Relationship Id="rId57" Type="http://schemas.openxmlformats.org/officeDocument/2006/relationships/hyperlink" Target="https://doi.org/10.1007/s00248-010-9689-3" TargetMode="External"/><Relationship Id="rId10" Type="http://schemas.openxmlformats.org/officeDocument/2006/relationships/image" Target="media/image4.jpeg"/><Relationship Id="rId31" Type="http://schemas.openxmlformats.org/officeDocument/2006/relationships/hyperlink" Target="https://doi.org/10.1016/j.gca.2008.09.028" TargetMode="External"/><Relationship Id="rId44" Type="http://schemas.openxmlformats.org/officeDocument/2006/relationships/hyperlink" Target="https://doi.org/10.1016/j.scitotenv.2015.11.054" TargetMode="External"/><Relationship Id="rId52" Type="http://schemas.openxmlformats.org/officeDocument/2006/relationships/hyperlink" Target="https://doi.org/10.4067/S0718-95162013005000078" TargetMode="External"/><Relationship Id="rId60" Type="http://schemas.openxmlformats.org/officeDocument/2006/relationships/hyperlink" Target="https://doi.org/10.1016/j.soilbio.2013.06.004" TargetMode="External"/><Relationship Id="rId65" Type="http://schemas.openxmlformats.org/officeDocument/2006/relationships/hyperlink" Target="https://doi.org/10.1016/j.chemosphere.2015.07.015" TargetMode="External"/><Relationship Id="rId73" Type="http://schemas.openxmlformats.org/officeDocument/2006/relationships/hyperlink" Target="https://doi.org/10.3390/agronomy3020275" TargetMode="External"/><Relationship Id="rId78" Type="http://schemas.openxmlformats.org/officeDocument/2006/relationships/hyperlink" Target="https://doi.org/10.1016/j.agee.2017.08.026" TargetMode="External"/><Relationship Id="rId81" Type="http://schemas.openxmlformats.org/officeDocument/2006/relationships/hyperlink" Target="https://doi.org/10.1007/s11157-020-09523-3" TargetMode="External"/><Relationship Id="rId86" Type="http://schemas.openxmlformats.org/officeDocument/2006/relationships/hyperlink" Target="https://doi.org/10.1186/s40663-016-0081-8" TargetMode="External"/><Relationship Id="rId9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17</Pages>
  <Words>6270</Words>
  <Characters>35739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Editor-22</cp:lastModifiedBy>
  <cp:revision>39</cp:revision>
  <dcterms:created xsi:type="dcterms:W3CDTF">2025-03-30T16:47:00Z</dcterms:created>
  <dcterms:modified xsi:type="dcterms:W3CDTF">2025-04-30T08:10:00Z</dcterms:modified>
</cp:coreProperties>
</file>